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5A630ECA" w14:textId="77777777" w:rsidTr="00BF1190">
        <w:trPr>
          <w:trHeight w:val="1863"/>
        </w:trPr>
        <w:tc>
          <w:tcPr>
            <w:tcW w:w="3652" w:type="dxa"/>
            <w:tcBorders>
              <w:top w:val="nil"/>
              <w:left w:val="nil"/>
              <w:bottom w:val="nil"/>
              <w:right w:val="nil"/>
            </w:tcBorders>
          </w:tcPr>
          <w:p w14:paraId="5D0D181E" w14:textId="0A6920C6" w:rsidR="008E7846" w:rsidRPr="00096AA7" w:rsidRDefault="008F59DB" w:rsidP="00096AA7">
            <w:pPr>
              <w:rPr>
                <w:rFonts w:ascii="Arial" w:hAnsi="Arial" w:cs="Arial"/>
                <w:b/>
                <w:color w:val="002C47"/>
                <w:sz w:val="36"/>
                <w:szCs w:val="36"/>
              </w:rPr>
            </w:pPr>
            <w:r>
              <w:rPr>
                <w:rFonts w:ascii="Arial" w:hAnsi="Arial" w:cs="Arial"/>
                <w:b/>
                <w:color w:val="002C47"/>
                <w:sz w:val="36"/>
                <w:szCs w:val="36"/>
              </w:rPr>
              <w:t>April</w:t>
            </w:r>
            <w:r w:rsidR="00DB0968">
              <w:rPr>
                <w:rFonts w:ascii="Arial" w:hAnsi="Arial" w:cs="Arial"/>
                <w:b/>
                <w:color w:val="002C47"/>
                <w:sz w:val="36"/>
                <w:szCs w:val="36"/>
              </w:rPr>
              <w:t xml:space="preserve"> 2023</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6BD4791C" w14:textId="77777777" w:rsidTr="0032583B">
        <w:trPr>
          <w:trHeight w:val="868"/>
        </w:trPr>
        <w:tc>
          <w:tcPr>
            <w:tcW w:w="9079" w:type="dxa"/>
          </w:tcPr>
          <w:p w14:paraId="253B37B2" w14:textId="75FFE361" w:rsidR="0032583B" w:rsidRPr="00183140" w:rsidRDefault="0032583B" w:rsidP="00B70468">
            <w:pPr>
              <w:pStyle w:val="Title"/>
              <w:rPr>
                <w:rFonts w:asciiTheme="majorHAnsi" w:hAnsiTheme="majorHAnsi" w:cstheme="majorHAnsi"/>
                <w:color w:val="FFFFFF" w:themeColor="background1"/>
              </w:rPr>
            </w:pPr>
            <w:r w:rsidRPr="00183140">
              <w:rPr>
                <w:rFonts w:asciiTheme="majorHAnsi" w:hAnsiTheme="majorHAnsi" w:cstheme="majorHAnsi"/>
                <w:color w:val="FFFFFF" w:themeColor="background1"/>
              </w:rPr>
              <w:t xml:space="preserve">Australian Public Assessment Report for </w:t>
            </w:r>
            <w:r w:rsidR="00B70468">
              <w:rPr>
                <w:rFonts w:asciiTheme="majorHAnsi" w:hAnsiTheme="majorHAnsi" w:cstheme="majorHAnsi"/>
                <w:color w:val="FFFFFF" w:themeColor="background1"/>
                <w:szCs w:val="17"/>
              </w:rPr>
              <w:t>Zyamis</w:t>
            </w:r>
          </w:p>
        </w:tc>
      </w:tr>
      <w:tr w:rsidR="0032583B" w:rsidRPr="00B64760" w14:paraId="48BB248E" w14:textId="77777777" w:rsidTr="0032583B">
        <w:tc>
          <w:tcPr>
            <w:tcW w:w="9079" w:type="dxa"/>
          </w:tcPr>
          <w:p w14:paraId="51371205" w14:textId="104521A5" w:rsidR="0032583B" w:rsidRPr="008E7846" w:rsidRDefault="00B70468" w:rsidP="00460036">
            <w:pPr>
              <w:pStyle w:val="Subtitle"/>
              <w:rPr>
                <w:color w:val="FFFFFF" w:themeColor="background1"/>
              </w:rPr>
            </w:pPr>
            <w:r>
              <w:rPr>
                <w:color w:val="FFFFFF" w:themeColor="background1"/>
              </w:rPr>
              <w:t>Active ingredient</w:t>
            </w:r>
            <w:r w:rsidR="0032583B" w:rsidRPr="008E7846">
              <w:rPr>
                <w:color w:val="FFFFFF" w:themeColor="background1"/>
              </w:rPr>
              <w:t xml:space="preserve">: </w:t>
            </w:r>
            <w:r w:rsidR="006942EF">
              <w:rPr>
                <w:color w:val="FFFFFF" w:themeColor="background1"/>
              </w:rPr>
              <w:t>M</w:t>
            </w:r>
            <w:r>
              <w:rPr>
                <w:color w:val="FFFFFF" w:themeColor="background1"/>
              </w:rPr>
              <w:t>idazolam</w:t>
            </w:r>
            <w:r w:rsidR="006942EF">
              <w:rPr>
                <w:color w:val="FFFFFF" w:themeColor="background1"/>
              </w:rPr>
              <w:t xml:space="preserve"> maleate</w:t>
            </w:r>
          </w:p>
        </w:tc>
      </w:tr>
      <w:tr w:rsidR="0032583B" w:rsidRPr="00B64760" w14:paraId="27BB8A78" w14:textId="77777777" w:rsidTr="0032583B">
        <w:trPr>
          <w:trHeight w:val="486"/>
        </w:trPr>
        <w:tc>
          <w:tcPr>
            <w:tcW w:w="9079" w:type="dxa"/>
          </w:tcPr>
          <w:p w14:paraId="4E763427" w14:textId="04B2EF1F" w:rsidR="0032583B" w:rsidRPr="00183140" w:rsidRDefault="00460036" w:rsidP="006942EF">
            <w:pPr>
              <w:pStyle w:val="Subtitle"/>
              <w:rPr>
                <w:rFonts w:asciiTheme="majorHAnsi" w:hAnsiTheme="majorHAnsi" w:cstheme="majorHAnsi"/>
                <w:color w:val="FFFFFF" w:themeColor="background1"/>
              </w:rPr>
            </w:pPr>
            <w:r w:rsidRPr="00183140">
              <w:rPr>
                <w:rFonts w:asciiTheme="majorHAnsi" w:hAnsiTheme="majorHAnsi" w:cstheme="majorHAnsi"/>
                <w:color w:val="FFFFFF" w:themeColor="background1"/>
              </w:rPr>
              <w:t xml:space="preserve">Sponsor: </w:t>
            </w:r>
            <w:r w:rsidR="00183140" w:rsidRPr="00183140">
              <w:rPr>
                <w:rFonts w:asciiTheme="majorHAnsi" w:hAnsiTheme="majorHAnsi" w:cstheme="majorHAnsi"/>
                <w:color w:val="FFFFFF" w:themeColor="background1"/>
                <w:szCs w:val="17"/>
              </w:rPr>
              <w:t xml:space="preserve">Veriton Pharma Pty </w:t>
            </w:r>
            <w:r w:rsidR="006942EF">
              <w:rPr>
                <w:rFonts w:asciiTheme="majorHAnsi" w:hAnsiTheme="majorHAnsi" w:cstheme="majorHAnsi"/>
                <w:color w:val="FFFFFF" w:themeColor="background1"/>
                <w:szCs w:val="17"/>
              </w:rPr>
              <w:t>Ltd</w:t>
            </w:r>
          </w:p>
        </w:tc>
      </w:tr>
    </w:tbl>
    <w:p w14:paraId="60BBF050" w14:textId="77777777" w:rsidR="008E7846" w:rsidRPr="0085156D" w:rsidRDefault="008E7846" w:rsidP="0085156D">
      <w:r w:rsidRPr="0085156D">
        <w:br w:type="page"/>
      </w:r>
    </w:p>
    <w:p w14:paraId="24FF1B49" w14:textId="77777777" w:rsidR="008E7846" w:rsidRPr="001F6CBA" w:rsidRDefault="008E7846" w:rsidP="008E7846">
      <w:pPr>
        <w:pStyle w:val="NonTOCHeading2"/>
      </w:pPr>
      <w:r w:rsidRPr="001F6CBA">
        <w:lastRenderedPageBreak/>
        <w:t>About the Therapeutic Goods Administration (TGA)</w:t>
      </w:r>
    </w:p>
    <w:p w14:paraId="69C67A69" w14:textId="656F0F5C" w:rsidR="008E7846" w:rsidRDefault="008E7846" w:rsidP="00AD63F6">
      <w:pPr>
        <w:pStyle w:val="ListBullet"/>
        <w:numPr>
          <w:ilvl w:val="0"/>
          <w:numId w:val="1"/>
        </w:numPr>
        <w:ind w:left="357" w:hanging="357"/>
      </w:pPr>
      <w:r>
        <w:t xml:space="preserve">The Therapeutic Goods Administration (TGA) is </w:t>
      </w:r>
      <w:r w:rsidR="00E624A5">
        <w:t xml:space="preserve">part </w:t>
      </w:r>
      <w:r>
        <w:t xml:space="preserve">of the Australian Government Department of Health </w:t>
      </w:r>
      <w:r w:rsidR="00AE63BD">
        <w:t xml:space="preserve">and Aged Care </w:t>
      </w:r>
      <w:r>
        <w:t>and is responsible for regulating medicines and medical devices.</w:t>
      </w:r>
    </w:p>
    <w:p w14:paraId="7E530580" w14:textId="77777777" w:rsidR="008E7846" w:rsidRDefault="00C80137" w:rsidP="00AD63F6">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52070D43" w14:textId="77777777" w:rsidR="008E7846" w:rsidRDefault="008E7846" w:rsidP="00AD63F6">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7394B6A7" w14:textId="77777777" w:rsidR="008E7846" w:rsidRDefault="008E7846" w:rsidP="00AD63F6">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2B30136A" w14:textId="7D77C360" w:rsidR="00441C3F" w:rsidRDefault="008E7846" w:rsidP="00AD63F6">
      <w:pPr>
        <w:pStyle w:val="ListBullet"/>
        <w:numPr>
          <w:ilvl w:val="0"/>
          <w:numId w:val="1"/>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6E658EF7" w14:textId="77777777" w:rsidR="008E7846" w:rsidRDefault="008E7846" w:rsidP="00875A6B">
      <w:pPr>
        <w:pStyle w:val="NonTOCHeading2"/>
      </w:pPr>
      <w:r>
        <w:t>About AusPARs</w:t>
      </w:r>
    </w:p>
    <w:p w14:paraId="492A822E" w14:textId="77777777" w:rsidR="008E7846" w:rsidRDefault="008E7846" w:rsidP="00AD63F6">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7ED100A4" w14:textId="77777777" w:rsidR="008E7846" w:rsidRDefault="008E7846" w:rsidP="00AD63F6">
      <w:pPr>
        <w:pStyle w:val="ListBullet"/>
        <w:numPr>
          <w:ilvl w:val="0"/>
          <w:numId w:val="1"/>
        </w:numPr>
        <w:ind w:left="357" w:hanging="357"/>
      </w:pPr>
      <w:r>
        <w:t>AusPARs are prepared and published by the TGA.</w:t>
      </w:r>
    </w:p>
    <w:p w14:paraId="33127CEE" w14:textId="77777777" w:rsidR="008E7846" w:rsidRDefault="008E7846" w:rsidP="00AD63F6">
      <w:pPr>
        <w:pStyle w:val="ListBullet"/>
        <w:numPr>
          <w:ilvl w:val="0"/>
          <w:numId w:val="1"/>
        </w:numPr>
        <w:ind w:left="357" w:hanging="357"/>
      </w:pPr>
      <w:r>
        <w:t>An AusPAR is prepared for submissions that relate to new chemical entities, generic medicines, major variations and extensions of indications.</w:t>
      </w:r>
    </w:p>
    <w:p w14:paraId="674F78EC" w14:textId="77777777" w:rsidR="008E7846" w:rsidRDefault="008E7846" w:rsidP="00AD63F6">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6EDED3FE" w14:textId="77777777" w:rsidR="00B452CE" w:rsidRDefault="008E7846" w:rsidP="00AD63F6">
      <w:pPr>
        <w:pStyle w:val="ListBullet"/>
        <w:numPr>
          <w:ilvl w:val="0"/>
          <w:numId w:val="1"/>
        </w:numPr>
        <w:ind w:left="357" w:hanging="357"/>
      </w:pPr>
      <w:r>
        <w:t>A new AusPAR will be developed to reflect changes to indications and/or major variations to a prescription medicine subject to evaluation by the TGA.</w:t>
      </w:r>
    </w:p>
    <w:p w14:paraId="7577A471" w14:textId="77777777" w:rsidR="00924482" w:rsidRPr="00DF1D7F" w:rsidRDefault="00924482" w:rsidP="00F54B65">
      <w:pPr>
        <w:pStyle w:val="LegalSubheading"/>
        <w:spacing w:before="3120"/>
      </w:pPr>
      <w:r w:rsidRPr="00DF1D7F">
        <w:t>Copyright</w:t>
      </w:r>
    </w:p>
    <w:p w14:paraId="09EC75EB" w14:textId="768F4636"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DB0968">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14:paraId="4F747D61" w14:textId="77777777"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42FAD73E" w14:textId="77777777" w:rsidR="0089635C" w:rsidRPr="0089635C" w:rsidRDefault="0089635C" w:rsidP="0010788A">
          <w:pPr>
            <w:pStyle w:val="Contents"/>
          </w:pPr>
          <w:r w:rsidRPr="0010788A">
            <w:t>Contents</w:t>
          </w:r>
        </w:p>
        <w:p w14:paraId="51A32D7C" w14:textId="0478F9A9" w:rsidR="00AA79CE"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132882388" w:history="1">
            <w:r w:rsidR="00AA79CE" w:rsidRPr="00685B7D">
              <w:rPr>
                <w:rStyle w:val="Hyperlink"/>
                <w:noProof/>
              </w:rPr>
              <w:t>List of abbreviations</w:t>
            </w:r>
            <w:r w:rsidR="00AA79CE">
              <w:rPr>
                <w:noProof/>
                <w:webHidden/>
              </w:rPr>
              <w:tab/>
            </w:r>
            <w:r w:rsidR="00AA79CE">
              <w:rPr>
                <w:noProof/>
                <w:webHidden/>
              </w:rPr>
              <w:fldChar w:fldCharType="begin"/>
            </w:r>
            <w:r w:rsidR="00AA79CE">
              <w:rPr>
                <w:noProof/>
                <w:webHidden/>
              </w:rPr>
              <w:instrText xml:space="preserve"> PAGEREF _Toc132882388 \h </w:instrText>
            </w:r>
            <w:r w:rsidR="00AA79CE">
              <w:rPr>
                <w:noProof/>
                <w:webHidden/>
              </w:rPr>
            </w:r>
            <w:r w:rsidR="00AA79CE">
              <w:rPr>
                <w:noProof/>
                <w:webHidden/>
              </w:rPr>
              <w:fldChar w:fldCharType="separate"/>
            </w:r>
            <w:r w:rsidR="00AA79CE">
              <w:rPr>
                <w:noProof/>
                <w:webHidden/>
              </w:rPr>
              <w:t>4</w:t>
            </w:r>
            <w:r w:rsidR="00AA79CE">
              <w:rPr>
                <w:noProof/>
                <w:webHidden/>
              </w:rPr>
              <w:fldChar w:fldCharType="end"/>
            </w:r>
          </w:hyperlink>
        </w:p>
        <w:p w14:paraId="7C14D6A5" w14:textId="659C5A1B" w:rsidR="00AA79CE" w:rsidRDefault="005C09BF">
          <w:pPr>
            <w:pStyle w:val="TOC1"/>
            <w:rPr>
              <w:rFonts w:asciiTheme="minorHAnsi" w:eastAsiaTheme="minorEastAsia" w:hAnsiTheme="minorHAnsi" w:cstheme="minorBidi"/>
              <w:b w:val="0"/>
              <w:noProof/>
              <w:sz w:val="22"/>
              <w:lang w:eastAsia="en-AU"/>
            </w:rPr>
          </w:pPr>
          <w:hyperlink w:anchor="_Toc132882389" w:history="1">
            <w:r w:rsidR="00AA79CE" w:rsidRPr="00685B7D">
              <w:rPr>
                <w:rStyle w:val="Hyperlink"/>
                <w:noProof/>
              </w:rPr>
              <w:t>I. Introduction to product submission</w:t>
            </w:r>
            <w:r w:rsidR="00AA79CE">
              <w:rPr>
                <w:noProof/>
                <w:webHidden/>
              </w:rPr>
              <w:tab/>
            </w:r>
            <w:r w:rsidR="00AA79CE">
              <w:rPr>
                <w:noProof/>
                <w:webHidden/>
              </w:rPr>
              <w:fldChar w:fldCharType="begin"/>
            </w:r>
            <w:r w:rsidR="00AA79CE">
              <w:rPr>
                <w:noProof/>
                <w:webHidden/>
              </w:rPr>
              <w:instrText xml:space="preserve"> PAGEREF _Toc132882389 \h </w:instrText>
            </w:r>
            <w:r w:rsidR="00AA79CE">
              <w:rPr>
                <w:noProof/>
                <w:webHidden/>
              </w:rPr>
            </w:r>
            <w:r w:rsidR="00AA79CE">
              <w:rPr>
                <w:noProof/>
                <w:webHidden/>
              </w:rPr>
              <w:fldChar w:fldCharType="separate"/>
            </w:r>
            <w:r w:rsidR="00AA79CE">
              <w:rPr>
                <w:noProof/>
                <w:webHidden/>
              </w:rPr>
              <w:t>6</w:t>
            </w:r>
            <w:r w:rsidR="00AA79CE">
              <w:rPr>
                <w:noProof/>
                <w:webHidden/>
              </w:rPr>
              <w:fldChar w:fldCharType="end"/>
            </w:r>
          </w:hyperlink>
        </w:p>
        <w:p w14:paraId="467B67A9" w14:textId="225C07E0" w:rsidR="00AA79CE" w:rsidRDefault="005C09BF">
          <w:pPr>
            <w:pStyle w:val="TOC2"/>
            <w:rPr>
              <w:rFonts w:asciiTheme="minorHAnsi" w:eastAsiaTheme="minorEastAsia" w:hAnsiTheme="minorHAnsi" w:cstheme="minorBidi"/>
              <w:b w:val="0"/>
              <w:noProof/>
              <w:sz w:val="22"/>
              <w:lang w:eastAsia="en-AU"/>
            </w:rPr>
          </w:pPr>
          <w:hyperlink w:anchor="_Toc132882390" w:history="1">
            <w:r w:rsidR="00AA79CE" w:rsidRPr="00685B7D">
              <w:rPr>
                <w:rStyle w:val="Hyperlink"/>
                <w:noProof/>
                <w:lang w:eastAsia="en-AU"/>
              </w:rPr>
              <w:t>Submission details</w:t>
            </w:r>
            <w:r w:rsidR="00AA79CE">
              <w:rPr>
                <w:noProof/>
                <w:webHidden/>
              </w:rPr>
              <w:tab/>
            </w:r>
            <w:r w:rsidR="00AA79CE">
              <w:rPr>
                <w:noProof/>
                <w:webHidden/>
              </w:rPr>
              <w:fldChar w:fldCharType="begin"/>
            </w:r>
            <w:r w:rsidR="00AA79CE">
              <w:rPr>
                <w:noProof/>
                <w:webHidden/>
              </w:rPr>
              <w:instrText xml:space="preserve"> PAGEREF _Toc132882390 \h </w:instrText>
            </w:r>
            <w:r w:rsidR="00AA79CE">
              <w:rPr>
                <w:noProof/>
                <w:webHidden/>
              </w:rPr>
            </w:r>
            <w:r w:rsidR="00AA79CE">
              <w:rPr>
                <w:noProof/>
                <w:webHidden/>
              </w:rPr>
              <w:fldChar w:fldCharType="separate"/>
            </w:r>
            <w:r w:rsidR="00AA79CE">
              <w:rPr>
                <w:noProof/>
                <w:webHidden/>
              </w:rPr>
              <w:t>6</w:t>
            </w:r>
            <w:r w:rsidR="00AA79CE">
              <w:rPr>
                <w:noProof/>
                <w:webHidden/>
              </w:rPr>
              <w:fldChar w:fldCharType="end"/>
            </w:r>
          </w:hyperlink>
        </w:p>
        <w:p w14:paraId="074491A5" w14:textId="33AE9553" w:rsidR="00AA79CE" w:rsidRDefault="005C09BF">
          <w:pPr>
            <w:pStyle w:val="TOC2"/>
            <w:rPr>
              <w:rFonts w:asciiTheme="minorHAnsi" w:eastAsiaTheme="minorEastAsia" w:hAnsiTheme="minorHAnsi" w:cstheme="minorBidi"/>
              <w:b w:val="0"/>
              <w:noProof/>
              <w:sz w:val="22"/>
              <w:lang w:eastAsia="en-AU"/>
            </w:rPr>
          </w:pPr>
          <w:hyperlink w:anchor="_Toc132882391" w:history="1">
            <w:r w:rsidR="00AA79CE" w:rsidRPr="00685B7D">
              <w:rPr>
                <w:rStyle w:val="Hyperlink"/>
                <w:noProof/>
              </w:rPr>
              <w:t>Product background</w:t>
            </w:r>
            <w:r w:rsidR="00AA79CE">
              <w:rPr>
                <w:noProof/>
                <w:webHidden/>
              </w:rPr>
              <w:tab/>
            </w:r>
            <w:r w:rsidR="00AA79CE">
              <w:rPr>
                <w:noProof/>
                <w:webHidden/>
              </w:rPr>
              <w:fldChar w:fldCharType="begin"/>
            </w:r>
            <w:r w:rsidR="00AA79CE">
              <w:rPr>
                <w:noProof/>
                <w:webHidden/>
              </w:rPr>
              <w:instrText xml:space="preserve"> PAGEREF _Toc132882391 \h </w:instrText>
            </w:r>
            <w:r w:rsidR="00AA79CE">
              <w:rPr>
                <w:noProof/>
                <w:webHidden/>
              </w:rPr>
            </w:r>
            <w:r w:rsidR="00AA79CE">
              <w:rPr>
                <w:noProof/>
                <w:webHidden/>
              </w:rPr>
              <w:fldChar w:fldCharType="separate"/>
            </w:r>
            <w:r w:rsidR="00AA79CE">
              <w:rPr>
                <w:noProof/>
                <w:webHidden/>
              </w:rPr>
              <w:t>8</w:t>
            </w:r>
            <w:r w:rsidR="00AA79CE">
              <w:rPr>
                <w:noProof/>
                <w:webHidden/>
              </w:rPr>
              <w:fldChar w:fldCharType="end"/>
            </w:r>
          </w:hyperlink>
        </w:p>
        <w:p w14:paraId="6C9412D9" w14:textId="724E477F" w:rsidR="00AA79CE" w:rsidRDefault="005C09BF">
          <w:pPr>
            <w:pStyle w:val="TOC2"/>
            <w:rPr>
              <w:rFonts w:asciiTheme="minorHAnsi" w:eastAsiaTheme="minorEastAsia" w:hAnsiTheme="minorHAnsi" w:cstheme="minorBidi"/>
              <w:b w:val="0"/>
              <w:noProof/>
              <w:sz w:val="22"/>
              <w:lang w:eastAsia="en-AU"/>
            </w:rPr>
          </w:pPr>
          <w:hyperlink w:anchor="_Toc132882392" w:history="1">
            <w:r w:rsidR="00AA79CE" w:rsidRPr="00685B7D">
              <w:rPr>
                <w:rStyle w:val="Hyperlink"/>
                <w:noProof/>
              </w:rPr>
              <w:t>Regulatory status</w:t>
            </w:r>
            <w:r w:rsidR="00AA79CE">
              <w:rPr>
                <w:noProof/>
                <w:webHidden/>
              </w:rPr>
              <w:tab/>
            </w:r>
            <w:r w:rsidR="00AA79CE">
              <w:rPr>
                <w:noProof/>
                <w:webHidden/>
              </w:rPr>
              <w:fldChar w:fldCharType="begin"/>
            </w:r>
            <w:r w:rsidR="00AA79CE">
              <w:rPr>
                <w:noProof/>
                <w:webHidden/>
              </w:rPr>
              <w:instrText xml:space="preserve"> PAGEREF _Toc132882392 \h </w:instrText>
            </w:r>
            <w:r w:rsidR="00AA79CE">
              <w:rPr>
                <w:noProof/>
                <w:webHidden/>
              </w:rPr>
            </w:r>
            <w:r w:rsidR="00AA79CE">
              <w:rPr>
                <w:noProof/>
                <w:webHidden/>
              </w:rPr>
              <w:fldChar w:fldCharType="separate"/>
            </w:r>
            <w:r w:rsidR="00AA79CE">
              <w:rPr>
                <w:noProof/>
                <w:webHidden/>
              </w:rPr>
              <w:t>11</w:t>
            </w:r>
            <w:r w:rsidR="00AA79CE">
              <w:rPr>
                <w:noProof/>
                <w:webHidden/>
              </w:rPr>
              <w:fldChar w:fldCharType="end"/>
            </w:r>
          </w:hyperlink>
        </w:p>
        <w:p w14:paraId="07A3F99C" w14:textId="7AA180DF" w:rsidR="00AA79CE" w:rsidRDefault="005C09BF">
          <w:pPr>
            <w:pStyle w:val="TOC2"/>
            <w:rPr>
              <w:rFonts w:asciiTheme="minorHAnsi" w:eastAsiaTheme="minorEastAsia" w:hAnsiTheme="minorHAnsi" w:cstheme="minorBidi"/>
              <w:b w:val="0"/>
              <w:noProof/>
              <w:sz w:val="22"/>
              <w:lang w:eastAsia="en-AU"/>
            </w:rPr>
          </w:pPr>
          <w:hyperlink w:anchor="_Toc132882393" w:history="1">
            <w:r w:rsidR="00AA79CE" w:rsidRPr="00685B7D">
              <w:rPr>
                <w:rStyle w:val="Hyperlink"/>
                <w:noProof/>
              </w:rPr>
              <w:t>Product Information</w:t>
            </w:r>
            <w:r w:rsidR="00AA79CE">
              <w:rPr>
                <w:noProof/>
                <w:webHidden/>
              </w:rPr>
              <w:tab/>
            </w:r>
            <w:r w:rsidR="00AA79CE">
              <w:rPr>
                <w:noProof/>
                <w:webHidden/>
              </w:rPr>
              <w:fldChar w:fldCharType="begin"/>
            </w:r>
            <w:r w:rsidR="00AA79CE">
              <w:rPr>
                <w:noProof/>
                <w:webHidden/>
              </w:rPr>
              <w:instrText xml:space="preserve"> PAGEREF _Toc132882393 \h </w:instrText>
            </w:r>
            <w:r w:rsidR="00AA79CE">
              <w:rPr>
                <w:noProof/>
                <w:webHidden/>
              </w:rPr>
            </w:r>
            <w:r w:rsidR="00AA79CE">
              <w:rPr>
                <w:noProof/>
                <w:webHidden/>
              </w:rPr>
              <w:fldChar w:fldCharType="separate"/>
            </w:r>
            <w:r w:rsidR="00AA79CE">
              <w:rPr>
                <w:noProof/>
                <w:webHidden/>
              </w:rPr>
              <w:t>12</w:t>
            </w:r>
            <w:r w:rsidR="00AA79CE">
              <w:rPr>
                <w:noProof/>
                <w:webHidden/>
              </w:rPr>
              <w:fldChar w:fldCharType="end"/>
            </w:r>
          </w:hyperlink>
        </w:p>
        <w:p w14:paraId="38AB8301" w14:textId="07245623" w:rsidR="00AA79CE" w:rsidRDefault="005C09BF">
          <w:pPr>
            <w:pStyle w:val="TOC1"/>
            <w:rPr>
              <w:rFonts w:asciiTheme="minorHAnsi" w:eastAsiaTheme="minorEastAsia" w:hAnsiTheme="minorHAnsi" w:cstheme="minorBidi"/>
              <w:b w:val="0"/>
              <w:noProof/>
              <w:sz w:val="22"/>
              <w:lang w:eastAsia="en-AU"/>
            </w:rPr>
          </w:pPr>
          <w:hyperlink w:anchor="_Toc132882394" w:history="1">
            <w:r w:rsidR="00AA79CE" w:rsidRPr="00685B7D">
              <w:rPr>
                <w:rStyle w:val="Hyperlink"/>
                <w:noProof/>
              </w:rPr>
              <w:t>II. Registration timeline</w:t>
            </w:r>
            <w:r w:rsidR="00AA79CE">
              <w:rPr>
                <w:noProof/>
                <w:webHidden/>
              </w:rPr>
              <w:tab/>
            </w:r>
            <w:r w:rsidR="00AA79CE">
              <w:rPr>
                <w:noProof/>
                <w:webHidden/>
              </w:rPr>
              <w:fldChar w:fldCharType="begin"/>
            </w:r>
            <w:r w:rsidR="00AA79CE">
              <w:rPr>
                <w:noProof/>
                <w:webHidden/>
              </w:rPr>
              <w:instrText xml:space="preserve"> PAGEREF _Toc132882394 \h </w:instrText>
            </w:r>
            <w:r w:rsidR="00AA79CE">
              <w:rPr>
                <w:noProof/>
                <w:webHidden/>
              </w:rPr>
            </w:r>
            <w:r w:rsidR="00AA79CE">
              <w:rPr>
                <w:noProof/>
                <w:webHidden/>
              </w:rPr>
              <w:fldChar w:fldCharType="separate"/>
            </w:r>
            <w:r w:rsidR="00AA79CE">
              <w:rPr>
                <w:noProof/>
                <w:webHidden/>
              </w:rPr>
              <w:t>13</w:t>
            </w:r>
            <w:r w:rsidR="00AA79CE">
              <w:rPr>
                <w:noProof/>
                <w:webHidden/>
              </w:rPr>
              <w:fldChar w:fldCharType="end"/>
            </w:r>
          </w:hyperlink>
        </w:p>
        <w:p w14:paraId="26CD9315" w14:textId="643319A4" w:rsidR="00AA79CE" w:rsidRDefault="005C09BF">
          <w:pPr>
            <w:pStyle w:val="TOC1"/>
            <w:rPr>
              <w:rFonts w:asciiTheme="minorHAnsi" w:eastAsiaTheme="minorEastAsia" w:hAnsiTheme="minorHAnsi" w:cstheme="minorBidi"/>
              <w:b w:val="0"/>
              <w:noProof/>
              <w:sz w:val="22"/>
              <w:lang w:eastAsia="en-AU"/>
            </w:rPr>
          </w:pPr>
          <w:hyperlink w:anchor="_Toc132882395" w:history="1">
            <w:r w:rsidR="00AA79CE" w:rsidRPr="00685B7D">
              <w:rPr>
                <w:rStyle w:val="Hyperlink"/>
                <w:noProof/>
              </w:rPr>
              <w:t>III. Submission overview and risk/benefit assessment</w:t>
            </w:r>
            <w:r w:rsidR="00AA79CE">
              <w:rPr>
                <w:noProof/>
                <w:webHidden/>
              </w:rPr>
              <w:tab/>
            </w:r>
            <w:r w:rsidR="00AA79CE">
              <w:rPr>
                <w:noProof/>
                <w:webHidden/>
              </w:rPr>
              <w:fldChar w:fldCharType="begin"/>
            </w:r>
            <w:r w:rsidR="00AA79CE">
              <w:rPr>
                <w:noProof/>
                <w:webHidden/>
              </w:rPr>
              <w:instrText xml:space="preserve"> PAGEREF _Toc132882395 \h </w:instrText>
            </w:r>
            <w:r w:rsidR="00AA79CE">
              <w:rPr>
                <w:noProof/>
                <w:webHidden/>
              </w:rPr>
            </w:r>
            <w:r w:rsidR="00AA79CE">
              <w:rPr>
                <w:noProof/>
                <w:webHidden/>
              </w:rPr>
              <w:fldChar w:fldCharType="separate"/>
            </w:r>
            <w:r w:rsidR="00AA79CE">
              <w:rPr>
                <w:noProof/>
                <w:webHidden/>
              </w:rPr>
              <w:t>13</w:t>
            </w:r>
            <w:r w:rsidR="00AA79CE">
              <w:rPr>
                <w:noProof/>
                <w:webHidden/>
              </w:rPr>
              <w:fldChar w:fldCharType="end"/>
            </w:r>
          </w:hyperlink>
        </w:p>
        <w:p w14:paraId="37905EAD" w14:textId="6A4EA035" w:rsidR="00AA79CE" w:rsidRDefault="005C09BF">
          <w:pPr>
            <w:pStyle w:val="TOC2"/>
            <w:rPr>
              <w:rFonts w:asciiTheme="minorHAnsi" w:eastAsiaTheme="minorEastAsia" w:hAnsiTheme="minorHAnsi" w:cstheme="minorBidi"/>
              <w:b w:val="0"/>
              <w:noProof/>
              <w:sz w:val="22"/>
              <w:lang w:eastAsia="en-AU"/>
            </w:rPr>
          </w:pPr>
          <w:hyperlink w:anchor="_Toc132882396" w:history="1">
            <w:r w:rsidR="00AA79CE" w:rsidRPr="00685B7D">
              <w:rPr>
                <w:rStyle w:val="Hyperlink"/>
                <w:noProof/>
              </w:rPr>
              <w:t>Quality</w:t>
            </w:r>
            <w:r w:rsidR="00AA79CE">
              <w:rPr>
                <w:noProof/>
                <w:webHidden/>
              </w:rPr>
              <w:tab/>
            </w:r>
            <w:r w:rsidR="00AA79CE">
              <w:rPr>
                <w:noProof/>
                <w:webHidden/>
              </w:rPr>
              <w:fldChar w:fldCharType="begin"/>
            </w:r>
            <w:r w:rsidR="00AA79CE">
              <w:rPr>
                <w:noProof/>
                <w:webHidden/>
              </w:rPr>
              <w:instrText xml:space="preserve"> PAGEREF _Toc132882396 \h </w:instrText>
            </w:r>
            <w:r w:rsidR="00AA79CE">
              <w:rPr>
                <w:noProof/>
                <w:webHidden/>
              </w:rPr>
            </w:r>
            <w:r w:rsidR="00AA79CE">
              <w:rPr>
                <w:noProof/>
                <w:webHidden/>
              </w:rPr>
              <w:fldChar w:fldCharType="separate"/>
            </w:r>
            <w:r w:rsidR="00AA79CE">
              <w:rPr>
                <w:noProof/>
                <w:webHidden/>
              </w:rPr>
              <w:t>13</w:t>
            </w:r>
            <w:r w:rsidR="00AA79CE">
              <w:rPr>
                <w:noProof/>
                <w:webHidden/>
              </w:rPr>
              <w:fldChar w:fldCharType="end"/>
            </w:r>
          </w:hyperlink>
        </w:p>
        <w:p w14:paraId="388CE8B7" w14:textId="7D9D6C69" w:rsidR="00AA79CE" w:rsidRDefault="005C09BF">
          <w:pPr>
            <w:pStyle w:val="TOC2"/>
            <w:rPr>
              <w:rFonts w:asciiTheme="minorHAnsi" w:eastAsiaTheme="minorEastAsia" w:hAnsiTheme="minorHAnsi" w:cstheme="minorBidi"/>
              <w:b w:val="0"/>
              <w:noProof/>
              <w:sz w:val="22"/>
              <w:lang w:eastAsia="en-AU"/>
            </w:rPr>
          </w:pPr>
          <w:hyperlink w:anchor="_Toc132882397" w:history="1">
            <w:r w:rsidR="00AA79CE" w:rsidRPr="00685B7D">
              <w:rPr>
                <w:rStyle w:val="Hyperlink"/>
                <w:noProof/>
              </w:rPr>
              <w:t>Nonclinical</w:t>
            </w:r>
            <w:r w:rsidR="00AA79CE">
              <w:rPr>
                <w:noProof/>
                <w:webHidden/>
              </w:rPr>
              <w:tab/>
            </w:r>
            <w:r w:rsidR="00AA79CE">
              <w:rPr>
                <w:noProof/>
                <w:webHidden/>
              </w:rPr>
              <w:fldChar w:fldCharType="begin"/>
            </w:r>
            <w:r w:rsidR="00AA79CE">
              <w:rPr>
                <w:noProof/>
                <w:webHidden/>
              </w:rPr>
              <w:instrText xml:space="preserve"> PAGEREF _Toc132882397 \h </w:instrText>
            </w:r>
            <w:r w:rsidR="00AA79CE">
              <w:rPr>
                <w:noProof/>
                <w:webHidden/>
              </w:rPr>
            </w:r>
            <w:r w:rsidR="00AA79CE">
              <w:rPr>
                <w:noProof/>
                <w:webHidden/>
              </w:rPr>
              <w:fldChar w:fldCharType="separate"/>
            </w:r>
            <w:r w:rsidR="00AA79CE">
              <w:rPr>
                <w:noProof/>
                <w:webHidden/>
              </w:rPr>
              <w:t>15</w:t>
            </w:r>
            <w:r w:rsidR="00AA79CE">
              <w:rPr>
                <w:noProof/>
                <w:webHidden/>
              </w:rPr>
              <w:fldChar w:fldCharType="end"/>
            </w:r>
          </w:hyperlink>
        </w:p>
        <w:p w14:paraId="10C89478" w14:textId="1EEB06AC" w:rsidR="00AA79CE" w:rsidRDefault="005C09BF">
          <w:pPr>
            <w:pStyle w:val="TOC2"/>
            <w:rPr>
              <w:rFonts w:asciiTheme="minorHAnsi" w:eastAsiaTheme="minorEastAsia" w:hAnsiTheme="minorHAnsi" w:cstheme="minorBidi"/>
              <w:b w:val="0"/>
              <w:noProof/>
              <w:sz w:val="22"/>
              <w:lang w:eastAsia="en-AU"/>
            </w:rPr>
          </w:pPr>
          <w:hyperlink w:anchor="_Toc132882398" w:history="1">
            <w:r w:rsidR="00AA79CE" w:rsidRPr="00685B7D">
              <w:rPr>
                <w:rStyle w:val="Hyperlink"/>
                <w:noProof/>
              </w:rPr>
              <w:t>Clinical</w:t>
            </w:r>
            <w:r w:rsidR="00AA79CE">
              <w:rPr>
                <w:noProof/>
                <w:webHidden/>
              </w:rPr>
              <w:tab/>
            </w:r>
            <w:r w:rsidR="00AA79CE">
              <w:rPr>
                <w:noProof/>
                <w:webHidden/>
              </w:rPr>
              <w:fldChar w:fldCharType="begin"/>
            </w:r>
            <w:r w:rsidR="00AA79CE">
              <w:rPr>
                <w:noProof/>
                <w:webHidden/>
              </w:rPr>
              <w:instrText xml:space="preserve"> PAGEREF _Toc132882398 \h </w:instrText>
            </w:r>
            <w:r w:rsidR="00AA79CE">
              <w:rPr>
                <w:noProof/>
                <w:webHidden/>
              </w:rPr>
            </w:r>
            <w:r w:rsidR="00AA79CE">
              <w:rPr>
                <w:noProof/>
                <w:webHidden/>
              </w:rPr>
              <w:fldChar w:fldCharType="separate"/>
            </w:r>
            <w:r w:rsidR="00AA79CE">
              <w:rPr>
                <w:noProof/>
                <w:webHidden/>
              </w:rPr>
              <w:t>16</w:t>
            </w:r>
            <w:r w:rsidR="00AA79CE">
              <w:rPr>
                <w:noProof/>
                <w:webHidden/>
              </w:rPr>
              <w:fldChar w:fldCharType="end"/>
            </w:r>
          </w:hyperlink>
        </w:p>
        <w:p w14:paraId="79F466DA" w14:textId="7C66A6DD" w:rsidR="00AA79CE" w:rsidRDefault="005C09BF">
          <w:pPr>
            <w:pStyle w:val="TOC2"/>
            <w:rPr>
              <w:rFonts w:asciiTheme="minorHAnsi" w:eastAsiaTheme="minorEastAsia" w:hAnsiTheme="minorHAnsi" w:cstheme="minorBidi"/>
              <w:b w:val="0"/>
              <w:noProof/>
              <w:sz w:val="22"/>
              <w:lang w:eastAsia="en-AU"/>
            </w:rPr>
          </w:pPr>
          <w:hyperlink w:anchor="_Toc132882399" w:history="1">
            <w:r w:rsidR="00AA79CE" w:rsidRPr="00685B7D">
              <w:rPr>
                <w:rStyle w:val="Hyperlink"/>
                <w:noProof/>
                <w:lang w:eastAsia="en-AU"/>
              </w:rPr>
              <w:t>Risk management plan</w:t>
            </w:r>
            <w:r w:rsidR="00AA79CE">
              <w:rPr>
                <w:noProof/>
                <w:webHidden/>
              </w:rPr>
              <w:tab/>
            </w:r>
            <w:r w:rsidR="00AA79CE">
              <w:rPr>
                <w:noProof/>
                <w:webHidden/>
              </w:rPr>
              <w:fldChar w:fldCharType="begin"/>
            </w:r>
            <w:r w:rsidR="00AA79CE">
              <w:rPr>
                <w:noProof/>
                <w:webHidden/>
              </w:rPr>
              <w:instrText xml:space="preserve"> PAGEREF _Toc132882399 \h </w:instrText>
            </w:r>
            <w:r w:rsidR="00AA79CE">
              <w:rPr>
                <w:noProof/>
                <w:webHidden/>
              </w:rPr>
            </w:r>
            <w:r w:rsidR="00AA79CE">
              <w:rPr>
                <w:noProof/>
                <w:webHidden/>
              </w:rPr>
              <w:fldChar w:fldCharType="separate"/>
            </w:r>
            <w:r w:rsidR="00AA79CE">
              <w:rPr>
                <w:noProof/>
                <w:webHidden/>
              </w:rPr>
              <w:t>59</w:t>
            </w:r>
            <w:r w:rsidR="00AA79CE">
              <w:rPr>
                <w:noProof/>
                <w:webHidden/>
              </w:rPr>
              <w:fldChar w:fldCharType="end"/>
            </w:r>
          </w:hyperlink>
        </w:p>
        <w:p w14:paraId="301AC04B" w14:textId="73A8F1DA" w:rsidR="00AA79CE" w:rsidRDefault="005C09BF">
          <w:pPr>
            <w:pStyle w:val="TOC2"/>
            <w:rPr>
              <w:rFonts w:asciiTheme="minorHAnsi" w:eastAsiaTheme="minorEastAsia" w:hAnsiTheme="minorHAnsi" w:cstheme="minorBidi"/>
              <w:b w:val="0"/>
              <w:noProof/>
              <w:sz w:val="22"/>
              <w:lang w:eastAsia="en-AU"/>
            </w:rPr>
          </w:pPr>
          <w:hyperlink w:anchor="_Toc132882400" w:history="1">
            <w:r w:rsidR="00AA79CE" w:rsidRPr="00685B7D">
              <w:rPr>
                <w:rStyle w:val="Hyperlink"/>
                <w:noProof/>
              </w:rPr>
              <w:t>Risk-benefit analysis</w:t>
            </w:r>
            <w:r w:rsidR="00AA79CE">
              <w:rPr>
                <w:noProof/>
                <w:webHidden/>
              </w:rPr>
              <w:tab/>
            </w:r>
            <w:r w:rsidR="00AA79CE">
              <w:rPr>
                <w:noProof/>
                <w:webHidden/>
              </w:rPr>
              <w:fldChar w:fldCharType="begin"/>
            </w:r>
            <w:r w:rsidR="00AA79CE">
              <w:rPr>
                <w:noProof/>
                <w:webHidden/>
              </w:rPr>
              <w:instrText xml:space="preserve"> PAGEREF _Toc132882400 \h </w:instrText>
            </w:r>
            <w:r w:rsidR="00AA79CE">
              <w:rPr>
                <w:noProof/>
                <w:webHidden/>
              </w:rPr>
            </w:r>
            <w:r w:rsidR="00AA79CE">
              <w:rPr>
                <w:noProof/>
                <w:webHidden/>
              </w:rPr>
              <w:fldChar w:fldCharType="separate"/>
            </w:r>
            <w:r w:rsidR="00AA79CE">
              <w:rPr>
                <w:noProof/>
                <w:webHidden/>
              </w:rPr>
              <w:t>62</w:t>
            </w:r>
            <w:r w:rsidR="00AA79CE">
              <w:rPr>
                <w:noProof/>
                <w:webHidden/>
              </w:rPr>
              <w:fldChar w:fldCharType="end"/>
            </w:r>
          </w:hyperlink>
        </w:p>
        <w:p w14:paraId="0D4FC3E8" w14:textId="36EE8352" w:rsidR="00AA79CE" w:rsidRDefault="005C09BF">
          <w:pPr>
            <w:pStyle w:val="TOC2"/>
            <w:rPr>
              <w:rFonts w:asciiTheme="minorHAnsi" w:eastAsiaTheme="minorEastAsia" w:hAnsiTheme="minorHAnsi" w:cstheme="minorBidi"/>
              <w:b w:val="0"/>
              <w:noProof/>
              <w:sz w:val="22"/>
              <w:lang w:eastAsia="en-AU"/>
            </w:rPr>
          </w:pPr>
          <w:hyperlink w:anchor="_Toc132882401" w:history="1">
            <w:r w:rsidR="00AA79CE" w:rsidRPr="00685B7D">
              <w:rPr>
                <w:rStyle w:val="Hyperlink"/>
                <w:noProof/>
              </w:rPr>
              <w:t>Outcome</w:t>
            </w:r>
            <w:r w:rsidR="00AA79CE">
              <w:rPr>
                <w:noProof/>
                <w:webHidden/>
              </w:rPr>
              <w:tab/>
            </w:r>
            <w:r w:rsidR="00AA79CE">
              <w:rPr>
                <w:noProof/>
                <w:webHidden/>
              </w:rPr>
              <w:fldChar w:fldCharType="begin"/>
            </w:r>
            <w:r w:rsidR="00AA79CE">
              <w:rPr>
                <w:noProof/>
                <w:webHidden/>
              </w:rPr>
              <w:instrText xml:space="preserve"> PAGEREF _Toc132882401 \h </w:instrText>
            </w:r>
            <w:r w:rsidR="00AA79CE">
              <w:rPr>
                <w:noProof/>
                <w:webHidden/>
              </w:rPr>
            </w:r>
            <w:r w:rsidR="00AA79CE">
              <w:rPr>
                <w:noProof/>
                <w:webHidden/>
              </w:rPr>
              <w:fldChar w:fldCharType="separate"/>
            </w:r>
            <w:r w:rsidR="00AA79CE">
              <w:rPr>
                <w:noProof/>
                <w:webHidden/>
              </w:rPr>
              <w:t>67</w:t>
            </w:r>
            <w:r w:rsidR="00AA79CE">
              <w:rPr>
                <w:noProof/>
                <w:webHidden/>
              </w:rPr>
              <w:fldChar w:fldCharType="end"/>
            </w:r>
          </w:hyperlink>
        </w:p>
        <w:p w14:paraId="481B59C5" w14:textId="2E6DFCA7" w:rsidR="00AA79CE" w:rsidRDefault="005C09BF">
          <w:pPr>
            <w:pStyle w:val="TOC1"/>
            <w:rPr>
              <w:rFonts w:asciiTheme="minorHAnsi" w:eastAsiaTheme="minorEastAsia" w:hAnsiTheme="minorHAnsi" w:cstheme="minorBidi"/>
              <w:b w:val="0"/>
              <w:noProof/>
              <w:sz w:val="22"/>
              <w:lang w:eastAsia="en-AU"/>
            </w:rPr>
          </w:pPr>
          <w:hyperlink w:anchor="_Toc132882402" w:history="1">
            <w:r w:rsidR="00AA79CE" w:rsidRPr="00685B7D">
              <w:rPr>
                <w:rStyle w:val="Hyperlink"/>
                <w:noProof/>
              </w:rPr>
              <w:t>Attachment 1. Product Information</w:t>
            </w:r>
            <w:r w:rsidR="00AA79CE">
              <w:rPr>
                <w:noProof/>
                <w:webHidden/>
              </w:rPr>
              <w:tab/>
            </w:r>
            <w:r w:rsidR="00AA79CE">
              <w:rPr>
                <w:noProof/>
                <w:webHidden/>
              </w:rPr>
              <w:fldChar w:fldCharType="begin"/>
            </w:r>
            <w:r w:rsidR="00AA79CE">
              <w:rPr>
                <w:noProof/>
                <w:webHidden/>
              </w:rPr>
              <w:instrText xml:space="preserve"> PAGEREF _Toc132882402 \h </w:instrText>
            </w:r>
            <w:r w:rsidR="00AA79CE">
              <w:rPr>
                <w:noProof/>
                <w:webHidden/>
              </w:rPr>
            </w:r>
            <w:r w:rsidR="00AA79CE">
              <w:rPr>
                <w:noProof/>
                <w:webHidden/>
              </w:rPr>
              <w:fldChar w:fldCharType="separate"/>
            </w:r>
            <w:r w:rsidR="00AA79CE">
              <w:rPr>
                <w:noProof/>
                <w:webHidden/>
              </w:rPr>
              <w:t>68</w:t>
            </w:r>
            <w:r w:rsidR="00AA79CE">
              <w:rPr>
                <w:noProof/>
                <w:webHidden/>
              </w:rPr>
              <w:fldChar w:fldCharType="end"/>
            </w:r>
          </w:hyperlink>
        </w:p>
        <w:p w14:paraId="4A681BE7" w14:textId="2B81678A" w:rsidR="003A7F6C" w:rsidRPr="00B811C6" w:rsidRDefault="00C525A2" w:rsidP="00B811C6">
          <w:pPr>
            <w:pStyle w:val="TOC2"/>
          </w:pPr>
          <w:r>
            <w:fldChar w:fldCharType="end"/>
          </w:r>
        </w:p>
      </w:sdtContent>
    </w:sdt>
    <w:bookmarkStart w:id="2" w:name="_Toc314842482" w:displacedByCustomXml="prev"/>
    <w:p w14:paraId="17034CFB" w14:textId="77777777" w:rsidR="00FD119B" w:rsidRDefault="00FD119B">
      <w:pPr>
        <w:spacing w:before="0" w:after="200" w:line="0" w:lineRule="auto"/>
      </w:pPr>
      <w:r>
        <w:br w:type="page"/>
      </w:r>
    </w:p>
    <w:p w14:paraId="74ACE769" w14:textId="77777777" w:rsidR="00FD119B" w:rsidRDefault="00324E45" w:rsidP="004F0C4A">
      <w:pPr>
        <w:pStyle w:val="Heading2"/>
      </w:pPr>
      <w:bookmarkStart w:id="3" w:name="_Toc351716269"/>
      <w:bookmarkStart w:id="4" w:name="_Toc351718881"/>
      <w:bookmarkStart w:id="5" w:name="_Toc355338616"/>
      <w:bookmarkStart w:id="6" w:name="_Toc356306144"/>
      <w:bookmarkStart w:id="7" w:name="_Toc132882388"/>
      <w:r>
        <w:lastRenderedPageBreak/>
        <w:t>List of</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799"/>
        <w:gridCol w:w="6695"/>
      </w:tblGrid>
      <w:tr w:rsidR="00FD119B" w:rsidRPr="00FD119B" w14:paraId="665E9FD7" w14:textId="77777777" w:rsidTr="00183140">
        <w:trPr>
          <w:cnfStyle w:val="100000000000" w:firstRow="1" w:lastRow="0" w:firstColumn="0" w:lastColumn="0" w:oddVBand="0" w:evenVBand="0" w:oddHBand="0" w:evenHBand="0" w:firstRowFirstColumn="0" w:firstRowLastColumn="0" w:lastRowFirstColumn="0" w:lastRowLastColumn="0"/>
        </w:trPr>
        <w:tc>
          <w:tcPr>
            <w:tcW w:w="1799" w:type="dxa"/>
            <w:tcBorders>
              <w:top w:val="single" w:sz="4" w:space="0" w:color="auto"/>
              <w:left w:val="single" w:sz="4" w:space="0" w:color="auto"/>
              <w:bottom w:val="single" w:sz="4" w:space="0" w:color="auto"/>
              <w:right w:val="single" w:sz="4" w:space="0" w:color="auto"/>
            </w:tcBorders>
          </w:tcPr>
          <w:p w14:paraId="54292E38" w14:textId="77777777" w:rsidR="00FD119B" w:rsidRPr="00FD119B" w:rsidRDefault="00FD119B" w:rsidP="00CF5DAD">
            <w:pPr>
              <w:keepNext w:val="0"/>
              <w:ind w:left="0" w:right="0"/>
              <w:rPr>
                <w:szCs w:val="22"/>
                <w:lang w:eastAsia="en-US"/>
              </w:rPr>
            </w:pPr>
            <w:r w:rsidRPr="00FD119B">
              <w:rPr>
                <w:szCs w:val="22"/>
                <w:lang w:eastAsia="en-US"/>
              </w:rPr>
              <w:t>Abbreviation</w:t>
            </w:r>
          </w:p>
        </w:tc>
        <w:tc>
          <w:tcPr>
            <w:tcW w:w="6695" w:type="dxa"/>
            <w:tcBorders>
              <w:top w:val="single" w:sz="4" w:space="0" w:color="auto"/>
              <w:left w:val="single" w:sz="4" w:space="0" w:color="auto"/>
              <w:bottom w:val="single" w:sz="4" w:space="0" w:color="auto"/>
              <w:right w:val="single" w:sz="4" w:space="0" w:color="auto"/>
            </w:tcBorders>
          </w:tcPr>
          <w:p w14:paraId="4ADEF4B5" w14:textId="77777777" w:rsidR="00FD119B" w:rsidRPr="00FD119B" w:rsidRDefault="00FD119B" w:rsidP="00CF5DAD">
            <w:pPr>
              <w:keepNext w:val="0"/>
              <w:ind w:left="0" w:right="0"/>
              <w:rPr>
                <w:szCs w:val="22"/>
                <w:lang w:eastAsia="en-US"/>
              </w:rPr>
            </w:pPr>
            <w:r w:rsidRPr="00FD119B">
              <w:rPr>
                <w:szCs w:val="22"/>
                <w:lang w:eastAsia="en-US"/>
              </w:rPr>
              <w:t>Meaning</w:t>
            </w:r>
          </w:p>
        </w:tc>
      </w:tr>
      <w:tr w:rsidR="00460036" w:rsidRPr="00FD119B" w14:paraId="285E75A7" w14:textId="77777777" w:rsidTr="00183140">
        <w:tc>
          <w:tcPr>
            <w:tcW w:w="1799" w:type="dxa"/>
            <w:tcBorders>
              <w:top w:val="single" w:sz="4" w:space="0" w:color="auto"/>
            </w:tcBorders>
          </w:tcPr>
          <w:p w14:paraId="5726DE02" w14:textId="623ADC08" w:rsidR="00460036" w:rsidRPr="00FD119B" w:rsidRDefault="00460036" w:rsidP="00BB6562">
            <w:pPr>
              <w:ind w:left="0" w:right="0" w:firstLine="174"/>
            </w:pPr>
            <w:r>
              <w:t>ACM</w:t>
            </w:r>
          </w:p>
        </w:tc>
        <w:tc>
          <w:tcPr>
            <w:tcW w:w="6695" w:type="dxa"/>
            <w:tcBorders>
              <w:top w:val="single" w:sz="4" w:space="0" w:color="auto"/>
            </w:tcBorders>
          </w:tcPr>
          <w:p w14:paraId="091FE9F1" w14:textId="77777777" w:rsidR="00460036" w:rsidRPr="00FD119B" w:rsidRDefault="00460036" w:rsidP="00BB6562">
            <w:pPr>
              <w:ind w:left="0" w:right="0" w:firstLine="217"/>
            </w:pPr>
            <w:r w:rsidRPr="00460036">
              <w:t>Advisory Committee on Medicines</w:t>
            </w:r>
          </w:p>
        </w:tc>
      </w:tr>
      <w:tr w:rsidR="00E74366" w:rsidRPr="00FD119B" w14:paraId="6C2C1022" w14:textId="77777777" w:rsidTr="00183140">
        <w:tc>
          <w:tcPr>
            <w:tcW w:w="1799" w:type="dxa"/>
          </w:tcPr>
          <w:p w14:paraId="64BA6DF6" w14:textId="69CEF192" w:rsidR="00E74366" w:rsidRDefault="00E74366" w:rsidP="00E74366">
            <w:r>
              <w:t>AE</w:t>
            </w:r>
          </w:p>
        </w:tc>
        <w:tc>
          <w:tcPr>
            <w:tcW w:w="6695" w:type="dxa"/>
          </w:tcPr>
          <w:p w14:paraId="5F19645C" w14:textId="5CF7FD64" w:rsidR="00E74366" w:rsidRDefault="00FC38AC" w:rsidP="00E74366">
            <w:r>
              <w:t>Adverse e</w:t>
            </w:r>
            <w:r w:rsidR="00E74366">
              <w:t>vent</w:t>
            </w:r>
          </w:p>
        </w:tc>
      </w:tr>
      <w:tr w:rsidR="00BB6562" w:rsidRPr="00FD119B" w14:paraId="1AC85021" w14:textId="77777777" w:rsidTr="00183140">
        <w:tc>
          <w:tcPr>
            <w:tcW w:w="1799" w:type="dxa"/>
          </w:tcPr>
          <w:p w14:paraId="29D19587" w14:textId="6F226B37" w:rsidR="00BB6562" w:rsidRDefault="00BB6562" w:rsidP="00BB6562">
            <w:r>
              <w:t>ARTG</w:t>
            </w:r>
          </w:p>
        </w:tc>
        <w:tc>
          <w:tcPr>
            <w:tcW w:w="6695" w:type="dxa"/>
          </w:tcPr>
          <w:p w14:paraId="68623641" w14:textId="16780EE0" w:rsidR="00BB6562" w:rsidRDefault="00BB6562" w:rsidP="00BB6562">
            <w:r w:rsidRPr="00460036">
              <w:t>Australian Register of Therapeutic Goods</w:t>
            </w:r>
          </w:p>
        </w:tc>
      </w:tr>
      <w:tr w:rsidR="00FC38AC" w:rsidRPr="00FD119B" w14:paraId="38CBB79D" w14:textId="77777777" w:rsidTr="00183140">
        <w:tc>
          <w:tcPr>
            <w:tcW w:w="1799" w:type="dxa"/>
          </w:tcPr>
          <w:p w14:paraId="295C80B8" w14:textId="246C17E9" w:rsidR="00FC38AC" w:rsidRDefault="00FC38AC" w:rsidP="00BB6562">
            <w:r>
              <w:t>ASA</w:t>
            </w:r>
          </w:p>
        </w:tc>
        <w:tc>
          <w:tcPr>
            <w:tcW w:w="6695" w:type="dxa"/>
          </w:tcPr>
          <w:p w14:paraId="5CC2D0A8" w14:textId="49935F9B" w:rsidR="00FC38AC" w:rsidRPr="00460036" w:rsidRDefault="00FC38AC" w:rsidP="00BB6562">
            <w:r>
              <w:t>Australia-specific annex</w:t>
            </w:r>
          </w:p>
        </w:tc>
      </w:tr>
      <w:tr w:rsidR="00BB6562" w:rsidRPr="00FD119B" w14:paraId="7634FC6B" w14:textId="77777777" w:rsidTr="00183140">
        <w:tc>
          <w:tcPr>
            <w:tcW w:w="1799" w:type="dxa"/>
          </w:tcPr>
          <w:p w14:paraId="515A5549" w14:textId="0269C5A7" w:rsidR="00BB6562" w:rsidRDefault="00BB6562" w:rsidP="00BB6562">
            <w:r>
              <w:t>AUC</w:t>
            </w:r>
          </w:p>
        </w:tc>
        <w:tc>
          <w:tcPr>
            <w:tcW w:w="6695" w:type="dxa"/>
          </w:tcPr>
          <w:p w14:paraId="1186AA03" w14:textId="241061E0" w:rsidR="00BB6562" w:rsidRDefault="00BB6562" w:rsidP="00BB6562">
            <w:r>
              <w:t xml:space="preserve">Area under the </w:t>
            </w:r>
            <w:r w:rsidR="0017219B">
              <w:t xml:space="preserve">concentration-time </w:t>
            </w:r>
            <w:r>
              <w:t xml:space="preserve">curve </w:t>
            </w:r>
          </w:p>
        </w:tc>
      </w:tr>
      <w:tr w:rsidR="00BB6562" w:rsidRPr="00FD119B" w14:paraId="7FD751A6" w14:textId="77777777" w:rsidTr="00183140">
        <w:tc>
          <w:tcPr>
            <w:tcW w:w="1799" w:type="dxa"/>
          </w:tcPr>
          <w:p w14:paraId="606BF409" w14:textId="073B2E0C" w:rsidR="00BB6562" w:rsidRDefault="00BB6562" w:rsidP="00BB6562">
            <w:r>
              <w:t xml:space="preserve">CI </w:t>
            </w:r>
          </w:p>
        </w:tc>
        <w:tc>
          <w:tcPr>
            <w:tcW w:w="6695" w:type="dxa"/>
          </w:tcPr>
          <w:p w14:paraId="287DDEC1" w14:textId="7FF1F79A" w:rsidR="00BB6562" w:rsidRDefault="00BB6562" w:rsidP="00BB6562">
            <w:r>
              <w:t>Confidence interval</w:t>
            </w:r>
          </w:p>
        </w:tc>
      </w:tr>
      <w:tr w:rsidR="0017219B" w:rsidRPr="00FD119B" w14:paraId="56FCE9ED" w14:textId="77777777" w:rsidTr="00183140">
        <w:tc>
          <w:tcPr>
            <w:tcW w:w="1799" w:type="dxa"/>
          </w:tcPr>
          <w:p w14:paraId="13F4CDA3" w14:textId="00AECAE5" w:rsidR="0017219B" w:rsidRDefault="0017219B" w:rsidP="00BB6562">
            <w:r>
              <w:t>C</w:t>
            </w:r>
            <w:r w:rsidRPr="0017219B">
              <w:rPr>
                <w:vertAlign w:val="subscript"/>
              </w:rPr>
              <w:t>max</w:t>
            </w:r>
          </w:p>
        </w:tc>
        <w:tc>
          <w:tcPr>
            <w:tcW w:w="6695" w:type="dxa"/>
          </w:tcPr>
          <w:p w14:paraId="3181ADFF" w14:textId="2DA9719A" w:rsidR="0017219B" w:rsidRDefault="0017219B" w:rsidP="00BB6562">
            <w:r>
              <w:t>Maximum concentration</w:t>
            </w:r>
          </w:p>
        </w:tc>
      </w:tr>
      <w:tr w:rsidR="00FC38AC" w:rsidRPr="00FD119B" w14:paraId="24D688AB" w14:textId="77777777" w:rsidTr="00183140">
        <w:tc>
          <w:tcPr>
            <w:tcW w:w="1799" w:type="dxa"/>
          </w:tcPr>
          <w:p w14:paraId="7FE86399" w14:textId="575A8E8C" w:rsidR="00FC38AC" w:rsidRDefault="00FC38AC" w:rsidP="00BB6562">
            <w:r>
              <w:t>CMI</w:t>
            </w:r>
          </w:p>
        </w:tc>
        <w:tc>
          <w:tcPr>
            <w:tcW w:w="6695" w:type="dxa"/>
          </w:tcPr>
          <w:p w14:paraId="1141D008" w14:textId="615973DE" w:rsidR="00FC38AC" w:rsidRDefault="00FC38AC" w:rsidP="00BB6562">
            <w:r>
              <w:t>Consumers Medicines Information</w:t>
            </w:r>
          </w:p>
        </w:tc>
      </w:tr>
      <w:tr w:rsidR="00BB6562" w:rsidRPr="00FD119B" w14:paraId="0173223D" w14:textId="77777777" w:rsidTr="00183140">
        <w:tc>
          <w:tcPr>
            <w:tcW w:w="1799" w:type="dxa"/>
          </w:tcPr>
          <w:p w14:paraId="0635E012" w14:textId="5060A47D" w:rsidR="00BB6562" w:rsidRDefault="00BB6562" w:rsidP="00BB6562">
            <w:r>
              <w:t>CSE</w:t>
            </w:r>
          </w:p>
        </w:tc>
        <w:tc>
          <w:tcPr>
            <w:tcW w:w="6695" w:type="dxa"/>
          </w:tcPr>
          <w:p w14:paraId="5BE1D347" w14:textId="1567D1E9" w:rsidR="00BB6562" w:rsidRDefault="00FC38AC" w:rsidP="00BB6562">
            <w:r>
              <w:t>Convulsive status e</w:t>
            </w:r>
            <w:r w:rsidR="00BB6562">
              <w:t>pilepticus</w:t>
            </w:r>
          </w:p>
        </w:tc>
      </w:tr>
      <w:tr w:rsidR="0017219B" w:rsidRPr="00FD119B" w14:paraId="5B56A866" w14:textId="77777777" w:rsidTr="00183140">
        <w:tc>
          <w:tcPr>
            <w:tcW w:w="1799" w:type="dxa"/>
          </w:tcPr>
          <w:p w14:paraId="5E4F5915" w14:textId="1D34D53E" w:rsidR="0017219B" w:rsidRDefault="0017219B" w:rsidP="00BB6562">
            <w:r>
              <w:t>CYP</w:t>
            </w:r>
          </w:p>
        </w:tc>
        <w:tc>
          <w:tcPr>
            <w:tcW w:w="6695" w:type="dxa"/>
          </w:tcPr>
          <w:p w14:paraId="25196C26" w14:textId="17495EA1" w:rsidR="0017219B" w:rsidRDefault="0017219B" w:rsidP="00BB6562">
            <w:r>
              <w:t>Cytochrome P450</w:t>
            </w:r>
          </w:p>
        </w:tc>
      </w:tr>
      <w:tr w:rsidR="00FC38AC" w:rsidRPr="00FD119B" w14:paraId="004B46B0" w14:textId="77777777" w:rsidTr="00183140">
        <w:tc>
          <w:tcPr>
            <w:tcW w:w="1799" w:type="dxa"/>
          </w:tcPr>
          <w:p w14:paraId="7499992F" w14:textId="04BC8835" w:rsidR="00FC38AC" w:rsidRDefault="00FC38AC" w:rsidP="00BB6562">
            <w:r>
              <w:t>DLP</w:t>
            </w:r>
          </w:p>
        </w:tc>
        <w:tc>
          <w:tcPr>
            <w:tcW w:w="6695" w:type="dxa"/>
          </w:tcPr>
          <w:p w14:paraId="439683CE" w14:textId="23518807" w:rsidR="00FC38AC" w:rsidRDefault="00FC38AC" w:rsidP="00BB6562">
            <w:r>
              <w:t>Data lock point</w:t>
            </w:r>
          </w:p>
        </w:tc>
      </w:tr>
      <w:tr w:rsidR="00E95CA7" w:rsidRPr="00FD119B" w14:paraId="0B148445" w14:textId="77777777" w:rsidTr="00183140">
        <w:tc>
          <w:tcPr>
            <w:tcW w:w="1799" w:type="dxa"/>
          </w:tcPr>
          <w:p w14:paraId="0EBA12EF" w14:textId="48875E4E" w:rsidR="00E95CA7" w:rsidRDefault="00E95CA7" w:rsidP="00BB6562">
            <w:r>
              <w:t>EEG</w:t>
            </w:r>
          </w:p>
        </w:tc>
        <w:tc>
          <w:tcPr>
            <w:tcW w:w="6695" w:type="dxa"/>
          </w:tcPr>
          <w:p w14:paraId="13750383" w14:textId="17F53554" w:rsidR="00E95CA7" w:rsidRDefault="00E95CA7" w:rsidP="00BB6562">
            <w:r>
              <w:t>E</w:t>
            </w:r>
            <w:r w:rsidRPr="00E95CA7">
              <w:t>lectroencephalography</w:t>
            </w:r>
          </w:p>
        </w:tc>
      </w:tr>
      <w:tr w:rsidR="00C208A3" w:rsidRPr="00FD119B" w14:paraId="21BF0481" w14:textId="77777777" w:rsidTr="00183140">
        <w:tc>
          <w:tcPr>
            <w:tcW w:w="1799" w:type="dxa"/>
          </w:tcPr>
          <w:p w14:paraId="27E7D2FB" w14:textId="1A0727E7" w:rsidR="00C208A3" w:rsidRDefault="00C208A3" w:rsidP="00BB6562">
            <w:r>
              <w:t>EMA</w:t>
            </w:r>
          </w:p>
        </w:tc>
        <w:tc>
          <w:tcPr>
            <w:tcW w:w="6695" w:type="dxa"/>
          </w:tcPr>
          <w:p w14:paraId="0395B7F6" w14:textId="0A464B77" w:rsidR="00C208A3" w:rsidRDefault="00C208A3" w:rsidP="00BB6562">
            <w:r>
              <w:t>European Medicines Agency (European Union)</w:t>
            </w:r>
          </w:p>
        </w:tc>
      </w:tr>
      <w:tr w:rsidR="009109F0" w:rsidRPr="00FD119B" w14:paraId="6EA03A4A" w14:textId="77777777" w:rsidTr="00183140">
        <w:tc>
          <w:tcPr>
            <w:tcW w:w="1799" w:type="dxa"/>
          </w:tcPr>
          <w:p w14:paraId="16B9F0F2" w14:textId="75CD1A5C" w:rsidR="009109F0" w:rsidRDefault="009109F0" w:rsidP="00BB6562">
            <w:r>
              <w:t>EU</w:t>
            </w:r>
          </w:p>
        </w:tc>
        <w:tc>
          <w:tcPr>
            <w:tcW w:w="6695" w:type="dxa"/>
          </w:tcPr>
          <w:p w14:paraId="765D26A3" w14:textId="00AF0035" w:rsidR="009109F0" w:rsidRDefault="009109F0" w:rsidP="00BB6562">
            <w:r>
              <w:t>European Union</w:t>
            </w:r>
          </w:p>
        </w:tc>
      </w:tr>
      <w:tr w:rsidR="002625F3" w:rsidRPr="00FD119B" w14:paraId="7D3E29B4" w14:textId="77777777" w:rsidTr="00183140">
        <w:tc>
          <w:tcPr>
            <w:tcW w:w="1799" w:type="dxa"/>
          </w:tcPr>
          <w:p w14:paraId="311272B0" w14:textId="37516F0E" w:rsidR="002625F3" w:rsidRDefault="002625F3" w:rsidP="00BB6562">
            <w:r>
              <w:t>GABA</w:t>
            </w:r>
          </w:p>
        </w:tc>
        <w:tc>
          <w:tcPr>
            <w:tcW w:w="6695" w:type="dxa"/>
          </w:tcPr>
          <w:p w14:paraId="2BC69B3C" w14:textId="57E9F773" w:rsidR="002625F3" w:rsidRDefault="002625F3" w:rsidP="00BB6562">
            <w:r>
              <w:t>G</w:t>
            </w:r>
            <w:r w:rsidRPr="00C1178B">
              <w:t>amma</w:t>
            </w:r>
            <w:r>
              <w:t>-</w:t>
            </w:r>
            <w:r w:rsidRPr="00C1178B">
              <w:t>aminobutyric acid</w:t>
            </w:r>
          </w:p>
        </w:tc>
      </w:tr>
      <w:tr w:rsidR="002625F3" w:rsidRPr="00FD119B" w14:paraId="46D29C8F" w14:textId="77777777" w:rsidTr="00183140">
        <w:tc>
          <w:tcPr>
            <w:tcW w:w="1799" w:type="dxa"/>
          </w:tcPr>
          <w:p w14:paraId="2642C575" w14:textId="7FA2C0DA" w:rsidR="002625F3" w:rsidRDefault="002625F3" w:rsidP="00BB6562">
            <w:r>
              <w:t>GCSE</w:t>
            </w:r>
          </w:p>
        </w:tc>
        <w:tc>
          <w:tcPr>
            <w:tcW w:w="6695" w:type="dxa"/>
          </w:tcPr>
          <w:p w14:paraId="6A9DE7CD" w14:textId="353BEA6D" w:rsidR="002625F3" w:rsidRDefault="002625F3" w:rsidP="00BB6562">
            <w:r>
              <w:t>Generalised convulsive status epilepticus</w:t>
            </w:r>
          </w:p>
        </w:tc>
      </w:tr>
      <w:tr w:rsidR="0017219B" w:rsidRPr="00FD119B" w14:paraId="3A107861" w14:textId="77777777" w:rsidTr="00183140">
        <w:tc>
          <w:tcPr>
            <w:tcW w:w="1799" w:type="dxa"/>
          </w:tcPr>
          <w:p w14:paraId="6306C7A2" w14:textId="2ACD571F" w:rsidR="0017219B" w:rsidRDefault="0017219B" w:rsidP="00BB6562">
            <w:r>
              <w:t>GCP</w:t>
            </w:r>
          </w:p>
        </w:tc>
        <w:tc>
          <w:tcPr>
            <w:tcW w:w="6695" w:type="dxa"/>
          </w:tcPr>
          <w:p w14:paraId="16258FF5" w14:textId="2F1ED542" w:rsidR="0017219B" w:rsidRDefault="0017219B" w:rsidP="00BB6562">
            <w:r>
              <w:t>Good Clinical Practice</w:t>
            </w:r>
          </w:p>
        </w:tc>
      </w:tr>
      <w:tr w:rsidR="00BB6562" w:rsidRPr="00FD119B" w14:paraId="26BA3108" w14:textId="77777777" w:rsidTr="00183140">
        <w:tc>
          <w:tcPr>
            <w:tcW w:w="1799" w:type="dxa"/>
          </w:tcPr>
          <w:p w14:paraId="3E8C7FFF" w14:textId="4B81DC70" w:rsidR="00BB6562" w:rsidRDefault="00BB6562" w:rsidP="00BB6562">
            <w:r>
              <w:t>IO</w:t>
            </w:r>
          </w:p>
        </w:tc>
        <w:tc>
          <w:tcPr>
            <w:tcW w:w="6695" w:type="dxa"/>
          </w:tcPr>
          <w:p w14:paraId="2F172A30" w14:textId="2E09C38D" w:rsidR="00BB6562" w:rsidRDefault="002625F3" w:rsidP="00BB6562">
            <w:r>
              <w:t>I</w:t>
            </w:r>
            <w:r w:rsidR="00BB6562">
              <w:t>ntraosseous</w:t>
            </w:r>
          </w:p>
        </w:tc>
      </w:tr>
      <w:tr w:rsidR="00BB6562" w:rsidRPr="00FD119B" w14:paraId="7741FBE0" w14:textId="77777777" w:rsidTr="00183140">
        <w:tc>
          <w:tcPr>
            <w:tcW w:w="1799" w:type="dxa"/>
          </w:tcPr>
          <w:p w14:paraId="4E53198B" w14:textId="0ACF5292" w:rsidR="00BB6562" w:rsidRDefault="00BB6562" w:rsidP="00BB6562">
            <w:r>
              <w:t xml:space="preserve">IM </w:t>
            </w:r>
          </w:p>
        </w:tc>
        <w:tc>
          <w:tcPr>
            <w:tcW w:w="6695" w:type="dxa"/>
          </w:tcPr>
          <w:p w14:paraId="6507CCA0" w14:textId="44796CD6" w:rsidR="00BB6562" w:rsidRDefault="002625F3" w:rsidP="00BB6562">
            <w:r>
              <w:t>I</w:t>
            </w:r>
            <w:r w:rsidR="00BB6562">
              <w:t>ntramuscular</w:t>
            </w:r>
          </w:p>
        </w:tc>
      </w:tr>
      <w:tr w:rsidR="00BB6562" w:rsidRPr="00FD119B" w14:paraId="7D526A7F" w14:textId="77777777" w:rsidTr="00183140">
        <w:tc>
          <w:tcPr>
            <w:tcW w:w="1799" w:type="dxa"/>
          </w:tcPr>
          <w:p w14:paraId="16ED938A" w14:textId="4D81A1D2" w:rsidR="00BB6562" w:rsidRDefault="00BB6562" w:rsidP="00BB6562">
            <w:r>
              <w:t>IV</w:t>
            </w:r>
          </w:p>
        </w:tc>
        <w:tc>
          <w:tcPr>
            <w:tcW w:w="6695" w:type="dxa"/>
          </w:tcPr>
          <w:p w14:paraId="3341C5EA" w14:textId="693AAF58" w:rsidR="00BB6562" w:rsidRDefault="002625F3" w:rsidP="00BB6562">
            <w:r>
              <w:t>I</w:t>
            </w:r>
            <w:r w:rsidR="00BB6562">
              <w:t>ntravenous</w:t>
            </w:r>
          </w:p>
        </w:tc>
      </w:tr>
      <w:tr w:rsidR="00BB6562" w:rsidRPr="00FD119B" w14:paraId="48A5DFA0" w14:textId="77777777" w:rsidTr="00183140">
        <w:tc>
          <w:tcPr>
            <w:tcW w:w="1799" w:type="dxa"/>
          </w:tcPr>
          <w:p w14:paraId="40507059" w14:textId="7E58F132" w:rsidR="00BB6562" w:rsidRDefault="00BB6562" w:rsidP="00BB6562">
            <w:r>
              <w:t>IQR</w:t>
            </w:r>
          </w:p>
        </w:tc>
        <w:tc>
          <w:tcPr>
            <w:tcW w:w="6695" w:type="dxa"/>
          </w:tcPr>
          <w:p w14:paraId="68F2E0C5" w14:textId="3989D5C1" w:rsidR="00BB6562" w:rsidRDefault="00BB6562" w:rsidP="009109F0">
            <w:r w:rsidRPr="00AE19AF">
              <w:rPr>
                <w:bCs/>
              </w:rPr>
              <w:t xml:space="preserve">Interquartile </w:t>
            </w:r>
            <w:r w:rsidR="009109F0">
              <w:rPr>
                <w:bCs/>
              </w:rPr>
              <w:t>range</w:t>
            </w:r>
          </w:p>
        </w:tc>
      </w:tr>
      <w:tr w:rsidR="00BB6562" w:rsidRPr="00FD119B" w14:paraId="08A2F05E" w14:textId="77777777" w:rsidTr="00183140">
        <w:tc>
          <w:tcPr>
            <w:tcW w:w="1799" w:type="dxa"/>
          </w:tcPr>
          <w:p w14:paraId="3DE7F7B4" w14:textId="75A3B465" w:rsidR="00BB6562" w:rsidRDefault="00BB6562" w:rsidP="00BB6562">
            <w:r>
              <w:t>LBS</w:t>
            </w:r>
          </w:p>
        </w:tc>
        <w:tc>
          <w:tcPr>
            <w:tcW w:w="6695" w:type="dxa"/>
          </w:tcPr>
          <w:p w14:paraId="071696C6" w14:textId="5249B94C" w:rsidR="00BB6562" w:rsidRDefault="009109F0" w:rsidP="00BB6562">
            <w:r>
              <w:t>Literature based s</w:t>
            </w:r>
            <w:r w:rsidR="00BB6562">
              <w:t xml:space="preserve">ubmission </w:t>
            </w:r>
          </w:p>
        </w:tc>
      </w:tr>
      <w:tr w:rsidR="00BB6562" w:rsidRPr="00FD119B" w14:paraId="7E175855" w14:textId="77777777" w:rsidTr="00183140">
        <w:tc>
          <w:tcPr>
            <w:tcW w:w="1799" w:type="dxa"/>
          </w:tcPr>
          <w:p w14:paraId="41E62912" w14:textId="7232D6DF" w:rsidR="00BB6562" w:rsidRDefault="00BB6562" w:rsidP="00BB6562">
            <w:r>
              <w:t>NICE</w:t>
            </w:r>
          </w:p>
        </w:tc>
        <w:tc>
          <w:tcPr>
            <w:tcW w:w="6695" w:type="dxa"/>
          </w:tcPr>
          <w:p w14:paraId="35C267DD" w14:textId="65C7E185" w:rsidR="00BB6562" w:rsidRDefault="00BB6562" w:rsidP="00BB6562">
            <w:r>
              <w:t>National Institute for Health and Care Excellence</w:t>
            </w:r>
            <w:r w:rsidR="009109F0">
              <w:t xml:space="preserve"> (United Kingdom)</w:t>
            </w:r>
          </w:p>
        </w:tc>
      </w:tr>
      <w:tr w:rsidR="00FC38AC" w:rsidRPr="00FD119B" w14:paraId="3E51E170" w14:textId="77777777" w:rsidTr="00183140">
        <w:tc>
          <w:tcPr>
            <w:tcW w:w="1799" w:type="dxa"/>
          </w:tcPr>
          <w:p w14:paraId="1AD0CF65" w14:textId="34105F4C" w:rsidR="00FC38AC" w:rsidRDefault="00FC38AC" w:rsidP="00BB6562">
            <w:r>
              <w:t>NPF</w:t>
            </w:r>
          </w:p>
        </w:tc>
        <w:tc>
          <w:tcPr>
            <w:tcW w:w="6695" w:type="dxa"/>
          </w:tcPr>
          <w:p w14:paraId="57B10D23" w14:textId="657A108A" w:rsidR="00FC38AC" w:rsidRDefault="00FC38AC" w:rsidP="00BB6562">
            <w:r>
              <w:t>New pharmaceutical formulation</w:t>
            </w:r>
          </w:p>
        </w:tc>
      </w:tr>
      <w:tr w:rsidR="00BB6562" w:rsidRPr="00FD119B" w14:paraId="6D945D65" w14:textId="77777777" w:rsidTr="00183140">
        <w:tc>
          <w:tcPr>
            <w:tcW w:w="1799" w:type="dxa"/>
          </w:tcPr>
          <w:p w14:paraId="01C90667" w14:textId="3F361D5D" w:rsidR="00BB6562" w:rsidRDefault="00BB6562" w:rsidP="00BB6562">
            <w:r>
              <w:lastRenderedPageBreak/>
              <w:t>PACS</w:t>
            </w:r>
          </w:p>
        </w:tc>
        <w:tc>
          <w:tcPr>
            <w:tcW w:w="6695" w:type="dxa"/>
          </w:tcPr>
          <w:p w14:paraId="18075D56" w14:textId="5085A510" w:rsidR="00BB6562" w:rsidRDefault="00BB6562" w:rsidP="00BB6562">
            <w:r>
              <w:t xml:space="preserve">Prolonged acute convulsive seizures </w:t>
            </w:r>
          </w:p>
        </w:tc>
      </w:tr>
      <w:tr w:rsidR="00BB6562" w:rsidRPr="00FD119B" w14:paraId="3072E8D4" w14:textId="77777777" w:rsidTr="00183140">
        <w:tc>
          <w:tcPr>
            <w:tcW w:w="1799" w:type="dxa"/>
          </w:tcPr>
          <w:p w14:paraId="41BBE029" w14:textId="13A977E5" w:rsidR="00BB6562" w:rsidRDefault="00BB6562" w:rsidP="00BB6562">
            <w:r>
              <w:t>PD</w:t>
            </w:r>
          </w:p>
        </w:tc>
        <w:tc>
          <w:tcPr>
            <w:tcW w:w="6695" w:type="dxa"/>
          </w:tcPr>
          <w:p w14:paraId="5F934961" w14:textId="07F1487C" w:rsidR="00BB6562" w:rsidRDefault="00BB6562" w:rsidP="00BB6562">
            <w:r>
              <w:t>Pharmacodynamics</w:t>
            </w:r>
          </w:p>
        </w:tc>
      </w:tr>
      <w:tr w:rsidR="00BB6562" w:rsidRPr="00FD119B" w14:paraId="16D7DD6A" w14:textId="77777777" w:rsidTr="00183140">
        <w:tc>
          <w:tcPr>
            <w:tcW w:w="1799" w:type="dxa"/>
          </w:tcPr>
          <w:p w14:paraId="7BB99E8D" w14:textId="39F5D5CF" w:rsidR="00BB6562" w:rsidRDefault="00BB6562" w:rsidP="00BB6562">
            <w:r>
              <w:t xml:space="preserve">Ph. Eur. </w:t>
            </w:r>
          </w:p>
        </w:tc>
        <w:tc>
          <w:tcPr>
            <w:tcW w:w="6695" w:type="dxa"/>
          </w:tcPr>
          <w:p w14:paraId="1B04810F" w14:textId="6007AD95" w:rsidR="00BB6562" w:rsidRDefault="00BB6562" w:rsidP="00BB6562">
            <w:r>
              <w:t>European Pharmacopoeia</w:t>
            </w:r>
          </w:p>
        </w:tc>
      </w:tr>
      <w:tr w:rsidR="00FC38AC" w:rsidRPr="00FD119B" w14:paraId="58307292" w14:textId="77777777" w:rsidTr="00183140">
        <w:tc>
          <w:tcPr>
            <w:tcW w:w="1799" w:type="dxa"/>
          </w:tcPr>
          <w:p w14:paraId="6BA7652E" w14:textId="10602931" w:rsidR="00FC38AC" w:rsidRDefault="00FC38AC" w:rsidP="00BB6562">
            <w:r>
              <w:t>PI</w:t>
            </w:r>
          </w:p>
        </w:tc>
        <w:tc>
          <w:tcPr>
            <w:tcW w:w="6695" w:type="dxa"/>
          </w:tcPr>
          <w:p w14:paraId="0FE17ACB" w14:textId="5DE1C110" w:rsidR="00FC38AC" w:rsidRDefault="00FC38AC" w:rsidP="00BB6562">
            <w:r>
              <w:t>Product Information</w:t>
            </w:r>
          </w:p>
        </w:tc>
      </w:tr>
      <w:tr w:rsidR="00BB6562" w:rsidRPr="00FD119B" w14:paraId="561CF477" w14:textId="77777777" w:rsidTr="00183140">
        <w:tc>
          <w:tcPr>
            <w:tcW w:w="1799" w:type="dxa"/>
          </w:tcPr>
          <w:p w14:paraId="30D4D7CE" w14:textId="6AF85CA9" w:rsidR="00BB6562" w:rsidRDefault="00BB6562" w:rsidP="00BB6562">
            <w:r>
              <w:t xml:space="preserve">PK </w:t>
            </w:r>
          </w:p>
        </w:tc>
        <w:tc>
          <w:tcPr>
            <w:tcW w:w="6695" w:type="dxa"/>
          </w:tcPr>
          <w:p w14:paraId="7067B879" w14:textId="54375D05" w:rsidR="00BB6562" w:rsidRDefault="00BB6562" w:rsidP="00BB6562">
            <w:r>
              <w:t>Pharmacokinetics</w:t>
            </w:r>
          </w:p>
        </w:tc>
      </w:tr>
      <w:tr w:rsidR="00BB6562" w:rsidRPr="00FD119B" w14:paraId="25F26DDB" w14:textId="77777777" w:rsidTr="00183140">
        <w:tc>
          <w:tcPr>
            <w:tcW w:w="1799" w:type="dxa"/>
          </w:tcPr>
          <w:p w14:paraId="6FCD0007" w14:textId="282A2915" w:rsidR="00BB6562" w:rsidRDefault="00C208A3" w:rsidP="00BB6562">
            <w:r>
              <w:t>PSUR</w:t>
            </w:r>
          </w:p>
        </w:tc>
        <w:tc>
          <w:tcPr>
            <w:tcW w:w="6695" w:type="dxa"/>
          </w:tcPr>
          <w:p w14:paraId="26870C5F" w14:textId="4023A66D" w:rsidR="00BB6562" w:rsidRDefault="00C208A3" w:rsidP="00BB6562">
            <w:r>
              <w:t xml:space="preserve">Periodic safety update </w:t>
            </w:r>
            <w:r w:rsidR="00A9051C">
              <w:t>reports</w:t>
            </w:r>
          </w:p>
        </w:tc>
      </w:tr>
      <w:tr w:rsidR="00BB6562" w:rsidRPr="00FD119B" w14:paraId="3A9487A7" w14:textId="77777777" w:rsidTr="00183140">
        <w:tc>
          <w:tcPr>
            <w:tcW w:w="1799" w:type="dxa"/>
          </w:tcPr>
          <w:p w14:paraId="26B0724C" w14:textId="6000E157" w:rsidR="00BB6562" w:rsidRDefault="00BB6562" w:rsidP="00BB6562">
            <w:r>
              <w:t xml:space="preserve">RMP </w:t>
            </w:r>
          </w:p>
        </w:tc>
        <w:tc>
          <w:tcPr>
            <w:tcW w:w="6695" w:type="dxa"/>
          </w:tcPr>
          <w:p w14:paraId="5A1D8C19" w14:textId="14C18B12" w:rsidR="00BB6562" w:rsidRDefault="00BB6562" w:rsidP="00BB6562">
            <w:r>
              <w:t>Risk management plan</w:t>
            </w:r>
          </w:p>
        </w:tc>
      </w:tr>
      <w:tr w:rsidR="00BB6562" w:rsidRPr="00FD119B" w14:paraId="38805801" w14:textId="77777777" w:rsidTr="00183140">
        <w:tc>
          <w:tcPr>
            <w:tcW w:w="1799" w:type="dxa"/>
          </w:tcPr>
          <w:p w14:paraId="0EC0DFCA" w14:textId="475941D7" w:rsidR="00BB6562" w:rsidRDefault="00BB6562" w:rsidP="00BB6562">
            <w:r>
              <w:t xml:space="preserve">SmPC </w:t>
            </w:r>
          </w:p>
        </w:tc>
        <w:tc>
          <w:tcPr>
            <w:tcW w:w="6695" w:type="dxa"/>
          </w:tcPr>
          <w:p w14:paraId="18560EBE" w14:textId="7100D0DA" w:rsidR="00BB6562" w:rsidRDefault="00BB6562" w:rsidP="00BB6562">
            <w:r>
              <w:t>Summary of Product Characteristics</w:t>
            </w:r>
          </w:p>
        </w:tc>
      </w:tr>
      <w:tr w:rsidR="0017219B" w:rsidRPr="00FD119B" w14:paraId="410E5681" w14:textId="77777777" w:rsidTr="00183140">
        <w:tc>
          <w:tcPr>
            <w:tcW w:w="1799" w:type="dxa"/>
          </w:tcPr>
          <w:p w14:paraId="175F5ECA" w14:textId="0F216762" w:rsidR="0017219B" w:rsidRDefault="0017219B" w:rsidP="00BB6562">
            <w:r>
              <w:t>T</w:t>
            </w:r>
            <w:r w:rsidRPr="0017219B">
              <w:rPr>
                <w:vertAlign w:val="subscript"/>
              </w:rPr>
              <w:t>max</w:t>
            </w:r>
          </w:p>
        </w:tc>
        <w:tc>
          <w:tcPr>
            <w:tcW w:w="6695" w:type="dxa"/>
          </w:tcPr>
          <w:p w14:paraId="40C42D65" w14:textId="079EBCEE" w:rsidR="0017219B" w:rsidRDefault="0017219B" w:rsidP="00BB6562">
            <w:r>
              <w:t>Time to maximum concentration</w:t>
            </w:r>
          </w:p>
        </w:tc>
      </w:tr>
      <w:tr w:rsidR="00E95CA7" w:rsidRPr="00FD119B" w14:paraId="486B297E" w14:textId="77777777" w:rsidTr="00183140">
        <w:tc>
          <w:tcPr>
            <w:tcW w:w="1799" w:type="dxa"/>
          </w:tcPr>
          <w:p w14:paraId="57001CB9" w14:textId="245A5C20" w:rsidR="00E95CA7" w:rsidRDefault="00E95CA7" w:rsidP="00BB6562">
            <w:r>
              <w:t>UK</w:t>
            </w:r>
          </w:p>
        </w:tc>
        <w:tc>
          <w:tcPr>
            <w:tcW w:w="6695" w:type="dxa"/>
          </w:tcPr>
          <w:p w14:paraId="3A5ACCAF" w14:textId="44B60B71" w:rsidR="00E95CA7" w:rsidRDefault="00E95CA7" w:rsidP="00BB6562">
            <w:r>
              <w:t>United Kingdom</w:t>
            </w:r>
          </w:p>
        </w:tc>
      </w:tr>
      <w:tr w:rsidR="00E95CA7" w:rsidRPr="00FD119B" w14:paraId="50F4E853" w14:textId="77777777" w:rsidTr="00183140">
        <w:tc>
          <w:tcPr>
            <w:tcW w:w="1799" w:type="dxa"/>
          </w:tcPr>
          <w:p w14:paraId="67B86344" w14:textId="71011555" w:rsidR="00E95CA7" w:rsidRDefault="00E95CA7" w:rsidP="00BB6562">
            <w:r>
              <w:t>US(A)</w:t>
            </w:r>
          </w:p>
        </w:tc>
        <w:tc>
          <w:tcPr>
            <w:tcW w:w="6695" w:type="dxa"/>
          </w:tcPr>
          <w:p w14:paraId="27C523A3" w14:textId="377D3333" w:rsidR="00E95CA7" w:rsidRDefault="00E95CA7" w:rsidP="00BB6562">
            <w:r>
              <w:t>United States (of America)</w:t>
            </w:r>
          </w:p>
        </w:tc>
      </w:tr>
    </w:tbl>
    <w:p w14:paraId="775E2190" w14:textId="77777777" w:rsidR="00FD119B" w:rsidRDefault="00FD119B" w:rsidP="00FD119B"/>
    <w:p w14:paraId="713A8107" w14:textId="77777777" w:rsidR="00FD119B" w:rsidRPr="00FD119B" w:rsidRDefault="00FD119B" w:rsidP="00FD119B">
      <w:pPr>
        <w:spacing w:before="0" w:after="200" w:line="0" w:lineRule="auto"/>
        <w:rPr>
          <w:b/>
          <w:i/>
          <w:sz w:val="24"/>
          <w:szCs w:val="24"/>
        </w:rPr>
      </w:pPr>
      <w:r w:rsidRPr="00FD119B">
        <w:rPr>
          <w:b/>
          <w:i/>
          <w:sz w:val="24"/>
          <w:szCs w:val="24"/>
        </w:rPr>
        <w:br w:type="page"/>
      </w:r>
    </w:p>
    <w:p w14:paraId="5B3B2183" w14:textId="77777777" w:rsidR="008E7846" w:rsidRDefault="00F53C07" w:rsidP="008E7846">
      <w:pPr>
        <w:pStyle w:val="Heading2"/>
      </w:pPr>
      <w:bookmarkStart w:id="8" w:name="_Toc132882389"/>
      <w:r>
        <w:lastRenderedPageBreak/>
        <w:t>I.</w:t>
      </w:r>
      <w:r w:rsidR="008E7846">
        <w:t xml:space="preserve"> Introduction to product submission</w:t>
      </w:r>
      <w:bookmarkEnd w:id="8"/>
      <w:bookmarkEnd w:id="2"/>
      <w:bookmarkEnd w:id="0"/>
    </w:p>
    <w:p w14:paraId="06819069" w14:textId="77777777" w:rsidR="008E7846" w:rsidRDefault="008E7846" w:rsidP="008E7846">
      <w:pPr>
        <w:pStyle w:val="Heading3"/>
        <w:rPr>
          <w:lang w:eastAsia="en-AU"/>
        </w:rPr>
      </w:pPr>
      <w:bookmarkStart w:id="9" w:name="_Toc247691502"/>
      <w:bookmarkStart w:id="10" w:name="_Toc314842483"/>
      <w:bookmarkStart w:id="11" w:name="_Toc132882390"/>
      <w:r>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3D1E62" w14:paraId="26D8C6A3" w14:textId="77777777" w:rsidTr="003735BC">
        <w:tc>
          <w:tcPr>
            <w:tcW w:w="2907" w:type="dxa"/>
          </w:tcPr>
          <w:p w14:paraId="338DBC40"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5F7BAE40" w14:textId="0E1A9C73" w:rsidR="008E7846" w:rsidRPr="006942EF" w:rsidRDefault="007762F9" w:rsidP="006942EF">
            <w:bookmarkStart w:id="12" w:name="_Hlk133910330"/>
            <w:r w:rsidRPr="00E421CA">
              <w:rPr>
                <w:rFonts w:asciiTheme="minorHAnsi" w:hAnsiTheme="minorHAnsi"/>
              </w:rPr>
              <w:t>Extension of indications</w:t>
            </w:r>
            <w:r w:rsidR="006942EF">
              <w:rPr>
                <w:rFonts w:asciiTheme="minorHAnsi" w:hAnsiTheme="minorHAnsi"/>
              </w:rPr>
              <w:t xml:space="preserve"> (</w:t>
            </w:r>
            <w:r w:rsidR="006942EF" w:rsidRPr="005C077B">
              <w:t xml:space="preserve">new indication with a new route of administration for </w:t>
            </w:r>
            <w:r w:rsidR="006942EF">
              <w:t>a new salt of a registered</w:t>
            </w:r>
            <w:r w:rsidR="006942EF" w:rsidRPr="005C077B">
              <w:t xml:space="preserve"> active ingredient</w:t>
            </w:r>
            <w:r w:rsidR="006942EF">
              <w:t>)</w:t>
            </w:r>
            <w:bookmarkEnd w:id="12"/>
          </w:p>
        </w:tc>
      </w:tr>
      <w:tr w:rsidR="00460036" w:rsidRPr="003D1E62" w14:paraId="13675C6B" w14:textId="77777777" w:rsidTr="003735BC">
        <w:tc>
          <w:tcPr>
            <w:tcW w:w="2907" w:type="dxa"/>
          </w:tcPr>
          <w:p w14:paraId="65491894" w14:textId="582CC62C" w:rsidR="00460036" w:rsidRPr="003D1E62" w:rsidRDefault="002625F3" w:rsidP="003D1E62">
            <w:pPr>
              <w:rPr>
                <w:i/>
              </w:rPr>
            </w:pPr>
            <w:r>
              <w:rPr>
                <w:i/>
              </w:rPr>
              <w:t>Product name</w:t>
            </w:r>
            <w:r w:rsidR="00460036" w:rsidRPr="00460036">
              <w:rPr>
                <w:i/>
              </w:rPr>
              <w:t>:</w:t>
            </w:r>
          </w:p>
        </w:tc>
        <w:tc>
          <w:tcPr>
            <w:tcW w:w="6307" w:type="dxa"/>
          </w:tcPr>
          <w:p w14:paraId="4040DCE7" w14:textId="1E03C69B" w:rsidR="00460036" w:rsidRPr="00E421CA" w:rsidRDefault="00B64BA5" w:rsidP="001B5C90">
            <w:pPr>
              <w:rPr>
                <w:rFonts w:asciiTheme="minorHAnsi" w:hAnsiTheme="minorHAnsi"/>
              </w:rPr>
            </w:pPr>
            <w:r w:rsidRPr="00E421CA">
              <w:rPr>
                <w:rFonts w:asciiTheme="minorHAnsi" w:hAnsiTheme="minorHAnsi"/>
              </w:rPr>
              <w:t xml:space="preserve">Zyamis </w:t>
            </w:r>
          </w:p>
        </w:tc>
      </w:tr>
      <w:tr w:rsidR="00460036" w:rsidRPr="003D1E62" w14:paraId="0AD10A99" w14:textId="77777777" w:rsidTr="003735BC">
        <w:tc>
          <w:tcPr>
            <w:tcW w:w="2907" w:type="dxa"/>
          </w:tcPr>
          <w:p w14:paraId="7F5127D2" w14:textId="15B39B23" w:rsidR="00460036" w:rsidRPr="003D1E62" w:rsidRDefault="002625F3" w:rsidP="003D1E62">
            <w:pPr>
              <w:rPr>
                <w:i/>
              </w:rPr>
            </w:pPr>
            <w:r>
              <w:rPr>
                <w:i/>
              </w:rPr>
              <w:t>Active ingredient</w:t>
            </w:r>
            <w:r w:rsidR="00460036" w:rsidRPr="00460036">
              <w:rPr>
                <w:i/>
              </w:rPr>
              <w:t>:</w:t>
            </w:r>
          </w:p>
        </w:tc>
        <w:tc>
          <w:tcPr>
            <w:tcW w:w="6307" w:type="dxa"/>
          </w:tcPr>
          <w:p w14:paraId="677190E8" w14:textId="04E7B676" w:rsidR="00460036" w:rsidRPr="00E421CA" w:rsidRDefault="00B64BA5" w:rsidP="001B5C90">
            <w:pPr>
              <w:rPr>
                <w:rFonts w:asciiTheme="minorHAnsi" w:hAnsiTheme="minorHAnsi"/>
              </w:rPr>
            </w:pPr>
            <w:r w:rsidRPr="00E421CA">
              <w:rPr>
                <w:rFonts w:asciiTheme="minorHAnsi" w:hAnsiTheme="minorHAnsi"/>
              </w:rPr>
              <w:t>Midazolam maleate</w:t>
            </w:r>
          </w:p>
        </w:tc>
      </w:tr>
      <w:tr w:rsidR="008E7846" w:rsidRPr="003D1E62" w14:paraId="631E2741" w14:textId="77777777" w:rsidTr="003735BC">
        <w:tc>
          <w:tcPr>
            <w:tcW w:w="2907" w:type="dxa"/>
          </w:tcPr>
          <w:p w14:paraId="10903BCB" w14:textId="77777777" w:rsidR="008E7846" w:rsidRPr="003D1E62" w:rsidRDefault="008E7846" w:rsidP="003D1E62">
            <w:r w:rsidRPr="003D1E62">
              <w:rPr>
                <w:i/>
              </w:rPr>
              <w:t>Decision</w:t>
            </w:r>
            <w:r w:rsidRPr="003D1E62">
              <w:t>:</w:t>
            </w:r>
          </w:p>
        </w:tc>
        <w:tc>
          <w:tcPr>
            <w:tcW w:w="6307" w:type="dxa"/>
          </w:tcPr>
          <w:p w14:paraId="085294AB" w14:textId="402DE27B" w:rsidR="008E7846" w:rsidRPr="00E421CA" w:rsidRDefault="00460036" w:rsidP="001B5C90">
            <w:pPr>
              <w:rPr>
                <w:rFonts w:asciiTheme="minorHAnsi" w:hAnsiTheme="minorHAnsi"/>
              </w:rPr>
            </w:pPr>
            <w:r w:rsidRPr="00E421CA">
              <w:rPr>
                <w:rFonts w:asciiTheme="minorHAnsi" w:hAnsiTheme="minorHAnsi"/>
              </w:rPr>
              <w:t xml:space="preserve">Approved </w:t>
            </w:r>
          </w:p>
        </w:tc>
      </w:tr>
      <w:tr w:rsidR="008E7846" w:rsidRPr="003D1E62" w14:paraId="189BB3F8" w14:textId="77777777" w:rsidTr="003735BC">
        <w:tc>
          <w:tcPr>
            <w:tcW w:w="2907" w:type="dxa"/>
          </w:tcPr>
          <w:p w14:paraId="16D4DF3A"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7F847C26" w14:textId="152B4F7D" w:rsidR="008E7846" w:rsidRPr="00E421CA" w:rsidRDefault="007762F9" w:rsidP="001B5C90">
            <w:pPr>
              <w:rPr>
                <w:rFonts w:asciiTheme="minorHAnsi" w:hAnsiTheme="minorHAnsi"/>
              </w:rPr>
            </w:pPr>
            <w:r w:rsidRPr="00E421CA">
              <w:rPr>
                <w:rFonts w:asciiTheme="minorHAnsi" w:hAnsiTheme="minorHAnsi"/>
              </w:rPr>
              <w:t>17 September 2021</w:t>
            </w:r>
          </w:p>
        </w:tc>
      </w:tr>
      <w:tr w:rsidR="00ED2922" w:rsidRPr="003D1E62" w14:paraId="65A3F05B" w14:textId="77777777" w:rsidTr="003735BC">
        <w:tc>
          <w:tcPr>
            <w:tcW w:w="2907" w:type="dxa"/>
          </w:tcPr>
          <w:p w14:paraId="2853F5CE" w14:textId="77777777" w:rsidR="00ED2922" w:rsidRPr="006D7829" w:rsidRDefault="00ED2922" w:rsidP="001B5C90">
            <w:pPr>
              <w:rPr>
                <w:i/>
              </w:rPr>
            </w:pPr>
            <w:r w:rsidRPr="006D7829">
              <w:rPr>
                <w:i/>
              </w:rPr>
              <w:t>Date of entry onto ARTG</w:t>
            </w:r>
            <w:r w:rsidR="00500337" w:rsidRPr="006D7829">
              <w:rPr>
                <w:i/>
              </w:rPr>
              <w:t>:</w:t>
            </w:r>
          </w:p>
        </w:tc>
        <w:tc>
          <w:tcPr>
            <w:tcW w:w="6307" w:type="dxa"/>
          </w:tcPr>
          <w:p w14:paraId="3809A8F7" w14:textId="12389BE3" w:rsidR="00ED2922" w:rsidRPr="006D7829" w:rsidRDefault="00B70468" w:rsidP="00D153D8">
            <w:pPr>
              <w:rPr>
                <w:rFonts w:asciiTheme="minorHAnsi" w:hAnsiTheme="minorHAnsi"/>
                <w:i/>
              </w:rPr>
            </w:pPr>
            <w:r w:rsidRPr="006D7829">
              <w:rPr>
                <w:rFonts w:asciiTheme="minorHAnsi" w:hAnsiTheme="minorHAnsi"/>
              </w:rPr>
              <w:t>22 April 2022</w:t>
            </w:r>
          </w:p>
        </w:tc>
      </w:tr>
      <w:tr w:rsidR="00500337" w:rsidRPr="003D1E62" w14:paraId="47FDE4A6" w14:textId="77777777" w:rsidTr="003735BC">
        <w:tc>
          <w:tcPr>
            <w:tcW w:w="2907" w:type="dxa"/>
          </w:tcPr>
          <w:p w14:paraId="5D48D116" w14:textId="26DD0F3C" w:rsidR="00500337" w:rsidRPr="00441C3F" w:rsidRDefault="006D7829" w:rsidP="001B5C90">
            <w:pPr>
              <w:rPr>
                <w:i/>
              </w:rPr>
            </w:pPr>
            <w:r>
              <w:rPr>
                <w:i/>
              </w:rPr>
              <w:t>ARTG numbers</w:t>
            </w:r>
            <w:r w:rsidR="00500337">
              <w:rPr>
                <w:i/>
              </w:rPr>
              <w:t>:</w:t>
            </w:r>
          </w:p>
        </w:tc>
        <w:tc>
          <w:tcPr>
            <w:tcW w:w="6307" w:type="dxa"/>
          </w:tcPr>
          <w:p w14:paraId="4D8A26C3" w14:textId="7840E5A1" w:rsidR="00500337" w:rsidRPr="00E421CA" w:rsidRDefault="00E421CA" w:rsidP="00EC463D">
            <w:pPr>
              <w:rPr>
                <w:rFonts w:asciiTheme="minorHAnsi" w:hAnsiTheme="minorHAnsi"/>
              </w:rPr>
            </w:pPr>
            <w:r w:rsidRPr="00E421CA">
              <w:rPr>
                <w:rFonts w:asciiTheme="minorHAnsi" w:eastAsiaTheme="minorHAnsi" w:hAnsiTheme="minorHAnsi" w:cs="ArialMT"/>
              </w:rPr>
              <w:t>342690, 342691, 342692 and 342693</w:t>
            </w:r>
          </w:p>
        </w:tc>
      </w:tr>
      <w:tr w:rsidR="003735BC" w:rsidRPr="003D1E62" w14:paraId="5E75C1D4" w14:textId="77777777" w:rsidTr="003735BC">
        <w:tc>
          <w:tcPr>
            <w:tcW w:w="2907" w:type="dxa"/>
          </w:tcPr>
          <w:p w14:paraId="72399E07"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r w:rsidR="004C4FBE">
              <w:rPr>
                <w:i/>
              </w:rPr>
              <w:t>:</w:t>
            </w:r>
            <w:r w:rsidR="00460036">
              <w:rPr>
                <w:rStyle w:val="FootnoteReference"/>
                <w:i/>
              </w:rPr>
              <w:footnoteReference w:id="1"/>
            </w:r>
          </w:p>
        </w:tc>
        <w:tc>
          <w:tcPr>
            <w:tcW w:w="6307" w:type="dxa"/>
          </w:tcPr>
          <w:p w14:paraId="277057B3" w14:textId="6EE4F344" w:rsidR="003735BC" w:rsidRPr="00E421CA" w:rsidRDefault="006942EF" w:rsidP="003735BC">
            <w:pPr>
              <w:rPr>
                <w:rFonts w:asciiTheme="minorHAnsi" w:hAnsiTheme="minorHAnsi"/>
              </w:rPr>
            </w:pPr>
            <w:r>
              <w:rPr>
                <w:rFonts w:asciiTheme="minorHAnsi" w:hAnsiTheme="minorHAnsi"/>
              </w:rPr>
              <w:t>Yes</w:t>
            </w:r>
          </w:p>
          <w:p w14:paraId="32616BEA" w14:textId="0BC48BF7" w:rsidR="003735BC" w:rsidRPr="00E421CA" w:rsidRDefault="003735BC" w:rsidP="003735BC">
            <w:pPr>
              <w:rPr>
                <w:rFonts w:asciiTheme="minorHAnsi" w:hAnsiTheme="minorHAnsi"/>
              </w:rPr>
            </w:pPr>
            <w:r w:rsidRPr="00E421CA">
              <w:rPr>
                <w:rFonts w:asciiTheme="minorHAnsi" w:hAnsiTheme="minorHAnsi"/>
              </w:rPr>
              <w:t>This product will remain in the scheme for 5 years, starting on the date the new indication was approved</w:t>
            </w:r>
            <w:r w:rsidR="007762F9" w:rsidRPr="00E421CA">
              <w:rPr>
                <w:rFonts w:asciiTheme="minorHAnsi" w:hAnsiTheme="minorHAnsi"/>
              </w:rPr>
              <w:t>.</w:t>
            </w:r>
          </w:p>
        </w:tc>
      </w:tr>
      <w:tr w:rsidR="008E7846" w:rsidRPr="00487162" w14:paraId="5D1A6360" w14:textId="77777777" w:rsidTr="00BF1190">
        <w:tc>
          <w:tcPr>
            <w:tcW w:w="2907" w:type="dxa"/>
          </w:tcPr>
          <w:p w14:paraId="34CDFAF4"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089FEF46" w14:textId="5FD65FB3" w:rsidR="00B70468" w:rsidRPr="00B70468" w:rsidRDefault="00B70468" w:rsidP="00B70468">
            <w:r w:rsidRPr="00B70468">
              <w:t>Veriton Pharma Pty Ltd</w:t>
            </w:r>
          </w:p>
          <w:p w14:paraId="4F7802C7" w14:textId="48810413" w:rsidR="00B70468" w:rsidRDefault="00B70468" w:rsidP="00B70468">
            <w:r>
              <w:t>68 Alfred St</w:t>
            </w:r>
          </w:p>
          <w:p w14:paraId="5D212F24" w14:textId="5D9BB1FB" w:rsidR="008E7846" w:rsidRPr="00BD2BAB" w:rsidRDefault="00B70468" w:rsidP="00B70468">
            <w:r>
              <w:t xml:space="preserve">Milsons Point </w:t>
            </w:r>
            <w:r w:rsidR="007762F9" w:rsidRPr="00B70468">
              <w:t>NSW 2061</w:t>
            </w:r>
          </w:p>
        </w:tc>
      </w:tr>
      <w:tr w:rsidR="008E7846" w:rsidRPr="00487162" w14:paraId="40D66C6F" w14:textId="77777777" w:rsidTr="00BF1190">
        <w:tc>
          <w:tcPr>
            <w:tcW w:w="2907" w:type="dxa"/>
          </w:tcPr>
          <w:p w14:paraId="586337E9" w14:textId="23C05FC8" w:rsidR="008E7846" w:rsidRPr="00487162" w:rsidRDefault="00B70468" w:rsidP="00E45619">
            <w:pPr>
              <w:rPr>
                <w:i/>
              </w:rPr>
            </w:pPr>
            <w:r>
              <w:rPr>
                <w:i/>
              </w:rPr>
              <w:t>Dose form</w:t>
            </w:r>
            <w:r w:rsidR="001B5C90">
              <w:rPr>
                <w:i/>
              </w:rPr>
              <w:t>:</w:t>
            </w:r>
          </w:p>
        </w:tc>
        <w:tc>
          <w:tcPr>
            <w:tcW w:w="6307" w:type="dxa"/>
          </w:tcPr>
          <w:p w14:paraId="7164BDE8" w14:textId="05CC6607" w:rsidR="008E7846" w:rsidRPr="00B70468" w:rsidRDefault="00B70468" w:rsidP="00B70468">
            <w:r w:rsidRPr="00B70468">
              <w:t>Oromucosal s</w:t>
            </w:r>
            <w:r w:rsidR="007762F9" w:rsidRPr="00B70468">
              <w:t>olution</w:t>
            </w:r>
          </w:p>
        </w:tc>
      </w:tr>
      <w:tr w:rsidR="008E7846" w:rsidRPr="00487162" w14:paraId="6D344612" w14:textId="77777777" w:rsidTr="00BF1190">
        <w:tc>
          <w:tcPr>
            <w:tcW w:w="2907" w:type="dxa"/>
          </w:tcPr>
          <w:p w14:paraId="7D0AC19A" w14:textId="52095C74" w:rsidR="008E7846" w:rsidRPr="00487162" w:rsidRDefault="00B70468" w:rsidP="00E45619">
            <w:pPr>
              <w:rPr>
                <w:i/>
              </w:rPr>
            </w:pPr>
            <w:r>
              <w:rPr>
                <w:i/>
              </w:rPr>
              <w:t>Strength</w:t>
            </w:r>
            <w:r w:rsidR="006D7829">
              <w:rPr>
                <w:i/>
              </w:rPr>
              <w:t>s</w:t>
            </w:r>
            <w:r w:rsidR="00324E45">
              <w:rPr>
                <w:i/>
              </w:rPr>
              <w:t>:</w:t>
            </w:r>
          </w:p>
        </w:tc>
        <w:tc>
          <w:tcPr>
            <w:tcW w:w="6307" w:type="dxa"/>
          </w:tcPr>
          <w:p w14:paraId="22F4B8BE" w14:textId="2CCE66D4" w:rsidR="008E7846" w:rsidRDefault="006D7829" w:rsidP="00B70468">
            <w:r>
              <w:t>10 mg/1.0 mL</w:t>
            </w:r>
          </w:p>
          <w:p w14:paraId="095E1917" w14:textId="094185D0" w:rsidR="00B37330" w:rsidRDefault="006D7829" w:rsidP="00B70468">
            <w:r>
              <w:t>7.5 mg/0.75 mL</w:t>
            </w:r>
          </w:p>
          <w:p w14:paraId="2A2818EB" w14:textId="4C3B0509" w:rsidR="00B37330" w:rsidRDefault="006D7829" w:rsidP="00B70468">
            <w:r>
              <w:t>5 mg/0.5 mL</w:t>
            </w:r>
          </w:p>
          <w:p w14:paraId="20B224A3" w14:textId="453B6B12" w:rsidR="00B37330" w:rsidRPr="00B70468" w:rsidRDefault="006D7829" w:rsidP="006D7829">
            <w:r>
              <w:t>2.5 mg/0.25 mL</w:t>
            </w:r>
          </w:p>
        </w:tc>
      </w:tr>
      <w:tr w:rsidR="008E7846" w:rsidRPr="00487162" w14:paraId="786DF9D6" w14:textId="77777777" w:rsidTr="00BF1190">
        <w:tc>
          <w:tcPr>
            <w:tcW w:w="2907" w:type="dxa"/>
          </w:tcPr>
          <w:p w14:paraId="09711DF9" w14:textId="63757982" w:rsidR="008E7846" w:rsidRPr="00487162" w:rsidRDefault="00B37330" w:rsidP="00E45619">
            <w:pPr>
              <w:rPr>
                <w:i/>
              </w:rPr>
            </w:pPr>
            <w:r>
              <w:rPr>
                <w:i/>
              </w:rPr>
              <w:t>Containers</w:t>
            </w:r>
            <w:r w:rsidR="008E7846" w:rsidRPr="00487162">
              <w:rPr>
                <w:i/>
              </w:rPr>
              <w:t>:</w:t>
            </w:r>
          </w:p>
        </w:tc>
        <w:tc>
          <w:tcPr>
            <w:tcW w:w="6307" w:type="dxa"/>
          </w:tcPr>
          <w:p w14:paraId="53978FA1" w14:textId="636FA4FE" w:rsidR="008E7846" w:rsidRPr="00BD2BAB" w:rsidRDefault="00B64BA5" w:rsidP="00B37330">
            <w:pPr>
              <w:rPr>
                <w:rFonts w:asciiTheme="minorHAnsi" w:hAnsiTheme="minorHAnsi"/>
                <w:bCs/>
              </w:rPr>
            </w:pPr>
            <w:r w:rsidRPr="00BD2BAB">
              <w:rPr>
                <w:rFonts w:asciiTheme="minorHAnsi" w:hAnsiTheme="minorHAnsi" w:cstheme="majorHAnsi"/>
                <w:bCs/>
              </w:rPr>
              <w:t xml:space="preserve">Prefilled </w:t>
            </w:r>
            <w:r w:rsidR="007762F9" w:rsidRPr="00BD2BAB">
              <w:rPr>
                <w:rFonts w:asciiTheme="minorHAnsi" w:hAnsiTheme="minorHAnsi" w:cstheme="majorHAnsi"/>
                <w:bCs/>
              </w:rPr>
              <w:t xml:space="preserve">oral </w:t>
            </w:r>
            <w:r w:rsidRPr="00BD2BAB">
              <w:rPr>
                <w:rFonts w:asciiTheme="minorHAnsi" w:hAnsiTheme="minorHAnsi" w:cstheme="majorHAnsi"/>
                <w:bCs/>
              </w:rPr>
              <w:t>syringe</w:t>
            </w:r>
          </w:p>
        </w:tc>
      </w:tr>
      <w:tr w:rsidR="008E7846" w:rsidRPr="00487162" w14:paraId="44C3AFF9" w14:textId="77777777" w:rsidTr="00BF1190">
        <w:tc>
          <w:tcPr>
            <w:tcW w:w="2907" w:type="dxa"/>
          </w:tcPr>
          <w:p w14:paraId="2E168B97" w14:textId="54617DAB" w:rsidR="008E7846" w:rsidRPr="00487162" w:rsidRDefault="002625F3" w:rsidP="00E45619">
            <w:pPr>
              <w:rPr>
                <w:i/>
              </w:rPr>
            </w:pPr>
            <w:r>
              <w:rPr>
                <w:i/>
              </w:rPr>
              <w:t>Pack size</w:t>
            </w:r>
            <w:r w:rsidR="008E7846" w:rsidRPr="00487162">
              <w:rPr>
                <w:i/>
              </w:rPr>
              <w:t>:</w:t>
            </w:r>
          </w:p>
        </w:tc>
        <w:tc>
          <w:tcPr>
            <w:tcW w:w="6307" w:type="dxa"/>
          </w:tcPr>
          <w:p w14:paraId="31F5FBA5" w14:textId="6F1152C1" w:rsidR="008E7846" w:rsidRPr="00E421CA" w:rsidRDefault="00B37330" w:rsidP="002625F3">
            <w:pPr>
              <w:rPr>
                <w:rFonts w:asciiTheme="minorHAnsi" w:hAnsiTheme="minorHAnsi"/>
              </w:rPr>
            </w:pPr>
            <w:r>
              <w:rPr>
                <w:rFonts w:asciiTheme="minorHAnsi" w:hAnsiTheme="minorHAnsi"/>
              </w:rPr>
              <w:t>Single</w:t>
            </w:r>
            <w:r w:rsidR="006D7829">
              <w:rPr>
                <w:rFonts w:asciiTheme="minorHAnsi" w:hAnsiTheme="minorHAnsi"/>
              </w:rPr>
              <w:t xml:space="preserve"> </w:t>
            </w:r>
            <w:r w:rsidR="002625F3">
              <w:rPr>
                <w:rFonts w:asciiTheme="minorHAnsi" w:hAnsiTheme="minorHAnsi"/>
              </w:rPr>
              <w:t>oral</w:t>
            </w:r>
            <w:r w:rsidR="006D7829">
              <w:rPr>
                <w:rFonts w:asciiTheme="minorHAnsi" w:hAnsiTheme="minorHAnsi"/>
              </w:rPr>
              <w:t xml:space="preserve"> syringe</w:t>
            </w:r>
          </w:p>
        </w:tc>
      </w:tr>
      <w:tr w:rsidR="008E7846" w:rsidRPr="00487162" w14:paraId="4D31A69D" w14:textId="77777777" w:rsidTr="00BF1190">
        <w:tc>
          <w:tcPr>
            <w:tcW w:w="2907" w:type="dxa"/>
          </w:tcPr>
          <w:p w14:paraId="2242C4CB"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76845158" w14:textId="545BA2CF" w:rsidR="008E7846" w:rsidRPr="00B37330" w:rsidRDefault="007762F9" w:rsidP="00B37330">
            <w:pPr>
              <w:rPr>
                <w:i/>
              </w:rPr>
            </w:pPr>
            <w:r w:rsidRPr="00B37330">
              <w:rPr>
                <w:i/>
              </w:rPr>
              <w:t>Zyamis, as buccal midazolam, is indicated for the treatment of Generalised Convulsive Status</w:t>
            </w:r>
            <w:r w:rsidR="00511B9E" w:rsidRPr="00B37330">
              <w:rPr>
                <w:i/>
              </w:rPr>
              <w:t xml:space="preserve"> </w:t>
            </w:r>
            <w:r w:rsidRPr="00B37330">
              <w:rPr>
                <w:i/>
              </w:rPr>
              <w:t>Epilepticus (GCSE</w:t>
            </w:r>
            <w:r w:rsidR="006D7829">
              <w:rPr>
                <w:i/>
              </w:rPr>
              <w:t>), in those over </w:t>
            </w:r>
            <w:r w:rsidR="00B37330" w:rsidRPr="00B37330">
              <w:rPr>
                <w:i/>
              </w:rPr>
              <w:t>6 </w:t>
            </w:r>
            <w:r w:rsidRPr="00B37330">
              <w:rPr>
                <w:i/>
              </w:rPr>
              <w:t>months old.</w:t>
            </w:r>
          </w:p>
        </w:tc>
      </w:tr>
      <w:tr w:rsidR="008E7846" w:rsidRPr="00487162" w14:paraId="440990E6" w14:textId="77777777" w:rsidTr="00BF1190">
        <w:tc>
          <w:tcPr>
            <w:tcW w:w="2907" w:type="dxa"/>
          </w:tcPr>
          <w:p w14:paraId="04D1A271" w14:textId="42A6EC41" w:rsidR="008E7846" w:rsidRPr="00487162" w:rsidRDefault="00B37330" w:rsidP="00E45619">
            <w:pPr>
              <w:rPr>
                <w:i/>
              </w:rPr>
            </w:pPr>
            <w:r>
              <w:rPr>
                <w:i/>
              </w:rPr>
              <w:t>Route</w:t>
            </w:r>
            <w:r w:rsidR="008E7846" w:rsidRPr="00487162">
              <w:rPr>
                <w:i/>
              </w:rPr>
              <w:t xml:space="preserve"> of administration:</w:t>
            </w:r>
          </w:p>
        </w:tc>
        <w:tc>
          <w:tcPr>
            <w:tcW w:w="6307" w:type="dxa"/>
          </w:tcPr>
          <w:p w14:paraId="79516E83" w14:textId="70B15D7E" w:rsidR="008E7846" w:rsidRPr="00B37330" w:rsidRDefault="007762F9" w:rsidP="00B37330">
            <w:r w:rsidRPr="00B37330">
              <w:t>Buccal</w:t>
            </w:r>
          </w:p>
        </w:tc>
      </w:tr>
      <w:tr w:rsidR="008E7846" w:rsidRPr="00487162" w14:paraId="109AD2C3" w14:textId="77777777" w:rsidTr="00BF1190">
        <w:tc>
          <w:tcPr>
            <w:tcW w:w="2907" w:type="dxa"/>
          </w:tcPr>
          <w:p w14:paraId="3E08A464" w14:textId="77777777" w:rsidR="008E7846" w:rsidRPr="00487162" w:rsidRDefault="008E7846" w:rsidP="00E45619">
            <w:pPr>
              <w:rPr>
                <w:i/>
              </w:rPr>
            </w:pPr>
            <w:r w:rsidRPr="00487162">
              <w:rPr>
                <w:i/>
              </w:rPr>
              <w:t>Dosage:</w:t>
            </w:r>
          </w:p>
        </w:tc>
        <w:tc>
          <w:tcPr>
            <w:tcW w:w="6307" w:type="dxa"/>
          </w:tcPr>
          <w:p w14:paraId="15FB3F75" w14:textId="294DD03C" w:rsidR="00522270" w:rsidRDefault="006D7829" w:rsidP="00B37330">
            <w:r>
              <w:t>The initial prescription</w:t>
            </w:r>
            <w:r w:rsidR="003168A7" w:rsidRPr="00B37330">
              <w:t xml:space="preserve"> must be init</w:t>
            </w:r>
            <w:r>
              <w:t>iated by a specialist physician</w:t>
            </w:r>
            <w:r w:rsidR="003168A7" w:rsidRPr="00B37330">
              <w:t xml:space="preserve"> experienced in the treatment of epilepsy.</w:t>
            </w:r>
          </w:p>
          <w:p w14:paraId="28F40B52" w14:textId="49D00D3C" w:rsidR="00B37330" w:rsidRDefault="00B37330" w:rsidP="00B37330">
            <w:r>
              <w:lastRenderedPageBreak/>
              <w:t>Zyamis, when used by parents/caregivers, must only be used where the patient has been diagnosed by a medical practitioner to have epilepsy. The medicine is for single use in one patient only.</w:t>
            </w:r>
            <w:r w:rsidR="008918AA">
              <w:t xml:space="preserve"> This product is for buccal use. It is only to be used in the mouth.</w:t>
            </w:r>
          </w:p>
          <w:p w14:paraId="6C976C30" w14:textId="4F276278" w:rsidR="008E7846" w:rsidRDefault="00B37330" w:rsidP="00B37330">
            <w:r>
              <w:t>The standard doses are summarised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7"/>
              <w:gridCol w:w="1980"/>
              <w:gridCol w:w="1170"/>
            </w:tblGrid>
            <w:tr w:rsidR="00B37330" w14:paraId="79908D58" w14:textId="77777777" w:rsidTr="006D7829">
              <w:tc>
                <w:tcPr>
                  <w:tcW w:w="2277" w:type="dxa"/>
                  <w:tcBorders>
                    <w:bottom w:val="single" w:sz="4" w:space="0" w:color="auto"/>
                  </w:tcBorders>
                </w:tcPr>
                <w:p w14:paraId="3C44565F" w14:textId="24D784FE" w:rsidR="00B37330" w:rsidRDefault="008918AA" w:rsidP="00B37330">
                  <w:r>
                    <w:t>Age range</w:t>
                  </w:r>
                </w:p>
              </w:tc>
              <w:tc>
                <w:tcPr>
                  <w:tcW w:w="1980" w:type="dxa"/>
                  <w:tcBorders>
                    <w:bottom w:val="single" w:sz="4" w:space="0" w:color="auto"/>
                  </w:tcBorders>
                </w:tcPr>
                <w:p w14:paraId="24B24C43" w14:textId="21B05BCF" w:rsidR="00B37330" w:rsidRDefault="008918AA" w:rsidP="00B37330">
                  <w:r>
                    <w:t>Weight range</w:t>
                  </w:r>
                </w:p>
              </w:tc>
              <w:tc>
                <w:tcPr>
                  <w:tcW w:w="1170" w:type="dxa"/>
                  <w:tcBorders>
                    <w:bottom w:val="single" w:sz="4" w:space="0" w:color="auto"/>
                  </w:tcBorders>
                </w:tcPr>
                <w:p w14:paraId="67246055" w14:textId="30A238C9" w:rsidR="00B37330" w:rsidRDefault="008918AA" w:rsidP="00B37330">
                  <w:r>
                    <w:t>Dose</w:t>
                  </w:r>
                </w:p>
              </w:tc>
            </w:tr>
            <w:tr w:rsidR="00B37330" w14:paraId="43C7545A" w14:textId="77777777" w:rsidTr="006D7829">
              <w:tc>
                <w:tcPr>
                  <w:tcW w:w="2277" w:type="dxa"/>
                  <w:tcBorders>
                    <w:top w:val="single" w:sz="4" w:space="0" w:color="auto"/>
                  </w:tcBorders>
                </w:tcPr>
                <w:p w14:paraId="398B5B76" w14:textId="71D4F144" w:rsidR="00B37330" w:rsidRDefault="008918AA" w:rsidP="008918AA">
                  <w:r>
                    <w:t>6 months to &lt; 1 year</w:t>
                  </w:r>
                </w:p>
              </w:tc>
              <w:tc>
                <w:tcPr>
                  <w:tcW w:w="1980" w:type="dxa"/>
                  <w:tcBorders>
                    <w:top w:val="single" w:sz="4" w:space="0" w:color="auto"/>
                  </w:tcBorders>
                </w:tcPr>
                <w:p w14:paraId="32408653" w14:textId="6C406395" w:rsidR="00B37330" w:rsidRDefault="008918AA" w:rsidP="00B37330">
                  <w:r>
                    <w:t>7 kg to &lt; 12 kg</w:t>
                  </w:r>
                </w:p>
              </w:tc>
              <w:tc>
                <w:tcPr>
                  <w:tcW w:w="1170" w:type="dxa"/>
                  <w:tcBorders>
                    <w:top w:val="single" w:sz="4" w:space="0" w:color="auto"/>
                  </w:tcBorders>
                </w:tcPr>
                <w:p w14:paraId="706DEA6D" w14:textId="23CD5AB8" w:rsidR="00B37330" w:rsidRDefault="008918AA" w:rsidP="00B37330">
                  <w:r>
                    <w:t>2.5 mg</w:t>
                  </w:r>
                </w:p>
              </w:tc>
            </w:tr>
            <w:tr w:rsidR="00B37330" w14:paraId="14EC155E" w14:textId="77777777" w:rsidTr="008918AA">
              <w:tc>
                <w:tcPr>
                  <w:tcW w:w="2277" w:type="dxa"/>
                </w:tcPr>
                <w:p w14:paraId="50FBEB2B" w14:textId="32B467C9" w:rsidR="00B37330" w:rsidRDefault="008918AA" w:rsidP="00B37330">
                  <w:r>
                    <w:t>1 year to &lt; 5 years</w:t>
                  </w:r>
                </w:p>
              </w:tc>
              <w:tc>
                <w:tcPr>
                  <w:tcW w:w="1980" w:type="dxa"/>
                </w:tcPr>
                <w:p w14:paraId="6B79AEBB" w14:textId="7CFF403D" w:rsidR="00B37330" w:rsidRDefault="008918AA" w:rsidP="00B37330">
                  <w:r>
                    <w:t>12 kg to &lt; 21 kg</w:t>
                  </w:r>
                </w:p>
              </w:tc>
              <w:tc>
                <w:tcPr>
                  <w:tcW w:w="1170" w:type="dxa"/>
                </w:tcPr>
                <w:p w14:paraId="36311B2B" w14:textId="6CC105F8" w:rsidR="00B37330" w:rsidRDefault="008918AA" w:rsidP="00B37330">
                  <w:r>
                    <w:t>5 mg</w:t>
                  </w:r>
                </w:p>
              </w:tc>
            </w:tr>
            <w:tr w:rsidR="00B37330" w14:paraId="0AC22DF2" w14:textId="77777777" w:rsidTr="008918AA">
              <w:tc>
                <w:tcPr>
                  <w:tcW w:w="2277" w:type="dxa"/>
                </w:tcPr>
                <w:p w14:paraId="3FFC7B55" w14:textId="4DFE48BC" w:rsidR="00B37330" w:rsidRDefault="008918AA" w:rsidP="00B37330">
                  <w:r>
                    <w:t>5 years to &lt; 10 years</w:t>
                  </w:r>
                </w:p>
              </w:tc>
              <w:tc>
                <w:tcPr>
                  <w:tcW w:w="1980" w:type="dxa"/>
                </w:tcPr>
                <w:p w14:paraId="541450F5" w14:textId="3E1039E6" w:rsidR="00B37330" w:rsidRDefault="008918AA" w:rsidP="00B37330">
                  <w:r>
                    <w:t>21 kg to &lt; 29 kg</w:t>
                  </w:r>
                </w:p>
              </w:tc>
              <w:tc>
                <w:tcPr>
                  <w:tcW w:w="1170" w:type="dxa"/>
                </w:tcPr>
                <w:p w14:paraId="2A72A21E" w14:textId="139AE01D" w:rsidR="00B37330" w:rsidRDefault="008918AA" w:rsidP="00B37330">
                  <w:r>
                    <w:t>7.5 mg</w:t>
                  </w:r>
                </w:p>
              </w:tc>
            </w:tr>
            <w:tr w:rsidR="00B37330" w14:paraId="5133EE62" w14:textId="77777777" w:rsidTr="008918AA">
              <w:tc>
                <w:tcPr>
                  <w:tcW w:w="2277" w:type="dxa"/>
                </w:tcPr>
                <w:p w14:paraId="5669569C" w14:textId="23408817" w:rsidR="00B37330" w:rsidRDefault="008918AA" w:rsidP="00B37330">
                  <w:r>
                    <w:t>10 years and above</w:t>
                  </w:r>
                </w:p>
              </w:tc>
              <w:tc>
                <w:tcPr>
                  <w:tcW w:w="1980" w:type="dxa"/>
                </w:tcPr>
                <w:p w14:paraId="222C7345" w14:textId="489BC06E" w:rsidR="00B37330" w:rsidRDefault="008918AA" w:rsidP="00B37330">
                  <w:r>
                    <w:t>≥ 29 kg</w:t>
                  </w:r>
                </w:p>
              </w:tc>
              <w:tc>
                <w:tcPr>
                  <w:tcW w:w="1170" w:type="dxa"/>
                </w:tcPr>
                <w:p w14:paraId="1E4ED451" w14:textId="56F20395" w:rsidR="00B37330" w:rsidRDefault="008918AA" w:rsidP="00B37330">
                  <w:r>
                    <w:t>10 mg</w:t>
                  </w:r>
                </w:p>
              </w:tc>
            </w:tr>
          </w:tbl>
          <w:p w14:paraId="15200E60" w14:textId="77777777" w:rsidR="008918AA" w:rsidRDefault="008918AA" w:rsidP="008918AA">
            <w:r>
              <w:t>The recommended dose for adults and children 10 years and above is 10 mg.</w:t>
            </w:r>
          </w:p>
          <w:p w14:paraId="6C72EBFD" w14:textId="2446744F" w:rsidR="008918AA" w:rsidRDefault="008918AA" w:rsidP="008918AA">
            <w:r w:rsidRPr="00F53D31">
              <w:t>A second dose should only be given in accordance with either the patient’s individual written care plan or as authorised by the medical practitioner.</w:t>
            </w:r>
          </w:p>
          <w:p w14:paraId="2674E646" w14:textId="0D817A35" w:rsidR="008918AA" w:rsidRDefault="008918AA" w:rsidP="008918AA">
            <w:r>
              <w:t>Carers should only administer a single dose of Zyamis. They should seek emergency medical assistance and telephone for an ambulance immediately if the patient’s seizure does not stop shortly after administering Zyamis</w:t>
            </w:r>
            <w:r w:rsidR="000A1F3B">
              <w:t xml:space="preserve">. </w:t>
            </w:r>
            <w:r>
              <w:t>Carer’s must be thoroughly trained by the prescriber on how to act if a seizure continues after a single dose of Zyamis</w:t>
            </w:r>
            <w:r w:rsidR="000A1F3B">
              <w:t xml:space="preserve">. </w:t>
            </w:r>
            <w:r>
              <w:t>After receiving Zyamis, patients should be kept under supervision by a carer who remains with the patient.</w:t>
            </w:r>
          </w:p>
          <w:p w14:paraId="081E61CE" w14:textId="3E215B8C" w:rsidR="00460036" w:rsidRPr="00B37330" w:rsidRDefault="00DB0968" w:rsidP="008918AA">
            <w:r>
              <w:t>Unless part of the written care plan or previously authorised by the medical care practitioner</w:t>
            </w:r>
            <w:r w:rsidR="008F59DB">
              <w:t>,</w:t>
            </w:r>
            <w:r>
              <w:t xml:space="preserve"> a second or repeat dose when seizures re-occur after an initial response should not be given without prior medical advice. </w:t>
            </w:r>
            <w:r w:rsidR="008918AA">
              <w:t>The increased possibility of respiratory depression should be considered.</w:t>
            </w:r>
          </w:p>
        </w:tc>
      </w:tr>
      <w:tr w:rsidR="00460036" w:rsidRPr="00487162" w14:paraId="716DF16E" w14:textId="77777777" w:rsidTr="00BF1190">
        <w:tc>
          <w:tcPr>
            <w:tcW w:w="2907" w:type="dxa"/>
          </w:tcPr>
          <w:p w14:paraId="1E943BCA" w14:textId="77777777" w:rsidR="00460036" w:rsidRPr="00487162" w:rsidRDefault="00460036" w:rsidP="00E45619">
            <w:pPr>
              <w:rPr>
                <w:i/>
              </w:rPr>
            </w:pPr>
            <w:r w:rsidRPr="00460036">
              <w:rPr>
                <w:i/>
              </w:rPr>
              <w:lastRenderedPageBreak/>
              <w:t>Pregnancy category</w:t>
            </w:r>
            <w:r>
              <w:rPr>
                <w:i/>
              </w:rPr>
              <w:t>:</w:t>
            </w:r>
          </w:p>
        </w:tc>
        <w:tc>
          <w:tcPr>
            <w:tcW w:w="6307" w:type="dxa"/>
          </w:tcPr>
          <w:p w14:paraId="62438D36" w14:textId="02744D17" w:rsidR="00E421CA" w:rsidRPr="00D560CD" w:rsidRDefault="00E421CA" w:rsidP="00460036">
            <w:pPr>
              <w:pStyle w:val="Instructions"/>
              <w:rPr>
                <w:rFonts w:asciiTheme="minorHAnsi" w:hAnsiTheme="minorHAnsi"/>
                <w:i w:val="0"/>
                <w:iCs/>
                <w:color w:val="auto"/>
              </w:rPr>
            </w:pPr>
            <w:r w:rsidRPr="00D560CD">
              <w:rPr>
                <w:rFonts w:asciiTheme="minorHAnsi" w:hAnsiTheme="minorHAnsi"/>
                <w:i w:val="0"/>
                <w:iCs/>
                <w:color w:val="auto"/>
              </w:rPr>
              <w:t>C</w:t>
            </w:r>
          </w:p>
          <w:p w14:paraId="3DD79BD5" w14:textId="20C1D0D2" w:rsidR="00E421CA" w:rsidRPr="00D560CD" w:rsidRDefault="00E421CA" w:rsidP="00460036">
            <w:pPr>
              <w:rPr>
                <w:rFonts w:asciiTheme="minorHAnsi" w:hAnsiTheme="minorHAnsi"/>
                <w:iCs/>
              </w:rPr>
            </w:pPr>
            <w:r w:rsidRPr="00D560CD">
              <w:rPr>
                <w:rFonts w:asciiTheme="minorHAnsi" w:hAnsiTheme="minorHAnsi"/>
                <w:iCs/>
                <w:shd w:val="clear" w:color="auto" w:fill="F9F9F9"/>
              </w:rPr>
              <w:t>Drugs which, owing to their pharmacological effects, have caused or may be suspected of causing, harmful effects on the human fetus or neonate without causing malformations. These effects may be reversible. Accompanying texts should be consulted for further details.</w:t>
            </w:r>
          </w:p>
          <w:p w14:paraId="25ACCE2A" w14:textId="6EC2AF9A" w:rsidR="00460036" w:rsidRPr="00D560CD" w:rsidRDefault="00460036" w:rsidP="00460036">
            <w:r w:rsidRPr="00D560CD">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21D3F070" w14:textId="4DED73C5" w:rsidR="008E7846" w:rsidRPr="007C5FFC" w:rsidRDefault="008E7846" w:rsidP="008E7846">
      <w:pPr>
        <w:pStyle w:val="Heading3"/>
      </w:pPr>
      <w:bookmarkStart w:id="13" w:name="_Toc247691503"/>
      <w:bookmarkStart w:id="14" w:name="_Toc314842484"/>
      <w:bookmarkStart w:id="15" w:name="_Toc132882391"/>
      <w:r w:rsidRPr="007C5FFC">
        <w:lastRenderedPageBreak/>
        <w:t>Product background</w:t>
      </w:r>
      <w:bookmarkEnd w:id="13"/>
      <w:bookmarkEnd w:id="14"/>
      <w:bookmarkEnd w:id="15"/>
    </w:p>
    <w:p w14:paraId="5ABBCCAE" w14:textId="07683EF9" w:rsidR="008E7846" w:rsidRDefault="00250271" w:rsidP="00940A89">
      <w:r w:rsidRPr="007C5FFC">
        <w:t xml:space="preserve">This AusPAR describes the application by </w:t>
      </w:r>
      <w:r w:rsidR="00857184" w:rsidRPr="007C5FFC">
        <w:rPr>
          <w:rFonts w:asciiTheme="minorHAnsi" w:hAnsiTheme="minorHAnsi"/>
          <w:szCs w:val="17"/>
        </w:rPr>
        <w:t xml:space="preserve">Veriton Pharma Pty </w:t>
      </w:r>
      <w:r w:rsidR="002625F3">
        <w:rPr>
          <w:rFonts w:asciiTheme="minorHAnsi" w:hAnsiTheme="minorHAnsi"/>
          <w:szCs w:val="17"/>
        </w:rPr>
        <w:t>Ltd</w:t>
      </w:r>
      <w:r w:rsidR="00857184" w:rsidRPr="007C5FFC">
        <w:rPr>
          <w:rFonts w:asciiTheme="minorHAnsi" w:hAnsiTheme="minorHAnsi"/>
          <w:szCs w:val="17"/>
        </w:rPr>
        <w:t xml:space="preserve"> </w:t>
      </w:r>
      <w:r w:rsidRPr="007C5FFC">
        <w:t xml:space="preserve">(the sponsor) to register </w:t>
      </w:r>
      <w:r w:rsidR="00857184" w:rsidRPr="007C5FFC">
        <w:t xml:space="preserve">Zyamis </w:t>
      </w:r>
      <w:r w:rsidR="000A1F3B">
        <w:t xml:space="preserve">(midazolam </w:t>
      </w:r>
      <w:r w:rsidR="00D560CD" w:rsidRPr="007C5FFC">
        <w:t>maleate</w:t>
      </w:r>
      <w:r w:rsidR="000A1F3B">
        <w:t>)</w:t>
      </w:r>
      <w:r w:rsidR="00D560CD" w:rsidRPr="007C5FFC">
        <w:t xml:space="preserve"> </w:t>
      </w:r>
      <w:r w:rsidR="000A1F3B">
        <w:t xml:space="preserve">in prefilled oral syringes containing 10 mg/1 mL, 7.5 mg/0.75 mL, 5 mg/0.5 mL and 2.5 mg/0.25 mL of midazolam </w:t>
      </w:r>
      <w:r w:rsidR="002625F3">
        <w:t xml:space="preserve">maleate </w:t>
      </w:r>
      <w:r w:rsidRPr="007C5FFC">
        <w:t xml:space="preserve">for </w:t>
      </w:r>
      <w:r w:rsidR="00857184" w:rsidRPr="007C5FFC">
        <w:t xml:space="preserve">buccal administration </w:t>
      </w:r>
      <w:r w:rsidR="008F59DB">
        <w:t>for</w:t>
      </w:r>
      <w:r w:rsidR="008F59DB" w:rsidRPr="007C5FFC">
        <w:t xml:space="preserve"> </w:t>
      </w:r>
      <w:r w:rsidR="002625F3">
        <w:t>the following indication</w:t>
      </w:r>
      <w:r w:rsidR="00CF5DAD" w:rsidRPr="007C5FFC">
        <w:t>:</w:t>
      </w:r>
    </w:p>
    <w:p w14:paraId="06D1BC75" w14:textId="77777777" w:rsidR="000A1F3B" w:rsidRPr="000A1F3B" w:rsidRDefault="000A1F3B" w:rsidP="000A1F3B">
      <w:pPr>
        <w:ind w:left="720"/>
        <w:rPr>
          <w:i/>
        </w:rPr>
      </w:pPr>
      <w:r w:rsidRPr="000A1F3B">
        <w:rPr>
          <w:i/>
        </w:rPr>
        <w:t>The treatment of Prolonged Acute Convulsive Seizures (PACS) in infants, children and adolescents aged from 6 months to less than 18 years old when IV Diazepam is not available or inappropriate to use.</w:t>
      </w:r>
    </w:p>
    <w:p w14:paraId="310C126F" w14:textId="37377BD8" w:rsidR="000A1F3B" w:rsidRPr="000A1F3B" w:rsidRDefault="000A1F3B" w:rsidP="000A1F3B">
      <w:pPr>
        <w:ind w:left="720"/>
        <w:rPr>
          <w:i/>
        </w:rPr>
      </w:pPr>
      <w:r w:rsidRPr="000A1F3B">
        <w:rPr>
          <w:i/>
        </w:rPr>
        <w:t>Zyamis must only be used by parents/caregivers where the patient has been diagnosed to have epilepsy.</w:t>
      </w:r>
    </w:p>
    <w:p w14:paraId="15D33E52" w14:textId="7D8CBDF5" w:rsidR="00BD2BAB" w:rsidRDefault="000A1F3B" w:rsidP="00A70919">
      <w:bookmarkStart w:id="16" w:name="_Toc77073417"/>
      <w:bookmarkStart w:id="17" w:name="_Toc314842485"/>
      <w:bookmarkStart w:id="18" w:name="_Toc247691504"/>
      <w:r>
        <w:t>Note that d</w:t>
      </w:r>
      <w:r w:rsidR="00BD2BAB">
        <w:t xml:space="preserve">uring the evaluation of this submission the proposed tradename was changed </w:t>
      </w:r>
      <w:r>
        <w:t xml:space="preserve">by the sponsor </w:t>
      </w:r>
      <w:r w:rsidR="00BD2BAB">
        <w:t>from Epistatus to Zyamis.</w:t>
      </w:r>
    </w:p>
    <w:p w14:paraId="6517B2C4" w14:textId="45449300" w:rsidR="00A8273C" w:rsidRDefault="00A8273C" w:rsidP="00A70919">
      <w:r>
        <w:t>This is</w:t>
      </w:r>
      <w:r w:rsidRPr="002A39EB">
        <w:t xml:space="preserve"> </w:t>
      </w:r>
      <w:r>
        <w:t>a submission seeking</w:t>
      </w:r>
      <w:r w:rsidRPr="002A39EB">
        <w:t xml:space="preserve"> </w:t>
      </w:r>
      <w:r>
        <w:t>to extend the indications</w:t>
      </w:r>
      <w:r w:rsidR="002625F3">
        <w:t xml:space="preserve"> of midazolam</w:t>
      </w:r>
      <w:r>
        <w:t xml:space="preserve"> using a new salt</w:t>
      </w:r>
      <w:r w:rsidR="002625F3">
        <w:t xml:space="preserve"> (</w:t>
      </w:r>
      <w:r w:rsidR="001D5AC9">
        <w:t xml:space="preserve">midazolam </w:t>
      </w:r>
      <w:r w:rsidR="002625F3">
        <w:t xml:space="preserve">maleate versus </w:t>
      </w:r>
      <w:r w:rsidR="001D5AC9">
        <w:t xml:space="preserve">midazolam </w:t>
      </w:r>
      <w:r w:rsidR="002625F3">
        <w:t>hydrochloride) in a</w:t>
      </w:r>
      <w:r>
        <w:t xml:space="preserve"> new formulation and </w:t>
      </w:r>
      <w:r w:rsidR="002625F3">
        <w:t xml:space="preserve">via a </w:t>
      </w:r>
      <w:r>
        <w:t>new route of administration</w:t>
      </w:r>
      <w:r w:rsidR="001D5AC9">
        <w:t xml:space="preserve"> (oromucosal/buccal administration)</w:t>
      </w:r>
      <w:r w:rsidRPr="002A39EB">
        <w:t>.</w:t>
      </w:r>
    </w:p>
    <w:p w14:paraId="08FC0C46" w14:textId="73DB78D5" w:rsidR="009D42AE" w:rsidRDefault="00E87539" w:rsidP="00A70919">
      <w:r w:rsidRPr="002625F3">
        <w:t>Midazolam has not previously been approved for children as you</w:t>
      </w:r>
      <w:r w:rsidR="00417C1D" w:rsidRPr="002625F3">
        <w:t>ng</w:t>
      </w:r>
      <w:r w:rsidR="002625F3">
        <w:t xml:space="preserve"> as 6 months old. </w:t>
      </w:r>
      <w:r w:rsidR="007C3DC2">
        <w:t>An intravenous formulation of d</w:t>
      </w:r>
      <w:r w:rsidR="004D1098">
        <w:t>iazepam, a</w:t>
      </w:r>
      <w:r w:rsidR="002625F3">
        <w:t> </w:t>
      </w:r>
      <w:r w:rsidR="009D42AE" w:rsidRPr="009D42AE">
        <w:t xml:space="preserve">benzodiazepine </w:t>
      </w:r>
      <w:r w:rsidR="004D1098">
        <w:t>related to midazolam,</w:t>
      </w:r>
      <w:r w:rsidR="00C12A66">
        <w:t xml:space="preserve"> (diazepam injection);</w:t>
      </w:r>
      <w:bookmarkStart w:id="19" w:name="_Ref109028386"/>
      <w:r w:rsidR="00C12A66">
        <w:rPr>
          <w:rStyle w:val="FootnoteReference"/>
        </w:rPr>
        <w:footnoteReference w:id="2"/>
      </w:r>
      <w:bookmarkEnd w:id="19"/>
      <w:r w:rsidR="009D42AE" w:rsidRPr="009D42AE">
        <w:t xml:space="preserve"> is registered </w:t>
      </w:r>
      <w:r w:rsidR="007C3DC2">
        <w:t>for use in Australia</w:t>
      </w:r>
      <w:r w:rsidR="009D42AE" w:rsidRPr="009D42AE">
        <w:t xml:space="preserve"> for </w:t>
      </w:r>
      <w:r w:rsidR="006D7829">
        <w:t xml:space="preserve">the following </w:t>
      </w:r>
      <w:r w:rsidR="006D7829" w:rsidRPr="00F0605A">
        <w:t>indication</w:t>
      </w:r>
      <w:r w:rsidR="006D7829" w:rsidRPr="006D7829">
        <w:rPr>
          <w:i/>
        </w:rPr>
        <w:t xml:space="preserve"> ‘Intravenous diazepam is useful in controlling status epilepticus’</w:t>
      </w:r>
      <w:r w:rsidR="007C3DC2">
        <w:t>.</w:t>
      </w:r>
      <w:r w:rsidR="009D42AE" w:rsidRPr="009D42AE">
        <w:t xml:space="preserve"> </w:t>
      </w:r>
      <w:r w:rsidR="007C3DC2">
        <w:t>This</w:t>
      </w:r>
      <w:r w:rsidR="009D42AE" w:rsidRPr="009D42AE">
        <w:t xml:space="preserve"> indication </w:t>
      </w:r>
      <w:r w:rsidR="007C3DC2">
        <w:t>is very similar</w:t>
      </w:r>
      <w:r w:rsidR="009D42AE" w:rsidRPr="009D42AE">
        <w:t xml:space="preserve"> to the one proposed for </w:t>
      </w:r>
      <w:r w:rsidR="009D42AE">
        <w:t>Zyamis</w:t>
      </w:r>
      <w:r w:rsidR="009D42AE" w:rsidRPr="009D42AE">
        <w:t xml:space="preserve">. Notably however, while the sponsor wishes to limit use of </w:t>
      </w:r>
      <w:r w:rsidR="009D42AE">
        <w:t>their</w:t>
      </w:r>
      <w:r w:rsidR="00FB0363">
        <w:t xml:space="preserve"> </w:t>
      </w:r>
      <w:r w:rsidR="009D42AE">
        <w:t>product</w:t>
      </w:r>
      <w:r w:rsidR="009D42AE" w:rsidRPr="009D42AE">
        <w:t xml:space="preserve"> to certain age groups, diazepam injection is neither contraindicated nor restricted to any age range</w:t>
      </w:r>
      <w:r w:rsidR="007C5FFC">
        <w:t>.</w:t>
      </w:r>
    </w:p>
    <w:p w14:paraId="69198608" w14:textId="3E0F9786" w:rsidR="00C17E13" w:rsidRPr="00A924F7" w:rsidRDefault="001D5343" w:rsidP="00A924F7">
      <w:pPr>
        <w:pStyle w:val="Heading4"/>
      </w:pPr>
      <w:r>
        <w:t>Seizure and status epilepticus</w:t>
      </w:r>
    </w:p>
    <w:p w14:paraId="0A0F7995" w14:textId="187F9726" w:rsidR="00EC6382" w:rsidRPr="00A226CB" w:rsidRDefault="00A226CB" w:rsidP="00A226CB">
      <w:pPr>
        <w:rPr>
          <w:rFonts w:asciiTheme="minorHAnsi" w:hAnsiTheme="minorHAnsi" w:cstheme="majorHAnsi"/>
          <w:lang w:eastAsia="ja-JP"/>
        </w:rPr>
      </w:pPr>
      <w:r w:rsidRPr="00A226CB">
        <w:rPr>
          <w:rFonts w:asciiTheme="minorHAnsi" w:hAnsiTheme="minorHAnsi" w:cstheme="majorHAnsi"/>
          <w:lang w:eastAsia="ja-JP"/>
        </w:rPr>
        <w:t xml:space="preserve">A seizure is defined as a transient occurrence of signs </w:t>
      </w:r>
      <w:r>
        <w:rPr>
          <w:rFonts w:asciiTheme="minorHAnsi" w:hAnsiTheme="minorHAnsi" w:cstheme="majorHAnsi"/>
          <w:lang w:eastAsia="ja-JP"/>
        </w:rPr>
        <w:t xml:space="preserve">and/or symptoms due to abnormal </w:t>
      </w:r>
      <w:r w:rsidRPr="00A226CB">
        <w:rPr>
          <w:rFonts w:asciiTheme="minorHAnsi" w:hAnsiTheme="minorHAnsi" w:cstheme="majorHAnsi"/>
          <w:lang w:eastAsia="ja-JP"/>
        </w:rPr>
        <w:t>excessive and synchronous neuronal activity in the brain. Tradi</w:t>
      </w:r>
      <w:r>
        <w:rPr>
          <w:rFonts w:asciiTheme="minorHAnsi" w:hAnsiTheme="minorHAnsi" w:cstheme="majorHAnsi"/>
          <w:lang w:eastAsia="ja-JP"/>
        </w:rPr>
        <w:t xml:space="preserve">tionally, seizures lasting less </w:t>
      </w:r>
      <w:r w:rsidRPr="00A226CB">
        <w:rPr>
          <w:rFonts w:asciiTheme="minorHAnsi" w:hAnsiTheme="minorHAnsi" w:cstheme="majorHAnsi"/>
          <w:lang w:eastAsia="ja-JP"/>
        </w:rPr>
        <w:t>than 5 minutes are considered as ‘brief’, while seizures la</w:t>
      </w:r>
      <w:r>
        <w:rPr>
          <w:rFonts w:asciiTheme="minorHAnsi" w:hAnsiTheme="minorHAnsi" w:cstheme="majorHAnsi"/>
          <w:lang w:eastAsia="ja-JP"/>
        </w:rPr>
        <w:t xml:space="preserve">st between 5 and 30 minutes are </w:t>
      </w:r>
      <w:r w:rsidRPr="00A226CB">
        <w:rPr>
          <w:rFonts w:asciiTheme="minorHAnsi" w:hAnsiTheme="minorHAnsi" w:cstheme="majorHAnsi"/>
          <w:lang w:eastAsia="ja-JP"/>
        </w:rPr>
        <w:t>defined as ‘prolonged’. Status epilepticus is defined as</w:t>
      </w:r>
      <w:r>
        <w:rPr>
          <w:rFonts w:asciiTheme="minorHAnsi" w:hAnsiTheme="minorHAnsi" w:cstheme="majorHAnsi"/>
          <w:lang w:eastAsia="ja-JP"/>
        </w:rPr>
        <w:t xml:space="preserve"> more than 30 minutes of either </w:t>
      </w:r>
      <w:r w:rsidRPr="00A226CB">
        <w:rPr>
          <w:rFonts w:asciiTheme="minorHAnsi" w:hAnsiTheme="minorHAnsi" w:cstheme="majorHAnsi"/>
          <w:lang w:eastAsia="ja-JP"/>
        </w:rPr>
        <w:t>continuous seizure activity or two or more sequential se</w:t>
      </w:r>
      <w:r>
        <w:rPr>
          <w:rFonts w:asciiTheme="minorHAnsi" w:hAnsiTheme="minorHAnsi" w:cstheme="majorHAnsi"/>
          <w:lang w:eastAsia="ja-JP"/>
        </w:rPr>
        <w:t xml:space="preserve">izures without full recovery of </w:t>
      </w:r>
      <w:r w:rsidRPr="00A226CB">
        <w:rPr>
          <w:rFonts w:asciiTheme="minorHAnsi" w:hAnsiTheme="minorHAnsi" w:cstheme="majorHAnsi"/>
          <w:lang w:eastAsia="ja-JP"/>
        </w:rPr>
        <w:t>consciousness</w:t>
      </w:r>
      <w:r>
        <w:rPr>
          <w:rFonts w:asciiTheme="minorHAnsi" w:hAnsiTheme="minorHAnsi" w:cstheme="majorHAnsi"/>
          <w:lang w:eastAsia="ja-JP"/>
        </w:rPr>
        <w:t xml:space="preserve"> between the episodes.</w:t>
      </w:r>
      <w:bookmarkStart w:id="20" w:name="_Ref108432623"/>
      <w:r>
        <w:rPr>
          <w:rStyle w:val="FootnoteReference"/>
          <w:rFonts w:asciiTheme="minorHAnsi" w:hAnsiTheme="minorHAnsi" w:cstheme="majorHAnsi"/>
          <w:lang w:eastAsia="ja-JP"/>
        </w:rPr>
        <w:footnoteReference w:id="3"/>
      </w:r>
      <w:bookmarkEnd w:id="20"/>
      <w:r>
        <w:rPr>
          <w:rFonts w:asciiTheme="minorHAnsi" w:hAnsiTheme="minorHAnsi" w:cstheme="majorHAnsi"/>
          <w:lang w:eastAsia="ja-JP"/>
        </w:rPr>
        <w:t xml:space="preserve"> </w:t>
      </w:r>
      <w:r w:rsidRPr="00A226CB">
        <w:rPr>
          <w:rFonts w:asciiTheme="minorHAnsi" w:hAnsiTheme="minorHAnsi" w:cstheme="majorHAnsi"/>
          <w:lang w:eastAsia="ja-JP"/>
        </w:rPr>
        <w:t>Th</w:t>
      </w:r>
      <w:r>
        <w:rPr>
          <w:rFonts w:asciiTheme="minorHAnsi" w:hAnsiTheme="minorHAnsi" w:cstheme="majorHAnsi"/>
          <w:lang w:eastAsia="ja-JP"/>
        </w:rPr>
        <w:t xml:space="preserve">e 30-minute definition is based </w:t>
      </w:r>
      <w:r w:rsidRPr="00A226CB">
        <w:rPr>
          <w:rFonts w:asciiTheme="minorHAnsi" w:hAnsiTheme="minorHAnsi" w:cstheme="majorHAnsi"/>
          <w:lang w:eastAsia="ja-JP"/>
        </w:rPr>
        <w:t>on the duration of convulsive activity that may lead to permanent neuronal injury by itself</w:t>
      </w:r>
      <w:r w:rsidR="007C3DC2">
        <w:rPr>
          <w:rFonts w:asciiTheme="minorHAnsi" w:hAnsiTheme="minorHAnsi" w:cstheme="majorHAnsi"/>
          <w:lang w:eastAsia="ja-JP"/>
        </w:rPr>
        <w:t>, as</w:t>
      </w:r>
      <w:r w:rsidRPr="00A226CB">
        <w:rPr>
          <w:rFonts w:asciiTheme="minorHAnsi" w:hAnsiTheme="minorHAnsi" w:cstheme="majorHAnsi"/>
          <w:lang w:eastAsia="ja-JP"/>
        </w:rPr>
        <w:t xml:space="preserve"> </w:t>
      </w:r>
      <w:r>
        <w:rPr>
          <w:rFonts w:asciiTheme="minorHAnsi" w:hAnsiTheme="minorHAnsi" w:cstheme="majorHAnsi"/>
          <w:lang w:eastAsia="ja-JP"/>
        </w:rPr>
        <w:t xml:space="preserve">status epilepticus </w:t>
      </w:r>
      <w:r w:rsidRPr="00A226CB">
        <w:rPr>
          <w:rFonts w:asciiTheme="minorHAnsi" w:hAnsiTheme="minorHAnsi" w:cstheme="majorHAnsi"/>
          <w:lang w:eastAsia="ja-JP"/>
        </w:rPr>
        <w:t xml:space="preserve">is a potentially life-threatening condition associated with </w:t>
      </w:r>
      <w:r w:rsidR="006D7829" w:rsidRPr="00A226CB">
        <w:rPr>
          <w:rFonts w:asciiTheme="minorHAnsi" w:hAnsiTheme="minorHAnsi" w:cstheme="majorHAnsi"/>
          <w:lang w:eastAsia="ja-JP"/>
        </w:rPr>
        <w:t>lon</w:t>
      </w:r>
      <w:r w:rsidR="006D7829">
        <w:rPr>
          <w:rFonts w:asciiTheme="minorHAnsi" w:hAnsiTheme="minorHAnsi" w:cstheme="majorHAnsi"/>
          <w:lang w:eastAsia="ja-JP"/>
        </w:rPr>
        <w:t>g-term</w:t>
      </w:r>
      <w:r>
        <w:rPr>
          <w:rFonts w:asciiTheme="minorHAnsi" w:hAnsiTheme="minorHAnsi" w:cstheme="majorHAnsi"/>
          <w:lang w:eastAsia="ja-JP"/>
        </w:rPr>
        <w:t xml:space="preserve"> morbidity. The estimated </w:t>
      </w:r>
      <w:r w:rsidRPr="00A226CB">
        <w:rPr>
          <w:rFonts w:asciiTheme="minorHAnsi" w:hAnsiTheme="minorHAnsi" w:cstheme="majorHAnsi"/>
          <w:lang w:eastAsia="ja-JP"/>
        </w:rPr>
        <w:t xml:space="preserve">incidence of </w:t>
      </w:r>
      <w:r>
        <w:rPr>
          <w:rFonts w:asciiTheme="minorHAnsi" w:hAnsiTheme="minorHAnsi" w:cstheme="majorHAnsi"/>
          <w:lang w:eastAsia="ja-JP"/>
        </w:rPr>
        <w:t xml:space="preserve">status epilepticus </w:t>
      </w:r>
      <w:r w:rsidRPr="00A226CB">
        <w:rPr>
          <w:rFonts w:asciiTheme="minorHAnsi" w:hAnsiTheme="minorHAnsi" w:cstheme="majorHAnsi"/>
          <w:lang w:eastAsia="ja-JP"/>
        </w:rPr>
        <w:t>is up to 61 p</w:t>
      </w:r>
      <w:r w:rsidR="006D7829">
        <w:rPr>
          <w:rFonts w:asciiTheme="minorHAnsi" w:hAnsiTheme="minorHAnsi" w:cstheme="majorHAnsi"/>
          <w:lang w:eastAsia="ja-JP"/>
        </w:rPr>
        <w:t>er 100,</w:t>
      </w:r>
      <w:r>
        <w:rPr>
          <w:rFonts w:asciiTheme="minorHAnsi" w:hAnsiTheme="minorHAnsi" w:cstheme="majorHAnsi"/>
          <w:lang w:eastAsia="ja-JP"/>
        </w:rPr>
        <w:t>000 person years;</w:t>
      </w:r>
      <w:bookmarkStart w:id="21" w:name="_Ref108432626"/>
      <w:r>
        <w:rPr>
          <w:rStyle w:val="FootnoteReference"/>
          <w:rFonts w:asciiTheme="minorHAnsi" w:hAnsiTheme="minorHAnsi" w:cstheme="majorHAnsi"/>
          <w:lang w:eastAsia="ja-JP"/>
        </w:rPr>
        <w:footnoteReference w:id="4"/>
      </w:r>
      <w:bookmarkEnd w:id="21"/>
      <w:r>
        <w:rPr>
          <w:rFonts w:asciiTheme="minorHAnsi" w:hAnsiTheme="minorHAnsi" w:cstheme="majorHAnsi"/>
          <w:lang w:eastAsia="ja-JP"/>
        </w:rPr>
        <w:t xml:space="preserve"> and is bimodally </w:t>
      </w:r>
      <w:r w:rsidRPr="00A226CB">
        <w:rPr>
          <w:rFonts w:asciiTheme="minorHAnsi" w:hAnsiTheme="minorHAnsi" w:cstheme="majorHAnsi"/>
          <w:lang w:eastAsia="ja-JP"/>
        </w:rPr>
        <w:t>distributed, occurring most frequently during the first year of life and after the age of 60 years.</w:t>
      </w:r>
      <w:r>
        <w:rPr>
          <w:rFonts w:asciiTheme="minorHAnsi" w:hAnsiTheme="minorHAnsi" w:cstheme="majorHAnsi"/>
          <w:lang w:eastAsia="ja-JP"/>
        </w:rPr>
        <w:t xml:space="preserve"> </w:t>
      </w:r>
      <w:r w:rsidR="00EC6382">
        <w:rPr>
          <w:color w:val="000000"/>
          <w:shd w:val="clear" w:color="auto" w:fill="FFFFFF"/>
        </w:rPr>
        <w:t>Generalised convulsive status epilepticus is one of the most common medical emergencies in clinical practice. Status epilepticus occurs not only in people with epilepsy but also in the context of other neurological disorders and systemic illness. Prompt recognition and treatment are required to prevent associated complications.</w:t>
      </w:r>
    </w:p>
    <w:p w14:paraId="3725AC7C" w14:textId="77777777" w:rsidR="00F54D8F" w:rsidRDefault="00A226CB" w:rsidP="00A226CB">
      <w:pPr>
        <w:rPr>
          <w:color w:val="000000"/>
          <w:shd w:val="clear" w:color="auto" w:fill="FFFFFF"/>
        </w:rPr>
      </w:pPr>
      <w:r w:rsidRPr="00A226CB">
        <w:rPr>
          <w:color w:val="000000"/>
          <w:shd w:val="clear" w:color="auto" w:fill="FFFFFF"/>
        </w:rPr>
        <w:t xml:space="preserve">Convulsive </w:t>
      </w:r>
      <w:r w:rsidR="001474D3">
        <w:rPr>
          <w:rFonts w:asciiTheme="minorHAnsi" w:hAnsiTheme="minorHAnsi" w:cstheme="majorHAnsi"/>
          <w:lang w:eastAsia="ja-JP"/>
        </w:rPr>
        <w:t xml:space="preserve">status epilepticus </w:t>
      </w:r>
      <w:r w:rsidRPr="00A226CB">
        <w:rPr>
          <w:color w:val="000000"/>
          <w:shd w:val="clear" w:color="auto" w:fill="FFFFFF"/>
        </w:rPr>
        <w:t>is the most common childhood neurological e</w:t>
      </w:r>
      <w:r>
        <w:rPr>
          <w:color w:val="000000"/>
          <w:shd w:val="clear" w:color="auto" w:fill="FFFFFF"/>
        </w:rPr>
        <w:t xml:space="preserve">mergency in developed countries </w:t>
      </w:r>
      <w:r w:rsidRPr="00A226CB">
        <w:rPr>
          <w:color w:val="000000"/>
          <w:shd w:val="clear" w:color="auto" w:fill="FFFFFF"/>
        </w:rPr>
        <w:t>and can lead to neu</w:t>
      </w:r>
      <w:r>
        <w:rPr>
          <w:color w:val="000000"/>
          <w:shd w:val="clear" w:color="auto" w:fill="FFFFFF"/>
        </w:rPr>
        <w:t>rocognitive sequelae and death.</w:t>
      </w:r>
      <w:r>
        <w:rPr>
          <w:rStyle w:val="FootnoteReference"/>
          <w:color w:val="000000"/>
          <w:shd w:val="clear" w:color="auto" w:fill="FFFFFF"/>
        </w:rPr>
        <w:footnoteReference w:id="5"/>
      </w:r>
      <w:r>
        <w:rPr>
          <w:color w:val="000000"/>
          <w:shd w:val="clear" w:color="auto" w:fill="FFFFFF"/>
        </w:rPr>
        <w:t xml:space="preserve"> </w:t>
      </w:r>
    </w:p>
    <w:p w14:paraId="01B0BBE2" w14:textId="0FFF5DD5" w:rsidR="00A8273C" w:rsidRDefault="001474D3" w:rsidP="00A226CB">
      <w:pPr>
        <w:rPr>
          <w:color w:val="000000"/>
          <w:shd w:val="clear" w:color="auto" w:fill="FFFFFF"/>
        </w:rPr>
      </w:pPr>
      <w:r>
        <w:rPr>
          <w:color w:val="000000"/>
          <w:shd w:val="clear" w:color="auto" w:fill="FFFFFF"/>
        </w:rPr>
        <w:lastRenderedPageBreak/>
        <w:t xml:space="preserve">In Australia, </w:t>
      </w:r>
      <w:r w:rsidR="00F54D8F">
        <w:rPr>
          <w:color w:val="000000"/>
          <w:shd w:val="clear" w:color="auto" w:fill="FFFFFF"/>
        </w:rPr>
        <w:t>a</w:t>
      </w:r>
      <w:r w:rsidR="00A226CB" w:rsidRPr="00A8273C">
        <w:rPr>
          <w:color w:val="000000"/>
          <w:shd w:val="clear" w:color="auto" w:fill="FFFFFF"/>
        </w:rPr>
        <w:t>bout 8% of children will have at least one seizure by 1</w:t>
      </w:r>
      <w:r w:rsidR="00A226CB">
        <w:rPr>
          <w:color w:val="000000"/>
          <w:shd w:val="clear" w:color="auto" w:fill="FFFFFF"/>
        </w:rPr>
        <w:t>5 years of age</w:t>
      </w:r>
      <w:r w:rsidR="00A226CB" w:rsidRPr="00A8273C">
        <w:rPr>
          <w:color w:val="000000"/>
          <w:shd w:val="clear" w:color="auto" w:fill="FFFFFF"/>
        </w:rPr>
        <w:t>.</w:t>
      </w:r>
      <w:bookmarkStart w:id="22" w:name="_Ref109029369"/>
      <w:r w:rsidR="00A226CB" w:rsidRPr="00A8273C">
        <w:rPr>
          <w:color w:val="000000"/>
          <w:shd w:val="clear" w:color="auto" w:fill="FFFFFF"/>
          <w:vertAlign w:val="superscript"/>
        </w:rPr>
        <w:footnoteReference w:id="6"/>
      </w:r>
      <w:bookmarkEnd w:id="22"/>
      <w:r w:rsidR="00A226CB">
        <w:rPr>
          <w:color w:val="000000"/>
          <w:shd w:val="clear" w:color="auto" w:fill="FFFFFF"/>
        </w:rPr>
        <w:t xml:space="preserve"> I</w:t>
      </w:r>
      <w:r w:rsidR="00A226CB" w:rsidRPr="00A226CB">
        <w:rPr>
          <w:color w:val="000000"/>
          <w:shd w:val="clear" w:color="auto" w:fill="FFFFFF"/>
        </w:rPr>
        <w:t>nfants younger than 12 months have the highest incidence and frequency of the disease.</w:t>
      </w:r>
    </w:p>
    <w:p w14:paraId="2FF7F0FB" w14:textId="7E5453B2" w:rsidR="001474D3" w:rsidRPr="001474D3" w:rsidRDefault="001474D3" w:rsidP="001474D3">
      <w:pPr>
        <w:rPr>
          <w:color w:val="000000"/>
          <w:shd w:val="clear" w:color="auto" w:fill="FFFFFF"/>
        </w:rPr>
      </w:pPr>
      <w:r w:rsidRPr="001474D3">
        <w:rPr>
          <w:color w:val="000000"/>
          <w:shd w:val="clear" w:color="auto" w:fill="FFFFFF"/>
        </w:rPr>
        <w:t xml:space="preserve">As a seizure becomes </w:t>
      </w:r>
      <w:r w:rsidR="004F298E">
        <w:rPr>
          <w:color w:val="000000"/>
          <w:shd w:val="clear" w:color="auto" w:fill="FFFFFF"/>
        </w:rPr>
        <w:t>less responsive</w:t>
      </w:r>
      <w:r w:rsidRPr="001474D3">
        <w:rPr>
          <w:color w:val="000000"/>
          <w:shd w:val="clear" w:color="auto" w:fill="FFFFFF"/>
        </w:rPr>
        <w:t xml:space="preserve"> to treatment with</w:t>
      </w:r>
      <w:r w:rsidR="004F298E">
        <w:rPr>
          <w:color w:val="000000"/>
          <w:shd w:val="clear" w:color="auto" w:fill="FFFFFF"/>
        </w:rPr>
        <w:t xml:space="preserve"> the</w:t>
      </w:r>
      <w:r w:rsidR="001D5AC9">
        <w:rPr>
          <w:color w:val="000000"/>
          <w:shd w:val="clear" w:color="auto" w:fill="FFFFFF"/>
        </w:rPr>
        <w:t xml:space="preserve"> increased</w:t>
      </w:r>
      <w:r w:rsidRPr="001474D3">
        <w:rPr>
          <w:color w:val="000000"/>
          <w:shd w:val="clear" w:color="auto" w:fill="FFFFFF"/>
        </w:rPr>
        <w:t xml:space="preserve"> durati</w:t>
      </w:r>
      <w:r>
        <w:rPr>
          <w:color w:val="000000"/>
          <w:shd w:val="clear" w:color="auto" w:fill="FFFFFF"/>
        </w:rPr>
        <w:t>on</w:t>
      </w:r>
      <w:r w:rsidR="004F298E">
        <w:rPr>
          <w:color w:val="000000"/>
          <w:shd w:val="clear" w:color="auto" w:fill="FFFFFF"/>
        </w:rPr>
        <w:t xml:space="preserve"> of the seizure,</w:t>
      </w:r>
      <w:r>
        <w:rPr>
          <w:color w:val="000000"/>
          <w:shd w:val="clear" w:color="auto" w:fill="FFFFFF"/>
        </w:rPr>
        <w:t xml:space="preserve"> it is important to intervene </w:t>
      </w:r>
      <w:r w:rsidRPr="001474D3">
        <w:rPr>
          <w:color w:val="000000"/>
          <w:shd w:val="clear" w:color="auto" w:fill="FFFFFF"/>
        </w:rPr>
        <w:t>early with antiepileptic medication. Reduction of seizure dura</w:t>
      </w:r>
      <w:r>
        <w:rPr>
          <w:color w:val="000000"/>
          <w:shd w:val="clear" w:color="auto" w:fill="FFFFFF"/>
        </w:rPr>
        <w:t xml:space="preserve">tion potentially decreases both morbidity and mortality. </w:t>
      </w:r>
      <w:r w:rsidRPr="001474D3">
        <w:rPr>
          <w:color w:val="000000"/>
          <w:shd w:val="clear" w:color="auto" w:fill="FFFFFF"/>
        </w:rPr>
        <w:t>The majority</w:t>
      </w:r>
      <w:r w:rsidR="000441D2">
        <w:rPr>
          <w:color w:val="000000"/>
          <w:shd w:val="clear" w:color="auto" w:fill="FFFFFF"/>
        </w:rPr>
        <w:t xml:space="preserve"> of seizures are brief and self</w:t>
      </w:r>
      <w:r w:rsidR="000441D2">
        <w:rPr>
          <w:color w:val="000000"/>
          <w:shd w:val="clear" w:color="auto" w:fill="FFFFFF"/>
        </w:rPr>
        <w:noBreakHyphen/>
      </w:r>
      <w:r w:rsidRPr="001474D3">
        <w:rPr>
          <w:color w:val="000000"/>
          <w:shd w:val="clear" w:color="auto" w:fill="FFFFFF"/>
        </w:rPr>
        <w:t>limiting;</w:t>
      </w:r>
      <w:r>
        <w:rPr>
          <w:rStyle w:val="FootnoteReference"/>
          <w:color w:val="000000"/>
          <w:shd w:val="clear" w:color="auto" w:fill="FFFFFF"/>
        </w:rPr>
        <w:footnoteReference w:id="7"/>
      </w:r>
      <w:r>
        <w:rPr>
          <w:color w:val="000000"/>
          <w:shd w:val="clear" w:color="auto" w:fill="FFFFFF"/>
        </w:rPr>
        <w:t xml:space="preserve"> </w:t>
      </w:r>
      <w:r w:rsidRPr="001474D3">
        <w:rPr>
          <w:color w:val="000000"/>
          <w:shd w:val="clear" w:color="auto" w:fill="FFFFFF"/>
        </w:rPr>
        <w:t>however, once a convulsive seizure lasts more th</w:t>
      </w:r>
      <w:r>
        <w:rPr>
          <w:color w:val="000000"/>
          <w:shd w:val="clear" w:color="auto" w:fill="FFFFFF"/>
        </w:rPr>
        <w:t>an 5</w:t>
      </w:r>
      <w:r w:rsidR="004F298E">
        <w:rPr>
          <w:color w:val="000000"/>
          <w:shd w:val="clear" w:color="auto" w:fill="FFFFFF"/>
        </w:rPr>
        <w:t> </w:t>
      </w:r>
      <w:r>
        <w:rPr>
          <w:color w:val="000000"/>
          <w:shd w:val="clear" w:color="auto" w:fill="FFFFFF"/>
        </w:rPr>
        <w:t>minutes</w:t>
      </w:r>
      <w:r w:rsidR="004F298E">
        <w:rPr>
          <w:color w:val="000000"/>
          <w:shd w:val="clear" w:color="auto" w:fill="FFFFFF"/>
        </w:rPr>
        <w:t>,</w:t>
      </w:r>
      <w:r>
        <w:rPr>
          <w:color w:val="000000"/>
          <w:shd w:val="clear" w:color="auto" w:fill="FFFFFF"/>
        </w:rPr>
        <w:t xml:space="preserve"> it is likely to be </w:t>
      </w:r>
      <w:r w:rsidRPr="001474D3">
        <w:rPr>
          <w:color w:val="000000"/>
          <w:shd w:val="clear" w:color="auto" w:fill="FFFFFF"/>
        </w:rPr>
        <w:t xml:space="preserve">prolonged. Accordingly, treatment protocols have used </w:t>
      </w:r>
      <w:r>
        <w:rPr>
          <w:color w:val="000000"/>
          <w:shd w:val="clear" w:color="auto" w:fill="FFFFFF"/>
        </w:rPr>
        <w:t>a 5</w:t>
      </w:r>
      <w:r w:rsidR="007E529A">
        <w:rPr>
          <w:color w:val="000000"/>
          <w:shd w:val="clear" w:color="auto" w:fill="FFFFFF"/>
        </w:rPr>
        <w:t> </w:t>
      </w:r>
      <w:r>
        <w:rPr>
          <w:color w:val="000000"/>
          <w:shd w:val="clear" w:color="auto" w:fill="FFFFFF"/>
        </w:rPr>
        <w:t xml:space="preserve">minute definition to minimise both </w:t>
      </w:r>
      <w:r w:rsidRPr="001474D3">
        <w:rPr>
          <w:color w:val="000000"/>
          <w:shd w:val="clear" w:color="auto" w:fill="FFFFFF"/>
        </w:rPr>
        <w:t>the risk of seizures reaching 30 minutes (becoming status epilep</w:t>
      </w:r>
      <w:r>
        <w:rPr>
          <w:color w:val="000000"/>
          <w:shd w:val="clear" w:color="auto" w:fill="FFFFFF"/>
        </w:rPr>
        <w:t xml:space="preserve">ticus) and the adverse outcomes </w:t>
      </w:r>
      <w:r w:rsidRPr="001474D3">
        <w:rPr>
          <w:color w:val="000000"/>
          <w:shd w:val="clear" w:color="auto" w:fill="FFFFFF"/>
        </w:rPr>
        <w:t>associated with needlessly intervening where a seizure might ha</w:t>
      </w:r>
      <w:r>
        <w:rPr>
          <w:color w:val="000000"/>
          <w:shd w:val="clear" w:color="auto" w:fill="FFFFFF"/>
        </w:rPr>
        <w:t>ve stopped without intervention.</w:t>
      </w:r>
      <w:r w:rsidRPr="001474D3">
        <w:rPr>
          <w:color w:val="000000"/>
          <w:shd w:val="clear" w:color="auto" w:fill="FFFFFF"/>
          <w:vertAlign w:val="superscript"/>
        </w:rPr>
        <w:fldChar w:fldCharType="begin"/>
      </w:r>
      <w:r w:rsidRPr="001474D3">
        <w:rPr>
          <w:color w:val="000000"/>
          <w:shd w:val="clear" w:color="auto" w:fill="FFFFFF"/>
          <w:vertAlign w:val="superscript"/>
        </w:rPr>
        <w:instrText xml:space="preserve"> NOTEREF _Ref108432623 \h </w:instrText>
      </w:r>
      <w:r>
        <w:rPr>
          <w:color w:val="000000"/>
          <w:shd w:val="clear" w:color="auto" w:fill="FFFFFF"/>
          <w:vertAlign w:val="superscript"/>
        </w:rPr>
        <w:instrText xml:space="preserve"> \* MERGEFORMAT </w:instrText>
      </w:r>
      <w:r w:rsidRPr="001474D3">
        <w:rPr>
          <w:color w:val="000000"/>
          <w:shd w:val="clear" w:color="auto" w:fill="FFFFFF"/>
          <w:vertAlign w:val="superscript"/>
        </w:rPr>
      </w:r>
      <w:r w:rsidRPr="001474D3">
        <w:rPr>
          <w:color w:val="000000"/>
          <w:shd w:val="clear" w:color="auto" w:fill="FFFFFF"/>
          <w:vertAlign w:val="superscript"/>
        </w:rPr>
        <w:fldChar w:fldCharType="separate"/>
      </w:r>
      <w:r w:rsidR="00AA79CE">
        <w:rPr>
          <w:color w:val="000000"/>
          <w:shd w:val="clear" w:color="auto" w:fill="FFFFFF"/>
          <w:vertAlign w:val="superscript"/>
        </w:rPr>
        <w:t>3</w:t>
      </w:r>
      <w:r w:rsidRPr="001474D3">
        <w:rPr>
          <w:color w:val="000000"/>
          <w:shd w:val="clear" w:color="auto" w:fill="FFFFFF"/>
          <w:vertAlign w:val="superscript"/>
        </w:rPr>
        <w:fldChar w:fldCharType="end"/>
      </w:r>
      <w:r>
        <w:rPr>
          <w:color w:val="000000"/>
          <w:shd w:val="clear" w:color="auto" w:fill="FFFFFF"/>
          <w:vertAlign w:val="superscript"/>
        </w:rPr>
        <w:t>,</w:t>
      </w:r>
      <w:r w:rsidRPr="001474D3">
        <w:rPr>
          <w:color w:val="000000"/>
          <w:shd w:val="clear" w:color="auto" w:fill="FFFFFF"/>
          <w:vertAlign w:val="superscript"/>
        </w:rPr>
        <w:fldChar w:fldCharType="begin"/>
      </w:r>
      <w:r w:rsidRPr="001474D3">
        <w:rPr>
          <w:color w:val="000000"/>
          <w:shd w:val="clear" w:color="auto" w:fill="FFFFFF"/>
          <w:vertAlign w:val="superscript"/>
        </w:rPr>
        <w:instrText xml:space="preserve"> NOTEREF _Ref108432626 \h </w:instrText>
      </w:r>
      <w:r>
        <w:rPr>
          <w:color w:val="000000"/>
          <w:shd w:val="clear" w:color="auto" w:fill="FFFFFF"/>
          <w:vertAlign w:val="superscript"/>
        </w:rPr>
        <w:instrText xml:space="preserve"> \* MERGEFORMAT </w:instrText>
      </w:r>
      <w:r w:rsidRPr="001474D3">
        <w:rPr>
          <w:color w:val="000000"/>
          <w:shd w:val="clear" w:color="auto" w:fill="FFFFFF"/>
          <w:vertAlign w:val="superscript"/>
        </w:rPr>
      </w:r>
      <w:r w:rsidRPr="001474D3">
        <w:rPr>
          <w:color w:val="000000"/>
          <w:shd w:val="clear" w:color="auto" w:fill="FFFFFF"/>
          <w:vertAlign w:val="superscript"/>
        </w:rPr>
        <w:fldChar w:fldCharType="separate"/>
      </w:r>
      <w:r w:rsidR="00AA79CE">
        <w:rPr>
          <w:color w:val="000000"/>
          <w:shd w:val="clear" w:color="auto" w:fill="FFFFFF"/>
          <w:vertAlign w:val="superscript"/>
        </w:rPr>
        <w:t>4</w:t>
      </w:r>
      <w:r w:rsidRPr="001474D3">
        <w:rPr>
          <w:color w:val="000000"/>
          <w:shd w:val="clear" w:color="auto" w:fill="FFFFFF"/>
          <w:vertAlign w:val="superscript"/>
        </w:rPr>
        <w:fldChar w:fldCharType="end"/>
      </w:r>
      <w:r>
        <w:rPr>
          <w:color w:val="000000"/>
          <w:shd w:val="clear" w:color="auto" w:fill="FFFFFF"/>
        </w:rPr>
        <w:t xml:space="preserve"> </w:t>
      </w:r>
      <w:r w:rsidRPr="001474D3">
        <w:rPr>
          <w:color w:val="000000"/>
          <w:shd w:val="clear" w:color="auto" w:fill="FFFFFF"/>
        </w:rPr>
        <w:t>Thus, treatment</w:t>
      </w:r>
      <w:r>
        <w:rPr>
          <w:color w:val="000000"/>
          <w:shd w:val="clear" w:color="auto" w:fill="FFFFFF"/>
        </w:rPr>
        <w:t xml:space="preserve"> should begin when a convulsion </w:t>
      </w:r>
      <w:r w:rsidRPr="001474D3">
        <w:rPr>
          <w:color w:val="000000"/>
          <w:shd w:val="clear" w:color="auto" w:fill="FFFFFF"/>
        </w:rPr>
        <w:t>lasts longer than five minutes, or when two convulsions</w:t>
      </w:r>
      <w:r>
        <w:rPr>
          <w:color w:val="000000"/>
          <w:shd w:val="clear" w:color="auto" w:fill="FFFFFF"/>
        </w:rPr>
        <w:t xml:space="preserve"> occur without full recovery of </w:t>
      </w:r>
      <w:r w:rsidRPr="001474D3">
        <w:rPr>
          <w:color w:val="000000"/>
          <w:shd w:val="clear" w:color="auto" w:fill="FFFFFF"/>
        </w:rPr>
        <w:t>consciousness in between. The goal of therapy is the rapid t</w:t>
      </w:r>
      <w:r>
        <w:rPr>
          <w:color w:val="000000"/>
          <w:shd w:val="clear" w:color="auto" w:fill="FFFFFF"/>
        </w:rPr>
        <w:t xml:space="preserve">ermination of both clinical and </w:t>
      </w:r>
      <w:r w:rsidRPr="001474D3">
        <w:rPr>
          <w:color w:val="000000"/>
          <w:shd w:val="clear" w:color="auto" w:fill="FFFFFF"/>
        </w:rPr>
        <w:t xml:space="preserve">electrical seizure activity, since appropriate and timely therapy of </w:t>
      </w:r>
      <w:r w:rsidR="00164B55">
        <w:rPr>
          <w:color w:val="000000"/>
          <w:shd w:val="clear" w:color="auto" w:fill="FFFFFF"/>
        </w:rPr>
        <w:t>prolonged acute convulsive s</w:t>
      </w:r>
      <w:r w:rsidR="00164B55" w:rsidRPr="00164B55">
        <w:rPr>
          <w:color w:val="000000"/>
          <w:shd w:val="clear" w:color="auto" w:fill="FFFFFF"/>
        </w:rPr>
        <w:t xml:space="preserve">eizures </w:t>
      </w:r>
      <w:r w:rsidR="00164B55">
        <w:rPr>
          <w:color w:val="000000"/>
          <w:shd w:val="clear" w:color="auto" w:fill="FFFFFF"/>
        </w:rPr>
        <w:t>(</w:t>
      </w:r>
      <w:r w:rsidRPr="001474D3">
        <w:rPr>
          <w:color w:val="000000"/>
          <w:shd w:val="clear" w:color="auto" w:fill="FFFFFF"/>
        </w:rPr>
        <w:t>PACS</w:t>
      </w:r>
      <w:r w:rsidR="000441D2">
        <w:rPr>
          <w:color w:val="000000"/>
          <w:shd w:val="clear" w:color="auto" w:fill="FFFFFF"/>
        </w:rPr>
        <w:t>)</w:t>
      </w:r>
      <w:r w:rsidRPr="001474D3">
        <w:rPr>
          <w:color w:val="000000"/>
          <w:shd w:val="clear" w:color="auto" w:fill="FFFFFF"/>
        </w:rPr>
        <w:t xml:space="preserve"> reduces the risk </w:t>
      </w:r>
      <w:r>
        <w:rPr>
          <w:color w:val="000000"/>
          <w:shd w:val="clear" w:color="auto" w:fill="FFFFFF"/>
        </w:rPr>
        <w:t xml:space="preserve">of </w:t>
      </w:r>
      <w:r w:rsidRPr="001474D3">
        <w:rPr>
          <w:color w:val="000000"/>
          <w:shd w:val="clear" w:color="auto" w:fill="FFFFFF"/>
        </w:rPr>
        <w:t>progression to status epilepticus with ass</w:t>
      </w:r>
      <w:r>
        <w:rPr>
          <w:color w:val="000000"/>
          <w:shd w:val="clear" w:color="auto" w:fill="FFFFFF"/>
        </w:rPr>
        <w:t>ociated mortality and morbidity.</w:t>
      </w:r>
      <w:r w:rsidRPr="001474D3">
        <w:rPr>
          <w:color w:val="000000"/>
          <w:shd w:val="clear" w:color="auto" w:fill="FFFFFF"/>
          <w:vertAlign w:val="superscript"/>
        </w:rPr>
        <w:fldChar w:fldCharType="begin"/>
      </w:r>
      <w:r w:rsidRPr="001474D3">
        <w:rPr>
          <w:color w:val="000000"/>
          <w:shd w:val="clear" w:color="auto" w:fill="FFFFFF"/>
          <w:vertAlign w:val="superscript"/>
        </w:rPr>
        <w:instrText xml:space="preserve"> NOTEREF _Ref108432623 \h </w:instrText>
      </w:r>
      <w:r>
        <w:rPr>
          <w:color w:val="000000"/>
          <w:shd w:val="clear" w:color="auto" w:fill="FFFFFF"/>
          <w:vertAlign w:val="superscript"/>
        </w:rPr>
        <w:instrText xml:space="preserve"> \* MERGEFORMAT </w:instrText>
      </w:r>
      <w:r w:rsidRPr="001474D3">
        <w:rPr>
          <w:color w:val="000000"/>
          <w:shd w:val="clear" w:color="auto" w:fill="FFFFFF"/>
          <w:vertAlign w:val="superscript"/>
        </w:rPr>
      </w:r>
      <w:r w:rsidRPr="001474D3">
        <w:rPr>
          <w:color w:val="000000"/>
          <w:shd w:val="clear" w:color="auto" w:fill="FFFFFF"/>
          <w:vertAlign w:val="superscript"/>
        </w:rPr>
        <w:fldChar w:fldCharType="separate"/>
      </w:r>
      <w:r w:rsidR="00AA79CE">
        <w:rPr>
          <w:color w:val="000000"/>
          <w:shd w:val="clear" w:color="auto" w:fill="FFFFFF"/>
          <w:vertAlign w:val="superscript"/>
        </w:rPr>
        <w:t>3</w:t>
      </w:r>
      <w:r w:rsidRPr="001474D3">
        <w:rPr>
          <w:color w:val="000000"/>
          <w:shd w:val="clear" w:color="auto" w:fill="FFFFFF"/>
          <w:vertAlign w:val="superscript"/>
        </w:rPr>
        <w:fldChar w:fldCharType="end"/>
      </w:r>
    </w:p>
    <w:p w14:paraId="22EE5A24" w14:textId="673CC0AB" w:rsidR="001474D3" w:rsidRDefault="001474D3" w:rsidP="001474D3">
      <w:pPr>
        <w:rPr>
          <w:color w:val="000000"/>
          <w:shd w:val="clear" w:color="auto" w:fill="FFFFFF"/>
        </w:rPr>
      </w:pPr>
      <w:r w:rsidRPr="001474D3">
        <w:rPr>
          <w:color w:val="000000"/>
          <w:shd w:val="clear" w:color="auto" w:fill="FFFFFF"/>
        </w:rPr>
        <w:t>Treatment protocols recognize a staged approach to treatmen</w:t>
      </w:r>
      <w:r>
        <w:rPr>
          <w:color w:val="000000"/>
          <w:shd w:val="clear" w:color="auto" w:fill="FFFFFF"/>
        </w:rPr>
        <w:t>t with different drugs used for PACS, established, refractory</w:t>
      </w:r>
      <w:r w:rsidRPr="001474D3">
        <w:rPr>
          <w:color w:val="000000"/>
          <w:shd w:val="clear" w:color="auto" w:fill="FFFFFF"/>
        </w:rPr>
        <w:t xml:space="preserve">, and super-refractory </w:t>
      </w:r>
      <w:r>
        <w:rPr>
          <w:rFonts w:asciiTheme="minorHAnsi" w:hAnsiTheme="minorHAnsi" w:cstheme="majorHAnsi"/>
          <w:lang w:eastAsia="ja-JP"/>
        </w:rPr>
        <w:t>status epilepticus</w:t>
      </w:r>
      <w:r w:rsidRPr="001474D3">
        <w:rPr>
          <w:color w:val="000000"/>
          <w:shd w:val="clear" w:color="auto" w:fill="FFFFFF"/>
        </w:rPr>
        <w:t>.</w:t>
      </w:r>
      <w:r w:rsidRPr="001474D3">
        <w:rPr>
          <w:color w:val="000000"/>
          <w:shd w:val="clear" w:color="auto" w:fill="FFFFFF"/>
          <w:vertAlign w:val="superscript"/>
        </w:rPr>
        <w:fldChar w:fldCharType="begin"/>
      </w:r>
      <w:r w:rsidRPr="001474D3">
        <w:rPr>
          <w:color w:val="000000"/>
          <w:shd w:val="clear" w:color="auto" w:fill="FFFFFF"/>
          <w:vertAlign w:val="superscript"/>
        </w:rPr>
        <w:instrText xml:space="preserve"> NOTEREF _Ref108432626 \h </w:instrText>
      </w:r>
      <w:r>
        <w:rPr>
          <w:color w:val="000000"/>
          <w:shd w:val="clear" w:color="auto" w:fill="FFFFFF"/>
          <w:vertAlign w:val="superscript"/>
        </w:rPr>
        <w:instrText xml:space="preserve"> \* MERGEFORMAT </w:instrText>
      </w:r>
      <w:r w:rsidRPr="001474D3">
        <w:rPr>
          <w:color w:val="000000"/>
          <w:shd w:val="clear" w:color="auto" w:fill="FFFFFF"/>
          <w:vertAlign w:val="superscript"/>
        </w:rPr>
      </w:r>
      <w:r w:rsidRPr="001474D3">
        <w:rPr>
          <w:color w:val="000000"/>
          <w:shd w:val="clear" w:color="auto" w:fill="FFFFFF"/>
          <w:vertAlign w:val="superscript"/>
        </w:rPr>
        <w:fldChar w:fldCharType="separate"/>
      </w:r>
      <w:r w:rsidR="00AA79CE">
        <w:rPr>
          <w:color w:val="000000"/>
          <w:shd w:val="clear" w:color="auto" w:fill="FFFFFF"/>
          <w:vertAlign w:val="superscript"/>
        </w:rPr>
        <w:t>4</w:t>
      </w:r>
      <w:r w:rsidRPr="001474D3">
        <w:rPr>
          <w:color w:val="000000"/>
          <w:shd w:val="clear" w:color="auto" w:fill="FFFFFF"/>
          <w:vertAlign w:val="superscript"/>
        </w:rPr>
        <w:fldChar w:fldCharType="end"/>
      </w:r>
      <w:r>
        <w:rPr>
          <w:color w:val="000000"/>
          <w:shd w:val="clear" w:color="auto" w:fill="FFFFFF"/>
        </w:rPr>
        <w:t xml:space="preserve"> The </w:t>
      </w:r>
      <w:r w:rsidRPr="001474D3">
        <w:rPr>
          <w:color w:val="000000"/>
          <w:shd w:val="clear" w:color="auto" w:fill="FFFFFF"/>
        </w:rPr>
        <w:t>pharmacological management of PACS has been the subje</w:t>
      </w:r>
      <w:r>
        <w:rPr>
          <w:color w:val="000000"/>
          <w:shd w:val="clear" w:color="auto" w:fill="FFFFFF"/>
        </w:rPr>
        <w:t xml:space="preserve">ct of several </w:t>
      </w:r>
      <w:r w:rsidR="00164B55">
        <w:rPr>
          <w:color w:val="000000"/>
          <w:shd w:val="clear" w:color="auto" w:fill="FFFFFF"/>
        </w:rPr>
        <w:t>randomised control trials</w:t>
      </w:r>
      <w:r>
        <w:rPr>
          <w:color w:val="000000"/>
          <w:shd w:val="clear" w:color="auto" w:fill="FFFFFF"/>
        </w:rPr>
        <w:t xml:space="preserve"> and critical </w:t>
      </w:r>
      <w:r w:rsidRPr="001474D3">
        <w:rPr>
          <w:color w:val="000000"/>
          <w:shd w:val="clear" w:color="auto" w:fill="FFFFFF"/>
        </w:rPr>
        <w:t>assessment in systematic reviews and meta-analyses, and inc</w:t>
      </w:r>
      <w:r>
        <w:rPr>
          <w:color w:val="000000"/>
          <w:shd w:val="clear" w:color="auto" w:fill="FFFFFF"/>
        </w:rPr>
        <w:t xml:space="preserve">luded in treatment protocols or </w:t>
      </w:r>
      <w:r w:rsidRPr="001474D3">
        <w:rPr>
          <w:color w:val="000000"/>
          <w:shd w:val="clear" w:color="auto" w:fill="FFFFFF"/>
        </w:rPr>
        <w:t>practical g</w:t>
      </w:r>
      <w:r>
        <w:rPr>
          <w:color w:val="000000"/>
          <w:shd w:val="clear" w:color="auto" w:fill="FFFFFF"/>
        </w:rPr>
        <w:t>uidance or clinical guidelines.</w:t>
      </w:r>
      <w:r w:rsidRPr="001474D3">
        <w:rPr>
          <w:color w:val="000000"/>
          <w:shd w:val="clear" w:color="auto" w:fill="FFFFFF"/>
          <w:vertAlign w:val="superscript"/>
        </w:rPr>
        <w:fldChar w:fldCharType="begin"/>
      </w:r>
      <w:r w:rsidRPr="001474D3">
        <w:rPr>
          <w:color w:val="000000"/>
          <w:shd w:val="clear" w:color="auto" w:fill="FFFFFF"/>
          <w:vertAlign w:val="superscript"/>
        </w:rPr>
        <w:instrText xml:space="preserve"> NOTEREF _Ref108432626 \h </w:instrText>
      </w:r>
      <w:r>
        <w:rPr>
          <w:color w:val="000000"/>
          <w:shd w:val="clear" w:color="auto" w:fill="FFFFFF"/>
          <w:vertAlign w:val="superscript"/>
        </w:rPr>
        <w:instrText xml:space="preserve"> \* MERGEFORMAT </w:instrText>
      </w:r>
      <w:r w:rsidRPr="001474D3">
        <w:rPr>
          <w:color w:val="000000"/>
          <w:shd w:val="clear" w:color="auto" w:fill="FFFFFF"/>
          <w:vertAlign w:val="superscript"/>
        </w:rPr>
      </w:r>
      <w:r w:rsidRPr="001474D3">
        <w:rPr>
          <w:color w:val="000000"/>
          <w:shd w:val="clear" w:color="auto" w:fill="FFFFFF"/>
          <w:vertAlign w:val="superscript"/>
        </w:rPr>
        <w:fldChar w:fldCharType="separate"/>
      </w:r>
      <w:r w:rsidR="00AA79CE">
        <w:rPr>
          <w:color w:val="000000"/>
          <w:shd w:val="clear" w:color="auto" w:fill="FFFFFF"/>
          <w:vertAlign w:val="superscript"/>
        </w:rPr>
        <w:t>4</w:t>
      </w:r>
      <w:r w:rsidRPr="001474D3">
        <w:rPr>
          <w:color w:val="000000"/>
          <w:shd w:val="clear" w:color="auto" w:fill="FFFFFF"/>
          <w:vertAlign w:val="superscript"/>
        </w:rPr>
        <w:fldChar w:fldCharType="end"/>
      </w:r>
    </w:p>
    <w:p w14:paraId="1F3FA802" w14:textId="50A4E386" w:rsidR="00C17E13" w:rsidRDefault="00C17E13" w:rsidP="00A924F7">
      <w:pPr>
        <w:pStyle w:val="Heading4"/>
      </w:pPr>
      <w:bookmarkStart w:id="23" w:name="_Toc72234538"/>
      <w:r>
        <w:t>Current treatment options</w:t>
      </w:r>
      <w:bookmarkEnd w:id="23"/>
    </w:p>
    <w:p w14:paraId="4C0A2A34" w14:textId="765AABB9" w:rsidR="000441D2" w:rsidRDefault="000441D2" w:rsidP="00164B55">
      <w:r>
        <w:t xml:space="preserve">Midazolam and diazepam are two benzodiazepines used </w:t>
      </w:r>
      <w:r w:rsidR="002625F3">
        <w:t xml:space="preserve">routinely </w:t>
      </w:r>
      <w:r>
        <w:t>for the management of status epilepticus.</w:t>
      </w:r>
    </w:p>
    <w:p w14:paraId="3FB9303A" w14:textId="2DDD504E" w:rsidR="000441D2" w:rsidRDefault="000441D2" w:rsidP="00164B55">
      <w:pPr>
        <w:rPr>
          <w:vertAlign w:val="superscript"/>
        </w:rPr>
      </w:pPr>
      <w:r>
        <w:t>In t</w:t>
      </w:r>
      <w:r w:rsidR="002625F3">
        <w:t xml:space="preserve">he hospital environment where </w:t>
      </w:r>
      <w:r>
        <w:t xml:space="preserve">vascular access may be available, first-line management consists of </w:t>
      </w:r>
      <w:r w:rsidR="004F298E">
        <w:t xml:space="preserve">intravenous </w:t>
      </w:r>
      <w:r>
        <w:t>midazolam or diazepam</w:t>
      </w:r>
      <w:r w:rsidR="00EA0922">
        <w:t>.</w:t>
      </w:r>
      <w:bookmarkStart w:id="24" w:name="_Ref109205948"/>
      <w:r w:rsidR="00722CED">
        <w:rPr>
          <w:rStyle w:val="FootnoteReference"/>
        </w:rPr>
        <w:footnoteReference w:id="8"/>
      </w:r>
      <w:bookmarkEnd w:id="24"/>
      <w:r w:rsidR="00722CED">
        <w:rPr>
          <w:vertAlign w:val="superscript"/>
        </w:rPr>
        <w:t>,</w:t>
      </w:r>
      <w:bookmarkStart w:id="25" w:name="_Ref109205951"/>
      <w:r w:rsidR="00722CED">
        <w:rPr>
          <w:rStyle w:val="FootnoteReference"/>
        </w:rPr>
        <w:footnoteReference w:id="9"/>
      </w:r>
      <w:bookmarkEnd w:id="25"/>
    </w:p>
    <w:p w14:paraId="5BD739F5" w14:textId="215072C6" w:rsidR="003E32F0" w:rsidRPr="003E32F0" w:rsidRDefault="003E32F0" w:rsidP="003E32F0">
      <w:pPr>
        <w:rPr>
          <w:rFonts w:asciiTheme="minorHAnsi" w:hAnsiTheme="minorHAnsi" w:cs="Arial"/>
          <w:color w:val="222222"/>
        </w:rPr>
      </w:pPr>
      <w:r w:rsidRPr="00240889">
        <w:rPr>
          <w:rFonts w:asciiTheme="minorHAnsi" w:hAnsiTheme="minorHAnsi" w:cs="Arial"/>
          <w:color w:val="222222"/>
        </w:rPr>
        <w:t>In Australia</w:t>
      </w:r>
      <w:r w:rsidR="004F298E">
        <w:rPr>
          <w:rFonts w:asciiTheme="minorHAnsi" w:hAnsiTheme="minorHAnsi" w:cs="Arial"/>
          <w:color w:val="222222"/>
        </w:rPr>
        <w:t>,</w:t>
      </w:r>
      <w:r w:rsidRPr="00240889">
        <w:rPr>
          <w:rFonts w:asciiTheme="minorHAnsi" w:hAnsiTheme="minorHAnsi" w:cs="Arial"/>
          <w:color w:val="222222"/>
        </w:rPr>
        <w:t xml:space="preserve"> intravenous diazepam is approved for and consider</w:t>
      </w:r>
      <w:r>
        <w:rPr>
          <w:rFonts w:asciiTheme="minorHAnsi" w:hAnsiTheme="minorHAnsi" w:cs="Arial"/>
          <w:color w:val="222222"/>
        </w:rPr>
        <w:t xml:space="preserve">ed as first-line therapy in the </w:t>
      </w:r>
      <w:r w:rsidRPr="00240889">
        <w:rPr>
          <w:rFonts w:asciiTheme="minorHAnsi" w:hAnsiTheme="minorHAnsi" w:cs="Arial"/>
          <w:color w:val="222222"/>
        </w:rPr>
        <w:t xml:space="preserve">treatment of prolonged convulsive seizures/status </w:t>
      </w:r>
      <w:r>
        <w:rPr>
          <w:rFonts w:asciiTheme="minorHAnsi" w:hAnsiTheme="minorHAnsi" w:cs="Arial"/>
          <w:color w:val="222222"/>
        </w:rPr>
        <w:t>epilepticus.</w:t>
      </w:r>
      <w:r>
        <w:rPr>
          <w:rStyle w:val="FootnoteReference"/>
          <w:rFonts w:asciiTheme="minorHAnsi" w:hAnsiTheme="minorHAnsi" w:cs="Arial"/>
          <w:color w:val="222222"/>
        </w:rPr>
        <w:footnoteReference w:id="10"/>
      </w:r>
      <w:r w:rsidR="002625F3">
        <w:rPr>
          <w:rFonts w:asciiTheme="minorHAnsi" w:hAnsiTheme="minorHAnsi" w:cs="Arial"/>
          <w:color w:val="222222"/>
        </w:rPr>
        <w:t xml:space="preserve"> Clonazepam (Rivotri</w:t>
      </w:r>
      <w:r w:rsidRPr="00240889">
        <w:rPr>
          <w:rFonts w:asciiTheme="minorHAnsi" w:hAnsiTheme="minorHAnsi" w:cs="Arial"/>
          <w:color w:val="222222"/>
        </w:rPr>
        <w:t xml:space="preserve">l) </w:t>
      </w:r>
      <w:r>
        <w:rPr>
          <w:rFonts w:asciiTheme="minorHAnsi" w:hAnsiTheme="minorHAnsi" w:cs="Arial"/>
          <w:color w:val="222222"/>
        </w:rPr>
        <w:t xml:space="preserve">1 mg/mL IV is also approved for </w:t>
      </w:r>
      <w:r w:rsidRPr="00240889">
        <w:rPr>
          <w:rFonts w:asciiTheme="minorHAnsi" w:hAnsiTheme="minorHAnsi" w:cs="Arial"/>
          <w:color w:val="222222"/>
        </w:rPr>
        <w:t>status epilepticus in inf</w:t>
      </w:r>
      <w:r>
        <w:rPr>
          <w:rFonts w:asciiTheme="minorHAnsi" w:hAnsiTheme="minorHAnsi" w:cs="Arial"/>
          <w:color w:val="222222"/>
        </w:rPr>
        <w:t>ants and children.</w:t>
      </w:r>
      <w:r>
        <w:rPr>
          <w:rStyle w:val="FootnoteReference"/>
          <w:rFonts w:asciiTheme="minorHAnsi" w:hAnsiTheme="minorHAnsi" w:cs="Arial"/>
          <w:color w:val="222222"/>
        </w:rPr>
        <w:footnoteReference w:id="11"/>
      </w:r>
      <w:r>
        <w:rPr>
          <w:rFonts w:asciiTheme="minorHAnsi" w:hAnsiTheme="minorHAnsi" w:cs="Arial"/>
          <w:color w:val="222222"/>
        </w:rPr>
        <w:t xml:space="preserve"> Intravenous midazolam is considered and widely used off-label as first-line therapy.</w:t>
      </w:r>
      <w:r w:rsidRPr="003E32F0">
        <w:rPr>
          <w:rFonts w:asciiTheme="minorHAnsi" w:hAnsiTheme="minorHAnsi" w:cs="Arial"/>
          <w:color w:val="222222"/>
          <w:vertAlign w:val="superscript"/>
        </w:rPr>
        <w:fldChar w:fldCharType="begin"/>
      </w:r>
      <w:r w:rsidRPr="003E32F0">
        <w:rPr>
          <w:rFonts w:asciiTheme="minorHAnsi" w:hAnsiTheme="minorHAnsi" w:cs="Arial"/>
          <w:color w:val="222222"/>
          <w:vertAlign w:val="superscript"/>
        </w:rPr>
        <w:instrText xml:space="preserve"> NOTEREF _Ref109205948 \h </w:instrText>
      </w:r>
      <w:r>
        <w:rPr>
          <w:rFonts w:asciiTheme="minorHAnsi" w:hAnsiTheme="minorHAnsi" w:cs="Arial"/>
          <w:color w:val="222222"/>
          <w:vertAlign w:val="superscript"/>
        </w:rPr>
        <w:instrText xml:space="preserve"> \* MERGEFORMAT </w:instrText>
      </w:r>
      <w:r w:rsidRPr="003E32F0">
        <w:rPr>
          <w:rFonts w:asciiTheme="minorHAnsi" w:hAnsiTheme="minorHAnsi" w:cs="Arial"/>
          <w:color w:val="222222"/>
          <w:vertAlign w:val="superscript"/>
        </w:rPr>
      </w:r>
      <w:r w:rsidRPr="003E32F0">
        <w:rPr>
          <w:rFonts w:asciiTheme="minorHAnsi" w:hAnsiTheme="minorHAnsi" w:cs="Arial"/>
          <w:color w:val="222222"/>
          <w:vertAlign w:val="superscript"/>
        </w:rPr>
        <w:fldChar w:fldCharType="separate"/>
      </w:r>
      <w:r w:rsidR="00AA79CE">
        <w:rPr>
          <w:rFonts w:asciiTheme="minorHAnsi" w:hAnsiTheme="minorHAnsi" w:cs="Arial"/>
          <w:color w:val="222222"/>
          <w:vertAlign w:val="superscript"/>
        </w:rPr>
        <w:t>8</w:t>
      </w:r>
      <w:r w:rsidRPr="003E32F0">
        <w:rPr>
          <w:rFonts w:asciiTheme="minorHAnsi" w:hAnsiTheme="minorHAnsi" w:cs="Arial"/>
          <w:color w:val="222222"/>
          <w:vertAlign w:val="superscript"/>
        </w:rPr>
        <w:fldChar w:fldCharType="end"/>
      </w:r>
      <w:r>
        <w:rPr>
          <w:rFonts w:asciiTheme="minorHAnsi" w:hAnsiTheme="minorHAnsi" w:cs="Arial"/>
          <w:color w:val="222222"/>
          <w:vertAlign w:val="superscript"/>
        </w:rPr>
        <w:t>,</w:t>
      </w:r>
      <w:r w:rsidRPr="003E32F0">
        <w:rPr>
          <w:rFonts w:asciiTheme="minorHAnsi" w:hAnsiTheme="minorHAnsi" w:cs="Arial"/>
          <w:color w:val="222222"/>
          <w:vertAlign w:val="superscript"/>
        </w:rPr>
        <w:fldChar w:fldCharType="begin"/>
      </w:r>
      <w:r w:rsidRPr="003E32F0">
        <w:rPr>
          <w:rFonts w:asciiTheme="minorHAnsi" w:hAnsiTheme="minorHAnsi" w:cs="Arial"/>
          <w:color w:val="222222"/>
          <w:vertAlign w:val="superscript"/>
        </w:rPr>
        <w:instrText xml:space="preserve"> NOTEREF _Ref109205951 \h </w:instrText>
      </w:r>
      <w:r>
        <w:rPr>
          <w:rFonts w:asciiTheme="minorHAnsi" w:hAnsiTheme="minorHAnsi" w:cs="Arial"/>
          <w:color w:val="222222"/>
          <w:vertAlign w:val="superscript"/>
        </w:rPr>
        <w:instrText xml:space="preserve"> \* MERGEFORMAT </w:instrText>
      </w:r>
      <w:r w:rsidRPr="003E32F0">
        <w:rPr>
          <w:rFonts w:asciiTheme="minorHAnsi" w:hAnsiTheme="minorHAnsi" w:cs="Arial"/>
          <w:color w:val="222222"/>
          <w:vertAlign w:val="superscript"/>
        </w:rPr>
      </w:r>
      <w:r w:rsidRPr="003E32F0">
        <w:rPr>
          <w:rFonts w:asciiTheme="minorHAnsi" w:hAnsiTheme="minorHAnsi" w:cs="Arial"/>
          <w:color w:val="222222"/>
          <w:vertAlign w:val="superscript"/>
        </w:rPr>
        <w:fldChar w:fldCharType="separate"/>
      </w:r>
      <w:r w:rsidR="00AA79CE">
        <w:rPr>
          <w:rFonts w:asciiTheme="minorHAnsi" w:hAnsiTheme="minorHAnsi" w:cs="Arial"/>
          <w:color w:val="222222"/>
          <w:vertAlign w:val="superscript"/>
        </w:rPr>
        <w:t>9</w:t>
      </w:r>
      <w:r w:rsidRPr="003E32F0">
        <w:rPr>
          <w:rFonts w:asciiTheme="minorHAnsi" w:hAnsiTheme="minorHAnsi" w:cs="Arial"/>
          <w:color w:val="222222"/>
          <w:vertAlign w:val="superscript"/>
        </w:rPr>
        <w:fldChar w:fldCharType="end"/>
      </w:r>
      <w:r>
        <w:rPr>
          <w:rFonts w:asciiTheme="minorHAnsi" w:hAnsiTheme="minorHAnsi" w:cs="Arial"/>
          <w:color w:val="222222"/>
        </w:rPr>
        <w:t xml:space="preserve"> No </w:t>
      </w:r>
      <w:r w:rsidRPr="00240889">
        <w:rPr>
          <w:rFonts w:asciiTheme="minorHAnsi" w:hAnsiTheme="minorHAnsi" w:cs="Arial"/>
          <w:color w:val="222222"/>
        </w:rPr>
        <w:t>other treatments are</w:t>
      </w:r>
      <w:r>
        <w:rPr>
          <w:rFonts w:asciiTheme="minorHAnsi" w:hAnsiTheme="minorHAnsi" w:cs="Arial"/>
          <w:color w:val="222222"/>
        </w:rPr>
        <w:t xml:space="preserve"> approved in Australia for this </w:t>
      </w:r>
      <w:r w:rsidRPr="00240889">
        <w:rPr>
          <w:rFonts w:asciiTheme="minorHAnsi" w:hAnsiTheme="minorHAnsi" w:cs="Arial"/>
          <w:color w:val="222222"/>
        </w:rPr>
        <w:t>indication in this age-group.</w:t>
      </w:r>
    </w:p>
    <w:p w14:paraId="11654B4C" w14:textId="076C38DA" w:rsidR="00EA0922" w:rsidRPr="00624C89" w:rsidRDefault="00EA0922" w:rsidP="00624C89">
      <w:r>
        <w:t>Different benzodiazepines can also be used to manage status epilepticus via the</w:t>
      </w:r>
      <w:r w:rsidR="00E17CF3">
        <w:t xml:space="preserve"> intramuscular,</w:t>
      </w:r>
      <w:r>
        <w:t xml:space="preserve"> intranasal, buccal, intraosseous and rectal routes.</w:t>
      </w:r>
      <w:r w:rsidR="00094244" w:rsidRPr="00094244">
        <w:rPr>
          <w:vertAlign w:val="superscript"/>
        </w:rPr>
        <w:fldChar w:fldCharType="begin"/>
      </w:r>
      <w:r w:rsidR="00094244" w:rsidRPr="00094244">
        <w:rPr>
          <w:vertAlign w:val="superscript"/>
        </w:rPr>
        <w:instrText xml:space="preserve"> NOTEREF _Ref109205948 \h </w:instrText>
      </w:r>
      <w:r w:rsidR="00094244">
        <w:rPr>
          <w:vertAlign w:val="superscript"/>
        </w:rPr>
        <w:instrText xml:space="preserve"> \* MERGEFORMAT </w:instrText>
      </w:r>
      <w:r w:rsidR="00094244" w:rsidRPr="00094244">
        <w:rPr>
          <w:vertAlign w:val="superscript"/>
        </w:rPr>
      </w:r>
      <w:r w:rsidR="00094244" w:rsidRPr="00094244">
        <w:rPr>
          <w:vertAlign w:val="superscript"/>
        </w:rPr>
        <w:fldChar w:fldCharType="separate"/>
      </w:r>
      <w:r w:rsidR="00AA79CE">
        <w:rPr>
          <w:vertAlign w:val="superscript"/>
        </w:rPr>
        <w:t>8</w:t>
      </w:r>
      <w:r w:rsidR="00094244" w:rsidRPr="00094244">
        <w:rPr>
          <w:vertAlign w:val="superscript"/>
        </w:rPr>
        <w:fldChar w:fldCharType="end"/>
      </w:r>
      <w:r w:rsidR="00094244" w:rsidRPr="00094244">
        <w:rPr>
          <w:vertAlign w:val="superscript"/>
        </w:rPr>
        <w:t>,</w:t>
      </w:r>
      <w:r w:rsidR="00094244" w:rsidRPr="00094244">
        <w:rPr>
          <w:vertAlign w:val="superscript"/>
        </w:rPr>
        <w:fldChar w:fldCharType="begin"/>
      </w:r>
      <w:r w:rsidR="00094244" w:rsidRPr="00094244">
        <w:rPr>
          <w:vertAlign w:val="superscript"/>
        </w:rPr>
        <w:instrText xml:space="preserve"> NOTEREF _Ref109205951 \h </w:instrText>
      </w:r>
      <w:r w:rsidR="00094244">
        <w:rPr>
          <w:vertAlign w:val="superscript"/>
        </w:rPr>
        <w:instrText xml:space="preserve"> \* MERGEFORMAT </w:instrText>
      </w:r>
      <w:r w:rsidR="00094244" w:rsidRPr="00094244">
        <w:rPr>
          <w:vertAlign w:val="superscript"/>
        </w:rPr>
      </w:r>
      <w:r w:rsidR="00094244" w:rsidRPr="00094244">
        <w:rPr>
          <w:vertAlign w:val="superscript"/>
        </w:rPr>
        <w:fldChar w:fldCharType="separate"/>
      </w:r>
      <w:r w:rsidR="00AA79CE">
        <w:rPr>
          <w:vertAlign w:val="superscript"/>
        </w:rPr>
        <w:t>9</w:t>
      </w:r>
      <w:r w:rsidR="00094244" w:rsidRPr="00094244">
        <w:rPr>
          <w:vertAlign w:val="superscript"/>
        </w:rPr>
        <w:fldChar w:fldCharType="end"/>
      </w:r>
      <w:r w:rsidR="00624C89">
        <w:rPr>
          <w:vertAlign w:val="superscript"/>
        </w:rPr>
        <w:t xml:space="preserve"> </w:t>
      </w:r>
      <w:r w:rsidR="00624C89">
        <w:t xml:space="preserve">Intranasal </w:t>
      </w:r>
      <w:r w:rsidR="004F298E">
        <w:t xml:space="preserve">midazolam, </w:t>
      </w:r>
      <w:r w:rsidR="00624C89">
        <w:t>or buccal midazolam as proposed in the submission, are also used off-label.</w:t>
      </w:r>
      <w:r w:rsidR="006358F7" w:rsidRPr="006358F7">
        <w:rPr>
          <w:vertAlign w:val="superscript"/>
        </w:rPr>
        <w:fldChar w:fldCharType="begin"/>
      </w:r>
      <w:r w:rsidR="006358F7" w:rsidRPr="006358F7">
        <w:rPr>
          <w:vertAlign w:val="superscript"/>
        </w:rPr>
        <w:instrText xml:space="preserve"> NOTEREF _Ref109205948 \h </w:instrText>
      </w:r>
      <w:r w:rsidR="006358F7">
        <w:rPr>
          <w:vertAlign w:val="superscript"/>
        </w:rPr>
        <w:instrText xml:space="preserve"> \* MERGEFORMAT </w:instrText>
      </w:r>
      <w:r w:rsidR="006358F7" w:rsidRPr="006358F7">
        <w:rPr>
          <w:vertAlign w:val="superscript"/>
        </w:rPr>
      </w:r>
      <w:r w:rsidR="006358F7" w:rsidRPr="006358F7">
        <w:rPr>
          <w:vertAlign w:val="superscript"/>
        </w:rPr>
        <w:fldChar w:fldCharType="separate"/>
      </w:r>
      <w:r w:rsidR="00AA79CE">
        <w:rPr>
          <w:vertAlign w:val="superscript"/>
        </w:rPr>
        <w:t>8</w:t>
      </w:r>
      <w:r w:rsidR="006358F7" w:rsidRPr="006358F7">
        <w:rPr>
          <w:vertAlign w:val="superscript"/>
        </w:rPr>
        <w:fldChar w:fldCharType="end"/>
      </w:r>
      <w:r w:rsidR="006358F7" w:rsidRPr="006358F7">
        <w:rPr>
          <w:vertAlign w:val="superscript"/>
        </w:rPr>
        <w:t>,</w:t>
      </w:r>
      <w:bookmarkStart w:id="26" w:name="_Ref131674226"/>
      <w:r w:rsidR="006358F7" w:rsidRPr="006358F7">
        <w:rPr>
          <w:rStyle w:val="FootnoteReference"/>
        </w:rPr>
        <w:footnoteReference w:id="12"/>
      </w:r>
      <w:bookmarkEnd w:id="26"/>
    </w:p>
    <w:p w14:paraId="1D36E786" w14:textId="02938270" w:rsidR="00722CED" w:rsidRDefault="00EA0922" w:rsidP="00C17E13">
      <w:pPr>
        <w:rPr>
          <w:lang w:eastAsia="ja-JP"/>
        </w:rPr>
      </w:pPr>
      <w:r>
        <w:t>Outside hospital, or in the prehospital environment, t</w:t>
      </w:r>
      <w:r w:rsidR="00C17E13">
        <w:rPr>
          <w:lang w:eastAsia="ja-JP"/>
        </w:rPr>
        <w:t>he traditional treatment of children with a history of prolonged seizures is off-label administration of rectal diazepam, which is provided to families along with an individuali</w:t>
      </w:r>
      <w:r w:rsidR="00FB0363">
        <w:rPr>
          <w:lang w:eastAsia="ja-JP"/>
        </w:rPr>
        <w:t>s</w:t>
      </w:r>
      <w:r w:rsidR="00C17E13">
        <w:rPr>
          <w:lang w:eastAsia="ja-JP"/>
        </w:rPr>
        <w:t>ed treatment plan to terminate t</w:t>
      </w:r>
      <w:r w:rsidR="00722CED">
        <w:rPr>
          <w:lang w:eastAsia="ja-JP"/>
        </w:rPr>
        <w:t xml:space="preserve">he seizure as soon as possible. Absorption of diazepam from the rectum is variable and this affects </w:t>
      </w:r>
      <w:r w:rsidR="00722CED">
        <w:rPr>
          <w:lang w:eastAsia="ja-JP"/>
        </w:rPr>
        <w:lastRenderedPageBreak/>
        <w:t>subsequent bioavailability. Following a 15 mg dose of diazepam, the half-life of 46 hours (following a 15 mg dose) is not optimal for an acute interventional treatment.</w:t>
      </w:r>
      <w:r w:rsidR="00722CED">
        <w:rPr>
          <w:rStyle w:val="FootnoteReference"/>
          <w:lang w:eastAsia="ja-JP"/>
        </w:rPr>
        <w:footnoteReference w:id="13"/>
      </w:r>
    </w:p>
    <w:p w14:paraId="38B061A2" w14:textId="7DCA361C" w:rsidR="001D5343" w:rsidRDefault="001D5343" w:rsidP="001D5343">
      <w:pPr>
        <w:pStyle w:val="Heading5"/>
        <w:rPr>
          <w:lang w:eastAsia="ja-JP"/>
        </w:rPr>
      </w:pPr>
      <w:r>
        <w:rPr>
          <w:lang w:eastAsia="ja-JP"/>
        </w:rPr>
        <w:t>Benzodiazepines</w:t>
      </w:r>
    </w:p>
    <w:p w14:paraId="231FC7FA" w14:textId="000581EC" w:rsidR="001D5343" w:rsidRDefault="001D5343" w:rsidP="001D5343">
      <w:r>
        <w:t>G</w:t>
      </w:r>
      <w:r w:rsidRPr="00C1178B">
        <w:t>amma</w:t>
      </w:r>
      <w:r>
        <w:t>-</w:t>
      </w:r>
      <w:r w:rsidRPr="00C1178B">
        <w:t>aminobutyric acid (GABA</w:t>
      </w:r>
      <w:r>
        <w:t>) is</w:t>
      </w:r>
      <w:r w:rsidRPr="00C1178B">
        <w:t xml:space="preserve"> the most common inhibitory neurotransmitter in the brain</w:t>
      </w:r>
      <w:r w:rsidR="00F1178C">
        <w:t>. When GABA binds to the GABA receptors, it generally makes the neuron less excitable, and less likely to fire action potential or release neurotransmitters.</w:t>
      </w:r>
      <w:r>
        <w:t xml:space="preserve"> </w:t>
      </w:r>
      <w:r w:rsidR="00F1178C">
        <w:t>U</w:t>
      </w:r>
      <w:r>
        <w:t xml:space="preserve">nder normal circumstances it </w:t>
      </w:r>
      <w:r w:rsidRPr="00C1178B">
        <w:t xml:space="preserve">helps control the nerve cells from firing too fast, </w:t>
      </w:r>
      <w:r w:rsidR="00630E35">
        <w:t>preventing</w:t>
      </w:r>
      <w:r w:rsidRPr="00C1178B">
        <w:t xml:space="preserve"> seizure</w:t>
      </w:r>
      <w:r w:rsidR="00240889">
        <w:t xml:space="preserve"> and muscle spasm</w:t>
      </w:r>
      <w:r w:rsidR="00630E35">
        <w:t>.</w:t>
      </w:r>
      <w:r w:rsidR="00240889">
        <w:t xml:space="preserve"> </w:t>
      </w:r>
      <w:r w:rsidR="004F298E">
        <w:fldChar w:fldCharType="begin"/>
      </w:r>
      <w:r w:rsidR="004F298E">
        <w:instrText xml:space="preserve"> REF _Ref131666737 \h </w:instrText>
      </w:r>
      <w:r w:rsidR="004F298E">
        <w:fldChar w:fldCharType="separate"/>
      </w:r>
      <w:r w:rsidR="00AA79CE">
        <w:t xml:space="preserve">Figure </w:t>
      </w:r>
      <w:r w:rsidR="00AA79CE">
        <w:rPr>
          <w:noProof/>
        </w:rPr>
        <w:t>1</w:t>
      </w:r>
      <w:r w:rsidR="004F298E">
        <w:fldChar w:fldCharType="end"/>
      </w:r>
      <w:r w:rsidR="00630E35">
        <w:t>, shown</w:t>
      </w:r>
      <w:r w:rsidR="00240889">
        <w:t xml:space="preserve"> below</w:t>
      </w:r>
      <w:r w:rsidR="00630E35">
        <w:t xml:space="preserve">, </w:t>
      </w:r>
      <w:r w:rsidR="00F1178C">
        <w:t xml:space="preserve">describes the release and movement of GABA across the neuronal synapse, and </w:t>
      </w:r>
      <w:r w:rsidR="00AA26A5">
        <w:t>the binding of both GABA, and a benzodiazepine to the GABA receptors</w:t>
      </w:r>
      <w:r w:rsidR="00240889">
        <w:t>.</w:t>
      </w:r>
    </w:p>
    <w:p w14:paraId="7326625D" w14:textId="7C996FEF" w:rsidR="001D5343" w:rsidRPr="003168A7" w:rsidRDefault="001D5343" w:rsidP="001D5343">
      <w:pPr>
        <w:autoSpaceDE w:val="0"/>
        <w:autoSpaceDN w:val="0"/>
        <w:adjustRightInd w:val="0"/>
        <w:spacing w:before="0" w:after="0" w:line="240" w:lineRule="auto"/>
      </w:pPr>
      <w:r w:rsidRPr="003168A7">
        <w:rPr>
          <w:rFonts w:asciiTheme="minorHAnsi" w:hAnsiTheme="minorHAnsi" w:cs="Arial"/>
          <w:color w:val="222222"/>
        </w:rPr>
        <w:t>The therapeutic</w:t>
      </w:r>
      <w:r w:rsidR="00094244">
        <w:rPr>
          <w:rFonts w:asciiTheme="minorHAnsi" w:hAnsiTheme="minorHAnsi" w:cs="Arial"/>
          <w:color w:val="222222"/>
        </w:rPr>
        <w:t>,</w:t>
      </w:r>
      <w:r w:rsidRPr="003168A7">
        <w:rPr>
          <w:rFonts w:asciiTheme="minorHAnsi" w:hAnsiTheme="minorHAnsi" w:cs="Arial"/>
          <w:color w:val="222222"/>
        </w:rPr>
        <w:t xml:space="preserve"> as well as</w:t>
      </w:r>
      <w:r>
        <w:rPr>
          <w:rFonts w:asciiTheme="minorHAnsi" w:hAnsiTheme="minorHAnsi" w:cs="Arial"/>
          <w:color w:val="222222"/>
        </w:rPr>
        <w:t xml:space="preserve"> any</w:t>
      </w:r>
      <w:r w:rsidRPr="003168A7">
        <w:rPr>
          <w:rFonts w:asciiTheme="minorHAnsi" w:hAnsiTheme="minorHAnsi" w:cs="Arial"/>
          <w:color w:val="222222"/>
        </w:rPr>
        <w:t xml:space="preserve"> adverse effects of </w:t>
      </w:r>
      <w:r w:rsidR="00240889">
        <w:rPr>
          <w:rFonts w:asciiTheme="minorHAnsi" w:hAnsiTheme="minorHAnsi" w:cs="Arial"/>
          <w:color w:val="222222"/>
        </w:rPr>
        <w:t xml:space="preserve">benzodiazepines, like </w:t>
      </w:r>
      <w:r w:rsidRPr="003168A7">
        <w:rPr>
          <w:rFonts w:asciiTheme="minorHAnsi" w:hAnsiTheme="minorHAnsi" w:cs="Arial"/>
          <w:color w:val="222222"/>
        </w:rPr>
        <w:t>midazolam</w:t>
      </w:r>
      <w:r w:rsidR="00240889">
        <w:rPr>
          <w:rFonts w:asciiTheme="minorHAnsi" w:hAnsiTheme="minorHAnsi" w:cs="Arial"/>
          <w:color w:val="222222"/>
        </w:rPr>
        <w:t xml:space="preserve"> in Zyamis,</w:t>
      </w:r>
      <w:r w:rsidRPr="003168A7">
        <w:rPr>
          <w:rFonts w:asciiTheme="minorHAnsi" w:hAnsiTheme="minorHAnsi" w:cs="Arial"/>
          <w:color w:val="222222"/>
        </w:rPr>
        <w:t xml:space="preserve"> are due to its effects on the GABA</w:t>
      </w:r>
      <w:r w:rsidRPr="003168A7">
        <w:rPr>
          <w:rFonts w:asciiTheme="minorHAnsi" w:hAnsiTheme="minorHAnsi" w:cs="Arial"/>
          <w:color w:val="222222"/>
          <w:vertAlign w:val="subscript"/>
        </w:rPr>
        <w:t>A</w:t>
      </w:r>
      <w:r w:rsidRPr="003168A7">
        <w:rPr>
          <w:rStyle w:val="apple-converted-space"/>
          <w:rFonts w:asciiTheme="minorHAnsi" w:hAnsiTheme="minorHAnsi" w:cs="Arial"/>
          <w:color w:val="222222"/>
        </w:rPr>
        <w:t> </w:t>
      </w:r>
      <w:r w:rsidRPr="003168A7">
        <w:rPr>
          <w:rFonts w:asciiTheme="minorHAnsi" w:hAnsiTheme="minorHAnsi" w:cs="Arial"/>
          <w:color w:val="222222"/>
        </w:rPr>
        <w:t xml:space="preserve">receptors. </w:t>
      </w:r>
      <w:r w:rsidR="00240889">
        <w:rPr>
          <w:rFonts w:asciiTheme="minorHAnsi" w:hAnsiTheme="minorHAnsi" w:cs="Arial"/>
          <w:color w:val="222222"/>
        </w:rPr>
        <w:t>Benzodiazepines do</w:t>
      </w:r>
      <w:r w:rsidRPr="003168A7">
        <w:rPr>
          <w:rFonts w:asciiTheme="minorHAnsi" w:hAnsiTheme="minorHAnsi" w:cs="Arial"/>
          <w:color w:val="222222"/>
        </w:rPr>
        <w:t xml:space="preserve"> not activate GABA</w:t>
      </w:r>
      <w:r w:rsidRPr="003168A7">
        <w:rPr>
          <w:rFonts w:asciiTheme="minorHAnsi" w:hAnsiTheme="minorHAnsi" w:cs="Arial"/>
          <w:color w:val="222222"/>
          <w:vertAlign w:val="subscript"/>
        </w:rPr>
        <w:t>A</w:t>
      </w:r>
      <w:r w:rsidRPr="003168A7">
        <w:rPr>
          <w:rStyle w:val="apple-converted-space"/>
          <w:rFonts w:asciiTheme="minorHAnsi" w:hAnsiTheme="minorHAnsi" w:cs="Arial"/>
          <w:color w:val="222222"/>
        </w:rPr>
        <w:t> </w:t>
      </w:r>
      <w:r w:rsidR="00240889">
        <w:rPr>
          <w:rFonts w:asciiTheme="minorHAnsi" w:hAnsiTheme="minorHAnsi" w:cs="Arial"/>
          <w:color w:val="222222"/>
        </w:rPr>
        <w:t xml:space="preserve">receptors directly but function as a </w:t>
      </w:r>
      <w:r w:rsidR="00240889" w:rsidRPr="00240889">
        <w:rPr>
          <w:rFonts w:asciiTheme="minorHAnsi" w:hAnsiTheme="minorHAnsi" w:cs="Arial"/>
          <w:color w:val="222222"/>
        </w:rPr>
        <w:t>positive allosteric modulator</w:t>
      </w:r>
      <w:r w:rsidR="00240889">
        <w:rPr>
          <w:rFonts w:asciiTheme="minorHAnsi" w:hAnsiTheme="minorHAnsi" w:cs="Arial"/>
          <w:color w:val="222222"/>
        </w:rPr>
        <w:t xml:space="preserve"> binding</w:t>
      </w:r>
      <w:r w:rsidRPr="003168A7">
        <w:rPr>
          <w:rFonts w:asciiTheme="minorHAnsi" w:hAnsiTheme="minorHAnsi" w:cs="Arial"/>
          <w:color w:val="222222"/>
        </w:rPr>
        <w:t xml:space="preserve"> to the </w:t>
      </w:r>
      <w:r w:rsidR="009F4E70">
        <w:rPr>
          <w:rFonts w:asciiTheme="minorHAnsi" w:hAnsiTheme="minorHAnsi" w:cs="Arial"/>
          <w:color w:val="222222"/>
        </w:rPr>
        <w:t>benzodiazepine-</w:t>
      </w:r>
      <w:r w:rsidR="00650AE3">
        <w:rPr>
          <w:rFonts w:asciiTheme="minorHAnsi" w:hAnsiTheme="minorHAnsi" w:cs="Arial"/>
          <w:color w:val="222222"/>
        </w:rPr>
        <w:t>binding site located on the GABA</w:t>
      </w:r>
      <w:r w:rsidR="00650AE3">
        <w:rPr>
          <w:rFonts w:asciiTheme="minorHAnsi" w:hAnsiTheme="minorHAnsi" w:cs="Arial"/>
          <w:color w:val="222222"/>
          <w:vertAlign w:val="subscript"/>
        </w:rPr>
        <w:t>A</w:t>
      </w:r>
      <w:r w:rsidR="00650AE3">
        <w:rPr>
          <w:rFonts w:asciiTheme="minorHAnsi" w:hAnsiTheme="minorHAnsi" w:cs="Arial"/>
          <w:color w:val="222222"/>
        </w:rPr>
        <w:t xml:space="preserve"> </w:t>
      </w:r>
      <w:r w:rsidRPr="003168A7">
        <w:rPr>
          <w:rFonts w:asciiTheme="minorHAnsi" w:hAnsiTheme="minorHAnsi" w:cs="Arial"/>
          <w:color w:val="222222"/>
        </w:rPr>
        <w:t>receptors leading</w:t>
      </w:r>
      <w:r w:rsidR="00240889">
        <w:rPr>
          <w:rFonts w:asciiTheme="minorHAnsi" w:hAnsiTheme="minorHAnsi" w:cs="Arial"/>
          <w:color w:val="222222"/>
        </w:rPr>
        <w:t xml:space="preserve"> to </w:t>
      </w:r>
      <w:r w:rsidRPr="003168A7">
        <w:rPr>
          <w:rFonts w:asciiTheme="minorHAnsi" w:hAnsiTheme="minorHAnsi" w:cs="Arial"/>
          <w:color w:val="222222"/>
        </w:rPr>
        <w:t>the enhancement of the effect of the neurotransmitter GABA on the GABA</w:t>
      </w:r>
      <w:r w:rsidRPr="003168A7">
        <w:rPr>
          <w:rFonts w:asciiTheme="minorHAnsi" w:hAnsiTheme="minorHAnsi" w:cs="Arial"/>
          <w:color w:val="222222"/>
          <w:vertAlign w:val="subscript"/>
        </w:rPr>
        <w:t>A</w:t>
      </w:r>
      <w:r w:rsidRPr="003168A7">
        <w:rPr>
          <w:rStyle w:val="apple-converted-space"/>
          <w:rFonts w:asciiTheme="minorHAnsi" w:hAnsiTheme="minorHAnsi" w:cs="Arial"/>
          <w:color w:val="222222"/>
        </w:rPr>
        <w:t> </w:t>
      </w:r>
      <w:r w:rsidRPr="003168A7">
        <w:rPr>
          <w:rFonts w:asciiTheme="minorHAnsi" w:hAnsiTheme="minorHAnsi" w:cs="Arial"/>
          <w:color w:val="222222"/>
        </w:rPr>
        <w:t xml:space="preserve">receptors (increased frequency of chloride channel opening) </w:t>
      </w:r>
      <w:r w:rsidR="00240889">
        <w:rPr>
          <w:rFonts w:asciiTheme="minorHAnsi" w:hAnsiTheme="minorHAnsi" w:cs="Arial"/>
          <w:color w:val="222222"/>
        </w:rPr>
        <w:t xml:space="preserve">resulting in neural inhibition. </w:t>
      </w:r>
      <w:r w:rsidRPr="00C1178B">
        <w:t xml:space="preserve">This effect gives </w:t>
      </w:r>
      <w:r w:rsidR="00240889">
        <w:t xml:space="preserve">benzodiazepines like </w:t>
      </w:r>
      <w:r w:rsidRPr="00C1178B">
        <w:t>midazolam a marked anticonvulsant effect.</w:t>
      </w:r>
      <w:r w:rsidR="00240889">
        <w:t xml:space="preserve"> </w:t>
      </w:r>
      <w:r w:rsidRPr="00C1178B">
        <w:t xml:space="preserve">The effects of midazolam on the </w:t>
      </w:r>
      <w:r>
        <w:t>cent</w:t>
      </w:r>
      <w:r w:rsidR="00C208A3">
        <w:t xml:space="preserve">ral nervous system </w:t>
      </w:r>
      <w:r w:rsidRPr="00C1178B">
        <w:t>are dependent on the dose administered, the route of administration and the presence or absence</w:t>
      </w:r>
      <w:r w:rsidRPr="003168A7">
        <w:t xml:space="preserve"> of other premedications.</w:t>
      </w:r>
    </w:p>
    <w:p w14:paraId="39981B64" w14:textId="48FAA19B" w:rsidR="001D5343" w:rsidRDefault="001D5343" w:rsidP="001D5343">
      <w:pPr>
        <w:pStyle w:val="FigureTitle"/>
      </w:pPr>
      <w:bookmarkStart w:id="27" w:name="_Ref131666737"/>
      <w:bookmarkStart w:id="28" w:name="_Ref108433579"/>
      <w:r>
        <w:t xml:space="preserve">Figure </w:t>
      </w:r>
      <w:fldSimple w:instr=" SEQ Figure \* ARABIC ">
        <w:r w:rsidR="00AA79CE">
          <w:rPr>
            <w:noProof/>
          </w:rPr>
          <w:t>1</w:t>
        </w:r>
      </w:fldSimple>
      <w:bookmarkEnd w:id="27"/>
      <w:r>
        <w:t>: Benzodiazepine activation of GABA</w:t>
      </w:r>
      <w:r w:rsidRPr="00857184">
        <w:rPr>
          <w:vertAlign w:val="subscript"/>
        </w:rPr>
        <w:t>A</w:t>
      </w:r>
      <w:r>
        <w:t xml:space="preserve"> receptors</w:t>
      </w:r>
      <w:bookmarkEnd w:id="28"/>
    </w:p>
    <w:p w14:paraId="53CA44FB" w14:textId="45748A27" w:rsidR="00D75F0E" w:rsidRDefault="00D75F0E" w:rsidP="00F54D8F">
      <w:r>
        <w:rPr>
          <w:noProof/>
          <w:lang w:val="en-GB" w:eastAsia="en-GB"/>
        </w:rPr>
        <w:drawing>
          <wp:inline distT="0" distB="0" distL="0" distR="0" wp14:anchorId="22E4CC37" wp14:editId="5A927617">
            <wp:extent cx="5160397" cy="3307169"/>
            <wp:effectExtent l="0" t="0" r="2540" b="7620"/>
            <wp:docPr id="5" name="Picture 5" descr="Figure 1:&#10;Midazolam does not activate GABAA receptors directly but, as with other benzodiazepines, it binds to the  GABAA receptors  leading, to the enhancement of the effect of the neurotransmitter GABA on the GABAA receptors (increased frequency of chloride channel opening) resulting in neural in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74042" cy="3315914"/>
                    </a:xfrm>
                    <a:prstGeom prst="rect">
                      <a:avLst/>
                    </a:prstGeom>
                  </pic:spPr>
                </pic:pic>
              </a:graphicData>
            </a:graphic>
          </wp:inline>
        </w:drawing>
      </w:r>
    </w:p>
    <w:p w14:paraId="144AA659" w14:textId="2C84A2E8" w:rsidR="00650AE3" w:rsidRDefault="00650AE3" w:rsidP="001D5343">
      <w:pPr>
        <w:pStyle w:val="FigureDescription"/>
      </w:pPr>
      <w:r>
        <w:t>The green arrow shows the</w:t>
      </w:r>
      <w:r w:rsidR="007D49DB">
        <w:t xml:space="preserve"> direction of</w:t>
      </w:r>
      <w:r>
        <w:t xml:space="preserve"> movement of GABA </w:t>
      </w:r>
      <w:r w:rsidR="007D49DB">
        <w:t xml:space="preserve">released </w:t>
      </w:r>
      <w:r>
        <w:t>from the pre-synaptic neuron (above) across the synapse, to the GABA</w:t>
      </w:r>
      <w:r>
        <w:rPr>
          <w:vertAlign w:val="subscript"/>
        </w:rPr>
        <w:t xml:space="preserve">A </w:t>
      </w:r>
      <w:r>
        <w:t>receptors located on the post-synaptic neuron (below). Binding of GABA to the GABA</w:t>
      </w:r>
      <w:r w:rsidR="009F4E70">
        <w:rPr>
          <w:vertAlign w:val="subscript"/>
        </w:rPr>
        <w:t>A</w:t>
      </w:r>
      <w:r>
        <w:t xml:space="preserve"> receptors results in</w:t>
      </w:r>
      <w:r w:rsidR="009F4E70">
        <w:t xml:space="preserve"> an</w:t>
      </w:r>
      <w:r>
        <w:t xml:space="preserve"> </w:t>
      </w:r>
      <w:r w:rsidR="009F4E70">
        <w:t>increased opening frequency of chloride ion pore, allowing more chloride ions to pass into the neuron, resulting in neural inhibition.</w:t>
      </w:r>
    </w:p>
    <w:p w14:paraId="3749DF1A" w14:textId="5570CF18" w:rsidR="009F4E70" w:rsidRPr="009F4E70" w:rsidRDefault="009F4E70" w:rsidP="001D5343">
      <w:pPr>
        <w:pStyle w:val="FigureDescription"/>
      </w:pPr>
      <w:r>
        <w:t>Benzodiazepines bind to a different site on the GABA</w:t>
      </w:r>
      <w:r>
        <w:rPr>
          <w:vertAlign w:val="subscript"/>
        </w:rPr>
        <w:t xml:space="preserve">A </w:t>
      </w:r>
      <w:r>
        <w:t>receptor known as the benzodiazepine-binding site. Binding of a benzodiazepine to the GABA</w:t>
      </w:r>
      <w:r>
        <w:rPr>
          <w:vertAlign w:val="subscript"/>
        </w:rPr>
        <w:t xml:space="preserve">A </w:t>
      </w:r>
      <w:r>
        <w:t>receptor results in an enhancement of the effect of GABA, resulting in decreased excitability and more neural inhibition than GABA alone.</w:t>
      </w:r>
    </w:p>
    <w:p w14:paraId="2361C64F" w14:textId="1A2D60BF" w:rsidR="001D5343" w:rsidRDefault="001D5343" w:rsidP="00C17E13">
      <w:pPr>
        <w:rPr>
          <w:rFonts w:asciiTheme="minorHAnsi" w:hAnsiTheme="minorHAnsi" w:cs="Arial"/>
          <w:color w:val="222222"/>
        </w:rPr>
      </w:pPr>
      <w:r>
        <w:rPr>
          <w:rFonts w:asciiTheme="minorHAnsi" w:hAnsiTheme="minorHAnsi" w:cs="Arial"/>
          <w:color w:val="222222"/>
        </w:rPr>
        <w:lastRenderedPageBreak/>
        <w:t>By binding to GABA</w:t>
      </w:r>
      <w:r w:rsidRPr="008C1BB5">
        <w:rPr>
          <w:rFonts w:asciiTheme="minorHAnsi" w:hAnsiTheme="minorHAnsi" w:cs="Arial"/>
          <w:color w:val="222222"/>
          <w:vertAlign w:val="subscript"/>
        </w:rPr>
        <w:t>A</w:t>
      </w:r>
      <w:r>
        <w:rPr>
          <w:rFonts w:asciiTheme="minorHAnsi" w:hAnsiTheme="minorHAnsi" w:cs="Arial"/>
          <w:color w:val="222222"/>
        </w:rPr>
        <w:t xml:space="preserve"> receptors, midazolam produces sedation, induction of sleep, reduction in anxiety, anterograde amnesia, muscle relaxat</w:t>
      </w:r>
      <w:r w:rsidR="00240889">
        <w:rPr>
          <w:rFonts w:asciiTheme="minorHAnsi" w:hAnsiTheme="minorHAnsi" w:cs="Arial"/>
          <w:color w:val="222222"/>
        </w:rPr>
        <w:t>ion and anticonvulsant effects.</w:t>
      </w:r>
    </w:p>
    <w:p w14:paraId="18ADB0D4" w14:textId="3A57C9E7" w:rsidR="00C17E13" w:rsidRDefault="00C17E13" w:rsidP="00275E83">
      <w:pPr>
        <w:pStyle w:val="Heading4"/>
      </w:pPr>
      <w:bookmarkStart w:id="29" w:name="_Toc72234539"/>
      <w:r>
        <w:t>Clinical rationale</w:t>
      </w:r>
      <w:bookmarkEnd w:id="29"/>
    </w:p>
    <w:p w14:paraId="27C77F74" w14:textId="0DD079FC" w:rsidR="00E17CF3" w:rsidRDefault="00E17CF3" w:rsidP="00EC6382">
      <w:r>
        <w:t xml:space="preserve">Given that </w:t>
      </w:r>
      <w:r w:rsidRPr="00FB0363">
        <w:rPr>
          <w:lang w:eastAsia="ja-JP"/>
        </w:rPr>
        <w:t>once a convulsive seizure lasts more than 5 minute</w:t>
      </w:r>
      <w:r>
        <w:rPr>
          <w:lang w:eastAsia="ja-JP"/>
        </w:rPr>
        <w:t>s it is likely to be prolonged, and</w:t>
      </w:r>
      <w:r>
        <w:t xml:space="preserve"> as </w:t>
      </w:r>
      <w:r w:rsidR="00C17E13" w:rsidRPr="00FB0363">
        <w:rPr>
          <w:lang w:eastAsia="ja-JP"/>
        </w:rPr>
        <w:t xml:space="preserve">a seizure becomes more refractory to treatment with duration, </w:t>
      </w:r>
      <w:r>
        <w:rPr>
          <w:lang w:eastAsia="ja-JP"/>
        </w:rPr>
        <w:t xml:space="preserve">early intervention is important and </w:t>
      </w:r>
      <w:r w:rsidR="00C17E13" w:rsidRPr="00FB0363">
        <w:rPr>
          <w:lang w:eastAsia="ja-JP"/>
        </w:rPr>
        <w:t>potentially decreases both morbidity and mortality. The majority of seizures are brief and self-limiting</w:t>
      </w:r>
      <w:r w:rsidR="00906BBE">
        <w:rPr>
          <w:lang w:eastAsia="ja-JP"/>
        </w:rPr>
        <w:t>.</w:t>
      </w:r>
      <w:r w:rsidR="00C17E13" w:rsidRPr="00FB0363">
        <w:rPr>
          <w:lang w:eastAsia="ja-JP"/>
        </w:rPr>
        <w:t xml:space="preserve"> The goal of therapy is the rapid termination of both clinical and electrical seizure activity, since appropriate and timely </w:t>
      </w:r>
      <w:r w:rsidR="00C17E13" w:rsidRPr="00FB0363">
        <w:t xml:space="preserve">therapy of </w:t>
      </w:r>
      <w:r w:rsidR="00FB0363" w:rsidRPr="00FB0363">
        <w:t xml:space="preserve">prolonged acute convulsive seizures (PACS) </w:t>
      </w:r>
      <w:r w:rsidR="00C17E13" w:rsidRPr="00FB0363">
        <w:t>reduces the risk of progression to status epilepticus with associated mortality and morbidity</w:t>
      </w:r>
      <w:r w:rsidR="00FB0363">
        <w:t>.</w:t>
      </w:r>
    </w:p>
    <w:p w14:paraId="5E6A1540" w14:textId="0C90DC9B" w:rsidR="00E706F8" w:rsidRPr="00FB0363" w:rsidRDefault="00E17CF3" w:rsidP="00FB0363">
      <w:pPr>
        <w:rPr>
          <w:lang w:eastAsia="ja-JP"/>
        </w:rPr>
      </w:pPr>
      <w:r>
        <w:rPr>
          <w:lang w:eastAsia="ja-JP"/>
        </w:rPr>
        <w:t xml:space="preserve">Aside from in hospital use of intravenous benzodiazepines, there are no approved </w:t>
      </w:r>
      <w:r w:rsidR="00E706F8">
        <w:rPr>
          <w:lang w:eastAsia="ja-JP"/>
        </w:rPr>
        <w:t>benzodiazepine treatments for the out of hospital or prehospital environment.</w:t>
      </w:r>
    </w:p>
    <w:p w14:paraId="7609D152" w14:textId="6D0FCFA4" w:rsidR="008E7846" w:rsidRDefault="00386150" w:rsidP="008E7846">
      <w:pPr>
        <w:pStyle w:val="Heading3"/>
      </w:pPr>
      <w:bookmarkStart w:id="30" w:name="_Toc132882392"/>
      <w:bookmarkEnd w:id="16"/>
      <w:r>
        <w:t>Regulatory s</w:t>
      </w:r>
      <w:r w:rsidR="008E7846">
        <w:t>tatus</w:t>
      </w:r>
      <w:bookmarkEnd w:id="17"/>
      <w:bookmarkEnd w:id="18"/>
      <w:bookmarkEnd w:id="30"/>
    </w:p>
    <w:p w14:paraId="331E2D19" w14:textId="2388B39E" w:rsidR="00303FAC" w:rsidRPr="00A924F7" w:rsidRDefault="00303FAC" w:rsidP="00A924F7">
      <w:pPr>
        <w:pStyle w:val="Heading4"/>
      </w:pPr>
      <w:r>
        <w:t>Australian regulatory history</w:t>
      </w:r>
    </w:p>
    <w:p w14:paraId="31631F9B" w14:textId="6DB4F549" w:rsidR="00BD336F" w:rsidRDefault="00BD336F" w:rsidP="00BD336F">
      <w:r>
        <w:t xml:space="preserve">There are </w:t>
      </w:r>
      <w:r w:rsidR="006358F7">
        <w:t>many</w:t>
      </w:r>
      <w:r>
        <w:t xml:space="preserve"> entries </w:t>
      </w:r>
      <w:r w:rsidR="006358F7">
        <w:t xml:space="preserve">for midazolam (as hydrochloride) </w:t>
      </w:r>
      <w:r>
        <w:t xml:space="preserve">on the </w:t>
      </w:r>
      <w:r w:rsidR="00BD40D2">
        <w:t>Australian Register of Therapeutic Goods (ARTG)</w:t>
      </w:r>
      <w:r>
        <w:t xml:space="preserve">, mostly </w:t>
      </w:r>
      <w:r w:rsidR="006358F7">
        <w:t>as solution for intravenous (IV) or intramuscular (IM) injection, but also for</w:t>
      </w:r>
      <w:r>
        <w:t xml:space="preserve"> solution for infusion.</w:t>
      </w:r>
    </w:p>
    <w:p w14:paraId="42C03D4C" w14:textId="72E8A58F" w:rsidR="00BD336F" w:rsidRPr="00BD336F" w:rsidRDefault="00BD336F" w:rsidP="00BD336F">
      <w:r>
        <w:t>The innovator product Hypnovel</w:t>
      </w:r>
      <w:r w:rsidR="006E2346">
        <w:t xml:space="preserve"> (midazolam (hydrochloride) solution for injection)</w:t>
      </w:r>
      <w:r w:rsidR="006358F7">
        <w:t>;</w:t>
      </w:r>
      <w:bookmarkStart w:id="31" w:name="_Ref109289276"/>
      <w:r w:rsidR="006358F7">
        <w:rPr>
          <w:rStyle w:val="FootnoteReference"/>
        </w:rPr>
        <w:footnoteReference w:id="14"/>
      </w:r>
      <w:bookmarkEnd w:id="31"/>
      <w:r>
        <w:t xml:space="preserve"> was grandfathered on to the ARTG being first marketed in Australia some 25 years ago. </w:t>
      </w:r>
      <w:r w:rsidRPr="00BD336F">
        <w:t xml:space="preserve">Hypnovel </w:t>
      </w:r>
      <w:r>
        <w:t>has the approved usages</w:t>
      </w:r>
      <w:r w:rsidRPr="00BD336F">
        <w:t>:</w:t>
      </w:r>
    </w:p>
    <w:p w14:paraId="63FC6B18" w14:textId="77777777" w:rsidR="00BD336F" w:rsidRPr="00624C89" w:rsidRDefault="00BD336F" w:rsidP="00624C89">
      <w:pPr>
        <w:ind w:left="720"/>
        <w:rPr>
          <w:i/>
        </w:rPr>
      </w:pPr>
      <w:r w:rsidRPr="00624C89">
        <w:rPr>
          <w:i/>
        </w:rPr>
        <w:t>IV as an agent for conscious sedation prior to short surgical, diagnostic, therapeutic or endoscopic procedures, such as bronchoscopy, gastroscopy, cystoscopy, coronary angiography and cardiac catheterisation, either alone or in conjunction with a narcotic;</w:t>
      </w:r>
    </w:p>
    <w:p w14:paraId="65A5536E" w14:textId="77777777" w:rsidR="00BD336F" w:rsidRPr="00624C89" w:rsidRDefault="00BD336F" w:rsidP="00624C89">
      <w:pPr>
        <w:ind w:left="720"/>
        <w:rPr>
          <w:i/>
        </w:rPr>
      </w:pPr>
      <w:r w:rsidRPr="00624C89">
        <w:rPr>
          <w:i/>
        </w:rPr>
        <w:t>IV for induction of anaesthesia, preliminary to administration of other anaesthetic agents. With the use of a narcotic premedicant, induction of anaesthesia can be attained with a narrower dose range and in a shorter period of time.</w:t>
      </w:r>
    </w:p>
    <w:p w14:paraId="127E8964" w14:textId="77777777" w:rsidR="00BD336F" w:rsidRPr="00624C89" w:rsidRDefault="00BD336F" w:rsidP="00624C89">
      <w:pPr>
        <w:ind w:left="720"/>
        <w:rPr>
          <w:i/>
        </w:rPr>
      </w:pPr>
      <w:r w:rsidRPr="00624C89">
        <w:rPr>
          <w:i/>
        </w:rPr>
        <w:t>IV for sedation in intensive care units; intermittent administration or continuous infusion.</w:t>
      </w:r>
    </w:p>
    <w:p w14:paraId="1B69806C" w14:textId="77777777" w:rsidR="00BD336F" w:rsidRPr="00624C89" w:rsidRDefault="00BD336F" w:rsidP="00624C89">
      <w:pPr>
        <w:ind w:left="720"/>
        <w:rPr>
          <w:i/>
        </w:rPr>
      </w:pPr>
      <w:r w:rsidRPr="00624C89">
        <w:rPr>
          <w:i/>
        </w:rPr>
        <w:t>IM for preoperative sedation (induction of sleepiness or drowsiness and relief of apprehension) and to impair memory of perioperative events</w:t>
      </w:r>
    </w:p>
    <w:p w14:paraId="39706077" w14:textId="6C7A8DDB" w:rsidR="00BD336F" w:rsidRDefault="00BD336F" w:rsidP="00BD336F">
      <w:r>
        <w:t>The approved indications for all other registered midazolam products are the same as above.</w:t>
      </w:r>
    </w:p>
    <w:p w14:paraId="34A10D16" w14:textId="361E18B5" w:rsidR="006358F7" w:rsidRDefault="006358F7" w:rsidP="00BD336F">
      <w:r>
        <w:t>Although none of these indications are for intranasal administration, there is a long history in Australia of off-label intranasal use of midazolam in children, for premedication or for control of seizures.</w:t>
      </w:r>
    </w:p>
    <w:p w14:paraId="5B1397C3" w14:textId="3463BF57" w:rsidR="003A7CF5" w:rsidRDefault="003A7CF5" w:rsidP="003A7CF5">
      <w:pPr>
        <w:rPr>
          <w:lang w:eastAsia="ja-JP"/>
        </w:rPr>
      </w:pPr>
      <w:r>
        <w:rPr>
          <w:lang w:eastAsia="ja-JP"/>
        </w:rPr>
        <w:t xml:space="preserve">The proposed product is a different salt, </w:t>
      </w:r>
      <w:r w:rsidRPr="005B0AEA">
        <w:rPr>
          <w:lang w:eastAsia="ja-JP"/>
        </w:rPr>
        <w:t>maleate</w:t>
      </w:r>
      <w:r>
        <w:rPr>
          <w:lang w:eastAsia="ja-JP"/>
        </w:rPr>
        <w:t>, rather than the hydrochloride of the innovator product, Hypnovel.</w:t>
      </w:r>
    </w:p>
    <w:p w14:paraId="19B1F52D" w14:textId="45B771C0" w:rsidR="003A7CF5" w:rsidRDefault="003A7CF5" w:rsidP="003A7CF5">
      <w:pPr>
        <w:rPr>
          <w:lang w:eastAsia="ja-JP"/>
        </w:rPr>
      </w:pPr>
      <w:r>
        <w:rPr>
          <w:lang w:eastAsia="ja-JP"/>
        </w:rPr>
        <w:lastRenderedPageBreak/>
        <w:t>The submission is here considered as a generic of Hypnovel rather than as a new chemical entity. No difference in properties (other than related to the proposed new indication and route of administration) should thus be claimed.</w:t>
      </w:r>
    </w:p>
    <w:p w14:paraId="3BB3F93C" w14:textId="1DAC911C" w:rsidR="00C44DEB" w:rsidRDefault="003A7CF5" w:rsidP="00393145">
      <w:r>
        <w:t xml:space="preserve">On </w:t>
      </w:r>
      <w:r w:rsidR="00393145">
        <w:t xml:space="preserve">7 April 2017, </w:t>
      </w:r>
      <w:r>
        <w:t xml:space="preserve">the same sponsor made a </w:t>
      </w:r>
      <w:r w:rsidR="00393145">
        <w:t xml:space="preserve">submission </w:t>
      </w:r>
      <w:r>
        <w:t xml:space="preserve">(submission </w:t>
      </w:r>
      <w:r w:rsidR="00393145" w:rsidRPr="00393145">
        <w:t>PM-2017-00392-1-</w:t>
      </w:r>
      <w:r w:rsidR="00393145">
        <w:t>1</w:t>
      </w:r>
      <w:r>
        <w:t xml:space="preserve">) for approval of </w:t>
      </w:r>
      <w:r w:rsidR="00C44DEB">
        <w:t>the same product (midazolam male</w:t>
      </w:r>
      <w:r>
        <w:t xml:space="preserve">ate, 10 mg/mL oromucosal </w:t>
      </w:r>
      <w:r w:rsidR="00566A1B">
        <w:t>solution</w:t>
      </w:r>
      <w:r>
        <w:t>, prefilled syringe</w:t>
      </w:r>
      <w:r w:rsidR="00C44DEB">
        <w:t>) under the tradename Epistatus. This submission was withdrawn on 18 September 2018 by the sponsor prior to a regulatory decision being made by the TGA. The indication proposed in this submission was as follows:</w:t>
      </w:r>
    </w:p>
    <w:p w14:paraId="647B1896" w14:textId="5B60D9D0" w:rsidR="00393145" w:rsidRPr="00C44DEB" w:rsidRDefault="00393145" w:rsidP="00C44DEB">
      <w:pPr>
        <w:ind w:left="720"/>
        <w:rPr>
          <w:i/>
        </w:rPr>
      </w:pPr>
      <w:r w:rsidRPr="00C44DEB">
        <w:rPr>
          <w:i/>
        </w:rPr>
        <w:t>‘</w:t>
      </w:r>
      <w:r w:rsidR="00C44DEB" w:rsidRPr="00C44DEB">
        <w:rPr>
          <w:i/>
        </w:rPr>
        <w:t xml:space="preserve">Epistatus </w:t>
      </w:r>
      <w:r w:rsidRPr="00C44DEB">
        <w:rPr>
          <w:i/>
        </w:rPr>
        <w:t>is indicated for the treatment of prolonged, acute, convulsive seizures in children and adolescents aged 10 to less than 18 years.</w:t>
      </w:r>
    </w:p>
    <w:p w14:paraId="0AFB8F6F" w14:textId="314376EC" w:rsidR="00393145" w:rsidRPr="00C44DEB" w:rsidRDefault="00C44DEB" w:rsidP="00C44DEB">
      <w:pPr>
        <w:ind w:left="720"/>
        <w:rPr>
          <w:i/>
        </w:rPr>
      </w:pPr>
      <w:r w:rsidRPr="00C44DEB">
        <w:rPr>
          <w:i/>
        </w:rPr>
        <w:t xml:space="preserve">Epistatus </w:t>
      </w:r>
      <w:r w:rsidR="00393145" w:rsidRPr="00C44DEB">
        <w:rPr>
          <w:i/>
        </w:rPr>
        <w:t>must only be used by parents / caregivers where the patient has been diagnosed to have epilepsy.’</w:t>
      </w:r>
    </w:p>
    <w:p w14:paraId="2664AD73" w14:textId="277B342A" w:rsidR="00303FAC" w:rsidRPr="00A924F7" w:rsidRDefault="00303FAC" w:rsidP="00A924F7">
      <w:pPr>
        <w:pStyle w:val="Heading4"/>
      </w:pPr>
      <w:r>
        <w:t>Overseas regulatory history</w:t>
      </w:r>
    </w:p>
    <w:p w14:paraId="6320A301" w14:textId="29939BA8" w:rsidR="001D0E0E" w:rsidRDefault="00C208A3" w:rsidP="001D0E0E">
      <w:pPr>
        <w:spacing w:after="0"/>
        <w:rPr>
          <w:rFonts w:eastAsia="Times New Roman"/>
          <w:snapToGrid w:val="0"/>
          <w:color w:val="000000"/>
          <w:szCs w:val="24"/>
        </w:rPr>
      </w:pPr>
      <w:r>
        <w:t xml:space="preserve">The same formulation under the tradename </w:t>
      </w:r>
      <w:r w:rsidR="001D0E0E" w:rsidRPr="00BD40D2">
        <w:t xml:space="preserve">Epistatus </w:t>
      </w:r>
      <w:r w:rsidR="00C44DEB">
        <w:rPr>
          <w:rFonts w:eastAsia="Times New Roman"/>
          <w:snapToGrid w:val="0"/>
          <w:color w:val="000000"/>
          <w:szCs w:val="24"/>
        </w:rPr>
        <w:t>has been</w:t>
      </w:r>
      <w:r w:rsidR="001D0E0E" w:rsidRPr="00BD40D2">
        <w:rPr>
          <w:rFonts w:eastAsia="Times New Roman"/>
          <w:snapToGrid w:val="0"/>
          <w:color w:val="000000"/>
          <w:szCs w:val="24"/>
        </w:rPr>
        <w:t xml:space="preserve"> approved in the </w:t>
      </w:r>
      <w:r w:rsidR="00C44DEB">
        <w:rPr>
          <w:rFonts w:eastAsia="Times New Roman"/>
          <w:snapToGrid w:val="0"/>
          <w:color w:val="000000"/>
          <w:szCs w:val="24"/>
        </w:rPr>
        <w:t>United Kingdom</w:t>
      </w:r>
      <w:r w:rsidR="001D0E0E" w:rsidRPr="00BD40D2">
        <w:rPr>
          <w:rFonts w:eastAsia="Times New Roman"/>
          <w:snapToGrid w:val="0"/>
          <w:color w:val="000000"/>
          <w:szCs w:val="24"/>
        </w:rPr>
        <w:t xml:space="preserve"> </w:t>
      </w:r>
      <w:r w:rsidR="000D3219" w:rsidRPr="00BD40D2">
        <w:rPr>
          <w:rFonts w:eastAsia="Times New Roman"/>
          <w:snapToGrid w:val="0"/>
          <w:color w:val="000000"/>
          <w:szCs w:val="24"/>
        </w:rPr>
        <w:t>(</w:t>
      </w:r>
      <w:r w:rsidR="00C44DEB">
        <w:rPr>
          <w:rFonts w:eastAsia="Times New Roman"/>
          <w:snapToGrid w:val="0"/>
          <w:color w:val="000000"/>
          <w:szCs w:val="24"/>
        </w:rPr>
        <w:t xml:space="preserve">since </w:t>
      </w:r>
      <w:r w:rsidR="000D3219" w:rsidRPr="00BD40D2">
        <w:rPr>
          <w:rFonts w:eastAsia="Times New Roman"/>
          <w:snapToGrid w:val="0"/>
          <w:color w:val="000000"/>
          <w:szCs w:val="24"/>
        </w:rPr>
        <w:t xml:space="preserve">April 2017) </w:t>
      </w:r>
      <w:r w:rsidR="001D0E0E" w:rsidRPr="00BD40D2">
        <w:t>and</w:t>
      </w:r>
      <w:r w:rsidR="00C44DEB">
        <w:t xml:space="preserve"> the</w:t>
      </w:r>
      <w:r w:rsidR="001D0E0E" w:rsidRPr="00BD40D2">
        <w:t xml:space="preserve"> European Union (</w:t>
      </w:r>
      <w:r w:rsidR="000D3219" w:rsidRPr="00BD40D2">
        <w:t>2019-2020</w:t>
      </w:r>
      <w:r w:rsidR="001D0E0E" w:rsidRPr="00BD40D2">
        <w:t xml:space="preserve">) </w:t>
      </w:r>
      <w:r w:rsidR="00C44DEB">
        <w:t xml:space="preserve">under the European Medicines Agency’s </w:t>
      </w:r>
      <w:r w:rsidR="001D0E0E" w:rsidRPr="00BD40D2">
        <w:t>mutual recognition</w:t>
      </w:r>
      <w:r w:rsidR="001D0E0E">
        <w:t xml:space="preserve"> </w:t>
      </w:r>
      <w:r w:rsidR="00C44DEB">
        <w:t>scheme</w:t>
      </w:r>
      <w:r w:rsidR="001D0E0E">
        <w:t xml:space="preserve">, </w:t>
      </w:r>
      <w:r w:rsidR="001D0E0E">
        <w:rPr>
          <w:rFonts w:eastAsia="Times New Roman"/>
          <w:snapToGrid w:val="0"/>
          <w:color w:val="000000"/>
          <w:szCs w:val="24"/>
        </w:rPr>
        <w:t xml:space="preserve">for the same indication in </w:t>
      </w:r>
      <w:r w:rsidR="00C44DEB">
        <w:t>children and adolescents</w:t>
      </w:r>
      <w:r w:rsidR="006E2346">
        <w:t>:</w:t>
      </w:r>
    </w:p>
    <w:p w14:paraId="63D941DD" w14:textId="4D087AD8" w:rsidR="000D3219" w:rsidRPr="00BD336F" w:rsidRDefault="000D3219" w:rsidP="000D3219">
      <w:pPr>
        <w:ind w:left="720"/>
        <w:rPr>
          <w:i/>
          <w:iCs/>
        </w:rPr>
      </w:pPr>
      <w:r>
        <w:rPr>
          <w:i/>
          <w:iCs/>
        </w:rPr>
        <w:t>Epistatus is indicated for the t</w:t>
      </w:r>
      <w:r w:rsidRPr="00BD336F">
        <w:rPr>
          <w:i/>
          <w:iCs/>
        </w:rPr>
        <w:t xml:space="preserve">reatment of prolonged, acute, convulsive seizures in children and adolescents </w:t>
      </w:r>
      <w:r>
        <w:rPr>
          <w:i/>
          <w:iCs/>
        </w:rPr>
        <w:t xml:space="preserve">aged 10 to less than </w:t>
      </w:r>
      <w:r w:rsidRPr="00BD336F">
        <w:rPr>
          <w:i/>
          <w:iCs/>
        </w:rPr>
        <w:t>18 years.</w:t>
      </w:r>
    </w:p>
    <w:p w14:paraId="20C0A191" w14:textId="2905ADA6" w:rsidR="000D3219" w:rsidRDefault="000D3219" w:rsidP="000D3219">
      <w:pPr>
        <w:ind w:left="720"/>
        <w:rPr>
          <w:i/>
          <w:iCs/>
        </w:rPr>
      </w:pPr>
      <w:r>
        <w:rPr>
          <w:i/>
          <w:iCs/>
        </w:rPr>
        <w:t>Epistatus</w:t>
      </w:r>
      <w:r w:rsidRPr="00BD336F">
        <w:rPr>
          <w:i/>
          <w:iCs/>
        </w:rPr>
        <w:t xml:space="preserve"> must only be used by parents/carers where the patient has been diagnosed to have epilepsy.</w:t>
      </w:r>
    </w:p>
    <w:p w14:paraId="59E38E59" w14:textId="0E8479FA" w:rsidR="006C3A8E" w:rsidRPr="006C3A8E" w:rsidRDefault="006C3A8E" w:rsidP="00AD2057">
      <w:r>
        <w:t xml:space="preserve">A </w:t>
      </w:r>
      <w:r w:rsidR="009E7FCC">
        <w:t>comparable</w:t>
      </w:r>
      <w:r>
        <w:t xml:space="preserve"> product, Buccolam (midazolam hydrochloride) oromucosal solution was approved by the European Union in 2011 also supplied as doses of </w:t>
      </w:r>
      <w:r w:rsidR="00931463">
        <w:t>2.5 mg</w:t>
      </w:r>
      <w:r>
        <w:t>, 5 mg, 7.5 mg,</w:t>
      </w:r>
      <w:r w:rsidR="00931463">
        <w:t xml:space="preserve"> and</w:t>
      </w:r>
      <w:r>
        <w:t xml:space="preserve"> 10 mg</w:t>
      </w:r>
      <w:r w:rsidR="00931463">
        <w:t>, approved for similar indications</w:t>
      </w:r>
      <w:r w:rsidR="003345C8">
        <w:t xml:space="preserve"> (</w:t>
      </w:r>
      <w:r w:rsidR="003345C8" w:rsidRPr="003345C8">
        <w:t>from three months to less than 18 years of age</w:t>
      </w:r>
      <w:r w:rsidR="003345C8">
        <w:t>)</w:t>
      </w:r>
      <w:r w:rsidR="00931463">
        <w:t xml:space="preserve"> to those applied for in this submission</w:t>
      </w:r>
      <w:r>
        <w:t>. This product varies from Zyamis in being the hydrochloride versus maleate from of midazolam.</w:t>
      </w:r>
      <w:r>
        <w:rPr>
          <w:rStyle w:val="FootnoteReference"/>
        </w:rPr>
        <w:footnoteReference w:id="15"/>
      </w:r>
      <w:r w:rsidR="00931463">
        <w:t xml:space="preserve"> This product has not been evaluated by the TGA, nor is it approved for use in Australia. </w:t>
      </w:r>
      <w:r w:rsidR="00460022">
        <w:t>In this submission, m</w:t>
      </w:r>
      <w:r w:rsidR="00931463">
        <w:t>any of the studies have used this formulation, as discussed in this document.</w:t>
      </w:r>
    </w:p>
    <w:p w14:paraId="3DC5B394" w14:textId="77777777" w:rsidR="008E7846" w:rsidRDefault="008E7846" w:rsidP="00940A89">
      <w:pPr>
        <w:pStyle w:val="Heading3"/>
      </w:pPr>
      <w:bookmarkStart w:id="32" w:name="_Toc247691505"/>
      <w:bookmarkStart w:id="33" w:name="_Toc314842486"/>
      <w:bookmarkStart w:id="34" w:name="_Toc132882393"/>
      <w:r>
        <w:t>Product Information</w:t>
      </w:r>
      <w:bookmarkEnd w:id="32"/>
      <w:bookmarkEnd w:id="33"/>
      <w:bookmarkEnd w:id="34"/>
    </w:p>
    <w:p w14:paraId="64871233" w14:textId="6E55EC1C" w:rsidR="00940A89" w:rsidRDefault="006136D7" w:rsidP="00940A89">
      <w:bookmarkStart w:id="35" w:name="_Toc247691506"/>
      <w:bookmarkStart w:id="36"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4" w:history="1">
        <w:r w:rsidR="00441C3F" w:rsidRPr="00441C3F">
          <w:rPr>
            <w:rStyle w:val="Hyperlink"/>
          </w:rPr>
          <w:t>https://www.tga.gov.au/product-information-pi</w:t>
        </w:r>
      </w:hyperlink>
      <w:r w:rsidR="00441C3F">
        <w:t>&gt;</w:t>
      </w:r>
      <w:r w:rsidR="00940A89" w:rsidRPr="00940A89">
        <w:t>.</w:t>
      </w:r>
    </w:p>
    <w:p w14:paraId="059E04D1" w14:textId="2C3C0FBE" w:rsidR="006E2346" w:rsidRDefault="006E2346" w:rsidP="007E529A">
      <w:pPr>
        <w:spacing w:before="0" w:after="200" w:line="0" w:lineRule="auto"/>
      </w:pPr>
      <w:r>
        <w:br w:type="page"/>
      </w:r>
    </w:p>
    <w:p w14:paraId="13804E54" w14:textId="77777777" w:rsidR="00500337" w:rsidRDefault="00500337" w:rsidP="00500337">
      <w:pPr>
        <w:pStyle w:val="Heading2"/>
      </w:pPr>
      <w:bookmarkStart w:id="37" w:name="_Toc504480011"/>
      <w:bookmarkStart w:id="38" w:name="_Toc132882394"/>
      <w:r>
        <w:lastRenderedPageBreak/>
        <w:t>II. Registration timeline</w:t>
      </w:r>
      <w:bookmarkEnd w:id="37"/>
      <w:bookmarkEnd w:id="38"/>
    </w:p>
    <w:p w14:paraId="3C49A65C" w14:textId="3E1EFF73" w:rsidR="00500337" w:rsidRDefault="00500337" w:rsidP="00500337">
      <w:r>
        <w:t>The following table captures the key steps and dates for this application and which are detailed and discussed in this AusPAR.</w:t>
      </w:r>
    </w:p>
    <w:tbl>
      <w:tblPr>
        <w:tblStyle w:val="TableTGAblue"/>
        <w:tblW w:w="0" w:type="auto"/>
        <w:tblLook w:val="04A0" w:firstRow="1" w:lastRow="0" w:firstColumn="1" w:lastColumn="0" w:noHBand="0" w:noVBand="1"/>
      </w:tblPr>
      <w:tblGrid>
        <w:gridCol w:w="5807"/>
        <w:gridCol w:w="2687"/>
      </w:tblGrid>
      <w:tr w:rsidR="00500337" w14:paraId="3ABADFA0" w14:textId="77777777" w:rsidTr="00F54D8F">
        <w:trPr>
          <w:cnfStyle w:val="100000000000" w:firstRow="1" w:lastRow="0" w:firstColumn="0" w:lastColumn="0" w:oddVBand="0" w:evenVBand="0" w:oddHBand="0" w:evenHBand="0" w:firstRowFirstColumn="0" w:firstRowLastColumn="0" w:lastRowFirstColumn="0" w:lastRowLastColumn="0"/>
          <w:cantSplit/>
        </w:trPr>
        <w:tc>
          <w:tcPr>
            <w:tcW w:w="5807" w:type="dxa"/>
            <w:tcBorders>
              <w:top w:val="single" w:sz="4" w:space="0" w:color="auto"/>
              <w:left w:val="single" w:sz="4" w:space="0" w:color="auto"/>
              <w:bottom w:val="single" w:sz="4" w:space="0" w:color="auto"/>
              <w:right w:val="single" w:sz="4" w:space="0" w:color="auto"/>
            </w:tcBorders>
          </w:tcPr>
          <w:p w14:paraId="79FC613E" w14:textId="1EA7C3FD" w:rsidR="00500337" w:rsidRDefault="00A97C73" w:rsidP="00500337">
            <w:pPr>
              <w:ind w:left="0" w:right="0"/>
            </w:pPr>
            <w:r>
              <w:t xml:space="preserve">Table </w:t>
            </w:r>
            <w:r w:rsidR="005C09BF">
              <w:fldChar w:fldCharType="begin"/>
            </w:r>
            <w:r w:rsidR="005C09BF">
              <w:instrText xml:space="preserve"> SEQ Table \* ARABIC </w:instrText>
            </w:r>
            <w:r w:rsidR="005C09BF">
              <w:fldChar w:fldCharType="separate"/>
            </w:r>
            <w:r w:rsidR="00AA79CE">
              <w:rPr>
                <w:noProof/>
              </w:rPr>
              <w:t>1</w:t>
            </w:r>
            <w:r w:rsidR="005C09BF">
              <w:rPr>
                <w:noProof/>
              </w:rPr>
              <w:fldChar w:fldCharType="end"/>
            </w:r>
            <w:r w:rsidR="006E2346">
              <w:t>:</w:t>
            </w:r>
            <w:r w:rsidRPr="00A97C73">
              <w:t xml:space="preserve"> </w:t>
            </w:r>
            <w:r w:rsidRPr="006A58A8">
              <w:t>Timeline for Submission PM-20</w:t>
            </w:r>
            <w:r>
              <w:t>20</w:t>
            </w:r>
            <w:r w:rsidRPr="006A58A8">
              <w:t>-</w:t>
            </w:r>
            <w:r>
              <w:t>04183-1</w:t>
            </w:r>
            <w:r w:rsidR="00500337">
              <w:t>Description</w:t>
            </w:r>
          </w:p>
        </w:tc>
        <w:tc>
          <w:tcPr>
            <w:tcW w:w="2687" w:type="dxa"/>
            <w:tcBorders>
              <w:top w:val="single" w:sz="4" w:space="0" w:color="auto"/>
              <w:left w:val="single" w:sz="4" w:space="0" w:color="auto"/>
              <w:bottom w:val="single" w:sz="4" w:space="0" w:color="auto"/>
              <w:right w:val="single" w:sz="4" w:space="0" w:color="auto"/>
            </w:tcBorders>
          </w:tcPr>
          <w:p w14:paraId="622B85DA" w14:textId="77777777" w:rsidR="00500337" w:rsidRDefault="00500337" w:rsidP="00500337">
            <w:pPr>
              <w:ind w:left="0" w:right="0"/>
            </w:pPr>
            <w:r>
              <w:t>Date</w:t>
            </w:r>
          </w:p>
        </w:tc>
      </w:tr>
      <w:tr w:rsidR="00500337" w14:paraId="6E9D8BBA" w14:textId="77777777" w:rsidTr="00F54D8F">
        <w:tc>
          <w:tcPr>
            <w:tcW w:w="5807" w:type="dxa"/>
            <w:tcBorders>
              <w:top w:val="single" w:sz="4" w:space="0" w:color="auto"/>
            </w:tcBorders>
          </w:tcPr>
          <w:p w14:paraId="2E21D864" w14:textId="77777777" w:rsidR="00500337" w:rsidRPr="00D3132D" w:rsidRDefault="00500337" w:rsidP="00500337">
            <w:pPr>
              <w:ind w:left="0" w:right="0"/>
            </w:pPr>
            <w:r w:rsidRPr="00D3132D">
              <w:t>Submission dossier accepted and first round evaluation commenced</w:t>
            </w:r>
          </w:p>
        </w:tc>
        <w:tc>
          <w:tcPr>
            <w:tcW w:w="2687" w:type="dxa"/>
            <w:tcBorders>
              <w:top w:val="single" w:sz="4" w:space="0" w:color="auto"/>
            </w:tcBorders>
          </w:tcPr>
          <w:p w14:paraId="637730F1" w14:textId="7981EBFA" w:rsidR="00500337" w:rsidRDefault="003E69AC" w:rsidP="00500337">
            <w:pPr>
              <w:ind w:left="0" w:right="0"/>
            </w:pPr>
            <w:r>
              <w:t>30 September 2020</w:t>
            </w:r>
          </w:p>
        </w:tc>
      </w:tr>
      <w:tr w:rsidR="00500337" w14:paraId="1F0932C5" w14:textId="77777777" w:rsidTr="00F54D8F">
        <w:tc>
          <w:tcPr>
            <w:tcW w:w="5807" w:type="dxa"/>
          </w:tcPr>
          <w:p w14:paraId="2D065A47" w14:textId="77777777" w:rsidR="00500337" w:rsidRPr="00D3132D" w:rsidRDefault="00500337" w:rsidP="00500337">
            <w:pPr>
              <w:ind w:left="0" w:right="0"/>
            </w:pPr>
            <w:r w:rsidRPr="00D3132D">
              <w:t>First round evaluation completed</w:t>
            </w:r>
          </w:p>
        </w:tc>
        <w:tc>
          <w:tcPr>
            <w:tcW w:w="2687" w:type="dxa"/>
          </w:tcPr>
          <w:p w14:paraId="67C22B6F" w14:textId="62EED49F" w:rsidR="00500337" w:rsidRDefault="003E69AC" w:rsidP="00500337">
            <w:pPr>
              <w:ind w:left="0" w:right="0"/>
            </w:pPr>
            <w:r>
              <w:t>4 March 2021</w:t>
            </w:r>
          </w:p>
        </w:tc>
      </w:tr>
      <w:tr w:rsidR="00500337" w14:paraId="7918434A" w14:textId="77777777" w:rsidTr="00F54D8F">
        <w:tc>
          <w:tcPr>
            <w:tcW w:w="5807" w:type="dxa"/>
          </w:tcPr>
          <w:p w14:paraId="3EED6331" w14:textId="77777777" w:rsidR="00500337" w:rsidRPr="00D3132D" w:rsidRDefault="00500337" w:rsidP="00500337">
            <w:pPr>
              <w:ind w:left="0" w:right="0"/>
            </w:pPr>
            <w:r w:rsidRPr="00D3132D">
              <w:t>Sponsor provides responses on questions raised in first round evaluation</w:t>
            </w:r>
          </w:p>
        </w:tc>
        <w:tc>
          <w:tcPr>
            <w:tcW w:w="2687" w:type="dxa"/>
          </w:tcPr>
          <w:p w14:paraId="34032E69" w14:textId="3CC79DF2" w:rsidR="00500337" w:rsidRDefault="003E69AC" w:rsidP="00500337">
            <w:pPr>
              <w:ind w:left="0" w:right="0"/>
            </w:pPr>
            <w:r>
              <w:t>12 May 2021</w:t>
            </w:r>
          </w:p>
        </w:tc>
      </w:tr>
      <w:tr w:rsidR="00500337" w14:paraId="2128FFBF" w14:textId="77777777" w:rsidTr="00F54D8F">
        <w:tc>
          <w:tcPr>
            <w:tcW w:w="5807" w:type="dxa"/>
          </w:tcPr>
          <w:p w14:paraId="32DA6339" w14:textId="77777777" w:rsidR="00500337" w:rsidRDefault="00500337" w:rsidP="00500337">
            <w:pPr>
              <w:ind w:left="0" w:right="0"/>
            </w:pPr>
            <w:r>
              <w:t>Second round evaluation completed</w:t>
            </w:r>
          </w:p>
        </w:tc>
        <w:tc>
          <w:tcPr>
            <w:tcW w:w="2687" w:type="dxa"/>
          </w:tcPr>
          <w:p w14:paraId="7F1D4690" w14:textId="24649997" w:rsidR="00500337" w:rsidRDefault="00203539" w:rsidP="00500337">
            <w:pPr>
              <w:ind w:left="0" w:right="0"/>
            </w:pPr>
            <w:r>
              <w:t xml:space="preserve">27 May </w:t>
            </w:r>
            <w:r w:rsidR="003E69AC">
              <w:t>2021</w:t>
            </w:r>
          </w:p>
        </w:tc>
      </w:tr>
      <w:tr w:rsidR="00500337" w14:paraId="2B42A475" w14:textId="77777777" w:rsidTr="00F54D8F">
        <w:tc>
          <w:tcPr>
            <w:tcW w:w="5807" w:type="dxa"/>
          </w:tcPr>
          <w:p w14:paraId="3CE7F88F" w14:textId="351D1AB1" w:rsidR="00500337" w:rsidRDefault="00324E45" w:rsidP="00500337">
            <w:pPr>
              <w:ind w:left="0" w:right="0"/>
            </w:pPr>
            <w:r w:rsidRPr="00203539">
              <w:rPr>
                <w:color w:val="auto"/>
              </w:rPr>
              <w:t>Delegate’s Overall benefit-risk assessment and request for Advisory Committee advice</w:t>
            </w:r>
          </w:p>
        </w:tc>
        <w:tc>
          <w:tcPr>
            <w:tcW w:w="2687" w:type="dxa"/>
          </w:tcPr>
          <w:p w14:paraId="2A376C4E" w14:textId="75106E4F" w:rsidR="00500337" w:rsidRDefault="003E69AC" w:rsidP="00500337">
            <w:pPr>
              <w:ind w:left="0" w:right="0"/>
            </w:pPr>
            <w:r>
              <w:t>13 July 2021</w:t>
            </w:r>
          </w:p>
        </w:tc>
      </w:tr>
      <w:tr w:rsidR="00500337" w14:paraId="0040473D" w14:textId="77777777" w:rsidTr="00F54D8F">
        <w:tc>
          <w:tcPr>
            <w:tcW w:w="5807" w:type="dxa"/>
          </w:tcPr>
          <w:p w14:paraId="36ABF838" w14:textId="77777777" w:rsidR="00500337" w:rsidRDefault="00500337" w:rsidP="00500337">
            <w:pPr>
              <w:ind w:left="0" w:right="0"/>
            </w:pPr>
            <w:r w:rsidRPr="000C7A58">
              <w:t>Sponsor’s pre-Advisory Committee response</w:t>
            </w:r>
          </w:p>
        </w:tc>
        <w:tc>
          <w:tcPr>
            <w:tcW w:w="2687" w:type="dxa"/>
          </w:tcPr>
          <w:p w14:paraId="7E5E3C67" w14:textId="5B1E518F" w:rsidR="00500337" w:rsidRDefault="001A273F" w:rsidP="00500337">
            <w:pPr>
              <w:ind w:left="0" w:right="0"/>
            </w:pPr>
            <w:r>
              <w:t>2</w:t>
            </w:r>
            <w:r w:rsidR="000C7A58">
              <w:t>0</w:t>
            </w:r>
            <w:r>
              <w:t xml:space="preserve"> July 2021</w:t>
            </w:r>
          </w:p>
        </w:tc>
      </w:tr>
      <w:tr w:rsidR="00500337" w14:paraId="79D10F4C" w14:textId="77777777" w:rsidTr="00F54D8F">
        <w:tc>
          <w:tcPr>
            <w:tcW w:w="5807" w:type="dxa"/>
          </w:tcPr>
          <w:p w14:paraId="3CF9A08A" w14:textId="77777777" w:rsidR="00500337" w:rsidRDefault="00500337" w:rsidP="00500337">
            <w:pPr>
              <w:ind w:left="0" w:right="0"/>
            </w:pPr>
            <w:r>
              <w:t>Advisory Committee meeting</w:t>
            </w:r>
          </w:p>
        </w:tc>
        <w:tc>
          <w:tcPr>
            <w:tcW w:w="2687" w:type="dxa"/>
          </w:tcPr>
          <w:p w14:paraId="4F909C82" w14:textId="0C78317C" w:rsidR="00500337" w:rsidRDefault="003E69AC" w:rsidP="00500337">
            <w:pPr>
              <w:ind w:left="0" w:right="0"/>
            </w:pPr>
            <w:r>
              <w:t>5-6 August 2021</w:t>
            </w:r>
          </w:p>
        </w:tc>
      </w:tr>
      <w:tr w:rsidR="00500337" w14:paraId="1FBE0F76" w14:textId="77777777" w:rsidTr="00F54D8F">
        <w:tc>
          <w:tcPr>
            <w:tcW w:w="5807" w:type="dxa"/>
          </w:tcPr>
          <w:p w14:paraId="6444E246" w14:textId="77777777" w:rsidR="00500337" w:rsidRDefault="00500337" w:rsidP="00500337">
            <w:pPr>
              <w:ind w:left="0" w:right="0"/>
            </w:pPr>
            <w:r>
              <w:t>Registration decision (Outcome)</w:t>
            </w:r>
          </w:p>
        </w:tc>
        <w:tc>
          <w:tcPr>
            <w:tcW w:w="2687" w:type="dxa"/>
          </w:tcPr>
          <w:p w14:paraId="41A98773" w14:textId="0BE70115" w:rsidR="00500337" w:rsidRDefault="001A273F" w:rsidP="00500337">
            <w:pPr>
              <w:ind w:left="0" w:right="0"/>
            </w:pPr>
            <w:r>
              <w:t>17 September 2021</w:t>
            </w:r>
          </w:p>
        </w:tc>
      </w:tr>
      <w:tr w:rsidR="00500337" w14:paraId="55559040" w14:textId="77777777" w:rsidTr="00F54D8F">
        <w:tc>
          <w:tcPr>
            <w:tcW w:w="5807" w:type="dxa"/>
          </w:tcPr>
          <w:p w14:paraId="5963DCAF" w14:textId="77777777" w:rsidR="00500337" w:rsidRDefault="00500337" w:rsidP="00500337">
            <w:pPr>
              <w:ind w:left="0" w:right="0"/>
            </w:pPr>
            <w:r w:rsidRPr="00C44DEB">
              <w:t xml:space="preserve">Completion of administrative activities and registration on </w:t>
            </w:r>
            <w:r w:rsidR="00006FAB" w:rsidRPr="00C44DEB">
              <w:t xml:space="preserve">the </w:t>
            </w:r>
            <w:r w:rsidRPr="00C44DEB">
              <w:t>ARTG</w:t>
            </w:r>
          </w:p>
        </w:tc>
        <w:tc>
          <w:tcPr>
            <w:tcW w:w="2687" w:type="dxa"/>
          </w:tcPr>
          <w:p w14:paraId="671615F7" w14:textId="7A7A2724" w:rsidR="00500337" w:rsidRDefault="00C86B45" w:rsidP="00500337">
            <w:pPr>
              <w:ind w:left="0" w:right="0"/>
            </w:pPr>
            <w:r>
              <w:t>22 April 2022</w:t>
            </w:r>
          </w:p>
        </w:tc>
      </w:tr>
      <w:tr w:rsidR="00500337" w14:paraId="006AB44F" w14:textId="77777777" w:rsidTr="00F54D8F">
        <w:tc>
          <w:tcPr>
            <w:tcW w:w="5807" w:type="dxa"/>
          </w:tcPr>
          <w:p w14:paraId="4E8BDA30" w14:textId="77777777" w:rsidR="00500337" w:rsidRDefault="00500337" w:rsidP="00500337">
            <w:pPr>
              <w:ind w:left="0" w:right="0"/>
            </w:pPr>
            <w:r>
              <w:t>Number of working days from submission dossier acceptance to registration decision*</w:t>
            </w:r>
          </w:p>
        </w:tc>
        <w:tc>
          <w:tcPr>
            <w:tcW w:w="2687" w:type="dxa"/>
          </w:tcPr>
          <w:p w14:paraId="663E55B3" w14:textId="55E4803F" w:rsidR="00500337" w:rsidRDefault="00C86B45" w:rsidP="00500337">
            <w:pPr>
              <w:ind w:left="0" w:right="0"/>
            </w:pPr>
            <w:r>
              <w:t>194</w:t>
            </w:r>
          </w:p>
        </w:tc>
      </w:tr>
    </w:tbl>
    <w:p w14:paraId="1893ECFB"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261BF50D" w14:textId="77777777" w:rsidR="008E7846" w:rsidRPr="00792A32" w:rsidRDefault="00456765" w:rsidP="008E7846">
      <w:pPr>
        <w:pStyle w:val="Heading2"/>
      </w:pPr>
      <w:bookmarkStart w:id="39" w:name="_Toc196046504"/>
      <w:bookmarkStart w:id="40" w:name="_Toc247691527"/>
      <w:bookmarkStart w:id="41" w:name="_Toc314842510"/>
      <w:bookmarkStart w:id="42" w:name="_Toc132882395"/>
      <w:bookmarkStart w:id="43" w:name="_Toc163441390"/>
      <w:bookmarkEnd w:id="35"/>
      <w:bookmarkEnd w:id="36"/>
      <w:bookmarkEnd w:id="1"/>
      <w:r>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39"/>
      <w:bookmarkEnd w:id="40"/>
      <w:bookmarkEnd w:id="41"/>
      <w:bookmarkEnd w:id="42"/>
    </w:p>
    <w:p w14:paraId="1994BC42" w14:textId="77777777" w:rsidR="00006FAB" w:rsidRDefault="00006FAB" w:rsidP="00006FAB">
      <w:bookmarkStart w:id="44" w:name="_Toc247691528"/>
      <w:r>
        <w:t>The submission was summarised in the following Delegate’s overview and recommendations.</w:t>
      </w:r>
    </w:p>
    <w:p w14:paraId="0BFD6FED" w14:textId="311DE4FD" w:rsidR="008E7846" w:rsidRDefault="008E7846" w:rsidP="008E7846">
      <w:pPr>
        <w:pStyle w:val="Heading3"/>
      </w:pPr>
      <w:bookmarkStart w:id="45" w:name="_Toc314842511"/>
      <w:bookmarkStart w:id="46" w:name="_Toc132882396"/>
      <w:r>
        <w:t>Quality</w:t>
      </w:r>
      <w:bookmarkEnd w:id="44"/>
      <w:bookmarkEnd w:id="45"/>
      <w:bookmarkEnd w:id="46"/>
    </w:p>
    <w:p w14:paraId="2CC41F3D" w14:textId="4F606ADB" w:rsidR="00D457A6" w:rsidRDefault="00D457A6" w:rsidP="00D457A6">
      <w:pPr>
        <w:pStyle w:val="Heading4"/>
      </w:pPr>
      <w:r>
        <w:t>Chemical structure</w:t>
      </w:r>
    </w:p>
    <w:p w14:paraId="023BA47E" w14:textId="6F91399E" w:rsidR="007D28E0" w:rsidRDefault="007D28E0" w:rsidP="007D28E0">
      <w:r>
        <w:t>The active ingredient of Zyamis is 8-chloro-6-(2-fluorophenyl)-1-methyl-4H-imidazo[1,5-a] [1,4] benzodiazepine maleate (midazolam).</w:t>
      </w:r>
    </w:p>
    <w:p w14:paraId="4522365D" w14:textId="77777777" w:rsidR="007D28E0" w:rsidRDefault="007D28E0" w:rsidP="007D28E0">
      <w:r>
        <w:t>Midazolam is a benzodiazepine from the imidazobenzodiazepine group.</w:t>
      </w:r>
    </w:p>
    <w:p w14:paraId="40F03035" w14:textId="31F618D7" w:rsidR="007D28E0" w:rsidRPr="007D28E0" w:rsidRDefault="007D28E0" w:rsidP="007D28E0">
      <w:r>
        <w:t>Midazolam is available for use as the maleate salt. The free base is a lipophilic substance with low</w:t>
      </w:r>
      <w:r w:rsidR="00C208A3">
        <w:t xml:space="preserve"> </w:t>
      </w:r>
      <w:r>
        <w:t>solubility in water. The basic nitrogen in position 2 of the imidazobenzodiazepine ring enables midazolam to form water-soluble salts with acids. These produce a stable solution suitable for buccal administration.</w:t>
      </w:r>
    </w:p>
    <w:p w14:paraId="430003D3" w14:textId="2DF0F9D2" w:rsidR="00D457A6" w:rsidRPr="00D457A6" w:rsidRDefault="00D457A6" w:rsidP="00D457A6">
      <w:r w:rsidRPr="00D457A6">
        <w:lastRenderedPageBreak/>
        <w:t>Midazolam maleate is a white or yellowish crystalline powder, slightly soluble in water, sparingly soluble in ethanol and freely soluble in methanol and 0.1</w:t>
      </w:r>
      <w:r w:rsidR="006E2346">
        <w:t xml:space="preserve"> </w:t>
      </w:r>
      <w:r w:rsidRPr="00D457A6">
        <w:t xml:space="preserve">M </w:t>
      </w:r>
      <w:r w:rsidR="006E2346">
        <w:t>hydrochloric acid</w:t>
      </w:r>
      <w:r w:rsidRPr="00D457A6">
        <w:t>.</w:t>
      </w:r>
    </w:p>
    <w:p w14:paraId="64173E2A" w14:textId="2BC5D774" w:rsidR="00D457A6" w:rsidRPr="00D457A6" w:rsidRDefault="00D457A6" w:rsidP="00D457A6">
      <w:r w:rsidRPr="00D457A6">
        <w:t>Its structural formula is shown in</w:t>
      </w:r>
      <w:r w:rsidR="007D28E0">
        <w:t xml:space="preserve"> </w:t>
      </w:r>
      <w:r w:rsidR="007D28E0">
        <w:fldChar w:fldCharType="begin"/>
      </w:r>
      <w:r w:rsidR="007D28E0">
        <w:instrText xml:space="preserve"> REF _Ref108439320 \h </w:instrText>
      </w:r>
      <w:r w:rsidR="007D28E0">
        <w:fldChar w:fldCharType="separate"/>
      </w:r>
      <w:r w:rsidR="00AA79CE">
        <w:t xml:space="preserve">Figure </w:t>
      </w:r>
      <w:r w:rsidR="00AA79CE">
        <w:rPr>
          <w:noProof/>
        </w:rPr>
        <w:t>2</w:t>
      </w:r>
      <w:r w:rsidR="007D28E0">
        <w:fldChar w:fldCharType="end"/>
      </w:r>
      <w:r w:rsidRPr="00D457A6">
        <w:t>.</w:t>
      </w:r>
    </w:p>
    <w:p w14:paraId="6E874B06" w14:textId="3929E1C2" w:rsidR="00555F5C" w:rsidRDefault="00555F5C" w:rsidP="00C44DEB">
      <w:pPr>
        <w:pStyle w:val="FigureTitle"/>
      </w:pPr>
      <w:bookmarkStart w:id="47" w:name="_Ref108439320"/>
      <w:r>
        <w:t xml:space="preserve">Figure </w:t>
      </w:r>
      <w:fldSimple w:instr=" SEQ Figure \* ARABIC ">
        <w:r w:rsidR="00AA79CE">
          <w:rPr>
            <w:noProof/>
          </w:rPr>
          <w:t>2</w:t>
        </w:r>
      </w:fldSimple>
      <w:bookmarkEnd w:id="47"/>
      <w:r>
        <w:t>: Chemical structure of midazolam maleate</w:t>
      </w:r>
    </w:p>
    <w:p w14:paraId="7FBA3036" w14:textId="0E16B7C6" w:rsidR="00D457A6" w:rsidRDefault="00D457A6" w:rsidP="00F54D8F">
      <w:pPr>
        <w:rPr>
          <w:rFonts w:ascii="Times New Roman" w:eastAsiaTheme="minorHAnsi" w:hAnsi="Times New Roman"/>
          <w:sz w:val="24"/>
          <w:szCs w:val="24"/>
        </w:rPr>
      </w:pPr>
      <w:r>
        <w:rPr>
          <w:noProof/>
          <w:lang w:val="en-GB" w:eastAsia="en-GB"/>
        </w:rPr>
        <w:drawing>
          <wp:inline distT="0" distB="0" distL="0" distR="0" wp14:anchorId="1894E75F" wp14:editId="6F795CAB">
            <wp:extent cx="2466535" cy="1774174"/>
            <wp:effectExtent l="0" t="0" r="0" b="0"/>
            <wp:docPr id="30" name="Picture 30" descr="Figure 1: Chem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1: Chemical structure"/>
                    <pic:cNvPicPr/>
                  </pic:nvPicPr>
                  <pic:blipFill>
                    <a:blip r:embed="rId15">
                      <a:extLst>
                        <a:ext uri="{BEBA8EAE-BF5A-486C-A8C5-ECC9F3942E4B}">
                          <a14:imgProps xmlns:a14="http://schemas.microsoft.com/office/drawing/2010/main">
                            <a14:imgLayer r:embed="rId16">
                              <a14:imgEffect>
                                <a14:sharpenSoften amount="100000"/>
                              </a14:imgEffect>
                              <a14:imgEffect>
                                <a14:brightnessContrast contrast="93000"/>
                              </a14:imgEffect>
                            </a14:imgLayer>
                          </a14:imgProps>
                        </a:ext>
                      </a:extLst>
                    </a:blip>
                    <a:stretch>
                      <a:fillRect/>
                    </a:stretch>
                  </pic:blipFill>
                  <pic:spPr>
                    <a:xfrm>
                      <a:off x="0" y="0"/>
                      <a:ext cx="2488856" cy="1790230"/>
                    </a:xfrm>
                    <a:prstGeom prst="rect">
                      <a:avLst/>
                    </a:prstGeom>
                  </pic:spPr>
                </pic:pic>
              </a:graphicData>
            </a:graphic>
          </wp:inline>
        </w:drawing>
      </w:r>
    </w:p>
    <w:p w14:paraId="76292903" w14:textId="77777777" w:rsidR="00D457A6" w:rsidRPr="00D457A6" w:rsidRDefault="00D457A6" w:rsidP="00555F5C">
      <w:pPr>
        <w:pStyle w:val="FigureDescription"/>
      </w:pPr>
      <w:r w:rsidRPr="00D457A6">
        <w:t>Molecular formula: C18H13CIFN3 · C4H4O4</w:t>
      </w:r>
    </w:p>
    <w:p w14:paraId="241751B3" w14:textId="77777777" w:rsidR="00D457A6" w:rsidRPr="00D457A6" w:rsidRDefault="00D457A6" w:rsidP="00555F5C">
      <w:pPr>
        <w:pStyle w:val="FigureDescription"/>
      </w:pPr>
      <w:r w:rsidRPr="00D457A6">
        <w:t>Relative molecular mass: 441.8 g/mol</w:t>
      </w:r>
    </w:p>
    <w:p w14:paraId="2DA61260" w14:textId="77777777" w:rsidR="00D457A6" w:rsidRPr="00D457A6" w:rsidRDefault="00D457A6" w:rsidP="00555F5C">
      <w:pPr>
        <w:pStyle w:val="FigureDescription"/>
      </w:pPr>
      <w:r w:rsidRPr="00D457A6">
        <w:t>CAS number 59467-94-6</w:t>
      </w:r>
    </w:p>
    <w:p w14:paraId="2F30C7C7" w14:textId="3B7DC80B" w:rsidR="007D28E0" w:rsidRDefault="007D28E0" w:rsidP="007D28E0">
      <w:pPr>
        <w:pStyle w:val="Heading4"/>
      </w:pPr>
      <w:r>
        <w:t>Drug product</w:t>
      </w:r>
    </w:p>
    <w:p w14:paraId="76C34EC2" w14:textId="0EEF3DA7" w:rsidR="007D28E0" w:rsidRPr="00D457A6" w:rsidRDefault="007D28E0" w:rsidP="007D28E0">
      <w:r w:rsidRPr="00D457A6">
        <w:t xml:space="preserve">Zyamis </w:t>
      </w:r>
      <w:r w:rsidR="006E2346">
        <w:t>(</w:t>
      </w:r>
      <w:r w:rsidRPr="00D457A6">
        <w:t>midazolam (as maleate)</w:t>
      </w:r>
      <w:r w:rsidR="006E2346">
        <w:t>)</w:t>
      </w:r>
      <w:r w:rsidRPr="00D457A6">
        <w:t xml:space="preserve"> oromucosal solution is a slightly viscous, clear colourless to pale yellow solution for buccal administration presented in a pre-filled syringe.</w:t>
      </w:r>
    </w:p>
    <w:p w14:paraId="3DB14CF5" w14:textId="4B768C06" w:rsidR="007D28E0" w:rsidRDefault="007D28E0" w:rsidP="007D28E0">
      <w:r w:rsidRPr="00D457A6">
        <w:t>Each pre-filled, or</w:t>
      </w:r>
      <w:r>
        <w:t xml:space="preserve">al syringe </w:t>
      </w:r>
      <w:r w:rsidRPr="00D457A6">
        <w:t>contains midazolam maleate equival</w:t>
      </w:r>
      <w:r>
        <w:t>ent to 10 mg midazolam per 1 mL, 7.5 mg per 0.75 mL, 5 mg per 0.5 mL and 0.25 mg per 0.25 mL.</w:t>
      </w:r>
    </w:p>
    <w:p w14:paraId="1DE699B3" w14:textId="7B9E6DAB" w:rsidR="007D28E0" w:rsidRPr="00D457A6" w:rsidRDefault="007D28E0" w:rsidP="007D28E0">
      <w:r w:rsidRPr="00D457A6">
        <w:t>Excipients include ethanol, saccharin sodium, glycerol, purified water, sodium hydroxide (for pH adj</w:t>
      </w:r>
      <w:r>
        <w:t>ustment) and maltitol solution.</w:t>
      </w:r>
    </w:p>
    <w:p w14:paraId="55E21CCF" w14:textId="77777777" w:rsidR="007D28E0" w:rsidRPr="00D457A6" w:rsidRDefault="007D28E0" w:rsidP="007D28E0">
      <w:r w:rsidRPr="00D457A6">
        <w:t>The product is supplied as a single dose pack, each containing one pre-filled oral syringe in a polypropylene container.</w:t>
      </w:r>
    </w:p>
    <w:p w14:paraId="2421FEA7" w14:textId="6B0861F1" w:rsidR="00D457A6" w:rsidRDefault="00D457A6" w:rsidP="00D457A6">
      <w:r w:rsidRPr="00D457A6">
        <w:t>The different presentations are identified with different colours of the label on the immediate packaging (syringe barrel) and the colour of the tamper evident container as described</w:t>
      </w:r>
      <w:r w:rsidR="007D28E0">
        <w:t>:</w:t>
      </w:r>
    </w:p>
    <w:p w14:paraId="40824549" w14:textId="54821A9F" w:rsidR="007D28E0" w:rsidRDefault="007D28E0" w:rsidP="007D28E0">
      <w:pPr>
        <w:pStyle w:val="ListBullet"/>
      </w:pPr>
      <w:r>
        <w:t>Each 0.25 mL pre-filled, oral syringe has a yellow syringe label and is packed in a yellow polypropylene container.</w:t>
      </w:r>
    </w:p>
    <w:p w14:paraId="46E06205" w14:textId="5C4EAF87" w:rsidR="007D28E0" w:rsidRDefault="007D28E0" w:rsidP="007D28E0">
      <w:pPr>
        <w:pStyle w:val="ListBullet"/>
      </w:pPr>
      <w:r>
        <w:t>Each 0.5 mL pre-filled, oral syringe has a blue syringe label and is packed in a blue polypropylene container.</w:t>
      </w:r>
    </w:p>
    <w:p w14:paraId="5F876EE2" w14:textId="567F57ED" w:rsidR="007D28E0" w:rsidRDefault="007D28E0" w:rsidP="007D28E0">
      <w:pPr>
        <w:pStyle w:val="ListBullet"/>
      </w:pPr>
      <w:r>
        <w:t>Each 0.75 mL pre-filled, oral syringe has a purple syringe label and is packed in a purple polypropylene container.</w:t>
      </w:r>
    </w:p>
    <w:p w14:paraId="6C90F4C5" w14:textId="16EE8C91" w:rsidR="007D28E0" w:rsidRPr="00D457A6" w:rsidRDefault="007D28E0" w:rsidP="007D28E0">
      <w:pPr>
        <w:pStyle w:val="ListBullet"/>
      </w:pPr>
      <w:r>
        <w:t>Each 1 mL pre-filled, oral syringe has an orange syringe label and is packed in an orange polypropylene container.</w:t>
      </w:r>
    </w:p>
    <w:p w14:paraId="605B4D3A" w14:textId="0FBB1B8C" w:rsidR="00D457A6" w:rsidRPr="00D457A6" w:rsidRDefault="00A924F7" w:rsidP="00D457A6">
      <w:r>
        <w:t xml:space="preserve">The product should be stored </w:t>
      </w:r>
      <w:r w:rsidR="00D457A6" w:rsidRPr="00D457A6">
        <w:t>below 25 °C</w:t>
      </w:r>
      <w:r>
        <w:t xml:space="preserve"> and should not be </w:t>
      </w:r>
      <w:r w:rsidR="00D457A6" w:rsidRPr="00D457A6">
        <w:t>refrigerate</w:t>
      </w:r>
      <w:r>
        <w:t>d</w:t>
      </w:r>
      <w:r w:rsidR="00D457A6" w:rsidRPr="00D457A6">
        <w:t xml:space="preserve"> or fr</w:t>
      </w:r>
      <w:r>
        <w:t>ozen</w:t>
      </w:r>
      <w:r w:rsidR="00D457A6" w:rsidRPr="00D457A6">
        <w:t xml:space="preserve">. </w:t>
      </w:r>
      <w:r>
        <w:t>It should be s</w:t>
      </w:r>
      <w:r w:rsidR="00D457A6" w:rsidRPr="00D457A6">
        <w:t>tore</w:t>
      </w:r>
      <w:r>
        <w:t>d</w:t>
      </w:r>
      <w:r w:rsidR="00D457A6" w:rsidRPr="00D457A6">
        <w:t xml:space="preserve"> in the original package in order to protect </w:t>
      </w:r>
      <w:r>
        <w:t xml:space="preserve">it </w:t>
      </w:r>
      <w:r w:rsidR="00D457A6" w:rsidRPr="00D457A6">
        <w:t>from light.</w:t>
      </w:r>
      <w:r w:rsidR="007D28E0">
        <w:t xml:space="preserve"> Zyamis has a maximum </w:t>
      </w:r>
      <w:r w:rsidR="00C208A3">
        <w:t>shelf life</w:t>
      </w:r>
      <w:r w:rsidR="007D28E0">
        <w:t xml:space="preserve"> of 14 months.</w:t>
      </w:r>
    </w:p>
    <w:p w14:paraId="6FC3337A" w14:textId="35459083" w:rsidR="00D457A6" w:rsidRDefault="00D457A6" w:rsidP="00D457A6">
      <w:pPr>
        <w:pStyle w:val="Heading4"/>
      </w:pPr>
      <w:r>
        <w:lastRenderedPageBreak/>
        <w:t>Recommendation</w:t>
      </w:r>
    </w:p>
    <w:p w14:paraId="0D47384C" w14:textId="4543F043" w:rsidR="00A554AC" w:rsidRDefault="00A554AC" w:rsidP="00C208A3">
      <w:r>
        <w:t xml:space="preserve">Approval can be recommended for registration of </w:t>
      </w:r>
      <w:r w:rsidR="00C208A3">
        <w:t>Zyamis</w:t>
      </w:r>
      <w:r>
        <w:t xml:space="preserve"> from a pharmaceutical chemistry and quality aspect.</w:t>
      </w:r>
    </w:p>
    <w:p w14:paraId="6E609177" w14:textId="77777777" w:rsidR="008E7846" w:rsidRDefault="008E7846" w:rsidP="008E7846">
      <w:pPr>
        <w:pStyle w:val="Heading3"/>
      </w:pPr>
      <w:bookmarkStart w:id="48" w:name="_Toc314842512"/>
      <w:bookmarkStart w:id="49" w:name="_Toc132882397"/>
      <w:r>
        <w:t>Nonclinical</w:t>
      </w:r>
      <w:bookmarkEnd w:id="48"/>
      <w:bookmarkEnd w:id="49"/>
    </w:p>
    <w:p w14:paraId="28B33F13" w14:textId="4D54A329" w:rsidR="00B4173F" w:rsidRDefault="00A554AC" w:rsidP="00B4173F">
      <w:r w:rsidRPr="00A924F7">
        <w:t xml:space="preserve">Midazolam is not currently approved </w:t>
      </w:r>
      <w:r w:rsidR="00B4173F">
        <w:t xml:space="preserve">for use in paediatric patients from </w:t>
      </w:r>
      <w:r w:rsidRPr="00A924F7">
        <w:t>6 months</w:t>
      </w:r>
      <w:r w:rsidR="00B4173F">
        <w:t xml:space="preserve"> of age; h</w:t>
      </w:r>
      <w:r w:rsidRPr="00A924F7">
        <w:t xml:space="preserve">owever, the clinical use of oromucosal midazolam to treat prolonged seizures in both adults and children is well established, and midazolam has been used </w:t>
      </w:r>
      <w:r w:rsidR="00A273D4" w:rsidRPr="00A924F7">
        <w:t>‘</w:t>
      </w:r>
      <w:r w:rsidRPr="00A924F7">
        <w:t>off-label</w:t>
      </w:r>
      <w:r w:rsidR="00A273D4" w:rsidRPr="00A924F7">
        <w:t>’</w:t>
      </w:r>
      <w:r w:rsidRPr="00A924F7">
        <w:t xml:space="preserve"> via the buccal route for many decades in Australia, UK and other countries. In Australia, buccal or intranasal administration of </w:t>
      </w:r>
      <w:r w:rsidRPr="00A924F7">
        <w:rPr>
          <w:rFonts w:eastAsia="MS Mincho"/>
        </w:rPr>
        <w:t xml:space="preserve">midazolam is recommended </w:t>
      </w:r>
      <w:r w:rsidRPr="00A924F7">
        <w:t>as an emergency treatment for seizures in children</w:t>
      </w:r>
      <w:r w:rsidR="00B4173F">
        <w:t>;</w:t>
      </w:r>
      <w:bookmarkStart w:id="50" w:name="_Ref131674233"/>
      <w:r w:rsidRPr="00B4173F">
        <w:rPr>
          <w:rStyle w:val="FootnoteReference"/>
        </w:rPr>
        <w:footnoteReference w:id="16"/>
      </w:r>
      <w:bookmarkEnd w:id="50"/>
      <w:r w:rsidRPr="00B4173F">
        <w:rPr>
          <w:vertAlign w:val="superscript"/>
        </w:rPr>
        <w:t>,</w:t>
      </w:r>
      <w:bookmarkStart w:id="51" w:name="_Ref83891018"/>
      <w:r w:rsidRPr="00B4173F">
        <w:rPr>
          <w:rStyle w:val="FootnoteReference"/>
        </w:rPr>
        <w:footnoteReference w:id="17"/>
      </w:r>
      <w:bookmarkEnd w:id="51"/>
      <w:r w:rsidRPr="00B4173F">
        <w:rPr>
          <w:vertAlign w:val="superscript"/>
        </w:rPr>
        <w:t>,</w:t>
      </w:r>
      <w:bookmarkStart w:id="52" w:name="_Ref59095664"/>
      <w:r w:rsidRPr="00B4173F">
        <w:rPr>
          <w:rStyle w:val="FootnoteReference"/>
        </w:rPr>
        <w:footnoteReference w:id="18"/>
      </w:r>
      <w:bookmarkEnd w:id="52"/>
      <w:r w:rsidRPr="00A924F7">
        <w:t xml:space="preserve"> with doses ranging from 0.2 to 0.3 mg/kg, up to a </w:t>
      </w:r>
      <w:r w:rsidR="00B4173F">
        <w:t>maximum of 10 </w:t>
      </w:r>
      <w:r w:rsidRPr="00B60E95">
        <w:t>mg (all paediatric patients) when administered oromucosally or intranasally</w:t>
      </w:r>
      <w:r w:rsidR="00A273D4" w:rsidRPr="00B60E95">
        <w:t>.</w:t>
      </w:r>
      <w:r w:rsidR="00B60E95" w:rsidRPr="00B60E95">
        <w:rPr>
          <w:vertAlign w:val="superscript"/>
        </w:rPr>
        <w:fldChar w:fldCharType="begin"/>
      </w:r>
      <w:r w:rsidR="00B60E95" w:rsidRPr="00B60E95">
        <w:rPr>
          <w:vertAlign w:val="superscript"/>
        </w:rPr>
        <w:instrText xml:space="preserve"> NOTEREF _Ref83891018 \h  \* MERGEFORMAT </w:instrText>
      </w:r>
      <w:r w:rsidR="00B60E95" w:rsidRPr="00B60E95">
        <w:rPr>
          <w:vertAlign w:val="superscript"/>
        </w:rPr>
      </w:r>
      <w:r w:rsidR="00B60E95" w:rsidRPr="00B60E95">
        <w:rPr>
          <w:vertAlign w:val="superscript"/>
        </w:rPr>
        <w:fldChar w:fldCharType="separate"/>
      </w:r>
      <w:r w:rsidR="00AA79CE">
        <w:rPr>
          <w:vertAlign w:val="superscript"/>
        </w:rPr>
        <w:t>17</w:t>
      </w:r>
      <w:r w:rsidR="00B60E95" w:rsidRPr="00B60E95">
        <w:rPr>
          <w:vertAlign w:val="superscript"/>
        </w:rPr>
        <w:fldChar w:fldCharType="end"/>
      </w:r>
      <w:r w:rsidR="00B60E95" w:rsidRPr="00B60E95">
        <w:rPr>
          <w:vertAlign w:val="superscript"/>
        </w:rPr>
        <w:t>,</w:t>
      </w:r>
      <w:r w:rsidR="00B60E95" w:rsidRPr="00B60E95">
        <w:rPr>
          <w:vertAlign w:val="superscript"/>
        </w:rPr>
        <w:fldChar w:fldCharType="begin"/>
      </w:r>
      <w:r w:rsidR="00B60E95" w:rsidRPr="00B60E95">
        <w:rPr>
          <w:vertAlign w:val="superscript"/>
        </w:rPr>
        <w:instrText xml:space="preserve"> NOTEREF _Ref59095664 \h  \* MERGEFORMAT </w:instrText>
      </w:r>
      <w:r w:rsidR="00B60E95" w:rsidRPr="00B60E95">
        <w:rPr>
          <w:vertAlign w:val="superscript"/>
        </w:rPr>
      </w:r>
      <w:r w:rsidR="00B60E95" w:rsidRPr="00B60E95">
        <w:rPr>
          <w:vertAlign w:val="superscript"/>
        </w:rPr>
        <w:fldChar w:fldCharType="separate"/>
      </w:r>
      <w:r w:rsidR="00AA79CE">
        <w:rPr>
          <w:vertAlign w:val="superscript"/>
        </w:rPr>
        <w:t>18</w:t>
      </w:r>
      <w:r w:rsidR="00B60E95" w:rsidRPr="00B60E95">
        <w:rPr>
          <w:vertAlign w:val="superscript"/>
        </w:rPr>
        <w:fldChar w:fldCharType="end"/>
      </w:r>
      <w:r w:rsidRPr="00B60E95">
        <w:t xml:space="preserve"> Thus</w:t>
      </w:r>
      <w:r w:rsidRPr="00A924F7">
        <w:t xml:space="preserve">, the proposed </w:t>
      </w:r>
      <w:r w:rsidR="00BD2BAB" w:rsidRPr="00F91755">
        <w:t>Zyamis</w:t>
      </w:r>
      <w:r w:rsidR="00A273D4" w:rsidRPr="00F91755">
        <w:t xml:space="preserve"> </w:t>
      </w:r>
      <w:r w:rsidRPr="00F91755">
        <w:t xml:space="preserve">dosing regimen based on age is consistent with the current Australian </w:t>
      </w:r>
      <w:r w:rsidR="00A273D4" w:rsidRPr="00F91755">
        <w:t>‘</w:t>
      </w:r>
      <w:r w:rsidRPr="00F91755">
        <w:t>off-label</w:t>
      </w:r>
      <w:r w:rsidR="00A273D4" w:rsidRPr="00F91755">
        <w:t>’</w:t>
      </w:r>
      <w:r w:rsidRPr="00F91755">
        <w:t xml:space="preserve"> usage guidelines.</w:t>
      </w:r>
      <w:r w:rsidR="006E2346" w:rsidRPr="00B32579">
        <w:rPr>
          <w:vertAlign w:val="superscript"/>
        </w:rPr>
        <w:fldChar w:fldCharType="begin"/>
      </w:r>
      <w:r w:rsidR="006E2346" w:rsidRPr="007E529A">
        <w:rPr>
          <w:vertAlign w:val="superscript"/>
        </w:rPr>
        <w:instrText xml:space="preserve"> NOTEREF _Ref131674226 \h  \* MERGEFORMAT </w:instrText>
      </w:r>
      <w:r w:rsidR="006E2346" w:rsidRPr="00B32579">
        <w:rPr>
          <w:vertAlign w:val="superscript"/>
        </w:rPr>
      </w:r>
      <w:r w:rsidR="006E2346" w:rsidRPr="00B32579">
        <w:rPr>
          <w:vertAlign w:val="superscript"/>
        </w:rPr>
        <w:fldChar w:fldCharType="separate"/>
      </w:r>
      <w:r w:rsidR="00AA79CE">
        <w:rPr>
          <w:vertAlign w:val="superscript"/>
        </w:rPr>
        <w:t>12</w:t>
      </w:r>
      <w:r w:rsidR="006E2346" w:rsidRPr="00B32579">
        <w:rPr>
          <w:vertAlign w:val="superscript"/>
        </w:rPr>
        <w:fldChar w:fldCharType="end"/>
      </w:r>
      <w:r w:rsidR="006E2346" w:rsidRPr="006E2346">
        <w:rPr>
          <w:vertAlign w:val="superscript"/>
        </w:rPr>
        <w:t>,</w:t>
      </w:r>
      <w:r w:rsidR="006E2346" w:rsidRPr="00B32579">
        <w:rPr>
          <w:vertAlign w:val="superscript"/>
        </w:rPr>
        <w:fldChar w:fldCharType="begin"/>
      </w:r>
      <w:r w:rsidR="006E2346" w:rsidRPr="006E2346">
        <w:rPr>
          <w:vertAlign w:val="superscript"/>
        </w:rPr>
        <w:instrText xml:space="preserve"> NOTEREF _Ref131674233 \h </w:instrText>
      </w:r>
      <w:r w:rsidR="006E2346" w:rsidRPr="007E529A">
        <w:rPr>
          <w:vertAlign w:val="superscript"/>
        </w:rPr>
        <w:instrText xml:space="preserve"> \* MERGEFORMAT </w:instrText>
      </w:r>
      <w:r w:rsidR="006E2346" w:rsidRPr="00B32579">
        <w:rPr>
          <w:vertAlign w:val="superscript"/>
        </w:rPr>
      </w:r>
      <w:r w:rsidR="006E2346" w:rsidRPr="00B32579">
        <w:rPr>
          <w:vertAlign w:val="superscript"/>
        </w:rPr>
        <w:fldChar w:fldCharType="separate"/>
      </w:r>
      <w:r w:rsidR="00AA79CE">
        <w:rPr>
          <w:vertAlign w:val="superscript"/>
        </w:rPr>
        <w:t>16</w:t>
      </w:r>
      <w:r w:rsidR="006E2346" w:rsidRPr="00B32579">
        <w:rPr>
          <w:vertAlign w:val="superscript"/>
        </w:rPr>
        <w:fldChar w:fldCharType="end"/>
      </w:r>
      <w:r w:rsidR="00B4173F">
        <w:t xml:space="preserve"> </w:t>
      </w:r>
      <w:r w:rsidRPr="00F91755">
        <w:t>Midazolam (maleate) has been used in the UK via the bucca</w:t>
      </w:r>
      <w:r w:rsidR="00B4173F">
        <w:t xml:space="preserve">l route in paediatric patients above </w:t>
      </w:r>
      <w:r w:rsidRPr="00F91755">
        <w:t xml:space="preserve">7 months of age, in doses comparable to that which has been proposed by the </w:t>
      </w:r>
      <w:r w:rsidR="00250924" w:rsidRPr="00F91755">
        <w:t>s</w:t>
      </w:r>
      <w:r w:rsidRPr="00F91755">
        <w:t>ponsor</w:t>
      </w:r>
      <w:r w:rsidR="00B4173F">
        <w:t>.</w:t>
      </w:r>
      <w:r w:rsidRPr="00B4173F">
        <w:rPr>
          <w:rStyle w:val="FootnoteReference"/>
        </w:rPr>
        <w:footnoteReference w:id="19"/>
      </w:r>
    </w:p>
    <w:p w14:paraId="325BB5BB" w14:textId="1BC0990E" w:rsidR="00A554AC" w:rsidRPr="00F91755" w:rsidRDefault="00A554AC" w:rsidP="00B4173F">
      <w:r w:rsidRPr="00F91755">
        <w:t>In Australia, the maleate salt, as brompheniramine male</w:t>
      </w:r>
      <w:r w:rsidR="00B4173F">
        <w:t>ate (Dimetapp Infant Drops; 0.8 </w:t>
      </w:r>
      <w:r w:rsidR="00511B5F">
        <w:t>mg/mL), has previously been registered on the ARTG, to be</w:t>
      </w:r>
      <w:r w:rsidRPr="00F91755">
        <w:t xml:space="preserve"> adm</w:t>
      </w:r>
      <w:r w:rsidR="00511B5F">
        <w:t xml:space="preserve">inistered to children between 6 to </w:t>
      </w:r>
      <w:r w:rsidRPr="00F91755">
        <w:t>12 months, for temporary relief from blocked nose or sinuses.</w:t>
      </w:r>
      <w:r w:rsidR="00511B5F">
        <w:rPr>
          <w:rStyle w:val="FootnoteReference"/>
        </w:rPr>
        <w:footnoteReference w:id="20"/>
      </w:r>
      <w:r w:rsidRPr="00F91755">
        <w:t xml:space="preserve"> While renal toxicity is associated with high doses of maleate salts in various animal models</w:t>
      </w:r>
      <w:r w:rsidR="00C208A3">
        <w:t>;</w:t>
      </w:r>
      <w:r w:rsidRPr="00F91755">
        <w:rPr>
          <w:rStyle w:val="FootnoteReference"/>
        </w:rPr>
        <w:footnoteReference w:id="21"/>
      </w:r>
      <w:r w:rsidRPr="00F91755">
        <w:t xml:space="preserve"> and liver toxicity has been observed in rats and dogs at high doses with midazolam maleate, at the proposed </w:t>
      </w:r>
      <w:r w:rsidR="00511B5F">
        <w:t>maximum recommended human dose</w:t>
      </w:r>
      <w:r w:rsidRPr="00F91755">
        <w:t xml:space="preserve"> of </w:t>
      </w:r>
      <w:r w:rsidR="00BD2BAB" w:rsidRPr="00F91755">
        <w:t>Zyamis</w:t>
      </w:r>
      <w:r w:rsidRPr="00F91755">
        <w:t>, the maleate salt is unlikely to result in clinically relevant toxicities in paediatric patients.</w:t>
      </w:r>
    </w:p>
    <w:p w14:paraId="03578A26" w14:textId="51940413" w:rsidR="00A554AC" w:rsidRPr="00F91755" w:rsidRDefault="00A554AC" w:rsidP="00511B5F">
      <w:r w:rsidRPr="00F91755">
        <w:t xml:space="preserve">The bioequivalence of </w:t>
      </w:r>
      <w:r w:rsidR="00BD2BAB" w:rsidRPr="00F91755">
        <w:t>Zyamis</w:t>
      </w:r>
      <w:r w:rsidRPr="00F91755">
        <w:t xml:space="preserve"> (midazolam oromucosal solution 10 mg/mL) and Hypnovel (midazolam parenteral solution 5 mg/mL) was demonstrated in healthy adult subjects when administered oromucosally. However, no bioequivalence data was submitted for the proposed age group.</w:t>
      </w:r>
    </w:p>
    <w:p w14:paraId="505B84A8" w14:textId="27A0CB15" w:rsidR="00A554AC" w:rsidRDefault="00A554AC" w:rsidP="00511B5F">
      <w:r w:rsidRPr="00F91755">
        <w:t>A nonclinical issue of note is the toxicological qualification of the primary</w:t>
      </w:r>
      <w:r w:rsidR="00511B5F">
        <w:t xml:space="preserve"> degradant, succinyl midazolam</w:t>
      </w:r>
      <w:r w:rsidRPr="00F91755">
        <w:t xml:space="preserve">, for which the </w:t>
      </w:r>
      <w:r w:rsidR="00250924" w:rsidRPr="00F91755">
        <w:t>s</w:t>
      </w:r>
      <w:r w:rsidRPr="00F91755">
        <w:t>ponsor</w:t>
      </w:r>
      <w:r w:rsidRPr="00A924F7">
        <w:t xml:space="preserve"> proposed a drug product expiry limit of </w:t>
      </w:r>
      <w:r w:rsidR="00250924" w:rsidRPr="00A924F7">
        <w:t>no</w:t>
      </w:r>
      <w:r w:rsidR="00E80592">
        <w:t>t</w:t>
      </w:r>
      <w:r w:rsidR="00250924" w:rsidRPr="00A924F7">
        <w:t xml:space="preserve"> more than (</w:t>
      </w:r>
      <w:r w:rsidRPr="00A924F7">
        <w:t>NMT</w:t>
      </w:r>
      <w:r w:rsidR="00250924" w:rsidRPr="00A924F7">
        <w:t>)</w:t>
      </w:r>
      <w:r w:rsidRPr="00A924F7">
        <w:t xml:space="preserve"> 4.0%, which exceeds </w:t>
      </w:r>
      <w:r w:rsidRPr="00B60E95">
        <w:t>the ICH</w:t>
      </w:r>
      <w:r w:rsidR="00733A46">
        <w:t xml:space="preserve"> </w:t>
      </w:r>
      <w:r w:rsidRPr="00B60E95">
        <w:t>Q3B</w:t>
      </w:r>
      <w:r w:rsidRPr="00A924F7">
        <w:t xml:space="preserve"> (R2)</w:t>
      </w:r>
      <w:r w:rsidR="00733A46">
        <w:t xml:space="preserve"> guidance;</w:t>
      </w:r>
      <w:r w:rsidR="00B60E95">
        <w:rPr>
          <w:rStyle w:val="FootnoteReference"/>
        </w:rPr>
        <w:footnoteReference w:id="22"/>
      </w:r>
      <w:r w:rsidRPr="00A924F7">
        <w:t xml:space="preserve"> qualification limit of NMT 0.5%. Assuming body weights of 10 kg for a </w:t>
      </w:r>
      <w:r w:rsidR="00733A46">
        <w:t xml:space="preserve">1 </w:t>
      </w:r>
      <w:r w:rsidR="00511B5F" w:rsidRPr="00A924F7">
        <w:t>year-old</w:t>
      </w:r>
      <w:r w:rsidRPr="00A924F7">
        <w:t xml:space="preserve"> child, the maximum therapeutic dose of midazolam will be 0.25 mg/kg. The maximum single daily dose of </w:t>
      </w:r>
      <w:r w:rsidR="00511B5F">
        <w:t>succinyl midazolam</w:t>
      </w:r>
      <w:r w:rsidRPr="00A924F7">
        <w:t xml:space="preserve"> (at maximal 4% impurity) would be 0.1 mg. This is</w:t>
      </w:r>
      <w:r w:rsidR="00733A46">
        <w:t xml:space="preserve"> equivalent to 0.01 mg/kg (0.19 </w:t>
      </w:r>
      <w:r w:rsidRPr="00A924F7">
        <w:t>mg/m</w:t>
      </w:r>
      <w:r w:rsidRPr="00733A46">
        <w:rPr>
          <w:vertAlign w:val="superscript"/>
        </w:rPr>
        <w:t>2</w:t>
      </w:r>
      <w:r w:rsidRPr="00A924F7">
        <w:t xml:space="preserve">/day; </w:t>
      </w:r>
      <w:r w:rsidR="00733A46">
        <w:t>body surface area factor of 19) for a 1 year-</w:t>
      </w:r>
      <w:r w:rsidRPr="00A924F7">
        <w:t xml:space="preserve">old. At the </w:t>
      </w:r>
      <w:r w:rsidR="00733A46">
        <w:t>no observable effect level</w:t>
      </w:r>
      <w:r w:rsidRPr="00A924F7">
        <w:t xml:space="preserve"> of 1.0 mg/kg/day (6 mg/m</w:t>
      </w:r>
      <w:r w:rsidRPr="00733A46">
        <w:rPr>
          <w:vertAlign w:val="superscript"/>
        </w:rPr>
        <w:t>2</w:t>
      </w:r>
      <w:r w:rsidRPr="00A924F7">
        <w:t xml:space="preserve">/day) of </w:t>
      </w:r>
      <w:r w:rsidR="00733A46">
        <w:t>succinyl midazolam</w:t>
      </w:r>
      <w:r w:rsidR="00733A46" w:rsidRPr="00A924F7">
        <w:t xml:space="preserve"> </w:t>
      </w:r>
      <w:r w:rsidRPr="00A924F7">
        <w:t xml:space="preserve">in the rat 14 day study, the relative exposure to </w:t>
      </w:r>
      <w:r w:rsidR="00B32579">
        <w:t>succinyl midazolam</w:t>
      </w:r>
      <w:r w:rsidR="00B32579" w:rsidRPr="00A924F7">
        <w:t xml:space="preserve"> </w:t>
      </w:r>
      <w:r w:rsidRPr="00A924F7">
        <w:t>was approximately 18 fold that anticipated at the maximu</w:t>
      </w:r>
      <w:r w:rsidR="00733A46">
        <w:t>m therapeutic dose for a 1 year-</w:t>
      </w:r>
      <w:r w:rsidRPr="00A924F7">
        <w:t xml:space="preserve">old patient. Together, the negative results from the genotoxicity tests (Ames assay and a mammalian </w:t>
      </w:r>
      <w:r w:rsidRPr="00733A46">
        <w:rPr>
          <w:i/>
        </w:rPr>
        <w:t>in vitro</w:t>
      </w:r>
      <w:r w:rsidR="00C208A3">
        <w:t xml:space="preserve"> clastogenicity assay</w:t>
      </w:r>
      <w:r w:rsidRPr="00A924F7">
        <w:t>) and the safety margins of the 14</w:t>
      </w:r>
      <w:r w:rsidR="00217E18" w:rsidRPr="00A924F7">
        <w:t xml:space="preserve"> </w:t>
      </w:r>
      <w:r w:rsidRPr="00A924F7">
        <w:t xml:space="preserve">day repeat toxicity rat study, the impurity, </w:t>
      </w:r>
      <w:r w:rsidR="00733A46">
        <w:t>succinyl midazolam</w:t>
      </w:r>
      <w:r w:rsidRPr="00A924F7">
        <w:t>, is considered qualified.</w:t>
      </w:r>
    </w:p>
    <w:p w14:paraId="549C4DE6" w14:textId="7307368E" w:rsidR="00E80592" w:rsidRPr="00A924F7" w:rsidRDefault="00E80592" w:rsidP="00E80592">
      <w:pPr>
        <w:pStyle w:val="Heading4"/>
      </w:pPr>
      <w:r>
        <w:lastRenderedPageBreak/>
        <w:t>Recommendation</w:t>
      </w:r>
    </w:p>
    <w:p w14:paraId="61FD0B5A" w14:textId="168B02EB" w:rsidR="00A554AC" w:rsidRPr="00A924F7" w:rsidRDefault="00A554AC" w:rsidP="00733A46">
      <w:r w:rsidRPr="00A924F7">
        <w:t xml:space="preserve">There are no nonclinical objections to the new indication for the treatment of </w:t>
      </w:r>
      <w:r w:rsidR="00B32579">
        <w:rPr>
          <w:rFonts w:eastAsia="MS Mincho"/>
        </w:rPr>
        <w:t>p</w:t>
      </w:r>
      <w:r w:rsidR="00B32579" w:rsidRPr="00B32579">
        <w:rPr>
          <w:rFonts w:eastAsia="MS Mincho"/>
        </w:rPr>
        <w:t xml:space="preserve">rolonged acute convulsive seizures (PACS) </w:t>
      </w:r>
      <w:r w:rsidRPr="00A924F7">
        <w:rPr>
          <w:rFonts w:eastAsia="MS Mincho"/>
        </w:rPr>
        <w:t>in infants, children and ado</w:t>
      </w:r>
      <w:r w:rsidR="00C44DEB">
        <w:rPr>
          <w:rFonts w:eastAsia="MS Mincho"/>
        </w:rPr>
        <w:t>lescents aged from 6</w:t>
      </w:r>
      <w:r w:rsidR="00B32579">
        <w:rPr>
          <w:rFonts w:eastAsia="MS Mincho"/>
        </w:rPr>
        <w:t> </w:t>
      </w:r>
      <w:r w:rsidR="00C44DEB">
        <w:rPr>
          <w:rFonts w:eastAsia="MS Mincho"/>
        </w:rPr>
        <w:t>months to less than</w:t>
      </w:r>
      <w:r w:rsidR="00733A46">
        <w:rPr>
          <w:rFonts w:eastAsia="MS Mincho"/>
        </w:rPr>
        <w:t xml:space="preserve"> </w:t>
      </w:r>
      <w:r w:rsidRPr="00A924F7">
        <w:rPr>
          <w:rFonts w:eastAsia="MS Mincho"/>
        </w:rPr>
        <w:t>18 years</w:t>
      </w:r>
      <w:r w:rsidRPr="00A924F7">
        <w:t>.</w:t>
      </w:r>
    </w:p>
    <w:p w14:paraId="43A9723B" w14:textId="6DFBA452" w:rsidR="00A554AC" w:rsidRPr="00A924F7" w:rsidRDefault="00217E18" w:rsidP="00733A46">
      <w:r w:rsidRPr="00A924F7">
        <w:t xml:space="preserve">The </w:t>
      </w:r>
      <w:r w:rsidR="00D457A6" w:rsidRPr="00A924F7">
        <w:t xml:space="preserve">nonclinical </w:t>
      </w:r>
      <w:r w:rsidRPr="00A924F7">
        <w:t>evaluat</w:t>
      </w:r>
      <w:r w:rsidR="00B32579">
        <w:t>ion</w:t>
      </w:r>
      <w:r w:rsidRPr="00A924F7">
        <w:t xml:space="preserve"> recommended amendments to t</w:t>
      </w:r>
      <w:r w:rsidR="00A554AC" w:rsidRPr="00A924F7">
        <w:t>he draft Product Information.</w:t>
      </w:r>
    </w:p>
    <w:p w14:paraId="2EE87874" w14:textId="2F8F4375" w:rsidR="008E7846" w:rsidRDefault="008E7846" w:rsidP="008E7846">
      <w:pPr>
        <w:pStyle w:val="Heading3"/>
      </w:pPr>
      <w:bookmarkStart w:id="53" w:name="_Toc247691530"/>
      <w:bookmarkStart w:id="54" w:name="_Toc314842513"/>
      <w:bookmarkStart w:id="55" w:name="_Toc132882398"/>
      <w:r>
        <w:t>Clinical</w:t>
      </w:r>
      <w:bookmarkEnd w:id="53"/>
      <w:bookmarkEnd w:id="54"/>
      <w:bookmarkEnd w:id="55"/>
    </w:p>
    <w:p w14:paraId="261B9C93" w14:textId="5FE4F04C" w:rsidR="00733A46" w:rsidRDefault="00733A46" w:rsidP="00733A46">
      <w:pPr>
        <w:pStyle w:val="Heading4"/>
      </w:pPr>
      <w:r>
        <w:t>Guidance</w:t>
      </w:r>
    </w:p>
    <w:p w14:paraId="6CE38A85" w14:textId="69DBCB68" w:rsidR="00733A46" w:rsidRPr="00733A46" w:rsidRDefault="00733A46" w:rsidP="00733A46">
      <w:r>
        <w:t>The following were listed as guidance for this submission</w:t>
      </w:r>
      <w:r w:rsidR="00B32579">
        <w:t>:</w:t>
      </w:r>
    </w:p>
    <w:p w14:paraId="69C0D504" w14:textId="430447B7" w:rsidR="00733A46" w:rsidRDefault="00B32579" w:rsidP="00733A46">
      <w:pPr>
        <w:pStyle w:val="ListBullet"/>
      </w:pPr>
      <w:r>
        <w:t xml:space="preserve">European Medicines Agence (EMA): </w:t>
      </w:r>
      <w:r w:rsidR="00733A46">
        <w:t xml:space="preserve">PMP/EWP/QWP/1401/98 Rev. 1/ Corr ** </w:t>
      </w:r>
      <w:hyperlink r:id="rId17" w:history="1">
        <w:r w:rsidR="00733A46" w:rsidRPr="00B32579">
          <w:rPr>
            <w:rStyle w:val="Hyperlink"/>
          </w:rPr>
          <w:t>Guideline on the Investigation of Bioequivalence</w:t>
        </w:r>
      </w:hyperlink>
      <w:r w:rsidR="00733A46">
        <w:t>.</w:t>
      </w:r>
    </w:p>
    <w:p w14:paraId="3900D24A" w14:textId="4F57CB19" w:rsidR="00B32579" w:rsidRDefault="00B32579" w:rsidP="005973A0">
      <w:pPr>
        <w:pStyle w:val="ListBullet"/>
        <w:numPr>
          <w:ilvl w:val="0"/>
          <w:numId w:val="0"/>
        </w:numPr>
        <w:ind w:left="360"/>
      </w:pPr>
      <w:r>
        <w:t>TGA-adopted, effective date: 16 June 2011</w:t>
      </w:r>
    </w:p>
    <w:p w14:paraId="58EB0C1A" w14:textId="16401FEF" w:rsidR="00733A46" w:rsidRDefault="00733A46" w:rsidP="00733A46">
      <w:pPr>
        <w:pStyle w:val="ListBullet"/>
        <w:numPr>
          <w:ilvl w:val="0"/>
          <w:numId w:val="0"/>
        </w:numPr>
        <w:ind w:left="360"/>
      </w:pPr>
      <w:r>
        <w:t xml:space="preserve">TGA annotation: While this guidance suggests that the design and conduct of the study should follow EU regulations on Good Clinical Practice, sponsors should note that the </w:t>
      </w:r>
      <w:hyperlink r:id="rId18" w:history="1">
        <w:r w:rsidRPr="00B32579">
          <w:rPr>
            <w:rStyle w:val="Hyperlink"/>
          </w:rPr>
          <w:t>EU Note for Guidance on Good Clinical Practice</w:t>
        </w:r>
      </w:hyperlink>
      <w:r>
        <w:t xml:space="preserve"> (CPMP/ICH/135/95) has been adopted in Australia with TGA annotations.</w:t>
      </w:r>
    </w:p>
    <w:p w14:paraId="046C23B4" w14:textId="4915C0D5" w:rsidR="00733A46" w:rsidRDefault="00733A46" w:rsidP="00733A46">
      <w:pPr>
        <w:pStyle w:val="ListBullet"/>
        <w:numPr>
          <w:ilvl w:val="0"/>
          <w:numId w:val="0"/>
        </w:numPr>
        <w:ind w:left="360"/>
      </w:pPr>
      <w:r>
        <w:t>The procedure for abridged applications claiming essential similarity to a reference product (</w:t>
      </w:r>
      <w:r w:rsidR="00C208A3">
        <w:t>that is,</w:t>
      </w:r>
      <w:r>
        <w:t xml:space="preserve"> generics), which allows applications to be made to numerous Member States of the EU, based on bioequivalence with a reference product from one Member State, does not apply in Australia. An application for registration of a generic product in Australia should generally include a bioequivalence study versus a leading brand obtained in Australia</w:t>
      </w:r>
    </w:p>
    <w:p w14:paraId="2F93DEC2" w14:textId="3515CF3E" w:rsidR="002C70D3" w:rsidRDefault="002C70D3" w:rsidP="00733A46">
      <w:pPr>
        <w:pStyle w:val="ListBullet"/>
      </w:pPr>
      <w:r>
        <w:t>E</w:t>
      </w:r>
      <w:r w:rsidR="00733A46">
        <w:t xml:space="preserve">MEA/CHMP/EWP/147013/2004 Corr </w:t>
      </w:r>
      <w:hyperlink r:id="rId19" w:history="1">
        <w:r w:rsidR="00733A46" w:rsidRPr="00B32579">
          <w:rPr>
            <w:rStyle w:val="Hyperlink"/>
          </w:rPr>
          <w:t>Guideline on the role of Pharmacokinetics in the Development of Medicinal Products in the Paediatric Population</w:t>
        </w:r>
      </w:hyperlink>
      <w:r>
        <w:t>.</w:t>
      </w:r>
    </w:p>
    <w:p w14:paraId="43A26BA9" w14:textId="21C16D22" w:rsidR="00733A46" w:rsidRDefault="00733A46" w:rsidP="005973A0">
      <w:pPr>
        <w:pStyle w:val="ListBullet"/>
        <w:numPr>
          <w:ilvl w:val="0"/>
          <w:numId w:val="0"/>
        </w:numPr>
        <w:ind w:left="360"/>
      </w:pPr>
      <w:r>
        <w:t xml:space="preserve"> </w:t>
      </w:r>
      <w:r w:rsidR="002C70D3">
        <w:t>TGA-adopted, effective date: 24 August 2009</w:t>
      </w:r>
    </w:p>
    <w:p w14:paraId="491E7B09" w14:textId="20BC58F0" w:rsidR="00733A46" w:rsidRDefault="00733A46" w:rsidP="00733A46">
      <w:pPr>
        <w:pStyle w:val="ListBullet"/>
      </w:pPr>
      <w:r>
        <w:t xml:space="preserve">CHMP/EWP/566/98 Rev.2/Corr </w:t>
      </w:r>
      <w:hyperlink r:id="rId20" w:history="1">
        <w:r w:rsidRPr="002C70D3">
          <w:rPr>
            <w:rStyle w:val="Hyperlink"/>
          </w:rPr>
          <w:t>Guideline on Clinical Investigation of Medicinal Products in the Treatment of Epileptic Disorders</w:t>
        </w:r>
      </w:hyperlink>
    </w:p>
    <w:p w14:paraId="059982C0" w14:textId="4DF3C9C2" w:rsidR="002C70D3" w:rsidRDefault="002C70D3" w:rsidP="005973A0">
      <w:pPr>
        <w:pStyle w:val="ListBullet"/>
        <w:numPr>
          <w:ilvl w:val="0"/>
          <w:numId w:val="0"/>
        </w:numPr>
        <w:ind w:left="360"/>
      </w:pPr>
      <w:r>
        <w:t>TGA-adopted, effective date: 17 December 2010</w:t>
      </w:r>
    </w:p>
    <w:p w14:paraId="4908FFDF" w14:textId="30174B18" w:rsidR="00733A46" w:rsidRDefault="00733A46" w:rsidP="00733A46">
      <w:pPr>
        <w:pStyle w:val="ListBullet"/>
        <w:numPr>
          <w:ilvl w:val="0"/>
          <w:numId w:val="0"/>
        </w:numPr>
        <w:ind w:left="360"/>
      </w:pPr>
      <w:r>
        <w:t>Replaces: CPMP/EWP/566/98 Rev 1 (</w:t>
      </w:r>
      <w:r w:rsidR="002C70D3">
        <w:t>a</w:t>
      </w:r>
      <w:r>
        <w:t>dopted by TGA 19 April 2001)</w:t>
      </w:r>
    </w:p>
    <w:p w14:paraId="794CE0CE" w14:textId="74ACB9BD" w:rsidR="00733A46" w:rsidRDefault="00733A46" w:rsidP="00733A46">
      <w:pPr>
        <w:pStyle w:val="ListBullet"/>
      </w:pPr>
      <w:r>
        <w:t xml:space="preserve">EMA/129698/2012 </w:t>
      </w:r>
      <w:hyperlink r:id="rId21" w:history="1">
        <w:r w:rsidRPr="002C70D3">
          <w:rPr>
            <w:rStyle w:val="Hyperlink"/>
          </w:rPr>
          <w:t>Concept paper on extrapolation of efficacy and safety in medicine development</w:t>
        </w:r>
      </w:hyperlink>
      <w:r>
        <w:t>.</w:t>
      </w:r>
    </w:p>
    <w:p w14:paraId="15E2BFD9" w14:textId="6A126E09" w:rsidR="002C70D3" w:rsidRDefault="002C70D3" w:rsidP="005973A0">
      <w:pPr>
        <w:pStyle w:val="ListBullet"/>
        <w:numPr>
          <w:ilvl w:val="0"/>
          <w:numId w:val="0"/>
        </w:numPr>
        <w:ind w:left="360"/>
      </w:pPr>
      <w:r>
        <w:t>TGA-adopted, effective date: 1 August 2014</w:t>
      </w:r>
    </w:p>
    <w:p w14:paraId="15593407" w14:textId="215E7D99" w:rsidR="00733A46" w:rsidRDefault="00733A46" w:rsidP="00733A46">
      <w:pPr>
        <w:pStyle w:val="ListBullet"/>
      </w:pPr>
      <w:r>
        <w:t xml:space="preserve">CPMP/ICH/2711/99 </w:t>
      </w:r>
      <w:hyperlink r:id="rId22" w:history="1">
        <w:r w:rsidRPr="002C70D3">
          <w:rPr>
            <w:rStyle w:val="Hyperlink"/>
          </w:rPr>
          <w:t>ICH Topic E 11 Note for Guidance on Clinical Investigation of Medicinal Products in the Paediatric Population</w:t>
        </w:r>
      </w:hyperlink>
    </w:p>
    <w:p w14:paraId="0BB0B481" w14:textId="7F0A422A" w:rsidR="002C70D3" w:rsidRDefault="002C70D3" w:rsidP="005973A0">
      <w:pPr>
        <w:pStyle w:val="ListBullet"/>
        <w:numPr>
          <w:ilvl w:val="0"/>
          <w:numId w:val="0"/>
        </w:numPr>
        <w:ind w:left="360"/>
      </w:pPr>
      <w:r>
        <w:t>TGA-adopted, effective date: 19 April 2001</w:t>
      </w:r>
    </w:p>
    <w:p w14:paraId="1A2DA751" w14:textId="41052CD3" w:rsidR="00733A46" w:rsidRDefault="00733A46" w:rsidP="00733A46">
      <w:pPr>
        <w:pStyle w:val="ListBullet"/>
      </w:pPr>
      <w:r>
        <w:t xml:space="preserve">CHMP/EWP/185990/06 </w:t>
      </w:r>
      <w:hyperlink r:id="rId23" w:history="1">
        <w:r w:rsidRPr="002C70D3">
          <w:rPr>
            <w:rStyle w:val="Hyperlink"/>
          </w:rPr>
          <w:t>Guideline on Reporting the results of Population Pharmacokinetic Analysis</w:t>
        </w:r>
      </w:hyperlink>
    </w:p>
    <w:p w14:paraId="36B46C9F" w14:textId="5A36D48E" w:rsidR="002C70D3" w:rsidRDefault="002C70D3" w:rsidP="005973A0">
      <w:pPr>
        <w:pStyle w:val="ListBullet"/>
        <w:numPr>
          <w:ilvl w:val="0"/>
          <w:numId w:val="0"/>
        </w:numPr>
        <w:ind w:left="360"/>
      </w:pPr>
      <w:r>
        <w:t>TGA-adopted, effective date: 27 January 2009</w:t>
      </w:r>
    </w:p>
    <w:p w14:paraId="4B283276" w14:textId="42AD9307" w:rsidR="00D75EC9" w:rsidRDefault="00733A46" w:rsidP="00733A46">
      <w:pPr>
        <w:pStyle w:val="ListBullet"/>
      </w:pPr>
      <w:r>
        <w:t>TGA</w:t>
      </w:r>
      <w:r w:rsidR="002C70D3">
        <w:t xml:space="preserve">: </w:t>
      </w:r>
      <w:hyperlink r:id="rId24" w:history="1">
        <w:r w:rsidR="002C70D3" w:rsidRPr="002C70D3">
          <w:rPr>
            <w:rStyle w:val="Hyperlink"/>
          </w:rPr>
          <w:t>G</w:t>
        </w:r>
        <w:r w:rsidRPr="002C70D3">
          <w:rPr>
            <w:rStyle w:val="Hyperlink"/>
          </w:rPr>
          <w:t xml:space="preserve">uidance on </w:t>
        </w:r>
        <w:r w:rsidR="00AE71C1" w:rsidRPr="002C70D3">
          <w:rPr>
            <w:rStyle w:val="Hyperlink"/>
          </w:rPr>
          <w:t>literature-</w:t>
        </w:r>
        <w:r w:rsidRPr="002C70D3">
          <w:rPr>
            <w:rStyle w:val="Hyperlink"/>
          </w:rPr>
          <w:t>based submissions</w:t>
        </w:r>
      </w:hyperlink>
      <w:bookmarkStart w:id="56" w:name="_Toc46661398"/>
      <w:bookmarkStart w:id="57" w:name="_Toc54627305"/>
      <w:bookmarkStart w:id="58" w:name="_Toc77073429"/>
      <w:bookmarkStart w:id="59" w:name="_Toc314842514"/>
    </w:p>
    <w:p w14:paraId="0B592062" w14:textId="027052CC" w:rsidR="00F51C5A" w:rsidRDefault="00F51C5A" w:rsidP="00B60E95">
      <w:pPr>
        <w:pStyle w:val="Heading4"/>
      </w:pPr>
      <w:r>
        <w:lastRenderedPageBreak/>
        <w:t>S</w:t>
      </w:r>
      <w:r w:rsidR="00DC1144">
        <w:t>u</w:t>
      </w:r>
      <w:r w:rsidR="0017219B">
        <w:t>mmary of clinical data</w:t>
      </w:r>
    </w:p>
    <w:p w14:paraId="14F254D7" w14:textId="6858AEFB" w:rsidR="00DC1144" w:rsidRDefault="00DC1144" w:rsidP="00DC1144">
      <w:r w:rsidRPr="007210CB">
        <w:t xml:space="preserve">The only paediatric data included in the submission was either in the sourced literature data or in the </w:t>
      </w:r>
      <w:r w:rsidR="00C208A3" w:rsidRPr="007210CB">
        <w:t>peri</w:t>
      </w:r>
      <w:r w:rsidR="00C208A3">
        <w:t xml:space="preserve">odic safety update report </w:t>
      </w:r>
      <w:r w:rsidR="00C44DEB">
        <w:t>(PSUR</w:t>
      </w:r>
      <w:r w:rsidRPr="007210CB">
        <w:t>)</w:t>
      </w:r>
    </w:p>
    <w:p w14:paraId="2112AEC4" w14:textId="295AD2F8" w:rsidR="00733A46" w:rsidRDefault="00733A46" w:rsidP="00733A46">
      <w:pPr>
        <w:pStyle w:val="ListBullet"/>
      </w:pPr>
      <w:r>
        <w:t>Clinical pharmacology studies (both previously submitted to and evaluated by the TGA):</w:t>
      </w:r>
    </w:p>
    <w:p w14:paraId="64C74B86" w14:textId="52F4D3D9" w:rsidR="00733A46" w:rsidRDefault="00733A46" w:rsidP="00733A46">
      <w:pPr>
        <w:pStyle w:val="ListBullet2"/>
      </w:pPr>
      <w:r>
        <w:t>Study SPL001 (C12023) A single-dose, randomised, open-label, two-period, two-treatment, healthy volunteer, crossover study to compare the pharmacokinetic profiles of Epistatus with the marketed formulation Hypnovel (5mg/mL parenteral solution) via the oromucosal route.</w:t>
      </w:r>
    </w:p>
    <w:p w14:paraId="4CA947F8" w14:textId="4B48C8A4" w:rsidR="00733A46" w:rsidRDefault="00733A46" w:rsidP="00733A46">
      <w:pPr>
        <w:pStyle w:val="ListBullet2"/>
      </w:pPr>
      <w:r>
        <w:t>Study SPL002 (C13011) A single-dose, randomised, open-label, four-period, two-sequence crossover study to compare the pharmacokinetic profiles and assess bioequivalence of Epistatus and Hypnovel (midazolam parenteral solution 5mg/mL) administered via the oromucosal route in healthy adult subjects.</w:t>
      </w:r>
    </w:p>
    <w:p w14:paraId="153ACB57" w14:textId="7AF58E36" w:rsidR="00733A46" w:rsidRDefault="00733A46" w:rsidP="00733A46">
      <w:pPr>
        <w:pStyle w:val="ListBullet"/>
      </w:pPr>
      <w:r>
        <w:t>Population pharmacokinetic analyses and modelling:</w:t>
      </w:r>
    </w:p>
    <w:p w14:paraId="0B977EB5" w14:textId="72956FB5" w:rsidR="00733A46" w:rsidRDefault="00733A46" w:rsidP="00733A46">
      <w:pPr>
        <w:pStyle w:val="ListBullet2"/>
      </w:pPr>
      <w:r w:rsidRPr="00733A46">
        <w:t>Physiologically based pharmacokinetic</w:t>
      </w:r>
      <w:r w:rsidR="0017219B">
        <w:t>/pharmacodynamic</w:t>
      </w:r>
      <w:r w:rsidR="00E80592">
        <w:t xml:space="preserve"> model for buccal administration of midazolam to a</w:t>
      </w:r>
      <w:r>
        <w:t xml:space="preserve">dults, </w:t>
      </w:r>
      <w:r w:rsidR="00E80592">
        <w:t xml:space="preserve">with </w:t>
      </w:r>
      <w:r w:rsidRPr="006A0111">
        <w:t>10</w:t>
      </w:r>
      <w:r w:rsidR="00C208A3">
        <w:t xml:space="preserve"> </w:t>
      </w:r>
      <w:r>
        <w:t>mg</w:t>
      </w:r>
      <w:r w:rsidR="00E80592">
        <w:t xml:space="preserve"> dose j</w:t>
      </w:r>
      <w:r w:rsidRPr="006A0111">
        <w:t>ustification</w:t>
      </w:r>
      <w:r>
        <w:t>.</w:t>
      </w:r>
    </w:p>
    <w:p w14:paraId="4DE49EC6" w14:textId="5C243977" w:rsidR="00733A46" w:rsidRDefault="00733A46" w:rsidP="00733A46">
      <w:pPr>
        <w:pStyle w:val="ListBullet2"/>
      </w:pPr>
      <w:r>
        <w:t xml:space="preserve">Predictions </w:t>
      </w:r>
      <w:r w:rsidR="00E80592">
        <w:t xml:space="preserve">for buccal administration of midazolam to paediatric populations </w:t>
      </w:r>
      <w:r>
        <w:t xml:space="preserve">(using </w:t>
      </w:r>
      <w:r w:rsidR="00DB0968">
        <w:t xml:space="preserve">population pharmacokinetic modelling </w:t>
      </w:r>
      <w:r>
        <w:t>software) (previously submitted to and evaluated by the TGA).</w:t>
      </w:r>
    </w:p>
    <w:p w14:paraId="56ABF489" w14:textId="53600077" w:rsidR="00733A46" w:rsidRDefault="00733A46" w:rsidP="00BC4022">
      <w:pPr>
        <w:pStyle w:val="ListBullet"/>
      </w:pPr>
      <w:r>
        <w:t>P</w:t>
      </w:r>
      <w:r w:rsidR="00BC4022">
        <w:t>eriodic safety update reports</w:t>
      </w:r>
      <w:r>
        <w:t xml:space="preserve"> </w:t>
      </w:r>
      <w:r w:rsidR="00BC4022">
        <w:t>(</w:t>
      </w:r>
      <w:r>
        <w:t>10 Sep</w:t>
      </w:r>
      <w:r w:rsidR="00BC4022">
        <w:t xml:space="preserve">tember </w:t>
      </w:r>
      <w:r>
        <w:t>2016 to 9</w:t>
      </w:r>
      <w:r w:rsidR="00BC4022">
        <w:t xml:space="preserve"> </w:t>
      </w:r>
      <w:r>
        <w:t>Sep</w:t>
      </w:r>
      <w:r w:rsidR="00BC4022">
        <w:t>tember</w:t>
      </w:r>
      <w:r>
        <w:t xml:space="preserve"> 2019</w:t>
      </w:r>
      <w:r w:rsidR="00BC4022">
        <w:t xml:space="preserve"> inclusive).</w:t>
      </w:r>
    </w:p>
    <w:p w14:paraId="375E8BA9" w14:textId="3AAB44F1" w:rsidR="00DE40DB" w:rsidRPr="00DE40DB" w:rsidRDefault="00DE40DB" w:rsidP="00DE40DB">
      <w:pPr>
        <w:pStyle w:val="ListBullet"/>
        <w:rPr>
          <w:lang w:eastAsia="ja-JP"/>
        </w:rPr>
      </w:pPr>
      <w:r>
        <w:rPr>
          <w:lang w:eastAsia="ja-JP"/>
        </w:rPr>
        <w:t>A considerable number of journal article study reports from the literature review.</w:t>
      </w:r>
    </w:p>
    <w:p w14:paraId="59505C70" w14:textId="27FF7001" w:rsidR="00E87DFF" w:rsidRPr="00E87DFF" w:rsidRDefault="00E87DFF" w:rsidP="00E87DFF">
      <w:pPr>
        <w:pStyle w:val="Heading4"/>
      </w:pPr>
      <w:r>
        <w:t>Pharmacology</w:t>
      </w:r>
    </w:p>
    <w:p w14:paraId="7908B689" w14:textId="26DFBA1B" w:rsidR="00E87DFF" w:rsidRDefault="00E87DFF" w:rsidP="00E87DFF">
      <w:pPr>
        <w:pStyle w:val="Heading5"/>
      </w:pPr>
      <w:r>
        <w:t>Data providing pharmacology data</w:t>
      </w:r>
    </w:p>
    <w:p w14:paraId="1E0D6924" w14:textId="03D0840E" w:rsidR="00E87DFF" w:rsidRPr="00F51C5A" w:rsidRDefault="00E87DFF" w:rsidP="00E87DFF">
      <w:r>
        <w:t>In evaluation of this submission, t</w:t>
      </w:r>
      <w:r w:rsidRPr="00F51C5A">
        <w:t>he</w:t>
      </w:r>
      <w:r>
        <w:t xml:space="preserve"> TGA noted that the</w:t>
      </w:r>
      <w:r w:rsidRPr="00F51C5A">
        <w:t xml:space="preserve"> sponsor has undertaken bioequivalence studies with Hypnovel</w:t>
      </w:r>
      <w:r w:rsidR="0017219B">
        <w:t>;</w:t>
      </w:r>
      <w:r w:rsidR="0017219B" w:rsidRPr="0017219B">
        <w:rPr>
          <w:vertAlign w:val="superscript"/>
        </w:rPr>
        <w:fldChar w:fldCharType="begin"/>
      </w:r>
      <w:r w:rsidR="0017219B" w:rsidRPr="0017219B">
        <w:rPr>
          <w:vertAlign w:val="superscript"/>
        </w:rPr>
        <w:instrText xml:space="preserve"> NOTEREF _Ref109289276 \h </w:instrText>
      </w:r>
      <w:r w:rsidR="0017219B">
        <w:rPr>
          <w:vertAlign w:val="superscript"/>
        </w:rPr>
        <w:instrText xml:space="preserve"> \* MERGEFORMAT </w:instrText>
      </w:r>
      <w:r w:rsidR="0017219B" w:rsidRPr="0017219B">
        <w:rPr>
          <w:vertAlign w:val="superscript"/>
        </w:rPr>
      </w:r>
      <w:r w:rsidR="0017219B" w:rsidRPr="0017219B">
        <w:rPr>
          <w:vertAlign w:val="superscript"/>
        </w:rPr>
        <w:fldChar w:fldCharType="separate"/>
      </w:r>
      <w:r w:rsidR="00AA79CE">
        <w:rPr>
          <w:vertAlign w:val="superscript"/>
        </w:rPr>
        <w:t>14</w:t>
      </w:r>
      <w:r w:rsidR="0017219B" w:rsidRPr="0017219B">
        <w:rPr>
          <w:vertAlign w:val="superscript"/>
        </w:rPr>
        <w:fldChar w:fldCharType="end"/>
      </w:r>
      <w:r w:rsidRPr="00F51C5A">
        <w:t xml:space="preserve"> a product registered in Austr</w:t>
      </w:r>
      <w:r>
        <w:t>alia, but not for the proposed i</w:t>
      </w:r>
      <w:r w:rsidRPr="00F51C5A">
        <w:t>ndication, nor by the buccal route of administration.</w:t>
      </w:r>
    </w:p>
    <w:p w14:paraId="6FF358C6" w14:textId="5989DDBA" w:rsidR="00E87DFF" w:rsidRPr="00E87DFF" w:rsidRDefault="00E87DFF" w:rsidP="00E87DFF">
      <w:r w:rsidRPr="00F51C5A">
        <w:t>Of the products registered for epilepsy</w:t>
      </w:r>
      <w:r w:rsidR="0017219B">
        <w:t xml:space="preserve"> in Australia, diazepam </w:t>
      </w:r>
      <w:r w:rsidRPr="00F51C5A">
        <w:t>also comes as an oral</w:t>
      </w:r>
      <w:r>
        <w:t xml:space="preserve"> solution but this carries the c</w:t>
      </w:r>
      <w:r w:rsidRPr="00F51C5A">
        <w:t>ontraindication: ‘</w:t>
      </w:r>
      <w:r w:rsidRPr="00C44FB9">
        <w:rPr>
          <w:i/>
          <w:iCs/>
        </w:rPr>
        <w:t>Diazepam Elixir is not recommended to control status epilepticus or other acute management situations</w:t>
      </w:r>
      <w:r>
        <w:t>.’</w:t>
      </w:r>
      <w:r w:rsidR="0017219B">
        <w:rPr>
          <w:rStyle w:val="FootnoteReference"/>
        </w:rPr>
        <w:footnoteReference w:id="23"/>
      </w:r>
      <w:r>
        <w:t xml:space="preserve"> There is no approved rectal administration.</w:t>
      </w:r>
    </w:p>
    <w:p w14:paraId="462DAD16" w14:textId="2DA39E9D" w:rsidR="00DC1144" w:rsidRPr="00DC1144" w:rsidRDefault="00DC1144" w:rsidP="00E87DFF">
      <w:pPr>
        <w:pStyle w:val="Heading6"/>
      </w:pPr>
      <w:r w:rsidRPr="007210CB">
        <w:t>Pharmacokinetics</w:t>
      </w:r>
    </w:p>
    <w:p w14:paraId="0A575B9B" w14:textId="3045E140" w:rsidR="0074479F" w:rsidRPr="0074479F" w:rsidRDefault="0074479F" w:rsidP="0074479F">
      <w:r>
        <w:t xml:space="preserve">The following </w:t>
      </w:r>
      <w:r w:rsidR="00E80592">
        <w:t>summarises the pharmacokinetic studies submitted and providing evidence for this submission:</w:t>
      </w:r>
    </w:p>
    <w:bookmarkEnd w:id="56"/>
    <w:bookmarkEnd w:id="57"/>
    <w:bookmarkEnd w:id="58"/>
    <w:p w14:paraId="1EE31953" w14:textId="30201528" w:rsidR="00E80592" w:rsidRDefault="00E80592" w:rsidP="00E80592">
      <w:pPr>
        <w:pStyle w:val="ListBullet"/>
      </w:pPr>
      <w:r>
        <w:t xml:space="preserve">Study </w:t>
      </w:r>
      <w:r w:rsidR="00A554AC" w:rsidRPr="00DC1144">
        <w:t xml:space="preserve">SPL001 (C12023): A single-dose, randomised, open-label, two-period, two-treatment, healthy volunteer, crossover study to compare the pharmacokinetic profiles of </w:t>
      </w:r>
      <w:r w:rsidR="00BD2BAB">
        <w:t>Zyamis</w:t>
      </w:r>
      <w:r w:rsidR="00A554AC" w:rsidRPr="00DC1144">
        <w:t xml:space="preserve"> with the </w:t>
      </w:r>
      <w:r>
        <w:t>as-</w:t>
      </w:r>
      <w:r w:rsidR="00A554AC" w:rsidRPr="00DC1144">
        <w:t xml:space="preserve">marketed formulation </w:t>
      </w:r>
      <w:r>
        <w:t xml:space="preserve">of </w:t>
      </w:r>
      <w:r w:rsidR="00A554AC" w:rsidRPr="00DC1144">
        <w:t>Hypnovel (5</w:t>
      </w:r>
      <w:r w:rsidR="00D3676C" w:rsidRPr="00DC1144">
        <w:t xml:space="preserve"> </w:t>
      </w:r>
      <w:r w:rsidR="00A554AC" w:rsidRPr="00DC1144">
        <w:t xml:space="preserve">mg/mL </w:t>
      </w:r>
      <w:r>
        <w:t xml:space="preserve">midazolam </w:t>
      </w:r>
      <w:r w:rsidR="00A554AC" w:rsidRPr="00DC1144">
        <w:t>parenteral solution) via the oromucosal route.</w:t>
      </w:r>
    </w:p>
    <w:p w14:paraId="4A6F53F2" w14:textId="3065FF13" w:rsidR="00E80592" w:rsidRPr="00DC1144" w:rsidRDefault="00E80592" w:rsidP="00E80592">
      <w:pPr>
        <w:pStyle w:val="ListBullet"/>
        <w:numPr>
          <w:ilvl w:val="0"/>
          <w:numId w:val="0"/>
        </w:numPr>
        <w:ind w:left="360"/>
      </w:pPr>
      <w:r>
        <w:t>This study examined the pharmacokinetics (bioequivalence) of Zyamis as a single dose in healthy adults.</w:t>
      </w:r>
    </w:p>
    <w:p w14:paraId="31C51EA7" w14:textId="29BFE0E3" w:rsidR="00E80592" w:rsidRDefault="00A554AC" w:rsidP="00E80592">
      <w:pPr>
        <w:pStyle w:val="ListBullet"/>
      </w:pPr>
      <w:r w:rsidRPr="00DC1144">
        <w:t>SPL002 (C13011):</w:t>
      </w:r>
      <w:r w:rsidR="00D75EC9">
        <w:t xml:space="preserve"> </w:t>
      </w:r>
      <w:r w:rsidRPr="00DC1144">
        <w:t xml:space="preserve">A single-dose, randomised, open-label, four-period, two-sequence crossover study to compare the pharmacokinetic profiles and assess bioequivalence of </w:t>
      </w:r>
      <w:r w:rsidR="00BD2BAB">
        <w:lastRenderedPageBreak/>
        <w:t>Zyamis</w:t>
      </w:r>
      <w:r w:rsidRPr="00DC1144">
        <w:t xml:space="preserve"> and Hypnovel (</w:t>
      </w:r>
      <w:r w:rsidR="00E80592">
        <w:t xml:space="preserve">5 mg/mL midazolam parenteral solution) </w:t>
      </w:r>
      <w:r w:rsidRPr="00DC1144">
        <w:t>administered via the oromucosal</w:t>
      </w:r>
      <w:r w:rsidR="00E80592">
        <w:t xml:space="preserve"> route in healthy adult subjects.</w:t>
      </w:r>
    </w:p>
    <w:p w14:paraId="4CCED5FB" w14:textId="5FA2980A" w:rsidR="00E80592" w:rsidRDefault="00E80592" w:rsidP="00E80592">
      <w:pPr>
        <w:pStyle w:val="ListBullet"/>
        <w:numPr>
          <w:ilvl w:val="0"/>
          <w:numId w:val="0"/>
        </w:numPr>
        <w:ind w:left="360"/>
      </w:pPr>
      <w:r>
        <w:t>This study examined the pharmacokinetics (bioequivalence) of Zyamis as a single dose in health</w:t>
      </w:r>
      <w:r w:rsidR="0017219B">
        <w:t>y adults and was accompanied by</w:t>
      </w:r>
      <w:r>
        <w:t xml:space="preserve"> p</w:t>
      </w:r>
      <w:r w:rsidRPr="00217E18">
        <w:t>opulation pharmacokinetic analyses and modelling</w:t>
      </w:r>
      <w:r>
        <w:t>.</w:t>
      </w:r>
    </w:p>
    <w:p w14:paraId="712F0F89" w14:textId="09F92407" w:rsidR="007210CB" w:rsidRPr="0074479F" w:rsidRDefault="00E80592" w:rsidP="007210CB">
      <w:pPr>
        <w:rPr>
          <w:lang w:eastAsia="ja-JP"/>
        </w:rPr>
      </w:pPr>
      <w:r>
        <w:rPr>
          <w:lang w:eastAsia="ja-JP"/>
        </w:rPr>
        <w:t xml:space="preserve">Both pharmacokinetic </w:t>
      </w:r>
      <w:r w:rsidR="007210CB" w:rsidRPr="0074479F">
        <w:rPr>
          <w:lang w:eastAsia="ja-JP"/>
        </w:rPr>
        <w:t>studies were conducted in compliance with Good Clinical Practice (GCP).</w:t>
      </w:r>
    </w:p>
    <w:p w14:paraId="3BD06920" w14:textId="19386F53" w:rsidR="00A554AC" w:rsidRDefault="00A554AC" w:rsidP="00E87DFF">
      <w:pPr>
        <w:pStyle w:val="Heading6"/>
      </w:pPr>
      <w:r w:rsidRPr="00217E18">
        <w:t>Population pharmacokinetic</w:t>
      </w:r>
      <w:r w:rsidR="00E80592">
        <w:t xml:space="preserve"> </w:t>
      </w:r>
      <w:r w:rsidRPr="00217E18">
        <w:t>analyses and modelling</w:t>
      </w:r>
    </w:p>
    <w:p w14:paraId="6DA29A1D" w14:textId="346C7BF7" w:rsidR="00E80592" w:rsidRDefault="00E80592" w:rsidP="00E80592">
      <w:r>
        <w:t>The following summarises the</w:t>
      </w:r>
      <w:r w:rsidR="00E87DFF">
        <w:t xml:space="preserve"> population</w:t>
      </w:r>
      <w:r>
        <w:t xml:space="preserve"> pharmacokinetic </w:t>
      </w:r>
      <w:r w:rsidR="00E87DFF">
        <w:t>data</w:t>
      </w:r>
      <w:r>
        <w:t xml:space="preserve"> submitted and providing evidence for this submission:</w:t>
      </w:r>
    </w:p>
    <w:p w14:paraId="4AB86BCE" w14:textId="2252C597" w:rsidR="00E80592" w:rsidRDefault="005C3108" w:rsidP="00E80592">
      <w:pPr>
        <w:pStyle w:val="ListBullet"/>
      </w:pPr>
      <w:r>
        <w:t>A p</w:t>
      </w:r>
      <w:r w:rsidR="00E80592" w:rsidRPr="00733A46">
        <w:t>hysiologically based pharmacokinetic</w:t>
      </w:r>
      <w:r w:rsidR="00E80592">
        <w:t xml:space="preserve">/pharmacodynamics model for buccal administration of midazolam to adults, with </w:t>
      </w:r>
      <w:r w:rsidR="00E80592" w:rsidRPr="006A0111">
        <w:t>10</w:t>
      </w:r>
      <w:r w:rsidR="00E80592">
        <w:t>mg dose j</w:t>
      </w:r>
      <w:r w:rsidR="00E80592" w:rsidRPr="006A0111">
        <w:t>ustification</w:t>
      </w:r>
      <w:r w:rsidR="00E80592">
        <w:t>.</w:t>
      </w:r>
    </w:p>
    <w:p w14:paraId="089E711A" w14:textId="5C89149A" w:rsidR="00E87DFF" w:rsidRDefault="00E87DFF" w:rsidP="00E87DFF">
      <w:pPr>
        <w:pStyle w:val="ListBullet"/>
      </w:pPr>
      <w:r>
        <w:t xml:space="preserve">Predictions for buccal administration of midazolam to paediatric populations (using </w:t>
      </w:r>
      <w:r w:rsidR="001C737A">
        <w:t xml:space="preserve">population pharmacokinetic </w:t>
      </w:r>
      <w:r>
        <w:t>software) (previously submitted to and evaluated by the TGA).</w:t>
      </w:r>
    </w:p>
    <w:p w14:paraId="2EAC76DD" w14:textId="11E832FC" w:rsidR="00A554AC" w:rsidRPr="00217E18" w:rsidRDefault="00E87DFF" w:rsidP="00E87DFF">
      <w:pPr>
        <w:pStyle w:val="ListBullet"/>
      </w:pPr>
      <w:r>
        <w:t>Periodic safety update reports (10 September 2016 to 9 September 2019 inclusive).</w:t>
      </w:r>
    </w:p>
    <w:p w14:paraId="2958C066" w14:textId="13F8BBA0" w:rsidR="00A554AC" w:rsidRPr="00217E18" w:rsidRDefault="00F40DD6" w:rsidP="00E87DFF">
      <w:pPr>
        <w:pStyle w:val="ListBullet"/>
      </w:pPr>
      <w:r>
        <w:t xml:space="preserve">Published </w:t>
      </w:r>
      <w:r w:rsidR="005C3108">
        <w:t>s</w:t>
      </w:r>
      <w:r w:rsidR="00A554AC" w:rsidRPr="00217E18">
        <w:t>tudy reports from the literature review.</w:t>
      </w:r>
    </w:p>
    <w:p w14:paraId="3EF23612" w14:textId="0A9A48B4" w:rsidR="00AA33A8" w:rsidRPr="00C44FB9" w:rsidRDefault="005C3108" w:rsidP="00E87DFF">
      <w:pPr>
        <w:pStyle w:val="ListBullet"/>
      </w:pPr>
      <w:r>
        <w:t>A r</w:t>
      </w:r>
      <w:r w:rsidR="00A554AC" w:rsidRPr="00C44FB9">
        <w:t xml:space="preserve">esponse from </w:t>
      </w:r>
      <w:r w:rsidR="001C737A">
        <w:t xml:space="preserve">the sponsor’s population PK modelling group </w:t>
      </w:r>
      <w:r w:rsidR="00A554AC" w:rsidRPr="00C44FB9">
        <w:t>to W</w:t>
      </w:r>
      <w:r w:rsidR="00C44FB9">
        <w:t>orking Group</w:t>
      </w:r>
      <w:r w:rsidR="00A554AC" w:rsidRPr="00C44FB9">
        <w:t xml:space="preserve"> (apparently </w:t>
      </w:r>
      <w:r w:rsidR="00E87DFF">
        <w:t>addressing</w:t>
      </w:r>
      <w:r w:rsidR="00A554AC" w:rsidRPr="00C44FB9">
        <w:t xml:space="preserve"> the </w:t>
      </w:r>
      <w:r w:rsidR="00E87DFF">
        <w:t>TGA’s population pharmacokinetics working group comments),</w:t>
      </w:r>
      <w:r w:rsidR="00E87DFF" w:rsidRPr="00C44FB9">
        <w:t xml:space="preserve"> </w:t>
      </w:r>
      <w:r w:rsidR="00A554AC" w:rsidRPr="00C44FB9">
        <w:t xml:space="preserve">for the </w:t>
      </w:r>
      <w:r w:rsidR="00217E18" w:rsidRPr="00C44FB9">
        <w:t>working group and D</w:t>
      </w:r>
      <w:r w:rsidR="00A554AC" w:rsidRPr="00C44FB9">
        <w:t>elegate to consider</w:t>
      </w:r>
      <w:r w:rsidR="00C44FB9" w:rsidRPr="00C44FB9">
        <w:t>.</w:t>
      </w:r>
    </w:p>
    <w:p w14:paraId="58C657B5" w14:textId="5BE3D697" w:rsidR="00A554AC" w:rsidRPr="00C44FB9" w:rsidRDefault="00A554AC" w:rsidP="00E87DFF">
      <w:pPr>
        <w:pStyle w:val="ListBullet"/>
      </w:pPr>
      <w:r w:rsidRPr="00C44FB9">
        <w:t xml:space="preserve">A document labelled as </w:t>
      </w:r>
      <w:r w:rsidR="00E87DFF">
        <w:t>‘</w:t>
      </w:r>
      <w:r w:rsidRPr="00C44FB9">
        <w:t>regulatory</w:t>
      </w:r>
      <w:r w:rsidR="00C44FB9">
        <w:t xml:space="preserve"> </w:t>
      </w:r>
      <w:r w:rsidRPr="00C44FB9">
        <w:t>response</w:t>
      </w:r>
      <w:r w:rsidR="00E87DFF">
        <w:t>’</w:t>
      </w:r>
      <w:r w:rsidRPr="00C44FB9">
        <w:t xml:space="preserve"> </w:t>
      </w:r>
      <w:r w:rsidR="00E87DFF">
        <w:t>(dated 2019)</w:t>
      </w:r>
      <w:r w:rsidRPr="00C44FB9">
        <w:t xml:space="preserve"> described as </w:t>
      </w:r>
      <w:r w:rsidR="001C737A">
        <w:t xml:space="preserve">from the sponsor’s population PK modelling group </w:t>
      </w:r>
      <w:r w:rsidRPr="00C44FB9">
        <w:t>address</w:t>
      </w:r>
      <w:r w:rsidR="00E87DFF">
        <w:t>ing</w:t>
      </w:r>
      <w:r w:rsidRPr="00C44FB9">
        <w:t xml:space="preserve"> comments raised in TGA’s </w:t>
      </w:r>
      <w:r w:rsidR="00C44FB9" w:rsidRPr="00C44FB9">
        <w:t>r</w:t>
      </w:r>
      <w:r w:rsidRPr="00C44FB9">
        <w:t>equest</w:t>
      </w:r>
      <w:r w:rsidR="00E87DFF">
        <w:t xml:space="preserve"> for information</w:t>
      </w:r>
      <w:r w:rsidRPr="00C44FB9">
        <w:t>.</w:t>
      </w:r>
    </w:p>
    <w:p w14:paraId="235D95FD" w14:textId="2674CE74" w:rsidR="00B601F8" w:rsidRPr="00F91755" w:rsidRDefault="00E87DFF" w:rsidP="00E87DFF">
      <w:pPr>
        <w:pStyle w:val="Heading5"/>
        <w:rPr>
          <w:lang w:eastAsia="ja-JP"/>
        </w:rPr>
      </w:pPr>
      <w:r>
        <w:rPr>
          <w:rFonts w:asciiTheme="minorHAnsi" w:hAnsiTheme="minorHAnsi"/>
          <w:szCs w:val="22"/>
        </w:rPr>
        <w:t>P</w:t>
      </w:r>
      <w:r w:rsidR="00B601F8" w:rsidRPr="00F91755">
        <w:rPr>
          <w:lang w:eastAsia="ja-JP"/>
        </w:rPr>
        <w:t>harmacokinetics</w:t>
      </w:r>
    </w:p>
    <w:p w14:paraId="584FBF5C" w14:textId="77777777" w:rsidR="00B601F8" w:rsidRPr="00F91755" w:rsidRDefault="00B601F8" w:rsidP="00E87DFF">
      <w:r w:rsidRPr="00F91755">
        <w:t>Midazolam is a pro-drug and is metabolised into an active metabolite alpha1-hydroxymidazolam. Midazolam is metabolised by</w:t>
      </w:r>
      <w:r w:rsidRPr="00F91755">
        <w:rPr>
          <w:rStyle w:val="apple-converted-space"/>
          <w:rFonts w:asciiTheme="minorHAnsi" w:hAnsiTheme="minorHAnsi" w:cs="Arial"/>
          <w:color w:val="222222"/>
        </w:rPr>
        <w:t> cytochrome P450 </w:t>
      </w:r>
      <w:r w:rsidRPr="00F91755">
        <w:t>(CYP) enzymes and by</w:t>
      </w:r>
      <w:r w:rsidRPr="00F91755">
        <w:rPr>
          <w:rStyle w:val="apple-converted-space"/>
          <w:rFonts w:asciiTheme="minorHAnsi" w:hAnsiTheme="minorHAnsi" w:cs="Arial"/>
          <w:color w:val="222222"/>
        </w:rPr>
        <w:t> glucuronide conjugation</w:t>
      </w:r>
      <w:r w:rsidRPr="00F91755">
        <w:t>.</w:t>
      </w:r>
    </w:p>
    <w:p w14:paraId="066D0BF6" w14:textId="4F3D1CC0" w:rsidR="00B601F8" w:rsidRPr="00F91755" w:rsidRDefault="00B601F8" w:rsidP="00E87DFF">
      <w:pPr>
        <w:rPr>
          <w:lang w:eastAsia="ja-JP"/>
        </w:rPr>
      </w:pPr>
      <w:r w:rsidRPr="00F91755">
        <w:t xml:space="preserve">Midazolam has poor oral bioavailability, with only 50 percent of the </w:t>
      </w:r>
      <w:r w:rsidRPr="00E87DFF">
        <w:t>drug</w:t>
      </w:r>
      <w:r w:rsidRPr="00F91755">
        <w:t xml:space="preserve"> reaching the bloodstream.</w:t>
      </w:r>
      <w:r w:rsidR="00D75EC9">
        <w:rPr>
          <w:rStyle w:val="apple-converted-space"/>
          <w:rFonts w:asciiTheme="minorHAnsi" w:hAnsiTheme="minorHAnsi" w:cs="Arial"/>
          <w:color w:val="222222"/>
        </w:rPr>
        <w:t xml:space="preserve"> </w:t>
      </w:r>
      <w:r w:rsidRPr="00F91755">
        <w:t xml:space="preserve">In adults, it has </w:t>
      </w:r>
      <w:r w:rsidR="0017219B">
        <w:t xml:space="preserve">an elimination half-life of 1.5 to </w:t>
      </w:r>
      <w:r w:rsidRPr="00F91755">
        <w:t>2.5 hours</w:t>
      </w:r>
      <w:r w:rsidRPr="00F91755">
        <w:rPr>
          <w:lang w:eastAsia="ja-JP"/>
        </w:rPr>
        <w:t>.</w:t>
      </w:r>
      <w:r w:rsidRPr="00F91755">
        <w:t xml:space="preserve"> In the elderly, as well as young children and adolescents, the elimination half-life is longer.</w:t>
      </w:r>
    </w:p>
    <w:p w14:paraId="2070802F" w14:textId="571A6556" w:rsidR="00B601F8" w:rsidRDefault="00B601F8" w:rsidP="00B601F8">
      <w:pPr>
        <w:rPr>
          <w:lang w:eastAsia="ja-JP"/>
        </w:rPr>
      </w:pPr>
      <w:r w:rsidRPr="00F91755">
        <w:rPr>
          <w:lang w:eastAsia="ja-JP"/>
        </w:rPr>
        <w:t xml:space="preserve">After </w:t>
      </w:r>
      <w:r w:rsidR="00C44FB9" w:rsidRPr="00F91755">
        <w:rPr>
          <w:lang w:eastAsia="ja-JP"/>
        </w:rPr>
        <w:t>IV</w:t>
      </w:r>
      <w:r w:rsidRPr="00F91755">
        <w:rPr>
          <w:lang w:eastAsia="ja-JP"/>
        </w:rPr>
        <w:t xml:space="preserve"> administration of midazolam, relatively low concentrations of the metabolites are found. However, relatively high concentrations of α-hydroxymidazolam were observed after oral administration. The concentration-effect relationship of midazolam based on reaction time measurements was shifted to the left after oral administration compared with </w:t>
      </w:r>
      <w:r w:rsidR="00C44FB9" w:rsidRPr="00F91755">
        <w:rPr>
          <w:lang w:eastAsia="ja-JP"/>
        </w:rPr>
        <w:t>IV</w:t>
      </w:r>
      <w:r w:rsidRPr="00F91755">
        <w:rPr>
          <w:lang w:eastAsia="ja-JP"/>
        </w:rPr>
        <w:t xml:space="preserve"> administration, suggesting that α-hydroxymidazolam contributed significantly to the central nervous system effects of the parent compound.</w:t>
      </w:r>
      <w:r w:rsidRPr="00F91755">
        <w:t xml:space="preserve"> </w:t>
      </w:r>
      <w:r w:rsidRPr="00F91755">
        <w:rPr>
          <w:lang w:eastAsia="ja-JP"/>
        </w:rPr>
        <w:t xml:space="preserve">Also, marked central nervous system effects were observed after </w:t>
      </w:r>
      <w:r w:rsidR="00C44FB9" w:rsidRPr="00F91755">
        <w:rPr>
          <w:lang w:eastAsia="ja-JP"/>
        </w:rPr>
        <w:t>IV</w:t>
      </w:r>
      <w:r w:rsidRPr="00F91755">
        <w:rPr>
          <w:lang w:eastAsia="ja-JP"/>
        </w:rPr>
        <w:t xml:space="preserve"> administrati</w:t>
      </w:r>
      <w:r w:rsidR="00E87DFF">
        <w:rPr>
          <w:lang w:eastAsia="ja-JP"/>
        </w:rPr>
        <w:t>on of relatively low doses of α</w:t>
      </w:r>
      <w:r w:rsidR="00E87DFF">
        <w:rPr>
          <w:lang w:eastAsia="ja-JP"/>
        </w:rPr>
        <w:noBreakHyphen/>
      </w:r>
      <w:r w:rsidRPr="00F91755">
        <w:rPr>
          <w:lang w:eastAsia="ja-JP"/>
        </w:rPr>
        <w:t>hydroxymidazolam to healthy volunteers.</w:t>
      </w:r>
    </w:p>
    <w:p w14:paraId="46D5539E" w14:textId="77777777" w:rsidR="00A554AC" w:rsidRDefault="00A554AC" w:rsidP="004D71BB">
      <w:pPr>
        <w:pStyle w:val="Heading6"/>
      </w:pPr>
      <w:bookmarkStart w:id="60" w:name="_Toc241374287"/>
      <w:bookmarkStart w:id="61" w:name="_Toc272414620"/>
      <w:bookmarkStart w:id="62" w:name="_Toc290888469"/>
      <w:bookmarkStart w:id="63" w:name="_Toc416353665"/>
      <w:bookmarkStart w:id="64" w:name="_Ref491845335"/>
      <w:r>
        <w:t>Bioavailability</w:t>
      </w:r>
      <w:bookmarkEnd w:id="60"/>
      <w:bookmarkEnd w:id="61"/>
      <w:bookmarkEnd w:id="62"/>
      <w:bookmarkEnd w:id="63"/>
      <w:bookmarkEnd w:id="64"/>
    </w:p>
    <w:p w14:paraId="00F5BE34" w14:textId="11094E91" w:rsidR="00A554AC" w:rsidRDefault="00E87DFF" w:rsidP="00E87DFF">
      <w:pPr>
        <w:pStyle w:val="ListBullet"/>
      </w:pPr>
      <w:r>
        <w:t>Oral bioavailability:</w:t>
      </w:r>
    </w:p>
    <w:p w14:paraId="69767E7B" w14:textId="762BFAF2" w:rsidR="00A554AC" w:rsidRDefault="00A554AC" w:rsidP="00E87DFF">
      <w:pPr>
        <w:pStyle w:val="ListBullet2"/>
      </w:pPr>
      <w:r>
        <w:t>Midazolam is rapidly absorbed and undergoes first-pass metabolism resulting in a bioavailability of approximately 40%.</w:t>
      </w:r>
    </w:p>
    <w:p w14:paraId="01DF1186" w14:textId="3C1ADDC6" w:rsidR="00A554AC" w:rsidRDefault="00A554AC" w:rsidP="00E87DFF">
      <w:pPr>
        <w:pStyle w:val="ListBullet"/>
      </w:pPr>
      <w:r>
        <w:t xml:space="preserve">Bioavailability of buccal </w:t>
      </w:r>
      <w:r w:rsidR="00BD2BAB">
        <w:t>Zyamis</w:t>
      </w:r>
      <w:r>
        <w:t xml:space="preserve"> relative to an IV solution </w:t>
      </w:r>
      <w:r w:rsidRPr="00C44FB9">
        <w:rPr>
          <w:i/>
          <w:iCs/>
        </w:rPr>
        <w:t>administered buccally</w:t>
      </w:r>
      <w:r w:rsidR="00E87DFF">
        <w:t xml:space="preserve"> (in a</w:t>
      </w:r>
      <w:r>
        <w:t>dults)</w:t>
      </w:r>
    </w:p>
    <w:p w14:paraId="28F7C063" w14:textId="0F3AF760" w:rsidR="00D415FF" w:rsidRPr="00D415FF" w:rsidRDefault="00A554AC" w:rsidP="00E87DFF">
      <w:pPr>
        <w:pStyle w:val="ListBullet2"/>
      </w:pPr>
      <w:r w:rsidRPr="00D415FF">
        <w:lastRenderedPageBreak/>
        <w:t xml:space="preserve">The sponsor has submitted </w:t>
      </w:r>
      <w:r w:rsidR="0017219B" w:rsidRPr="00D415FF">
        <w:t>two</w:t>
      </w:r>
      <w:r w:rsidRPr="00D415FF">
        <w:t xml:space="preserve"> </w:t>
      </w:r>
      <w:r w:rsidR="00D712CF">
        <w:t>studies</w:t>
      </w:r>
      <w:r w:rsidRPr="00D415FF">
        <w:t xml:space="preserve"> in adults</w:t>
      </w:r>
      <w:r w:rsidR="00D712CF">
        <w:t xml:space="preserve"> (Study </w:t>
      </w:r>
      <w:r w:rsidR="00D712CF" w:rsidRPr="00DC1144">
        <w:t>SPL001</w:t>
      </w:r>
      <w:r w:rsidR="0017219B">
        <w:t xml:space="preserve"> and Study </w:t>
      </w:r>
      <w:r w:rsidR="00D712CF">
        <w:t>SPL002)</w:t>
      </w:r>
      <w:r w:rsidRPr="00D415FF">
        <w:t xml:space="preserve">, attempting to show bioequivalence of </w:t>
      </w:r>
      <w:r w:rsidR="00BD2BAB">
        <w:t>Zyamis</w:t>
      </w:r>
      <w:r w:rsidR="00D712CF">
        <w:t xml:space="preserve"> (midazolam via </w:t>
      </w:r>
      <w:r w:rsidRPr="00D415FF">
        <w:t>buccal formulation/buccal route administrat</w:t>
      </w:r>
      <w:r w:rsidR="00D712CF">
        <w:t xml:space="preserve">ion) and Hypnovel (a midazolam </w:t>
      </w:r>
      <w:r w:rsidRPr="00D415FF">
        <w:t xml:space="preserve">IV and IM </w:t>
      </w:r>
      <w:r w:rsidR="00D712CF">
        <w:t xml:space="preserve">formulation, via </w:t>
      </w:r>
      <w:r w:rsidRPr="00D415FF">
        <w:t>buccal route administration</w:t>
      </w:r>
      <w:r w:rsidR="00D712CF">
        <w:t>). Note Hypnovel is</w:t>
      </w:r>
      <w:r w:rsidRPr="00D415FF">
        <w:t xml:space="preserve"> un</w:t>
      </w:r>
      <w:r w:rsidR="00D712CF">
        <w:t>registered for the buccal route of administration</w:t>
      </w:r>
      <w:r w:rsidRPr="00D415FF">
        <w:t>.</w:t>
      </w:r>
      <w:r w:rsidR="0017219B" w:rsidRPr="0017219B">
        <w:rPr>
          <w:vertAlign w:val="superscript"/>
        </w:rPr>
        <w:fldChar w:fldCharType="begin"/>
      </w:r>
      <w:r w:rsidR="0017219B" w:rsidRPr="0017219B">
        <w:rPr>
          <w:vertAlign w:val="superscript"/>
        </w:rPr>
        <w:instrText xml:space="preserve"> NOTEREF _Ref109289276 \h </w:instrText>
      </w:r>
      <w:r w:rsidR="0017219B">
        <w:rPr>
          <w:vertAlign w:val="superscript"/>
        </w:rPr>
        <w:instrText xml:space="preserve"> \* MERGEFORMAT </w:instrText>
      </w:r>
      <w:r w:rsidR="0017219B" w:rsidRPr="0017219B">
        <w:rPr>
          <w:vertAlign w:val="superscript"/>
        </w:rPr>
      </w:r>
      <w:r w:rsidR="0017219B" w:rsidRPr="0017219B">
        <w:rPr>
          <w:vertAlign w:val="superscript"/>
        </w:rPr>
        <w:fldChar w:fldCharType="separate"/>
      </w:r>
      <w:r w:rsidR="00AA79CE">
        <w:rPr>
          <w:vertAlign w:val="superscript"/>
        </w:rPr>
        <w:t>14</w:t>
      </w:r>
      <w:r w:rsidR="0017219B" w:rsidRPr="0017219B">
        <w:rPr>
          <w:vertAlign w:val="superscript"/>
        </w:rPr>
        <w:fldChar w:fldCharType="end"/>
      </w:r>
    </w:p>
    <w:p w14:paraId="609D047C" w14:textId="46C3089A" w:rsidR="00D415FF" w:rsidRPr="00D415FF" w:rsidRDefault="00A554AC" w:rsidP="00D712CF">
      <w:pPr>
        <w:pStyle w:val="ListBullet2"/>
      </w:pPr>
      <w:r w:rsidRPr="00D415FF">
        <w:t xml:space="preserve">The first </w:t>
      </w:r>
      <w:r w:rsidR="00D415FF" w:rsidRPr="00D415FF">
        <w:t>Study</w:t>
      </w:r>
      <w:r w:rsidRPr="00D415FF">
        <w:t xml:space="preserve"> SPL001 (C12023) failed to show bioequivalence and was described as underpowered.</w:t>
      </w:r>
    </w:p>
    <w:p w14:paraId="19C887C3" w14:textId="432DC36D" w:rsidR="00A554AC" w:rsidRPr="00D415FF" w:rsidRDefault="00A554AC" w:rsidP="00D712CF">
      <w:pPr>
        <w:pStyle w:val="ListBullet2"/>
      </w:pPr>
      <w:r w:rsidRPr="00D415FF">
        <w:t xml:space="preserve">The second </w:t>
      </w:r>
      <w:r w:rsidR="00D415FF" w:rsidRPr="00D415FF">
        <w:t>Study</w:t>
      </w:r>
      <w:r w:rsidRPr="00D415FF">
        <w:t xml:space="preserve"> SPL002 (C13011) did show bioequivalence to the registered IV/IM preparation of midazolam.</w:t>
      </w:r>
    </w:p>
    <w:p w14:paraId="17245E8B" w14:textId="1DB81384" w:rsidR="00A554AC" w:rsidRPr="00D415FF" w:rsidRDefault="00A554AC" w:rsidP="00D712CF">
      <w:pPr>
        <w:pStyle w:val="ListBullet"/>
      </w:pPr>
      <w:r w:rsidRPr="00D415FF">
        <w:t>Apart</w:t>
      </w:r>
      <w:r w:rsidR="00D712CF">
        <w:t xml:space="preserve"> from being conducted in adults</w:t>
      </w:r>
      <w:r w:rsidRPr="00D415FF">
        <w:t xml:space="preserve">, the sponsor’s strategies of establishing comparative pharmacokinetic parameters (relative bioavailability, bioequivalence) between </w:t>
      </w:r>
      <w:r w:rsidR="00BD2BAB">
        <w:t>Zyamis</w:t>
      </w:r>
      <w:r w:rsidR="00D712CF">
        <w:t xml:space="preserve"> (buccal formulation of m</w:t>
      </w:r>
      <w:r w:rsidR="00D712CF" w:rsidRPr="00D415FF">
        <w:t>idazolam</w:t>
      </w:r>
      <w:r w:rsidR="00D712CF">
        <w:t>)</w:t>
      </w:r>
      <w:r w:rsidRPr="00D415FF">
        <w:t xml:space="preserve"> and </w:t>
      </w:r>
      <w:r w:rsidR="00D712CF">
        <w:t>Hypnovel (</w:t>
      </w:r>
      <w:r w:rsidRPr="00D415FF">
        <w:t xml:space="preserve">parenteral </w:t>
      </w:r>
      <w:r w:rsidR="00D712CF">
        <w:t>formulation of midazolam,</w:t>
      </w:r>
      <w:r w:rsidRPr="00D415FF">
        <w:t xml:space="preserve"> not registered for the</w:t>
      </w:r>
      <w:r w:rsidR="00D712CF">
        <w:t xml:space="preserve"> buccal route of administration)</w:t>
      </w:r>
      <w:r w:rsidRPr="00D415FF">
        <w:t xml:space="preserve"> appear crude in the sense, </w:t>
      </w:r>
      <w:bookmarkStart w:id="65" w:name="_Hlk129701491"/>
      <w:r w:rsidRPr="00D415FF">
        <w:t>that an IV midazolam formulation was administered</w:t>
      </w:r>
      <w:r w:rsidR="00DF2977">
        <w:t xml:space="preserve"> buccally</w:t>
      </w:r>
      <w:r w:rsidR="00D415FF" w:rsidRPr="00D415FF">
        <w:t>.</w:t>
      </w:r>
    </w:p>
    <w:bookmarkEnd w:id="65"/>
    <w:p w14:paraId="1915C758" w14:textId="6239A122" w:rsidR="00A554AC" w:rsidRDefault="00A554AC" w:rsidP="00D415FF">
      <w:pPr>
        <w:pStyle w:val="Heading6"/>
      </w:pPr>
      <w:r>
        <w:t xml:space="preserve">Bioequivalence of different </w:t>
      </w:r>
      <w:r w:rsidR="00D712CF">
        <w:t>dosage forms and strengths (in p</w:t>
      </w:r>
      <w:r>
        <w:t>aediatrics)</w:t>
      </w:r>
    </w:p>
    <w:p w14:paraId="0BF64884" w14:textId="2B43E3F9" w:rsidR="00D75EC9" w:rsidRDefault="005C3108" w:rsidP="00D415FF">
      <w:pPr>
        <w:rPr>
          <w:lang w:eastAsia="ja-JP"/>
        </w:rPr>
      </w:pPr>
      <w:r>
        <w:rPr>
          <w:lang w:eastAsia="ja-JP"/>
        </w:rPr>
        <w:t>In a s</w:t>
      </w:r>
      <w:r w:rsidR="00A554AC" w:rsidRPr="00D415FF">
        <w:rPr>
          <w:lang w:eastAsia="ja-JP"/>
        </w:rPr>
        <w:t>imulation</w:t>
      </w:r>
      <w:r>
        <w:rPr>
          <w:lang w:eastAsia="ja-JP"/>
        </w:rPr>
        <w:t xml:space="preserve"> of</w:t>
      </w:r>
      <w:r w:rsidR="00A554AC" w:rsidRPr="00D415FF">
        <w:rPr>
          <w:lang w:eastAsia="ja-JP"/>
        </w:rPr>
        <w:t xml:space="preserve"> paediatric </w:t>
      </w:r>
      <w:r w:rsidR="00D415FF" w:rsidRPr="00D415FF">
        <w:rPr>
          <w:lang w:eastAsia="ja-JP"/>
        </w:rPr>
        <w:t>b</w:t>
      </w:r>
      <w:r w:rsidR="00A554AC" w:rsidRPr="00D415FF">
        <w:rPr>
          <w:lang w:eastAsia="ja-JP"/>
        </w:rPr>
        <w:t>uccal v</w:t>
      </w:r>
      <w:r w:rsidR="00D415FF" w:rsidRPr="00D415FF">
        <w:rPr>
          <w:lang w:eastAsia="ja-JP"/>
        </w:rPr>
        <w:t>ersus</w:t>
      </w:r>
      <w:r w:rsidR="0017219B">
        <w:rPr>
          <w:lang w:eastAsia="ja-JP"/>
        </w:rPr>
        <w:t xml:space="preserve"> adults observed intramuscular dosing</w:t>
      </w:r>
      <w:r>
        <w:rPr>
          <w:lang w:eastAsia="ja-JP"/>
        </w:rPr>
        <w:t>,</w:t>
      </w:r>
      <w:r w:rsidR="00A554AC" w:rsidRPr="00D415FF">
        <w:rPr>
          <w:lang w:eastAsia="ja-JP"/>
        </w:rPr>
        <w:t xml:space="preserve"> </w:t>
      </w:r>
      <w:r>
        <w:rPr>
          <w:lang w:eastAsia="ja-JP"/>
        </w:rPr>
        <w:t>t</w:t>
      </w:r>
      <w:r w:rsidR="00A554AC" w:rsidRPr="00D415FF">
        <w:rPr>
          <w:lang w:eastAsia="ja-JP"/>
        </w:rPr>
        <w:t xml:space="preserve">he sponsor after creating a model of </w:t>
      </w:r>
      <w:r w:rsidR="00B70727">
        <w:rPr>
          <w:lang w:eastAsia="ja-JP"/>
        </w:rPr>
        <w:t>the pharmacokinetics</w:t>
      </w:r>
      <w:r w:rsidR="00A554AC" w:rsidRPr="00D415FF">
        <w:rPr>
          <w:lang w:eastAsia="ja-JP"/>
        </w:rPr>
        <w:t xml:space="preserve"> of paediatric buccal therapy using </w:t>
      </w:r>
      <w:r w:rsidR="001A02D6">
        <w:rPr>
          <w:lang w:eastAsia="ja-JP"/>
        </w:rPr>
        <w:t xml:space="preserve">a population pharmacokinetic </w:t>
      </w:r>
      <w:r w:rsidR="00A554AC" w:rsidRPr="00D415FF">
        <w:rPr>
          <w:lang w:eastAsia="ja-JP"/>
        </w:rPr>
        <w:t xml:space="preserve">programme, referencing </w:t>
      </w:r>
      <w:r w:rsidR="00A554AC" w:rsidRPr="00CD386E">
        <w:rPr>
          <w:lang w:eastAsia="ja-JP"/>
        </w:rPr>
        <w:t>literature data and undertaking various simulations claimed that:</w:t>
      </w:r>
    </w:p>
    <w:p w14:paraId="298DBD15" w14:textId="0893CBF2" w:rsidR="00A554AC" w:rsidRPr="00CD386E" w:rsidRDefault="00A554AC" w:rsidP="00CD386E">
      <w:pPr>
        <w:pStyle w:val="ListBullet"/>
      </w:pPr>
      <w:r w:rsidRPr="00CD386E">
        <w:t>Simulated midazolam exposures (</w:t>
      </w:r>
      <w:r w:rsidR="00D415FF" w:rsidRPr="00CD386E">
        <w:t>area under the concentration versus time curve (</w:t>
      </w:r>
      <w:r w:rsidRPr="00CD386E">
        <w:t>AUC</w:t>
      </w:r>
      <w:r w:rsidR="00D415FF" w:rsidRPr="00CD386E">
        <w:t>)</w:t>
      </w:r>
      <w:r w:rsidRPr="00CD386E">
        <w:t>) in children using fixed dosing after buccal administration were similar to adults receiving 10</w:t>
      </w:r>
      <w:r w:rsidR="00D415FF" w:rsidRPr="00CD386E">
        <w:t xml:space="preserve"> </w:t>
      </w:r>
      <w:r w:rsidR="006E6861">
        <w:t xml:space="preserve">mg (approximately </w:t>
      </w:r>
      <w:r w:rsidRPr="00CD386E">
        <w:t xml:space="preserve">0.18 mg/kg) after </w:t>
      </w:r>
      <w:r w:rsidR="00D415FF" w:rsidRPr="00CD386E">
        <w:t>IM</w:t>
      </w:r>
      <w:r w:rsidR="00CD386E">
        <w:t xml:space="preserve"> administration.</w:t>
      </w:r>
      <w:r w:rsidR="00CD386E">
        <w:rPr>
          <w:rStyle w:val="FootnoteReference"/>
        </w:rPr>
        <w:footnoteReference w:id="24"/>
      </w:r>
    </w:p>
    <w:p w14:paraId="239496E7" w14:textId="7BA7B62C" w:rsidR="00A554AC" w:rsidRPr="00B70727" w:rsidRDefault="00A554AC" w:rsidP="00B70727">
      <w:pPr>
        <w:pStyle w:val="ListBullet"/>
      </w:pPr>
      <w:r w:rsidRPr="00CD386E">
        <w:t>This intramuscular midazolam dose was</w:t>
      </w:r>
      <w:r w:rsidR="006E6861">
        <w:t xml:space="preserve"> effective in the treatment of around 450 </w:t>
      </w:r>
      <w:r w:rsidRPr="00CD386E">
        <w:t>adults and ch</w:t>
      </w:r>
      <w:r w:rsidR="006E6861">
        <w:t>ildren with status epilepticus.</w:t>
      </w:r>
      <w:r w:rsidR="006E6861">
        <w:rPr>
          <w:rStyle w:val="FootnoteReference"/>
        </w:rPr>
        <w:footnoteReference w:id="25"/>
      </w:r>
    </w:p>
    <w:p w14:paraId="324DB25D" w14:textId="3935D2F3" w:rsidR="00B70727" w:rsidRDefault="00B70727" w:rsidP="00B70727">
      <w:pPr>
        <w:pStyle w:val="TableTitle"/>
      </w:pPr>
      <w:bookmarkStart w:id="66" w:name="_Ref109293356"/>
      <w:r>
        <w:t xml:space="preserve">Table </w:t>
      </w:r>
      <w:fldSimple w:instr=" SEQ Table \* ARABIC ">
        <w:r w:rsidR="00AA79CE">
          <w:rPr>
            <w:noProof/>
          </w:rPr>
          <w:t>2</w:t>
        </w:r>
      </w:fldSimple>
      <w:bookmarkEnd w:id="66"/>
      <w:r>
        <w:t xml:space="preserve">: </w:t>
      </w:r>
      <w:r w:rsidRPr="009E3810">
        <w:t>Comparison of observed buccal and intramuscular (in adults) versus paediatric simulated buccal mean exposures following 10</w:t>
      </w:r>
      <w:r>
        <w:t xml:space="preserve"> </w:t>
      </w:r>
      <w:r w:rsidRPr="009E3810">
        <w:t>mg midazolam</w:t>
      </w:r>
    </w:p>
    <w:tbl>
      <w:tblPr>
        <w:tblStyle w:val="TableTGAblue"/>
        <w:tblW w:w="8450" w:type="dxa"/>
        <w:tblLook w:val="04A0" w:firstRow="1" w:lastRow="0" w:firstColumn="1" w:lastColumn="0" w:noHBand="0" w:noVBand="1"/>
      </w:tblPr>
      <w:tblGrid>
        <w:gridCol w:w="1610"/>
        <w:gridCol w:w="1350"/>
        <w:gridCol w:w="1440"/>
        <w:gridCol w:w="1440"/>
        <w:gridCol w:w="1350"/>
        <w:gridCol w:w="1260"/>
      </w:tblGrid>
      <w:tr w:rsidR="006E6861" w:rsidRPr="006E6861" w14:paraId="2B1CA2A2" w14:textId="77777777" w:rsidTr="00C44DEB">
        <w:trPr>
          <w:cnfStyle w:val="100000000000" w:firstRow="1" w:lastRow="0" w:firstColumn="0" w:lastColumn="0" w:oddVBand="0" w:evenVBand="0" w:oddHBand="0" w:evenHBand="0" w:firstRowFirstColumn="0" w:firstRowLastColumn="0" w:lastRowFirstColumn="0" w:lastRowLastColumn="0"/>
        </w:trPr>
        <w:tc>
          <w:tcPr>
            <w:tcW w:w="1610" w:type="dxa"/>
            <w:hideMark/>
          </w:tcPr>
          <w:p w14:paraId="166DF310" w14:textId="77777777" w:rsidR="00A554AC" w:rsidRPr="006E6861" w:rsidRDefault="00A554AC" w:rsidP="006E6861">
            <w:pPr>
              <w:ind w:left="0" w:right="0"/>
            </w:pPr>
            <w:r w:rsidRPr="006E6861">
              <w:t>Source</w:t>
            </w:r>
          </w:p>
        </w:tc>
        <w:tc>
          <w:tcPr>
            <w:tcW w:w="1350" w:type="dxa"/>
            <w:hideMark/>
          </w:tcPr>
          <w:p w14:paraId="131269CF" w14:textId="77777777" w:rsidR="00A554AC" w:rsidRPr="006E6861" w:rsidRDefault="00A554AC" w:rsidP="006E6861">
            <w:pPr>
              <w:ind w:left="0" w:right="0"/>
            </w:pPr>
            <w:r w:rsidRPr="006E6861">
              <w:t>C</w:t>
            </w:r>
            <w:r w:rsidRPr="006E6861">
              <w:rPr>
                <w:vertAlign w:val="subscript"/>
              </w:rPr>
              <w:t>max</w:t>
            </w:r>
            <w:r w:rsidRPr="006E6861">
              <w:t xml:space="preserve"> </w:t>
            </w:r>
            <w:r w:rsidRPr="006E6861">
              <w:br/>
              <w:t>(ng/mL)</w:t>
            </w:r>
          </w:p>
        </w:tc>
        <w:tc>
          <w:tcPr>
            <w:tcW w:w="1440" w:type="dxa"/>
            <w:hideMark/>
          </w:tcPr>
          <w:p w14:paraId="4471D821" w14:textId="77777777" w:rsidR="00A554AC" w:rsidRPr="006E6861" w:rsidRDefault="00A554AC" w:rsidP="006E6861">
            <w:pPr>
              <w:ind w:left="0" w:right="0"/>
            </w:pPr>
            <w:r w:rsidRPr="006E6861">
              <w:t>AUC</w:t>
            </w:r>
            <w:r w:rsidRPr="006E6861">
              <w:rPr>
                <w:vertAlign w:val="subscript"/>
              </w:rPr>
              <w:t>last</w:t>
            </w:r>
            <w:r w:rsidRPr="006E6861">
              <w:t xml:space="preserve"> (h•ng/mL)</w:t>
            </w:r>
          </w:p>
        </w:tc>
        <w:tc>
          <w:tcPr>
            <w:tcW w:w="1440" w:type="dxa"/>
            <w:hideMark/>
          </w:tcPr>
          <w:p w14:paraId="5E7D5117" w14:textId="77777777" w:rsidR="00A554AC" w:rsidRPr="006E6861" w:rsidRDefault="00A554AC" w:rsidP="006E6861">
            <w:pPr>
              <w:ind w:left="0" w:right="0"/>
            </w:pPr>
            <w:r w:rsidRPr="006E6861">
              <w:t>AUC</w:t>
            </w:r>
            <w:r w:rsidRPr="006E6861">
              <w:rPr>
                <w:vertAlign w:val="subscript"/>
              </w:rPr>
              <w:t>inf</w:t>
            </w:r>
            <w:r w:rsidRPr="006E6861">
              <w:t xml:space="preserve"> (h•ng/mL)</w:t>
            </w:r>
          </w:p>
        </w:tc>
        <w:tc>
          <w:tcPr>
            <w:tcW w:w="1350" w:type="dxa"/>
            <w:hideMark/>
          </w:tcPr>
          <w:p w14:paraId="089CB6CD" w14:textId="1E4FEFCA" w:rsidR="00A554AC" w:rsidRPr="006E6861" w:rsidRDefault="00A554AC" w:rsidP="006E6861">
            <w:pPr>
              <w:ind w:left="0" w:right="0"/>
            </w:pPr>
            <w:r w:rsidRPr="006E6861">
              <w:t>T</w:t>
            </w:r>
            <w:r w:rsidRPr="006E6861">
              <w:rPr>
                <w:vertAlign w:val="subscript"/>
              </w:rPr>
              <w:t>max</w:t>
            </w:r>
            <w:r w:rsidRPr="006E6861">
              <w:t xml:space="preserve"> </w:t>
            </w:r>
            <w:r w:rsidRPr="006E6861">
              <w:br/>
              <w:t>(h)</w:t>
            </w:r>
          </w:p>
        </w:tc>
        <w:tc>
          <w:tcPr>
            <w:tcW w:w="1260" w:type="dxa"/>
            <w:hideMark/>
          </w:tcPr>
          <w:p w14:paraId="7F1D88F9" w14:textId="4E19D840" w:rsidR="00A554AC" w:rsidRPr="006E6861" w:rsidRDefault="00C44DEB" w:rsidP="006E6861">
            <w:pPr>
              <w:ind w:left="0" w:right="0"/>
            </w:pPr>
            <w:r>
              <w:t>Half-l</w:t>
            </w:r>
            <w:r w:rsidR="00A554AC" w:rsidRPr="006E6861">
              <w:t>ife (h)</w:t>
            </w:r>
          </w:p>
        </w:tc>
      </w:tr>
      <w:tr w:rsidR="006E6861" w:rsidRPr="006E6861" w14:paraId="6CDBA307" w14:textId="77777777" w:rsidTr="00C44DEB">
        <w:tc>
          <w:tcPr>
            <w:tcW w:w="1610" w:type="dxa"/>
            <w:hideMark/>
          </w:tcPr>
          <w:p w14:paraId="0497E32B" w14:textId="3A863FEB" w:rsidR="00A554AC" w:rsidRPr="006E6861" w:rsidRDefault="00A554AC" w:rsidP="006E6861">
            <w:pPr>
              <w:ind w:left="0" w:right="0"/>
              <w:rPr>
                <w:sz w:val="20"/>
              </w:rPr>
            </w:pPr>
            <w:r w:rsidRPr="006E6861">
              <w:rPr>
                <w:sz w:val="20"/>
              </w:rPr>
              <w:t>SPL-001</w:t>
            </w:r>
            <w:r w:rsidRPr="006E6861">
              <w:rPr>
                <w:sz w:val="20"/>
              </w:rPr>
              <w:br/>
              <w:t>Buccal Adult</w:t>
            </w:r>
          </w:p>
        </w:tc>
        <w:tc>
          <w:tcPr>
            <w:tcW w:w="1350" w:type="dxa"/>
            <w:hideMark/>
          </w:tcPr>
          <w:p w14:paraId="51F29295" w14:textId="77777777" w:rsidR="00A554AC" w:rsidRPr="006E6861" w:rsidRDefault="00A554AC" w:rsidP="006E6861">
            <w:pPr>
              <w:ind w:left="0" w:right="0"/>
              <w:rPr>
                <w:sz w:val="20"/>
              </w:rPr>
            </w:pPr>
            <w:r w:rsidRPr="006E6861">
              <w:rPr>
                <w:sz w:val="20"/>
              </w:rPr>
              <w:t>63.94 (19.0)</w:t>
            </w:r>
          </w:p>
        </w:tc>
        <w:tc>
          <w:tcPr>
            <w:tcW w:w="1440" w:type="dxa"/>
            <w:hideMark/>
          </w:tcPr>
          <w:p w14:paraId="61EE2D2D" w14:textId="77777777" w:rsidR="00A554AC" w:rsidRPr="006E6861" w:rsidRDefault="00A554AC" w:rsidP="006E6861">
            <w:pPr>
              <w:ind w:left="0" w:right="0"/>
              <w:rPr>
                <w:sz w:val="20"/>
              </w:rPr>
            </w:pPr>
            <w:r w:rsidRPr="006E6861">
              <w:rPr>
                <w:sz w:val="20"/>
              </w:rPr>
              <w:t>201.07 (52.8)</w:t>
            </w:r>
          </w:p>
        </w:tc>
        <w:tc>
          <w:tcPr>
            <w:tcW w:w="1440" w:type="dxa"/>
            <w:hideMark/>
          </w:tcPr>
          <w:p w14:paraId="09480964" w14:textId="77777777" w:rsidR="00A554AC" w:rsidRPr="006E6861" w:rsidRDefault="00A554AC" w:rsidP="006E6861">
            <w:pPr>
              <w:ind w:left="0" w:right="0"/>
              <w:rPr>
                <w:sz w:val="20"/>
              </w:rPr>
            </w:pPr>
            <w:r w:rsidRPr="006E6861">
              <w:rPr>
                <w:sz w:val="20"/>
              </w:rPr>
              <w:t>233.18 (64.8)</w:t>
            </w:r>
          </w:p>
        </w:tc>
        <w:tc>
          <w:tcPr>
            <w:tcW w:w="1350" w:type="dxa"/>
            <w:hideMark/>
          </w:tcPr>
          <w:p w14:paraId="2B9D0657" w14:textId="30E0491A" w:rsidR="00A554AC" w:rsidRPr="006E6861" w:rsidRDefault="006E6861" w:rsidP="006E6861">
            <w:pPr>
              <w:ind w:left="0" w:right="0"/>
              <w:rPr>
                <w:sz w:val="20"/>
              </w:rPr>
            </w:pPr>
            <w:r>
              <w:rPr>
                <w:sz w:val="20"/>
              </w:rPr>
              <w:t>0.67</w:t>
            </w:r>
            <w:r>
              <w:rPr>
                <w:sz w:val="20"/>
              </w:rPr>
              <w:br/>
              <w:t xml:space="preserve">(0.33, </w:t>
            </w:r>
            <w:r w:rsidR="00A554AC" w:rsidRPr="006E6861">
              <w:rPr>
                <w:sz w:val="20"/>
              </w:rPr>
              <w:t>2.00)</w:t>
            </w:r>
          </w:p>
        </w:tc>
        <w:tc>
          <w:tcPr>
            <w:tcW w:w="1260" w:type="dxa"/>
            <w:hideMark/>
          </w:tcPr>
          <w:p w14:paraId="4208F63F" w14:textId="77777777" w:rsidR="00A554AC" w:rsidRPr="006E6861" w:rsidRDefault="00A554AC" w:rsidP="006E6861">
            <w:pPr>
              <w:ind w:left="0" w:right="0"/>
              <w:rPr>
                <w:sz w:val="20"/>
              </w:rPr>
            </w:pPr>
            <w:r w:rsidRPr="006E6861">
              <w:rPr>
                <w:sz w:val="20"/>
              </w:rPr>
              <w:t>2.72 (0.68)</w:t>
            </w:r>
          </w:p>
        </w:tc>
      </w:tr>
      <w:tr w:rsidR="006E6861" w:rsidRPr="006E6861" w14:paraId="002B9A53" w14:textId="77777777" w:rsidTr="00C44DEB">
        <w:tc>
          <w:tcPr>
            <w:tcW w:w="1610" w:type="dxa"/>
            <w:hideMark/>
          </w:tcPr>
          <w:p w14:paraId="410A4312" w14:textId="6F93963D" w:rsidR="00A554AC" w:rsidRPr="006E6861" w:rsidRDefault="00A554AC" w:rsidP="006E6861">
            <w:pPr>
              <w:ind w:left="0" w:right="0"/>
              <w:rPr>
                <w:sz w:val="20"/>
              </w:rPr>
            </w:pPr>
            <w:r w:rsidRPr="006E6861">
              <w:rPr>
                <w:sz w:val="20"/>
              </w:rPr>
              <w:t>SPL-002</w:t>
            </w:r>
            <w:r w:rsidRPr="006E6861">
              <w:rPr>
                <w:sz w:val="20"/>
              </w:rPr>
              <w:br/>
              <w:t>Buccal Adult</w:t>
            </w:r>
          </w:p>
        </w:tc>
        <w:tc>
          <w:tcPr>
            <w:tcW w:w="1350" w:type="dxa"/>
            <w:hideMark/>
          </w:tcPr>
          <w:p w14:paraId="41BBE95F" w14:textId="77777777" w:rsidR="00A554AC" w:rsidRPr="006E6861" w:rsidRDefault="00A554AC" w:rsidP="006E6861">
            <w:pPr>
              <w:ind w:left="0" w:right="0"/>
              <w:rPr>
                <w:sz w:val="20"/>
              </w:rPr>
            </w:pPr>
            <w:r w:rsidRPr="006E6861">
              <w:rPr>
                <w:sz w:val="20"/>
              </w:rPr>
              <w:t>60.2 (33.4)</w:t>
            </w:r>
          </w:p>
        </w:tc>
        <w:tc>
          <w:tcPr>
            <w:tcW w:w="1440" w:type="dxa"/>
            <w:hideMark/>
          </w:tcPr>
          <w:p w14:paraId="60F4C790" w14:textId="77777777" w:rsidR="00A554AC" w:rsidRPr="006E6861" w:rsidRDefault="00A554AC" w:rsidP="006E6861">
            <w:pPr>
              <w:ind w:left="0" w:right="0"/>
              <w:rPr>
                <w:sz w:val="20"/>
              </w:rPr>
            </w:pPr>
            <w:r w:rsidRPr="006E6861">
              <w:rPr>
                <w:sz w:val="20"/>
              </w:rPr>
              <w:t>236.2 (26.8)</w:t>
            </w:r>
          </w:p>
        </w:tc>
        <w:tc>
          <w:tcPr>
            <w:tcW w:w="1440" w:type="dxa"/>
            <w:hideMark/>
          </w:tcPr>
          <w:p w14:paraId="2998C84A" w14:textId="77777777" w:rsidR="00A554AC" w:rsidRPr="006E6861" w:rsidRDefault="00A554AC" w:rsidP="006E6861">
            <w:pPr>
              <w:ind w:left="0" w:right="0"/>
              <w:rPr>
                <w:sz w:val="20"/>
              </w:rPr>
            </w:pPr>
            <w:r w:rsidRPr="006E6861">
              <w:rPr>
                <w:sz w:val="20"/>
              </w:rPr>
              <w:t>244.6 (28.1)</w:t>
            </w:r>
          </w:p>
        </w:tc>
        <w:tc>
          <w:tcPr>
            <w:tcW w:w="1350" w:type="dxa"/>
            <w:hideMark/>
          </w:tcPr>
          <w:p w14:paraId="654884B7" w14:textId="45A0F06E" w:rsidR="00A554AC" w:rsidRPr="006E6861" w:rsidRDefault="006E6861" w:rsidP="006E6861">
            <w:pPr>
              <w:ind w:left="0" w:right="0"/>
              <w:rPr>
                <w:sz w:val="20"/>
              </w:rPr>
            </w:pPr>
            <w:r>
              <w:rPr>
                <w:sz w:val="20"/>
              </w:rPr>
              <w:t>0.67</w:t>
            </w:r>
            <w:r>
              <w:rPr>
                <w:sz w:val="20"/>
              </w:rPr>
              <w:br/>
            </w:r>
            <w:r w:rsidR="00A554AC" w:rsidRPr="006E6861">
              <w:rPr>
                <w:sz w:val="20"/>
              </w:rPr>
              <w:t>(0.25, 4.00)</w:t>
            </w:r>
          </w:p>
        </w:tc>
        <w:tc>
          <w:tcPr>
            <w:tcW w:w="1260" w:type="dxa"/>
            <w:hideMark/>
          </w:tcPr>
          <w:p w14:paraId="2A184569" w14:textId="77777777" w:rsidR="00A554AC" w:rsidRPr="006E6861" w:rsidRDefault="00A554AC" w:rsidP="006E6861">
            <w:pPr>
              <w:ind w:left="0" w:right="0"/>
              <w:rPr>
                <w:sz w:val="20"/>
              </w:rPr>
            </w:pPr>
            <w:r w:rsidRPr="006E6861">
              <w:rPr>
                <w:sz w:val="20"/>
              </w:rPr>
              <w:t>5.62 (30.9)</w:t>
            </w:r>
          </w:p>
        </w:tc>
      </w:tr>
      <w:tr w:rsidR="006E6861" w:rsidRPr="006E6861" w14:paraId="1B57E2DE" w14:textId="77777777" w:rsidTr="00C44DEB">
        <w:tc>
          <w:tcPr>
            <w:tcW w:w="1610" w:type="dxa"/>
            <w:hideMark/>
          </w:tcPr>
          <w:p w14:paraId="23CC1914" w14:textId="14C7B0B8" w:rsidR="00A554AC" w:rsidRPr="007E529A" w:rsidRDefault="00CD386E" w:rsidP="006E6861">
            <w:pPr>
              <w:ind w:left="0" w:right="0"/>
              <w:rPr>
                <w:sz w:val="20"/>
                <w:lang w:val="fr-FR"/>
              </w:rPr>
            </w:pPr>
            <w:r w:rsidRPr="007E529A">
              <w:rPr>
                <w:sz w:val="20"/>
                <w:lang w:val="fr-FR"/>
              </w:rPr>
              <w:t>Reichard et al.</w:t>
            </w:r>
            <w:r w:rsidRPr="007E529A">
              <w:rPr>
                <w:sz w:val="20"/>
                <w:vertAlign w:val="superscript"/>
                <w:lang w:val="fr-FR"/>
              </w:rPr>
              <w:t>a</w:t>
            </w:r>
            <w:r w:rsidR="00A554AC" w:rsidRPr="007E529A">
              <w:rPr>
                <w:sz w:val="20"/>
                <w:lang w:val="fr-FR"/>
              </w:rPr>
              <w:br/>
              <w:t>IM Adult</w:t>
            </w:r>
          </w:p>
        </w:tc>
        <w:tc>
          <w:tcPr>
            <w:tcW w:w="1350" w:type="dxa"/>
            <w:hideMark/>
          </w:tcPr>
          <w:p w14:paraId="67EACD36" w14:textId="717E1B73" w:rsidR="00A554AC" w:rsidRPr="006E6861" w:rsidRDefault="00A554AC" w:rsidP="006E6861">
            <w:pPr>
              <w:ind w:left="0" w:right="0"/>
              <w:rPr>
                <w:sz w:val="20"/>
              </w:rPr>
            </w:pPr>
            <w:r w:rsidRPr="006E6861">
              <w:rPr>
                <w:sz w:val="20"/>
              </w:rPr>
              <w:t>114 (18)</w:t>
            </w:r>
          </w:p>
        </w:tc>
        <w:tc>
          <w:tcPr>
            <w:tcW w:w="1440" w:type="dxa"/>
            <w:hideMark/>
          </w:tcPr>
          <w:p w14:paraId="35CF7AA4" w14:textId="3F737D0D" w:rsidR="00A554AC" w:rsidRPr="006E6861" w:rsidRDefault="00A554AC" w:rsidP="006E6861">
            <w:pPr>
              <w:ind w:left="0" w:right="0"/>
              <w:rPr>
                <w:sz w:val="20"/>
              </w:rPr>
            </w:pPr>
            <w:r w:rsidRPr="006E6861">
              <w:rPr>
                <w:sz w:val="20"/>
              </w:rPr>
              <w:t>388 (25.6)</w:t>
            </w:r>
          </w:p>
        </w:tc>
        <w:tc>
          <w:tcPr>
            <w:tcW w:w="1440" w:type="dxa"/>
            <w:hideMark/>
          </w:tcPr>
          <w:p w14:paraId="73A0C03D" w14:textId="378DDC1A" w:rsidR="00A554AC" w:rsidRPr="006E6861" w:rsidRDefault="00A554AC" w:rsidP="006E6861">
            <w:pPr>
              <w:ind w:left="0" w:right="0"/>
              <w:rPr>
                <w:sz w:val="20"/>
              </w:rPr>
            </w:pPr>
            <w:r w:rsidRPr="006E6861">
              <w:rPr>
                <w:sz w:val="20"/>
              </w:rPr>
              <w:t>395.1 (24.1)</w:t>
            </w:r>
          </w:p>
        </w:tc>
        <w:tc>
          <w:tcPr>
            <w:tcW w:w="1350" w:type="dxa"/>
            <w:hideMark/>
          </w:tcPr>
          <w:p w14:paraId="78FBDC1E" w14:textId="77704311" w:rsidR="00A554AC" w:rsidRPr="006E6861" w:rsidRDefault="006E6861" w:rsidP="006E6861">
            <w:pPr>
              <w:ind w:left="0" w:right="0"/>
              <w:rPr>
                <w:sz w:val="20"/>
              </w:rPr>
            </w:pPr>
            <w:r>
              <w:rPr>
                <w:sz w:val="20"/>
              </w:rPr>
              <w:t>0.5</w:t>
            </w:r>
            <w:r>
              <w:rPr>
                <w:sz w:val="20"/>
              </w:rPr>
              <w:br/>
            </w:r>
            <w:r w:rsidR="00A554AC" w:rsidRPr="006E6861">
              <w:rPr>
                <w:sz w:val="20"/>
              </w:rPr>
              <w:t>(0.25, 0.50)</w:t>
            </w:r>
          </w:p>
        </w:tc>
        <w:tc>
          <w:tcPr>
            <w:tcW w:w="1260" w:type="dxa"/>
            <w:hideMark/>
          </w:tcPr>
          <w:p w14:paraId="713863C1" w14:textId="77777777" w:rsidR="00A554AC" w:rsidRPr="006E6861" w:rsidRDefault="00A554AC" w:rsidP="006E6861">
            <w:pPr>
              <w:ind w:left="0" w:right="0"/>
              <w:rPr>
                <w:sz w:val="20"/>
              </w:rPr>
            </w:pPr>
            <w:r w:rsidRPr="006E6861">
              <w:rPr>
                <w:sz w:val="20"/>
              </w:rPr>
              <w:t>4.2 (1.9)</w:t>
            </w:r>
          </w:p>
        </w:tc>
      </w:tr>
      <w:tr w:rsidR="006E6861" w:rsidRPr="006E6861" w14:paraId="118284AB" w14:textId="77777777" w:rsidTr="00C44DEB">
        <w:tc>
          <w:tcPr>
            <w:tcW w:w="1610" w:type="dxa"/>
            <w:hideMark/>
          </w:tcPr>
          <w:p w14:paraId="15A72CF4" w14:textId="64D2FE41" w:rsidR="00A554AC" w:rsidRPr="006E6861" w:rsidRDefault="00A554AC" w:rsidP="006E6861">
            <w:pPr>
              <w:ind w:left="0" w:right="0"/>
              <w:rPr>
                <w:sz w:val="20"/>
              </w:rPr>
            </w:pPr>
            <w:r w:rsidRPr="006E6861">
              <w:rPr>
                <w:sz w:val="20"/>
              </w:rPr>
              <w:t>Simulation</w:t>
            </w:r>
          </w:p>
        </w:tc>
        <w:tc>
          <w:tcPr>
            <w:tcW w:w="1350" w:type="dxa"/>
            <w:hideMark/>
          </w:tcPr>
          <w:p w14:paraId="497438FF" w14:textId="77777777" w:rsidR="00A554AC" w:rsidRPr="006E6861" w:rsidRDefault="00A554AC" w:rsidP="006E6861">
            <w:pPr>
              <w:ind w:left="0" w:right="0"/>
              <w:rPr>
                <w:sz w:val="20"/>
              </w:rPr>
            </w:pPr>
            <w:r w:rsidRPr="006E6861">
              <w:rPr>
                <w:sz w:val="20"/>
              </w:rPr>
              <w:t>63 (25)</w:t>
            </w:r>
          </w:p>
        </w:tc>
        <w:tc>
          <w:tcPr>
            <w:tcW w:w="1440" w:type="dxa"/>
          </w:tcPr>
          <w:p w14:paraId="0ABB7CDC" w14:textId="77777777" w:rsidR="00A554AC" w:rsidRPr="006E6861" w:rsidRDefault="00A554AC" w:rsidP="006E6861">
            <w:pPr>
              <w:ind w:left="0" w:right="0"/>
              <w:rPr>
                <w:sz w:val="20"/>
              </w:rPr>
            </w:pPr>
          </w:p>
        </w:tc>
        <w:tc>
          <w:tcPr>
            <w:tcW w:w="1440" w:type="dxa"/>
            <w:hideMark/>
          </w:tcPr>
          <w:p w14:paraId="55B1BED1" w14:textId="77777777" w:rsidR="00A554AC" w:rsidRPr="006E6861" w:rsidRDefault="00A554AC" w:rsidP="006E6861">
            <w:pPr>
              <w:ind w:left="0" w:right="0"/>
              <w:rPr>
                <w:sz w:val="20"/>
              </w:rPr>
            </w:pPr>
            <w:r w:rsidRPr="006E6861">
              <w:rPr>
                <w:sz w:val="20"/>
              </w:rPr>
              <w:t>233 (79)</w:t>
            </w:r>
          </w:p>
        </w:tc>
        <w:tc>
          <w:tcPr>
            <w:tcW w:w="1350" w:type="dxa"/>
          </w:tcPr>
          <w:p w14:paraId="1EF228ED" w14:textId="77777777" w:rsidR="00A554AC" w:rsidRPr="006E6861" w:rsidRDefault="00A554AC" w:rsidP="006E6861">
            <w:pPr>
              <w:ind w:left="0" w:right="0"/>
              <w:rPr>
                <w:sz w:val="20"/>
              </w:rPr>
            </w:pPr>
          </w:p>
        </w:tc>
        <w:tc>
          <w:tcPr>
            <w:tcW w:w="1260" w:type="dxa"/>
          </w:tcPr>
          <w:p w14:paraId="4B18CD23" w14:textId="77777777" w:rsidR="00A554AC" w:rsidRPr="006E6861" w:rsidRDefault="00A554AC" w:rsidP="006E6861">
            <w:pPr>
              <w:ind w:left="0" w:right="0"/>
              <w:rPr>
                <w:sz w:val="20"/>
              </w:rPr>
            </w:pPr>
          </w:p>
        </w:tc>
      </w:tr>
      <w:tr w:rsidR="006E6861" w:rsidRPr="006E6861" w14:paraId="2B08C148" w14:textId="77777777" w:rsidTr="00C44DEB">
        <w:tc>
          <w:tcPr>
            <w:tcW w:w="1610" w:type="dxa"/>
            <w:hideMark/>
          </w:tcPr>
          <w:p w14:paraId="57285C80" w14:textId="77777777" w:rsidR="00A554AC" w:rsidRPr="006E6861" w:rsidRDefault="00A554AC" w:rsidP="006E6861">
            <w:pPr>
              <w:ind w:left="0" w:right="0"/>
              <w:rPr>
                <w:sz w:val="20"/>
              </w:rPr>
            </w:pPr>
            <w:r w:rsidRPr="006E6861">
              <w:rPr>
                <w:sz w:val="20"/>
              </w:rPr>
              <w:t xml:space="preserve">Simulation/IM Adult </w:t>
            </w:r>
          </w:p>
        </w:tc>
        <w:tc>
          <w:tcPr>
            <w:tcW w:w="1350" w:type="dxa"/>
            <w:hideMark/>
          </w:tcPr>
          <w:p w14:paraId="4271862C" w14:textId="77777777" w:rsidR="00A554AC" w:rsidRPr="006E6861" w:rsidRDefault="00A554AC" w:rsidP="006E6861">
            <w:pPr>
              <w:ind w:left="0" w:right="0"/>
              <w:rPr>
                <w:sz w:val="20"/>
              </w:rPr>
            </w:pPr>
            <w:r w:rsidRPr="006E6861">
              <w:rPr>
                <w:sz w:val="20"/>
              </w:rPr>
              <w:t>55.2%</w:t>
            </w:r>
          </w:p>
        </w:tc>
        <w:tc>
          <w:tcPr>
            <w:tcW w:w="1440" w:type="dxa"/>
          </w:tcPr>
          <w:p w14:paraId="18352080" w14:textId="77777777" w:rsidR="00A554AC" w:rsidRPr="006E6861" w:rsidRDefault="00A554AC" w:rsidP="006E6861">
            <w:pPr>
              <w:ind w:left="0" w:right="0"/>
              <w:rPr>
                <w:sz w:val="20"/>
              </w:rPr>
            </w:pPr>
          </w:p>
        </w:tc>
        <w:tc>
          <w:tcPr>
            <w:tcW w:w="1440" w:type="dxa"/>
            <w:hideMark/>
          </w:tcPr>
          <w:p w14:paraId="492C9229" w14:textId="77777777" w:rsidR="00A554AC" w:rsidRPr="006E6861" w:rsidRDefault="00A554AC" w:rsidP="006E6861">
            <w:pPr>
              <w:ind w:left="0" w:right="0"/>
              <w:rPr>
                <w:sz w:val="20"/>
              </w:rPr>
            </w:pPr>
            <w:r w:rsidRPr="006E6861">
              <w:rPr>
                <w:sz w:val="20"/>
              </w:rPr>
              <w:t>59.0%</w:t>
            </w:r>
          </w:p>
        </w:tc>
        <w:tc>
          <w:tcPr>
            <w:tcW w:w="1350" w:type="dxa"/>
          </w:tcPr>
          <w:p w14:paraId="4DF0098F" w14:textId="77777777" w:rsidR="00A554AC" w:rsidRPr="006E6861" w:rsidRDefault="00A554AC" w:rsidP="006E6861">
            <w:pPr>
              <w:ind w:left="0" w:right="0"/>
              <w:rPr>
                <w:sz w:val="20"/>
              </w:rPr>
            </w:pPr>
          </w:p>
        </w:tc>
        <w:tc>
          <w:tcPr>
            <w:tcW w:w="1260" w:type="dxa"/>
          </w:tcPr>
          <w:p w14:paraId="0CAB848D" w14:textId="77777777" w:rsidR="00A554AC" w:rsidRPr="006E6861" w:rsidRDefault="00A554AC" w:rsidP="006E6861">
            <w:pPr>
              <w:ind w:left="0" w:right="0"/>
              <w:rPr>
                <w:sz w:val="20"/>
              </w:rPr>
            </w:pPr>
          </w:p>
        </w:tc>
      </w:tr>
    </w:tbl>
    <w:p w14:paraId="0384E648" w14:textId="1598F63E" w:rsidR="006E6861" w:rsidRPr="006E6861" w:rsidRDefault="006E6861" w:rsidP="006E6861">
      <w:pPr>
        <w:pStyle w:val="TableDescription"/>
      </w:pPr>
      <w:r>
        <w:t>Abbreviations: AUC</w:t>
      </w:r>
      <w:r>
        <w:rPr>
          <w:vertAlign w:val="subscript"/>
        </w:rPr>
        <w:t xml:space="preserve">inf </w:t>
      </w:r>
      <w:r>
        <w:t>=area under the concentration-time curve from time zero to infinity; AUC</w:t>
      </w:r>
      <w:r>
        <w:rPr>
          <w:vertAlign w:val="subscript"/>
        </w:rPr>
        <w:t xml:space="preserve">last </w:t>
      </w:r>
      <w:r>
        <w:t>= area under the concentration-time curve to last quantifiable dose; IM = intramuscular; T</w:t>
      </w:r>
      <w:r>
        <w:rPr>
          <w:vertAlign w:val="subscript"/>
        </w:rPr>
        <w:t xml:space="preserve">max </w:t>
      </w:r>
      <w:r>
        <w:t>= time of maximum concentration.</w:t>
      </w:r>
    </w:p>
    <w:p w14:paraId="780BF9EB" w14:textId="11945B72" w:rsidR="00CD386E" w:rsidRPr="00CD386E" w:rsidRDefault="00CD386E" w:rsidP="00CD386E">
      <w:pPr>
        <w:pStyle w:val="TableDescription"/>
      </w:pPr>
      <w:r w:rsidRPr="00CD386E">
        <w:t>Values given as geometric means (covariance as percentage); T</w:t>
      </w:r>
      <w:r w:rsidRPr="00C44DEB">
        <w:rPr>
          <w:vertAlign w:val="subscript"/>
        </w:rPr>
        <w:t>max</w:t>
      </w:r>
      <w:r w:rsidRPr="00CD386E">
        <w:t xml:space="preserve"> given as median value (range).</w:t>
      </w:r>
    </w:p>
    <w:p w14:paraId="09EBB982" w14:textId="1C56B13E" w:rsidR="00A554AC" w:rsidRPr="00CD386E" w:rsidRDefault="00CD386E" w:rsidP="00CD386E">
      <w:pPr>
        <w:pStyle w:val="TableDescription"/>
      </w:pPr>
      <w:r w:rsidRPr="00CD386E">
        <w:t>a</w:t>
      </w:r>
      <w:r w:rsidR="006E6861">
        <w:t>)</w:t>
      </w:r>
      <w:r w:rsidRPr="00CD386E">
        <w:t xml:space="preserve"> Reichard DW, Atkinson AJ, Hong SP, Burback BL, Corwin MJ, Johnson JD. Human safety and pharmacokinetic study of intramuscular midazolam administered by autoinjector. J Clin Pharmacol. 2010;50(10):1128-1135.</w:t>
      </w:r>
    </w:p>
    <w:p w14:paraId="4F90AB69" w14:textId="2FE322A0" w:rsidR="00C94DA1" w:rsidRDefault="0017219B" w:rsidP="00C94DA1">
      <w:r>
        <w:t>The clinical evaluation also commented that:</w:t>
      </w:r>
    </w:p>
    <w:p w14:paraId="72ECE44D" w14:textId="3A99021C" w:rsidR="00A554AC" w:rsidRPr="00C94DA1" w:rsidRDefault="00C94DA1" w:rsidP="00B70727">
      <w:pPr>
        <w:pStyle w:val="ListBullet"/>
      </w:pPr>
      <w:r>
        <w:t>T</w:t>
      </w:r>
      <w:r w:rsidR="00A554AC" w:rsidRPr="00C94DA1">
        <w:t xml:space="preserve">he results for the </w:t>
      </w:r>
      <w:r w:rsidR="00997BF5">
        <w:t>s</w:t>
      </w:r>
      <w:r w:rsidR="00A554AC" w:rsidRPr="00C94DA1">
        <w:t>imulation were well below the acceptable bioequivalence limits</w:t>
      </w:r>
      <w:r w:rsidR="00B70727">
        <w:t xml:space="preserve"> </w:t>
      </w:r>
      <w:r w:rsidR="00A554AC" w:rsidRPr="00C94DA1">
        <w:t xml:space="preserve">making the above paediatric buccal data claim of simulated bioequivalence with adult IM </w:t>
      </w:r>
      <w:r w:rsidR="0017219B">
        <w:t xml:space="preserve">dosing </w:t>
      </w:r>
      <w:r w:rsidR="00A554AC" w:rsidRPr="00C94DA1">
        <w:t>invalid and hence, leaning towards the declaration of invalid extrapolation of bioequivalence data to doc</w:t>
      </w:r>
      <w:r w:rsidR="0017219B">
        <w:t>ument efficacy.</w:t>
      </w:r>
    </w:p>
    <w:p w14:paraId="52B8C282" w14:textId="05F5885E" w:rsidR="00A554AC" w:rsidRDefault="005C3108" w:rsidP="00B70727">
      <w:pPr>
        <w:pStyle w:val="ListBullet"/>
      </w:pPr>
      <w:r>
        <w:t>The s</w:t>
      </w:r>
      <w:r w:rsidR="00A554AC">
        <w:t xml:space="preserve">tudy </w:t>
      </w:r>
      <w:r w:rsidR="00A554AC" w:rsidRPr="002D0ED9">
        <w:t>by Schwagmeier et al</w:t>
      </w:r>
      <w:r w:rsidR="00B70727">
        <w:t>.,</w:t>
      </w:r>
      <w:r w:rsidR="002D0ED9" w:rsidRPr="002D0ED9">
        <w:rPr>
          <w:rStyle w:val="FootnoteReference"/>
        </w:rPr>
        <w:footnoteReference w:id="26"/>
      </w:r>
      <w:r w:rsidR="00A554AC" w:rsidRPr="002D0ED9">
        <w:t xml:space="preserve"> also concluded that the exposure of buccal midazolam relative to IV midazolam</w:t>
      </w:r>
      <w:r w:rsidR="00A554AC">
        <w:t xml:space="preserve"> was 47.0% for </w:t>
      </w:r>
      <w:r w:rsidR="00C94DA1">
        <w:t xml:space="preserve">the </w:t>
      </w:r>
      <w:r w:rsidR="0017219B">
        <w:t>maximum</w:t>
      </w:r>
      <w:r w:rsidR="00C94DA1">
        <w:t xml:space="preserve"> pla</w:t>
      </w:r>
      <w:r w:rsidR="002D0ED9">
        <w:t>s</w:t>
      </w:r>
      <w:r w:rsidR="00C94DA1">
        <w:t>ma concentration (</w:t>
      </w:r>
      <w:r w:rsidR="00A554AC">
        <w:t>C</w:t>
      </w:r>
      <w:r w:rsidR="00A554AC" w:rsidRPr="00C94DA1">
        <w:rPr>
          <w:vertAlign w:val="subscript"/>
        </w:rPr>
        <w:t>max</w:t>
      </w:r>
      <w:r w:rsidR="00C94DA1">
        <w:t xml:space="preserve">) </w:t>
      </w:r>
      <w:r w:rsidR="00A554AC">
        <w:t>and 74.54% for AUC</w:t>
      </w:r>
      <w:r w:rsidR="00C94DA1">
        <w:t>; that is</w:t>
      </w:r>
      <w:r w:rsidR="00A554AC">
        <w:t xml:space="preserve"> below the reco</w:t>
      </w:r>
      <w:r w:rsidR="0017219B">
        <w:t>gnised limits of bioequivalence.</w:t>
      </w:r>
    </w:p>
    <w:p w14:paraId="5D7C90E7" w14:textId="1C5DAC3F" w:rsidR="00A554AC" w:rsidRPr="00C94DA1" w:rsidRDefault="00C94DA1" w:rsidP="00B70727">
      <w:pPr>
        <w:pStyle w:val="ListBullet"/>
        <w:rPr>
          <w:b/>
        </w:rPr>
      </w:pPr>
      <w:r>
        <w:t>W</w:t>
      </w:r>
      <w:r w:rsidR="00A554AC">
        <w:t>ith reference to the submitted literature:</w:t>
      </w:r>
    </w:p>
    <w:p w14:paraId="56CCF104" w14:textId="4D6D24F1" w:rsidR="00A554AC" w:rsidRPr="00C94DA1" w:rsidRDefault="00A554AC" w:rsidP="00B70727">
      <w:pPr>
        <w:pStyle w:val="ListBullet2"/>
        <w:rPr>
          <w:b/>
        </w:rPr>
      </w:pPr>
      <w:r>
        <w:t xml:space="preserve">there was use </w:t>
      </w:r>
      <w:r w:rsidR="00F51C5A">
        <w:t>o</w:t>
      </w:r>
      <w:r>
        <w:t>f non-oral midazolam formulation either intranasally, sublingually and directly oral,</w:t>
      </w:r>
    </w:p>
    <w:p w14:paraId="31A6B1A3" w14:textId="442E70AE" w:rsidR="00A554AC" w:rsidRDefault="00B70727" w:rsidP="00B70727">
      <w:pPr>
        <w:pStyle w:val="ListBullet2"/>
      </w:pPr>
      <w:r>
        <w:t>age range inclusion (7 to 64 months)</w:t>
      </w:r>
      <w:r w:rsidR="00F51C5A">
        <w:t xml:space="preserve"> </w:t>
      </w:r>
      <w:r w:rsidR="00A554AC">
        <w:t>was outside that proposed,</w:t>
      </w:r>
    </w:p>
    <w:p w14:paraId="175940CF" w14:textId="4FFAD534" w:rsidR="00A554AC" w:rsidRDefault="00A554AC" w:rsidP="00B70727">
      <w:pPr>
        <w:pStyle w:val="ListBullet2"/>
      </w:pPr>
      <w:r>
        <w:t>different indications</w:t>
      </w:r>
      <w:r w:rsidR="0017219B">
        <w:t xml:space="preserve"> to that proposed were involved,</w:t>
      </w:r>
    </w:p>
    <w:p w14:paraId="2C423C54" w14:textId="5A192AF5" w:rsidR="00A554AC" w:rsidRPr="00F05356" w:rsidRDefault="00A554AC" w:rsidP="0017219B">
      <w:pPr>
        <w:pStyle w:val="ListBullet"/>
      </w:pPr>
      <w:r w:rsidRPr="00F05356">
        <w:t>In the</w:t>
      </w:r>
      <w:r w:rsidR="005C3108">
        <w:t xml:space="preserve"> population pharmacokinetics</w:t>
      </w:r>
      <w:r w:rsidRPr="00F05356">
        <w:t xml:space="preserve"> report, usin</w:t>
      </w:r>
      <w:r w:rsidR="00B70727" w:rsidRPr="00F05356">
        <w:t xml:space="preserve">g the results from Study SPL001 </w:t>
      </w:r>
      <w:r w:rsidRPr="00F05356">
        <w:t xml:space="preserve">(C12023) after allowing for gender, age and weight, the model could only be validated by fitting some combination of oral residence time, stomach residence time, activity of </w:t>
      </w:r>
      <w:r w:rsidR="00B70727" w:rsidRPr="00F05356">
        <w:t>CYP</w:t>
      </w:r>
      <w:r w:rsidRPr="00F05356">
        <w:t xml:space="preserve">3A4 in gut and liver, and </w:t>
      </w:r>
      <w:r w:rsidR="00997BF5" w:rsidRPr="00F05356">
        <w:t>UDP-glucuronosyltransferases (</w:t>
      </w:r>
      <w:r w:rsidRPr="00F05356">
        <w:t>UGT</w:t>
      </w:r>
      <w:r w:rsidR="00997BF5" w:rsidRPr="00F05356">
        <w:t>)</w:t>
      </w:r>
      <w:r w:rsidRPr="00F05356">
        <w:t xml:space="preserve"> activity</w:t>
      </w:r>
      <w:r w:rsidRPr="00F05356">
        <w:rPr>
          <w:lang w:val="en-US"/>
        </w:rPr>
        <w:t xml:space="preserve"> agai</w:t>
      </w:r>
      <w:r w:rsidR="0017219B" w:rsidRPr="00F05356">
        <w:rPr>
          <w:lang w:val="en-US"/>
        </w:rPr>
        <w:t>nst individual midazolam and 1’</w:t>
      </w:r>
      <w:r w:rsidR="0017219B" w:rsidRPr="00F05356">
        <w:rPr>
          <w:lang w:val="en-US"/>
        </w:rPr>
        <w:noBreakHyphen/>
      </w:r>
      <w:r w:rsidRPr="00F05356">
        <w:rPr>
          <w:lang w:val="en-US"/>
        </w:rPr>
        <w:t>hydroxymidazolam profiles after administration of two different formulations</w:t>
      </w:r>
      <w:r w:rsidR="00797408">
        <w:rPr>
          <w:lang w:val="en-US"/>
        </w:rPr>
        <w:t>.</w:t>
      </w:r>
    </w:p>
    <w:p w14:paraId="185B4D79" w14:textId="262F59C4" w:rsidR="00A554AC" w:rsidRPr="0083211D" w:rsidRDefault="00C94DA1" w:rsidP="00C94DA1">
      <w:pPr>
        <w:rPr>
          <w:bCs/>
          <w:iCs/>
        </w:rPr>
      </w:pPr>
      <w:r w:rsidRPr="0083211D">
        <w:rPr>
          <w:bCs/>
          <w:iCs/>
        </w:rPr>
        <w:t xml:space="preserve">The </w:t>
      </w:r>
      <w:r w:rsidR="00B70727" w:rsidRPr="0083211D">
        <w:rPr>
          <w:bCs/>
          <w:iCs/>
        </w:rPr>
        <w:t xml:space="preserve">TGA </w:t>
      </w:r>
      <w:r w:rsidRPr="0083211D">
        <w:rPr>
          <w:bCs/>
          <w:iCs/>
        </w:rPr>
        <w:t>Delegate therefore concluded that m</w:t>
      </w:r>
      <w:r w:rsidR="00A554AC" w:rsidRPr="0083211D">
        <w:rPr>
          <w:bCs/>
          <w:iCs/>
        </w:rPr>
        <w:t>eaningful interpretation of the sponsor’s data to reach a genuine positive simulation outcome, with reference to the simulated paediatric buccal midazolam doses being bioequivalent to adults receiving 10</w:t>
      </w:r>
      <w:r w:rsidR="00B70727" w:rsidRPr="0083211D">
        <w:rPr>
          <w:bCs/>
          <w:iCs/>
        </w:rPr>
        <w:t xml:space="preserve"> </w:t>
      </w:r>
      <w:r w:rsidR="00A554AC" w:rsidRPr="0083211D">
        <w:rPr>
          <w:bCs/>
          <w:iCs/>
        </w:rPr>
        <w:t>mg midazolam either IM (or IV), is difficult</w:t>
      </w:r>
      <w:r w:rsidRPr="0083211D">
        <w:rPr>
          <w:bCs/>
          <w:iCs/>
        </w:rPr>
        <w:t>.</w:t>
      </w:r>
    </w:p>
    <w:p w14:paraId="4602E5E7" w14:textId="55773367" w:rsidR="0051106D" w:rsidRPr="0051106D" w:rsidRDefault="0051106D" w:rsidP="0051106D">
      <w:pPr>
        <w:pStyle w:val="Heading6"/>
      </w:pPr>
      <w:r w:rsidRPr="0051106D">
        <w:t>Population pharmacokinetics</w:t>
      </w:r>
    </w:p>
    <w:p w14:paraId="0FECC9EA" w14:textId="77777777" w:rsidR="00E51AD8" w:rsidRDefault="0051106D" w:rsidP="0051106D">
      <w:r>
        <w:t>Using the population PK software, the s</w:t>
      </w:r>
      <w:r w:rsidRPr="0051106D">
        <w:t>ponsor has created models of IV and oral pharmacokinetics and tried them against limited IV and oral adult literature data for midazolam</w:t>
      </w:r>
      <w:r w:rsidR="00E51AD8">
        <w:t>.</w:t>
      </w:r>
    </w:p>
    <w:p w14:paraId="783A9978" w14:textId="3711EF87" w:rsidR="0051106D" w:rsidRPr="0051106D" w:rsidRDefault="00E51AD8" w:rsidP="0051106D">
      <w:r>
        <w:t>[I</w:t>
      </w:r>
      <w:r w:rsidR="0051106D">
        <w:t>nformation redacted</w:t>
      </w:r>
      <w:r>
        <w:t>].</w:t>
      </w:r>
    </w:p>
    <w:p w14:paraId="5CDC4DAB" w14:textId="5793F4FF" w:rsidR="00E51AD8" w:rsidRDefault="00511914" w:rsidP="00511914">
      <w:r w:rsidRPr="00511914">
        <w:t>This model was then adjusted to create a buccal model that was tried against the data from Study SPL-001 after individual adjustment</w:t>
      </w:r>
      <w:r w:rsidR="00E51AD8">
        <w:t>.</w:t>
      </w:r>
    </w:p>
    <w:p w14:paraId="09B42A1F" w14:textId="777B3462" w:rsidR="00511914" w:rsidRPr="00511914" w:rsidRDefault="00E51AD8" w:rsidP="00511914">
      <w:r>
        <w:t>[I</w:t>
      </w:r>
      <w:r w:rsidR="00511914">
        <w:t>nformation redacted</w:t>
      </w:r>
      <w:r>
        <w:t>]</w:t>
      </w:r>
      <w:r w:rsidR="00511914">
        <w:t>.</w:t>
      </w:r>
    </w:p>
    <w:p w14:paraId="103D9228" w14:textId="034D655F" w:rsidR="00E51AD8" w:rsidRDefault="00511914" w:rsidP="00FB2975">
      <w:r w:rsidRPr="00511914">
        <w:t>The models for IV and oral midazolam pharmacokinetics were then adjusted by fitting paediatric parameters and tried against the literature</w:t>
      </w:r>
      <w:r w:rsidR="00E51AD8">
        <w:t>.</w:t>
      </w:r>
    </w:p>
    <w:p w14:paraId="27A63A56" w14:textId="1180EA18" w:rsidR="00FB2975" w:rsidRDefault="00E51AD8" w:rsidP="00FB2975">
      <w:r>
        <w:t>[I</w:t>
      </w:r>
      <w:r w:rsidR="00511914">
        <w:t>nformation redacted</w:t>
      </w:r>
      <w:r>
        <w:t>]</w:t>
      </w:r>
      <w:r w:rsidR="00511914" w:rsidRPr="00511914">
        <w:t>.</w:t>
      </w:r>
    </w:p>
    <w:p w14:paraId="5CE50A62" w14:textId="77777777" w:rsidR="00E51AD8" w:rsidRDefault="00FB2975">
      <w:r w:rsidRPr="00FB2975">
        <w:t>Using the same procedure (fitting paediatric parameters), a paediatric buccal model was created and simulations made with it</w:t>
      </w:r>
      <w:r w:rsidR="00E51AD8">
        <w:t>.</w:t>
      </w:r>
    </w:p>
    <w:p w14:paraId="4ACB667D" w14:textId="0FFFA068" w:rsidR="00511914" w:rsidRPr="00511914" w:rsidRDefault="00E51AD8">
      <w:r>
        <w:t>[I</w:t>
      </w:r>
      <w:r w:rsidR="00FB2975" w:rsidRPr="00FB2975">
        <w:t>nformation redacted</w:t>
      </w:r>
      <w:r>
        <w:t>]</w:t>
      </w:r>
      <w:r w:rsidR="00FB2975" w:rsidRPr="00FB2975">
        <w:t>.</w:t>
      </w:r>
    </w:p>
    <w:p w14:paraId="37C6D3D6" w14:textId="430DE91E" w:rsidR="00511914" w:rsidRPr="00C15CC4" w:rsidRDefault="00511914" w:rsidP="00511914">
      <w:r w:rsidRPr="00C15CC4">
        <w:t>The TGA’s clinical evaluation noted that:</w:t>
      </w:r>
    </w:p>
    <w:p w14:paraId="61B97B94" w14:textId="77777777" w:rsidR="00511914" w:rsidRPr="00C15CC4" w:rsidRDefault="00511914" w:rsidP="00511914">
      <w:pPr>
        <w:pStyle w:val="ListBullet"/>
      </w:pPr>
      <w:r w:rsidRPr="00C15CC4">
        <w:t>This model does not appear to have been validated, rather relying on the implication that the adjustment for the IV and oral models worked and therefore, should be reasonable for the buccal model.</w:t>
      </w:r>
    </w:p>
    <w:p w14:paraId="23C6B781" w14:textId="1F1C0070" w:rsidR="00511914" w:rsidRPr="00C15CC4" w:rsidRDefault="00511914" w:rsidP="00511914">
      <w:pPr>
        <w:pStyle w:val="ListBullet"/>
        <w:rPr>
          <w:i/>
        </w:rPr>
      </w:pPr>
      <w:r w:rsidRPr="00C15CC4">
        <w:t>The midazolam innovator (Hypnovel) PI has ‘</w:t>
      </w:r>
      <w:r w:rsidRPr="00C15CC4">
        <w:rPr>
          <w:i/>
        </w:rPr>
        <w:t>Pharmacokinetics in children have not been established and may differ from adults.’</w:t>
      </w:r>
      <w:r w:rsidRPr="00C15CC4">
        <w:rPr>
          <w:vertAlign w:val="superscript"/>
        </w:rPr>
        <w:fldChar w:fldCharType="begin"/>
      </w:r>
      <w:r w:rsidRPr="00C15CC4">
        <w:rPr>
          <w:vertAlign w:val="superscript"/>
        </w:rPr>
        <w:instrText xml:space="preserve"> NOTEREF _Ref109289276 \h  \* MERGEFORMAT </w:instrText>
      </w:r>
      <w:r w:rsidRPr="00C15CC4">
        <w:rPr>
          <w:vertAlign w:val="superscript"/>
        </w:rPr>
      </w:r>
      <w:r w:rsidRPr="00C15CC4">
        <w:rPr>
          <w:vertAlign w:val="superscript"/>
        </w:rPr>
        <w:fldChar w:fldCharType="separate"/>
      </w:r>
      <w:r w:rsidR="00AA79CE">
        <w:rPr>
          <w:vertAlign w:val="superscript"/>
        </w:rPr>
        <w:t>14</w:t>
      </w:r>
      <w:r w:rsidRPr="00C15CC4">
        <w:rPr>
          <w:vertAlign w:val="superscript"/>
        </w:rPr>
        <w:fldChar w:fldCharType="end"/>
      </w:r>
    </w:p>
    <w:p w14:paraId="197AA86E" w14:textId="77777777" w:rsidR="00511914" w:rsidRPr="00C15CC4" w:rsidRDefault="00511914" w:rsidP="00511914">
      <w:pPr>
        <w:pStyle w:val="ListBullet"/>
      </w:pPr>
      <w:r w:rsidRPr="00C15CC4">
        <w:t>The simulations were then used in an effort to show bioequivalence.</w:t>
      </w:r>
    </w:p>
    <w:p w14:paraId="119C5244" w14:textId="77777777" w:rsidR="00511914" w:rsidRPr="00C15CC4" w:rsidRDefault="00511914" w:rsidP="00511914">
      <w:pPr>
        <w:pStyle w:val="ListBullet"/>
      </w:pPr>
      <w:r w:rsidRPr="00C15CC4">
        <w:t>The only correlation given was for adult buccal predicted versus observed;</w:t>
      </w:r>
      <w:r w:rsidRPr="00C15CC4">
        <w:rPr>
          <w:rStyle w:val="FootnoteReference"/>
        </w:rPr>
        <w:footnoteReference w:id="27"/>
      </w:r>
      <w:r w:rsidRPr="00C15CC4">
        <w:t xml:space="preserve"> and then those for area under the concentration versus time curve from time zero to 8 hours (AUC</w:t>
      </w:r>
      <w:r w:rsidRPr="00C15CC4">
        <w:rPr>
          <w:vertAlign w:val="subscript"/>
        </w:rPr>
        <w:t>0-8h</w:t>
      </w:r>
      <w:r w:rsidRPr="00C15CC4">
        <w:t>), maximum concentration (C</w:t>
      </w:r>
      <w:r w:rsidRPr="00C15CC4">
        <w:rPr>
          <w:vertAlign w:val="subscript"/>
        </w:rPr>
        <w:t>max</w:t>
      </w:r>
      <w:r w:rsidRPr="00C15CC4">
        <w:t>) and time to maximum concentration (T</w:t>
      </w:r>
      <w:r w:rsidRPr="00C15CC4">
        <w:rPr>
          <w:vertAlign w:val="subscript"/>
        </w:rPr>
        <w:t>max</w:t>
      </w:r>
      <w:r w:rsidRPr="00C15CC4">
        <w:t>) were the only ones submitted.</w:t>
      </w:r>
    </w:p>
    <w:p w14:paraId="350CA710" w14:textId="77777777" w:rsidR="00511914" w:rsidRPr="00C15CC4" w:rsidRDefault="00511914" w:rsidP="00511914">
      <w:pPr>
        <w:pStyle w:val="ListBullet"/>
      </w:pPr>
      <w:r w:rsidRPr="00C15CC4">
        <w:t>The only correlations and graphs of buccal predicted concentrations versus observed concentrations submitted were in the literature.</w:t>
      </w:r>
    </w:p>
    <w:p w14:paraId="4392E1C5" w14:textId="4171D8AB" w:rsidR="00511914" w:rsidRPr="00C15CC4" w:rsidRDefault="00511914" w:rsidP="00511914">
      <w:pPr>
        <w:pStyle w:val="ListBullet"/>
      </w:pPr>
      <w:r w:rsidRPr="00C15CC4">
        <w:t>Observed concentrations versus time graphs and predicted concentrations versus time graphs were submitted as overlays for comparison.</w:t>
      </w:r>
    </w:p>
    <w:p w14:paraId="1261C8E5" w14:textId="2E02BF0E" w:rsidR="00A554AC" w:rsidRPr="00820805" w:rsidRDefault="0017219B" w:rsidP="004740CE">
      <w:pPr>
        <w:pStyle w:val="Heading6"/>
      </w:pPr>
      <w:bookmarkStart w:id="67" w:name="_Toc241374296"/>
      <w:bookmarkStart w:id="68" w:name="_Ref269982040"/>
      <w:bookmarkStart w:id="69" w:name="_Ref271018704"/>
      <w:bookmarkStart w:id="70" w:name="_Ref271018755"/>
      <w:bookmarkStart w:id="71" w:name="_Toc272414635"/>
      <w:bookmarkStart w:id="72" w:name="_Toc290888484"/>
      <w:bookmarkStart w:id="73" w:name="_Toc416353681"/>
      <w:bookmarkStart w:id="74" w:name="_Toc421005250"/>
      <w:bookmarkStart w:id="75" w:name="_Toc432079132"/>
      <w:bookmarkStart w:id="76" w:name="_Toc432080705"/>
      <w:bookmarkStart w:id="77" w:name="_Toc509304704"/>
      <w:bookmarkStart w:id="78" w:name="_Toc77073432"/>
      <w:r w:rsidRPr="00820805">
        <w:t>Clinical evaluation</w:t>
      </w:r>
      <w:r w:rsidR="00555B11" w:rsidRPr="00820805">
        <w:t xml:space="preserve"> c</w:t>
      </w:r>
      <w:r w:rsidRPr="00820805">
        <w:t>onclusions</w:t>
      </w:r>
      <w:r w:rsidR="00555B11" w:rsidRPr="00820805">
        <w:t xml:space="preserve"> </w:t>
      </w:r>
      <w:r w:rsidR="00A554AC" w:rsidRPr="00820805">
        <w:t xml:space="preserve">on </w:t>
      </w:r>
      <w:bookmarkEnd w:id="67"/>
      <w:bookmarkEnd w:id="68"/>
      <w:bookmarkEnd w:id="69"/>
      <w:bookmarkEnd w:id="70"/>
      <w:bookmarkEnd w:id="71"/>
      <w:bookmarkEnd w:id="72"/>
      <w:bookmarkEnd w:id="73"/>
      <w:bookmarkEnd w:id="74"/>
      <w:bookmarkEnd w:id="75"/>
      <w:bookmarkEnd w:id="76"/>
      <w:bookmarkEnd w:id="77"/>
      <w:bookmarkEnd w:id="78"/>
      <w:r w:rsidR="004740CE" w:rsidRPr="00820805">
        <w:t>pharmacokinetics</w:t>
      </w:r>
    </w:p>
    <w:p w14:paraId="4C64C11F" w14:textId="70E4C9A1" w:rsidR="00A554AC" w:rsidRPr="00820805" w:rsidRDefault="00A554AC" w:rsidP="004740CE">
      <w:pPr>
        <w:pStyle w:val="ListBullet"/>
      </w:pPr>
      <w:r w:rsidRPr="00820805">
        <w:t>The sponsor has shown bioequivalence in a different population (adults) to that proposed (10</w:t>
      </w:r>
      <w:r w:rsidR="00F91755" w:rsidRPr="00820805">
        <w:t xml:space="preserve"> to </w:t>
      </w:r>
      <w:r w:rsidRPr="00820805">
        <w:t>18</w:t>
      </w:r>
      <w:r w:rsidR="00CB7F66" w:rsidRPr="00820805">
        <w:t xml:space="preserve"> </w:t>
      </w:r>
      <w:r w:rsidRPr="00820805">
        <w:t xml:space="preserve">year old) in </w:t>
      </w:r>
      <w:r w:rsidR="004740CE" w:rsidRPr="00820805">
        <w:t>Study SPL001 (C12023)</w:t>
      </w:r>
      <w:r w:rsidRPr="00820805">
        <w:t xml:space="preserve">, to a registered IV/IM formulation </w:t>
      </w:r>
      <w:r w:rsidR="004740CE" w:rsidRPr="00820805">
        <w:t>of midazolam (</w:t>
      </w:r>
      <w:r w:rsidR="0017219B" w:rsidRPr="00820805">
        <w:t>Hypnovel);</w:t>
      </w:r>
      <w:r w:rsidR="0017219B" w:rsidRPr="00820805">
        <w:rPr>
          <w:vertAlign w:val="superscript"/>
        </w:rPr>
        <w:fldChar w:fldCharType="begin"/>
      </w:r>
      <w:r w:rsidR="0017219B" w:rsidRPr="00820805">
        <w:rPr>
          <w:vertAlign w:val="superscript"/>
        </w:rPr>
        <w:instrText xml:space="preserve"> NOTEREF _Ref109289276 \h  \* MERGEFORMAT </w:instrText>
      </w:r>
      <w:r w:rsidR="0017219B" w:rsidRPr="00820805">
        <w:rPr>
          <w:vertAlign w:val="superscript"/>
        </w:rPr>
      </w:r>
      <w:r w:rsidR="0017219B" w:rsidRPr="00820805">
        <w:rPr>
          <w:vertAlign w:val="superscript"/>
        </w:rPr>
        <w:fldChar w:fldCharType="separate"/>
      </w:r>
      <w:r w:rsidR="00AA79CE">
        <w:rPr>
          <w:vertAlign w:val="superscript"/>
        </w:rPr>
        <w:t>14</w:t>
      </w:r>
      <w:r w:rsidR="0017219B" w:rsidRPr="00820805">
        <w:rPr>
          <w:vertAlign w:val="superscript"/>
        </w:rPr>
        <w:fldChar w:fldCharType="end"/>
      </w:r>
      <w:r w:rsidRPr="00820805">
        <w:t xml:space="preserve"> admin</w:t>
      </w:r>
      <w:r w:rsidR="004740CE" w:rsidRPr="00820805">
        <w:t>istered by an unapproved route (buccal).</w:t>
      </w:r>
    </w:p>
    <w:p w14:paraId="68064A49" w14:textId="65E2E3C4" w:rsidR="00A554AC" w:rsidRPr="00820805" w:rsidRDefault="00A554AC" w:rsidP="0017219B">
      <w:pPr>
        <w:pStyle w:val="ListBullet"/>
      </w:pPr>
      <w:r w:rsidRPr="00820805">
        <w:t xml:space="preserve">The sponsor has failed to show bioequivalence of the simulation paediatric buccal </w:t>
      </w:r>
      <w:r w:rsidR="0017219B" w:rsidRPr="00820805">
        <w:t>pharmacokinetics</w:t>
      </w:r>
      <w:r w:rsidRPr="00820805">
        <w:t xml:space="preserve"> to that of an IM formulation, used as comparator in an apparently unregistered administration (auto injector) in the US</w:t>
      </w:r>
      <w:r w:rsidR="004740CE" w:rsidRPr="00820805">
        <w:t>A</w:t>
      </w:r>
      <w:r w:rsidRPr="00820805">
        <w:t xml:space="preserve"> at th</w:t>
      </w:r>
      <w:r w:rsidR="004740CE" w:rsidRPr="00820805">
        <w:t>e time of the literature study.</w:t>
      </w:r>
    </w:p>
    <w:p w14:paraId="73B28470" w14:textId="0875E411" w:rsidR="00A554AC" w:rsidRPr="00820805" w:rsidRDefault="00A554AC" w:rsidP="004740CE">
      <w:pPr>
        <w:pStyle w:val="ListBullet"/>
      </w:pPr>
      <w:r w:rsidRPr="00820805">
        <w:t xml:space="preserve">The sponsor initially submitted the </w:t>
      </w:r>
      <w:r w:rsidR="004740CE" w:rsidRPr="00820805">
        <w:t>pharmacokinetic</w:t>
      </w:r>
      <w:r w:rsidRPr="00820805">
        <w:t xml:space="preserve"> study report with the objective ‘to evaluate midazolam and 1’-hydroxymidazolam (primary metabolite) exposures after buccal administration of midazolam (</w:t>
      </w:r>
      <w:r w:rsidR="00BD2BAB" w:rsidRPr="00820805">
        <w:t>Zyamis</w:t>
      </w:r>
      <w:r w:rsidRPr="00820805">
        <w:t>) in children</w:t>
      </w:r>
      <w:r w:rsidR="00A273D4" w:rsidRPr="00820805">
        <w:t>’</w:t>
      </w:r>
      <w:r w:rsidRPr="00820805">
        <w:rPr>
          <w:rFonts w:ascii="Times New Roman" w:hAnsi="Times New Roman"/>
          <w:sz w:val="24"/>
          <w:szCs w:val="24"/>
        </w:rPr>
        <w:t xml:space="preserve">. </w:t>
      </w:r>
      <w:r w:rsidR="004740CE" w:rsidRPr="00820805">
        <w:t>In the subsequent sponsor’s ‘</w:t>
      </w:r>
      <w:r w:rsidRPr="00820805">
        <w:t>regulatory-response-2019</w:t>
      </w:r>
      <w:r w:rsidR="004740CE" w:rsidRPr="00820805">
        <w:t>’</w:t>
      </w:r>
      <w:r w:rsidRPr="00820805">
        <w:t xml:space="preserve"> report however, the objective was stated as: </w:t>
      </w:r>
      <w:r w:rsidR="00A273D4" w:rsidRPr="00820805">
        <w:t>‘</w:t>
      </w:r>
      <w:r w:rsidRPr="00820805">
        <w:t xml:space="preserve">the aim of this piece of work was to link the simulated midazolam levels with the effective brain concentration of midazolam to ensure seizure cessation. This would therefore establish the link between literature data (for efficacy) to the plasma concentrations of midazolam achieved in </w:t>
      </w:r>
      <w:r w:rsidR="00555B11" w:rsidRPr="00820805">
        <w:t>S</w:t>
      </w:r>
      <w:r w:rsidRPr="00820805">
        <w:t>tudies SPL001 and SPL002</w:t>
      </w:r>
      <w:r w:rsidR="00A273D4" w:rsidRPr="00820805">
        <w:t>’</w:t>
      </w:r>
      <w:r w:rsidRPr="00820805">
        <w:t>.</w:t>
      </w:r>
    </w:p>
    <w:p w14:paraId="7F837624" w14:textId="46587C09" w:rsidR="00A554AC" w:rsidRDefault="004740CE" w:rsidP="004740CE">
      <w:pPr>
        <w:pStyle w:val="Heading5"/>
      </w:pPr>
      <w:r>
        <w:t>Pharmacodynamics</w:t>
      </w:r>
    </w:p>
    <w:p w14:paraId="715846CD" w14:textId="595B7954" w:rsidR="00A554AC" w:rsidRDefault="00A554AC" w:rsidP="00555B11">
      <w:pPr>
        <w:rPr>
          <w:lang w:eastAsia="ja-JP"/>
        </w:rPr>
      </w:pPr>
      <w:r>
        <w:t xml:space="preserve">The paper </w:t>
      </w:r>
      <w:r w:rsidRPr="007210CB">
        <w:t>by Scott et al</w:t>
      </w:r>
      <w:r w:rsidR="00E95CA7">
        <w:t>.</w:t>
      </w:r>
      <w:bookmarkStart w:id="79" w:name="_Ref108601326"/>
      <w:r w:rsidR="00E95CA7">
        <w:t xml:space="preserve"> (1998);</w:t>
      </w:r>
      <w:r w:rsidR="007210CB" w:rsidRPr="007210CB">
        <w:rPr>
          <w:rStyle w:val="FootnoteReference"/>
        </w:rPr>
        <w:footnoteReference w:id="28"/>
      </w:r>
      <w:bookmarkEnd w:id="79"/>
      <w:r w:rsidRPr="007210CB">
        <w:t xml:space="preserve"> on </w:t>
      </w:r>
      <w:r w:rsidR="00545FE1">
        <w:t>the pharmacokinetics and pharmacodynamics of</w:t>
      </w:r>
      <w:r w:rsidRPr="007210CB">
        <w:t xml:space="preserve"> </w:t>
      </w:r>
      <w:r w:rsidR="00555B11" w:rsidRPr="007210CB">
        <w:t>electroencephalography (</w:t>
      </w:r>
      <w:r w:rsidRPr="007210CB">
        <w:t>EEG</w:t>
      </w:r>
      <w:r w:rsidR="00555B11" w:rsidRPr="007210CB">
        <w:t>)</w:t>
      </w:r>
      <w:r w:rsidRPr="007210CB">
        <w:t xml:space="preserve"> data with regard to the buccal absorption of midazolam</w:t>
      </w:r>
      <w:r w:rsidR="00545FE1">
        <w:t xml:space="preserve">, revealed EEG changes in the 8 </w:t>
      </w:r>
      <w:r w:rsidRPr="00555B11">
        <w:t>to 30</w:t>
      </w:r>
      <w:r w:rsidR="00555B11" w:rsidRPr="00555B11">
        <w:t xml:space="preserve"> </w:t>
      </w:r>
      <w:r w:rsidR="00E95CA7">
        <w:t>h</w:t>
      </w:r>
      <w:r w:rsidR="00555B11" w:rsidRPr="00555B11">
        <w:t>ertz (H</w:t>
      </w:r>
      <w:r w:rsidRPr="00555B11">
        <w:t>z</w:t>
      </w:r>
      <w:r w:rsidR="00555B11" w:rsidRPr="00555B11">
        <w:t>)</w:t>
      </w:r>
      <w:r w:rsidRPr="00555B11">
        <w:t xml:space="preserve"> epileptic frequencies as identified by spectral EEG analysis</w:t>
      </w:r>
      <w:r w:rsidR="00545FE1">
        <w:rPr>
          <w:lang w:eastAsia="ja-JP"/>
        </w:rPr>
        <w:t xml:space="preserve">, of between about 5 to </w:t>
      </w:r>
      <w:r>
        <w:rPr>
          <w:lang w:eastAsia="ja-JP"/>
        </w:rPr>
        <w:t>10 min</w:t>
      </w:r>
      <w:r w:rsidR="00545FE1">
        <w:rPr>
          <w:lang w:eastAsia="ja-JP"/>
        </w:rPr>
        <w:t>utes</w:t>
      </w:r>
      <w:r>
        <w:rPr>
          <w:lang w:eastAsia="ja-JP"/>
        </w:rPr>
        <w:t xml:space="preserve"> in test but not in control subjects. These changes are more rapid than were expected from the venous buccal m</w:t>
      </w:r>
      <w:r w:rsidR="00545FE1">
        <w:rPr>
          <w:lang w:eastAsia="ja-JP"/>
        </w:rPr>
        <w:t xml:space="preserve">idazolam absorption data as per </w:t>
      </w:r>
      <w:r w:rsidR="00545FE1">
        <w:rPr>
          <w:lang w:eastAsia="ja-JP"/>
        </w:rPr>
        <w:fldChar w:fldCharType="begin"/>
      </w:r>
      <w:r w:rsidR="00545FE1">
        <w:rPr>
          <w:lang w:eastAsia="ja-JP"/>
        </w:rPr>
        <w:instrText xml:space="preserve"> REF _Ref108525243 \h </w:instrText>
      </w:r>
      <w:r w:rsidR="00545FE1">
        <w:rPr>
          <w:lang w:eastAsia="ja-JP"/>
        </w:rPr>
      </w:r>
      <w:r w:rsidR="00545FE1">
        <w:rPr>
          <w:lang w:eastAsia="ja-JP"/>
        </w:rPr>
        <w:fldChar w:fldCharType="separate"/>
      </w:r>
      <w:r w:rsidR="00AA79CE">
        <w:t xml:space="preserve">Figure </w:t>
      </w:r>
      <w:r w:rsidR="00AA79CE">
        <w:rPr>
          <w:noProof/>
        </w:rPr>
        <w:t>3</w:t>
      </w:r>
      <w:r w:rsidR="00545FE1">
        <w:rPr>
          <w:lang w:eastAsia="ja-JP"/>
        </w:rPr>
        <w:fldChar w:fldCharType="end"/>
      </w:r>
      <w:r w:rsidR="00BC4DC3">
        <w:rPr>
          <w:lang w:eastAsia="ja-JP"/>
        </w:rPr>
        <w:t xml:space="preserve"> and </w:t>
      </w:r>
      <w:r w:rsidR="00545FE1">
        <w:rPr>
          <w:lang w:eastAsia="ja-JP"/>
        </w:rPr>
        <w:fldChar w:fldCharType="begin"/>
      </w:r>
      <w:r w:rsidR="00545FE1">
        <w:rPr>
          <w:lang w:eastAsia="ja-JP"/>
        </w:rPr>
        <w:instrText xml:space="preserve"> REF _Ref108525246 \h </w:instrText>
      </w:r>
      <w:r w:rsidR="00545FE1">
        <w:rPr>
          <w:lang w:eastAsia="ja-JP"/>
        </w:rPr>
      </w:r>
      <w:r w:rsidR="00545FE1">
        <w:rPr>
          <w:lang w:eastAsia="ja-JP"/>
        </w:rPr>
        <w:fldChar w:fldCharType="separate"/>
      </w:r>
      <w:r w:rsidR="00AA79CE">
        <w:t xml:space="preserve">Figure </w:t>
      </w:r>
      <w:r w:rsidR="00AA79CE">
        <w:rPr>
          <w:noProof/>
        </w:rPr>
        <w:t>4</w:t>
      </w:r>
      <w:r w:rsidR="00545FE1">
        <w:rPr>
          <w:lang w:eastAsia="ja-JP"/>
        </w:rPr>
        <w:fldChar w:fldCharType="end"/>
      </w:r>
      <w:r w:rsidR="00545FE1">
        <w:rPr>
          <w:lang w:eastAsia="ja-JP"/>
        </w:rPr>
        <w:t>, shown below.</w:t>
      </w:r>
    </w:p>
    <w:p w14:paraId="4B27559F" w14:textId="56106949" w:rsidR="00545FE1" w:rsidRDefault="00545FE1" w:rsidP="00545FE1">
      <w:pPr>
        <w:pStyle w:val="FigureTitle"/>
      </w:pPr>
      <w:bookmarkStart w:id="80" w:name="_Ref108525243"/>
      <w:r>
        <w:t xml:space="preserve">Figure </w:t>
      </w:r>
      <w:fldSimple w:instr=" SEQ Figure \* ARABIC ">
        <w:r w:rsidR="00AA79CE">
          <w:rPr>
            <w:noProof/>
          </w:rPr>
          <w:t>3</w:t>
        </w:r>
      </w:fldSimple>
      <w:bookmarkEnd w:id="80"/>
      <w:r>
        <w:t xml:space="preserve">: </w:t>
      </w:r>
      <w:r w:rsidR="00AB568B">
        <w:t xml:space="preserve">Scott et al. (1998) </w:t>
      </w:r>
      <w:r>
        <w:rPr>
          <w:lang w:eastAsia="ja-JP"/>
        </w:rPr>
        <w:t>Box and whisker plot of venous midazolam concentration versus time confirms rapid increase in serum concentration for the first 15 to 20 minutes after administration</w:t>
      </w:r>
    </w:p>
    <w:p w14:paraId="78C0BEB7" w14:textId="62C61F66" w:rsidR="00A554AC" w:rsidRDefault="00A554AC" w:rsidP="00555B11">
      <w:r>
        <w:rPr>
          <w:noProof/>
          <w:sz w:val="16"/>
          <w:lang w:val="en-GB" w:eastAsia="en-GB"/>
        </w:rPr>
        <w:drawing>
          <wp:inline distT="0" distB="0" distL="0" distR="0" wp14:anchorId="2B7B78E7" wp14:editId="16BE900B">
            <wp:extent cx="5375082" cy="3251829"/>
            <wp:effectExtent l="0" t="0" r="0" b="6350"/>
            <wp:docPr id="28" name="Picture 28" descr="Figure 7: Box and whisker plot of venous midazolam concentration versus time confirms rapid increase in serum concentration for the first 15-20 min after                    admini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7: Box and whisker plot of venous midazolam concentration versus time confirms rapid increase in serum concentration for the first 15-20 min after                    administration.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7663" cy="3259440"/>
                    </a:xfrm>
                    <a:prstGeom prst="rect">
                      <a:avLst/>
                    </a:prstGeom>
                    <a:noFill/>
                    <a:ln>
                      <a:noFill/>
                    </a:ln>
                  </pic:spPr>
                </pic:pic>
              </a:graphicData>
            </a:graphic>
          </wp:inline>
        </w:drawing>
      </w:r>
    </w:p>
    <w:p w14:paraId="65AF819D" w14:textId="7CB3D204" w:rsidR="00545FE1" w:rsidRDefault="00545FE1" w:rsidP="00545FE1">
      <w:pPr>
        <w:pStyle w:val="FigureDescription"/>
        <w:rPr>
          <w:lang w:eastAsia="ja-JP"/>
        </w:rPr>
      </w:pPr>
      <w:r>
        <w:rPr>
          <w:lang w:eastAsia="ja-JP"/>
        </w:rPr>
        <w:t>Median (horizontal line), interquartile range (box), and complete range (whiskers). Outliers (&gt; 2 SD from the mean) as+.</w:t>
      </w:r>
    </w:p>
    <w:p w14:paraId="198CE5E8" w14:textId="7583511C" w:rsidR="00545FE1" w:rsidRDefault="00545FE1" w:rsidP="00545FE1">
      <w:pPr>
        <w:pStyle w:val="FigureDescription"/>
        <w:rPr>
          <w:lang w:eastAsia="ja-JP"/>
        </w:rPr>
      </w:pPr>
      <w:r>
        <w:rPr>
          <w:lang w:eastAsia="ja-JP"/>
        </w:rPr>
        <w:t xml:space="preserve">Source: </w:t>
      </w:r>
      <w:r w:rsidRPr="00545FE1">
        <w:rPr>
          <w:lang w:eastAsia="ja-JP"/>
        </w:rPr>
        <w:t xml:space="preserve">Scott RC, Besag FM, Boyd SG, Berry D and Neville BG. Buccal absorption of midazolam: pharmacokinetics and EEG pharmacodynamics. </w:t>
      </w:r>
      <w:r w:rsidRPr="00545FE1">
        <w:rPr>
          <w:i/>
          <w:lang w:eastAsia="ja-JP"/>
        </w:rPr>
        <w:t>Epilepsia</w:t>
      </w:r>
      <w:r w:rsidRPr="00545FE1">
        <w:rPr>
          <w:lang w:eastAsia="ja-JP"/>
        </w:rPr>
        <w:t>. 1998; 39(3):290-294.</w:t>
      </w:r>
    </w:p>
    <w:p w14:paraId="5C5A262F" w14:textId="746EF2D4" w:rsidR="00545FE1" w:rsidRDefault="00545FE1" w:rsidP="00545FE1">
      <w:pPr>
        <w:pStyle w:val="FigureTitle"/>
      </w:pPr>
      <w:bookmarkStart w:id="81" w:name="_Ref108525246"/>
      <w:r>
        <w:t xml:space="preserve">Figure </w:t>
      </w:r>
      <w:fldSimple w:instr=" SEQ Figure \* ARABIC ">
        <w:r w:rsidR="00AA79CE">
          <w:rPr>
            <w:noProof/>
          </w:rPr>
          <w:t>4</w:t>
        </w:r>
      </w:fldSimple>
      <w:bookmarkEnd w:id="81"/>
      <w:r>
        <w:t xml:space="preserve">: </w:t>
      </w:r>
      <w:r w:rsidR="00AB568B">
        <w:t xml:space="preserve">Scott et al. (1998) </w:t>
      </w:r>
      <w:r w:rsidRPr="006401CB">
        <w:t>Venous midazolam concentration versus relative power. Increasing midazolam concentration in serum is associated with an increase in the relative power of the faster EEG frequencies</w:t>
      </w:r>
    </w:p>
    <w:p w14:paraId="23029F7F" w14:textId="3D3A840C" w:rsidR="00A554AC" w:rsidRDefault="00545FE1" w:rsidP="00555B11">
      <w:r>
        <w:rPr>
          <w:noProof/>
          <w:sz w:val="16"/>
          <w:lang w:val="en-GB" w:eastAsia="en-GB"/>
        </w:rPr>
        <w:drawing>
          <wp:inline distT="0" distB="0" distL="0" distR="0" wp14:anchorId="0A0207CC" wp14:editId="509C870E">
            <wp:extent cx="5510254" cy="309340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5765" cy="3102109"/>
                    </a:xfrm>
                    <a:prstGeom prst="rect">
                      <a:avLst/>
                    </a:prstGeom>
                    <a:noFill/>
                    <a:ln>
                      <a:noFill/>
                    </a:ln>
                  </pic:spPr>
                </pic:pic>
              </a:graphicData>
            </a:graphic>
          </wp:inline>
        </w:drawing>
      </w:r>
    </w:p>
    <w:p w14:paraId="7EEEEAEF" w14:textId="77777777" w:rsidR="00545FE1" w:rsidRDefault="00545FE1" w:rsidP="00545FE1">
      <w:pPr>
        <w:pStyle w:val="FigureDescription"/>
      </w:pPr>
      <w:r w:rsidRPr="00545FE1">
        <w:t>16-30 Hz (dashed line, x), 12-16Hz (solid line, solid circle), 8-12 Hz (dotted/dashed l</w:t>
      </w:r>
      <w:r>
        <w:t>ine)</w:t>
      </w:r>
    </w:p>
    <w:p w14:paraId="08E8A718" w14:textId="7399147C" w:rsidR="00545FE1" w:rsidRDefault="00545FE1" w:rsidP="00545FE1">
      <w:pPr>
        <w:pStyle w:val="FigureDescription"/>
      </w:pPr>
      <w:r w:rsidRPr="00545FE1">
        <w:t>Source</w:t>
      </w:r>
      <w:r>
        <w:t xml:space="preserve">: </w:t>
      </w:r>
      <w:r w:rsidRPr="00545FE1">
        <w:t xml:space="preserve">Scott RC, Besag FM, Boyd SG, Berry D and Neville BG. Buccal absorption of midazolam: pharmacokinetics and EEG pharmacodynamics. </w:t>
      </w:r>
      <w:r w:rsidRPr="00545FE1">
        <w:rPr>
          <w:i/>
        </w:rPr>
        <w:t>Epilepsia</w:t>
      </w:r>
      <w:r w:rsidRPr="00545FE1">
        <w:t>. 1998; 39(3):290-294.</w:t>
      </w:r>
    </w:p>
    <w:p w14:paraId="66A74176" w14:textId="77777777" w:rsidR="00545FE1" w:rsidRDefault="00545FE1" w:rsidP="00545FE1">
      <w:pPr>
        <w:pStyle w:val="Heading4"/>
      </w:pPr>
      <w:r>
        <w:t>Dosage</w:t>
      </w:r>
    </w:p>
    <w:p w14:paraId="1068EB72" w14:textId="0BB6644A" w:rsidR="00A554AC" w:rsidRDefault="00545FE1" w:rsidP="00555B11">
      <w:r>
        <w:t>No s</w:t>
      </w:r>
      <w:r w:rsidR="00A554AC">
        <w:t xml:space="preserve">tudies </w:t>
      </w:r>
      <w:r>
        <w:t xml:space="preserve">were </w:t>
      </w:r>
      <w:r w:rsidR="00A554AC">
        <w:t xml:space="preserve">identified </w:t>
      </w:r>
      <w:r w:rsidR="00E95CA7">
        <w:t>in</w:t>
      </w:r>
      <w:r>
        <w:t xml:space="preserve"> the clinical evaluation </w:t>
      </w:r>
      <w:r w:rsidR="00A554AC">
        <w:t>as providing dosage selection information for the pivotal studies in the submission</w:t>
      </w:r>
      <w:r>
        <w:t>. T</w:t>
      </w:r>
      <w:r w:rsidR="00A554AC">
        <w:t>here were no pivotal studies submitted as such.</w:t>
      </w:r>
    </w:p>
    <w:p w14:paraId="340F2CE2" w14:textId="77777777" w:rsidR="00386A5D" w:rsidRDefault="00A554AC" w:rsidP="00386A5D">
      <w:pPr>
        <w:pStyle w:val="Heading4"/>
      </w:pPr>
      <w:bookmarkStart w:id="82" w:name="_Toc57711121"/>
      <w:r>
        <w:t>Efficacy</w:t>
      </w:r>
      <w:bookmarkEnd w:id="82"/>
    </w:p>
    <w:p w14:paraId="46F2C658" w14:textId="7100E6DC" w:rsidR="00386A5D" w:rsidRDefault="00386A5D" w:rsidP="00386A5D">
      <w:pPr>
        <w:rPr>
          <w:lang w:eastAsia="ja-JP"/>
        </w:rPr>
      </w:pPr>
      <w:r>
        <w:rPr>
          <w:lang w:eastAsia="ja-JP"/>
        </w:rPr>
        <w:t>The clinical evaluator noted that:</w:t>
      </w:r>
    </w:p>
    <w:p w14:paraId="617A232D" w14:textId="61416E76" w:rsidR="00A554AC" w:rsidRDefault="00A554AC" w:rsidP="00545FE1">
      <w:pPr>
        <w:pStyle w:val="ListBullet"/>
      </w:pPr>
      <w:r>
        <w:t xml:space="preserve">The sponsor has not specifically reviewed the evidence to support the probable </w:t>
      </w:r>
      <w:r w:rsidR="0074479F">
        <w:t>e</w:t>
      </w:r>
      <w:r>
        <w:t xml:space="preserve">xtension of </w:t>
      </w:r>
      <w:r w:rsidR="0074479F">
        <w:t>i</w:t>
      </w:r>
      <w:r w:rsidR="00545FE1">
        <w:t>ndications for midazolam.</w:t>
      </w:r>
    </w:p>
    <w:p w14:paraId="25A46F68" w14:textId="5180B37D" w:rsidR="00A554AC" w:rsidRDefault="00A554AC" w:rsidP="00545FE1">
      <w:pPr>
        <w:pStyle w:val="ListBullet"/>
        <w:rPr>
          <w:rFonts w:asciiTheme="minorHAnsi" w:hAnsiTheme="minorHAnsi" w:cstheme="majorHAnsi"/>
        </w:rPr>
      </w:pPr>
      <w:r>
        <w:rPr>
          <w:rFonts w:asciiTheme="minorHAnsi" w:hAnsiTheme="minorHAnsi" w:cstheme="majorHAnsi"/>
        </w:rPr>
        <w:t xml:space="preserve">Efficacy and safety of midazolam administered via IV, IM, intranasal, </w:t>
      </w:r>
      <w:r w:rsidRPr="00300959">
        <w:rPr>
          <w:rFonts w:asciiTheme="minorHAnsi" w:hAnsiTheme="minorHAnsi" w:cstheme="majorHAnsi"/>
        </w:rPr>
        <w:t>or buccal route for the treatment of seizures in children and adults have been demonstrated in a body of clinical studies and have been confirmed by extensive use in clinical practice</w:t>
      </w:r>
      <w:r w:rsidR="00545FE1">
        <w:rPr>
          <w:rFonts w:asciiTheme="minorHAnsi" w:hAnsiTheme="minorHAnsi" w:cstheme="majorHAnsi"/>
        </w:rPr>
        <w:t>.</w:t>
      </w:r>
      <w:r w:rsidR="006C65D7" w:rsidRPr="00545FE1">
        <w:rPr>
          <w:rStyle w:val="FootnoteReference"/>
          <w:rFonts w:asciiTheme="minorHAnsi" w:hAnsiTheme="minorHAnsi" w:cstheme="majorHAnsi"/>
        </w:rPr>
        <w:footnoteReference w:id="29"/>
      </w:r>
      <w:r w:rsidR="00E95CA7">
        <w:rPr>
          <w:rFonts w:asciiTheme="minorHAnsi" w:hAnsiTheme="minorHAnsi" w:cstheme="majorHAnsi"/>
          <w:vertAlign w:val="superscript"/>
        </w:rPr>
        <w:t>,</w:t>
      </w:r>
      <w:r w:rsidR="006C65D7" w:rsidRPr="00545FE1">
        <w:rPr>
          <w:rStyle w:val="FootnoteReference"/>
          <w:rFonts w:asciiTheme="minorHAnsi" w:hAnsiTheme="minorHAnsi" w:cstheme="majorHAnsi"/>
        </w:rPr>
        <w:footnoteReference w:id="30"/>
      </w:r>
      <w:r w:rsidR="00E95CA7">
        <w:rPr>
          <w:rFonts w:asciiTheme="minorHAnsi" w:hAnsiTheme="minorHAnsi" w:cstheme="majorHAnsi"/>
          <w:vertAlign w:val="superscript"/>
        </w:rPr>
        <w:t>,</w:t>
      </w:r>
      <w:r w:rsidR="00E95E60" w:rsidRPr="00545FE1">
        <w:rPr>
          <w:rStyle w:val="FootnoteReference"/>
          <w:rFonts w:asciiTheme="minorHAnsi" w:hAnsiTheme="minorHAnsi" w:cstheme="majorHAnsi"/>
        </w:rPr>
        <w:footnoteReference w:id="31"/>
      </w:r>
    </w:p>
    <w:p w14:paraId="7163068B" w14:textId="3BADA210" w:rsidR="00A554AC" w:rsidRDefault="00A554AC" w:rsidP="00545FE1">
      <w:pPr>
        <w:pStyle w:val="ListBullet"/>
        <w:rPr>
          <w:rFonts w:asciiTheme="minorHAnsi" w:hAnsiTheme="minorHAnsi" w:cstheme="majorHAnsi"/>
        </w:rPr>
      </w:pPr>
      <w:r>
        <w:rPr>
          <w:rFonts w:asciiTheme="minorHAnsi" w:hAnsiTheme="minorHAnsi"/>
        </w:rPr>
        <w:t>The sponsor submitted c</w:t>
      </w:r>
      <w:r>
        <w:rPr>
          <w:rFonts w:asciiTheme="minorHAnsi" w:hAnsiTheme="minorHAnsi" w:cstheme="majorHAnsi"/>
        </w:rPr>
        <w:t xml:space="preserve">linical evidence for the claimed indication and target population of </w:t>
      </w:r>
      <w:r w:rsidR="00BD2BAB">
        <w:rPr>
          <w:rFonts w:asciiTheme="minorHAnsi" w:hAnsiTheme="minorHAnsi" w:cstheme="majorHAnsi"/>
        </w:rPr>
        <w:t>Zyamis</w:t>
      </w:r>
      <w:r>
        <w:rPr>
          <w:rFonts w:asciiTheme="minorHAnsi" w:hAnsiTheme="minorHAnsi" w:cstheme="majorHAnsi"/>
        </w:rPr>
        <w:t xml:space="preserve"> oromucosal solution (buccal use of midazolam for the treatment of PACS in infants, children and adolescents), in accordance with the approved search strategy</w:t>
      </w:r>
      <w:r w:rsidR="00E71978">
        <w:rPr>
          <w:rFonts w:asciiTheme="minorHAnsi" w:hAnsiTheme="minorHAnsi" w:cstheme="majorHAnsi"/>
        </w:rPr>
        <w:t>.</w:t>
      </w:r>
    </w:p>
    <w:p w14:paraId="177F05B5" w14:textId="0C7404A9" w:rsidR="00A554AC" w:rsidRDefault="00A554AC" w:rsidP="00386A5D">
      <w:r>
        <w:t xml:space="preserve">As part of </w:t>
      </w:r>
      <w:r w:rsidR="00386A5D">
        <w:t>a</w:t>
      </w:r>
      <w:r>
        <w:t xml:space="preserve"> </w:t>
      </w:r>
      <w:r w:rsidRPr="00AB568B">
        <w:t>previous submission</w:t>
      </w:r>
      <w:r w:rsidR="00AB568B">
        <w:t>;</w:t>
      </w:r>
      <w:bookmarkStart w:id="83" w:name="_Ref109291169"/>
      <w:r w:rsidR="00AB568B">
        <w:rPr>
          <w:rStyle w:val="FootnoteReference"/>
        </w:rPr>
        <w:footnoteReference w:id="32"/>
      </w:r>
      <w:bookmarkEnd w:id="83"/>
      <w:r>
        <w:t xml:space="preserve"> the sponsor submitted </w:t>
      </w:r>
      <w:r w:rsidR="00386A5D">
        <w:t>a paper by Datar</w:t>
      </w:r>
      <w:r w:rsidR="00E95CA7">
        <w:t xml:space="preserve"> (2017).</w:t>
      </w:r>
      <w:r w:rsidR="00386A5D">
        <w:rPr>
          <w:rStyle w:val="FootnoteReference"/>
        </w:rPr>
        <w:footnoteReference w:id="33"/>
      </w:r>
    </w:p>
    <w:p w14:paraId="7F0AA606" w14:textId="72E4CB53" w:rsidR="00A554AC" w:rsidRDefault="00A273D4" w:rsidP="00A554AC">
      <w:pPr>
        <w:ind w:left="720"/>
        <w:rPr>
          <w:lang w:eastAsia="ja-JP"/>
        </w:rPr>
      </w:pPr>
      <w:r w:rsidRPr="00385F7F">
        <w:rPr>
          <w:lang w:eastAsia="ja-JP"/>
        </w:rPr>
        <w:t>‘</w:t>
      </w:r>
      <w:r w:rsidR="00A554AC" w:rsidRPr="00385F7F">
        <w:rPr>
          <w:lang w:eastAsia="ja-JP"/>
        </w:rPr>
        <w:t xml:space="preserve">Intravenous (IV) lorazepam is usually the preferred agent when venous access is immediately available based on data from controlled studies. Intramuscular midazolam can be used as an alternate treatment when venous access is not available. A </w:t>
      </w:r>
      <w:r w:rsidR="00B934E5" w:rsidRPr="00385F7F">
        <w:rPr>
          <w:lang w:eastAsia="ja-JP"/>
        </w:rPr>
        <w:t>randomised</w:t>
      </w:r>
      <w:r w:rsidR="00A554AC" w:rsidRPr="00385F7F">
        <w:rPr>
          <w:lang w:eastAsia="ja-JP"/>
        </w:rPr>
        <w:t xml:space="preserve"> double-blind non-inferiority trial compared intramuscular midazolam to IV lorazepam for point-of-care use in the field by paramedics. The study showed that the median time to treatment was 1.2 minutes for the midazolam group and 4.8 minutes for lorazepam group; however, duration of convulsions was slightly longer in the midazolam group compared with lorazepam. The investigators concluded that intramuscular midazolam is as safe and effective as IV lorazepam for prehospital seizure cessatio</w:t>
      </w:r>
      <w:r w:rsidR="00AB568B">
        <w:rPr>
          <w:lang w:eastAsia="ja-JP"/>
        </w:rPr>
        <w:t>n. A recent meta-analysis of 16 </w:t>
      </w:r>
      <w:r w:rsidR="00A554AC" w:rsidRPr="00385F7F">
        <w:rPr>
          <w:lang w:eastAsia="ja-JP"/>
        </w:rPr>
        <w:t>studies found that time to treatment initiation and time to seizure termination were shorter, with intramuscular midazolam as compared with other non-venous medications, which included sublingual lorazepam, buccal midazolam, and rectal diazepam</w:t>
      </w:r>
      <w:r w:rsidRPr="00385F7F">
        <w:rPr>
          <w:lang w:eastAsia="ja-JP"/>
        </w:rPr>
        <w:t>’</w:t>
      </w:r>
      <w:r w:rsidR="00A554AC" w:rsidRPr="00385F7F">
        <w:rPr>
          <w:lang w:eastAsia="ja-JP"/>
        </w:rPr>
        <w:t>.</w:t>
      </w:r>
    </w:p>
    <w:p w14:paraId="4E592C95" w14:textId="1443DFF0" w:rsidR="00E95CA7" w:rsidRPr="00E95CA7" w:rsidRDefault="00E95CA7" w:rsidP="00E95CA7">
      <w:pPr>
        <w:pStyle w:val="ListBullet"/>
      </w:pPr>
      <w:r>
        <w:t>The clinical evaluation reported the following two studies, Talukdar and Chakrabarty (2009);</w:t>
      </w:r>
      <w:r w:rsidRPr="00E95CA7">
        <w:rPr>
          <w:vertAlign w:val="superscript"/>
        </w:rPr>
        <w:fldChar w:fldCharType="begin"/>
      </w:r>
      <w:r w:rsidRPr="00E95CA7">
        <w:rPr>
          <w:vertAlign w:val="superscript"/>
        </w:rPr>
        <w:instrText xml:space="preserve"> NOTEREF _Ref108786213 \h </w:instrText>
      </w:r>
      <w:r>
        <w:rPr>
          <w:vertAlign w:val="superscript"/>
        </w:rPr>
        <w:instrText xml:space="preserve"> \* MERGEFORMAT </w:instrText>
      </w:r>
      <w:r w:rsidRPr="00E95CA7">
        <w:rPr>
          <w:vertAlign w:val="superscript"/>
        </w:rPr>
      </w:r>
      <w:r w:rsidRPr="00E95CA7">
        <w:rPr>
          <w:vertAlign w:val="superscript"/>
        </w:rPr>
        <w:fldChar w:fldCharType="separate"/>
      </w:r>
      <w:r w:rsidR="00AA79CE">
        <w:rPr>
          <w:vertAlign w:val="superscript"/>
        </w:rPr>
        <w:t>34</w:t>
      </w:r>
      <w:r w:rsidRPr="00E95CA7">
        <w:rPr>
          <w:vertAlign w:val="superscript"/>
        </w:rPr>
        <w:fldChar w:fldCharType="end"/>
      </w:r>
      <w:r>
        <w:t xml:space="preserve"> and Tonekaboni et al. (2012);</w:t>
      </w:r>
      <w:r w:rsidRPr="00E95CA7">
        <w:rPr>
          <w:vertAlign w:val="superscript"/>
        </w:rPr>
        <w:fldChar w:fldCharType="begin"/>
      </w:r>
      <w:r w:rsidRPr="00E95CA7">
        <w:rPr>
          <w:vertAlign w:val="superscript"/>
        </w:rPr>
        <w:instrText xml:space="preserve"> NOTEREF _Ref108786258 \h </w:instrText>
      </w:r>
      <w:r>
        <w:rPr>
          <w:vertAlign w:val="superscript"/>
        </w:rPr>
        <w:instrText xml:space="preserve"> \* MERGEFORMAT </w:instrText>
      </w:r>
      <w:r w:rsidRPr="00E95CA7">
        <w:rPr>
          <w:vertAlign w:val="superscript"/>
        </w:rPr>
      </w:r>
      <w:r w:rsidRPr="00E95CA7">
        <w:rPr>
          <w:vertAlign w:val="superscript"/>
        </w:rPr>
        <w:fldChar w:fldCharType="separate"/>
      </w:r>
      <w:r w:rsidR="00AA79CE">
        <w:rPr>
          <w:vertAlign w:val="superscript"/>
        </w:rPr>
        <w:t>35</w:t>
      </w:r>
      <w:r w:rsidRPr="00E95CA7">
        <w:rPr>
          <w:vertAlign w:val="superscript"/>
        </w:rPr>
        <w:fldChar w:fldCharType="end"/>
      </w:r>
      <w:r>
        <w:t xml:space="preserve"> as being pivotal for the submission.</w:t>
      </w:r>
    </w:p>
    <w:p w14:paraId="2C496A26" w14:textId="65F01CB3" w:rsidR="00385F7F" w:rsidRDefault="00385F7F" w:rsidP="00385F7F">
      <w:pPr>
        <w:pStyle w:val="Heading5"/>
        <w:rPr>
          <w:lang w:eastAsia="ja-JP"/>
        </w:rPr>
      </w:pPr>
      <w:bookmarkStart w:id="84" w:name="_Toc509304708"/>
      <w:r>
        <w:rPr>
          <w:lang w:eastAsia="ja-JP"/>
        </w:rPr>
        <w:t>Talukdar and Chakrabarty (2009)</w:t>
      </w:r>
    </w:p>
    <w:p w14:paraId="5E380676" w14:textId="77777777" w:rsidR="00385F7F" w:rsidRDefault="00385F7F" w:rsidP="00385F7F">
      <w:r>
        <w:t>Publication:</w:t>
      </w:r>
    </w:p>
    <w:p w14:paraId="628BB3C1" w14:textId="794550FD" w:rsidR="00385F7F" w:rsidRDefault="00385F7F" w:rsidP="00385F7F">
      <w:pPr>
        <w:ind w:left="720"/>
      </w:pPr>
      <w:r w:rsidRPr="00385F7F">
        <w:t>Talukdar B, Chakrabarty B. Efficacy of buccal midazolam compared to intravenous diazepam in controlling convulsions in children: a randomised controlled trial. Brain Dev. 2009; 31(10)744-9.</w:t>
      </w:r>
      <w:bookmarkStart w:id="85" w:name="_Ref108786213"/>
      <w:r>
        <w:rPr>
          <w:rStyle w:val="FootnoteReference"/>
        </w:rPr>
        <w:footnoteReference w:id="34"/>
      </w:r>
      <w:bookmarkEnd w:id="85"/>
    </w:p>
    <w:bookmarkEnd w:id="84"/>
    <w:p w14:paraId="189CABB6" w14:textId="068B2A92" w:rsidR="00385F7F" w:rsidRDefault="00C07DA2" w:rsidP="00385F7F">
      <w:pPr>
        <w:spacing w:before="0" w:after="0"/>
        <w:rPr>
          <w:rFonts w:ascii="Times New Roman" w:hAnsi="Times New Roman"/>
          <w:sz w:val="24"/>
          <w:szCs w:val="24"/>
          <w:lang w:eastAsia="en-AU"/>
        </w:rPr>
      </w:pPr>
      <w:r>
        <w:rPr>
          <w:lang w:eastAsia="ja-JP"/>
        </w:rPr>
        <w:t>This was a</w:t>
      </w:r>
      <w:r w:rsidR="00385F7F">
        <w:rPr>
          <w:lang w:eastAsia="ja-JP"/>
        </w:rPr>
        <w:t>n open label randomised comparison of either buccal midazolam (0.2</w:t>
      </w:r>
      <w:r>
        <w:rPr>
          <w:lang w:eastAsia="ja-JP"/>
        </w:rPr>
        <w:t xml:space="preserve"> </w:t>
      </w:r>
      <w:r w:rsidR="00385F7F">
        <w:rPr>
          <w:lang w:eastAsia="ja-JP"/>
        </w:rPr>
        <w:t>mg/kg) or IV diazepam (0.3</w:t>
      </w:r>
      <w:r>
        <w:rPr>
          <w:lang w:eastAsia="ja-JP"/>
        </w:rPr>
        <w:t xml:space="preserve"> </w:t>
      </w:r>
      <w:r w:rsidR="00385F7F">
        <w:rPr>
          <w:lang w:eastAsia="ja-JP"/>
        </w:rPr>
        <w:t xml:space="preserve">mg/kg) to control seizures. </w:t>
      </w:r>
      <w:r w:rsidR="00E95CA7">
        <w:rPr>
          <w:lang w:eastAsia="ja-JP"/>
        </w:rPr>
        <w:t>The study was c</w:t>
      </w:r>
      <w:r w:rsidR="00385F7F">
        <w:rPr>
          <w:lang w:eastAsia="ja-JP"/>
        </w:rPr>
        <w:t>onducted in a single centre in India.</w:t>
      </w:r>
    </w:p>
    <w:p w14:paraId="483EFB70" w14:textId="77777777" w:rsidR="00C07DA2" w:rsidRDefault="00C07DA2" w:rsidP="00C07DA2">
      <w:pPr>
        <w:rPr>
          <w:lang w:eastAsia="ja-JP"/>
        </w:rPr>
      </w:pPr>
      <w:r>
        <w:rPr>
          <w:lang w:eastAsia="ja-JP"/>
        </w:rPr>
        <w:t>The object was to evaluate the efficacy and usefulness of buccal midazolam in controlling convulsions in children irrespective of cause by comparing with intravenous diazepam.</w:t>
      </w:r>
    </w:p>
    <w:p w14:paraId="3340D08E" w14:textId="578DF8F8" w:rsidR="00C07DA2" w:rsidRDefault="00C07DA2" w:rsidP="00C07DA2">
      <w:pPr>
        <w:rPr>
          <w:lang w:eastAsia="ja-JP"/>
        </w:rPr>
      </w:pPr>
      <w:r>
        <w:rPr>
          <w:lang w:eastAsia="ja-JP"/>
        </w:rPr>
        <w:t>The primary outcome variable was cessation of all of motor activity (defined as stoppage of all motor activity within or by 5 minutes of administration of the drug signifying complete control of the convulsive episode).</w:t>
      </w:r>
    </w:p>
    <w:p w14:paraId="588D9B65" w14:textId="77777777" w:rsidR="00C07DA2" w:rsidRDefault="00C07DA2" w:rsidP="00C07DA2">
      <w:pPr>
        <w:rPr>
          <w:lang w:eastAsia="ja-JP"/>
        </w:rPr>
      </w:pPr>
      <w:r>
        <w:rPr>
          <w:lang w:eastAsia="ja-JP"/>
        </w:rPr>
        <w:t>In a child with recurrent convulsions, only the first episode was included in the study. Seizure types included were partial and generalized tonic, clonic, and tonic–clonic. Myoclonic, atonic and absence seizures were excluded.</w:t>
      </w:r>
    </w:p>
    <w:p w14:paraId="4B8F5A4A" w14:textId="1ED5ECCF" w:rsidR="00C07DA2" w:rsidRDefault="00C07DA2" w:rsidP="00C07DA2">
      <w:pPr>
        <w:rPr>
          <w:lang w:eastAsia="ja-JP"/>
        </w:rPr>
      </w:pPr>
      <w:r>
        <w:rPr>
          <w:lang w:eastAsia="ja-JP"/>
        </w:rPr>
        <w:t>Statistical analysis was done using chi</w:t>
      </w:r>
      <w:r>
        <w:rPr>
          <w:vertAlign w:val="superscript"/>
          <w:lang w:eastAsia="ja-JP"/>
        </w:rPr>
        <w:t>2</w:t>
      </w:r>
      <w:r>
        <w:rPr>
          <w:lang w:eastAsia="ja-JP"/>
        </w:rPr>
        <w:t>-test and Fisher’s exact test for proportions and Student’s t-test for quantitative means.</w:t>
      </w:r>
    </w:p>
    <w:p w14:paraId="5671D0E0" w14:textId="79FA10AB" w:rsidR="00386A5D" w:rsidRDefault="00C07DA2" w:rsidP="00C07DA2">
      <w:pPr>
        <w:pStyle w:val="Heading6"/>
        <w:rPr>
          <w:lang w:eastAsia="ja-JP"/>
        </w:rPr>
      </w:pPr>
      <w:r>
        <w:t>Study p</w:t>
      </w:r>
      <w:r w:rsidR="00386A5D" w:rsidRPr="00C07DA2">
        <w:t>opulation</w:t>
      </w:r>
      <w:r>
        <w:t>s</w:t>
      </w:r>
    </w:p>
    <w:p w14:paraId="0346E89B" w14:textId="296A8C65" w:rsidR="00386A5D" w:rsidRDefault="00E95CA7" w:rsidP="00C07DA2">
      <w:pPr>
        <w:pStyle w:val="ListBullet"/>
      </w:pPr>
      <w:r>
        <w:t>The o</w:t>
      </w:r>
      <w:r w:rsidR="00386A5D" w:rsidRPr="000F1F9C">
        <w:t xml:space="preserve">verall patient population </w:t>
      </w:r>
      <w:r w:rsidR="00C07DA2">
        <w:t xml:space="preserve">involved 120 children, 60 to receive </w:t>
      </w:r>
      <w:r w:rsidR="00386A5D" w:rsidRPr="000F1F9C">
        <w:t xml:space="preserve">buccal midazolam </w:t>
      </w:r>
      <w:r w:rsidR="00F91755" w:rsidRPr="000F1F9C">
        <w:t>and</w:t>
      </w:r>
      <w:r w:rsidR="00C07DA2">
        <w:t xml:space="preserve"> 60 to </w:t>
      </w:r>
      <w:r w:rsidR="00BC4DC3">
        <w:t>receive</w:t>
      </w:r>
      <w:r w:rsidR="00C07DA2">
        <w:t xml:space="preserve"> IV diazepam.</w:t>
      </w:r>
    </w:p>
    <w:p w14:paraId="06A44B1E" w14:textId="01151AF8" w:rsidR="00C07DA2" w:rsidRPr="000F1F9C" w:rsidRDefault="00C07DA2" w:rsidP="00C07DA2">
      <w:pPr>
        <w:pStyle w:val="ListBullet"/>
      </w:pPr>
      <w:r>
        <w:t>Overall</w:t>
      </w:r>
      <w:r w:rsidR="00E95CA7">
        <w:t>, 64 children (53.3%) were less than</w:t>
      </w:r>
      <w:r>
        <w:t xml:space="preserve"> 1 year, 24 (20.2%) were 2 to 5 years and 32 (26.7%) were 6 to 12 years of age.</w:t>
      </w:r>
    </w:p>
    <w:p w14:paraId="76FC44EA" w14:textId="7683066F" w:rsidR="00386A5D" w:rsidRDefault="00C07DA2" w:rsidP="00C07DA2">
      <w:pPr>
        <w:pStyle w:val="ListBullet"/>
      </w:pPr>
      <w:r>
        <w:t>Of the</w:t>
      </w:r>
      <w:r w:rsidR="00386A5D" w:rsidRPr="000F1F9C">
        <w:t xml:space="preserve"> 32 children between 6 and 12 years </w:t>
      </w:r>
      <w:r>
        <w:t>of age,</w:t>
      </w:r>
      <w:r w:rsidR="00386A5D" w:rsidRPr="000F1F9C">
        <w:t xml:space="preserve"> 16 </w:t>
      </w:r>
      <w:r>
        <w:t xml:space="preserve">children </w:t>
      </w:r>
      <w:r w:rsidR="00386A5D" w:rsidRPr="000F1F9C">
        <w:t>buccal midazolam (26.7</w:t>
      </w:r>
      <w:r w:rsidR="00386A5D">
        <w:rPr>
          <w:b/>
        </w:rPr>
        <w:t>%</w:t>
      </w:r>
      <w:r w:rsidR="00386A5D">
        <w:t xml:space="preserve">) </w:t>
      </w:r>
      <w:r w:rsidR="00F91755">
        <w:t>and</w:t>
      </w:r>
      <w:r>
        <w:t xml:space="preserve"> n </w:t>
      </w:r>
      <w:r w:rsidR="00386A5D">
        <w:t xml:space="preserve">16 </w:t>
      </w:r>
      <w:r>
        <w:t xml:space="preserve">children received </w:t>
      </w:r>
      <w:r w:rsidR="00386A5D">
        <w:t>IV diazepam (26.7%)</w:t>
      </w:r>
    </w:p>
    <w:p w14:paraId="4E57B865" w14:textId="77777777" w:rsidR="00A554AC" w:rsidRPr="00C07DA2" w:rsidRDefault="00A554AC" w:rsidP="00A554AC">
      <w:r>
        <w:rPr>
          <w:lang w:eastAsia="ja-JP"/>
        </w:rPr>
        <w:t>The relationship of the diazepam used to the currently Australia registered product is unclear, as is that of the buccal preparation used to the formulation of midazolam proposed for use in Australia.</w:t>
      </w:r>
    </w:p>
    <w:p w14:paraId="4726D662" w14:textId="77777777" w:rsidR="00D86EDC" w:rsidRDefault="00A554AC" w:rsidP="00D86EDC">
      <w:pPr>
        <w:pStyle w:val="Heading6"/>
        <w:rPr>
          <w:lang w:eastAsia="ja-JP"/>
        </w:rPr>
      </w:pPr>
      <w:r w:rsidRPr="00D86EDC">
        <w:rPr>
          <w:lang w:eastAsia="ja-JP"/>
        </w:rPr>
        <w:t>Baseline data</w:t>
      </w:r>
    </w:p>
    <w:p w14:paraId="2927717F" w14:textId="2572FB7E" w:rsidR="00A554AC" w:rsidRDefault="00A554AC" w:rsidP="00A554AC">
      <w:pPr>
        <w:rPr>
          <w:lang w:eastAsia="ja-JP"/>
        </w:rPr>
      </w:pPr>
      <w:r w:rsidRPr="00D86EDC">
        <w:rPr>
          <w:iCs/>
          <w:lang w:eastAsia="ja-JP"/>
        </w:rPr>
        <w:t>Out of</w:t>
      </w:r>
      <w:r>
        <w:rPr>
          <w:lang w:eastAsia="ja-JP"/>
        </w:rPr>
        <w:t xml:space="preserve"> a total of 120 children:</w:t>
      </w:r>
    </w:p>
    <w:p w14:paraId="6939CDEE" w14:textId="049DD28E" w:rsidR="00A554AC" w:rsidRDefault="00E95CA7" w:rsidP="00A12C97">
      <w:pPr>
        <w:pStyle w:val="ListBullet"/>
      </w:pPr>
      <w:r>
        <w:t>64 children (53.3%) were less than</w:t>
      </w:r>
      <w:r w:rsidR="00A554AC">
        <w:t xml:space="preserve"> 1 year</w:t>
      </w:r>
      <w:r>
        <w:t xml:space="preserve"> old;</w:t>
      </w:r>
    </w:p>
    <w:p w14:paraId="699E1786" w14:textId="7798B550" w:rsidR="00A554AC" w:rsidRDefault="00E95CA7" w:rsidP="00A12C97">
      <w:pPr>
        <w:pStyle w:val="ListBullet"/>
      </w:pPr>
      <w:r>
        <w:t>24 (20.2%) were between 2 and 5 years old; and</w:t>
      </w:r>
    </w:p>
    <w:p w14:paraId="70F95761" w14:textId="50A0C67B" w:rsidR="00A554AC" w:rsidRDefault="00A554AC" w:rsidP="00A12C97">
      <w:pPr>
        <w:pStyle w:val="ListBullet"/>
      </w:pPr>
      <w:r w:rsidRPr="00E95CA7">
        <w:t>32</w:t>
      </w:r>
      <w:r w:rsidR="00E95CA7">
        <w:t xml:space="preserve"> (26.7%) were between 6 and</w:t>
      </w:r>
      <w:r>
        <w:t xml:space="preserve"> 12 years old.</w:t>
      </w:r>
    </w:p>
    <w:p w14:paraId="5BE3CF57" w14:textId="7383C9ED" w:rsidR="00A12C97" w:rsidRDefault="00A12C97" w:rsidP="00A12C97">
      <w:pPr>
        <w:pStyle w:val="TableTitle"/>
      </w:pPr>
      <w:r>
        <w:t xml:space="preserve">Table </w:t>
      </w:r>
      <w:fldSimple w:instr=" SEQ Table \* ARABIC ">
        <w:r w:rsidR="00AA79CE">
          <w:rPr>
            <w:noProof/>
          </w:rPr>
          <w:t>3</w:t>
        </w:r>
      </w:fldSimple>
      <w:r>
        <w:t xml:space="preserve">: </w:t>
      </w:r>
      <w:r w:rsidR="006E08BB" w:rsidRPr="006E08BB">
        <w:t>Talukdar and Chakrabarty (2009)</w:t>
      </w:r>
      <w:r w:rsidR="006E08BB">
        <w:t xml:space="preserve"> </w:t>
      </w:r>
      <w:r>
        <w:t>Population demographic and seizure characteristics</w:t>
      </w:r>
    </w:p>
    <w:p w14:paraId="03436896" w14:textId="3B9FBD7A" w:rsidR="00A554AC" w:rsidRDefault="00A12C97" w:rsidP="00A12C97">
      <w:r>
        <w:rPr>
          <w:noProof/>
          <w:sz w:val="16"/>
          <w:lang w:val="en-GB" w:eastAsia="en-GB"/>
        </w:rPr>
        <w:drawing>
          <wp:inline distT="0" distB="0" distL="0" distR="0" wp14:anchorId="47A6E69D" wp14:editId="0CB92239">
            <wp:extent cx="3489035" cy="16097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05339" cy="1617247"/>
                    </a:xfrm>
                    <a:prstGeom prst="rect">
                      <a:avLst/>
                    </a:prstGeom>
                    <a:noFill/>
                    <a:ln>
                      <a:noFill/>
                    </a:ln>
                  </pic:spPr>
                </pic:pic>
              </a:graphicData>
            </a:graphic>
          </wp:inline>
        </w:drawing>
      </w:r>
    </w:p>
    <w:p w14:paraId="7A34D113" w14:textId="62CE3E24" w:rsidR="00A12C97" w:rsidRDefault="00A12C97" w:rsidP="00A12C97">
      <w:pPr>
        <w:pStyle w:val="TableDescription"/>
      </w:pPr>
      <w:r>
        <w:t xml:space="preserve">Abbreviations: GTCS = </w:t>
      </w:r>
      <w:r w:rsidRPr="00A12C97">
        <w:t>Generalized tonic-clonic seizure</w:t>
      </w:r>
      <w:r>
        <w:t>; IV DZ = intravenous diazepam; MDZ = midazolam; SD = standard deviation.</w:t>
      </w:r>
    </w:p>
    <w:p w14:paraId="1D32D45B" w14:textId="208FA0B3" w:rsidR="00A12C97" w:rsidRPr="00A12C97" w:rsidRDefault="00A12C97" w:rsidP="00A12C97">
      <w:pPr>
        <w:pStyle w:val="TableDescription"/>
      </w:pPr>
      <w:r>
        <w:t xml:space="preserve">Source: </w:t>
      </w:r>
      <w:r w:rsidRPr="00A12C97">
        <w:t xml:space="preserve">Talukdar B, Chakrabarty B. Efficacy of buccal midazolam compared to intravenous diazepam in controlling convulsions in children: a randomised controlled trial. </w:t>
      </w:r>
      <w:r w:rsidRPr="00A12C97">
        <w:rPr>
          <w:i/>
        </w:rPr>
        <w:t xml:space="preserve">Brain Dev. </w:t>
      </w:r>
      <w:r w:rsidRPr="00A12C97">
        <w:t>2009; 31(10)744-9.</w:t>
      </w:r>
    </w:p>
    <w:p w14:paraId="66A0112E" w14:textId="6224E1EB" w:rsidR="00A554AC" w:rsidRDefault="00A554AC" w:rsidP="006E08BB">
      <w:pPr>
        <w:pStyle w:val="Heading6"/>
        <w:rPr>
          <w:lang w:eastAsia="ja-JP"/>
        </w:rPr>
      </w:pPr>
      <w:r>
        <w:rPr>
          <w:lang w:eastAsia="ja-JP"/>
        </w:rPr>
        <w:t>Primary outcome</w:t>
      </w:r>
      <w:r w:rsidR="00D86EDC">
        <w:rPr>
          <w:lang w:eastAsia="ja-JP"/>
        </w:rPr>
        <w:t>s</w:t>
      </w:r>
    </w:p>
    <w:p w14:paraId="25BFF24C" w14:textId="1BF0A8B8" w:rsidR="00A554AC" w:rsidRDefault="00A554AC" w:rsidP="006E08BB">
      <w:pPr>
        <w:pStyle w:val="ListBullet"/>
      </w:pPr>
      <w:r>
        <w:t xml:space="preserve">The patient numbers were </w:t>
      </w:r>
      <w:r w:rsidR="00F54D8F">
        <w:t>small,</w:t>
      </w:r>
      <w:r>
        <w:t xml:space="preserve"> and the investigators were unable to show any significant difference either for the primary outcome variable or in the subgroups of individual seizure types. The exception was for </w:t>
      </w:r>
      <w:r>
        <w:rPr>
          <w:bCs/>
        </w:rPr>
        <w:t>complex partial seizures, where IV diazepam was statistically superior to buccal midazolam.</w:t>
      </w:r>
    </w:p>
    <w:p w14:paraId="6E5FD1BD" w14:textId="24D7E49D" w:rsidR="00A554AC" w:rsidRDefault="00A554AC" w:rsidP="00E95CA7">
      <w:pPr>
        <w:pStyle w:val="ListBullet"/>
      </w:pPr>
      <w:r>
        <w:t>As to be expected, buccal midazolam was statistically superior to IV diazepam in both the time taken to initiate treatment and, the time taken from the decision to initiate treatment to control of seizures (</w:t>
      </w:r>
      <w:r w:rsidR="006E08BB">
        <w:t>that is, time to</w:t>
      </w:r>
      <w:r>
        <w:t xml:space="preserve"> administer treatment).</w:t>
      </w:r>
    </w:p>
    <w:p w14:paraId="6E750F2B" w14:textId="09EBF074" w:rsidR="00A554AC" w:rsidRDefault="00E95CA7" w:rsidP="00E95CA7">
      <w:pPr>
        <w:pStyle w:val="ListBullet"/>
      </w:pPr>
      <w:r>
        <w:t>Intravenous</w:t>
      </w:r>
      <w:r w:rsidR="00A554AC">
        <w:t xml:space="preserve"> diazepam was statistically superior to buccal midazolam in the effect time (the time to seizure control after drug administration).</w:t>
      </w:r>
    </w:p>
    <w:p w14:paraId="104A13A2" w14:textId="37C96F49" w:rsidR="00A12C97" w:rsidRDefault="00A12C97" w:rsidP="00A12C97">
      <w:pPr>
        <w:pStyle w:val="TableTitle"/>
      </w:pPr>
      <w:r>
        <w:t xml:space="preserve">Table </w:t>
      </w:r>
      <w:fldSimple w:instr=" SEQ Table \* ARABIC ">
        <w:r w:rsidR="00AA79CE">
          <w:rPr>
            <w:noProof/>
          </w:rPr>
          <w:t>4</w:t>
        </w:r>
      </w:fldSimple>
      <w:r>
        <w:t xml:space="preserve">: </w:t>
      </w:r>
      <w:r w:rsidR="006E08BB" w:rsidRPr="006E08BB">
        <w:t>Talukdar and Chakrabarty (2009)</w:t>
      </w:r>
      <w:r w:rsidR="006E08BB">
        <w:t xml:space="preserve"> </w:t>
      </w:r>
      <w:r w:rsidRPr="00E373FB">
        <w:t>Control of convulsive episodes</w:t>
      </w:r>
    </w:p>
    <w:p w14:paraId="20FF12BD" w14:textId="5094A44F" w:rsidR="00A554AC" w:rsidRDefault="00A554AC" w:rsidP="00A554AC">
      <w:pPr>
        <w:spacing w:before="0" w:after="0"/>
        <w:rPr>
          <w:sz w:val="16"/>
          <w:lang w:eastAsia="ja-JP"/>
        </w:rPr>
      </w:pPr>
      <w:r>
        <w:rPr>
          <w:noProof/>
          <w:sz w:val="16"/>
          <w:lang w:val="en-GB" w:eastAsia="en-GB"/>
        </w:rPr>
        <w:drawing>
          <wp:inline distT="0" distB="0" distL="0" distR="0" wp14:anchorId="1B18BB3E" wp14:editId="357FE586">
            <wp:extent cx="4919003" cy="1909989"/>
            <wp:effectExtent l="0" t="0" r="0" b="0"/>
            <wp:docPr id="25" name="Picture 25" descr="Table 3: Control of convulsive epis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 3: Control of convulsive episod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25838" cy="1912643"/>
                    </a:xfrm>
                    <a:prstGeom prst="rect">
                      <a:avLst/>
                    </a:prstGeom>
                    <a:noFill/>
                    <a:ln>
                      <a:noFill/>
                    </a:ln>
                  </pic:spPr>
                </pic:pic>
              </a:graphicData>
            </a:graphic>
          </wp:inline>
        </w:drawing>
      </w:r>
    </w:p>
    <w:p w14:paraId="38E7A3CE" w14:textId="0380F2D6" w:rsidR="00A554AC" w:rsidRDefault="00A12C97" w:rsidP="00A12C97">
      <w:pPr>
        <w:pStyle w:val="TableDescription"/>
        <w:rPr>
          <w:lang w:eastAsia="ja-JP"/>
        </w:rPr>
      </w:pPr>
      <w:r>
        <w:rPr>
          <w:lang w:eastAsia="ja-JP"/>
        </w:rPr>
        <w:t>CPS = complex partial seizures; GTCS = g</w:t>
      </w:r>
      <w:r w:rsidR="00A554AC">
        <w:rPr>
          <w:lang w:eastAsia="ja-JP"/>
        </w:rPr>
        <w:t>eneralised tonic-clonic seizure</w:t>
      </w:r>
      <w:r>
        <w:rPr>
          <w:lang w:eastAsia="ja-JP"/>
        </w:rPr>
        <w:t>; SD = standard deviation</w:t>
      </w:r>
    </w:p>
    <w:p w14:paraId="2B13EC83" w14:textId="372991A5" w:rsidR="00C07DA2" w:rsidRDefault="006E08BB" w:rsidP="00A12C97">
      <w:pPr>
        <w:pStyle w:val="TableDescription"/>
      </w:pPr>
      <w:r>
        <w:t xml:space="preserve">Source: </w:t>
      </w:r>
      <w:r w:rsidR="00A12C97" w:rsidRPr="00A12C97">
        <w:t xml:space="preserve">Talukdar B, Chakrabarty B. Efficacy of buccal midazolam compared to intravenous diazepam in controlling convulsions in children: a randomised controlled trial. </w:t>
      </w:r>
      <w:r w:rsidR="00A12C97" w:rsidRPr="00A12C97">
        <w:rPr>
          <w:i/>
        </w:rPr>
        <w:t xml:space="preserve">Brain Dev. </w:t>
      </w:r>
      <w:r w:rsidR="00A12C97" w:rsidRPr="00A12C97">
        <w:t>2009; 31(10)744-9.</w:t>
      </w:r>
    </w:p>
    <w:p w14:paraId="50C52D73" w14:textId="1A53BAAC" w:rsidR="006E08BB" w:rsidRDefault="006E08BB" w:rsidP="00F54D8F">
      <w:pPr>
        <w:pStyle w:val="Heading6"/>
        <w:pageBreakBefore/>
      </w:pPr>
      <w:r>
        <w:t>Delegate comments</w:t>
      </w:r>
    </w:p>
    <w:p w14:paraId="027884C0" w14:textId="77777777" w:rsidR="006E08BB" w:rsidRDefault="006E08BB" w:rsidP="006E08BB">
      <w:pPr>
        <w:pStyle w:val="ListBullet"/>
        <w:numPr>
          <w:ilvl w:val="0"/>
          <w:numId w:val="0"/>
        </w:numPr>
        <w:rPr>
          <w:lang w:eastAsia="ja-JP"/>
        </w:rPr>
      </w:pPr>
      <w:r w:rsidRPr="00D86EDC">
        <w:rPr>
          <w:lang w:eastAsia="ja-JP"/>
        </w:rPr>
        <w:t>The Delegate commented that</w:t>
      </w:r>
      <w:r>
        <w:rPr>
          <w:lang w:eastAsia="ja-JP"/>
        </w:rPr>
        <w:t>:</w:t>
      </w:r>
    </w:p>
    <w:p w14:paraId="64896C53" w14:textId="77777777" w:rsidR="006E08BB" w:rsidRPr="006E08BB" w:rsidRDefault="006E08BB" w:rsidP="006E08BB">
      <w:pPr>
        <w:pStyle w:val="ListBullet"/>
      </w:pPr>
      <w:r w:rsidRPr="006E08BB">
        <w:t>This published study used IV diazepam as comparator which is currently approved for epilepsy via the IV administration. The relationship of the diazepam used to the currently Australian registered product is unclear as is that of the buccal preparation used to the proposed formulation of midazolam.</w:t>
      </w:r>
    </w:p>
    <w:p w14:paraId="070D9D4D" w14:textId="4DEA9A35" w:rsidR="006E08BB" w:rsidRPr="006E08BB" w:rsidRDefault="006E08BB" w:rsidP="006E08BB">
      <w:pPr>
        <w:pStyle w:val="ListBullet"/>
      </w:pPr>
      <w:r w:rsidRPr="006E08BB">
        <w:t xml:space="preserve">Insufficient patient exposure for the proposed age range in </w:t>
      </w:r>
      <w:r w:rsidR="00E95CA7">
        <w:t>the previous withdrawn submission to the TGA.</w:t>
      </w:r>
      <w:r w:rsidR="00E95CA7" w:rsidRPr="00E95CA7">
        <w:rPr>
          <w:highlight w:val="yellow"/>
          <w:vertAlign w:val="superscript"/>
        </w:rPr>
        <w:fldChar w:fldCharType="begin"/>
      </w:r>
      <w:r w:rsidR="00E95CA7" w:rsidRPr="00E95CA7">
        <w:rPr>
          <w:vertAlign w:val="superscript"/>
        </w:rPr>
        <w:instrText xml:space="preserve"> NOTEREF _Ref109291169 \h </w:instrText>
      </w:r>
      <w:r w:rsidR="00E95CA7">
        <w:rPr>
          <w:highlight w:val="yellow"/>
          <w:vertAlign w:val="superscript"/>
        </w:rPr>
        <w:instrText xml:space="preserve"> \* MERGEFORMAT </w:instrText>
      </w:r>
      <w:r w:rsidR="00E95CA7" w:rsidRPr="00E95CA7">
        <w:rPr>
          <w:highlight w:val="yellow"/>
          <w:vertAlign w:val="superscript"/>
        </w:rPr>
      </w:r>
      <w:r w:rsidR="00E95CA7" w:rsidRPr="00E95CA7">
        <w:rPr>
          <w:highlight w:val="yellow"/>
          <w:vertAlign w:val="superscript"/>
        </w:rPr>
        <w:fldChar w:fldCharType="separate"/>
      </w:r>
      <w:r w:rsidR="00AA79CE">
        <w:rPr>
          <w:vertAlign w:val="superscript"/>
        </w:rPr>
        <w:t>32</w:t>
      </w:r>
      <w:r w:rsidR="00E95CA7" w:rsidRPr="00E95CA7">
        <w:rPr>
          <w:highlight w:val="yellow"/>
          <w:vertAlign w:val="superscript"/>
        </w:rPr>
        <w:fldChar w:fldCharType="end"/>
      </w:r>
    </w:p>
    <w:p w14:paraId="305841BB" w14:textId="4AF09A82" w:rsidR="006E08BB" w:rsidRPr="006E08BB" w:rsidRDefault="006E08BB" w:rsidP="006E08BB">
      <w:pPr>
        <w:pStyle w:val="ListBullet"/>
      </w:pPr>
      <w:r>
        <w:t>Issues with product identification.</w:t>
      </w:r>
    </w:p>
    <w:p w14:paraId="2CA666B6" w14:textId="1B10ECFE" w:rsidR="00A554AC" w:rsidRDefault="006E08BB" w:rsidP="00D86EDC">
      <w:pPr>
        <w:pStyle w:val="ListBullet"/>
      </w:pPr>
      <w:r>
        <w:t>This w</w:t>
      </w:r>
      <w:r w:rsidRPr="006E08BB">
        <w:t>as an open label study</w:t>
      </w:r>
    </w:p>
    <w:p w14:paraId="351F32CB" w14:textId="32D0709A" w:rsidR="00D86EDC" w:rsidRDefault="006E08BB" w:rsidP="006E08BB">
      <w:pPr>
        <w:pStyle w:val="Heading5"/>
        <w:rPr>
          <w:lang w:eastAsia="ja-JP"/>
        </w:rPr>
      </w:pPr>
      <w:r w:rsidRPr="000F1F9C">
        <w:rPr>
          <w:lang w:eastAsia="ja-JP"/>
        </w:rPr>
        <w:t>Tonekaboni</w:t>
      </w:r>
      <w:r>
        <w:rPr>
          <w:lang w:eastAsia="ja-JP"/>
        </w:rPr>
        <w:t xml:space="preserve"> et al. (2012)</w:t>
      </w:r>
    </w:p>
    <w:p w14:paraId="4EDB070F" w14:textId="77777777" w:rsidR="006E08BB" w:rsidRDefault="006E08BB" w:rsidP="00F91755">
      <w:pPr>
        <w:rPr>
          <w:lang w:eastAsia="ja-JP"/>
        </w:rPr>
      </w:pPr>
      <w:r>
        <w:rPr>
          <w:lang w:eastAsia="ja-JP"/>
        </w:rPr>
        <w:t>Publication:</w:t>
      </w:r>
    </w:p>
    <w:p w14:paraId="02D70A95" w14:textId="08E26F96" w:rsidR="00D86EDC" w:rsidRDefault="006E08BB" w:rsidP="006E08BB">
      <w:pPr>
        <w:ind w:left="720"/>
        <w:rPr>
          <w:lang w:eastAsia="ja-JP"/>
        </w:rPr>
      </w:pPr>
      <w:r w:rsidRPr="000F1F9C">
        <w:rPr>
          <w:lang w:eastAsia="ja-JP"/>
        </w:rPr>
        <w:t xml:space="preserve">Tonekaboni S., Shamsabadi FM, Anvari S, Mazrooei A, and Ghofrani M. </w:t>
      </w:r>
      <w:r>
        <w:rPr>
          <w:lang w:eastAsia="ja-JP"/>
        </w:rPr>
        <w:t>A </w:t>
      </w:r>
      <w:r w:rsidR="00D86EDC">
        <w:rPr>
          <w:lang w:eastAsia="ja-JP"/>
        </w:rPr>
        <w:t xml:space="preserve">comparison of </w:t>
      </w:r>
      <w:r w:rsidR="00D86EDC" w:rsidRPr="000F1F9C">
        <w:rPr>
          <w:lang w:eastAsia="ja-JP"/>
        </w:rPr>
        <w:t xml:space="preserve">buccal midazolam and intravenous diazepam for the acute treatment of seizures in children. </w:t>
      </w:r>
      <w:r w:rsidR="00D86EDC" w:rsidRPr="006E08BB">
        <w:rPr>
          <w:i/>
          <w:lang w:eastAsia="ja-JP"/>
        </w:rPr>
        <w:t>Iran J Pediatr</w:t>
      </w:r>
      <w:r w:rsidR="00D86EDC" w:rsidRPr="000F1F9C">
        <w:rPr>
          <w:lang w:eastAsia="ja-JP"/>
        </w:rPr>
        <w:t xml:space="preserve"> 2012; 22(3):303-308.</w:t>
      </w:r>
      <w:bookmarkStart w:id="86" w:name="_Ref108786258"/>
      <w:r>
        <w:rPr>
          <w:rStyle w:val="FootnoteReference"/>
          <w:lang w:eastAsia="ja-JP"/>
        </w:rPr>
        <w:footnoteReference w:id="35"/>
      </w:r>
      <w:bookmarkEnd w:id="86"/>
    </w:p>
    <w:p w14:paraId="7330141E" w14:textId="77777777" w:rsidR="00E416AD" w:rsidRDefault="00E416AD" w:rsidP="00E416AD">
      <w:r>
        <w:t>This was an open, randomized, controlled study with the objective:</w:t>
      </w:r>
    </w:p>
    <w:p w14:paraId="1680C055" w14:textId="77777777" w:rsidR="00E416AD" w:rsidRDefault="00E416AD" w:rsidP="00E416AD">
      <w:pPr>
        <w:ind w:left="720"/>
      </w:pPr>
      <w:r>
        <w:t>‘to determine whether buccal midazolam is efficient in control of convulsive episodes in children irrespective of the aetiology of the seizure in comparison with intravenous diazepam, namely, the best accepted way of acute seizure episodes therapy.’</w:t>
      </w:r>
    </w:p>
    <w:p w14:paraId="645F330D" w14:textId="5860AEBC" w:rsidR="00E416AD" w:rsidRDefault="00E416AD" w:rsidP="00E416AD">
      <w:r>
        <w:t>The primary outcome variable was clinical cessation of overt seizure activity. If the seizure was not controlled within five minutes of administration of buccal midazolam or intravenous diazepam, the second dose of the same drug was given to patient.</w:t>
      </w:r>
    </w:p>
    <w:p w14:paraId="101C3FA9" w14:textId="4FA7B657" w:rsidR="00E416AD" w:rsidRDefault="00E416AD" w:rsidP="00E416AD">
      <w:r>
        <w:t>Study treatments were:</w:t>
      </w:r>
    </w:p>
    <w:p w14:paraId="22CD7373" w14:textId="252C4F69" w:rsidR="00E416AD" w:rsidRDefault="00E416AD" w:rsidP="00E416AD">
      <w:pPr>
        <w:pStyle w:val="ListBullet"/>
      </w:pPr>
      <w:r>
        <w:t>Buccal midazolam (n = 32 Epistatus/Zyamis midazolam buccal liquid, and midazolam maleate) was used with following doses:</w:t>
      </w:r>
    </w:p>
    <w:p w14:paraId="5EF229DC" w14:textId="77777777" w:rsidR="00E416AD" w:rsidRDefault="00E416AD" w:rsidP="00E416AD">
      <w:pPr>
        <w:pStyle w:val="ListBullet2"/>
      </w:pPr>
      <w:r>
        <w:t>2.5 mg for children aged 6 to 12 months,</w:t>
      </w:r>
    </w:p>
    <w:p w14:paraId="4D0FA7C7" w14:textId="77777777" w:rsidR="00E416AD" w:rsidRDefault="00E416AD" w:rsidP="00E416AD">
      <w:pPr>
        <w:pStyle w:val="ListBullet2"/>
      </w:pPr>
      <w:r>
        <w:t>5 mg for children aged 1 to 4 years,</w:t>
      </w:r>
    </w:p>
    <w:p w14:paraId="4896A51C" w14:textId="28EAE91B" w:rsidR="00E416AD" w:rsidRDefault="00E416AD" w:rsidP="00E416AD">
      <w:pPr>
        <w:pStyle w:val="ListBullet2"/>
      </w:pPr>
      <w:r>
        <w:t>7.5 mg for children aged 5 to 9 years, and</w:t>
      </w:r>
    </w:p>
    <w:p w14:paraId="042BACAF" w14:textId="77777777" w:rsidR="00E416AD" w:rsidRDefault="00E416AD" w:rsidP="00E416AD">
      <w:pPr>
        <w:pStyle w:val="ListBullet2"/>
      </w:pPr>
      <w:r>
        <w:t>10 mg for children aged 10 years or older.</w:t>
      </w:r>
    </w:p>
    <w:p w14:paraId="33366013" w14:textId="38C1F6F3" w:rsidR="00E416AD" w:rsidRDefault="00E416AD" w:rsidP="00E416AD">
      <w:pPr>
        <w:pStyle w:val="ListBullet"/>
      </w:pPr>
      <w:r>
        <w:t>Intravenous diazepam (n = 60) was administered in a dosage of 0.3 mg/kg/dose.</w:t>
      </w:r>
    </w:p>
    <w:p w14:paraId="48109763" w14:textId="77777777" w:rsidR="00E416AD" w:rsidRDefault="00E416AD" w:rsidP="00E416AD">
      <w:r>
        <w:t>Inclusion criteria:</w:t>
      </w:r>
    </w:p>
    <w:p w14:paraId="3F8C8CAD" w14:textId="2338D5E4" w:rsidR="00E416AD" w:rsidRDefault="00E416AD" w:rsidP="00E416AD">
      <w:pPr>
        <w:pStyle w:val="ListBullet"/>
      </w:pPr>
      <w:r>
        <w:t>documented seizure persisting at the time of administration of anticonvulsant;</w:t>
      </w:r>
    </w:p>
    <w:p w14:paraId="0DFDAF47" w14:textId="63923588" w:rsidR="00E416AD" w:rsidRDefault="00E416AD" w:rsidP="00E416AD">
      <w:pPr>
        <w:pStyle w:val="ListBullet"/>
      </w:pPr>
      <w:r>
        <w:t>types of atonic, tonic and tonic/clonic seizures;</w:t>
      </w:r>
    </w:p>
    <w:p w14:paraId="5839F5E2" w14:textId="63350526" w:rsidR="00E416AD" w:rsidRDefault="00E416AD" w:rsidP="00E416AD">
      <w:pPr>
        <w:pStyle w:val="ListBullet"/>
      </w:pPr>
      <w:r>
        <w:t>seizure lasting for more than 5 minutes.</w:t>
      </w:r>
    </w:p>
    <w:p w14:paraId="429AB6B1" w14:textId="1D9174E3" w:rsidR="00E416AD" w:rsidRDefault="00E416AD" w:rsidP="00E416AD">
      <w:r>
        <w:t>The exclusion criteria were:</w:t>
      </w:r>
    </w:p>
    <w:p w14:paraId="445F8B1A" w14:textId="75E27EF4" w:rsidR="00E416AD" w:rsidRDefault="00E416AD" w:rsidP="00E416AD">
      <w:pPr>
        <w:pStyle w:val="ListBullet"/>
      </w:pPr>
      <w:r>
        <w:t xml:space="preserve">patients who received intravenous diazepam or </w:t>
      </w:r>
      <w:r w:rsidR="00E95CA7">
        <w:t>other benzodiazepines within 24 </w:t>
      </w:r>
      <w:r>
        <w:t>hours prior to presentation of the seizure;</w:t>
      </w:r>
    </w:p>
    <w:p w14:paraId="20684661" w14:textId="0D1DF816" w:rsidR="00E416AD" w:rsidRDefault="00E416AD" w:rsidP="00E416AD">
      <w:pPr>
        <w:pStyle w:val="ListBullet"/>
      </w:pPr>
      <w:r>
        <w:t>previous history of narrow angle acute glaucoma.</w:t>
      </w:r>
    </w:p>
    <w:p w14:paraId="1BE43F36" w14:textId="60EFDE0A" w:rsidR="00D86EDC" w:rsidRDefault="00E416AD" w:rsidP="00852900">
      <w:pPr>
        <w:pStyle w:val="Heading6"/>
        <w:rPr>
          <w:lang w:eastAsia="ja-JP"/>
        </w:rPr>
      </w:pPr>
      <w:r>
        <w:rPr>
          <w:lang w:eastAsia="ja-JP"/>
        </w:rPr>
        <w:t>Study population</w:t>
      </w:r>
    </w:p>
    <w:p w14:paraId="00807F2A" w14:textId="72F098CC" w:rsidR="00E416AD" w:rsidRDefault="00D86EDC" w:rsidP="009C3BE5">
      <w:r>
        <w:t xml:space="preserve">32 patients </w:t>
      </w:r>
      <w:r w:rsidR="00E416AD">
        <w:t xml:space="preserve">received buccal midazolam </w:t>
      </w:r>
      <w:r>
        <w:t>overall</w:t>
      </w:r>
      <w:r w:rsidR="009C3BE5">
        <w:t>, with an a</w:t>
      </w:r>
      <w:r w:rsidR="00E416AD">
        <w:t>ge</w:t>
      </w:r>
      <w:r>
        <w:t xml:space="preserve"> range: </w:t>
      </w:r>
      <w:r w:rsidR="00E416AD">
        <w:t>from 6 to 60 months</w:t>
      </w:r>
      <w:r w:rsidR="009C3BE5">
        <w:t>.</w:t>
      </w:r>
    </w:p>
    <w:p w14:paraId="389C5566" w14:textId="75481ADD" w:rsidR="00E416AD" w:rsidRDefault="00E416AD" w:rsidP="009C3BE5">
      <w:pPr>
        <w:pStyle w:val="ListBullet"/>
      </w:pPr>
      <w:r>
        <w:t>d</w:t>
      </w:r>
      <w:r w:rsidR="00A554AC" w:rsidRPr="00852900">
        <w:t>espite the mentioned age-range related</w:t>
      </w:r>
      <w:r w:rsidR="00852900" w:rsidRPr="00852900">
        <w:t>-</w:t>
      </w:r>
      <w:r w:rsidR="00A554AC" w:rsidRPr="00852900">
        <w:t xml:space="preserve">dosing regimen above, the actual </w:t>
      </w:r>
      <w:r w:rsidR="00A554AC" w:rsidRPr="00E416AD">
        <w:t>population in the study fell out</w:t>
      </w:r>
      <w:r w:rsidRPr="00E416AD">
        <w:t>side the proposed age-range (10 to</w:t>
      </w:r>
      <w:r w:rsidR="009C3BE5">
        <w:t xml:space="preserve"> </w:t>
      </w:r>
      <w:r w:rsidR="00A554AC" w:rsidRPr="00E416AD">
        <w:t>18 years).</w:t>
      </w:r>
    </w:p>
    <w:p w14:paraId="459ED0FC" w14:textId="456E8194" w:rsidR="00A554AC" w:rsidRDefault="00E416AD" w:rsidP="00E416AD">
      <w:pPr>
        <w:pStyle w:val="Heading6"/>
      </w:pPr>
      <w:r>
        <w:t>P</w:t>
      </w:r>
      <w:r w:rsidR="00A554AC">
        <w:t>rimary efficac</w:t>
      </w:r>
      <w:r w:rsidR="009C3BE5">
        <w:t>y outcome</w:t>
      </w:r>
    </w:p>
    <w:p w14:paraId="78C41C00" w14:textId="5187F5FE" w:rsidR="00A554AC" w:rsidRDefault="009C3BE5" w:rsidP="009C3BE5">
      <w:r>
        <w:t>I</w:t>
      </w:r>
      <w:r w:rsidR="00A554AC" w:rsidRPr="00E71978">
        <w:t>n the buccal midazolam group, the first administration was effective in controlling the seizures in 13</w:t>
      </w:r>
      <w:r w:rsidR="00A554AC">
        <w:t xml:space="preserve"> (40%)</w:t>
      </w:r>
      <w:r w:rsidR="00CB7F66">
        <w:t xml:space="preserve"> versus </w:t>
      </w:r>
      <w:r>
        <w:t>24 (40%) (p</w:t>
      </w:r>
      <w:r w:rsidR="00A554AC">
        <w:t xml:space="preserve"> = 0.9) in the IV diazepam group.</w:t>
      </w:r>
    </w:p>
    <w:bookmarkStart w:id="87" w:name="_Toc509304755"/>
    <w:p w14:paraId="04ED873D" w14:textId="4E4C5AAD" w:rsidR="00A554AC" w:rsidRPr="009C3BE5" w:rsidRDefault="009C3BE5" w:rsidP="009C3BE5">
      <w:r>
        <w:fldChar w:fldCharType="begin"/>
      </w:r>
      <w:r>
        <w:instrText xml:space="preserve"> REF _Ref108529382 \h </w:instrText>
      </w:r>
      <w:r>
        <w:fldChar w:fldCharType="separate"/>
      </w:r>
      <w:r w:rsidR="00AA79CE">
        <w:t xml:space="preserve">Table </w:t>
      </w:r>
      <w:r w:rsidR="00AA79CE">
        <w:rPr>
          <w:noProof/>
        </w:rPr>
        <w:t>5</w:t>
      </w:r>
      <w:r>
        <w:fldChar w:fldCharType="end"/>
      </w:r>
      <w:r>
        <w:t xml:space="preserve"> (shown </w:t>
      </w:r>
      <w:r w:rsidR="00A554AC">
        <w:t>below</w:t>
      </w:r>
      <w:r>
        <w:t>)</w:t>
      </w:r>
      <w:r w:rsidR="00A554AC">
        <w:t xml:space="preserve"> </w:t>
      </w:r>
      <w:r w:rsidR="00852900">
        <w:t>shows</w:t>
      </w:r>
      <w:r w:rsidR="00A554AC">
        <w:t xml:space="preserve"> the control of seizures and seizure control time in the two groups</w:t>
      </w:r>
      <w:bookmarkEnd w:id="87"/>
      <w:r w:rsidR="00852900">
        <w:t>.</w:t>
      </w:r>
    </w:p>
    <w:p w14:paraId="3B5FA436" w14:textId="3D13022D" w:rsidR="009C3BE5" w:rsidRDefault="009C3BE5" w:rsidP="009C3BE5">
      <w:pPr>
        <w:pStyle w:val="TableTitle"/>
      </w:pPr>
      <w:bookmarkStart w:id="88" w:name="_Ref108529382"/>
      <w:r>
        <w:t xml:space="preserve">Table </w:t>
      </w:r>
      <w:fldSimple w:instr=" SEQ Table \* ARABIC ">
        <w:r w:rsidR="00AA79CE">
          <w:rPr>
            <w:noProof/>
          </w:rPr>
          <w:t>5</w:t>
        </w:r>
      </w:fldSimple>
      <w:bookmarkEnd w:id="88"/>
      <w:r>
        <w:t xml:space="preserve">: </w:t>
      </w:r>
      <w:r>
        <w:rPr>
          <w:lang w:eastAsia="ja-JP"/>
        </w:rPr>
        <w:t>Tonekaboni</w:t>
      </w:r>
      <w:r w:rsidRPr="009C3BE5">
        <w:t xml:space="preserve"> </w:t>
      </w:r>
      <w:r>
        <w:t xml:space="preserve">et al. (2012) </w:t>
      </w:r>
      <w:r w:rsidRPr="009C3BE5">
        <w:t>Control of seizures and seizure control time in two groups</w:t>
      </w:r>
    </w:p>
    <w:p w14:paraId="3123625C" w14:textId="43B5EC97" w:rsidR="009C3BE5" w:rsidRDefault="009C3BE5" w:rsidP="00A554AC">
      <w:pPr>
        <w:spacing w:before="0" w:after="0"/>
        <w:rPr>
          <w:sz w:val="16"/>
          <w:lang w:eastAsia="ja-JP"/>
        </w:rPr>
      </w:pPr>
      <w:r>
        <w:rPr>
          <w:noProof/>
          <w:lang w:val="en-GB" w:eastAsia="en-GB"/>
        </w:rPr>
        <w:drawing>
          <wp:inline distT="0" distB="0" distL="0" distR="0" wp14:anchorId="57384C75" wp14:editId="78332FEB">
            <wp:extent cx="5400040" cy="860321"/>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860321"/>
                    </a:xfrm>
                    <a:prstGeom prst="rect">
                      <a:avLst/>
                    </a:prstGeom>
                  </pic:spPr>
                </pic:pic>
              </a:graphicData>
            </a:graphic>
          </wp:inline>
        </w:drawing>
      </w:r>
    </w:p>
    <w:p w14:paraId="35423E57" w14:textId="51BB3FB7" w:rsidR="009C3BE5" w:rsidRPr="001F72AE" w:rsidRDefault="009C3BE5" w:rsidP="009C3BE5">
      <w:pPr>
        <w:pStyle w:val="TableDescription"/>
        <w:rPr>
          <w:lang w:eastAsia="ja-JP"/>
        </w:rPr>
      </w:pPr>
      <w:r w:rsidRPr="001F72AE">
        <w:rPr>
          <w:lang w:eastAsia="ja-JP"/>
        </w:rPr>
        <w:t>Abbreviations: IV = intravenous; SD = standard deviation.</w:t>
      </w:r>
    </w:p>
    <w:p w14:paraId="1788250D" w14:textId="1375AC8B" w:rsidR="009C3BE5" w:rsidRDefault="009C3BE5" w:rsidP="009C3BE5">
      <w:pPr>
        <w:pStyle w:val="TableDescription"/>
        <w:rPr>
          <w:lang w:eastAsia="ja-JP"/>
        </w:rPr>
      </w:pPr>
      <w:r>
        <w:rPr>
          <w:lang w:eastAsia="ja-JP"/>
        </w:rPr>
        <w:t xml:space="preserve">Source: Tonekaboni S., Shamsabadi FM, Anvari S, Mazrooei A, and Ghofrani M. A comparison of buccal midazolam and intravenous diazepam for the acute treatment of seizures in children. </w:t>
      </w:r>
      <w:r>
        <w:rPr>
          <w:i/>
          <w:lang w:eastAsia="ja-JP"/>
        </w:rPr>
        <w:t>Iran J Pediatr</w:t>
      </w:r>
      <w:r>
        <w:rPr>
          <w:lang w:eastAsia="ja-JP"/>
        </w:rPr>
        <w:t xml:space="preserve"> 2012; 22(3):303-308.</w:t>
      </w:r>
    </w:p>
    <w:p w14:paraId="56BE71D1" w14:textId="25E34B42" w:rsidR="00A554AC" w:rsidRDefault="009C3BE5" w:rsidP="00852900">
      <w:pPr>
        <w:pStyle w:val="Heading5"/>
        <w:rPr>
          <w:rFonts w:cs="Arial"/>
        </w:rPr>
      </w:pPr>
      <w:bookmarkStart w:id="89" w:name="_Toc509304710"/>
      <w:bookmarkStart w:id="90" w:name="_Toc77073434"/>
      <w:r>
        <w:t>Other efficacy data in children and a</w:t>
      </w:r>
      <w:r w:rsidR="00A554AC">
        <w:t xml:space="preserve">dolescents </w:t>
      </w:r>
      <w:r w:rsidR="00A554AC">
        <w:rPr>
          <w:rFonts w:cs="Arial"/>
        </w:rPr>
        <w:t>aged 10 to less than 18 years</w:t>
      </w:r>
      <w:bookmarkEnd w:id="89"/>
      <w:bookmarkEnd w:id="90"/>
    </w:p>
    <w:p w14:paraId="22E0B03D" w14:textId="5A399482" w:rsidR="00852900" w:rsidRDefault="00A554AC" w:rsidP="009C3BE5">
      <w:pPr>
        <w:rPr>
          <w:lang w:eastAsia="ja-JP"/>
        </w:rPr>
      </w:pPr>
      <w:r>
        <w:rPr>
          <w:lang w:eastAsia="ja-JP"/>
        </w:rPr>
        <w:t xml:space="preserve">The sponsor submitted </w:t>
      </w:r>
      <w:r w:rsidR="00852900">
        <w:rPr>
          <w:lang w:eastAsia="ja-JP"/>
        </w:rPr>
        <w:t>the following studies</w:t>
      </w:r>
      <w:r w:rsidR="0095100C">
        <w:rPr>
          <w:lang w:eastAsia="ja-JP"/>
        </w:rPr>
        <w:t xml:space="preserve">, as shown in </w:t>
      </w:r>
      <w:r w:rsidR="0095100C">
        <w:rPr>
          <w:lang w:eastAsia="ja-JP"/>
        </w:rPr>
        <w:fldChar w:fldCharType="begin"/>
      </w:r>
      <w:r w:rsidR="0095100C">
        <w:rPr>
          <w:lang w:eastAsia="ja-JP"/>
        </w:rPr>
        <w:instrText xml:space="preserve"> REF _Ref108529675 \h </w:instrText>
      </w:r>
      <w:r w:rsidR="0095100C">
        <w:rPr>
          <w:lang w:eastAsia="ja-JP"/>
        </w:rPr>
      </w:r>
      <w:r w:rsidR="0095100C">
        <w:rPr>
          <w:lang w:eastAsia="ja-JP"/>
        </w:rPr>
        <w:fldChar w:fldCharType="separate"/>
      </w:r>
      <w:r w:rsidR="00AA79CE">
        <w:t xml:space="preserve">Table </w:t>
      </w:r>
      <w:r w:rsidR="00AA79CE">
        <w:rPr>
          <w:noProof/>
        </w:rPr>
        <w:t>6</w:t>
      </w:r>
      <w:r w:rsidR="0095100C">
        <w:rPr>
          <w:lang w:eastAsia="ja-JP"/>
        </w:rPr>
        <w:fldChar w:fldCharType="end"/>
      </w:r>
      <w:r w:rsidR="0095100C">
        <w:rPr>
          <w:lang w:eastAsia="ja-JP"/>
        </w:rPr>
        <w:t xml:space="preserve"> below. The size of the relevant study population is also given (that is, the study population receiving buccal midazolam) along with the form of midazolam received.</w:t>
      </w:r>
    </w:p>
    <w:p w14:paraId="6502BC4F" w14:textId="7E3AA5A2" w:rsidR="009C3BE5" w:rsidRDefault="009C3BE5" w:rsidP="009C3BE5">
      <w:pPr>
        <w:pStyle w:val="TableTitle"/>
      </w:pPr>
      <w:bookmarkStart w:id="91" w:name="_Ref108529675"/>
      <w:r>
        <w:t xml:space="preserve">Table </w:t>
      </w:r>
      <w:fldSimple w:instr=" SEQ Table \* ARABIC ">
        <w:r w:rsidR="00AA79CE">
          <w:rPr>
            <w:noProof/>
          </w:rPr>
          <w:t>6</w:t>
        </w:r>
      </w:fldSimple>
      <w:bookmarkEnd w:id="91"/>
      <w:r>
        <w:t xml:space="preserve">: </w:t>
      </w:r>
      <w:r w:rsidRPr="00061362">
        <w:t xml:space="preserve">Efficacy data in children </w:t>
      </w:r>
      <w:r>
        <w:t xml:space="preserve">aged from 10 to under </w:t>
      </w:r>
      <w:r w:rsidRPr="00061362">
        <w:t>18 years of age</w:t>
      </w:r>
    </w:p>
    <w:tbl>
      <w:tblPr>
        <w:tblStyle w:val="TableGrid"/>
        <w:tblW w:w="8725" w:type="dxa"/>
        <w:tblLook w:val="04A0" w:firstRow="1" w:lastRow="0" w:firstColumn="1" w:lastColumn="0" w:noHBand="0" w:noVBand="1"/>
      </w:tblPr>
      <w:tblGrid>
        <w:gridCol w:w="5755"/>
        <w:gridCol w:w="2970"/>
      </w:tblGrid>
      <w:tr w:rsidR="00A554AC" w14:paraId="7E28039C" w14:textId="77777777" w:rsidTr="0095100C">
        <w:trPr>
          <w:tblHeader/>
        </w:trPr>
        <w:tc>
          <w:tcPr>
            <w:tcW w:w="5755" w:type="dxa"/>
            <w:tcBorders>
              <w:top w:val="single" w:sz="4" w:space="0" w:color="auto"/>
              <w:left w:val="single" w:sz="4" w:space="0" w:color="auto"/>
              <w:bottom w:val="single" w:sz="4" w:space="0" w:color="auto"/>
              <w:right w:val="single" w:sz="4" w:space="0" w:color="auto"/>
            </w:tcBorders>
            <w:shd w:val="clear" w:color="auto" w:fill="0070C0"/>
            <w:hideMark/>
          </w:tcPr>
          <w:p w14:paraId="0E1B16E7" w14:textId="77777777" w:rsidR="00A554AC" w:rsidRPr="00852900" w:rsidRDefault="00A554AC">
            <w:pPr>
              <w:rPr>
                <w:rFonts w:asciiTheme="minorHAnsi" w:hAnsiTheme="minorHAnsi"/>
                <w:b/>
                <w:bCs/>
                <w:color w:val="FFFFFF" w:themeColor="background1"/>
                <w:sz w:val="20"/>
                <w:szCs w:val="20"/>
                <w:lang w:eastAsia="ja-JP"/>
              </w:rPr>
            </w:pPr>
            <w:r w:rsidRPr="00852900">
              <w:rPr>
                <w:rFonts w:asciiTheme="minorHAnsi" w:hAnsiTheme="minorHAnsi"/>
                <w:b/>
                <w:bCs/>
                <w:color w:val="FFFFFF" w:themeColor="background1"/>
                <w:sz w:val="20"/>
                <w:szCs w:val="20"/>
                <w:lang w:eastAsia="ja-JP"/>
              </w:rPr>
              <w:t xml:space="preserve">Reference </w:t>
            </w:r>
          </w:p>
        </w:tc>
        <w:tc>
          <w:tcPr>
            <w:tcW w:w="2970" w:type="dxa"/>
            <w:tcBorders>
              <w:top w:val="single" w:sz="4" w:space="0" w:color="auto"/>
              <w:left w:val="single" w:sz="4" w:space="0" w:color="auto"/>
              <w:bottom w:val="single" w:sz="4" w:space="0" w:color="auto"/>
              <w:right w:val="single" w:sz="4" w:space="0" w:color="auto"/>
            </w:tcBorders>
            <w:shd w:val="clear" w:color="auto" w:fill="0070C0"/>
            <w:hideMark/>
          </w:tcPr>
          <w:p w14:paraId="404A5191" w14:textId="77777777" w:rsidR="00A554AC" w:rsidRPr="00852900" w:rsidRDefault="00A554AC">
            <w:pPr>
              <w:rPr>
                <w:rFonts w:asciiTheme="minorHAnsi" w:hAnsiTheme="minorHAnsi"/>
                <w:b/>
                <w:bCs/>
                <w:color w:val="FFFFFF" w:themeColor="background1"/>
                <w:sz w:val="20"/>
                <w:szCs w:val="20"/>
                <w:lang w:eastAsia="ja-JP"/>
              </w:rPr>
            </w:pPr>
            <w:r w:rsidRPr="00852900">
              <w:rPr>
                <w:rFonts w:asciiTheme="minorHAnsi" w:hAnsiTheme="minorHAnsi"/>
                <w:b/>
                <w:bCs/>
                <w:color w:val="FFFFFF" w:themeColor="background1"/>
                <w:sz w:val="20"/>
                <w:szCs w:val="20"/>
                <w:lang w:eastAsia="ja-JP"/>
              </w:rPr>
              <w:t>Buccal Population</w:t>
            </w:r>
          </w:p>
        </w:tc>
      </w:tr>
      <w:tr w:rsidR="00A554AC" w14:paraId="203E0994" w14:textId="77777777" w:rsidTr="0095100C">
        <w:tc>
          <w:tcPr>
            <w:tcW w:w="5755" w:type="dxa"/>
            <w:tcBorders>
              <w:top w:val="single" w:sz="4" w:space="0" w:color="auto"/>
              <w:left w:val="single" w:sz="4" w:space="0" w:color="auto"/>
              <w:bottom w:val="single" w:sz="4" w:space="0" w:color="auto"/>
              <w:right w:val="single" w:sz="4" w:space="0" w:color="auto"/>
            </w:tcBorders>
            <w:hideMark/>
          </w:tcPr>
          <w:p w14:paraId="601F7301" w14:textId="69B35D85" w:rsidR="0095100C" w:rsidRPr="00852900" w:rsidRDefault="00A554AC" w:rsidP="0095100C">
            <w:pPr>
              <w:rPr>
                <w:rFonts w:asciiTheme="minorHAnsi" w:hAnsiTheme="minorHAnsi"/>
                <w:sz w:val="20"/>
                <w:szCs w:val="20"/>
                <w:lang w:eastAsia="ja-JP"/>
              </w:rPr>
            </w:pPr>
            <w:r w:rsidRPr="00852900">
              <w:rPr>
                <w:rFonts w:asciiTheme="minorHAnsi" w:hAnsiTheme="minorHAnsi"/>
                <w:sz w:val="20"/>
                <w:szCs w:val="20"/>
                <w:lang w:eastAsia="ja-JP"/>
              </w:rPr>
              <w:t xml:space="preserve">Ashrafi MR, Khosroshahi N, Karimi P, et al. </w:t>
            </w:r>
            <w:r w:rsidR="0095100C" w:rsidRPr="00852900">
              <w:rPr>
                <w:rFonts w:asciiTheme="minorHAnsi" w:hAnsiTheme="minorHAnsi"/>
                <w:sz w:val="20"/>
                <w:szCs w:val="20"/>
                <w:lang w:eastAsia="ja-JP"/>
              </w:rPr>
              <w:t xml:space="preserve">Efficacy and usability of buccal midazolam in controlling acute prolonged convulsive seizures in children. </w:t>
            </w:r>
            <w:r w:rsidRPr="0095100C">
              <w:rPr>
                <w:rFonts w:asciiTheme="minorHAnsi" w:hAnsiTheme="minorHAnsi"/>
                <w:i/>
                <w:sz w:val="20"/>
                <w:szCs w:val="20"/>
                <w:lang w:eastAsia="ja-JP"/>
              </w:rPr>
              <w:t>Eur J Paediatric Neurol.</w:t>
            </w:r>
            <w:r w:rsidR="0095100C">
              <w:rPr>
                <w:rFonts w:asciiTheme="minorHAnsi" w:hAnsiTheme="minorHAnsi"/>
                <w:sz w:val="20"/>
                <w:szCs w:val="20"/>
                <w:lang w:eastAsia="ja-JP"/>
              </w:rPr>
              <w:t xml:space="preserve"> 2010.</w:t>
            </w:r>
          </w:p>
        </w:tc>
        <w:tc>
          <w:tcPr>
            <w:tcW w:w="2970" w:type="dxa"/>
            <w:tcBorders>
              <w:top w:val="single" w:sz="4" w:space="0" w:color="auto"/>
              <w:left w:val="single" w:sz="4" w:space="0" w:color="auto"/>
              <w:bottom w:val="single" w:sz="4" w:space="0" w:color="auto"/>
              <w:right w:val="single" w:sz="4" w:space="0" w:color="auto"/>
            </w:tcBorders>
            <w:hideMark/>
          </w:tcPr>
          <w:p w14:paraId="318BC69B" w14:textId="77777777" w:rsidR="00A554AC" w:rsidRPr="00852900" w:rsidRDefault="00A554AC">
            <w:pPr>
              <w:rPr>
                <w:rFonts w:asciiTheme="minorHAnsi" w:hAnsiTheme="minorHAnsi"/>
                <w:sz w:val="20"/>
                <w:szCs w:val="20"/>
                <w:lang w:eastAsia="ja-JP"/>
              </w:rPr>
            </w:pPr>
            <w:r w:rsidRPr="00852900">
              <w:rPr>
                <w:rFonts w:asciiTheme="minorHAnsi" w:hAnsiTheme="minorHAnsi"/>
                <w:sz w:val="20"/>
                <w:szCs w:val="20"/>
                <w:lang w:eastAsia="ja-JP"/>
              </w:rPr>
              <w:t>43 patients</w:t>
            </w:r>
          </w:p>
          <w:p w14:paraId="6D2B5EBD" w14:textId="706AFE70" w:rsidR="00A554AC" w:rsidRDefault="00A554AC">
            <w:pPr>
              <w:rPr>
                <w:rFonts w:asciiTheme="minorHAnsi" w:hAnsiTheme="minorHAnsi"/>
                <w:sz w:val="20"/>
                <w:szCs w:val="20"/>
                <w:lang w:eastAsia="ja-JP"/>
              </w:rPr>
            </w:pPr>
            <w:r w:rsidRPr="00852900">
              <w:rPr>
                <w:rFonts w:asciiTheme="minorHAnsi" w:hAnsiTheme="minorHAnsi"/>
                <w:sz w:val="20"/>
                <w:szCs w:val="20"/>
                <w:lang w:eastAsia="ja-JP"/>
              </w:rPr>
              <w:t>Median age</w:t>
            </w:r>
            <w:r w:rsidR="0095100C">
              <w:rPr>
                <w:rFonts w:asciiTheme="minorHAnsi" w:hAnsiTheme="minorHAnsi"/>
                <w:sz w:val="20"/>
                <w:szCs w:val="20"/>
                <w:lang w:eastAsia="ja-JP"/>
              </w:rPr>
              <w:t>:</w:t>
            </w:r>
            <w:r w:rsidRPr="00852900">
              <w:rPr>
                <w:rFonts w:asciiTheme="minorHAnsi" w:hAnsiTheme="minorHAnsi"/>
                <w:sz w:val="20"/>
                <w:szCs w:val="20"/>
                <w:lang w:eastAsia="ja-JP"/>
              </w:rPr>
              <w:t xml:space="preserve"> 24 months</w:t>
            </w:r>
          </w:p>
          <w:p w14:paraId="5A4EE899" w14:textId="38F2AD95" w:rsidR="0095100C" w:rsidRPr="00852900" w:rsidRDefault="0095100C">
            <w:pPr>
              <w:rPr>
                <w:rFonts w:asciiTheme="minorHAnsi" w:hAnsiTheme="minorHAnsi"/>
                <w:sz w:val="20"/>
                <w:szCs w:val="20"/>
                <w:lang w:eastAsia="ja-JP"/>
              </w:rPr>
            </w:pPr>
            <w:r w:rsidRPr="00852900">
              <w:rPr>
                <w:rFonts w:asciiTheme="minorHAnsi" w:hAnsiTheme="minorHAnsi"/>
                <w:sz w:val="20"/>
                <w:szCs w:val="20"/>
                <w:lang w:eastAsia="ja-JP"/>
              </w:rPr>
              <w:t>Used midazolam maleate</w:t>
            </w:r>
          </w:p>
        </w:tc>
      </w:tr>
      <w:tr w:rsidR="00A554AC" w14:paraId="29B1BB3D" w14:textId="77777777" w:rsidTr="0095100C">
        <w:tc>
          <w:tcPr>
            <w:tcW w:w="5755" w:type="dxa"/>
            <w:tcBorders>
              <w:top w:val="single" w:sz="4" w:space="0" w:color="auto"/>
              <w:left w:val="single" w:sz="4" w:space="0" w:color="auto"/>
              <w:bottom w:val="single" w:sz="4" w:space="0" w:color="auto"/>
              <w:right w:val="single" w:sz="4" w:space="0" w:color="auto"/>
            </w:tcBorders>
            <w:hideMark/>
          </w:tcPr>
          <w:p w14:paraId="07023DFF" w14:textId="7146EE24" w:rsidR="00A554AC" w:rsidRPr="00852900" w:rsidRDefault="0095100C" w:rsidP="0095100C">
            <w:pPr>
              <w:rPr>
                <w:rFonts w:asciiTheme="minorHAnsi" w:hAnsiTheme="minorHAnsi"/>
                <w:sz w:val="20"/>
                <w:szCs w:val="20"/>
              </w:rPr>
            </w:pPr>
            <w:r w:rsidRPr="00AA79CE">
              <w:rPr>
                <w:rFonts w:asciiTheme="minorHAnsi" w:hAnsiTheme="minorHAnsi"/>
                <w:sz w:val="20"/>
                <w:szCs w:val="20"/>
                <w:lang w:val="fr-FR" w:eastAsia="ja-JP"/>
              </w:rPr>
              <w:t xml:space="preserve">McIntyre J, Robertson S, Norris E, et al. </w:t>
            </w:r>
            <w:r w:rsidR="00A554AC" w:rsidRPr="00852900">
              <w:rPr>
                <w:rFonts w:asciiTheme="minorHAnsi" w:hAnsiTheme="minorHAnsi"/>
                <w:sz w:val="20"/>
                <w:szCs w:val="20"/>
                <w:lang w:eastAsia="ja-JP"/>
              </w:rPr>
              <w:t xml:space="preserve">Safety and efficacy of buccal midazolam versus rectal diazepam for emergency treatment of seizures in children: a randomised controlled. </w:t>
            </w:r>
            <w:r w:rsidR="00A554AC" w:rsidRPr="0095100C">
              <w:rPr>
                <w:rFonts w:asciiTheme="minorHAnsi" w:hAnsiTheme="minorHAnsi"/>
                <w:i/>
                <w:sz w:val="20"/>
                <w:szCs w:val="20"/>
                <w:lang w:eastAsia="ja-JP"/>
              </w:rPr>
              <w:t>Lancet</w:t>
            </w:r>
            <w:r>
              <w:rPr>
                <w:rFonts w:asciiTheme="minorHAnsi" w:hAnsiTheme="minorHAnsi"/>
                <w:sz w:val="20"/>
                <w:szCs w:val="20"/>
                <w:lang w:eastAsia="ja-JP"/>
              </w:rPr>
              <w:t xml:space="preserve"> 2005; 366 (9481):205-210.</w:t>
            </w:r>
          </w:p>
        </w:tc>
        <w:tc>
          <w:tcPr>
            <w:tcW w:w="2970" w:type="dxa"/>
            <w:tcBorders>
              <w:top w:val="single" w:sz="4" w:space="0" w:color="auto"/>
              <w:left w:val="single" w:sz="4" w:space="0" w:color="auto"/>
              <w:bottom w:val="single" w:sz="4" w:space="0" w:color="auto"/>
              <w:right w:val="single" w:sz="4" w:space="0" w:color="auto"/>
            </w:tcBorders>
            <w:hideMark/>
          </w:tcPr>
          <w:p w14:paraId="7C112132" w14:textId="703DE4EE" w:rsidR="00A554AC" w:rsidRPr="00852900" w:rsidRDefault="00A554AC">
            <w:pPr>
              <w:rPr>
                <w:rFonts w:asciiTheme="minorHAnsi" w:hAnsiTheme="minorHAnsi"/>
                <w:sz w:val="20"/>
                <w:szCs w:val="20"/>
                <w:lang w:eastAsia="ja-JP"/>
              </w:rPr>
            </w:pPr>
            <w:r w:rsidRPr="00852900">
              <w:rPr>
                <w:rFonts w:asciiTheme="minorHAnsi" w:hAnsiTheme="minorHAnsi"/>
                <w:sz w:val="20"/>
                <w:szCs w:val="20"/>
                <w:lang w:eastAsia="ja-JP"/>
              </w:rPr>
              <w:t>92 patients (109 episodes)</w:t>
            </w:r>
          </w:p>
          <w:p w14:paraId="0A9F26E7" w14:textId="77777777" w:rsidR="00A554AC" w:rsidRDefault="00A554AC">
            <w:pPr>
              <w:rPr>
                <w:rFonts w:asciiTheme="minorHAnsi" w:hAnsiTheme="minorHAnsi"/>
                <w:sz w:val="20"/>
                <w:szCs w:val="20"/>
                <w:lang w:eastAsia="ja-JP"/>
              </w:rPr>
            </w:pPr>
            <w:r w:rsidRPr="00852900">
              <w:rPr>
                <w:rFonts w:asciiTheme="minorHAnsi" w:hAnsiTheme="minorHAnsi"/>
                <w:sz w:val="20"/>
                <w:szCs w:val="20"/>
                <w:lang w:eastAsia="ja-JP"/>
              </w:rPr>
              <w:t>Only a</w:t>
            </w:r>
            <w:r w:rsidR="0095100C">
              <w:rPr>
                <w:rFonts w:asciiTheme="minorHAnsi" w:hAnsiTheme="minorHAnsi"/>
                <w:sz w:val="20"/>
                <w:szCs w:val="20"/>
                <w:lang w:eastAsia="ja-JP"/>
              </w:rPr>
              <w:t>ges combined arms given.</w:t>
            </w:r>
          </w:p>
          <w:p w14:paraId="383378E5" w14:textId="1DD4D068" w:rsidR="0095100C" w:rsidRPr="00852900" w:rsidRDefault="0095100C">
            <w:pPr>
              <w:rPr>
                <w:rFonts w:asciiTheme="minorHAnsi" w:hAnsiTheme="minorHAnsi"/>
                <w:sz w:val="20"/>
                <w:szCs w:val="20"/>
                <w:lang w:eastAsia="ja-JP"/>
              </w:rPr>
            </w:pPr>
            <w:r w:rsidRPr="00852900">
              <w:rPr>
                <w:rFonts w:asciiTheme="minorHAnsi" w:hAnsiTheme="minorHAnsi"/>
                <w:sz w:val="20"/>
                <w:szCs w:val="20"/>
                <w:lang w:eastAsia="ja-JP"/>
              </w:rPr>
              <w:t>Used midazolam hydrochloride</w:t>
            </w:r>
          </w:p>
        </w:tc>
      </w:tr>
      <w:tr w:rsidR="00A554AC" w14:paraId="239541DB" w14:textId="77777777" w:rsidTr="0095100C">
        <w:tc>
          <w:tcPr>
            <w:tcW w:w="5755" w:type="dxa"/>
            <w:tcBorders>
              <w:top w:val="single" w:sz="4" w:space="0" w:color="auto"/>
              <w:left w:val="single" w:sz="4" w:space="0" w:color="auto"/>
              <w:bottom w:val="single" w:sz="4" w:space="0" w:color="auto"/>
              <w:right w:val="single" w:sz="4" w:space="0" w:color="auto"/>
            </w:tcBorders>
            <w:hideMark/>
          </w:tcPr>
          <w:p w14:paraId="2268E908" w14:textId="77D43D21" w:rsidR="00A554AC" w:rsidRPr="00852900" w:rsidRDefault="0095100C" w:rsidP="0095100C">
            <w:pPr>
              <w:rPr>
                <w:rFonts w:asciiTheme="minorHAnsi" w:hAnsiTheme="minorHAnsi"/>
                <w:sz w:val="20"/>
                <w:szCs w:val="20"/>
                <w:lang w:eastAsia="ja-JP"/>
              </w:rPr>
            </w:pPr>
            <w:r w:rsidRPr="00852900">
              <w:rPr>
                <w:rFonts w:asciiTheme="minorHAnsi" w:hAnsiTheme="minorHAnsi"/>
                <w:sz w:val="20"/>
                <w:szCs w:val="20"/>
                <w:lang w:eastAsia="ja-JP"/>
              </w:rPr>
              <w:t>Scott RC, Besag FM and Neville BG.</w:t>
            </w:r>
            <w:r>
              <w:rPr>
                <w:rFonts w:asciiTheme="minorHAnsi" w:hAnsiTheme="minorHAnsi"/>
                <w:sz w:val="20"/>
                <w:szCs w:val="20"/>
                <w:lang w:eastAsia="ja-JP"/>
              </w:rPr>
              <w:t xml:space="preserve"> </w:t>
            </w:r>
            <w:r w:rsidR="00A554AC" w:rsidRPr="00852900">
              <w:rPr>
                <w:rFonts w:asciiTheme="minorHAnsi" w:hAnsiTheme="minorHAnsi"/>
                <w:sz w:val="20"/>
                <w:szCs w:val="20"/>
                <w:lang w:eastAsia="ja-JP"/>
              </w:rPr>
              <w:t xml:space="preserve">Buccal midazolam and rectal diazepam for treatment of prolonged seizures in childhood and adolescence: a randomised trial. </w:t>
            </w:r>
            <w:r w:rsidR="00A554AC" w:rsidRPr="0095100C">
              <w:rPr>
                <w:rFonts w:asciiTheme="minorHAnsi" w:hAnsiTheme="minorHAnsi"/>
                <w:i/>
                <w:sz w:val="20"/>
                <w:szCs w:val="20"/>
                <w:lang w:eastAsia="ja-JP"/>
              </w:rPr>
              <w:t>Lancet</w:t>
            </w:r>
            <w:r>
              <w:rPr>
                <w:rFonts w:asciiTheme="minorHAnsi" w:hAnsiTheme="minorHAnsi"/>
                <w:sz w:val="20"/>
                <w:szCs w:val="20"/>
                <w:lang w:eastAsia="ja-JP"/>
              </w:rPr>
              <w:t>. 1999; 35 (9153)623-626.</w:t>
            </w:r>
          </w:p>
        </w:tc>
        <w:tc>
          <w:tcPr>
            <w:tcW w:w="2970" w:type="dxa"/>
            <w:tcBorders>
              <w:top w:val="single" w:sz="4" w:space="0" w:color="auto"/>
              <w:left w:val="single" w:sz="4" w:space="0" w:color="auto"/>
              <w:bottom w:val="single" w:sz="4" w:space="0" w:color="auto"/>
              <w:right w:val="single" w:sz="4" w:space="0" w:color="auto"/>
            </w:tcBorders>
            <w:hideMark/>
          </w:tcPr>
          <w:p w14:paraId="2DC09187" w14:textId="11846EB5" w:rsidR="00A554AC" w:rsidRPr="00852900" w:rsidRDefault="00A554AC">
            <w:pPr>
              <w:rPr>
                <w:rFonts w:asciiTheme="minorHAnsi" w:hAnsiTheme="minorHAnsi"/>
                <w:sz w:val="20"/>
                <w:szCs w:val="20"/>
                <w:lang w:eastAsia="ja-JP"/>
              </w:rPr>
            </w:pPr>
            <w:r w:rsidRPr="00852900">
              <w:rPr>
                <w:rFonts w:asciiTheme="minorHAnsi" w:hAnsiTheme="minorHAnsi"/>
                <w:sz w:val="20"/>
                <w:szCs w:val="20"/>
                <w:lang w:eastAsia="ja-JP"/>
              </w:rPr>
              <w:t>14 patients (40 episodes)</w:t>
            </w:r>
          </w:p>
          <w:p w14:paraId="0853420D" w14:textId="77777777" w:rsidR="00A554AC" w:rsidRDefault="0095100C">
            <w:pPr>
              <w:rPr>
                <w:rFonts w:asciiTheme="minorHAnsi" w:hAnsiTheme="minorHAnsi"/>
                <w:sz w:val="20"/>
                <w:szCs w:val="20"/>
                <w:lang w:eastAsia="ja-JP"/>
              </w:rPr>
            </w:pPr>
            <w:r>
              <w:rPr>
                <w:rFonts w:asciiTheme="minorHAnsi" w:hAnsiTheme="minorHAnsi"/>
                <w:sz w:val="20"/>
                <w:szCs w:val="20"/>
                <w:lang w:eastAsia="ja-JP"/>
              </w:rPr>
              <w:t>Included 6 of 18 patients aged 18 and 19 years.</w:t>
            </w:r>
          </w:p>
          <w:p w14:paraId="4F9BB5AB" w14:textId="2FB396C9" w:rsidR="0095100C" w:rsidRPr="00852900" w:rsidRDefault="0095100C">
            <w:pPr>
              <w:rPr>
                <w:rFonts w:asciiTheme="minorHAnsi" w:hAnsiTheme="minorHAnsi"/>
                <w:sz w:val="20"/>
                <w:szCs w:val="20"/>
                <w:lang w:eastAsia="ja-JP"/>
              </w:rPr>
            </w:pPr>
            <w:r w:rsidRPr="00852900">
              <w:rPr>
                <w:rFonts w:asciiTheme="minorHAnsi" w:hAnsiTheme="minorHAnsi"/>
                <w:sz w:val="20"/>
                <w:szCs w:val="20"/>
                <w:lang w:eastAsia="ja-JP"/>
              </w:rPr>
              <w:t>Used midazolam hydrochloride</w:t>
            </w:r>
          </w:p>
        </w:tc>
      </w:tr>
      <w:tr w:rsidR="00A554AC" w14:paraId="6E56650F" w14:textId="77777777" w:rsidTr="0095100C">
        <w:tc>
          <w:tcPr>
            <w:tcW w:w="5755" w:type="dxa"/>
            <w:tcBorders>
              <w:top w:val="single" w:sz="4" w:space="0" w:color="auto"/>
              <w:left w:val="single" w:sz="4" w:space="0" w:color="auto"/>
              <w:bottom w:val="single" w:sz="4" w:space="0" w:color="auto"/>
              <w:right w:val="single" w:sz="4" w:space="0" w:color="auto"/>
            </w:tcBorders>
            <w:hideMark/>
          </w:tcPr>
          <w:p w14:paraId="300C3524" w14:textId="4FC7EAF7" w:rsidR="00A554AC" w:rsidRPr="00852900" w:rsidRDefault="00A554AC" w:rsidP="0095100C">
            <w:pPr>
              <w:rPr>
                <w:rFonts w:asciiTheme="minorHAnsi" w:hAnsiTheme="minorHAnsi"/>
                <w:sz w:val="20"/>
                <w:szCs w:val="20"/>
                <w:lang w:eastAsia="ja-JP"/>
              </w:rPr>
            </w:pPr>
            <w:r w:rsidRPr="00852900">
              <w:rPr>
                <w:rFonts w:asciiTheme="minorHAnsi" w:hAnsiTheme="minorHAnsi"/>
                <w:sz w:val="20"/>
                <w:szCs w:val="20"/>
                <w:lang w:eastAsia="ja-JP"/>
              </w:rPr>
              <w:t>Bay</w:t>
            </w:r>
            <w:r w:rsidR="0095100C">
              <w:rPr>
                <w:rFonts w:asciiTheme="minorHAnsi" w:hAnsiTheme="minorHAnsi"/>
                <w:sz w:val="20"/>
                <w:szCs w:val="20"/>
                <w:lang w:eastAsia="ja-JP"/>
              </w:rPr>
              <w:t xml:space="preserve">sun S, Aydin OF, Atmaca E et.al. </w:t>
            </w:r>
            <w:r w:rsidR="0095100C" w:rsidRPr="00852900">
              <w:rPr>
                <w:rFonts w:asciiTheme="minorHAnsi" w:hAnsiTheme="minorHAnsi"/>
                <w:sz w:val="20"/>
                <w:szCs w:val="20"/>
                <w:lang w:eastAsia="ja-JP"/>
              </w:rPr>
              <w:t>Comparison of buccal midazolam and rectal diazepam for t</w:t>
            </w:r>
            <w:r w:rsidR="0095100C">
              <w:rPr>
                <w:rFonts w:asciiTheme="minorHAnsi" w:hAnsiTheme="minorHAnsi"/>
                <w:sz w:val="20"/>
                <w:szCs w:val="20"/>
                <w:lang w:eastAsia="ja-JP"/>
              </w:rPr>
              <w:t>he acute treatment of seizures.</w:t>
            </w:r>
            <w:r w:rsidRPr="00852900">
              <w:rPr>
                <w:rFonts w:asciiTheme="minorHAnsi" w:hAnsiTheme="minorHAnsi"/>
                <w:sz w:val="20"/>
                <w:szCs w:val="20"/>
                <w:lang w:eastAsia="ja-JP"/>
              </w:rPr>
              <w:t xml:space="preserve"> A </w:t>
            </w:r>
            <w:r w:rsidRPr="0095100C">
              <w:rPr>
                <w:rFonts w:asciiTheme="minorHAnsi" w:hAnsiTheme="minorHAnsi"/>
                <w:i/>
                <w:sz w:val="20"/>
                <w:szCs w:val="20"/>
                <w:lang w:eastAsia="ja-JP"/>
              </w:rPr>
              <w:t>Clin Pediatr. (Plila).</w:t>
            </w:r>
            <w:r w:rsidR="0095100C">
              <w:rPr>
                <w:rFonts w:asciiTheme="minorHAnsi" w:hAnsiTheme="minorHAnsi"/>
                <w:sz w:val="20"/>
                <w:szCs w:val="20"/>
                <w:lang w:eastAsia="ja-JP"/>
              </w:rPr>
              <w:t xml:space="preserve"> 2005; 44 (9):771-776.</w:t>
            </w:r>
          </w:p>
        </w:tc>
        <w:tc>
          <w:tcPr>
            <w:tcW w:w="2970" w:type="dxa"/>
            <w:tcBorders>
              <w:top w:val="single" w:sz="4" w:space="0" w:color="auto"/>
              <w:left w:val="single" w:sz="4" w:space="0" w:color="auto"/>
              <w:bottom w:val="single" w:sz="4" w:space="0" w:color="auto"/>
              <w:right w:val="single" w:sz="4" w:space="0" w:color="auto"/>
            </w:tcBorders>
            <w:hideMark/>
          </w:tcPr>
          <w:p w14:paraId="67FC151E" w14:textId="77777777" w:rsidR="0095100C" w:rsidRDefault="00A554AC">
            <w:pPr>
              <w:rPr>
                <w:rFonts w:asciiTheme="minorHAnsi" w:hAnsiTheme="minorHAnsi"/>
                <w:sz w:val="20"/>
                <w:szCs w:val="20"/>
                <w:lang w:eastAsia="ja-JP"/>
              </w:rPr>
            </w:pPr>
            <w:r w:rsidRPr="00852900">
              <w:rPr>
                <w:rFonts w:asciiTheme="minorHAnsi" w:hAnsiTheme="minorHAnsi"/>
                <w:sz w:val="20"/>
                <w:szCs w:val="20"/>
                <w:lang w:eastAsia="ja-JP"/>
              </w:rPr>
              <w:t>23</w:t>
            </w:r>
            <w:r w:rsidR="0095100C">
              <w:rPr>
                <w:rFonts w:asciiTheme="minorHAnsi" w:hAnsiTheme="minorHAnsi"/>
                <w:sz w:val="20"/>
                <w:szCs w:val="20"/>
                <w:lang w:eastAsia="ja-JP"/>
              </w:rPr>
              <w:t xml:space="preserve"> patients</w:t>
            </w:r>
          </w:p>
          <w:p w14:paraId="11B33960" w14:textId="1C156C0B" w:rsidR="00A554AC" w:rsidRDefault="0095100C">
            <w:pPr>
              <w:rPr>
                <w:rFonts w:asciiTheme="minorHAnsi" w:hAnsiTheme="minorHAnsi"/>
                <w:sz w:val="20"/>
                <w:szCs w:val="20"/>
                <w:lang w:eastAsia="ja-JP"/>
              </w:rPr>
            </w:pPr>
            <w:r>
              <w:rPr>
                <w:rFonts w:asciiTheme="minorHAnsi" w:hAnsiTheme="minorHAnsi"/>
                <w:sz w:val="20"/>
                <w:szCs w:val="20"/>
                <w:lang w:eastAsia="ja-JP"/>
              </w:rPr>
              <w:t>M</w:t>
            </w:r>
            <w:r w:rsidR="00A554AC" w:rsidRPr="00852900">
              <w:rPr>
                <w:rFonts w:asciiTheme="minorHAnsi" w:hAnsiTheme="minorHAnsi"/>
                <w:sz w:val="20"/>
                <w:szCs w:val="20"/>
                <w:lang w:eastAsia="ja-JP"/>
              </w:rPr>
              <w:t>ean age</w:t>
            </w:r>
            <w:r>
              <w:rPr>
                <w:rFonts w:asciiTheme="minorHAnsi" w:hAnsiTheme="minorHAnsi"/>
                <w:sz w:val="20"/>
                <w:szCs w:val="20"/>
                <w:lang w:eastAsia="ja-JP"/>
              </w:rPr>
              <w:t>:</w:t>
            </w:r>
            <w:r w:rsidR="00A554AC" w:rsidRPr="00852900">
              <w:rPr>
                <w:rFonts w:asciiTheme="minorHAnsi" w:hAnsiTheme="minorHAnsi"/>
                <w:sz w:val="20"/>
                <w:szCs w:val="20"/>
                <w:lang w:eastAsia="ja-JP"/>
              </w:rPr>
              <w:t xml:space="preserve"> 3.87</w:t>
            </w:r>
            <w:r>
              <w:rPr>
                <w:rFonts w:asciiTheme="minorHAnsi" w:hAnsiTheme="minorHAnsi"/>
                <w:sz w:val="20"/>
                <w:szCs w:val="20"/>
                <w:lang w:eastAsia="ja-JP"/>
              </w:rPr>
              <w:t xml:space="preserve"> </w:t>
            </w:r>
            <w:r w:rsidR="00A554AC" w:rsidRPr="00852900">
              <w:rPr>
                <w:rFonts w:asciiTheme="minorHAnsi" w:hAnsiTheme="minorHAnsi"/>
                <w:sz w:val="20"/>
                <w:szCs w:val="20"/>
                <w:lang w:eastAsia="ja-JP"/>
              </w:rPr>
              <w:t>±</w:t>
            </w:r>
            <w:r w:rsidR="00B56A68">
              <w:rPr>
                <w:rFonts w:asciiTheme="minorHAnsi" w:hAnsiTheme="minorHAnsi"/>
                <w:sz w:val="20"/>
                <w:szCs w:val="20"/>
                <w:lang w:eastAsia="ja-JP"/>
              </w:rPr>
              <w:t xml:space="preserve"> </w:t>
            </w:r>
            <w:r w:rsidR="00A554AC" w:rsidRPr="00852900">
              <w:rPr>
                <w:rFonts w:asciiTheme="minorHAnsi" w:hAnsiTheme="minorHAnsi"/>
                <w:sz w:val="20"/>
                <w:szCs w:val="20"/>
                <w:lang w:eastAsia="ja-JP"/>
              </w:rPr>
              <w:t>3.39</w:t>
            </w:r>
            <w:r>
              <w:rPr>
                <w:rFonts w:asciiTheme="minorHAnsi" w:hAnsiTheme="minorHAnsi"/>
                <w:sz w:val="20"/>
                <w:szCs w:val="20"/>
                <w:lang w:eastAsia="ja-JP"/>
              </w:rPr>
              <w:t xml:space="preserve"> </w:t>
            </w:r>
            <w:r w:rsidR="00A554AC" w:rsidRPr="00852900">
              <w:rPr>
                <w:rFonts w:asciiTheme="minorHAnsi" w:hAnsiTheme="minorHAnsi"/>
                <w:sz w:val="20"/>
                <w:szCs w:val="20"/>
                <w:lang w:eastAsia="ja-JP"/>
              </w:rPr>
              <w:t>y</w:t>
            </w:r>
            <w:r>
              <w:rPr>
                <w:rFonts w:asciiTheme="minorHAnsi" w:hAnsiTheme="minorHAnsi"/>
                <w:sz w:val="20"/>
                <w:szCs w:val="20"/>
                <w:lang w:eastAsia="ja-JP"/>
              </w:rPr>
              <w:t>ears (range: 2 months to 12 years</w:t>
            </w:r>
            <w:r w:rsidR="00A554AC" w:rsidRPr="00852900">
              <w:rPr>
                <w:rFonts w:asciiTheme="minorHAnsi" w:hAnsiTheme="minorHAnsi"/>
                <w:sz w:val="20"/>
                <w:szCs w:val="20"/>
                <w:lang w:eastAsia="ja-JP"/>
              </w:rPr>
              <w:t>)</w:t>
            </w:r>
          </w:p>
          <w:p w14:paraId="5F5F83F6" w14:textId="136A97E0" w:rsidR="0095100C" w:rsidRPr="00852900" w:rsidRDefault="0095100C">
            <w:pPr>
              <w:rPr>
                <w:rFonts w:asciiTheme="minorHAnsi" w:hAnsiTheme="minorHAnsi"/>
                <w:sz w:val="20"/>
                <w:szCs w:val="20"/>
                <w:lang w:eastAsia="ja-JP"/>
              </w:rPr>
            </w:pPr>
            <w:r w:rsidRPr="00852900">
              <w:rPr>
                <w:rFonts w:asciiTheme="minorHAnsi" w:hAnsiTheme="minorHAnsi"/>
                <w:sz w:val="20"/>
                <w:szCs w:val="20"/>
                <w:lang w:eastAsia="ja-JP"/>
              </w:rPr>
              <w:t>Used midazolam hydrochloride</w:t>
            </w:r>
          </w:p>
        </w:tc>
      </w:tr>
      <w:tr w:rsidR="00A554AC" w14:paraId="1B487C8E" w14:textId="77777777" w:rsidTr="0095100C">
        <w:tc>
          <w:tcPr>
            <w:tcW w:w="5755" w:type="dxa"/>
            <w:tcBorders>
              <w:top w:val="single" w:sz="4" w:space="0" w:color="auto"/>
              <w:left w:val="single" w:sz="4" w:space="0" w:color="auto"/>
              <w:bottom w:val="single" w:sz="4" w:space="0" w:color="auto"/>
              <w:right w:val="single" w:sz="4" w:space="0" w:color="auto"/>
            </w:tcBorders>
            <w:hideMark/>
          </w:tcPr>
          <w:p w14:paraId="036FD17C" w14:textId="4DFC71DA" w:rsidR="00A554AC" w:rsidRPr="00852900" w:rsidRDefault="0095100C" w:rsidP="0095100C">
            <w:pPr>
              <w:rPr>
                <w:rFonts w:asciiTheme="minorHAnsi" w:hAnsiTheme="minorHAnsi"/>
                <w:sz w:val="20"/>
                <w:szCs w:val="20"/>
                <w:lang w:eastAsia="ja-JP"/>
              </w:rPr>
            </w:pPr>
            <w:r w:rsidRPr="00AA79CE">
              <w:rPr>
                <w:rFonts w:asciiTheme="minorHAnsi" w:hAnsiTheme="minorHAnsi"/>
                <w:sz w:val="20"/>
                <w:szCs w:val="20"/>
                <w:lang w:val="it-IT" w:eastAsia="ja-JP"/>
              </w:rPr>
              <w:t xml:space="preserve">Kutlu NO, Dogrul M, Yakinci C et al. </w:t>
            </w:r>
            <w:r w:rsidR="00A554AC" w:rsidRPr="00852900">
              <w:rPr>
                <w:rFonts w:asciiTheme="minorHAnsi" w:hAnsiTheme="minorHAnsi"/>
                <w:sz w:val="20"/>
                <w:szCs w:val="20"/>
                <w:lang w:eastAsia="ja-JP"/>
              </w:rPr>
              <w:t xml:space="preserve">Buccal midazolam for treatment of prolonged seizures in children. </w:t>
            </w:r>
            <w:r w:rsidR="00A554AC" w:rsidRPr="0095100C">
              <w:rPr>
                <w:rFonts w:asciiTheme="minorHAnsi" w:hAnsiTheme="minorHAnsi"/>
                <w:i/>
                <w:sz w:val="20"/>
                <w:szCs w:val="20"/>
                <w:lang w:eastAsia="ja-JP"/>
              </w:rPr>
              <w:t>Brain Dev.</w:t>
            </w:r>
            <w:r w:rsidR="00A554AC" w:rsidRPr="00852900">
              <w:rPr>
                <w:rFonts w:asciiTheme="minorHAnsi" w:hAnsiTheme="minorHAnsi"/>
                <w:sz w:val="20"/>
                <w:szCs w:val="20"/>
                <w:lang w:eastAsia="ja-JP"/>
              </w:rPr>
              <w:t xml:space="preserve"> 2003; 25 (4):275-278. </w:t>
            </w:r>
          </w:p>
        </w:tc>
        <w:tc>
          <w:tcPr>
            <w:tcW w:w="2970" w:type="dxa"/>
            <w:tcBorders>
              <w:top w:val="single" w:sz="4" w:space="0" w:color="auto"/>
              <w:left w:val="single" w:sz="4" w:space="0" w:color="auto"/>
              <w:bottom w:val="single" w:sz="4" w:space="0" w:color="auto"/>
              <w:right w:val="single" w:sz="4" w:space="0" w:color="auto"/>
            </w:tcBorders>
            <w:hideMark/>
          </w:tcPr>
          <w:p w14:paraId="73C43E36" w14:textId="77777777" w:rsidR="00A554AC" w:rsidRPr="00852900" w:rsidRDefault="00A554AC">
            <w:pPr>
              <w:rPr>
                <w:rFonts w:asciiTheme="minorHAnsi" w:hAnsiTheme="minorHAnsi"/>
                <w:sz w:val="20"/>
                <w:szCs w:val="20"/>
                <w:lang w:eastAsia="ja-JP"/>
              </w:rPr>
            </w:pPr>
            <w:r w:rsidRPr="00852900">
              <w:rPr>
                <w:rFonts w:asciiTheme="minorHAnsi" w:hAnsiTheme="minorHAnsi"/>
                <w:sz w:val="20"/>
                <w:szCs w:val="20"/>
                <w:lang w:eastAsia="ja-JP"/>
              </w:rPr>
              <w:t>19 patients</w:t>
            </w:r>
          </w:p>
          <w:p w14:paraId="4A939859" w14:textId="49F2DBD4" w:rsidR="00A554AC" w:rsidRPr="00852900" w:rsidRDefault="0095100C">
            <w:pPr>
              <w:rPr>
                <w:rFonts w:asciiTheme="minorHAnsi" w:hAnsiTheme="minorHAnsi"/>
                <w:sz w:val="20"/>
                <w:szCs w:val="20"/>
                <w:lang w:eastAsia="ja-JP"/>
              </w:rPr>
            </w:pPr>
            <w:r>
              <w:rPr>
                <w:rFonts w:asciiTheme="minorHAnsi" w:hAnsiTheme="minorHAnsi"/>
                <w:sz w:val="20"/>
                <w:szCs w:val="20"/>
                <w:lang w:eastAsia="ja-JP"/>
              </w:rPr>
              <w:t>Mean a</w:t>
            </w:r>
            <w:r w:rsidR="00A554AC" w:rsidRPr="00852900">
              <w:rPr>
                <w:rFonts w:asciiTheme="minorHAnsi" w:hAnsiTheme="minorHAnsi"/>
                <w:sz w:val="20"/>
                <w:szCs w:val="20"/>
                <w:lang w:eastAsia="ja-JP"/>
              </w:rPr>
              <w:t>ge</w:t>
            </w:r>
            <w:r>
              <w:rPr>
                <w:rFonts w:asciiTheme="minorHAnsi" w:hAnsiTheme="minorHAnsi"/>
                <w:sz w:val="20"/>
                <w:szCs w:val="20"/>
                <w:lang w:eastAsia="ja-JP"/>
              </w:rPr>
              <w:t>: 3.76 ±</w:t>
            </w:r>
            <w:r w:rsidR="00A554AC" w:rsidRPr="00852900">
              <w:rPr>
                <w:rFonts w:asciiTheme="minorHAnsi" w:hAnsiTheme="minorHAnsi"/>
                <w:sz w:val="20"/>
                <w:szCs w:val="20"/>
                <w:lang w:eastAsia="ja-JP"/>
              </w:rPr>
              <w:t>4.48</w:t>
            </w:r>
            <w:r>
              <w:rPr>
                <w:rFonts w:asciiTheme="minorHAnsi" w:hAnsiTheme="minorHAnsi"/>
                <w:sz w:val="20"/>
                <w:szCs w:val="20"/>
                <w:lang w:eastAsia="ja-JP"/>
              </w:rPr>
              <w:t xml:space="preserve"> </w:t>
            </w:r>
            <w:r w:rsidR="00A554AC" w:rsidRPr="00852900">
              <w:rPr>
                <w:rFonts w:asciiTheme="minorHAnsi" w:hAnsiTheme="minorHAnsi"/>
                <w:sz w:val="20"/>
                <w:szCs w:val="20"/>
                <w:lang w:eastAsia="ja-JP"/>
              </w:rPr>
              <w:t>y</w:t>
            </w:r>
            <w:r>
              <w:rPr>
                <w:rFonts w:asciiTheme="minorHAnsi" w:hAnsiTheme="minorHAnsi"/>
                <w:sz w:val="20"/>
                <w:szCs w:val="20"/>
                <w:lang w:eastAsia="ja-JP"/>
              </w:rPr>
              <w:t>ears</w:t>
            </w:r>
            <w:r w:rsidR="00A554AC" w:rsidRPr="00852900">
              <w:rPr>
                <w:rFonts w:asciiTheme="minorHAnsi" w:hAnsiTheme="minorHAnsi"/>
                <w:sz w:val="20"/>
                <w:szCs w:val="20"/>
                <w:lang w:eastAsia="ja-JP"/>
              </w:rPr>
              <w:t xml:space="preserve"> (range</w:t>
            </w:r>
            <w:r>
              <w:rPr>
                <w:rFonts w:asciiTheme="minorHAnsi" w:hAnsiTheme="minorHAnsi"/>
                <w:sz w:val="20"/>
                <w:szCs w:val="20"/>
                <w:lang w:eastAsia="ja-JP"/>
              </w:rPr>
              <w:t>:</w:t>
            </w:r>
            <w:r w:rsidR="00A554AC" w:rsidRPr="00852900">
              <w:rPr>
                <w:rFonts w:asciiTheme="minorHAnsi" w:hAnsiTheme="minorHAnsi"/>
                <w:sz w:val="20"/>
                <w:szCs w:val="20"/>
                <w:lang w:eastAsia="ja-JP"/>
              </w:rPr>
              <w:t xml:space="preserve"> 1 month to 15 years).</w:t>
            </w:r>
          </w:p>
        </w:tc>
      </w:tr>
      <w:tr w:rsidR="00A554AC" w14:paraId="5D52DB9C" w14:textId="77777777" w:rsidTr="0095100C">
        <w:tc>
          <w:tcPr>
            <w:tcW w:w="5755" w:type="dxa"/>
            <w:tcBorders>
              <w:top w:val="single" w:sz="4" w:space="0" w:color="auto"/>
              <w:left w:val="single" w:sz="4" w:space="0" w:color="auto"/>
              <w:bottom w:val="single" w:sz="4" w:space="0" w:color="auto"/>
              <w:right w:val="single" w:sz="4" w:space="0" w:color="auto"/>
            </w:tcBorders>
            <w:hideMark/>
          </w:tcPr>
          <w:p w14:paraId="46DF0E7B" w14:textId="56EE71D2" w:rsidR="00A554AC" w:rsidRPr="00852900" w:rsidRDefault="0095100C" w:rsidP="0095100C">
            <w:pPr>
              <w:rPr>
                <w:rFonts w:asciiTheme="minorHAnsi" w:hAnsiTheme="minorHAnsi"/>
                <w:sz w:val="20"/>
                <w:szCs w:val="20"/>
              </w:rPr>
            </w:pPr>
            <w:r>
              <w:rPr>
                <w:rFonts w:asciiTheme="minorHAnsi" w:hAnsiTheme="minorHAnsi"/>
                <w:sz w:val="20"/>
                <w:szCs w:val="20"/>
                <w:lang w:eastAsia="ja-JP"/>
              </w:rPr>
              <w:t xml:space="preserve">Frelih J, Zupancic N, Kolenc J, Rogelj M and Neubauer D. </w:t>
            </w:r>
            <w:r w:rsidR="00A554AC" w:rsidRPr="00852900">
              <w:rPr>
                <w:rFonts w:asciiTheme="minorHAnsi" w:hAnsiTheme="minorHAnsi"/>
                <w:sz w:val="20"/>
                <w:szCs w:val="20"/>
                <w:lang w:eastAsia="ja-JP"/>
              </w:rPr>
              <w:t xml:space="preserve">Buccal midazolam use for acute treatment of seizures. </w:t>
            </w:r>
            <w:r w:rsidR="00A554AC" w:rsidRPr="0095100C">
              <w:rPr>
                <w:rFonts w:asciiTheme="minorHAnsi" w:hAnsiTheme="minorHAnsi"/>
                <w:i/>
                <w:sz w:val="20"/>
                <w:szCs w:val="20"/>
                <w:lang w:eastAsia="ja-JP"/>
              </w:rPr>
              <w:t>Paediatr Croat</w:t>
            </w:r>
            <w:r w:rsidR="00A554AC" w:rsidRPr="00852900">
              <w:rPr>
                <w:rFonts w:asciiTheme="minorHAnsi" w:hAnsiTheme="minorHAnsi"/>
                <w:sz w:val="20"/>
                <w:szCs w:val="20"/>
                <w:lang w:eastAsia="ja-JP"/>
              </w:rPr>
              <w:t xml:space="preserve"> 2007; 51(Supl 1):149-151.</w:t>
            </w:r>
            <w:r w:rsidR="00A554AC" w:rsidRPr="00852900">
              <w:rPr>
                <w:rFonts w:asciiTheme="minorHAnsi" w:hAnsiTheme="minorHAnsi"/>
                <w:sz w:val="20"/>
                <w:szCs w:val="20"/>
              </w:rPr>
              <w:t xml:space="preserve"> </w:t>
            </w:r>
          </w:p>
        </w:tc>
        <w:tc>
          <w:tcPr>
            <w:tcW w:w="2970" w:type="dxa"/>
            <w:tcBorders>
              <w:top w:val="single" w:sz="4" w:space="0" w:color="auto"/>
              <w:left w:val="single" w:sz="4" w:space="0" w:color="auto"/>
              <w:bottom w:val="single" w:sz="4" w:space="0" w:color="auto"/>
              <w:right w:val="single" w:sz="4" w:space="0" w:color="auto"/>
            </w:tcBorders>
            <w:hideMark/>
          </w:tcPr>
          <w:p w14:paraId="0861F8C2" w14:textId="77777777" w:rsidR="0095100C" w:rsidRDefault="00A554AC">
            <w:pPr>
              <w:rPr>
                <w:rFonts w:asciiTheme="minorHAnsi" w:hAnsiTheme="minorHAnsi"/>
                <w:sz w:val="20"/>
                <w:szCs w:val="20"/>
                <w:lang w:eastAsia="ja-JP"/>
              </w:rPr>
            </w:pPr>
            <w:r w:rsidRPr="00852900">
              <w:rPr>
                <w:rFonts w:asciiTheme="minorHAnsi" w:hAnsiTheme="minorHAnsi"/>
                <w:sz w:val="20"/>
                <w:szCs w:val="20"/>
                <w:lang w:eastAsia="ja-JP"/>
              </w:rPr>
              <w:t>2</w:t>
            </w:r>
            <w:r w:rsidR="0095100C">
              <w:rPr>
                <w:rFonts w:asciiTheme="minorHAnsi" w:hAnsiTheme="minorHAnsi"/>
                <w:sz w:val="20"/>
                <w:szCs w:val="20"/>
                <w:lang w:eastAsia="ja-JP"/>
              </w:rPr>
              <w:t>0 patients</w:t>
            </w:r>
          </w:p>
          <w:p w14:paraId="763B55AE" w14:textId="470FABB6" w:rsidR="00A554AC" w:rsidRPr="00852900" w:rsidRDefault="0095100C">
            <w:pPr>
              <w:rPr>
                <w:rFonts w:asciiTheme="minorHAnsi" w:hAnsiTheme="minorHAnsi"/>
                <w:sz w:val="20"/>
                <w:szCs w:val="20"/>
                <w:lang w:eastAsia="ja-JP"/>
              </w:rPr>
            </w:pPr>
            <w:r>
              <w:rPr>
                <w:rFonts w:asciiTheme="minorHAnsi" w:hAnsiTheme="minorHAnsi"/>
                <w:sz w:val="20"/>
                <w:szCs w:val="20"/>
                <w:lang w:eastAsia="ja-JP"/>
              </w:rPr>
              <w:t>M</w:t>
            </w:r>
            <w:r w:rsidR="00A554AC" w:rsidRPr="00852900">
              <w:rPr>
                <w:rFonts w:asciiTheme="minorHAnsi" w:hAnsiTheme="minorHAnsi"/>
                <w:sz w:val="20"/>
                <w:szCs w:val="20"/>
                <w:lang w:eastAsia="ja-JP"/>
              </w:rPr>
              <w:t>ean</w:t>
            </w:r>
            <w:r>
              <w:rPr>
                <w:rFonts w:asciiTheme="minorHAnsi" w:hAnsiTheme="minorHAnsi"/>
                <w:sz w:val="20"/>
                <w:szCs w:val="20"/>
                <w:lang w:eastAsia="ja-JP"/>
              </w:rPr>
              <w:t xml:space="preserve"> age: 8 ± 2.3 years (range: </w:t>
            </w:r>
            <w:r w:rsidRPr="00852900">
              <w:rPr>
                <w:rFonts w:asciiTheme="minorHAnsi" w:hAnsiTheme="minorHAnsi"/>
                <w:sz w:val="20"/>
                <w:szCs w:val="20"/>
                <w:lang w:eastAsia="ja-JP"/>
              </w:rPr>
              <w:t>3 to 24</w:t>
            </w:r>
            <w:r>
              <w:rPr>
                <w:rFonts w:asciiTheme="minorHAnsi" w:hAnsiTheme="minorHAnsi"/>
                <w:sz w:val="20"/>
                <w:szCs w:val="20"/>
                <w:lang w:eastAsia="ja-JP"/>
              </w:rPr>
              <w:t xml:space="preserve"> </w:t>
            </w:r>
            <w:r w:rsidRPr="00852900">
              <w:rPr>
                <w:rFonts w:asciiTheme="minorHAnsi" w:hAnsiTheme="minorHAnsi"/>
                <w:sz w:val="20"/>
                <w:szCs w:val="20"/>
                <w:lang w:eastAsia="ja-JP"/>
              </w:rPr>
              <w:t>y</w:t>
            </w:r>
            <w:r>
              <w:rPr>
                <w:rFonts w:asciiTheme="minorHAnsi" w:hAnsiTheme="minorHAnsi"/>
                <w:sz w:val="20"/>
                <w:szCs w:val="20"/>
                <w:lang w:eastAsia="ja-JP"/>
              </w:rPr>
              <w:t>ears)</w:t>
            </w:r>
          </w:p>
        </w:tc>
      </w:tr>
      <w:tr w:rsidR="00A554AC" w14:paraId="1F711E8F" w14:textId="77777777" w:rsidTr="0095100C">
        <w:tc>
          <w:tcPr>
            <w:tcW w:w="5755" w:type="dxa"/>
            <w:tcBorders>
              <w:top w:val="single" w:sz="4" w:space="0" w:color="auto"/>
              <w:left w:val="single" w:sz="4" w:space="0" w:color="auto"/>
              <w:bottom w:val="single" w:sz="4" w:space="0" w:color="auto"/>
              <w:right w:val="single" w:sz="4" w:space="0" w:color="auto"/>
            </w:tcBorders>
            <w:hideMark/>
          </w:tcPr>
          <w:p w14:paraId="4EBFE2FC" w14:textId="03CF5ABD" w:rsidR="00A554AC" w:rsidRPr="00852900" w:rsidRDefault="008359CE" w:rsidP="008359CE">
            <w:pPr>
              <w:rPr>
                <w:rFonts w:asciiTheme="minorHAnsi" w:hAnsiTheme="minorHAnsi"/>
                <w:sz w:val="20"/>
                <w:szCs w:val="20"/>
                <w:lang w:eastAsia="ja-JP"/>
              </w:rPr>
            </w:pPr>
            <w:r w:rsidRPr="00852900">
              <w:rPr>
                <w:rFonts w:asciiTheme="minorHAnsi" w:hAnsiTheme="minorHAnsi"/>
                <w:sz w:val="20"/>
                <w:szCs w:val="20"/>
                <w:lang w:eastAsia="ja-JP"/>
              </w:rPr>
              <w:t>Wilson MT, Macleod S and O’Regan. M. E.</w:t>
            </w:r>
            <w:r>
              <w:rPr>
                <w:rFonts w:asciiTheme="minorHAnsi" w:hAnsiTheme="minorHAnsi"/>
                <w:sz w:val="20"/>
                <w:szCs w:val="20"/>
                <w:lang w:eastAsia="ja-JP"/>
              </w:rPr>
              <w:t xml:space="preserve"> </w:t>
            </w:r>
            <w:r w:rsidR="00A554AC" w:rsidRPr="00852900">
              <w:rPr>
                <w:rFonts w:asciiTheme="minorHAnsi" w:hAnsiTheme="minorHAnsi"/>
                <w:sz w:val="20"/>
                <w:szCs w:val="20"/>
                <w:lang w:eastAsia="ja-JP"/>
              </w:rPr>
              <w:t xml:space="preserve">Nasal/buccal midazolam use in the community. </w:t>
            </w:r>
            <w:r w:rsidR="00A554AC" w:rsidRPr="008359CE">
              <w:rPr>
                <w:rFonts w:asciiTheme="minorHAnsi" w:hAnsiTheme="minorHAnsi"/>
                <w:i/>
                <w:sz w:val="20"/>
                <w:szCs w:val="20"/>
                <w:lang w:eastAsia="ja-JP"/>
              </w:rPr>
              <w:t>Arch. Dis. Child.</w:t>
            </w:r>
            <w:r w:rsidR="00A554AC" w:rsidRPr="00852900">
              <w:rPr>
                <w:rFonts w:asciiTheme="minorHAnsi" w:hAnsiTheme="minorHAnsi"/>
                <w:sz w:val="20"/>
                <w:szCs w:val="20"/>
                <w:lang w:eastAsia="ja-JP"/>
              </w:rPr>
              <w:t xml:space="preserve"> 2004; 89:50-51*</w:t>
            </w:r>
          </w:p>
        </w:tc>
        <w:tc>
          <w:tcPr>
            <w:tcW w:w="2970" w:type="dxa"/>
            <w:tcBorders>
              <w:top w:val="single" w:sz="4" w:space="0" w:color="auto"/>
              <w:left w:val="single" w:sz="4" w:space="0" w:color="auto"/>
              <w:bottom w:val="single" w:sz="4" w:space="0" w:color="auto"/>
              <w:right w:val="single" w:sz="4" w:space="0" w:color="auto"/>
            </w:tcBorders>
            <w:hideMark/>
          </w:tcPr>
          <w:p w14:paraId="0BF7CB0B" w14:textId="77777777" w:rsidR="008359CE" w:rsidRDefault="00A554AC">
            <w:pPr>
              <w:rPr>
                <w:rFonts w:asciiTheme="minorHAnsi" w:hAnsiTheme="minorHAnsi"/>
                <w:sz w:val="20"/>
                <w:szCs w:val="20"/>
                <w:lang w:eastAsia="ja-JP"/>
              </w:rPr>
            </w:pPr>
            <w:r w:rsidRPr="00852900">
              <w:rPr>
                <w:rFonts w:asciiTheme="minorHAnsi" w:hAnsiTheme="minorHAnsi"/>
                <w:sz w:val="20"/>
                <w:szCs w:val="20"/>
                <w:lang w:eastAsia="ja-JP"/>
              </w:rPr>
              <w:t>4</w:t>
            </w:r>
            <w:r w:rsidR="008359CE">
              <w:rPr>
                <w:rFonts w:asciiTheme="minorHAnsi" w:hAnsiTheme="minorHAnsi"/>
                <w:sz w:val="20"/>
                <w:szCs w:val="20"/>
                <w:lang w:eastAsia="ja-JP"/>
              </w:rPr>
              <w:t>0 patients</w:t>
            </w:r>
          </w:p>
          <w:p w14:paraId="3273CC4B" w14:textId="13874099" w:rsidR="00A554AC" w:rsidRPr="00852900" w:rsidRDefault="008359CE">
            <w:pPr>
              <w:rPr>
                <w:rFonts w:asciiTheme="minorHAnsi" w:hAnsiTheme="minorHAnsi"/>
                <w:sz w:val="20"/>
                <w:szCs w:val="20"/>
                <w:lang w:eastAsia="ja-JP"/>
              </w:rPr>
            </w:pPr>
            <w:r>
              <w:rPr>
                <w:rFonts w:asciiTheme="minorHAnsi" w:hAnsiTheme="minorHAnsi"/>
                <w:sz w:val="20"/>
                <w:szCs w:val="20"/>
                <w:lang w:eastAsia="ja-JP"/>
              </w:rPr>
              <w:t xml:space="preserve">Ages: 3 to </w:t>
            </w:r>
            <w:r w:rsidR="00A554AC" w:rsidRPr="00852900">
              <w:rPr>
                <w:rFonts w:asciiTheme="minorHAnsi" w:hAnsiTheme="minorHAnsi"/>
                <w:sz w:val="20"/>
                <w:szCs w:val="20"/>
                <w:lang w:eastAsia="ja-JP"/>
              </w:rPr>
              <w:t>21</w:t>
            </w:r>
            <w:r>
              <w:rPr>
                <w:rFonts w:asciiTheme="minorHAnsi" w:hAnsiTheme="minorHAnsi"/>
                <w:sz w:val="20"/>
                <w:szCs w:val="20"/>
                <w:lang w:eastAsia="ja-JP"/>
              </w:rPr>
              <w:t xml:space="preserve"> </w:t>
            </w:r>
            <w:r w:rsidR="00A554AC" w:rsidRPr="00852900">
              <w:rPr>
                <w:rFonts w:asciiTheme="minorHAnsi" w:hAnsiTheme="minorHAnsi"/>
                <w:sz w:val="20"/>
                <w:szCs w:val="20"/>
                <w:lang w:eastAsia="ja-JP"/>
              </w:rPr>
              <w:t>y</w:t>
            </w:r>
            <w:r>
              <w:rPr>
                <w:rFonts w:asciiTheme="minorHAnsi" w:hAnsiTheme="minorHAnsi"/>
                <w:sz w:val="20"/>
                <w:szCs w:val="20"/>
                <w:lang w:eastAsia="ja-JP"/>
              </w:rPr>
              <w:t>ears</w:t>
            </w:r>
          </w:p>
        </w:tc>
      </w:tr>
      <w:tr w:rsidR="00A554AC" w14:paraId="7EC09378" w14:textId="77777777" w:rsidTr="0095100C">
        <w:trPr>
          <w:trHeight w:val="93"/>
        </w:trPr>
        <w:tc>
          <w:tcPr>
            <w:tcW w:w="5755" w:type="dxa"/>
            <w:tcBorders>
              <w:top w:val="single" w:sz="4" w:space="0" w:color="auto"/>
              <w:left w:val="single" w:sz="4" w:space="0" w:color="auto"/>
              <w:bottom w:val="single" w:sz="4" w:space="0" w:color="auto"/>
              <w:right w:val="single" w:sz="4" w:space="0" w:color="auto"/>
            </w:tcBorders>
            <w:hideMark/>
          </w:tcPr>
          <w:p w14:paraId="51AE0819" w14:textId="6679E24B" w:rsidR="00A554AC" w:rsidRPr="00852900" w:rsidRDefault="008359CE" w:rsidP="008359CE">
            <w:pPr>
              <w:rPr>
                <w:rFonts w:asciiTheme="minorHAnsi" w:hAnsiTheme="minorHAnsi"/>
                <w:sz w:val="20"/>
                <w:szCs w:val="20"/>
                <w:lang w:eastAsia="ja-JP"/>
              </w:rPr>
            </w:pPr>
            <w:r w:rsidRPr="00852900">
              <w:rPr>
                <w:rFonts w:asciiTheme="minorHAnsi" w:hAnsiTheme="minorHAnsi"/>
                <w:sz w:val="20"/>
                <w:szCs w:val="20"/>
                <w:lang w:eastAsia="ja-JP"/>
              </w:rPr>
              <w:t xml:space="preserve">Muchohi S, Kokwaro G, Ogutu B, Edwards G, Ward S and Newton C. </w:t>
            </w:r>
            <w:r w:rsidR="00A554AC" w:rsidRPr="00852900">
              <w:rPr>
                <w:rFonts w:asciiTheme="minorHAnsi" w:hAnsiTheme="minorHAnsi"/>
                <w:sz w:val="20"/>
                <w:szCs w:val="20"/>
                <w:lang w:eastAsia="ja-JP"/>
              </w:rPr>
              <w:t xml:space="preserve">Pharmacokinetics and clinical efficacy of midazolam in children with severe malaria and convulsions. </w:t>
            </w:r>
            <w:r w:rsidR="00A554AC" w:rsidRPr="008359CE">
              <w:rPr>
                <w:rFonts w:asciiTheme="minorHAnsi" w:hAnsiTheme="minorHAnsi"/>
                <w:i/>
                <w:sz w:val="20"/>
                <w:szCs w:val="20"/>
                <w:lang w:eastAsia="ja-JP"/>
              </w:rPr>
              <w:t>British Journal of Clinical Pharmacology,</w:t>
            </w:r>
            <w:r w:rsidR="00A554AC" w:rsidRPr="00852900">
              <w:rPr>
                <w:rFonts w:asciiTheme="minorHAnsi" w:hAnsiTheme="minorHAnsi"/>
                <w:sz w:val="20"/>
                <w:szCs w:val="20"/>
                <w:lang w:eastAsia="ja-JP"/>
              </w:rPr>
              <w:t xml:space="preserve"> 2008; 66(4):529-538. </w:t>
            </w:r>
          </w:p>
        </w:tc>
        <w:tc>
          <w:tcPr>
            <w:tcW w:w="2970" w:type="dxa"/>
            <w:tcBorders>
              <w:top w:val="single" w:sz="4" w:space="0" w:color="auto"/>
              <w:left w:val="single" w:sz="4" w:space="0" w:color="auto"/>
              <w:bottom w:val="single" w:sz="4" w:space="0" w:color="auto"/>
              <w:right w:val="single" w:sz="4" w:space="0" w:color="auto"/>
            </w:tcBorders>
            <w:hideMark/>
          </w:tcPr>
          <w:p w14:paraId="29E63033" w14:textId="77777777" w:rsidR="008359CE" w:rsidRDefault="00A554AC">
            <w:pPr>
              <w:rPr>
                <w:rFonts w:asciiTheme="minorHAnsi" w:hAnsiTheme="minorHAnsi"/>
                <w:sz w:val="20"/>
                <w:szCs w:val="20"/>
                <w:lang w:eastAsia="ja-JP"/>
              </w:rPr>
            </w:pPr>
            <w:r w:rsidRPr="00852900">
              <w:rPr>
                <w:rFonts w:asciiTheme="minorHAnsi" w:hAnsiTheme="minorHAnsi"/>
                <w:sz w:val="20"/>
                <w:szCs w:val="20"/>
                <w:lang w:eastAsia="ja-JP"/>
              </w:rPr>
              <w:t>8</w:t>
            </w:r>
            <w:r w:rsidR="008359CE">
              <w:rPr>
                <w:rFonts w:asciiTheme="minorHAnsi" w:hAnsiTheme="minorHAnsi"/>
                <w:sz w:val="20"/>
                <w:szCs w:val="20"/>
                <w:lang w:eastAsia="ja-JP"/>
              </w:rPr>
              <w:t xml:space="preserve"> patients</w:t>
            </w:r>
          </w:p>
          <w:p w14:paraId="1C79911C" w14:textId="2097CD21" w:rsidR="00A554AC" w:rsidRPr="00852900" w:rsidRDefault="008359CE">
            <w:pPr>
              <w:rPr>
                <w:rFonts w:asciiTheme="minorHAnsi" w:hAnsiTheme="minorHAnsi"/>
                <w:sz w:val="20"/>
                <w:szCs w:val="20"/>
                <w:lang w:eastAsia="ja-JP"/>
              </w:rPr>
            </w:pPr>
            <w:r>
              <w:rPr>
                <w:rFonts w:asciiTheme="minorHAnsi" w:hAnsiTheme="minorHAnsi"/>
                <w:sz w:val="20"/>
                <w:szCs w:val="20"/>
                <w:lang w:eastAsia="ja-JP"/>
              </w:rPr>
              <w:t>M</w:t>
            </w:r>
            <w:r w:rsidR="00A554AC" w:rsidRPr="00852900">
              <w:rPr>
                <w:rFonts w:asciiTheme="minorHAnsi" w:hAnsiTheme="minorHAnsi"/>
                <w:sz w:val="20"/>
                <w:szCs w:val="20"/>
                <w:lang w:eastAsia="ja-JP"/>
              </w:rPr>
              <w:t>edian age 26</w:t>
            </w:r>
            <w:r>
              <w:rPr>
                <w:rFonts w:asciiTheme="minorHAnsi" w:hAnsiTheme="minorHAnsi"/>
                <w:sz w:val="20"/>
                <w:szCs w:val="20"/>
                <w:lang w:eastAsia="ja-JP"/>
              </w:rPr>
              <w:t xml:space="preserve"> months</w:t>
            </w:r>
            <w:r w:rsidR="001F72AE">
              <w:rPr>
                <w:rFonts w:asciiTheme="minorHAnsi" w:hAnsiTheme="minorHAnsi"/>
                <w:sz w:val="20"/>
                <w:szCs w:val="20"/>
                <w:lang w:eastAsia="ja-JP"/>
              </w:rPr>
              <w:br/>
            </w:r>
            <w:r w:rsidR="00A554AC" w:rsidRPr="00852900">
              <w:rPr>
                <w:rFonts w:asciiTheme="minorHAnsi" w:hAnsiTheme="minorHAnsi"/>
                <w:sz w:val="20"/>
                <w:szCs w:val="20"/>
                <w:lang w:eastAsia="ja-JP"/>
              </w:rPr>
              <w:t>(range</w:t>
            </w:r>
            <w:r>
              <w:rPr>
                <w:rFonts w:asciiTheme="minorHAnsi" w:hAnsiTheme="minorHAnsi"/>
                <w:sz w:val="20"/>
                <w:szCs w:val="20"/>
                <w:lang w:eastAsia="ja-JP"/>
              </w:rPr>
              <w:t xml:space="preserve">: 7 to </w:t>
            </w:r>
            <w:r w:rsidR="00A554AC" w:rsidRPr="00852900">
              <w:rPr>
                <w:rFonts w:asciiTheme="minorHAnsi" w:hAnsiTheme="minorHAnsi"/>
                <w:sz w:val="20"/>
                <w:szCs w:val="20"/>
                <w:lang w:eastAsia="ja-JP"/>
              </w:rPr>
              <w:t>64) months</w:t>
            </w:r>
          </w:p>
        </w:tc>
      </w:tr>
      <w:tr w:rsidR="00A554AC" w14:paraId="0D9E1AF2" w14:textId="77777777" w:rsidTr="0095100C">
        <w:tc>
          <w:tcPr>
            <w:tcW w:w="5755" w:type="dxa"/>
            <w:tcBorders>
              <w:top w:val="single" w:sz="4" w:space="0" w:color="auto"/>
              <w:left w:val="single" w:sz="4" w:space="0" w:color="auto"/>
              <w:bottom w:val="single" w:sz="4" w:space="0" w:color="auto"/>
              <w:right w:val="single" w:sz="4" w:space="0" w:color="auto"/>
            </w:tcBorders>
            <w:hideMark/>
          </w:tcPr>
          <w:p w14:paraId="3CE65A8E" w14:textId="2B02D284" w:rsidR="00A554AC" w:rsidRPr="00852900" w:rsidRDefault="008359CE" w:rsidP="008359CE">
            <w:pPr>
              <w:rPr>
                <w:rFonts w:asciiTheme="minorHAnsi" w:hAnsiTheme="minorHAnsi"/>
                <w:sz w:val="20"/>
                <w:szCs w:val="20"/>
                <w:lang w:eastAsia="ja-JP"/>
              </w:rPr>
            </w:pPr>
            <w:r>
              <w:rPr>
                <w:rFonts w:asciiTheme="minorHAnsi" w:hAnsiTheme="minorHAnsi"/>
                <w:sz w:val="20"/>
                <w:szCs w:val="20"/>
                <w:lang w:eastAsia="ja-JP"/>
              </w:rPr>
              <w:t xml:space="preserve">Ahmed R. </w:t>
            </w:r>
            <w:r w:rsidR="00A554AC" w:rsidRPr="00852900">
              <w:rPr>
                <w:rFonts w:asciiTheme="minorHAnsi" w:hAnsiTheme="minorHAnsi"/>
                <w:sz w:val="20"/>
                <w:szCs w:val="20"/>
                <w:lang w:eastAsia="ja-JP"/>
              </w:rPr>
              <w:t>Low-dose buccal midazolam fo</w:t>
            </w:r>
            <w:r>
              <w:rPr>
                <w:rFonts w:asciiTheme="minorHAnsi" w:hAnsiTheme="minorHAnsi"/>
                <w:sz w:val="20"/>
                <w:szCs w:val="20"/>
                <w:lang w:eastAsia="ja-JP"/>
              </w:rPr>
              <w:t>r aborting seizures in children</w:t>
            </w:r>
            <w:r w:rsidR="00A554AC" w:rsidRPr="00852900">
              <w:rPr>
                <w:rFonts w:asciiTheme="minorHAnsi" w:hAnsiTheme="minorHAnsi"/>
                <w:sz w:val="20"/>
                <w:szCs w:val="20"/>
                <w:lang w:eastAsia="ja-JP"/>
              </w:rPr>
              <w:t xml:space="preserve">. </w:t>
            </w:r>
            <w:r w:rsidR="00A554AC" w:rsidRPr="008359CE">
              <w:rPr>
                <w:rFonts w:asciiTheme="minorHAnsi" w:hAnsiTheme="minorHAnsi"/>
                <w:i/>
                <w:sz w:val="20"/>
                <w:szCs w:val="20"/>
                <w:lang w:eastAsia="ja-JP"/>
              </w:rPr>
              <w:t xml:space="preserve">J Pediatr Neurol </w:t>
            </w:r>
            <w:r w:rsidR="00A554AC" w:rsidRPr="00852900">
              <w:rPr>
                <w:rFonts w:asciiTheme="minorHAnsi" w:hAnsiTheme="minorHAnsi"/>
                <w:sz w:val="20"/>
                <w:szCs w:val="20"/>
                <w:lang w:eastAsia="ja-JP"/>
              </w:rPr>
              <w:t xml:space="preserve">2007; 5:291-293. </w:t>
            </w:r>
          </w:p>
        </w:tc>
        <w:tc>
          <w:tcPr>
            <w:tcW w:w="2970" w:type="dxa"/>
            <w:tcBorders>
              <w:top w:val="single" w:sz="4" w:space="0" w:color="auto"/>
              <w:left w:val="single" w:sz="4" w:space="0" w:color="auto"/>
              <w:bottom w:val="single" w:sz="4" w:space="0" w:color="auto"/>
              <w:right w:val="single" w:sz="4" w:space="0" w:color="auto"/>
            </w:tcBorders>
            <w:hideMark/>
          </w:tcPr>
          <w:p w14:paraId="435F3AAC" w14:textId="77777777" w:rsidR="008359CE" w:rsidRDefault="00A554AC">
            <w:pPr>
              <w:rPr>
                <w:rFonts w:asciiTheme="minorHAnsi" w:hAnsiTheme="minorHAnsi"/>
                <w:sz w:val="20"/>
                <w:szCs w:val="20"/>
                <w:lang w:eastAsia="ja-JP"/>
              </w:rPr>
            </w:pPr>
            <w:r w:rsidRPr="00852900">
              <w:rPr>
                <w:rFonts w:asciiTheme="minorHAnsi" w:hAnsiTheme="minorHAnsi"/>
                <w:sz w:val="20"/>
                <w:szCs w:val="20"/>
                <w:lang w:eastAsia="ja-JP"/>
              </w:rPr>
              <w:t>2</w:t>
            </w:r>
            <w:r w:rsidR="008359CE">
              <w:rPr>
                <w:rFonts w:asciiTheme="minorHAnsi" w:hAnsiTheme="minorHAnsi"/>
                <w:sz w:val="20"/>
                <w:szCs w:val="20"/>
                <w:lang w:eastAsia="ja-JP"/>
              </w:rPr>
              <w:t>0 patients</w:t>
            </w:r>
          </w:p>
          <w:p w14:paraId="6C2CCC14" w14:textId="171A9C1C" w:rsidR="00A554AC" w:rsidRPr="00852900" w:rsidRDefault="008359CE">
            <w:pPr>
              <w:rPr>
                <w:rFonts w:asciiTheme="minorHAnsi" w:hAnsiTheme="minorHAnsi"/>
                <w:sz w:val="20"/>
                <w:szCs w:val="20"/>
                <w:lang w:eastAsia="ja-JP"/>
              </w:rPr>
            </w:pPr>
            <w:r>
              <w:rPr>
                <w:rFonts w:asciiTheme="minorHAnsi" w:hAnsiTheme="minorHAnsi"/>
                <w:sz w:val="20"/>
                <w:szCs w:val="20"/>
                <w:lang w:eastAsia="ja-JP"/>
              </w:rPr>
              <w:t>Age range: 5.5 months to 6.2 </w:t>
            </w:r>
            <w:r w:rsidR="00A554AC" w:rsidRPr="00852900">
              <w:rPr>
                <w:rFonts w:asciiTheme="minorHAnsi" w:hAnsiTheme="minorHAnsi"/>
                <w:sz w:val="20"/>
                <w:szCs w:val="20"/>
                <w:lang w:eastAsia="ja-JP"/>
              </w:rPr>
              <w:t>years</w:t>
            </w:r>
          </w:p>
        </w:tc>
      </w:tr>
      <w:tr w:rsidR="00A554AC" w14:paraId="4C8B5386" w14:textId="77777777" w:rsidTr="0072466B">
        <w:trPr>
          <w:cantSplit/>
        </w:trPr>
        <w:tc>
          <w:tcPr>
            <w:tcW w:w="5755" w:type="dxa"/>
            <w:tcBorders>
              <w:top w:val="single" w:sz="4" w:space="0" w:color="auto"/>
              <w:left w:val="single" w:sz="4" w:space="0" w:color="auto"/>
              <w:bottom w:val="single" w:sz="4" w:space="0" w:color="auto"/>
              <w:right w:val="single" w:sz="4" w:space="0" w:color="auto"/>
            </w:tcBorders>
            <w:hideMark/>
          </w:tcPr>
          <w:p w14:paraId="057C7D2D" w14:textId="4833E31E" w:rsidR="00A554AC" w:rsidRPr="00852900" w:rsidRDefault="0072466B" w:rsidP="0072466B">
            <w:pPr>
              <w:rPr>
                <w:rFonts w:asciiTheme="minorHAnsi" w:hAnsiTheme="minorHAnsi"/>
                <w:sz w:val="20"/>
                <w:szCs w:val="20"/>
                <w:lang w:eastAsia="ja-JP"/>
              </w:rPr>
            </w:pPr>
            <w:r w:rsidRPr="00852900">
              <w:rPr>
                <w:rFonts w:asciiTheme="minorHAnsi" w:hAnsiTheme="minorHAnsi"/>
                <w:sz w:val="20"/>
                <w:szCs w:val="20"/>
                <w:lang w:eastAsia="ja-JP"/>
              </w:rPr>
              <w:t>Mpimbaza A, Ndeeza G, Staedke S, et al</w:t>
            </w:r>
            <w:r>
              <w:rPr>
                <w:rFonts w:asciiTheme="minorHAnsi" w:hAnsiTheme="minorHAnsi"/>
                <w:sz w:val="20"/>
                <w:szCs w:val="20"/>
                <w:lang w:eastAsia="ja-JP"/>
              </w:rPr>
              <w:t xml:space="preserve">. </w:t>
            </w:r>
            <w:r w:rsidR="00A554AC" w:rsidRPr="00852900">
              <w:rPr>
                <w:rFonts w:asciiTheme="minorHAnsi" w:hAnsiTheme="minorHAnsi"/>
                <w:sz w:val="20"/>
                <w:szCs w:val="20"/>
                <w:lang w:eastAsia="ja-JP"/>
              </w:rPr>
              <w:t xml:space="preserve">Comparison of buccal midazolam with rectal diazepam in the treatment of prolonged seizures in Ugandan Children: A </w:t>
            </w:r>
            <w:r w:rsidR="00B934E5">
              <w:rPr>
                <w:rFonts w:asciiTheme="minorHAnsi" w:hAnsiTheme="minorHAnsi"/>
                <w:sz w:val="20"/>
                <w:szCs w:val="20"/>
                <w:lang w:eastAsia="ja-JP"/>
              </w:rPr>
              <w:t>randomised</w:t>
            </w:r>
            <w:r w:rsidR="00A554AC" w:rsidRPr="00852900">
              <w:rPr>
                <w:rFonts w:asciiTheme="minorHAnsi" w:hAnsiTheme="minorHAnsi"/>
                <w:sz w:val="20"/>
                <w:szCs w:val="20"/>
                <w:lang w:eastAsia="ja-JP"/>
              </w:rPr>
              <w:t xml:space="preserve"> clinical trial. </w:t>
            </w:r>
            <w:r w:rsidR="00A554AC" w:rsidRPr="0072466B">
              <w:rPr>
                <w:rFonts w:asciiTheme="minorHAnsi" w:hAnsiTheme="minorHAnsi"/>
                <w:i/>
                <w:sz w:val="20"/>
                <w:szCs w:val="20"/>
                <w:lang w:eastAsia="ja-JP"/>
              </w:rPr>
              <w:t>Paediatrics</w:t>
            </w:r>
            <w:r>
              <w:rPr>
                <w:rFonts w:asciiTheme="minorHAnsi" w:hAnsiTheme="minorHAnsi"/>
                <w:sz w:val="20"/>
                <w:szCs w:val="20"/>
                <w:lang w:eastAsia="ja-JP"/>
              </w:rPr>
              <w:t>, 2008; 121:e58-e64.</w:t>
            </w:r>
          </w:p>
        </w:tc>
        <w:tc>
          <w:tcPr>
            <w:tcW w:w="2970" w:type="dxa"/>
            <w:tcBorders>
              <w:top w:val="single" w:sz="4" w:space="0" w:color="auto"/>
              <w:left w:val="single" w:sz="4" w:space="0" w:color="auto"/>
              <w:bottom w:val="single" w:sz="4" w:space="0" w:color="auto"/>
              <w:right w:val="single" w:sz="4" w:space="0" w:color="auto"/>
            </w:tcBorders>
            <w:hideMark/>
          </w:tcPr>
          <w:p w14:paraId="484025B4" w14:textId="77777777" w:rsidR="0072466B" w:rsidRDefault="00A554AC">
            <w:pPr>
              <w:rPr>
                <w:rFonts w:asciiTheme="minorHAnsi" w:hAnsiTheme="minorHAnsi"/>
                <w:sz w:val="20"/>
                <w:szCs w:val="20"/>
                <w:lang w:eastAsia="ja-JP"/>
              </w:rPr>
            </w:pPr>
            <w:r w:rsidRPr="00852900">
              <w:rPr>
                <w:rFonts w:asciiTheme="minorHAnsi" w:hAnsiTheme="minorHAnsi"/>
                <w:sz w:val="20"/>
                <w:szCs w:val="20"/>
                <w:lang w:eastAsia="ja-JP"/>
              </w:rPr>
              <w:t>1</w:t>
            </w:r>
            <w:r w:rsidR="0072466B">
              <w:rPr>
                <w:rFonts w:asciiTheme="minorHAnsi" w:hAnsiTheme="minorHAnsi"/>
                <w:sz w:val="20"/>
                <w:szCs w:val="20"/>
                <w:lang w:eastAsia="ja-JP"/>
              </w:rPr>
              <w:t>65 patients</w:t>
            </w:r>
          </w:p>
          <w:p w14:paraId="5BAD9A72" w14:textId="77777777" w:rsidR="00A554AC" w:rsidRDefault="0072466B">
            <w:pPr>
              <w:rPr>
                <w:rFonts w:asciiTheme="minorHAnsi" w:hAnsiTheme="minorHAnsi"/>
                <w:sz w:val="20"/>
                <w:szCs w:val="20"/>
                <w:lang w:eastAsia="ja-JP"/>
              </w:rPr>
            </w:pPr>
            <w:r>
              <w:rPr>
                <w:rFonts w:asciiTheme="minorHAnsi" w:hAnsiTheme="minorHAnsi"/>
                <w:sz w:val="20"/>
                <w:szCs w:val="20"/>
                <w:lang w:eastAsia="ja-JP"/>
              </w:rPr>
              <w:t xml:space="preserve">Median age (IQR) 17.0 (10.5 to </w:t>
            </w:r>
            <w:r w:rsidR="00A554AC" w:rsidRPr="00852900">
              <w:rPr>
                <w:rFonts w:asciiTheme="minorHAnsi" w:hAnsiTheme="minorHAnsi"/>
                <w:sz w:val="20"/>
                <w:szCs w:val="20"/>
                <w:lang w:eastAsia="ja-JP"/>
              </w:rPr>
              <w:t>30.0)</w:t>
            </w:r>
            <w:r w:rsidR="00F91755">
              <w:rPr>
                <w:rFonts w:asciiTheme="minorHAnsi" w:hAnsiTheme="minorHAnsi"/>
                <w:sz w:val="20"/>
                <w:szCs w:val="20"/>
                <w:lang w:eastAsia="ja-JP"/>
              </w:rPr>
              <w:t xml:space="preserve"> </w:t>
            </w:r>
            <w:r w:rsidR="00A554AC" w:rsidRPr="00852900">
              <w:rPr>
                <w:rFonts w:asciiTheme="minorHAnsi" w:hAnsiTheme="minorHAnsi"/>
                <w:sz w:val="20"/>
                <w:szCs w:val="20"/>
                <w:lang w:eastAsia="ja-JP"/>
              </w:rPr>
              <w:t>months</w:t>
            </w:r>
            <w:r>
              <w:rPr>
                <w:rFonts w:asciiTheme="minorHAnsi" w:hAnsiTheme="minorHAnsi"/>
                <w:sz w:val="20"/>
                <w:szCs w:val="20"/>
                <w:lang w:eastAsia="ja-JP"/>
              </w:rPr>
              <w:t>.</w:t>
            </w:r>
          </w:p>
          <w:p w14:paraId="13DAD0DC" w14:textId="15FA16DF" w:rsidR="0072466B" w:rsidRPr="00852900" w:rsidRDefault="0072466B">
            <w:pPr>
              <w:rPr>
                <w:rFonts w:asciiTheme="minorHAnsi" w:hAnsiTheme="minorHAnsi"/>
                <w:sz w:val="20"/>
                <w:szCs w:val="20"/>
                <w:lang w:eastAsia="ja-JP"/>
              </w:rPr>
            </w:pPr>
            <w:r w:rsidRPr="00852900">
              <w:rPr>
                <w:rFonts w:asciiTheme="minorHAnsi" w:hAnsiTheme="minorHAnsi"/>
                <w:sz w:val="20"/>
                <w:szCs w:val="20"/>
                <w:lang w:eastAsia="ja-JP"/>
              </w:rPr>
              <w:t>Used midazolam hydrochloride</w:t>
            </w:r>
          </w:p>
        </w:tc>
      </w:tr>
      <w:tr w:rsidR="00A554AC" w14:paraId="7E5BF5E1" w14:textId="77777777" w:rsidTr="0095100C">
        <w:tc>
          <w:tcPr>
            <w:tcW w:w="5755" w:type="dxa"/>
            <w:tcBorders>
              <w:top w:val="single" w:sz="4" w:space="0" w:color="auto"/>
              <w:left w:val="single" w:sz="4" w:space="0" w:color="auto"/>
              <w:bottom w:val="single" w:sz="4" w:space="0" w:color="auto"/>
              <w:right w:val="single" w:sz="4" w:space="0" w:color="auto"/>
            </w:tcBorders>
            <w:hideMark/>
          </w:tcPr>
          <w:p w14:paraId="18102016" w14:textId="295E1B91" w:rsidR="00A554AC" w:rsidRPr="00852900" w:rsidRDefault="0072466B" w:rsidP="0072466B">
            <w:pPr>
              <w:rPr>
                <w:rFonts w:asciiTheme="minorHAnsi" w:hAnsiTheme="minorHAnsi"/>
                <w:sz w:val="20"/>
                <w:szCs w:val="20"/>
                <w:lang w:eastAsia="ja-JP"/>
              </w:rPr>
            </w:pPr>
            <w:r>
              <w:rPr>
                <w:rFonts w:asciiTheme="minorHAnsi" w:hAnsiTheme="minorHAnsi"/>
                <w:sz w:val="20"/>
                <w:szCs w:val="20"/>
                <w:lang w:eastAsia="ja-JP"/>
              </w:rPr>
              <w:t xml:space="preserve">Connolly et al. </w:t>
            </w:r>
            <w:r w:rsidR="00A554AC" w:rsidRPr="00852900">
              <w:rPr>
                <w:rFonts w:asciiTheme="minorHAnsi" w:hAnsiTheme="minorHAnsi"/>
                <w:sz w:val="20"/>
                <w:szCs w:val="20"/>
                <w:lang w:eastAsia="ja-JP"/>
              </w:rPr>
              <w:t xml:space="preserve">Exploring carer perceptions of training In out-of-hospital use of buccal midazolam for emergency management of seizures (2008-2012) </w:t>
            </w:r>
            <w:r w:rsidR="00A554AC" w:rsidRPr="0072466B">
              <w:rPr>
                <w:rFonts w:asciiTheme="minorHAnsi" w:hAnsiTheme="minorHAnsi"/>
                <w:i/>
                <w:sz w:val="20"/>
                <w:szCs w:val="20"/>
                <w:lang w:eastAsia="ja-JP"/>
              </w:rPr>
              <w:t>Journal of Paediatrics and Child Health</w:t>
            </w:r>
            <w:r w:rsidR="00A554AC" w:rsidRPr="00852900">
              <w:rPr>
                <w:rFonts w:asciiTheme="minorHAnsi" w:hAnsiTheme="minorHAnsi"/>
                <w:sz w:val="20"/>
                <w:szCs w:val="20"/>
                <w:lang w:eastAsia="ja-JP"/>
              </w:rPr>
              <w:t xml:space="preserve"> 51 (2015) 704-707</w:t>
            </w:r>
          </w:p>
        </w:tc>
        <w:tc>
          <w:tcPr>
            <w:tcW w:w="2970" w:type="dxa"/>
            <w:tcBorders>
              <w:top w:val="single" w:sz="4" w:space="0" w:color="auto"/>
              <w:left w:val="single" w:sz="4" w:space="0" w:color="auto"/>
              <w:bottom w:val="single" w:sz="4" w:space="0" w:color="auto"/>
              <w:right w:val="single" w:sz="4" w:space="0" w:color="auto"/>
            </w:tcBorders>
            <w:hideMark/>
          </w:tcPr>
          <w:p w14:paraId="2DC7EE64" w14:textId="77777777" w:rsidR="0072466B" w:rsidRDefault="0072466B">
            <w:pPr>
              <w:rPr>
                <w:rFonts w:asciiTheme="minorHAnsi" w:hAnsiTheme="minorHAnsi"/>
                <w:sz w:val="20"/>
                <w:szCs w:val="20"/>
                <w:lang w:eastAsia="ja-JP"/>
              </w:rPr>
            </w:pPr>
            <w:r>
              <w:rPr>
                <w:rFonts w:asciiTheme="minorHAnsi" w:hAnsiTheme="minorHAnsi"/>
                <w:sz w:val="20"/>
                <w:szCs w:val="20"/>
                <w:lang w:eastAsia="ja-JP"/>
              </w:rPr>
              <w:t>21 patients treated</w:t>
            </w:r>
          </w:p>
          <w:p w14:paraId="3DABAEC1" w14:textId="71115937" w:rsidR="00A554AC" w:rsidRPr="00852900" w:rsidRDefault="0072466B">
            <w:pPr>
              <w:rPr>
                <w:rFonts w:asciiTheme="minorHAnsi" w:hAnsiTheme="minorHAnsi"/>
                <w:sz w:val="20"/>
                <w:szCs w:val="20"/>
                <w:lang w:eastAsia="ja-JP"/>
              </w:rPr>
            </w:pPr>
            <w:r>
              <w:rPr>
                <w:rFonts w:asciiTheme="minorHAnsi" w:hAnsiTheme="minorHAnsi"/>
                <w:sz w:val="20"/>
                <w:szCs w:val="20"/>
                <w:lang w:eastAsia="ja-JP"/>
              </w:rPr>
              <w:t xml:space="preserve">Median age: 4 years </w:t>
            </w:r>
            <w:r w:rsidR="00A554AC" w:rsidRPr="00852900">
              <w:rPr>
                <w:rFonts w:asciiTheme="minorHAnsi" w:hAnsiTheme="minorHAnsi"/>
                <w:sz w:val="20"/>
                <w:szCs w:val="20"/>
                <w:lang w:eastAsia="ja-JP"/>
              </w:rPr>
              <w:t>(range</w:t>
            </w:r>
            <w:r>
              <w:rPr>
                <w:rFonts w:asciiTheme="minorHAnsi" w:hAnsiTheme="minorHAnsi"/>
                <w:sz w:val="20"/>
                <w:szCs w:val="20"/>
                <w:lang w:eastAsia="ja-JP"/>
              </w:rPr>
              <w:t xml:space="preserve">: 3 months to </w:t>
            </w:r>
            <w:r w:rsidR="00A554AC" w:rsidRPr="00852900">
              <w:rPr>
                <w:rFonts w:asciiTheme="minorHAnsi" w:hAnsiTheme="minorHAnsi"/>
                <w:sz w:val="20"/>
                <w:szCs w:val="20"/>
                <w:lang w:eastAsia="ja-JP"/>
              </w:rPr>
              <w:t>15</w:t>
            </w:r>
            <w:r>
              <w:rPr>
                <w:rFonts w:asciiTheme="minorHAnsi" w:hAnsiTheme="minorHAnsi"/>
                <w:sz w:val="20"/>
                <w:szCs w:val="20"/>
                <w:lang w:eastAsia="ja-JP"/>
              </w:rPr>
              <w:t xml:space="preserve"> </w:t>
            </w:r>
            <w:r w:rsidR="00A554AC" w:rsidRPr="00852900">
              <w:rPr>
                <w:rFonts w:asciiTheme="minorHAnsi" w:hAnsiTheme="minorHAnsi"/>
                <w:sz w:val="20"/>
                <w:szCs w:val="20"/>
                <w:lang w:eastAsia="ja-JP"/>
              </w:rPr>
              <w:t>y</w:t>
            </w:r>
            <w:r>
              <w:rPr>
                <w:rFonts w:asciiTheme="minorHAnsi" w:hAnsiTheme="minorHAnsi"/>
                <w:sz w:val="20"/>
                <w:szCs w:val="20"/>
                <w:lang w:eastAsia="ja-JP"/>
              </w:rPr>
              <w:t>ears</w:t>
            </w:r>
            <w:r w:rsidR="00A554AC" w:rsidRPr="00852900">
              <w:rPr>
                <w:rFonts w:asciiTheme="minorHAnsi" w:hAnsiTheme="minorHAnsi"/>
                <w:sz w:val="20"/>
                <w:szCs w:val="20"/>
                <w:lang w:eastAsia="ja-JP"/>
              </w:rPr>
              <w:t>)</w:t>
            </w:r>
          </w:p>
        </w:tc>
      </w:tr>
      <w:tr w:rsidR="00A554AC" w14:paraId="39C946D0" w14:textId="77777777" w:rsidTr="0095100C">
        <w:tc>
          <w:tcPr>
            <w:tcW w:w="5755" w:type="dxa"/>
            <w:tcBorders>
              <w:top w:val="single" w:sz="4" w:space="0" w:color="auto"/>
              <w:left w:val="single" w:sz="4" w:space="0" w:color="auto"/>
              <w:bottom w:val="single" w:sz="4" w:space="0" w:color="auto"/>
              <w:right w:val="single" w:sz="4" w:space="0" w:color="auto"/>
            </w:tcBorders>
            <w:hideMark/>
          </w:tcPr>
          <w:p w14:paraId="28F4BBCA" w14:textId="0CA7A747" w:rsidR="00A554AC" w:rsidRPr="00852900" w:rsidRDefault="0072466B" w:rsidP="0072466B">
            <w:pPr>
              <w:rPr>
                <w:rFonts w:asciiTheme="minorHAnsi" w:hAnsiTheme="minorHAnsi"/>
                <w:sz w:val="20"/>
                <w:szCs w:val="20"/>
                <w:lang w:eastAsia="ja-JP"/>
              </w:rPr>
            </w:pPr>
            <w:r>
              <w:rPr>
                <w:rFonts w:asciiTheme="minorHAnsi" w:hAnsiTheme="minorHAnsi"/>
                <w:sz w:val="20"/>
                <w:szCs w:val="20"/>
                <w:lang w:eastAsia="ja-JP"/>
              </w:rPr>
              <w:t xml:space="preserve">Moretti et al. </w:t>
            </w:r>
            <w:r w:rsidR="00A554AC" w:rsidRPr="00852900">
              <w:rPr>
                <w:rFonts w:asciiTheme="minorHAnsi" w:hAnsiTheme="minorHAnsi"/>
                <w:sz w:val="20"/>
                <w:szCs w:val="20"/>
                <w:lang w:eastAsia="ja-JP"/>
              </w:rPr>
              <w:t>Buccal Midazolam Compared With Rectal Diazepam Reduces Seizure Duration in Chi</w:t>
            </w:r>
            <w:r>
              <w:rPr>
                <w:rFonts w:asciiTheme="minorHAnsi" w:hAnsiTheme="minorHAnsi"/>
                <w:sz w:val="20"/>
                <w:szCs w:val="20"/>
                <w:lang w:eastAsia="ja-JP"/>
              </w:rPr>
              <w:t xml:space="preserve">ldren in the Outpatient Setting. </w:t>
            </w:r>
            <w:r w:rsidR="00A554AC" w:rsidRPr="0072466B">
              <w:rPr>
                <w:rFonts w:asciiTheme="minorHAnsi" w:hAnsiTheme="minorHAnsi"/>
                <w:i/>
                <w:sz w:val="20"/>
                <w:szCs w:val="20"/>
                <w:lang w:eastAsia="ja-JP"/>
              </w:rPr>
              <w:t>Paediatric Emergency Care</w:t>
            </w:r>
            <w:r w:rsidR="00A554AC" w:rsidRPr="00852900">
              <w:rPr>
                <w:rFonts w:asciiTheme="minorHAnsi" w:hAnsiTheme="minorHAnsi"/>
                <w:sz w:val="20"/>
                <w:szCs w:val="20"/>
                <w:lang w:eastAsia="ja-JP"/>
              </w:rPr>
              <w:t xml:space="preserve"> Volume 35, Number 11, November 2019 p760-764</w:t>
            </w:r>
          </w:p>
        </w:tc>
        <w:tc>
          <w:tcPr>
            <w:tcW w:w="2970" w:type="dxa"/>
            <w:tcBorders>
              <w:top w:val="single" w:sz="4" w:space="0" w:color="auto"/>
              <w:left w:val="single" w:sz="4" w:space="0" w:color="auto"/>
              <w:bottom w:val="single" w:sz="4" w:space="0" w:color="auto"/>
              <w:right w:val="single" w:sz="4" w:space="0" w:color="auto"/>
            </w:tcBorders>
            <w:hideMark/>
          </w:tcPr>
          <w:p w14:paraId="6E8D5859" w14:textId="77777777" w:rsidR="0072466B" w:rsidRDefault="00A554AC">
            <w:pPr>
              <w:rPr>
                <w:rFonts w:asciiTheme="minorHAnsi" w:hAnsiTheme="minorHAnsi"/>
                <w:sz w:val="20"/>
                <w:szCs w:val="20"/>
                <w:lang w:eastAsia="ja-JP"/>
              </w:rPr>
            </w:pPr>
            <w:r w:rsidRPr="00852900">
              <w:rPr>
                <w:rFonts w:asciiTheme="minorHAnsi" w:hAnsiTheme="minorHAnsi"/>
                <w:sz w:val="20"/>
                <w:szCs w:val="20"/>
                <w:lang w:eastAsia="ja-JP"/>
              </w:rPr>
              <w:t>1</w:t>
            </w:r>
            <w:r w:rsidR="0072466B">
              <w:rPr>
                <w:rFonts w:asciiTheme="minorHAnsi" w:hAnsiTheme="minorHAnsi"/>
                <w:sz w:val="20"/>
                <w:szCs w:val="20"/>
                <w:lang w:eastAsia="ja-JP"/>
              </w:rPr>
              <w:t>6 patients treated</w:t>
            </w:r>
          </w:p>
          <w:p w14:paraId="460D4B44" w14:textId="77777777" w:rsidR="0072466B" w:rsidRDefault="0072466B">
            <w:pPr>
              <w:rPr>
                <w:rFonts w:asciiTheme="minorHAnsi" w:hAnsiTheme="minorHAnsi"/>
                <w:sz w:val="20"/>
                <w:szCs w:val="20"/>
                <w:lang w:eastAsia="ja-JP"/>
              </w:rPr>
            </w:pPr>
            <w:r>
              <w:rPr>
                <w:rFonts w:asciiTheme="minorHAnsi" w:hAnsiTheme="minorHAnsi"/>
                <w:sz w:val="20"/>
                <w:szCs w:val="20"/>
                <w:lang w:eastAsia="ja-JP"/>
              </w:rPr>
              <w:t>Mean age: 68.2 months</w:t>
            </w:r>
          </w:p>
          <w:p w14:paraId="4FD50262" w14:textId="72C7A5E8" w:rsidR="00A554AC" w:rsidRPr="00852900" w:rsidRDefault="00A554AC" w:rsidP="0072466B">
            <w:pPr>
              <w:rPr>
                <w:rFonts w:asciiTheme="minorHAnsi" w:hAnsiTheme="minorHAnsi"/>
                <w:sz w:val="20"/>
                <w:szCs w:val="20"/>
                <w:lang w:eastAsia="ja-JP"/>
              </w:rPr>
            </w:pPr>
            <w:r w:rsidRPr="00852900">
              <w:rPr>
                <w:rFonts w:asciiTheme="minorHAnsi" w:hAnsiTheme="minorHAnsi"/>
                <w:sz w:val="20"/>
                <w:szCs w:val="20"/>
                <w:lang w:eastAsia="ja-JP"/>
              </w:rPr>
              <w:t xml:space="preserve">4 panic </w:t>
            </w:r>
            <w:r w:rsidR="001F72AE">
              <w:rPr>
                <w:rFonts w:asciiTheme="minorHAnsi" w:hAnsiTheme="minorHAnsi"/>
                <w:sz w:val="20"/>
                <w:szCs w:val="20"/>
                <w:lang w:eastAsia="ja-JP"/>
              </w:rPr>
              <w:t xml:space="preserve">episodes </w:t>
            </w:r>
            <w:r w:rsidRPr="00852900">
              <w:rPr>
                <w:rFonts w:asciiTheme="minorHAnsi" w:hAnsiTheme="minorHAnsi"/>
                <w:sz w:val="20"/>
                <w:szCs w:val="20"/>
                <w:lang w:eastAsia="ja-JP"/>
              </w:rPr>
              <w:t>or</w:t>
            </w:r>
            <w:r w:rsidRPr="00852900">
              <w:rPr>
                <w:rFonts w:asciiTheme="minorHAnsi" w:hAnsiTheme="minorHAnsi"/>
                <w:sz w:val="20"/>
                <w:szCs w:val="20"/>
              </w:rPr>
              <w:t xml:space="preserve"> </w:t>
            </w:r>
            <w:r w:rsidR="0072466B">
              <w:rPr>
                <w:rFonts w:asciiTheme="minorHAnsi" w:hAnsiTheme="minorHAnsi"/>
                <w:sz w:val="20"/>
                <w:szCs w:val="20"/>
                <w:lang w:eastAsia="ja-JP"/>
              </w:rPr>
              <w:t>difficult administration</w:t>
            </w:r>
            <w:r w:rsidR="001F72AE">
              <w:rPr>
                <w:rFonts w:asciiTheme="minorHAnsi" w:hAnsiTheme="minorHAnsi"/>
                <w:sz w:val="20"/>
                <w:szCs w:val="20"/>
                <w:lang w:eastAsia="ja-JP"/>
              </w:rPr>
              <w:t>s</w:t>
            </w:r>
            <w:r w:rsidR="0072466B">
              <w:rPr>
                <w:rFonts w:asciiTheme="minorHAnsi" w:hAnsiTheme="minorHAnsi"/>
                <w:sz w:val="20"/>
                <w:szCs w:val="20"/>
                <w:lang w:eastAsia="ja-JP"/>
              </w:rPr>
              <w:t xml:space="preserve"> </w:t>
            </w:r>
          </w:p>
        </w:tc>
      </w:tr>
      <w:tr w:rsidR="00A554AC" w14:paraId="2A58EE15" w14:textId="77777777" w:rsidTr="0095100C">
        <w:tc>
          <w:tcPr>
            <w:tcW w:w="5755" w:type="dxa"/>
            <w:tcBorders>
              <w:top w:val="single" w:sz="4" w:space="0" w:color="auto"/>
              <w:left w:val="single" w:sz="4" w:space="0" w:color="auto"/>
              <w:bottom w:val="single" w:sz="4" w:space="0" w:color="auto"/>
              <w:right w:val="single" w:sz="4" w:space="0" w:color="auto"/>
            </w:tcBorders>
            <w:hideMark/>
          </w:tcPr>
          <w:p w14:paraId="79AE71E6" w14:textId="1CE9323E" w:rsidR="00A554AC" w:rsidRPr="00852900" w:rsidRDefault="00A2652D" w:rsidP="00A2652D">
            <w:pPr>
              <w:rPr>
                <w:rFonts w:asciiTheme="minorHAnsi" w:hAnsiTheme="minorHAnsi"/>
                <w:sz w:val="20"/>
                <w:szCs w:val="20"/>
                <w:lang w:eastAsia="ja-JP"/>
              </w:rPr>
            </w:pPr>
            <w:r>
              <w:rPr>
                <w:rFonts w:asciiTheme="minorHAnsi" w:hAnsiTheme="minorHAnsi"/>
                <w:sz w:val="20"/>
                <w:szCs w:val="20"/>
                <w:lang w:eastAsia="ja-JP"/>
              </w:rPr>
              <w:t xml:space="preserve">Klimach VJ. </w:t>
            </w:r>
            <w:r w:rsidR="00A554AC" w:rsidRPr="00852900">
              <w:rPr>
                <w:rFonts w:asciiTheme="minorHAnsi" w:hAnsiTheme="minorHAnsi"/>
                <w:sz w:val="20"/>
                <w:szCs w:val="20"/>
                <w:lang w:eastAsia="ja-JP"/>
              </w:rPr>
              <w:t>The community use of rescue medication for prolonged</w:t>
            </w:r>
            <w:r>
              <w:rPr>
                <w:rFonts w:asciiTheme="minorHAnsi" w:hAnsiTheme="minorHAnsi"/>
                <w:sz w:val="20"/>
                <w:szCs w:val="20"/>
                <w:lang w:eastAsia="ja-JP"/>
              </w:rPr>
              <w:t xml:space="preserve"> epileptic seizures in children. </w:t>
            </w:r>
            <w:r w:rsidR="00A554AC" w:rsidRPr="00A2652D">
              <w:rPr>
                <w:rFonts w:asciiTheme="minorHAnsi" w:hAnsiTheme="minorHAnsi"/>
                <w:i/>
                <w:sz w:val="20"/>
                <w:szCs w:val="20"/>
                <w:lang w:eastAsia="ja-JP"/>
              </w:rPr>
              <w:t>Seizure</w:t>
            </w:r>
            <w:r w:rsidR="00A554AC" w:rsidRPr="00852900">
              <w:rPr>
                <w:rFonts w:asciiTheme="minorHAnsi" w:hAnsiTheme="minorHAnsi"/>
                <w:sz w:val="20"/>
                <w:szCs w:val="20"/>
                <w:lang w:eastAsia="ja-JP"/>
              </w:rPr>
              <w:t xml:space="preserve"> 18 (2009) 343–346</w:t>
            </w:r>
          </w:p>
        </w:tc>
        <w:tc>
          <w:tcPr>
            <w:tcW w:w="2970" w:type="dxa"/>
            <w:tcBorders>
              <w:top w:val="single" w:sz="4" w:space="0" w:color="auto"/>
              <w:left w:val="single" w:sz="4" w:space="0" w:color="auto"/>
              <w:bottom w:val="single" w:sz="4" w:space="0" w:color="auto"/>
              <w:right w:val="single" w:sz="4" w:space="0" w:color="auto"/>
            </w:tcBorders>
            <w:hideMark/>
          </w:tcPr>
          <w:p w14:paraId="5F9B06A1" w14:textId="77777777" w:rsidR="00A2652D" w:rsidRDefault="00A554AC" w:rsidP="00A2652D">
            <w:pPr>
              <w:rPr>
                <w:rFonts w:asciiTheme="minorHAnsi" w:hAnsiTheme="minorHAnsi"/>
                <w:sz w:val="20"/>
                <w:szCs w:val="20"/>
                <w:lang w:eastAsia="ja-JP"/>
              </w:rPr>
            </w:pPr>
            <w:r w:rsidRPr="00852900">
              <w:rPr>
                <w:rFonts w:asciiTheme="minorHAnsi" w:hAnsiTheme="minorHAnsi"/>
                <w:sz w:val="20"/>
                <w:szCs w:val="20"/>
                <w:lang w:eastAsia="ja-JP"/>
              </w:rPr>
              <w:t xml:space="preserve">142 families </w:t>
            </w:r>
            <w:r w:rsidR="00A2652D">
              <w:rPr>
                <w:rFonts w:asciiTheme="minorHAnsi" w:hAnsiTheme="minorHAnsi"/>
                <w:sz w:val="20"/>
                <w:szCs w:val="20"/>
                <w:lang w:eastAsia="ja-JP"/>
              </w:rPr>
              <w:t>using buccal midazolam</w:t>
            </w:r>
          </w:p>
          <w:p w14:paraId="34548AAD" w14:textId="0F62E294" w:rsidR="00A554AC" w:rsidRPr="00852900" w:rsidRDefault="00A554AC" w:rsidP="00A2652D">
            <w:pPr>
              <w:rPr>
                <w:rFonts w:asciiTheme="minorHAnsi" w:hAnsiTheme="minorHAnsi"/>
                <w:sz w:val="20"/>
                <w:szCs w:val="20"/>
                <w:lang w:eastAsia="ja-JP"/>
              </w:rPr>
            </w:pPr>
            <w:r w:rsidRPr="00852900">
              <w:rPr>
                <w:rFonts w:asciiTheme="minorHAnsi" w:hAnsiTheme="minorHAnsi"/>
                <w:sz w:val="20"/>
                <w:szCs w:val="20"/>
                <w:lang w:eastAsia="ja-JP"/>
              </w:rPr>
              <w:t>Ages not given</w:t>
            </w:r>
          </w:p>
        </w:tc>
      </w:tr>
      <w:tr w:rsidR="00A554AC" w14:paraId="1639D5A4" w14:textId="77777777" w:rsidTr="0095100C">
        <w:tc>
          <w:tcPr>
            <w:tcW w:w="5755" w:type="dxa"/>
            <w:tcBorders>
              <w:top w:val="single" w:sz="4" w:space="0" w:color="auto"/>
              <w:left w:val="single" w:sz="4" w:space="0" w:color="auto"/>
              <w:bottom w:val="single" w:sz="4" w:space="0" w:color="auto"/>
              <w:right w:val="single" w:sz="4" w:space="0" w:color="auto"/>
            </w:tcBorders>
            <w:hideMark/>
          </w:tcPr>
          <w:p w14:paraId="30B2704D" w14:textId="357659D2" w:rsidR="00A554AC" w:rsidRPr="00852900" w:rsidRDefault="00A2652D" w:rsidP="00A2652D">
            <w:pPr>
              <w:rPr>
                <w:rFonts w:asciiTheme="minorHAnsi" w:hAnsiTheme="minorHAnsi"/>
                <w:sz w:val="20"/>
                <w:szCs w:val="20"/>
                <w:lang w:eastAsia="ja-JP"/>
              </w:rPr>
            </w:pPr>
            <w:r>
              <w:rPr>
                <w:rFonts w:asciiTheme="minorHAnsi" w:hAnsiTheme="minorHAnsi"/>
                <w:sz w:val="20"/>
                <w:szCs w:val="20"/>
                <w:lang w:eastAsia="ja-JP"/>
              </w:rPr>
              <w:t xml:space="preserve">Khan. </w:t>
            </w:r>
            <w:r w:rsidR="00A554AC" w:rsidRPr="00852900">
              <w:rPr>
                <w:rFonts w:asciiTheme="minorHAnsi" w:hAnsiTheme="minorHAnsi"/>
                <w:sz w:val="20"/>
                <w:szCs w:val="20"/>
                <w:lang w:eastAsia="ja-JP"/>
              </w:rPr>
              <w:t>Carers' express positive views on the acceptability, efficacy and safety of buccal midazolam fo</w:t>
            </w:r>
            <w:r>
              <w:rPr>
                <w:rFonts w:asciiTheme="minorHAnsi" w:hAnsiTheme="minorHAnsi"/>
                <w:sz w:val="20"/>
                <w:szCs w:val="20"/>
                <w:lang w:eastAsia="ja-JP"/>
              </w:rPr>
              <w:t xml:space="preserve">r paediatric status epilepticus. </w:t>
            </w:r>
            <w:r w:rsidR="00A554AC" w:rsidRPr="00A2652D">
              <w:rPr>
                <w:rFonts w:asciiTheme="minorHAnsi" w:hAnsiTheme="minorHAnsi"/>
                <w:i/>
                <w:sz w:val="20"/>
                <w:szCs w:val="20"/>
                <w:lang w:eastAsia="ja-JP"/>
              </w:rPr>
              <w:t>Acta Pædiatrica</w:t>
            </w:r>
            <w:r w:rsidR="00A554AC" w:rsidRPr="00852900">
              <w:rPr>
                <w:rFonts w:asciiTheme="minorHAnsi" w:hAnsiTheme="minorHAnsi"/>
                <w:sz w:val="20"/>
                <w:szCs w:val="20"/>
                <w:lang w:eastAsia="ja-JP"/>
              </w:rPr>
              <w:t xml:space="preserve"> </w:t>
            </w:r>
            <w:r w:rsidR="00A554AC" w:rsidRPr="00852900">
              <w:rPr>
                <w:rFonts w:asciiTheme="minorHAnsi" w:eastAsia="Times New Roman" w:hAnsiTheme="minorHAnsi"/>
                <w:sz w:val="20"/>
                <w:szCs w:val="20"/>
              </w:rPr>
              <w:t>2014 Apr;103(4):e165-8.</w:t>
            </w:r>
          </w:p>
        </w:tc>
        <w:tc>
          <w:tcPr>
            <w:tcW w:w="2970" w:type="dxa"/>
            <w:tcBorders>
              <w:top w:val="single" w:sz="4" w:space="0" w:color="auto"/>
              <w:left w:val="single" w:sz="4" w:space="0" w:color="auto"/>
              <w:bottom w:val="single" w:sz="4" w:space="0" w:color="auto"/>
              <w:right w:val="single" w:sz="4" w:space="0" w:color="auto"/>
            </w:tcBorders>
            <w:hideMark/>
          </w:tcPr>
          <w:p w14:paraId="619E81BA" w14:textId="77777777" w:rsidR="00A2652D" w:rsidRDefault="00A554AC">
            <w:pPr>
              <w:rPr>
                <w:rFonts w:asciiTheme="minorHAnsi" w:hAnsiTheme="minorHAnsi"/>
                <w:sz w:val="20"/>
                <w:szCs w:val="20"/>
                <w:lang w:eastAsia="ja-JP"/>
              </w:rPr>
            </w:pPr>
            <w:r w:rsidRPr="00852900">
              <w:rPr>
                <w:rFonts w:asciiTheme="minorHAnsi" w:hAnsiTheme="minorHAnsi"/>
                <w:sz w:val="20"/>
                <w:szCs w:val="20"/>
                <w:lang w:eastAsia="ja-JP"/>
              </w:rPr>
              <w:t>3</w:t>
            </w:r>
            <w:r w:rsidR="00A2652D">
              <w:rPr>
                <w:rFonts w:asciiTheme="minorHAnsi" w:hAnsiTheme="minorHAnsi"/>
                <w:sz w:val="20"/>
                <w:szCs w:val="20"/>
                <w:lang w:eastAsia="ja-JP"/>
              </w:rPr>
              <w:t>4 carers</w:t>
            </w:r>
          </w:p>
          <w:p w14:paraId="488AF730" w14:textId="2D738A27" w:rsidR="00A554AC" w:rsidRPr="00852900" w:rsidRDefault="00A554AC" w:rsidP="00A2652D">
            <w:pPr>
              <w:rPr>
                <w:rFonts w:asciiTheme="minorHAnsi" w:hAnsiTheme="minorHAnsi"/>
                <w:sz w:val="20"/>
                <w:szCs w:val="20"/>
                <w:lang w:eastAsia="ja-JP"/>
              </w:rPr>
            </w:pPr>
            <w:r w:rsidRPr="00852900">
              <w:rPr>
                <w:rFonts w:asciiTheme="minorHAnsi" w:hAnsiTheme="minorHAnsi"/>
                <w:sz w:val="20"/>
                <w:szCs w:val="20"/>
                <w:lang w:eastAsia="ja-JP"/>
              </w:rPr>
              <w:t>Ages not given</w:t>
            </w:r>
          </w:p>
        </w:tc>
      </w:tr>
    </w:tbl>
    <w:p w14:paraId="43C5A8F4" w14:textId="1EC74BC2" w:rsidR="00A554AC" w:rsidRPr="00AA79CE" w:rsidRDefault="00A554AC" w:rsidP="00A554AC">
      <w:pPr>
        <w:spacing w:before="0" w:after="0"/>
        <w:ind w:left="-284" w:firstLine="142"/>
        <w:rPr>
          <w:sz w:val="16"/>
          <w:szCs w:val="16"/>
          <w:lang w:val="fr-FR" w:eastAsia="ja-JP"/>
        </w:rPr>
      </w:pPr>
      <w:r>
        <w:rPr>
          <w:sz w:val="16"/>
          <w:lang w:eastAsia="ja-JP"/>
        </w:rPr>
        <w:t>*N</w:t>
      </w:r>
      <w:r w:rsidR="000F1F9C">
        <w:rPr>
          <w:sz w:val="16"/>
          <w:lang w:eastAsia="ja-JP"/>
        </w:rPr>
        <w:t>ot</w:t>
      </w:r>
      <w:r>
        <w:rPr>
          <w:sz w:val="16"/>
          <w:lang w:eastAsia="ja-JP"/>
        </w:rPr>
        <w:t xml:space="preserve"> included in this submission but in </w:t>
      </w:r>
      <w:r w:rsidR="00852900">
        <w:rPr>
          <w:sz w:val="16"/>
          <w:lang w:eastAsia="ja-JP"/>
        </w:rPr>
        <w:t>a</w:t>
      </w:r>
      <w:r>
        <w:rPr>
          <w:sz w:val="16"/>
          <w:lang w:eastAsia="ja-JP"/>
        </w:rPr>
        <w:t xml:space="preserve"> previous</w:t>
      </w:r>
      <w:r w:rsidR="00E95CA7">
        <w:rPr>
          <w:sz w:val="16"/>
          <w:szCs w:val="16"/>
          <w:lang w:eastAsia="ja-JP"/>
        </w:rPr>
        <w:t>, withdrawn submission.</w:t>
      </w:r>
      <w:r w:rsidR="00E95CA7" w:rsidRPr="00E95CA7">
        <w:rPr>
          <w:sz w:val="16"/>
          <w:szCs w:val="16"/>
          <w:vertAlign w:val="superscript"/>
          <w:lang w:eastAsia="ja-JP"/>
        </w:rPr>
        <w:fldChar w:fldCharType="begin"/>
      </w:r>
      <w:r w:rsidR="00E95CA7" w:rsidRPr="00E95CA7">
        <w:rPr>
          <w:sz w:val="16"/>
          <w:szCs w:val="16"/>
          <w:vertAlign w:val="superscript"/>
          <w:lang w:eastAsia="ja-JP"/>
        </w:rPr>
        <w:instrText xml:space="preserve"> NOTEREF _Ref109291169 \h </w:instrText>
      </w:r>
      <w:r w:rsidR="00E95CA7">
        <w:rPr>
          <w:sz w:val="16"/>
          <w:szCs w:val="16"/>
          <w:vertAlign w:val="superscript"/>
          <w:lang w:eastAsia="ja-JP"/>
        </w:rPr>
        <w:instrText xml:space="preserve"> \* MERGEFORMAT </w:instrText>
      </w:r>
      <w:r w:rsidR="00E95CA7" w:rsidRPr="00E95CA7">
        <w:rPr>
          <w:sz w:val="16"/>
          <w:szCs w:val="16"/>
          <w:vertAlign w:val="superscript"/>
          <w:lang w:eastAsia="ja-JP"/>
        </w:rPr>
      </w:r>
      <w:r w:rsidR="00E95CA7" w:rsidRPr="00E95CA7">
        <w:rPr>
          <w:sz w:val="16"/>
          <w:szCs w:val="16"/>
          <w:vertAlign w:val="superscript"/>
          <w:lang w:eastAsia="ja-JP"/>
        </w:rPr>
        <w:fldChar w:fldCharType="separate"/>
      </w:r>
      <w:r w:rsidR="00AA79CE" w:rsidRPr="00AA79CE">
        <w:rPr>
          <w:sz w:val="16"/>
          <w:szCs w:val="16"/>
          <w:vertAlign w:val="superscript"/>
          <w:lang w:val="fr-FR" w:eastAsia="ja-JP"/>
        </w:rPr>
        <w:t>32</w:t>
      </w:r>
      <w:r w:rsidR="00E95CA7" w:rsidRPr="00E95CA7">
        <w:rPr>
          <w:sz w:val="16"/>
          <w:szCs w:val="16"/>
          <w:vertAlign w:val="superscript"/>
          <w:lang w:eastAsia="ja-JP"/>
        </w:rPr>
        <w:fldChar w:fldCharType="end"/>
      </w:r>
    </w:p>
    <w:p w14:paraId="10EF7136" w14:textId="48058287" w:rsidR="00A554AC" w:rsidRPr="00AA79CE" w:rsidRDefault="00A554AC" w:rsidP="00F54D8F">
      <w:pPr>
        <w:pStyle w:val="Heading6"/>
        <w:pageBreakBefore/>
        <w:rPr>
          <w:lang w:val="fr-FR"/>
        </w:rPr>
      </w:pPr>
      <w:r w:rsidRPr="00AA79CE">
        <w:rPr>
          <w:rStyle w:val="Heading5Char"/>
          <w:b w:val="0"/>
          <w:bCs/>
          <w:i/>
          <w:lang w:val="fr-FR"/>
        </w:rPr>
        <w:t xml:space="preserve">Ashrafi et </w:t>
      </w:r>
      <w:r w:rsidR="000E3975" w:rsidRPr="00AA79CE">
        <w:rPr>
          <w:lang w:val="fr-FR"/>
        </w:rPr>
        <w:t>al. (2010)</w:t>
      </w:r>
    </w:p>
    <w:p w14:paraId="47F01760" w14:textId="00E7F714" w:rsidR="0095100C" w:rsidRPr="00AA79CE" w:rsidRDefault="0095100C" w:rsidP="0095100C">
      <w:pPr>
        <w:rPr>
          <w:lang w:val="fr-FR"/>
        </w:rPr>
      </w:pPr>
      <w:r w:rsidRPr="00AA79CE">
        <w:rPr>
          <w:lang w:val="fr-FR"/>
        </w:rPr>
        <w:t>Publication:</w:t>
      </w:r>
    </w:p>
    <w:p w14:paraId="5DFE724F" w14:textId="0A19B358" w:rsidR="0095100C" w:rsidRPr="0095100C" w:rsidRDefault="0095100C" w:rsidP="0095100C">
      <w:pPr>
        <w:ind w:left="720"/>
      </w:pPr>
      <w:r w:rsidRPr="00AA79CE">
        <w:rPr>
          <w:lang w:val="fr-FR"/>
        </w:rPr>
        <w:t xml:space="preserve">Ashrafi MR, Khosroshahi N, Karimi P, et al. </w:t>
      </w:r>
      <w:r w:rsidRPr="0095100C">
        <w:t xml:space="preserve">Efficacy and usability of buccal midazolam in controlling acute prolonged convulsive seizures in children. </w:t>
      </w:r>
      <w:r w:rsidRPr="0095100C">
        <w:rPr>
          <w:i/>
        </w:rPr>
        <w:t>Eur J Paediatric Neurol.</w:t>
      </w:r>
      <w:r w:rsidRPr="0095100C">
        <w:t xml:space="preserve"> 2010.</w:t>
      </w:r>
      <w:bookmarkStart w:id="92" w:name="_Ref108599168"/>
      <w:r w:rsidR="000E3975">
        <w:rPr>
          <w:rStyle w:val="FootnoteReference"/>
        </w:rPr>
        <w:footnoteReference w:id="36"/>
      </w:r>
      <w:bookmarkEnd w:id="92"/>
    </w:p>
    <w:p w14:paraId="696A7701" w14:textId="77777777" w:rsidR="000E3975" w:rsidRDefault="000E3975" w:rsidP="000E3975">
      <w:pPr>
        <w:rPr>
          <w:lang w:val="en-US"/>
        </w:rPr>
      </w:pPr>
      <w:r>
        <w:t>This was an o</w:t>
      </w:r>
      <w:r w:rsidR="00A554AC">
        <w:t>pen label</w:t>
      </w:r>
      <w:r>
        <w:t>,</w:t>
      </w:r>
      <w:r w:rsidR="00A554AC">
        <w:t xml:space="preserve"> randomised comparison of either buccal midazolam or rectal diazepam (2.5</w:t>
      </w:r>
      <w:r>
        <w:t xml:space="preserve"> mg for children aged 3 to</w:t>
      </w:r>
      <w:r w:rsidR="00A554AC">
        <w:t xml:space="preserve"> 12 months, 5</w:t>
      </w:r>
      <w:r>
        <w:t xml:space="preserve"> mg for 1 to</w:t>
      </w:r>
      <w:r w:rsidR="00A554AC">
        <w:t xml:space="preserve"> 4 years, 7.5</w:t>
      </w:r>
      <w:r>
        <w:t xml:space="preserve"> mg for 5 to 9 </w:t>
      </w:r>
      <w:r w:rsidR="00A554AC">
        <w:t>years, and 10</w:t>
      </w:r>
      <w:r>
        <w:t xml:space="preserve"> </w:t>
      </w:r>
      <w:r w:rsidR="00A554AC">
        <w:t xml:space="preserve">mg for ≥ 10 years) to control seizures. </w:t>
      </w:r>
      <w:r>
        <w:t>The s</w:t>
      </w:r>
      <w:r w:rsidR="00A554AC">
        <w:t xml:space="preserve">tudy </w:t>
      </w:r>
      <w:r>
        <w:t xml:space="preserve">was </w:t>
      </w:r>
      <w:r w:rsidR="00A554AC">
        <w:t>conducted between April 2007 and April 2008 in two centres in Iran.</w:t>
      </w:r>
    </w:p>
    <w:p w14:paraId="4CD6CC8E" w14:textId="5CD2327B" w:rsidR="00A554AC" w:rsidRDefault="000E3975" w:rsidP="000E3975">
      <w:r w:rsidRPr="000E3975">
        <w:rPr>
          <w:i/>
          <w:lang w:val="en-US"/>
        </w:rPr>
        <w:t>Note:</w:t>
      </w:r>
      <w:r>
        <w:rPr>
          <w:lang w:val="en-US"/>
        </w:rPr>
        <w:t xml:space="preserve"> </w:t>
      </w:r>
      <w:r w:rsidR="00A554AC">
        <w:rPr>
          <w:i/>
          <w:lang w:val="en-US"/>
        </w:rPr>
        <w:t>The study report also ment</w:t>
      </w:r>
      <w:r>
        <w:rPr>
          <w:i/>
          <w:lang w:val="en-US"/>
        </w:rPr>
        <w:t>ioned the use of midazolam 0.3 to</w:t>
      </w:r>
      <w:r w:rsidR="00A554AC">
        <w:rPr>
          <w:i/>
          <w:lang w:val="en-US"/>
        </w:rPr>
        <w:t xml:space="preserve"> 0.5 mg/kg and diazepam 0.5 mg/kg</w:t>
      </w:r>
      <w:r>
        <w:rPr>
          <w:lang w:val="en-US"/>
        </w:rPr>
        <w:t>.</w:t>
      </w:r>
    </w:p>
    <w:p w14:paraId="6F11F4D7" w14:textId="1DAB4995" w:rsidR="00A554AC" w:rsidRDefault="00852900" w:rsidP="000E3975">
      <w:r>
        <w:t>T</w:t>
      </w:r>
      <w:r w:rsidR="00A554AC">
        <w:t>he main outcome variable</w:t>
      </w:r>
      <w:r w:rsidR="000E3975">
        <w:t xml:space="preserve"> </w:t>
      </w:r>
      <w:r w:rsidR="00A554AC">
        <w:t>was</w:t>
      </w:r>
      <w:r w:rsidR="000E3975">
        <w:t xml:space="preserve"> the</w:t>
      </w:r>
      <w:r w:rsidR="00A554AC">
        <w:t xml:space="preserve"> cessation of all motor ac</w:t>
      </w:r>
      <w:r w:rsidR="000E3975">
        <w:t>tivity, achieved in less than 5 </w:t>
      </w:r>
      <w:r w:rsidR="00A554AC">
        <w:t>min</w:t>
      </w:r>
      <w:r w:rsidR="000E3975">
        <w:t>utes</w:t>
      </w:r>
      <w:r w:rsidR="00A554AC">
        <w:t xml:space="preserve"> without respiratory depression and with</w:t>
      </w:r>
      <w:r w:rsidR="000E3975">
        <w:t>out another seizure within 1 hour</w:t>
      </w:r>
    </w:p>
    <w:p w14:paraId="31BF63B5" w14:textId="7AA52761" w:rsidR="00A554AC" w:rsidRDefault="00852900" w:rsidP="000E3975">
      <w:r>
        <w:t>B</w:t>
      </w:r>
      <w:r w:rsidR="00A554AC">
        <w:t xml:space="preserve">ased on previous data and by using two-tailed tests, it was calculated that 49 episodes would be needed in each treatment group to detect a difference in efficacy and usability. Statistical analysis was performed by applying the Manne Whitney U-test for continuous data. Categorical </w:t>
      </w:r>
      <w:r w:rsidR="000E3975">
        <w:t>variables were analysed by the Chi</w:t>
      </w:r>
      <w:r w:rsidR="00A554AC">
        <w:rPr>
          <w:vertAlign w:val="superscript"/>
        </w:rPr>
        <w:t>2</w:t>
      </w:r>
      <w:r w:rsidR="00A554AC">
        <w:t>-test or Phi and Cramer’s V.</w:t>
      </w:r>
    </w:p>
    <w:p w14:paraId="1F17B31C" w14:textId="72BBB5B1" w:rsidR="00A554AC" w:rsidRDefault="00852900" w:rsidP="000E3975">
      <w:pPr>
        <w:rPr>
          <w:b/>
        </w:rPr>
      </w:pPr>
      <w:r>
        <w:t>P</w:t>
      </w:r>
      <w:r w:rsidR="00A554AC">
        <w:t>atients’ age range</w:t>
      </w:r>
      <w:r w:rsidR="000E3975">
        <w:t xml:space="preserve"> at Baseline</w:t>
      </w:r>
      <w:r w:rsidR="00A554AC">
        <w:t>:</w:t>
      </w:r>
    </w:p>
    <w:p w14:paraId="6AC3EE8C" w14:textId="4A63048B" w:rsidR="00A554AC" w:rsidRDefault="000E3975" w:rsidP="000E3975">
      <w:pPr>
        <w:pStyle w:val="ListBullet"/>
        <w:rPr>
          <w:b/>
        </w:rPr>
      </w:pPr>
      <w:r>
        <w:t>15 (15%) aged under 1 year</w:t>
      </w:r>
    </w:p>
    <w:p w14:paraId="79A36CB6" w14:textId="5F5618BC" w:rsidR="00A554AC" w:rsidRPr="000F1F9C" w:rsidRDefault="000E3975" w:rsidP="000E3975">
      <w:pPr>
        <w:pStyle w:val="ListBullet"/>
      </w:pPr>
      <w:r>
        <w:t>59 (60%) were 1 to 5 years</w:t>
      </w:r>
    </w:p>
    <w:p w14:paraId="0D8E8BFD" w14:textId="7E262F05" w:rsidR="00A554AC" w:rsidRPr="000F1F9C" w:rsidRDefault="000E3975" w:rsidP="000E3975">
      <w:pPr>
        <w:pStyle w:val="ListBullet"/>
      </w:pPr>
      <w:r>
        <w:t>24 (25%) were 6 to</w:t>
      </w:r>
      <w:r w:rsidR="00A554AC" w:rsidRPr="000F1F9C">
        <w:t xml:space="preserve"> 12 years.</w:t>
      </w:r>
    </w:p>
    <w:p w14:paraId="1798C528" w14:textId="4CF7F9BF" w:rsidR="00A554AC" w:rsidRDefault="000E3975" w:rsidP="000E3975">
      <w:r>
        <w:t>For the e</w:t>
      </w:r>
      <w:r w:rsidR="00A554AC" w:rsidRPr="000F1F9C">
        <w:t>fficacy outcome</w:t>
      </w:r>
      <w:r w:rsidR="00A554AC">
        <w:t>:</w:t>
      </w:r>
    </w:p>
    <w:p w14:paraId="5AD0415B" w14:textId="2CE49D84" w:rsidR="00A554AC" w:rsidRDefault="00A554AC" w:rsidP="000E3975">
      <w:pPr>
        <w:pStyle w:val="ListBullet"/>
      </w:pPr>
      <w:r>
        <w:t>In the buccal midazolam group, 42 (88%) patients were controlled within 4 min</w:t>
      </w:r>
      <w:r w:rsidR="000E3975">
        <w:t>utes</w:t>
      </w:r>
      <w:r>
        <w:t xml:space="preserve"> of drug administration, and all of the patients were controlled within 5 </w:t>
      </w:r>
      <w:r w:rsidR="000E3975">
        <w:t xml:space="preserve">minutes </w:t>
      </w:r>
      <w:r>
        <w:t>of drug administration.</w:t>
      </w:r>
    </w:p>
    <w:p w14:paraId="734289D9" w14:textId="70C47E7B" w:rsidR="00A554AC" w:rsidRDefault="00A554AC" w:rsidP="000E3975">
      <w:pPr>
        <w:pStyle w:val="ListBullet"/>
      </w:pPr>
      <w:r>
        <w:t xml:space="preserve">In the rectal diazepam group, 24 (49%) patients were controlled within 4 </w:t>
      </w:r>
      <w:r w:rsidR="000E3975">
        <w:t xml:space="preserve">minutes </w:t>
      </w:r>
      <w:r>
        <w:t xml:space="preserve">and 40 (82%) patients were controlled within 5 </w:t>
      </w:r>
      <w:r w:rsidR="000E3975">
        <w:t xml:space="preserve">minutes </w:t>
      </w:r>
      <w:r>
        <w:t xml:space="preserve">of drug administration. All the patients were controlled within 8 </w:t>
      </w:r>
      <w:r w:rsidR="000E3975">
        <w:t xml:space="preserve">minutes </w:t>
      </w:r>
      <w:r>
        <w:t>after drug administration in the rectal diazepam group.</w:t>
      </w:r>
    </w:p>
    <w:p w14:paraId="0EBE664B" w14:textId="1674F577" w:rsidR="00A554AC" w:rsidRDefault="00A554AC" w:rsidP="000E3975">
      <w:pPr>
        <w:pStyle w:val="ListBullet"/>
      </w:pPr>
      <w:r>
        <w:t>In both treatment groups, no recurrent seizures were recorded within 1</w:t>
      </w:r>
      <w:r w:rsidR="000E3975">
        <w:t xml:space="preserve"> </w:t>
      </w:r>
      <w:r>
        <w:t>h</w:t>
      </w:r>
      <w:r w:rsidR="000E3975">
        <w:t>our</w:t>
      </w:r>
      <w:r>
        <w:t xml:space="preserve"> after drug administration.</w:t>
      </w:r>
    </w:p>
    <w:p w14:paraId="4194165E" w14:textId="185C179F" w:rsidR="00A554AC" w:rsidRDefault="000A76F0" w:rsidP="000A76F0">
      <w:pPr>
        <w:rPr>
          <w:lang w:eastAsia="ja-JP"/>
        </w:rPr>
      </w:pPr>
      <w:r>
        <w:t>The Delegate commented that e</w:t>
      </w:r>
      <w:r w:rsidR="00A554AC" w:rsidRPr="000A76F0">
        <w:t xml:space="preserve">ssentially the low patient numbers in the age range </w:t>
      </w:r>
      <w:r w:rsidR="000E3975">
        <w:t xml:space="preserve">of 10 to </w:t>
      </w:r>
      <w:r w:rsidR="00A554AC" w:rsidRPr="000A76F0">
        <w:t>&gt;</w:t>
      </w:r>
      <w:r w:rsidR="000E3975">
        <w:t> </w:t>
      </w:r>
      <w:r w:rsidR="00A554AC" w:rsidRPr="000A76F0">
        <w:t>18 years was not supportive of the indication</w:t>
      </w:r>
      <w:r>
        <w:t xml:space="preserve"> proposed</w:t>
      </w:r>
      <w:r w:rsidR="00A554AC">
        <w:t xml:space="preserve"> </w:t>
      </w:r>
      <w:r w:rsidR="00852900">
        <w:t>in a previous submission</w:t>
      </w:r>
      <w:r w:rsidR="00A554AC">
        <w:rPr>
          <w:lang w:eastAsia="ja-JP"/>
        </w:rPr>
        <w:t>.</w:t>
      </w:r>
    </w:p>
    <w:p w14:paraId="692AECB6" w14:textId="0391F83A" w:rsidR="00A554AC" w:rsidRPr="00AA79CE" w:rsidRDefault="00A554AC" w:rsidP="00DE222E">
      <w:pPr>
        <w:pStyle w:val="Heading6"/>
        <w:rPr>
          <w:lang w:val="fr-FR"/>
        </w:rPr>
      </w:pPr>
      <w:r w:rsidRPr="00AA79CE">
        <w:rPr>
          <w:lang w:val="fr-FR"/>
        </w:rPr>
        <w:t>McIntyre et al</w:t>
      </w:r>
      <w:r w:rsidR="000E3975" w:rsidRPr="00AA79CE">
        <w:rPr>
          <w:lang w:val="fr-FR"/>
        </w:rPr>
        <w:t>. (2005)</w:t>
      </w:r>
    </w:p>
    <w:p w14:paraId="1DB4AFB0" w14:textId="77777777" w:rsidR="000E3975" w:rsidRPr="00AA79CE" w:rsidRDefault="000E3975" w:rsidP="000E3975">
      <w:pPr>
        <w:rPr>
          <w:lang w:val="fr-FR"/>
        </w:rPr>
      </w:pPr>
      <w:r w:rsidRPr="00AA79CE">
        <w:rPr>
          <w:lang w:val="fr-FR"/>
        </w:rPr>
        <w:t>Publication:</w:t>
      </w:r>
    </w:p>
    <w:p w14:paraId="3BD0AD2B" w14:textId="0CB1227B" w:rsidR="000E3975" w:rsidRPr="000E3975" w:rsidRDefault="000E3975" w:rsidP="000E3975">
      <w:pPr>
        <w:ind w:left="720"/>
      </w:pPr>
      <w:r w:rsidRPr="00AA79CE">
        <w:rPr>
          <w:lang w:val="fr-FR"/>
        </w:rPr>
        <w:t xml:space="preserve">McIntyre J, Robertson S, Norris E, et al. </w:t>
      </w:r>
      <w:r w:rsidRPr="000E3975">
        <w:t xml:space="preserve">Safety and efficacy of buccal midazolam versus rectal diazepam for emergency treatment of seizures in children: a randomised controlled. </w:t>
      </w:r>
      <w:r w:rsidRPr="000E3975">
        <w:rPr>
          <w:i/>
        </w:rPr>
        <w:t>Lancet</w:t>
      </w:r>
      <w:r w:rsidRPr="000E3975">
        <w:t xml:space="preserve"> 2005; 366 (9481):205-210.</w:t>
      </w:r>
      <w:bookmarkStart w:id="93" w:name="_Ref108599219"/>
      <w:r>
        <w:rPr>
          <w:rStyle w:val="FootnoteReference"/>
        </w:rPr>
        <w:footnoteReference w:id="37"/>
      </w:r>
      <w:bookmarkEnd w:id="93"/>
    </w:p>
    <w:p w14:paraId="79E4A94B" w14:textId="77777777" w:rsidR="000E3975" w:rsidRDefault="000E3975" w:rsidP="000E3975">
      <w:r>
        <w:t>This was an o</w:t>
      </w:r>
      <w:r w:rsidR="00A554AC" w:rsidRPr="000E3975">
        <w:t>pen, randomised trial comparison of buccal midazolam versus rectal diazepam</w:t>
      </w:r>
      <w:r>
        <w:t xml:space="preserve"> to control seizures.</w:t>
      </w:r>
    </w:p>
    <w:p w14:paraId="2EC7F6C8" w14:textId="1D2B7000" w:rsidR="00A554AC" w:rsidRPr="000E3975" w:rsidRDefault="000E3975" w:rsidP="000E3975">
      <w:r>
        <w:t>The study was conducted in four UK centres from October 2000</w:t>
      </w:r>
      <w:r w:rsidR="00A554AC" w:rsidRPr="000E3975">
        <w:t xml:space="preserve"> to February 2004.</w:t>
      </w:r>
    </w:p>
    <w:p w14:paraId="48532960" w14:textId="1B6C020A" w:rsidR="00A554AC" w:rsidRPr="000E3975" w:rsidRDefault="000A76F0" w:rsidP="000E3975">
      <w:r w:rsidRPr="000E3975">
        <w:t>W</w:t>
      </w:r>
      <w:r w:rsidR="00A554AC" w:rsidRPr="000E3975">
        <w:t xml:space="preserve">eekly blocks of treatment with either buccal midazolam or rectal diazepam were randomly selected for each of </w:t>
      </w:r>
      <w:r w:rsidR="000E3975">
        <w:t>the four participating centres.</w:t>
      </w:r>
    </w:p>
    <w:p w14:paraId="479317FA" w14:textId="63361C4A" w:rsidR="00A554AC" w:rsidRPr="000E3975" w:rsidRDefault="000A76F0" w:rsidP="000E3975">
      <w:r w:rsidRPr="000E3975">
        <w:t>C</w:t>
      </w:r>
      <w:r w:rsidR="00A554AC" w:rsidRPr="000E3975">
        <w:t>hildren who were aged ≥ 6 months and presented to the emergency room still having a seizure, who did not already have established intravenous access were eligible.</w:t>
      </w:r>
    </w:p>
    <w:p w14:paraId="66721353" w14:textId="32DC5181" w:rsidR="00A554AC" w:rsidRPr="000E3975" w:rsidRDefault="000A76F0" w:rsidP="000E3975">
      <w:r w:rsidRPr="000E3975">
        <w:t>T</w:t>
      </w:r>
      <w:r w:rsidR="00A554AC" w:rsidRPr="000E3975">
        <w:t>he dose of buccal midazolam or rectal diazepam was 2</w:t>
      </w:r>
      <w:r w:rsidR="00E95CA7">
        <w:t>.</w:t>
      </w:r>
      <w:r w:rsidR="00A554AC" w:rsidRPr="000E3975">
        <w:t>5</w:t>
      </w:r>
      <w:r w:rsidRPr="000E3975">
        <w:t xml:space="preserve"> </w:t>
      </w:r>
      <w:r w:rsidR="000E3975">
        <w:t>mg for children aged 6 to 12 </w:t>
      </w:r>
      <w:r w:rsidR="00A554AC" w:rsidRPr="000E3975">
        <w:t>months; 5</w:t>
      </w:r>
      <w:r w:rsidRPr="000E3975">
        <w:t xml:space="preserve"> </w:t>
      </w:r>
      <w:r w:rsidR="00A554AC" w:rsidRPr="000E3975">
        <w:t>m</w:t>
      </w:r>
      <w:r w:rsidR="000E3975">
        <w:t xml:space="preserve">g for 1 to </w:t>
      </w:r>
      <w:r w:rsidR="00E95CA7">
        <w:t>4 years, 7.</w:t>
      </w:r>
      <w:r w:rsidR="00A554AC" w:rsidRPr="000E3975">
        <w:t>5</w:t>
      </w:r>
      <w:r w:rsidRPr="000E3975">
        <w:t xml:space="preserve"> </w:t>
      </w:r>
      <w:r w:rsidR="000E3975">
        <w:t xml:space="preserve">mg for 5 to </w:t>
      </w:r>
      <w:r w:rsidR="00A554AC" w:rsidRPr="000E3975">
        <w:t>9 years, and 10</w:t>
      </w:r>
      <w:r w:rsidRPr="000E3975">
        <w:t xml:space="preserve"> </w:t>
      </w:r>
      <w:r w:rsidR="00A554AC" w:rsidRPr="000E3975">
        <w:t>mg for 10 years and older.</w:t>
      </w:r>
    </w:p>
    <w:p w14:paraId="0CA1A5FA" w14:textId="2E45B9E6" w:rsidR="00A554AC" w:rsidRPr="000E3975" w:rsidRDefault="000A76F0" w:rsidP="000E3975">
      <w:r w:rsidRPr="000E3975">
        <w:t>T</w:t>
      </w:r>
      <w:r w:rsidR="00A554AC" w:rsidRPr="000E3975">
        <w:t>he primary outcome measure (therapeutic success):</w:t>
      </w:r>
    </w:p>
    <w:p w14:paraId="30692D21" w14:textId="6D7B28D7" w:rsidR="00A554AC" w:rsidRPr="000E3975" w:rsidRDefault="00A554AC" w:rsidP="000E3975">
      <w:pPr>
        <w:pStyle w:val="Bulletlist"/>
      </w:pPr>
      <w:r w:rsidRPr="000E3975">
        <w:t>was the cessation of visible signs of seizure activity within 10 min</w:t>
      </w:r>
      <w:r w:rsidR="000E3975">
        <w:t>utes</w:t>
      </w:r>
      <w:r w:rsidRPr="000E3975">
        <w:t xml:space="preserve"> of administration of the randomised drug without respiratory depression and without another seizure within 1 h</w:t>
      </w:r>
      <w:r w:rsidR="000E3975">
        <w:t>our</w:t>
      </w:r>
      <w:r w:rsidRPr="000E3975">
        <w:t>.</w:t>
      </w:r>
    </w:p>
    <w:p w14:paraId="50AC8986" w14:textId="2500CB21" w:rsidR="00A554AC" w:rsidRDefault="000A76F0" w:rsidP="000E3975">
      <w:r>
        <w:t>B</w:t>
      </w:r>
      <w:r w:rsidR="00A554AC">
        <w:t>y use of two-tailed tests, it was calculated that 107 episodes would be needed in each treatment group to detect a difference in efficacy of 15% (between 79% and 94%) as defined by effective seizure cessation after buccal mi</w:t>
      </w:r>
      <w:r w:rsidR="000E3975">
        <w:t>dazolam or rectal diazepam (90% </w:t>
      </w:r>
      <w:r w:rsidR="00A554AC">
        <w:t>power, 5% significance level), on the basis of previous data. The trial design allowed for entry of a patient more than once because of the potential delay in treatment if clinicians had to check for prior participation. The results are therefore reported for both the total episodes and for the first presenting episode of a patient to avoid the bias of a patient with multiple entries</w:t>
      </w:r>
      <w:r w:rsidR="00D75EC9">
        <w:t>.</w:t>
      </w:r>
      <w:r w:rsidR="00A554AC">
        <w:t xml:space="preserve"> To detect a 9% difference in the onset</w:t>
      </w:r>
      <w:r w:rsidR="000E3975">
        <w:t xml:space="preserve"> of respiratory depression, </w:t>
      </w:r>
      <w:r w:rsidR="000E3975" w:rsidRPr="000E3975">
        <w:t>110</w:t>
      </w:r>
      <w:r w:rsidR="000E3975">
        <w:t> </w:t>
      </w:r>
      <w:r w:rsidR="00A554AC" w:rsidRPr="000E3975">
        <w:t>episodes</w:t>
      </w:r>
      <w:r w:rsidR="00A554AC">
        <w:t xml:space="preserve"> in each treatment group would be needed with a baseline value of 9% for diazepam and 0% for midazolam (no rates for midazolam were available from previous studies). Each entry was double checke</w:t>
      </w:r>
      <w:r w:rsidR="000E3975">
        <w:t xml:space="preserve">d and entered into a database. </w:t>
      </w:r>
      <w:r w:rsidR="00A554AC">
        <w:t>Logistic regression analysis was used for the multivariate analysis of the efficacy of the two treatments. Analysis was done at seizure level, and centre was adjusted for in the logistic regression analysis. Analysis was per protocol.</w:t>
      </w:r>
    </w:p>
    <w:p w14:paraId="2EFB6FD8" w14:textId="503EFA8C" w:rsidR="00DD7657" w:rsidRDefault="00DD7657" w:rsidP="00DD7657">
      <w:pPr>
        <w:pStyle w:val="TableTitle"/>
      </w:pPr>
      <w:r>
        <w:t xml:space="preserve">Table </w:t>
      </w:r>
      <w:fldSimple w:instr=" SEQ Table \* ARABIC ">
        <w:r w:rsidR="00AA79CE">
          <w:rPr>
            <w:noProof/>
          </w:rPr>
          <w:t>7</w:t>
        </w:r>
      </w:fldSimple>
      <w:r>
        <w:t>: McIntyre et al. (2005) Baseline characteristics</w:t>
      </w:r>
    </w:p>
    <w:p w14:paraId="256BC7C9" w14:textId="534EBE27" w:rsidR="00DD7657" w:rsidRDefault="00A554AC" w:rsidP="00F91755">
      <w:r>
        <w:rPr>
          <w:noProof/>
          <w:lang w:val="en-GB" w:eastAsia="en-GB"/>
        </w:rPr>
        <w:drawing>
          <wp:inline distT="0" distB="0" distL="0" distR="0" wp14:anchorId="47179E0E" wp14:editId="0E952248">
            <wp:extent cx="4023360" cy="3884145"/>
            <wp:effectExtent l="0" t="0" r="0" b="2540"/>
            <wp:docPr id="23" name="Picture 23" descr="Table 6: Baselin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 6: Baseline characteristic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56574" cy="3916210"/>
                    </a:xfrm>
                    <a:prstGeom prst="rect">
                      <a:avLst/>
                    </a:prstGeom>
                    <a:noFill/>
                    <a:ln>
                      <a:noFill/>
                    </a:ln>
                  </pic:spPr>
                </pic:pic>
              </a:graphicData>
            </a:graphic>
          </wp:inline>
        </w:drawing>
      </w:r>
    </w:p>
    <w:p w14:paraId="5C8EA256" w14:textId="403E2D81" w:rsidR="00A554AC" w:rsidRPr="00DD7657" w:rsidRDefault="00A554AC" w:rsidP="00DD7657">
      <w:pPr>
        <w:pStyle w:val="TableDescription"/>
      </w:pPr>
      <w:r w:rsidRPr="00DD7657">
        <w:t>Data are number (%) or median (interquartile range</w:t>
      </w:r>
      <w:r w:rsidR="00DD7657" w:rsidRPr="00DD7657">
        <w:t>).</w:t>
      </w:r>
    </w:p>
    <w:p w14:paraId="2164CC09" w14:textId="77777777" w:rsidR="00A554AC" w:rsidRPr="00DD7657" w:rsidRDefault="00DD7657" w:rsidP="00DD7657">
      <w:pPr>
        <w:pStyle w:val="TableDescription"/>
      </w:pPr>
      <w:r w:rsidRPr="00AA79CE">
        <w:rPr>
          <w:lang w:val="fr-FR"/>
        </w:rPr>
        <w:t xml:space="preserve">Source: McIntyre J, Robertson S, Norris E, et al. </w:t>
      </w:r>
      <w:r w:rsidRPr="00DD7657">
        <w:t>Safety and efficacy of buccal midazolam versus rectal diazepam for emergency treatment of seizures in children: a randomised controlled. Lancet 2005; 366 (9481):205-210.</w:t>
      </w:r>
    </w:p>
    <w:p w14:paraId="54123440" w14:textId="6E89377D" w:rsidR="00A554AC" w:rsidRDefault="000A76F0" w:rsidP="00DD7657">
      <w:r>
        <w:t>A</w:t>
      </w:r>
      <w:r w:rsidR="00A554AC">
        <w:t>s per the baseline data:</w:t>
      </w:r>
    </w:p>
    <w:p w14:paraId="07CB6C97" w14:textId="77777777" w:rsidR="00A554AC" w:rsidRDefault="00A554AC" w:rsidP="00DD7657">
      <w:pPr>
        <w:pStyle w:val="ListBullet"/>
      </w:pPr>
      <w:r>
        <w:t>for initial episode:</w:t>
      </w:r>
    </w:p>
    <w:p w14:paraId="22118445" w14:textId="5656DCB2" w:rsidR="00A554AC" w:rsidRPr="00F91755" w:rsidRDefault="00A554AC" w:rsidP="00DD7657">
      <w:pPr>
        <w:pStyle w:val="ListBullet2"/>
      </w:pPr>
      <w:r w:rsidRPr="00F91755">
        <w:t xml:space="preserve">109 </w:t>
      </w:r>
      <w:r w:rsidR="00DD7657">
        <w:t>(</w:t>
      </w:r>
      <w:r w:rsidRPr="00F91755">
        <w:t>62%</w:t>
      </w:r>
      <w:r w:rsidR="00DD7657">
        <w:t>)</w:t>
      </w:r>
      <w:r w:rsidRPr="00F91755">
        <w:t xml:space="preserve"> children w</w:t>
      </w:r>
      <w:r w:rsidR="00DD7657">
        <w:t>ere aged between 1 and 4 years</w:t>
      </w:r>
    </w:p>
    <w:p w14:paraId="150C1360" w14:textId="495446F1" w:rsidR="00A554AC" w:rsidRPr="00F91755" w:rsidRDefault="00A554AC" w:rsidP="00DD7657">
      <w:pPr>
        <w:pStyle w:val="ListBullet2"/>
      </w:pPr>
      <w:r w:rsidRPr="00F91755">
        <w:t xml:space="preserve">13 </w:t>
      </w:r>
      <w:r w:rsidR="00DD7657">
        <w:t>(</w:t>
      </w:r>
      <w:r w:rsidRPr="00F91755">
        <w:t>7%</w:t>
      </w:r>
      <w:r w:rsidR="00DD7657">
        <w:t>)</w:t>
      </w:r>
      <w:r w:rsidRPr="00F91755">
        <w:t xml:space="preserve"> infants were aged between 6 and 12 months</w:t>
      </w:r>
    </w:p>
    <w:p w14:paraId="0B500838" w14:textId="1D0CC8EB" w:rsidR="00A554AC" w:rsidRPr="00F91755" w:rsidRDefault="00A554AC" w:rsidP="00DD7657">
      <w:pPr>
        <w:pStyle w:val="ListBullet2"/>
      </w:pPr>
      <w:r w:rsidRPr="00F91755">
        <w:t xml:space="preserve">37 </w:t>
      </w:r>
      <w:r w:rsidR="00DD7657">
        <w:t>(</w:t>
      </w:r>
      <w:r w:rsidRPr="00F91755">
        <w:t>21%</w:t>
      </w:r>
      <w:r w:rsidR="00DD7657">
        <w:t>)</w:t>
      </w:r>
      <w:r w:rsidRPr="00F91755">
        <w:t xml:space="preserve"> children between 5 and 9 years</w:t>
      </w:r>
    </w:p>
    <w:p w14:paraId="58122FE8" w14:textId="659A964C" w:rsidR="00DD7657" w:rsidRDefault="00A554AC" w:rsidP="00DD7657">
      <w:pPr>
        <w:pStyle w:val="ListBullet2"/>
      </w:pPr>
      <w:r w:rsidRPr="00F91755">
        <w:t xml:space="preserve">18 </w:t>
      </w:r>
      <w:r w:rsidR="00DD7657">
        <w:t>(</w:t>
      </w:r>
      <w:r w:rsidRPr="00F91755">
        <w:t>10%</w:t>
      </w:r>
      <w:r w:rsidR="00DD7657">
        <w:t>)</w:t>
      </w:r>
      <w:r w:rsidRPr="00F91755">
        <w:t xml:space="preserve"> children were 10 years</w:t>
      </w:r>
      <w:r w:rsidRPr="000A76F0">
        <w:t xml:space="preserve"> and older</w:t>
      </w:r>
    </w:p>
    <w:p w14:paraId="7412EBC2" w14:textId="32ED6396" w:rsidR="00A554AC" w:rsidRDefault="00A554AC" w:rsidP="00DD7657">
      <w:pPr>
        <w:pStyle w:val="ListBullet"/>
      </w:pPr>
      <w:r>
        <w:t>for all presenting episodes:</w:t>
      </w:r>
    </w:p>
    <w:p w14:paraId="6A94E5BC" w14:textId="62B3CF4E" w:rsidR="00D75EC9" w:rsidRDefault="00A554AC" w:rsidP="00DD7657">
      <w:pPr>
        <w:pStyle w:val="ListBullet2"/>
      </w:pPr>
      <w:r>
        <w:t xml:space="preserve">135 </w:t>
      </w:r>
      <w:r w:rsidR="00DD7657">
        <w:t>(</w:t>
      </w:r>
      <w:r>
        <w:t>62%</w:t>
      </w:r>
      <w:r w:rsidR="00DD7657">
        <w:t>)</w:t>
      </w:r>
      <w:r>
        <w:t xml:space="preserve"> children were aged between 1and 4 years</w:t>
      </w:r>
    </w:p>
    <w:p w14:paraId="52FEBC6E" w14:textId="31466BC1" w:rsidR="00A554AC" w:rsidRDefault="00A554AC" w:rsidP="00DD7657">
      <w:pPr>
        <w:pStyle w:val="ListBullet2"/>
      </w:pPr>
      <w:r>
        <w:t xml:space="preserve">14 </w:t>
      </w:r>
      <w:r w:rsidR="00DD7657">
        <w:t>(</w:t>
      </w:r>
      <w:r>
        <w:t>6%</w:t>
      </w:r>
      <w:r w:rsidR="00DD7657">
        <w:t>)</w:t>
      </w:r>
      <w:r>
        <w:t xml:space="preserve"> infants were aged between 6 and 12 months</w:t>
      </w:r>
    </w:p>
    <w:p w14:paraId="118FADA4" w14:textId="73C4F3EC" w:rsidR="00A554AC" w:rsidRDefault="00A554AC" w:rsidP="00DD7657">
      <w:pPr>
        <w:pStyle w:val="ListBullet2"/>
      </w:pPr>
      <w:r>
        <w:t xml:space="preserve">50 </w:t>
      </w:r>
      <w:r w:rsidR="00DD7657">
        <w:t>(</w:t>
      </w:r>
      <w:r>
        <w:t>23%</w:t>
      </w:r>
      <w:r w:rsidR="00DD7657">
        <w:t>)</w:t>
      </w:r>
      <w:r>
        <w:t xml:space="preserve"> children between 5 and 9 years</w:t>
      </w:r>
    </w:p>
    <w:p w14:paraId="500532B6" w14:textId="58A1C009" w:rsidR="00A554AC" w:rsidRDefault="00A554AC" w:rsidP="00DD7657">
      <w:pPr>
        <w:pStyle w:val="ListBullet2"/>
      </w:pPr>
      <w:r>
        <w:t xml:space="preserve">20 </w:t>
      </w:r>
      <w:r w:rsidR="00DD7657">
        <w:t>(</w:t>
      </w:r>
      <w:r>
        <w:t>9%</w:t>
      </w:r>
      <w:r w:rsidR="00DD7657">
        <w:t>)</w:t>
      </w:r>
      <w:r>
        <w:t xml:space="preserve"> children were 10 years and older.</w:t>
      </w:r>
    </w:p>
    <w:p w14:paraId="65740CA4" w14:textId="289B4862" w:rsidR="00A554AC" w:rsidRDefault="000A76F0" w:rsidP="00E71978">
      <w:pPr>
        <w:pStyle w:val="Bullet1"/>
      </w:pPr>
      <w:r>
        <w:t>E</w:t>
      </w:r>
      <w:r w:rsidR="00A554AC">
        <w:t>fficacy outcome:</w:t>
      </w:r>
    </w:p>
    <w:p w14:paraId="3015CE83" w14:textId="65CE95A6" w:rsidR="00A554AC" w:rsidRDefault="000A76F0" w:rsidP="00E71978">
      <w:pPr>
        <w:pStyle w:val="Bullet2"/>
      </w:pPr>
      <w:r>
        <w:t>F</w:t>
      </w:r>
      <w:r w:rsidR="00A554AC">
        <w:t>or all episodes, when centre, age, diagnosis of epilepsy, presence of fever, use of antiepileptic drugs, prior treatment, and duration of seizure before treatment were adjusted for in logistic regression, buccal midazolam was more effect</w:t>
      </w:r>
      <w:r w:rsidR="00E95CA7">
        <w:t>ive than rectal diazepam (p &lt; 0.</w:t>
      </w:r>
      <w:r w:rsidR="00A554AC">
        <w:t xml:space="preserve">001; odds ratio </w:t>
      </w:r>
      <w:r w:rsidR="00E17815">
        <w:t>4.1, 95% CI 2.</w:t>
      </w:r>
      <w:r w:rsidR="00DD7657">
        <w:t xml:space="preserve">2 to </w:t>
      </w:r>
      <w:r w:rsidR="00E17815">
        <w:t>7.</w:t>
      </w:r>
      <w:r w:rsidR="00A554AC">
        <w:t>6).</w:t>
      </w:r>
    </w:p>
    <w:p w14:paraId="552CD173" w14:textId="1F7AE825" w:rsidR="00A554AC" w:rsidRDefault="000A76F0" w:rsidP="00E71978">
      <w:pPr>
        <w:pStyle w:val="Bullet2"/>
      </w:pPr>
      <w:r>
        <w:t>T</w:t>
      </w:r>
      <w:r w:rsidR="00A554AC">
        <w:t>his finding was similar when only initial admissi</w:t>
      </w:r>
      <w:r w:rsidR="00E95CA7">
        <w:t>ons were analysed (3.5; p = 0.</w:t>
      </w:r>
      <w:r w:rsidR="00E17815">
        <w:t xml:space="preserve">008, </w:t>
      </w:r>
      <w:r w:rsidR="00DD7657">
        <w:t xml:space="preserve">95% CI </w:t>
      </w:r>
      <w:r w:rsidR="00E17815">
        <w:t>1.</w:t>
      </w:r>
      <w:r w:rsidR="00DD7657">
        <w:t xml:space="preserve">8 to </w:t>
      </w:r>
      <w:r w:rsidR="00E17815">
        <w:t>7.</w:t>
      </w:r>
      <w:r w:rsidR="00A554AC">
        <w:t>0).</w:t>
      </w:r>
    </w:p>
    <w:p w14:paraId="2E55C6B4" w14:textId="414FF751" w:rsidR="00A554AC" w:rsidRPr="000A76F0" w:rsidRDefault="000A76F0" w:rsidP="000A76F0">
      <w:r w:rsidRPr="000A76F0">
        <w:t xml:space="preserve">The </w:t>
      </w:r>
      <w:r w:rsidR="00A554AC" w:rsidRPr="000A76F0">
        <w:t>Delegate</w:t>
      </w:r>
      <w:r w:rsidRPr="000A76F0">
        <w:t xml:space="preserve"> commented that </w:t>
      </w:r>
      <w:r w:rsidR="00A554AC" w:rsidRPr="000A76F0">
        <w:t xml:space="preserve">essentially the </w:t>
      </w:r>
      <w:r w:rsidR="00DD7657">
        <w:t>low patient numbers betwe</w:t>
      </w:r>
      <w:r w:rsidR="00E17815">
        <w:t>en 10 to &lt; 18 </w:t>
      </w:r>
      <w:r w:rsidR="00A554AC" w:rsidRPr="000A76F0">
        <w:t>years age range</w:t>
      </w:r>
      <w:r w:rsidRPr="000A76F0">
        <w:t xml:space="preserve"> </w:t>
      </w:r>
      <w:r w:rsidR="00A554AC" w:rsidRPr="000A76F0">
        <w:t xml:space="preserve">was not supportive of the indication </w:t>
      </w:r>
      <w:r w:rsidRPr="000A76F0">
        <w:t>proposed in a previous submission.</w:t>
      </w:r>
    </w:p>
    <w:p w14:paraId="453AEE14" w14:textId="754CA540" w:rsidR="003117BE" w:rsidRDefault="00DD7657" w:rsidP="00A554AC">
      <w:pPr>
        <w:pStyle w:val="Caption"/>
        <w:rPr>
          <w:sz w:val="22"/>
          <w:szCs w:val="22"/>
        </w:rPr>
      </w:pPr>
      <w:bookmarkStart w:id="94" w:name="_Toc509304759"/>
      <w:r>
        <w:rPr>
          <w:sz w:val="22"/>
          <w:szCs w:val="22"/>
        </w:rPr>
        <w:t xml:space="preserve">The following table </w:t>
      </w:r>
      <w:r w:rsidR="008B5B38">
        <w:rPr>
          <w:sz w:val="22"/>
          <w:szCs w:val="22"/>
        </w:rPr>
        <w:t>has been extracted from this paper.</w:t>
      </w:r>
    </w:p>
    <w:bookmarkEnd w:id="94"/>
    <w:p w14:paraId="1274994C" w14:textId="603991D5" w:rsidR="00DD7657" w:rsidRDefault="00DD7657" w:rsidP="00DD7657">
      <w:pPr>
        <w:pStyle w:val="TableTitle"/>
      </w:pPr>
      <w:r>
        <w:t xml:space="preserve">Table </w:t>
      </w:r>
      <w:fldSimple w:instr=" SEQ Table \* ARABIC ">
        <w:r w:rsidR="00AA79CE">
          <w:rPr>
            <w:noProof/>
          </w:rPr>
          <w:t>8</w:t>
        </w:r>
      </w:fldSimple>
      <w:r>
        <w:t>: McIntyre et al. (2005) Outcomes after treatment</w:t>
      </w:r>
    </w:p>
    <w:p w14:paraId="29948640" w14:textId="553FB3BA" w:rsidR="00A554AC" w:rsidRDefault="00A554AC" w:rsidP="00F91755">
      <w:pPr>
        <w:rPr>
          <w:sz w:val="16"/>
        </w:rPr>
      </w:pPr>
      <w:r>
        <w:rPr>
          <w:noProof/>
          <w:lang w:val="en-GB" w:eastAsia="en-GB"/>
        </w:rPr>
        <w:drawing>
          <wp:inline distT="0" distB="0" distL="0" distR="0" wp14:anchorId="70175626" wp14:editId="242C9668">
            <wp:extent cx="4559300" cy="3098800"/>
            <wp:effectExtent l="0" t="0" r="0" b="6350"/>
            <wp:docPr id="22" name="Picture 22" descr="Table 7: Outcome after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 7: Outcome after treatme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59300" cy="3098800"/>
                    </a:xfrm>
                    <a:prstGeom prst="rect">
                      <a:avLst/>
                    </a:prstGeom>
                    <a:noFill/>
                    <a:ln>
                      <a:noFill/>
                    </a:ln>
                  </pic:spPr>
                </pic:pic>
              </a:graphicData>
            </a:graphic>
          </wp:inline>
        </w:drawing>
      </w:r>
    </w:p>
    <w:p w14:paraId="55B839CF" w14:textId="2DCA4893" w:rsidR="00E17815" w:rsidRDefault="00E17815" w:rsidP="00E17815">
      <w:pPr>
        <w:pStyle w:val="TableDescription"/>
      </w:pPr>
      <w:r>
        <w:t>Abbreviations: CI = confidence interval; IQR = interquartile range.</w:t>
      </w:r>
    </w:p>
    <w:p w14:paraId="6D8EB80E" w14:textId="7684D27B" w:rsidR="00A554AC" w:rsidRDefault="00A554AC" w:rsidP="00E17815">
      <w:pPr>
        <w:pStyle w:val="TableDescription"/>
      </w:pPr>
      <w:r>
        <w:t>Data are number (%) unle</w:t>
      </w:r>
      <w:r w:rsidR="00E95CA7">
        <w:t>ss otherwise indicated. * p = 0.</w:t>
      </w:r>
      <w:r>
        <w:t>01, hazard ratio 0·7 (9</w:t>
      </w:r>
      <w:r w:rsidR="00E95CA7">
        <w:t>5% CI 0.5 to 0.</w:t>
      </w:r>
      <w:r w:rsidR="00E17815">
        <w:t>9).</w:t>
      </w:r>
      <w:r w:rsidR="00E17815">
        <w:br/>
      </w:r>
      <w:r w:rsidR="00E95CA7">
        <w:t>† p = 0.03, hazard ratio 0.7 (0.5 to 0.</w:t>
      </w:r>
      <w:r>
        <w:t>96).</w:t>
      </w:r>
      <w:r w:rsidR="00D75EC9">
        <w:t xml:space="preserve"> </w:t>
      </w:r>
      <w:r>
        <w:t xml:space="preserve">‡ Seizure stopped within 10 </w:t>
      </w:r>
      <w:r w:rsidR="00E17815">
        <w:t>minutes, but further seizure within 1 hour</w:t>
      </w:r>
      <w:r>
        <w:t xml:space="preserve"> requiring treatment.</w:t>
      </w:r>
    </w:p>
    <w:p w14:paraId="589AD0C5" w14:textId="2BE7EE8B" w:rsidR="00A554AC" w:rsidRDefault="00A554AC" w:rsidP="00DE222E">
      <w:pPr>
        <w:pStyle w:val="Heading6"/>
      </w:pPr>
      <w:r>
        <w:t>Scott et al</w:t>
      </w:r>
      <w:r w:rsidR="00E17815">
        <w:t>. (1999)</w:t>
      </w:r>
    </w:p>
    <w:p w14:paraId="2E41E808" w14:textId="77777777" w:rsidR="00E17815" w:rsidRDefault="00E17815" w:rsidP="00E17815">
      <w:pPr>
        <w:rPr>
          <w:lang w:eastAsia="ja-JP"/>
        </w:rPr>
      </w:pPr>
      <w:r>
        <w:rPr>
          <w:lang w:eastAsia="ja-JP"/>
        </w:rPr>
        <w:t>Publication:</w:t>
      </w:r>
    </w:p>
    <w:p w14:paraId="0C5FC8F8" w14:textId="3976EC23" w:rsidR="00E17815" w:rsidRPr="00E17815" w:rsidRDefault="00E17815" w:rsidP="00E17815">
      <w:pPr>
        <w:ind w:left="720"/>
      </w:pPr>
      <w:r w:rsidRPr="00852900">
        <w:rPr>
          <w:lang w:eastAsia="ja-JP"/>
        </w:rPr>
        <w:t>Scott RC, Besag FM and Neville BG.</w:t>
      </w:r>
      <w:r>
        <w:rPr>
          <w:lang w:eastAsia="ja-JP"/>
        </w:rPr>
        <w:t xml:space="preserve"> </w:t>
      </w:r>
      <w:r w:rsidRPr="00852900">
        <w:rPr>
          <w:lang w:eastAsia="ja-JP"/>
        </w:rPr>
        <w:t xml:space="preserve">Buccal midazolam and rectal diazepam for treatment of prolonged seizures in childhood and adolescence: a randomised trial. </w:t>
      </w:r>
      <w:r w:rsidRPr="0095100C">
        <w:rPr>
          <w:i/>
          <w:lang w:eastAsia="ja-JP"/>
        </w:rPr>
        <w:t>Lancet</w:t>
      </w:r>
      <w:r>
        <w:rPr>
          <w:lang w:eastAsia="ja-JP"/>
        </w:rPr>
        <w:t>. 1999; 35 (9153)623-626.</w:t>
      </w:r>
      <w:r w:rsidR="00F717C7">
        <w:rPr>
          <w:rStyle w:val="FootnoteReference"/>
          <w:lang w:eastAsia="ja-JP"/>
        </w:rPr>
        <w:footnoteReference w:id="38"/>
      </w:r>
    </w:p>
    <w:p w14:paraId="4647EFEE" w14:textId="5F8FF70D" w:rsidR="00A554AC" w:rsidRDefault="00E17815" w:rsidP="00E17815">
      <w:r>
        <w:t>This was an o</w:t>
      </w:r>
      <w:r w:rsidR="00A554AC">
        <w:t xml:space="preserve">pen label, randomised comparison of 10mg of buccal midazolam or rectal diazepam to control seizures </w:t>
      </w:r>
      <w:r w:rsidR="00E95CA7">
        <w:t>at</w:t>
      </w:r>
      <w:r>
        <w:t xml:space="preserve"> one </w:t>
      </w:r>
      <w:r w:rsidR="00A554AC">
        <w:t>UK site.</w:t>
      </w:r>
    </w:p>
    <w:p w14:paraId="50CC598C" w14:textId="02EA2F6A" w:rsidR="00A554AC" w:rsidRDefault="003117BE" w:rsidP="00E17815">
      <w:r>
        <w:t>C</w:t>
      </w:r>
      <w:r w:rsidR="00A554AC">
        <w:t>omparison by episodes was done in which, episodes were assess</w:t>
      </w:r>
      <w:r w:rsidR="00E95CA7">
        <w:t xml:space="preserve">ed as independent variables by Chi-squared </w:t>
      </w:r>
      <w:r w:rsidR="00A554AC">
        <w:t xml:space="preserve">test for binary data and Mann-Whitney U test for continuous data, with times reported as median (IQR). Paired analysis was used to do comparisons by student of the first treatment with midazolam and, the first treatment with diazepam in each student treated at least once with each drug in nine identified pairs. </w:t>
      </w:r>
      <w:r>
        <w:t>A</w:t>
      </w:r>
      <w:r w:rsidR="00A554AC">
        <w:t>lso analysed consecutive pairs of midazolam and diazepam treatments in individual patients.</w:t>
      </w:r>
      <w:r>
        <w:t xml:space="preserve"> U</w:t>
      </w:r>
      <w:r w:rsidR="00A554AC">
        <w:t>sed McNemar’s test for binary data and Wilcoxon’s signed rank sum test for continuous data. For drug efficacy in the first seizure treate</w:t>
      </w:r>
      <w:r w:rsidR="00B56A68">
        <w:t xml:space="preserve">d </w:t>
      </w:r>
      <w:r w:rsidR="00E95CA7">
        <w:t>in all patients, we used the Chi-squared</w:t>
      </w:r>
      <w:r w:rsidR="00A554AC">
        <w:t xml:space="preserve"> test. Comparisons in individual students and two students, who made up 39 episo</w:t>
      </w:r>
      <w:r w:rsidR="00E95CA7">
        <w:t xml:space="preserve">des, were analysed separately. Chi-squared </w:t>
      </w:r>
      <w:r w:rsidR="00A554AC">
        <w:t>test was used for binary data and the Mann-Whitney U test for continuous data. Further statistical analyses of time to drug administration and effect of drug on blood pressure and oxygen saturation, were done with the Mann-Whitney U test.</w:t>
      </w:r>
    </w:p>
    <w:p w14:paraId="126187D9" w14:textId="35B2CD93" w:rsidR="00E17815" w:rsidRDefault="00E17815" w:rsidP="00E17815">
      <w:pPr>
        <w:pStyle w:val="TableTitle"/>
      </w:pPr>
      <w:r>
        <w:t xml:space="preserve">Table </w:t>
      </w:r>
      <w:fldSimple w:instr=" SEQ Table \* ARABIC ">
        <w:r w:rsidR="00AA79CE">
          <w:rPr>
            <w:noProof/>
          </w:rPr>
          <w:t>9</w:t>
        </w:r>
      </w:fldSimple>
      <w:r>
        <w:t>: Scott et al. (1999) Study demographics and clinical information</w:t>
      </w:r>
    </w:p>
    <w:p w14:paraId="3A25BA67" w14:textId="599B85C4" w:rsidR="00A554AC" w:rsidRDefault="00A554AC" w:rsidP="00F91755">
      <w:pPr>
        <w:rPr>
          <w:lang w:eastAsia="ja-JP"/>
        </w:rPr>
      </w:pPr>
      <w:r>
        <w:rPr>
          <w:noProof/>
          <w:lang w:val="en-GB" w:eastAsia="en-GB"/>
        </w:rPr>
        <w:drawing>
          <wp:inline distT="0" distB="0" distL="0" distR="0" wp14:anchorId="4A50F28E" wp14:editId="3F4DE2C4">
            <wp:extent cx="3211333" cy="3153801"/>
            <wp:effectExtent l="0" t="0" r="8255" b="8890"/>
            <wp:docPr id="21" name="Picture 21" descr="Table 7: Clinical information-episodes reported in each partici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 7: Clinical information-episodes reported in each participa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17445" cy="3159804"/>
                    </a:xfrm>
                    <a:prstGeom prst="rect">
                      <a:avLst/>
                    </a:prstGeom>
                    <a:noFill/>
                    <a:ln>
                      <a:noFill/>
                    </a:ln>
                  </pic:spPr>
                </pic:pic>
              </a:graphicData>
            </a:graphic>
          </wp:inline>
        </w:drawing>
      </w:r>
    </w:p>
    <w:p w14:paraId="546CD5B6" w14:textId="78954493" w:rsidR="00A554AC" w:rsidRDefault="00E17815" w:rsidP="003117BE">
      <w:pPr>
        <w:pStyle w:val="TableDescription"/>
        <w:rPr>
          <w:lang w:eastAsia="ja-JP"/>
        </w:rPr>
      </w:pPr>
      <w:r>
        <w:rPr>
          <w:lang w:eastAsia="ja-JP"/>
        </w:rPr>
        <w:t xml:space="preserve">Abbreviations: </w:t>
      </w:r>
      <w:r w:rsidR="00A554AC">
        <w:rPr>
          <w:lang w:eastAsia="ja-JP"/>
        </w:rPr>
        <w:t>CPS</w:t>
      </w:r>
      <w:r>
        <w:rPr>
          <w:lang w:eastAsia="ja-JP"/>
        </w:rPr>
        <w:t xml:space="preserve"> </w:t>
      </w:r>
      <w:r w:rsidR="00A554AC">
        <w:rPr>
          <w:lang w:eastAsia="ja-JP"/>
        </w:rPr>
        <w:t>=</w:t>
      </w:r>
      <w:r>
        <w:rPr>
          <w:lang w:eastAsia="ja-JP"/>
        </w:rPr>
        <w:t xml:space="preserve"> complex partial seizures; TC=tonic clonic.</w:t>
      </w:r>
    </w:p>
    <w:p w14:paraId="1174AFEB" w14:textId="1C38244B" w:rsidR="00E17815" w:rsidRDefault="00E17815" w:rsidP="003117BE">
      <w:pPr>
        <w:pStyle w:val="TableDescription"/>
        <w:rPr>
          <w:lang w:eastAsia="ja-JP"/>
        </w:rPr>
      </w:pPr>
      <w:r>
        <w:rPr>
          <w:lang w:eastAsia="ja-JP"/>
        </w:rPr>
        <w:t>Sex: M = male; F = female.</w:t>
      </w:r>
    </w:p>
    <w:p w14:paraId="30D52564" w14:textId="0658E85A" w:rsidR="00E17815" w:rsidRPr="00E17815" w:rsidRDefault="00E17815" w:rsidP="00E17815">
      <w:pPr>
        <w:pStyle w:val="TableDescription"/>
      </w:pPr>
      <w:r>
        <w:rPr>
          <w:lang w:eastAsia="ja-JP"/>
        </w:rPr>
        <w:t xml:space="preserve">Source: Scott RC, Besag FM and Neville BG. Buccal midazolam and rectal diazepam for treatment of prolonged seizures in childhood and adolescence: a randomised trial. </w:t>
      </w:r>
      <w:r>
        <w:rPr>
          <w:i/>
          <w:lang w:eastAsia="ja-JP"/>
        </w:rPr>
        <w:t>Lancet</w:t>
      </w:r>
      <w:r>
        <w:rPr>
          <w:lang w:eastAsia="ja-JP"/>
        </w:rPr>
        <w:t>. 1999; 35 (9153)623-626.</w:t>
      </w:r>
    </w:p>
    <w:p w14:paraId="0800A31A" w14:textId="5DD50D28" w:rsidR="00E17815" w:rsidRPr="00E17815" w:rsidRDefault="00E95CA7" w:rsidP="00E95CA7">
      <w:pPr>
        <w:keepNext/>
      </w:pPr>
      <w:r>
        <w:rPr>
          <w:lang w:eastAsia="ja-JP"/>
        </w:rPr>
        <w:t>Results:</w:t>
      </w:r>
    </w:p>
    <w:p w14:paraId="3B77405B" w14:textId="093DF4E8" w:rsidR="00A554AC" w:rsidRDefault="00A554AC" w:rsidP="00E17815">
      <w:pPr>
        <w:pStyle w:val="ListBullet"/>
      </w:pPr>
      <w:r>
        <w:t>40 episodes in 14 patients were treated with buccal m</w:t>
      </w:r>
      <w:r w:rsidR="00E17815">
        <w:t>idazolam, and 39 episodes in 14 </w:t>
      </w:r>
      <w:r>
        <w:t>patients with rectal diazepam.</w:t>
      </w:r>
    </w:p>
    <w:p w14:paraId="68ECB314" w14:textId="3A29D717" w:rsidR="00A554AC" w:rsidRDefault="00A554AC" w:rsidP="00E17815">
      <w:pPr>
        <w:pStyle w:val="ListBullet"/>
      </w:pPr>
      <w:r>
        <w:t xml:space="preserve">For </w:t>
      </w:r>
      <w:r w:rsidR="00E17815">
        <w:t xml:space="preserve">the </w:t>
      </w:r>
      <w:r>
        <w:t>efficacy outcome:</w:t>
      </w:r>
    </w:p>
    <w:p w14:paraId="5B9F062B" w14:textId="5D75F2E5" w:rsidR="00A554AC" w:rsidRDefault="00A554AC" w:rsidP="00E17815">
      <w:pPr>
        <w:pStyle w:val="ListBullet2"/>
      </w:pPr>
      <w:r>
        <w:t>response to midazolam occurred in 30 (75%) of 40 episodes and response to rectal diazepam occurred in 23 (59%) of</w:t>
      </w:r>
      <w:r w:rsidR="00E17815">
        <w:t xml:space="preserve"> 39 episodes (p = 0.</w:t>
      </w:r>
      <w:r>
        <w:t>16).</w:t>
      </w:r>
    </w:p>
    <w:p w14:paraId="7EBC7BC8" w14:textId="17DED873" w:rsidR="00A554AC" w:rsidRDefault="00A554AC" w:rsidP="00E17815">
      <w:pPr>
        <w:pStyle w:val="ListBullet2"/>
      </w:pPr>
      <w:r>
        <w:t>the median time from administration of medication to en</w:t>
      </w:r>
      <w:r w:rsidR="00E95CA7">
        <w:t>d of seizure was 6 </w:t>
      </w:r>
      <w:r w:rsidR="00E17815">
        <w:t>min</w:t>
      </w:r>
      <w:r w:rsidR="00E95CA7">
        <w:t>utes</w:t>
      </w:r>
      <w:r w:rsidR="00E17815">
        <w:t xml:space="preserve"> (IQR 4, 10) for midazolam and 8 min (4, 12) for diazepam (p = 0.</w:t>
      </w:r>
      <w:r>
        <w:t>31).</w:t>
      </w:r>
    </w:p>
    <w:p w14:paraId="6249AE38" w14:textId="0F75E6B4" w:rsidR="00E17815" w:rsidRDefault="00E17815" w:rsidP="00E17815">
      <w:pPr>
        <w:pStyle w:val="TableTitle"/>
      </w:pPr>
      <w:r>
        <w:t xml:space="preserve">Table </w:t>
      </w:r>
      <w:fldSimple w:instr=" SEQ Table \* ARABIC ">
        <w:r w:rsidR="00AA79CE">
          <w:rPr>
            <w:noProof/>
          </w:rPr>
          <w:t>10</w:t>
        </w:r>
      </w:fldSimple>
      <w:r>
        <w:t xml:space="preserve">: Scott et al. (1999) </w:t>
      </w:r>
      <w:r w:rsidRPr="00F32CF9">
        <w:t xml:space="preserve">Number of episodes treated by </w:t>
      </w:r>
      <w:r>
        <w:t xml:space="preserve">treatment and </w:t>
      </w:r>
      <w:r w:rsidRPr="00F32CF9">
        <w:t>seizure type</w:t>
      </w:r>
    </w:p>
    <w:p w14:paraId="2292705E" w14:textId="5E418931" w:rsidR="00A554AC" w:rsidRDefault="00A554AC" w:rsidP="00A554AC">
      <w:pPr>
        <w:spacing w:before="0" w:after="0"/>
        <w:rPr>
          <w:sz w:val="16"/>
          <w:lang w:eastAsia="ja-JP"/>
        </w:rPr>
      </w:pPr>
      <w:r>
        <w:rPr>
          <w:noProof/>
          <w:sz w:val="16"/>
          <w:lang w:val="en-GB" w:eastAsia="en-GB"/>
        </w:rPr>
        <w:drawing>
          <wp:inline distT="0" distB="0" distL="0" distR="0" wp14:anchorId="1E760A14" wp14:editId="04E4686A">
            <wp:extent cx="3868615" cy="851204"/>
            <wp:effectExtent l="0" t="0" r="0" b="6350"/>
            <wp:docPr id="20" name="Picture 20" descr="Table 8:  Number of episodes treated by seizur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 8:  Number of episodes treated by seizure typ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06901" cy="859628"/>
                    </a:xfrm>
                    <a:prstGeom prst="rect">
                      <a:avLst/>
                    </a:prstGeom>
                    <a:noFill/>
                    <a:ln>
                      <a:noFill/>
                    </a:ln>
                  </pic:spPr>
                </pic:pic>
              </a:graphicData>
            </a:graphic>
          </wp:inline>
        </w:drawing>
      </w:r>
    </w:p>
    <w:p w14:paraId="1338FA3D" w14:textId="318ADBFA" w:rsidR="00E17815" w:rsidRDefault="00E17815" w:rsidP="00E17815">
      <w:pPr>
        <w:pStyle w:val="TableDescription"/>
        <w:rPr>
          <w:sz w:val="16"/>
          <w:lang w:eastAsia="ja-JP"/>
        </w:rPr>
      </w:pPr>
      <w:r>
        <w:rPr>
          <w:lang w:eastAsia="ja-JP"/>
        </w:rPr>
        <w:t xml:space="preserve">Source: Scott RC, Besag FM and Neville BG. Buccal midazolam and rectal diazepam for treatment of prolonged seizures in childhood and adolescence: a randomised trial. </w:t>
      </w:r>
      <w:r>
        <w:rPr>
          <w:i/>
          <w:lang w:eastAsia="ja-JP"/>
        </w:rPr>
        <w:t>Lancet</w:t>
      </w:r>
      <w:r>
        <w:rPr>
          <w:lang w:eastAsia="ja-JP"/>
        </w:rPr>
        <w:t>. 1999; 35 (9153)623-626.</w:t>
      </w:r>
    </w:p>
    <w:p w14:paraId="22FF6501" w14:textId="2D26F9FB" w:rsidR="00E17815" w:rsidRPr="00E17815" w:rsidRDefault="00E17815" w:rsidP="00E17815">
      <w:r w:rsidRPr="00630560">
        <w:t xml:space="preserve">The Delegate commented that essentially the </w:t>
      </w:r>
      <w:r>
        <w:t>low patient numbers between 10 to &lt; 18 </w:t>
      </w:r>
      <w:r w:rsidRPr="00630560">
        <w:t>years age range was not supportive of the indication proposed in a previous submissi</w:t>
      </w:r>
      <w:r>
        <w:t>on.</w:t>
      </w:r>
    </w:p>
    <w:p w14:paraId="692DC19B" w14:textId="2CCEDCAD" w:rsidR="00A554AC" w:rsidRDefault="00A554AC" w:rsidP="00DE222E">
      <w:pPr>
        <w:pStyle w:val="Heading6"/>
      </w:pPr>
      <w:r>
        <w:t>Baysun et al</w:t>
      </w:r>
      <w:r w:rsidR="00C4503E">
        <w:t>. (2005)</w:t>
      </w:r>
    </w:p>
    <w:p w14:paraId="5DDE6BF9" w14:textId="1E01A280" w:rsidR="00B56A68" w:rsidRDefault="00B56A68" w:rsidP="00B56A68">
      <w:r>
        <w:t>Publication:</w:t>
      </w:r>
    </w:p>
    <w:p w14:paraId="3FC3CB90" w14:textId="3B717A8B" w:rsidR="00B56A68" w:rsidRPr="00B56A68" w:rsidRDefault="00B56A68" w:rsidP="00B56A68">
      <w:pPr>
        <w:ind w:left="720"/>
      </w:pPr>
      <w:r w:rsidRPr="00B56A68">
        <w:t xml:space="preserve">Baysun S, Aydin OF, Atmaca E et.al. Comparison of buccal midazolam and rectal diazepam for the acute treatment of seizures. A </w:t>
      </w:r>
      <w:r w:rsidRPr="00B56A68">
        <w:rPr>
          <w:i/>
        </w:rPr>
        <w:t>Clin Pediatr. (Plila).</w:t>
      </w:r>
      <w:r w:rsidRPr="00B56A68">
        <w:t xml:space="preserve"> 2005; 44 (9):771-776.</w:t>
      </w:r>
      <w:bookmarkStart w:id="95" w:name="_Ref108599359"/>
      <w:r w:rsidR="008E5B38">
        <w:rPr>
          <w:rStyle w:val="FootnoteReference"/>
        </w:rPr>
        <w:footnoteReference w:id="39"/>
      </w:r>
      <w:bookmarkEnd w:id="95"/>
    </w:p>
    <w:p w14:paraId="1B694B86" w14:textId="3EA07A6F" w:rsidR="00A554AC" w:rsidRPr="00B56A68" w:rsidRDefault="00B56A68" w:rsidP="00B56A68">
      <w:r>
        <w:t>This was an o</w:t>
      </w:r>
      <w:r w:rsidR="00A554AC" w:rsidRPr="00B56A68">
        <w:t>pen</w:t>
      </w:r>
      <w:r>
        <w:t>,</w:t>
      </w:r>
      <w:r w:rsidR="00A554AC" w:rsidRPr="00B56A68">
        <w:t xml:space="preserve"> randomised comparison of 10</w:t>
      </w:r>
      <w:r w:rsidR="00E95CA7">
        <w:t xml:space="preserve"> </w:t>
      </w:r>
      <w:r w:rsidR="00A554AC" w:rsidRPr="00B56A68">
        <w:t>mg of buccal midazolam (0.25</w:t>
      </w:r>
      <w:r>
        <w:t xml:space="preserve"> </w:t>
      </w:r>
      <w:r w:rsidR="00A554AC" w:rsidRPr="00B56A68">
        <w:t>mg/kg) or diazepam rectally (an unregistered route) (dose 0.5</w:t>
      </w:r>
      <w:r>
        <w:t xml:space="preserve"> </w:t>
      </w:r>
      <w:r w:rsidR="00A554AC" w:rsidRPr="00B56A68">
        <w:t>mg/kg for ≤ 5 years and 0.3</w:t>
      </w:r>
      <w:r>
        <w:t xml:space="preserve"> </w:t>
      </w:r>
      <w:r w:rsidR="00A554AC" w:rsidRPr="00B56A68">
        <w:t>mg/kg for ≥ 6 years and older)</w:t>
      </w:r>
      <w:r>
        <w:t xml:space="preserve"> to control seizures </w:t>
      </w:r>
      <w:r w:rsidR="00E95CA7">
        <w:t>at</w:t>
      </w:r>
      <w:r>
        <w:t xml:space="preserve"> one </w:t>
      </w:r>
      <w:r w:rsidR="00A554AC" w:rsidRPr="00B56A68">
        <w:t>Turkish centre.</w:t>
      </w:r>
    </w:p>
    <w:p w14:paraId="318322F4" w14:textId="33863790" w:rsidR="00A554AC" w:rsidRPr="00B56A68" w:rsidRDefault="003117BE" w:rsidP="00B56A68">
      <w:r w:rsidRPr="00B56A68">
        <w:t>E</w:t>
      </w:r>
      <w:r w:rsidR="00A554AC" w:rsidRPr="00B56A68">
        <w:t>ffectiveness of the drug was defined by observation of the cessation of the convulsive activity within 10 minutes.</w:t>
      </w:r>
    </w:p>
    <w:p w14:paraId="60E128B7" w14:textId="3F0E6DA6" w:rsidR="00A554AC" w:rsidRPr="00B56A68" w:rsidRDefault="003117BE" w:rsidP="00B56A68">
      <w:r w:rsidRPr="00B56A68">
        <w:t>C</w:t>
      </w:r>
      <w:r w:rsidR="00A554AC" w:rsidRPr="00B56A68">
        <w:t>ontinuous variabl</w:t>
      </w:r>
      <w:r w:rsidR="00B56A68">
        <w:t>es were expressed as means ± standard deviation</w:t>
      </w:r>
      <w:r w:rsidR="00A554AC" w:rsidRPr="00B56A68">
        <w:t xml:space="preserve"> and were compared by Student’s t test. Categorical variables were compared by the Chi-square test.</w:t>
      </w:r>
    </w:p>
    <w:p w14:paraId="18465C41" w14:textId="27914715" w:rsidR="00A554AC" w:rsidRPr="00B56A68" w:rsidRDefault="003117BE" w:rsidP="00B56A68">
      <w:r w:rsidRPr="00B56A68">
        <w:t>F</w:t>
      </w:r>
      <w:r w:rsidR="00A554AC" w:rsidRPr="00B56A68">
        <w:t>or efficacy outcome:</w:t>
      </w:r>
    </w:p>
    <w:p w14:paraId="5E4DEB53" w14:textId="0B60B8F0" w:rsidR="00A554AC" w:rsidRDefault="00E95CA7" w:rsidP="00B56A68">
      <w:pPr>
        <w:pStyle w:val="ListBullet"/>
      </w:pPr>
      <w:r>
        <w:t>I</w:t>
      </w:r>
      <w:r w:rsidR="00A554AC">
        <w:t>n the midazolam group, the seizure of 18 (78%) patients terminated in 10 minutes; however, 5 (22%) patients did not respond. Among the 18 patients, the response periods were as follows:</w:t>
      </w:r>
    </w:p>
    <w:p w14:paraId="1C9CB629" w14:textId="793C51A4" w:rsidR="00A554AC" w:rsidRDefault="00A554AC" w:rsidP="00B56A68">
      <w:pPr>
        <w:pStyle w:val="ListBullet2"/>
      </w:pPr>
      <w:r>
        <w:t>12 (67%) patients in 3 minutes</w:t>
      </w:r>
      <w:r w:rsidR="00E95CA7">
        <w:t>,</w:t>
      </w:r>
    </w:p>
    <w:p w14:paraId="43050BA6" w14:textId="2E63317A" w:rsidR="00A554AC" w:rsidRDefault="00A554AC" w:rsidP="00B56A68">
      <w:pPr>
        <w:pStyle w:val="ListBullet2"/>
      </w:pPr>
      <w:r>
        <w:t xml:space="preserve"> 3</w:t>
      </w:r>
      <w:r w:rsidR="003117BE">
        <w:t xml:space="preserve"> </w:t>
      </w:r>
      <w:r>
        <w:t>(17%) patients in 3 to 5 minutes</w:t>
      </w:r>
      <w:r w:rsidR="00E95CA7">
        <w:t>,</w:t>
      </w:r>
    </w:p>
    <w:p w14:paraId="339CC775" w14:textId="78111D38" w:rsidR="00A554AC" w:rsidRDefault="00A554AC" w:rsidP="00B56A68">
      <w:pPr>
        <w:pStyle w:val="ListBullet2"/>
      </w:pPr>
      <w:r>
        <w:t xml:space="preserve"> 3 (1</w:t>
      </w:r>
      <w:r w:rsidR="00E95CA7">
        <w:t>7%) patients in 5 to 10 minutes.</w:t>
      </w:r>
    </w:p>
    <w:p w14:paraId="32B63D0B" w14:textId="77777777" w:rsidR="00A554AC" w:rsidRDefault="00A554AC" w:rsidP="00B56A68">
      <w:pPr>
        <w:pStyle w:val="ListBullet"/>
      </w:pPr>
      <w:r>
        <w:t>in the diazepam group, 17 (85%) patients responded in 10 minutes but 3 (15%) patients did not respond. Amongst the 17 patients, the response periods were as follows:</w:t>
      </w:r>
    </w:p>
    <w:p w14:paraId="72E60861" w14:textId="5F859384" w:rsidR="00A554AC" w:rsidRPr="00E71978" w:rsidRDefault="003117BE" w:rsidP="00B56A68">
      <w:pPr>
        <w:pStyle w:val="ListBullet2"/>
      </w:pPr>
      <w:r w:rsidRPr="00E71978">
        <w:t>1</w:t>
      </w:r>
      <w:r w:rsidR="00A554AC" w:rsidRPr="00E71978">
        <w:t>0 (59%) patients in 3 minutes</w:t>
      </w:r>
      <w:r w:rsidR="00E95CA7">
        <w:t>,</w:t>
      </w:r>
    </w:p>
    <w:p w14:paraId="7DDC7363" w14:textId="018A7766" w:rsidR="00A554AC" w:rsidRPr="00E71978" w:rsidRDefault="00A554AC" w:rsidP="00B56A68">
      <w:pPr>
        <w:pStyle w:val="ListBullet2"/>
      </w:pPr>
      <w:r w:rsidRPr="00E71978">
        <w:t>4 (23.5%) patients in 3 to 5 minutes</w:t>
      </w:r>
      <w:r w:rsidR="00E95CA7">
        <w:t>,</w:t>
      </w:r>
    </w:p>
    <w:p w14:paraId="0D438A70" w14:textId="1CA2C28C" w:rsidR="00A554AC" w:rsidRPr="00E71978" w:rsidRDefault="00A554AC" w:rsidP="00B56A68">
      <w:pPr>
        <w:pStyle w:val="ListBullet2"/>
      </w:pPr>
      <w:r w:rsidRPr="00E71978">
        <w:t>3 (18%) patients in 5 to 10 minutes</w:t>
      </w:r>
      <w:r w:rsidR="00E95CA7">
        <w:t>.</w:t>
      </w:r>
    </w:p>
    <w:p w14:paraId="2F79FCA4" w14:textId="22AFA96B" w:rsidR="00A554AC" w:rsidRDefault="003117BE" w:rsidP="00B56A68">
      <w:r>
        <w:t>R</w:t>
      </w:r>
      <w:r w:rsidR="00A554AC">
        <w:t xml:space="preserve">egarding the anticonvulsant effect, midazolam was found to be as effective as diazepam (p &gt; </w:t>
      </w:r>
      <w:r w:rsidR="00B56A68">
        <w:t>0.05). Response periods of the two</w:t>
      </w:r>
      <w:r w:rsidR="00A554AC">
        <w:t xml:space="preserve"> drugs showed no significant difference (p &gt; 0.05).</w:t>
      </w:r>
    </w:p>
    <w:p w14:paraId="26BE5410" w14:textId="1146B192" w:rsidR="00B56A68" w:rsidRDefault="00B56A68" w:rsidP="00C4503E">
      <w:pPr>
        <w:pStyle w:val="TableTitle"/>
      </w:pPr>
      <w:bookmarkStart w:id="96" w:name="_Toc509304762"/>
      <w:r>
        <w:t xml:space="preserve">Table </w:t>
      </w:r>
      <w:fldSimple w:instr=" SEQ Table \* ARABIC ">
        <w:r w:rsidR="00AA79CE">
          <w:rPr>
            <w:noProof/>
          </w:rPr>
          <w:t>11</w:t>
        </w:r>
      </w:fldSimple>
      <w:r>
        <w:t xml:space="preserve">: </w:t>
      </w:r>
      <w:r w:rsidRPr="004367E4">
        <w:t xml:space="preserve">Baysun et al. </w:t>
      </w:r>
      <w:r>
        <w:t xml:space="preserve">(2005) </w:t>
      </w:r>
      <w:r w:rsidRPr="004367E4">
        <w:t>Clinical data for buccal midazolam group</w:t>
      </w:r>
    </w:p>
    <w:p w14:paraId="75DDE9C1" w14:textId="68A87CBB" w:rsidR="00A554AC" w:rsidRDefault="00A554AC" w:rsidP="00240BB9">
      <w:r>
        <w:rPr>
          <w:noProof/>
          <w:lang w:val="en-GB" w:eastAsia="en-GB"/>
        </w:rPr>
        <w:drawing>
          <wp:inline distT="0" distB="0" distL="0" distR="0" wp14:anchorId="316D6899" wp14:editId="79478D07">
            <wp:extent cx="4552950" cy="2628900"/>
            <wp:effectExtent l="0" t="0" r="0" b="0"/>
            <wp:docPr id="19" name="Picture 19" descr="Clinical data for buccal midazolam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linical data for buccal midazolam grou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52950" cy="2628900"/>
                    </a:xfrm>
                    <a:prstGeom prst="rect">
                      <a:avLst/>
                    </a:prstGeom>
                    <a:noFill/>
                    <a:ln>
                      <a:noFill/>
                    </a:ln>
                  </pic:spPr>
                </pic:pic>
              </a:graphicData>
            </a:graphic>
          </wp:inline>
        </w:drawing>
      </w:r>
    </w:p>
    <w:p w14:paraId="2183C9D4" w14:textId="58A23DEB" w:rsidR="00871CD7" w:rsidRDefault="00B56A68" w:rsidP="00B56A68">
      <w:pPr>
        <w:pStyle w:val="TableDescription"/>
      </w:pPr>
      <w:r>
        <w:t>Abbreviations: BM = buccal midazolam; CPS = Complex partial seizures; GT =</w:t>
      </w:r>
      <w:r w:rsidRPr="00B56A68">
        <w:t xml:space="preserve"> Generalized tonic;</w:t>
      </w:r>
      <w:r>
        <w:t xml:space="preserve"> </w:t>
      </w:r>
      <w:r w:rsidR="00A554AC" w:rsidRPr="00B56A68">
        <w:t>GTC: Generalized tonic clonic; GT: Generalized tonic; SPS: Simple partial se</w:t>
      </w:r>
      <w:r>
        <w:t>izures.</w:t>
      </w:r>
    </w:p>
    <w:p w14:paraId="632E4EAA" w14:textId="78AEA2FC" w:rsidR="00B56A68" w:rsidRPr="00B56A68" w:rsidRDefault="00B56A68" w:rsidP="00B56A68">
      <w:pPr>
        <w:pStyle w:val="TableDescription"/>
      </w:pPr>
      <w:r>
        <w:t>Sex: M = male; F = female.</w:t>
      </w:r>
    </w:p>
    <w:p w14:paraId="58DFA6B5" w14:textId="2DF650B4" w:rsidR="00B56A68" w:rsidRPr="00B56A68" w:rsidRDefault="00B56A68" w:rsidP="00B56A68">
      <w:pPr>
        <w:pStyle w:val="TableDescription"/>
      </w:pPr>
      <w:r w:rsidRPr="00B56A68">
        <w:t>Source: Baysun S, Aydin OF, Atmaca E et.al. Comparison of buccal midazolam and rectal diazepam for the acute treatment of seizures. A Clin Pediatr. (Plila). 2005; 44 (9):771-776.</w:t>
      </w:r>
    </w:p>
    <w:bookmarkEnd w:id="96"/>
    <w:p w14:paraId="0B3A1D93" w14:textId="7AD76FB6" w:rsidR="00871CD7" w:rsidRPr="000A76F0" w:rsidRDefault="00871CD7" w:rsidP="00871CD7">
      <w:pPr>
        <w:rPr>
          <w:lang w:eastAsia="ja-JP"/>
        </w:rPr>
      </w:pPr>
      <w:r w:rsidRPr="000A76F0">
        <w:t xml:space="preserve">The Delegate commented that essentially the </w:t>
      </w:r>
      <w:r w:rsidR="00B56A68">
        <w:t>low patient numbers between 10 to &lt; 18 </w:t>
      </w:r>
      <w:r w:rsidRPr="000A76F0">
        <w:t>years age range was not supportive of the indication proposed in a previous submission.</w:t>
      </w:r>
    </w:p>
    <w:p w14:paraId="6C712AA7" w14:textId="30E5E44B" w:rsidR="00A554AC" w:rsidRPr="00AA79CE" w:rsidRDefault="00A554AC" w:rsidP="00DE222E">
      <w:pPr>
        <w:pStyle w:val="Heading6"/>
        <w:rPr>
          <w:lang w:val="fr-FR"/>
        </w:rPr>
      </w:pPr>
      <w:r w:rsidRPr="00AA79CE">
        <w:rPr>
          <w:lang w:val="fr-FR"/>
        </w:rPr>
        <w:t>Kutlu et al</w:t>
      </w:r>
      <w:r w:rsidR="00C4503E" w:rsidRPr="00AA79CE">
        <w:rPr>
          <w:lang w:val="fr-FR"/>
        </w:rPr>
        <w:t>. (2003)</w:t>
      </w:r>
    </w:p>
    <w:p w14:paraId="1E62DC71" w14:textId="2334012A" w:rsidR="00C4503E" w:rsidRPr="00AA79CE" w:rsidRDefault="00C4503E" w:rsidP="00A554AC">
      <w:pPr>
        <w:rPr>
          <w:lang w:val="fr-FR"/>
        </w:rPr>
      </w:pPr>
      <w:r w:rsidRPr="00AA79CE">
        <w:rPr>
          <w:lang w:val="fr-FR"/>
        </w:rPr>
        <w:t>Publication:</w:t>
      </w:r>
    </w:p>
    <w:p w14:paraId="1D1D7E5A" w14:textId="48A831A2" w:rsidR="00C4503E" w:rsidRPr="00C4503E" w:rsidRDefault="00C4503E" w:rsidP="00C4503E">
      <w:pPr>
        <w:ind w:left="720"/>
      </w:pPr>
      <w:r w:rsidRPr="00AA79CE">
        <w:rPr>
          <w:lang w:val="fr-FR"/>
        </w:rPr>
        <w:t xml:space="preserve">Kutlu NO, Dogrul M, Yakinci C et al. </w:t>
      </w:r>
      <w:r w:rsidRPr="00C4503E">
        <w:t xml:space="preserve">Buccal midazolam for treatment of prolonged seizures in children. </w:t>
      </w:r>
      <w:r w:rsidRPr="00C4503E">
        <w:rPr>
          <w:i/>
        </w:rPr>
        <w:t>Brain Dev.</w:t>
      </w:r>
      <w:r w:rsidRPr="00C4503E">
        <w:t xml:space="preserve"> 2003; 25 (4):275-278.</w:t>
      </w:r>
      <w:r w:rsidR="00D63F17">
        <w:rPr>
          <w:rStyle w:val="FootnoteReference"/>
        </w:rPr>
        <w:footnoteReference w:id="40"/>
      </w:r>
    </w:p>
    <w:p w14:paraId="4C7E280D" w14:textId="7ACABAE9" w:rsidR="00A554AC" w:rsidRDefault="0063798F" w:rsidP="0063798F">
      <w:r>
        <w:t>This was an o</w:t>
      </w:r>
      <w:r w:rsidR="00A554AC">
        <w:t>pen label study of buccal midazolam (0.3mg/kg) for the treatment of prolonged seizures in children. Study conducted in a single centre in Turkey.</w:t>
      </w:r>
    </w:p>
    <w:p w14:paraId="2DB31ABA" w14:textId="1987F692" w:rsidR="00A554AC" w:rsidRDefault="00A554AC" w:rsidP="0063798F">
      <w:r>
        <w:t>Children were excluded if their seizure activity was lasting less than 5 min</w:t>
      </w:r>
      <w:r w:rsidR="0063798F">
        <w:t>utes</w:t>
      </w:r>
      <w:r>
        <w:t>.</w:t>
      </w:r>
    </w:p>
    <w:p w14:paraId="023B5A58" w14:textId="7518FF54" w:rsidR="00A554AC" w:rsidRDefault="00A554AC" w:rsidP="0063798F">
      <w:r>
        <w:t>The objective was to determine whether 0.3</w:t>
      </w:r>
      <w:r w:rsidR="00871CD7">
        <w:t xml:space="preserve"> </w:t>
      </w:r>
      <w:r>
        <w:t>mg/kg of buccal midazolam could be enough for children of all ages with prolonged seizures without side effects.</w:t>
      </w:r>
    </w:p>
    <w:p w14:paraId="021DD549" w14:textId="30C396F4" w:rsidR="00A554AC" w:rsidRDefault="00A554AC" w:rsidP="0063798F">
      <w:r>
        <w:t>During convulsive attacks, buccal administration was performed at a dosage of 0.3</w:t>
      </w:r>
      <w:r w:rsidR="00871CD7">
        <w:t xml:space="preserve"> </w:t>
      </w:r>
      <w:r>
        <w:t>mg/kg. If the convulsion did not stop within 5</w:t>
      </w:r>
      <w:r w:rsidR="00E95CA7">
        <w:t xml:space="preserve"> </w:t>
      </w:r>
      <w:r>
        <w:t>min</w:t>
      </w:r>
      <w:r w:rsidR="00E95CA7">
        <w:t>utes</w:t>
      </w:r>
      <w:r>
        <w:t xml:space="preserve"> a second dose of midazolam (0.3</w:t>
      </w:r>
      <w:r w:rsidR="00871CD7">
        <w:t xml:space="preserve"> </w:t>
      </w:r>
      <w:r>
        <w:t>mg/kg) was administered.</w:t>
      </w:r>
    </w:p>
    <w:p w14:paraId="2F70E1DF" w14:textId="10D2201F" w:rsidR="00A554AC" w:rsidRDefault="0063798F" w:rsidP="0063798F">
      <w:r>
        <w:t xml:space="preserve">Effectiveness was defined </w:t>
      </w:r>
      <w:r w:rsidR="00A554AC">
        <w:t>as the cessation of overt seizure activity</w:t>
      </w:r>
      <w:r w:rsidR="00871CD7">
        <w:t xml:space="preserve"> </w:t>
      </w:r>
      <w:r w:rsidR="00A554AC">
        <w:t>medication was judged effective when seizure activity ceased within 10</w:t>
      </w:r>
      <w:r w:rsidR="00871CD7">
        <w:t xml:space="preserve"> </w:t>
      </w:r>
      <w:r w:rsidR="00A554AC">
        <w:t>min</w:t>
      </w:r>
      <w:r w:rsidR="00E95CA7">
        <w:t>utes</w:t>
      </w:r>
      <w:r w:rsidR="00A554AC">
        <w:t xml:space="preserve"> of administration with no other anticonvulsive drugs having been administered in the </w:t>
      </w:r>
      <w:r w:rsidR="00871CD7">
        <w:t>i</w:t>
      </w:r>
      <w:r w:rsidR="00A554AC">
        <w:t>nterim</w:t>
      </w:r>
      <w:r>
        <w:t>.</w:t>
      </w:r>
    </w:p>
    <w:p w14:paraId="4A6DD7ED" w14:textId="31A7B9EF" w:rsidR="00A554AC" w:rsidRDefault="00A554AC" w:rsidP="0063798F">
      <w:r>
        <w:t>Descriptive variable</w:t>
      </w:r>
      <w:r w:rsidR="0063798F">
        <w:t>s were compared using the Mann–</w:t>
      </w:r>
      <w:r>
        <w:t>Whitney U-test for continuous or Fisher’s exact t</w:t>
      </w:r>
      <w:r w:rsidR="00E95CA7">
        <w:t xml:space="preserve">est for categorical variables. </w:t>
      </w:r>
      <w:r>
        <w:t>Spearman correlation coefficients were computed to examine the associations among all parameters.</w:t>
      </w:r>
    </w:p>
    <w:p w14:paraId="1BA5F40F" w14:textId="77777777" w:rsidR="00A554AC" w:rsidRDefault="00A554AC" w:rsidP="0063798F">
      <w:r>
        <w:t>The average age of this group was 3.76 ± 4.48 years (range 1 month to 15 years)</w:t>
      </w:r>
    </w:p>
    <w:p w14:paraId="696DF868" w14:textId="364CE39F" w:rsidR="0063798F" w:rsidRDefault="0063798F" w:rsidP="0063798F">
      <w:pPr>
        <w:pStyle w:val="TableTitle"/>
      </w:pPr>
      <w:r>
        <w:t xml:space="preserve">Table </w:t>
      </w:r>
      <w:fldSimple w:instr=" SEQ Table \* ARABIC ">
        <w:r w:rsidR="00AA79CE">
          <w:rPr>
            <w:noProof/>
          </w:rPr>
          <w:t>12</w:t>
        </w:r>
      </w:fldSimple>
      <w:r>
        <w:t>: Kutlu et al. (2003) Demographic and clinical details</w:t>
      </w:r>
    </w:p>
    <w:p w14:paraId="7005FC3B" w14:textId="13F88DE7" w:rsidR="00A554AC" w:rsidRDefault="00A554AC" w:rsidP="00D939AE">
      <w:pPr>
        <w:rPr>
          <w:lang w:eastAsia="ja-JP"/>
        </w:rPr>
      </w:pPr>
      <w:r>
        <w:rPr>
          <w:noProof/>
          <w:lang w:val="en-GB" w:eastAsia="en-GB"/>
        </w:rPr>
        <w:drawing>
          <wp:inline distT="0" distB="0" distL="0" distR="0" wp14:anchorId="4D528C6C" wp14:editId="21CA0FE7">
            <wp:extent cx="5607626" cy="3840480"/>
            <wp:effectExtent l="0" t="0" r="0" b="7620"/>
            <wp:docPr id="18" name="Picture 18" descr="Table 9: Patien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 9: Patient details"/>
                    <pic:cNvPicPr>
                      <a:picLocks noChangeAspect="1" noChangeArrowheads="1"/>
                    </pic:cNvPicPr>
                  </pic:nvPicPr>
                  <pic:blipFill>
                    <a:blip r:embed="rId35">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46164" cy="3866873"/>
                    </a:xfrm>
                    <a:prstGeom prst="rect">
                      <a:avLst/>
                    </a:prstGeom>
                    <a:noFill/>
                    <a:ln>
                      <a:noFill/>
                    </a:ln>
                  </pic:spPr>
                </pic:pic>
              </a:graphicData>
            </a:graphic>
          </wp:inline>
        </w:drawing>
      </w:r>
    </w:p>
    <w:p w14:paraId="10815B36" w14:textId="486C5F0C" w:rsidR="00A554AC" w:rsidRDefault="00A554AC" w:rsidP="00871CD7">
      <w:pPr>
        <w:pStyle w:val="TableDescription"/>
        <w:rPr>
          <w:lang w:eastAsia="ja-JP"/>
        </w:rPr>
      </w:pPr>
      <w:r>
        <w:rPr>
          <w:vertAlign w:val="superscript"/>
          <w:lang w:eastAsia="ja-JP"/>
        </w:rPr>
        <w:t>a</w:t>
      </w:r>
      <w:r>
        <w:rPr>
          <w:lang w:eastAsia="ja-JP"/>
        </w:rPr>
        <w:t xml:space="preserve"> </w:t>
      </w:r>
      <w:r w:rsidR="0063798F">
        <w:rPr>
          <w:lang w:eastAsia="ja-JP"/>
        </w:rPr>
        <w:t xml:space="preserve">Type of seizure: Abbreviations: </w:t>
      </w:r>
      <w:r>
        <w:rPr>
          <w:lang w:eastAsia="ja-JP"/>
        </w:rPr>
        <w:t>A, generalized tonic-clonic; B, atonic; C, generalized tonic; D, generalized myoclonic; E, generalized clonic; F, secondary generalized; G, complex partial.</w:t>
      </w:r>
    </w:p>
    <w:p w14:paraId="4D94DE37" w14:textId="3DF5AC7C" w:rsidR="00A554AC" w:rsidRDefault="00A554AC" w:rsidP="00871CD7">
      <w:pPr>
        <w:pStyle w:val="TableDescription"/>
        <w:rPr>
          <w:lang w:eastAsia="ja-JP"/>
        </w:rPr>
      </w:pPr>
      <w:r>
        <w:rPr>
          <w:vertAlign w:val="superscript"/>
          <w:lang w:eastAsia="ja-JP"/>
        </w:rPr>
        <w:t>b</w:t>
      </w:r>
      <w:r>
        <w:rPr>
          <w:lang w:eastAsia="ja-JP"/>
        </w:rPr>
        <w:t xml:space="preserve"> </w:t>
      </w:r>
      <w:r w:rsidR="0063798F">
        <w:rPr>
          <w:lang w:eastAsia="ja-JP"/>
        </w:rPr>
        <w:t xml:space="preserve">Aetiology, abbreviations: </w:t>
      </w:r>
      <w:r>
        <w:rPr>
          <w:lang w:eastAsia="ja-JP"/>
        </w:rPr>
        <w:t>I, idiopathic; S, symptomatic.</w:t>
      </w:r>
    </w:p>
    <w:p w14:paraId="631DB547" w14:textId="78CD5B90" w:rsidR="00A554AC" w:rsidRDefault="00A554AC" w:rsidP="00871CD7">
      <w:pPr>
        <w:pStyle w:val="TableDescription"/>
        <w:rPr>
          <w:lang w:eastAsia="ja-JP"/>
        </w:rPr>
      </w:pPr>
      <w:r>
        <w:rPr>
          <w:vertAlign w:val="superscript"/>
          <w:lang w:eastAsia="ja-JP"/>
        </w:rPr>
        <w:t>c</w:t>
      </w:r>
      <w:r>
        <w:rPr>
          <w:lang w:eastAsia="ja-JP"/>
        </w:rPr>
        <w:t xml:space="preserve"> </w:t>
      </w:r>
      <w:r w:rsidR="0063798F">
        <w:rPr>
          <w:lang w:eastAsia="ja-JP"/>
        </w:rPr>
        <w:t xml:space="preserve">Prior antiepileptic drug use, abbreviations: </w:t>
      </w:r>
      <w:r>
        <w:rPr>
          <w:lang w:eastAsia="ja-JP"/>
        </w:rPr>
        <w:t>CBZ, carbamazepine; PHT, phenytoin; SVP, sodium valproate; PB, phenobarbital; CLN, clonazepam.</w:t>
      </w:r>
    </w:p>
    <w:p w14:paraId="05C041B5" w14:textId="09731B48" w:rsidR="00A554AC" w:rsidRPr="00AA79CE" w:rsidRDefault="00A554AC" w:rsidP="00871CD7">
      <w:pPr>
        <w:pStyle w:val="TableDescription"/>
        <w:rPr>
          <w:lang w:val="it-IT" w:eastAsia="ja-JP"/>
        </w:rPr>
      </w:pPr>
      <w:r w:rsidRPr="00AA79CE">
        <w:rPr>
          <w:vertAlign w:val="superscript"/>
          <w:lang w:val="it-IT" w:eastAsia="ja-JP"/>
        </w:rPr>
        <w:t>d</w:t>
      </w:r>
      <w:r w:rsidRPr="00AA79CE">
        <w:rPr>
          <w:lang w:val="it-IT" w:eastAsia="ja-JP"/>
        </w:rPr>
        <w:t xml:space="preserve"> </w:t>
      </w:r>
      <w:r w:rsidR="0063798F" w:rsidRPr="00AA79CE">
        <w:rPr>
          <w:lang w:val="it-IT" w:eastAsia="ja-JP"/>
        </w:rPr>
        <w:t>Abbreviation NR:</w:t>
      </w:r>
      <w:r w:rsidRPr="00AA79CE">
        <w:rPr>
          <w:lang w:val="it-IT" w:eastAsia="ja-JP"/>
        </w:rPr>
        <w:t xml:space="preserve"> no response.</w:t>
      </w:r>
    </w:p>
    <w:p w14:paraId="1FEA5507" w14:textId="6622D861" w:rsidR="009B1BB7" w:rsidRDefault="009B1BB7" w:rsidP="00871CD7">
      <w:pPr>
        <w:pStyle w:val="TableDescription"/>
        <w:rPr>
          <w:lang w:eastAsia="ja-JP"/>
        </w:rPr>
      </w:pPr>
      <w:r>
        <w:rPr>
          <w:lang w:eastAsia="ja-JP"/>
        </w:rPr>
        <w:t>Sex: M = male; F = female.</w:t>
      </w:r>
    </w:p>
    <w:p w14:paraId="61D3F2C1" w14:textId="4C8862A4" w:rsidR="009B1BB7" w:rsidRDefault="009B1BB7" w:rsidP="00871CD7">
      <w:pPr>
        <w:pStyle w:val="TableDescription"/>
        <w:rPr>
          <w:lang w:eastAsia="ja-JP"/>
        </w:rPr>
      </w:pPr>
      <w:r>
        <w:rPr>
          <w:lang w:eastAsia="ja-JP"/>
        </w:rPr>
        <w:t xml:space="preserve">Source: </w:t>
      </w:r>
      <w:r w:rsidRPr="009B1BB7">
        <w:rPr>
          <w:lang w:eastAsia="ja-JP"/>
        </w:rPr>
        <w:t xml:space="preserve">Kutlu NO, Dogrul M, Yakinci C et al. Buccal midazolam for treatment of prolonged seizures in children. </w:t>
      </w:r>
      <w:r w:rsidRPr="009B1BB7">
        <w:rPr>
          <w:i/>
          <w:lang w:eastAsia="ja-JP"/>
        </w:rPr>
        <w:t>Brain Dev.</w:t>
      </w:r>
      <w:r w:rsidRPr="009B1BB7">
        <w:rPr>
          <w:lang w:eastAsia="ja-JP"/>
        </w:rPr>
        <w:t xml:space="preserve"> 2003; 25 (4):275-278.</w:t>
      </w:r>
    </w:p>
    <w:p w14:paraId="464F3D1B" w14:textId="291CFF79" w:rsidR="009B1BB7" w:rsidRDefault="009B1BB7" w:rsidP="009B1BB7">
      <w:r>
        <w:t>If only patients who responded to medication within 10 minutes were included in the analysis, the mean time to clinical response was 3.89 ± 2.22 minutes (median time 3 minutes) after buccal administration.</w:t>
      </w:r>
    </w:p>
    <w:p w14:paraId="68E80E32" w14:textId="6A90926D" w:rsidR="009B1BB7" w:rsidRDefault="009B1BB7" w:rsidP="009B1BB7">
      <w:r>
        <w:t>Midazolam was effective in 16 of 19 patients (84.2%) within 10 minutes.</w:t>
      </w:r>
    </w:p>
    <w:p w14:paraId="297588C1" w14:textId="2B932CA2" w:rsidR="009B1BB7" w:rsidRDefault="009B1BB7" w:rsidP="009B1BB7">
      <w:r>
        <w:t>The overall success of buccal midazolam in patients with status epilepticus was 50%. However, all patients with convulsions shorter than 30 minutes showed a perfect response (100%).</w:t>
      </w:r>
    </w:p>
    <w:p w14:paraId="1D0C1FDE" w14:textId="41CF12CB" w:rsidR="009B1BB7" w:rsidRDefault="009B1BB7" w:rsidP="009B1BB7">
      <w:r>
        <w:t>There was a correlation between seizure duration and cessation of seizures (r = 0.76, p &lt; 0.001). There was also a significant relation between the duration of se</w:t>
      </w:r>
      <w:r w:rsidR="007C7F17">
        <w:t>izures and drug efficacy (p = 0.</w:t>
      </w:r>
      <w:r>
        <w:t>05).</w:t>
      </w:r>
    </w:p>
    <w:p w14:paraId="273D1B5A" w14:textId="388D8785" w:rsidR="009B1BB7" w:rsidRPr="009B1BB7" w:rsidRDefault="009B1BB7" w:rsidP="009B1BB7">
      <w:r w:rsidRPr="00871CD7">
        <w:t>In discussion of the paper the authors state ‘</w:t>
      </w:r>
      <w:r w:rsidRPr="00871CD7">
        <w:rPr>
          <w:i/>
          <w:iCs/>
        </w:rPr>
        <w:t>Three patients who did not respond had status epilepticus at the time they were given the drug. On the basis of this experience, the buccal route does not seem to be efficient for status epilepticus</w:t>
      </w:r>
      <w:r w:rsidRPr="00871CD7">
        <w:t>.’</w:t>
      </w:r>
    </w:p>
    <w:p w14:paraId="06929AC8" w14:textId="17CB0653" w:rsidR="00871CD7" w:rsidRPr="000A76F0" w:rsidRDefault="00871CD7" w:rsidP="00D939AE">
      <w:pPr>
        <w:ind w:right="-143"/>
        <w:rPr>
          <w:lang w:eastAsia="ja-JP"/>
        </w:rPr>
      </w:pPr>
      <w:r w:rsidRPr="000A76F0">
        <w:t xml:space="preserve">The Delegate commented that essentially the </w:t>
      </w:r>
      <w:r w:rsidR="009B1BB7">
        <w:t>low patient numbers between 10 to &lt; 18 </w:t>
      </w:r>
      <w:r w:rsidRPr="000A76F0">
        <w:t>years age range was not supportive of the indication proposed in a previous submission.</w:t>
      </w:r>
    </w:p>
    <w:p w14:paraId="2AD1A026" w14:textId="19BF73ED" w:rsidR="00A554AC" w:rsidRPr="009B1BB7" w:rsidRDefault="009B1BB7" w:rsidP="009B1BB7">
      <w:r>
        <w:t>The Delegate commented on a l</w:t>
      </w:r>
      <w:r w:rsidR="00A554AC" w:rsidRPr="009B1BB7">
        <w:t>ack of product identification</w:t>
      </w:r>
      <w:r>
        <w:t>.</w:t>
      </w:r>
    </w:p>
    <w:p w14:paraId="0D0C9696" w14:textId="4B406F20" w:rsidR="00A554AC" w:rsidRPr="00871CD7" w:rsidRDefault="00871CD7" w:rsidP="009B1BB7">
      <w:r w:rsidRPr="009B1BB7">
        <w:t>F</w:t>
      </w:r>
      <w:r w:rsidR="009B1BB7" w:rsidRPr="009B1BB7">
        <w:t>or</w:t>
      </w:r>
      <w:r w:rsidR="009B1BB7">
        <w:t xml:space="preserve"> efficacy,</w:t>
      </w:r>
      <w:r>
        <w:t xml:space="preserve"> e</w:t>
      </w:r>
      <w:r w:rsidR="00A554AC" w:rsidRPr="00871CD7">
        <w:t xml:space="preserve">fficacy was not always guaranteed especially when the seizure is turning into what looks like full blown </w:t>
      </w:r>
      <w:r w:rsidR="00F112F6">
        <w:t>s</w:t>
      </w:r>
      <w:r w:rsidR="00F112F6" w:rsidRPr="009D42AE">
        <w:t xml:space="preserve">tatus </w:t>
      </w:r>
      <w:r w:rsidR="00F112F6">
        <w:t>e</w:t>
      </w:r>
      <w:r w:rsidR="00F112F6" w:rsidRPr="009D42AE">
        <w:t>pilepticus</w:t>
      </w:r>
      <w:r w:rsidR="00240BB9">
        <w:t>.</w:t>
      </w:r>
    </w:p>
    <w:p w14:paraId="36F9B27D" w14:textId="1186E6BB" w:rsidR="00A554AC" w:rsidRDefault="00A554AC" w:rsidP="00DE222E">
      <w:pPr>
        <w:pStyle w:val="Heading6"/>
      </w:pPr>
      <w:r>
        <w:t xml:space="preserve">Frelih et </w:t>
      </w:r>
      <w:r w:rsidRPr="00630560">
        <w:t>al</w:t>
      </w:r>
      <w:r w:rsidR="009B1BB7">
        <w:t>. (2007)</w:t>
      </w:r>
    </w:p>
    <w:p w14:paraId="04C13205" w14:textId="77777777" w:rsidR="009B1BB7" w:rsidRDefault="009B1BB7" w:rsidP="009B1BB7">
      <w:pPr>
        <w:rPr>
          <w:lang w:eastAsia="ja-JP"/>
        </w:rPr>
      </w:pPr>
      <w:r>
        <w:rPr>
          <w:lang w:eastAsia="ja-JP"/>
        </w:rPr>
        <w:t>Publication:</w:t>
      </w:r>
    </w:p>
    <w:p w14:paraId="4114DA58" w14:textId="779CB1C2" w:rsidR="009B1BB7" w:rsidRPr="009B1BB7" w:rsidRDefault="009B1BB7" w:rsidP="009B1BB7">
      <w:pPr>
        <w:ind w:left="720"/>
      </w:pPr>
      <w:r>
        <w:rPr>
          <w:lang w:eastAsia="ja-JP"/>
        </w:rPr>
        <w:t xml:space="preserve">Frelih J, Zupancic N, Kolenc J, Rogelj M and Neubauer D. </w:t>
      </w:r>
      <w:r w:rsidRPr="00852900">
        <w:rPr>
          <w:lang w:eastAsia="ja-JP"/>
        </w:rPr>
        <w:t xml:space="preserve">Buccal midazolam use for acute treatment of seizures. </w:t>
      </w:r>
      <w:r w:rsidRPr="0095100C">
        <w:rPr>
          <w:i/>
          <w:lang w:eastAsia="ja-JP"/>
        </w:rPr>
        <w:t>Paediatr Croat</w:t>
      </w:r>
      <w:r w:rsidRPr="00852900">
        <w:rPr>
          <w:lang w:eastAsia="ja-JP"/>
        </w:rPr>
        <w:t xml:space="preserve"> 2007; 51(Supl 1):149-151.</w:t>
      </w:r>
      <w:r>
        <w:rPr>
          <w:rStyle w:val="FootnoteReference"/>
          <w:lang w:eastAsia="ja-JP"/>
        </w:rPr>
        <w:footnoteReference w:id="41"/>
      </w:r>
    </w:p>
    <w:p w14:paraId="73C8A714" w14:textId="5CA120AE" w:rsidR="00A554AC" w:rsidRPr="009B1BB7" w:rsidRDefault="009B1BB7" w:rsidP="009B1BB7">
      <w:r>
        <w:t>This was a publicaction based on a p</w:t>
      </w:r>
      <w:r w:rsidR="00A554AC" w:rsidRPr="009B1BB7">
        <w:t>arent questionnaire survey regarding the use of buccal midazolam 0.2</w:t>
      </w:r>
      <w:r w:rsidR="00630560" w:rsidRPr="009B1BB7">
        <w:t xml:space="preserve"> </w:t>
      </w:r>
      <w:r w:rsidR="00A554AC" w:rsidRPr="009B1BB7">
        <w:t>mg/kg, mostly in outpatients (34), but some</w:t>
      </w:r>
      <w:r w:rsidR="00630560" w:rsidRPr="009B1BB7">
        <w:t xml:space="preserve"> </w:t>
      </w:r>
      <w:r w:rsidR="00A554AC" w:rsidRPr="009B1BB7">
        <w:t>(8) in inpatients.</w:t>
      </w:r>
    </w:p>
    <w:p w14:paraId="73BE9915" w14:textId="3DF2A40F" w:rsidR="00A554AC" w:rsidRPr="00630560" w:rsidRDefault="009B1BB7" w:rsidP="009B1BB7">
      <w:r>
        <w:t xml:space="preserve">Midazolam at </w:t>
      </w:r>
      <w:r w:rsidR="00A554AC" w:rsidRPr="00630560">
        <w:t>0.4 mg/kg was given to children of less than 20 kg</w:t>
      </w:r>
    </w:p>
    <w:p w14:paraId="121DE668" w14:textId="6F77B7DE" w:rsidR="00A554AC" w:rsidRPr="000F1F9C" w:rsidRDefault="009B1BB7" w:rsidP="009B1BB7">
      <w:r>
        <w:t>A</w:t>
      </w:r>
      <w:r w:rsidR="00A554AC" w:rsidRPr="00630560">
        <w:t>ges</w:t>
      </w:r>
      <w:r>
        <w:t xml:space="preserve"> in the study</w:t>
      </w:r>
      <w:r w:rsidR="00A554AC" w:rsidRPr="00630560">
        <w:t xml:space="preserve"> were in the range </w:t>
      </w:r>
      <w:r w:rsidR="00A554AC" w:rsidRPr="009B1BB7">
        <w:t>of</w:t>
      </w:r>
      <w:r w:rsidR="00A554AC" w:rsidRPr="00630560">
        <w:t xml:space="preserve"> 3 years up to 24 </w:t>
      </w:r>
      <w:r w:rsidR="00A554AC" w:rsidRPr="000F1F9C">
        <w:t>ye</w:t>
      </w:r>
      <w:r w:rsidR="007C7F17">
        <w:t>ars (mean: 8 years ± 2.3 years)</w:t>
      </w:r>
      <w:r>
        <w:t>.</w:t>
      </w:r>
    </w:p>
    <w:p w14:paraId="10662F07" w14:textId="62BE5DFD" w:rsidR="00A554AC" w:rsidRPr="00630560" w:rsidRDefault="009B1BB7" w:rsidP="009B1BB7">
      <w:r>
        <w:t>I</w:t>
      </w:r>
      <w:r w:rsidR="00A554AC" w:rsidRPr="000F1F9C">
        <w:t>n the majority of outpatient cases, midazolam was given after 1.5 to 5.0 minutes' duration of seizures (</w:t>
      </w:r>
      <w:r w:rsidR="000F1F9C">
        <w:t xml:space="preserve">the </w:t>
      </w:r>
      <w:r w:rsidR="00A554AC" w:rsidRPr="000F1F9C">
        <w:t>type</w:t>
      </w:r>
      <w:r w:rsidR="000F1F9C">
        <w:t>s</w:t>
      </w:r>
      <w:r w:rsidR="00A554AC" w:rsidRPr="000F1F9C">
        <w:t xml:space="preserve"> of seizures were partial and generalized</w:t>
      </w:r>
      <w:r w:rsidR="00A554AC" w:rsidRPr="00630560">
        <w:t>), while in 4 cases, midazolam was given in response to a series of short</w:t>
      </w:r>
      <w:r w:rsidR="000F1F9C">
        <w:t xml:space="preserve"> </w:t>
      </w:r>
      <w:r w:rsidR="00A554AC" w:rsidRPr="00630560">
        <w:t>duration of seizures.</w:t>
      </w:r>
    </w:p>
    <w:p w14:paraId="5BD0749B" w14:textId="2A306F50" w:rsidR="00A554AC" w:rsidRPr="00630560" w:rsidRDefault="009B1BB7" w:rsidP="009B1BB7">
      <w:r>
        <w:t>T</w:t>
      </w:r>
      <w:r w:rsidR="00A554AC" w:rsidRPr="00630560">
        <w:t>he parents' reporting was not always given properly and there was h</w:t>
      </w:r>
      <w:r w:rsidR="00290919">
        <w:t>igh percentage of non-compliance</w:t>
      </w:r>
      <w:r w:rsidR="00A554AC" w:rsidRPr="00630560">
        <w:t xml:space="preserve"> as only 12 of 34 (35%) questionnaires given were returned.</w:t>
      </w:r>
    </w:p>
    <w:p w14:paraId="5EDBA8C7" w14:textId="3C28A9D2" w:rsidR="00A554AC" w:rsidRPr="00630560" w:rsidRDefault="00290919" w:rsidP="00290919">
      <w:r>
        <w:t>F</w:t>
      </w:r>
      <w:r w:rsidR="00A554AC" w:rsidRPr="00630560">
        <w:t>or efficacy:</w:t>
      </w:r>
    </w:p>
    <w:p w14:paraId="2BE6D5DA" w14:textId="77777777" w:rsidR="00A554AC" w:rsidRPr="00630560" w:rsidRDefault="00A554AC" w:rsidP="00290919">
      <w:pPr>
        <w:pStyle w:val="ListBullet"/>
      </w:pPr>
      <w:r w:rsidRPr="00630560">
        <w:t>the cessation of seizures was observed in 82.5% of all cases and no severe adverse effects were reported.</w:t>
      </w:r>
    </w:p>
    <w:p w14:paraId="51A6D3D3" w14:textId="77777777" w:rsidR="00A554AC" w:rsidRPr="00630560" w:rsidRDefault="00A554AC" w:rsidP="00290919">
      <w:pPr>
        <w:pStyle w:val="ListBullet"/>
      </w:pPr>
      <w:r w:rsidRPr="00630560">
        <w:t>in the hospital cases all status epilepticus were successfully stopped by buccal midazolam only.</w:t>
      </w:r>
    </w:p>
    <w:p w14:paraId="23074E5D" w14:textId="7F07C13D" w:rsidR="00630560" w:rsidRPr="00630560" w:rsidRDefault="00630560" w:rsidP="00630560">
      <w:r w:rsidRPr="00630560">
        <w:t>The Delegate commented that this was a t</w:t>
      </w:r>
      <w:r w:rsidR="00290919">
        <w:t>estimonial-</w:t>
      </w:r>
      <w:r w:rsidR="00A554AC" w:rsidRPr="00630560">
        <w:t>like report</w:t>
      </w:r>
      <w:r w:rsidRPr="00630560">
        <w:t xml:space="preserve"> with</w:t>
      </w:r>
      <w:r w:rsidR="00D226CB">
        <w:t>:</w:t>
      </w:r>
    </w:p>
    <w:p w14:paraId="0819385F" w14:textId="16D93802" w:rsidR="00A554AC" w:rsidRPr="00630560" w:rsidRDefault="00A554AC" w:rsidP="00290919">
      <w:pPr>
        <w:pStyle w:val="ListBullet"/>
      </w:pPr>
      <w:r w:rsidRPr="00630560">
        <w:t>poor quality of data</w:t>
      </w:r>
      <w:r w:rsidR="00630560">
        <w:t>;</w:t>
      </w:r>
    </w:p>
    <w:p w14:paraId="43174C61" w14:textId="23914B12" w:rsidR="00630560" w:rsidRPr="00630560" w:rsidRDefault="00A554AC" w:rsidP="00290919">
      <w:pPr>
        <w:pStyle w:val="ListBullet"/>
      </w:pPr>
      <w:r w:rsidRPr="00630560">
        <w:t>sparsity of patient number</w:t>
      </w:r>
      <w:r w:rsidR="00630560">
        <w:t>s</w:t>
      </w:r>
      <w:r w:rsidRPr="00630560">
        <w:t xml:space="preserve"> for the proposed indication age range </w:t>
      </w:r>
      <w:r w:rsidR="00DD7657">
        <w:t>(</w:t>
      </w:r>
      <w:r w:rsidR="00290919">
        <w:t xml:space="preserve">10 to </w:t>
      </w:r>
      <w:r w:rsidRPr="00630560">
        <w:t>18</w:t>
      </w:r>
      <w:r w:rsidR="00630560" w:rsidRPr="00630560">
        <w:t xml:space="preserve"> </w:t>
      </w:r>
      <w:r w:rsidRPr="00630560">
        <w:t>years</w:t>
      </w:r>
      <w:r w:rsidR="00DD7657">
        <w:t>)</w:t>
      </w:r>
    </w:p>
    <w:p w14:paraId="155EC076" w14:textId="05757A3B" w:rsidR="00630560" w:rsidRPr="00630560" w:rsidRDefault="00630560" w:rsidP="00290919">
      <w:pPr>
        <w:pStyle w:val="ListBullet"/>
      </w:pPr>
      <w:r w:rsidRPr="00630560">
        <w:t>was not supportive of the indication proposed in a previous submission</w:t>
      </w:r>
      <w:r>
        <w:t>;</w:t>
      </w:r>
    </w:p>
    <w:p w14:paraId="6FDA0512" w14:textId="375E3188" w:rsidR="00A554AC" w:rsidRPr="00630560" w:rsidRDefault="00630560" w:rsidP="00290919">
      <w:pPr>
        <w:pStyle w:val="ListBullet"/>
      </w:pPr>
      <w:r w:rsidRPr="00630560">
        <w:t>l</w:t>
      </w:r>
      <w:r w:rsidR="00A554AC" w:rsidRPr="00630560">
        <w:t>ack of proposed product identification</w:t>
      </w:r>
      <w:r>
        <w:t>.</w:t>
      </w:r>
    </w:p>
    <w:p w14:paraId="1A016998" w14:textId="40ECA681" w:rsidR="00A554AC" w:rsidRDefault="00A554AC" w:rsidP="007C7F17">
      <w:pPr>
        <w:pStyle w:val="Heading6"/>
      </w:pPr>
      <w:r>
        <w:t>Wilson et al</w:t>
      </w:r>
      <w:r w:rsidR="008359CE">
        <w:t>. (2004)</w:t>
      </w:r>
    </w:p>
    <w:p w14:paraId="500DC6AA" w14:textId="77777777" w:rsidR="008359CE" w:rsidRDefault="008359CE" w:rsidP="007C7F17">
      <w:pPr>
        <w:keepNext/>
      </w:pPr>
      <w:r>
        <w:t>Publication:</w:t>
      </w:r>
    </w:p>
    <w:p w14:paraId="4789712D" w14:textId="7D6D814C" w:rsidR="008359CE" w:rsidRPr="008359CE" w:rsidRDefault="008359CE" w:rsidP="008359CE">
      <w:pPr>
        <w:ind w:left="720"/>
      </w:pPr>
      <w:r w:rsidRPr="008359CE">
        <w:t xml:space="preserve">Wilson MT, Macleod S and O’Regan. M. E. Nasal/buccal midazolam use in the community. </w:t>
      </w:r>
      <w:r w:rsidRPr="008359CE">
        <w:rPr>
          <w:i/>
        </w:rPr>
        <w:t>Arch. Dis. Child.</w:t>
      </w:r>
      <w:r>
        <w:t xml:space="preserve"> 2004; 89:50-51.</w:t>
      </w:r>
      <w:r>
        <w:rPr>
          <w:rStyle w:val="FootnoteReference"/>
        </w:rPr>
        <w:footnoteReference w:id="42"/>
      </w:r>
    </w:p>
    <w:p w14:paraId="433CAEFB" w14:textId="0DAB1F8E" w:rsidR="00A554AC" w:rsidRDefault="008359CE" w:rsidP="008359CE">
      <w:r>
        <w:t>In this paper, a</w:t>
      </w:r>
      <w:r w:rsidR="00A554AC">
        <w:t xml:space="preserve"> telephone survey was carried out to evaluate the effectiveness and convenience of nasal/buccal midazolam in terminating prolonged seizures in the community</w:t>
      </w:r>
      <w:r w:rsidR="00630560">
        <w:t>.</w:t>
      </w:r>
    </w:p>
    <w:p w14:paraId="623EBB53" w14:textId="219B2E83" w:rsidR="00A554AC" w:rsidRDefault="00630560" w:rsidP="008359CE">
      <w:r>
        <w:t>A</w:t>
      </w:r>
      <w:r w:rsidR="00A554AC">
        <w:t xml:space="preserve"> total of 33/40 (83%) families who had used it found it effective and easy to use</w:t>
      </w:r>
      <w:r>
        <w:t>.</w:t>
      </w:r>
    </w:p>
    <w:p w14:paraId="307EEC4B" w14:textId="4E5CCA9B" w:rsidR="00A554AC" w:rsidRDefault="00630560" w:rsidP="008359CE">
      <w:r>
        <w:t>A</w:t>
      </w:r>
      <w:r w:rsidR="00A554AC">
        <w:t>nalysis of the seven (7) families who found it ineffective was as follows:</w:t>
      </w:r>
    </w:p>
    <w:p w14:paraId="3EAF0152" w14:textId="678D4D33" w:rsidR="00A554AC" w:rsidRPr="00D226CB" w:rsidRDefault="00A554AC" w:rsidP="008359CE">
      <w:pPr>
        <w:pStyle w:val="ListBullet"/>
      </w:pPr>
      <w:r w:rsidRPr="00D226CB">
        <w:t>two of the children were also unresponsive to rectal diazepam</w:t>
      </w:r>
    </w:p>
    <w:p w14:paraId="5AD28220" w14:textId="32D78A19" w:rsidR="00A554AC" w:rsidRPr="00D226CB" w:rsidRDefault="00A554AC" w:rsidP="008359CE">
      <w:pPr>
        <w:pStyle w:val="ListBullet"/>
      </w:pPr>
      <w:r w:rsidRPr="00D226CB">
        <w:t>one pare</w:t>
      </w:r>
      <w:r w:rsidR="008359CE">
        <w:t>nt had only used it once as a ‘preventative’</w:t>
      </w:r>
      <w:r w:rsidRPr="00D226CB">
        <w:t xml:space="preserve"> and not as recommended</w:t>
      </w:r>
    </w:p>
    <w:p w14:paraId="58D6EF93" w14:textId="11D9C27E" w:rsidR="00A554AC" w:rsidRDefault="00A554AC" w:rsidP="008359CE">
      <w:pPr>
        <w:pStyle w:val="ListBullet"/>
      </w:pPr>
      <w:r w:rsidRPr="00D226CB">
        <w:t>one mother thought</w:t>
      </w:r>
      <w:r>
        <w:t xml:space="preserve"> it had been lost in saliva</w:t>
      </w:r>
    </w:p>
    <w:p w14:paraId="48B1AE19" w14:textId="608BA5A1" w:rsidR="00A554AC" w:rsidRDefault="00A554AC" w:rsidP="00A554AC">
      <w:r w:rsidRPr="00D55F1A">
        <w:rPr>
          <w:bCs/>
        </w:rPr>
        <w:t>Note</w:t>
      </w:r>
      <w:r w:rsidR="00D55F1A">
        <w:rPr>
          <w:bCs/>
        </w:rPr>
        <w:t>:</w:t>
      </w:r>
      <w:r w:rsidR="00D75EC9">
        <w:t xml:space="preserve"> </w:t>
      </w:r>
      <w:r>
        <w:t>In all but one case, the midazolam had been given buccally.</w:t>
      </w:r>
    </w:p>
    <w:p w14:paraId="1D54AD63" w14:textId="1B347CEF" w:rsidR="008359CE" w:rsidRDefault="008359CE" w:rsidP="008359CE">
      <w:pPr>
        <w:pStyle w:val="TableTitle"/>
      </w:pPr>
      <w:r>
        <w:t xml:space="preserve">Table </w:t>
      </w:r>
      <w:fldSimple w:instr=" SEQ Table \* ARABIC ">
        <w:r w:rsidR="00AA79CE">
          <w:rPr>
            <w:noProof/>
          </w:rPr>
          <w:t>13</w:t>
        </w:r>
      </w:fldSimple>
      <w:r>
        <w:t>: Wilson et al. (2004) Demographic and clinical details</w:t>
      </w:r>
    </w:p>
    <w:p w14:paraId="7920EC84" w14:textId="5F7E4206" w:rsidR="00A554AC" w:rsidRDefault="00A554AC" w:rsidP="00A554AC">
      <w:pPr>
        <w:spacing w:before="0" w:after="0"/>
        <w:rPr>
          <w:sz w:val="16"/>
          <w:lang w:eastAsia="ja-JP"/>
        </w:rPr>
      </w:pPr>
      <w:r>
        <w:rPr>
          <w:noProof/>
          <w:sz w:val="16"/>
          <w:lang w:val="en-GB" w:eastAsia="en-GB"/>
        </w:rPr>
        <w:drawing>
          <wp:inline distT="0" distB="0" distL="0" distR="0" wp14:anchorId="72E1F914" wp14:editId="0615CE4E">
            <wp:extent cx="3562185" cy="1683324"/>
            <wp:effectExtent l="0" t="0" r="635" b="0"/>
            <wp:docPr id="17" name="Picture 17" descr="Demographic and clinical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emographic and clinical detail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6574" cy="1704300"/>
                    </a:xfrm>
                    <a:prstGeom prst="rect">
                      <a:avLst/>
                    </a:prstGeom>
                    <a:noFill/>
                    <a:ln>
                      <a:noFill/>
                    </a:ln>
                  </pic:spPr>
                </pic:pic>
              </a:graphicData>
            </a:graphic>
          </wp:inline>
        </w:drawing>
      </w:r>
    </w:p>
    <w:p w14:paraId="7190492E" w14:textId="6A071458" w:rsidR="00630560" w:rsidRPr="00630560" w:rsidRDefault="00630560" w:rsidP="00630560">
      <w:r w:rsidRPr="00630560">
        <w:t>The Delegate commented that this was a testimonial like report with</w:t>
      </w:r>
    </w:p>
    <w:p w14:paraId="475457EE" w14:textId="77777777" w:rsidR="00630560" w:rsidRPr="00630560" w:rsidRDefault="00630560" w:rsidP="008359CE">
      <w:pPr>
        <w:pStyle w:val="ListBullet"/>
      </w:pPr>
      <w:r w:rsidRPr="00630560">
        <w:t>poor quality of data</w:t>
      </w:r>
      <w:r>
        <w:t>;</w:t>
      </w:r>
    </w:p>
    <w:p w14:paraId="09BE26CC" w14:textId="6021B92F" w:rsidR="00630560" w:rsidRPr="00630560" w:rsidRDefault="00630560" w:rsidP="008359CE">
      <w:pPr>
        <w:pStyle w:val="ListBullet"/>
      </w:pPr>
      <w:r w:rsidRPr="00630560">
        <w:t>sparsity of patient number</w:t>
      </w:r>
      <w:r>
        <w:t>s</w:t>
      </w:r>
      <w:r w:rsidRPr="00630560">
        <w:t xml:space="preserve"> for the proposed indication age range </w:t>
      </w:r>
      <w:r w:rsidR="00DD7657">
        <w:t>(</w:t>
      </w:r>
      <w:r w:rsidR="008359CE">
        <w:t xml:space="preserve">10 to &lt; </w:t>
      </w:r>
      <w:r w:rsidRPr="00630560">
        <w:t>18 years</w:t>
      </w:r>
      <w:r w:rsidR="00DD7657">
        <w:t>)</w:t>
      </w:r>
      <w:r w:rsidR="007C7F17">
        <w:t>;</w:t>
      </w:r>
    </w:p>
    <w:p w14:paraId="5EE311B6" w14:textId="77777777" w:rsidR="00630560" w:rsidRPr="00630560" w:rsidRDefault="00630560" w:rsidP="008359CE">
      <w:pPr>
        <w:pStyle w:val="ListBullet"/>
      </w:pPr>
      <w:r w:rsidRPr="00630560">
        <w:t>was not supportive of the indication proposed in a previous submission</w:t>
      </w:r>
      <w:r>
        <w:t>;</w:t>
      </w:r>
    </w:p>
    <w:p w14:paraId="482B5666" w14:textId="77777777" w:rsidR="00630560" w:rsidRPr="00630560" w:rsidRDefault="00630560" w:rsidP="008359CE">
      <w:pPr>
        <w:pStyle w:val="ListBullet"/>
      </w:pPr>
      <w:r w:rsidRPr="00630560">
        <w:t>lack of proposed product identification</w:t>
      </w:r>
      <w:r>
        <w:t>.</w:t>
      </w:r>
    </w:p>
    <w:p w14:paraId="6F9E284B" w14:textId="7E45513B" w:rsidR="00A554AC" w:rsidRDefault="00A554AC" w:rsidP="00DE222E">
      <w:pPr>
        <w:pStyle w:val="Heading6"/>
        <w:rPr>
          <w:b/>
        </w:rPr>
      </w:pPr>
      <w:r w:rsidRPr="00630560">
        <w:t>Muchohi et al</w:t>
      </w:r>
      <w:r w:rsidR="008359CE">
        <w:t>. (2008)</w:t>
      </w:r>
    </w:p>
    <w:p w14:paraId="57EB0341" w14:textId="32CAAAE4" w:rsidR="008359CE" w:rsidRDefault="008359CE" w:rsidP="00630560">
      <w:r>
        <w:t>Publication:</w:t>
      </w:r>
    </w:p>
    <w:p w14:paraId="240AB55C" w14:textId="302B776F" w:rsidR="008359CE" w:rsidRDefault="008359CE" w:rsidP="008359CE">
      <w:pPr>
        <w:ind w:left="720"/>
      </w:pPr>
      <w:r w:rsidRPr="008359CE">
        <w:t xml:space="preserve">Muchohi S, Kokwaro G, Ogutu B, Edwards G, Ward S and Newton C. Pharmacokinetics and clinical efficacy of midazolam in children with severe malaria and convulsions. </w:t>
      </w:r>
      <w:r w:rsidRPr="008359CE">
        <w:rPr>
          <w:i/>
        </w:rPr>
        <w:t>British Journal of Clinical Pharmacology,</w:t>
      </w:r>
      <w:r w:rsidRPr="008359CE">
        <w:t xml:space="preserve"> 2008; 66(4):529-538.</w:t>
      </w:r>
      <w:bookmarkStart w:id="97" w:name="_Ref108791377"/>
      <w:r w:rsidR="00D63F17">
        <w:rPr>
          <w:rStyle w:val="FootnoteReference"/>
        </w:rPr>
        <w:footnoteReference w:id="43"/>
      </w:r>
      <w:bookmarkEnd w:id="97"/>
    </w:p>
    <w:p w14:paraId="217CBF88" w14:textId="0265DD20" w:rsidR="00A554AC" w:rsidRDefault="008359CE" w:rsidP="008359CE">
      <w:r>
        <w:t xml:space="preserve">In this paper, </w:t>
      </w:r>
      <w:r w:rsidR="00A554AC">
        <w:t>midazolam 0.3</w:t>
      </w:r>
      <w:r w:rsidR="00B578DA">
        <w:t xml:space="preserve"> </w:t>
      </w:r>
      <w:r w:rsidR="00A554AC">
        <w:t xml:space="preserve">mg/kg </w:t>
      </w:r>
      <w:r w:rsidR="007C7F17">
        <w:t xml:space="preserve">via the </w:t>
      </w:r>
      <w:r w:rsidR="00A554AC">
        <w:t xml:space="preserve">IV, IM or </w:t>
      </w:r>
      <w:r w:rsidR="00A554AC">
        <w:rPr>
          <w:bCs/>
          <w:szCs w:val="21"/>
        </w:rPr>
        <w:t>b</w:t>
      </w:r>
      <w:r w:rsidR="00A554AC">
        <w:t>uccal</w:t>
      </w:r>
      <w:r w:rsidR="007C7F17">
        <w:t xml:space="preserve"> route</w:t>
      </w:r>
      <w:r w:rsidR="00A554AC">
        <w:t xml:space="preserve"> gave a successful seizure control rate of</w:t>
      </w:r>
      <w:r>
        <w:t>:</w:t>
      </w:r>
    </w:p>
    <w:p w14:paraId="49CC88AA" w14:textId="4F653151" w:rsidR="00A554AC" w:rsidRDefault="00A554AC" w:rsidP="008359CE">
      <w:pPr>
        <w:pStyle w:val="ListBullet"/>
      </w:pPr>
      <w:r>
        <w:t xml:space="preserve">100% </w:t>
      </w:r>
      <w:r w:rsidR="00B578DA">
        <w:t>via</w:t>
      </w:r>
      <w:r>
        <w:t xml:space="preserve"> IV</w:t>
      </w:r>
      <w:r w:rsidR="00B578DA">
        <w:t xml:space="preserve"> route;</w:t>
      </w:r>
    </w:p>
    <w:p w14:paraId="46A3CDCE" w14:textId="3513D1B8" w:rsidR="00A554AC" w:rsidRDefault="00A554AC" w:rsidP="008359CE">
      <w:pPr>
        <w:pStyle w:val="ListBullet"/>
      </w:pPr>
      <w:r>
        <w:t xml:space="preserve">75% </w:t>
      </w:r>
      <w:r w:rsidR="00B578DA">
        <w:t>via</w:t>
      </w:r>
      <w:r>
        <w:t xml:space="preserve"> IM </w:t>
      </w:r>
      <w:r w:rsidR="00B578DA">
        <w:t>route;</w:t>
      </w:r>
    </w:p>
    <w:p w14:paraId="151B2ED5" w14:textId="66CF3FEC" w:rsidR="00A554AC" w:rsidRDefault="00A554AC" w:rsidP="008359CE">
      <w:pPr>
        <w:pStyle w:val="ListBullet"/>
      </w:pPr>
      <w:r>
        <w:t xml:space="preserve">63% </w:t>
      </w:r>
      <w:r w:rsidR="00B578DA">
        <w:t>via</w:t>
      </w:r>
      <w:r>
        <w:t xml:space="preserve"> buccal</w:t>
      </w:r>
      <w:r w:rsidR="00B578DA">
        <w:t xml:space="preserve"> route</w:t>
      </w:r>
      <w:r>
        <w:t>.</w:t>
      </w:r>
    </w:p>
    <w:p w14:paraId="4502D13C" w14:textId="2CA45321" w:rsidR="00B578DA" w:rsidRPr="00630560" w:rsidRDefault="00B578DA" w:rsidP="00B578DA">
      <w:r w:rsidRPr="00630560">
        <w:t>The Delegate commented that this was a testimonial like report with</w:t>
      </w:r>
    </w:p>
    <w:p w14:paraId="4855229B" w14:textId="1CE02D27" w:rsidR="00B578DA" w:rsidRPr="00630560" w:rsidRDefault="00B578DA" w:rsidP="00681130">
      <w:pPr>
        <w:pStyle w:val="Bullet1"/>
      </w:pPr>
      <w:r w:rsidRPr="00630560">
        <w:t>sparsity of patient number</w:t>
      </w:r>
      <w:r>
        <w:t>s</w:t>
      </w:r>
      <w:r w:rsidRPr="00630560">
        <w:t xml:space="preserve"> for the proposed indication age range </w:t>
      </w:r>
      <w:r w:rsidR="00DD7657">
        <w:t>(</w:t>
      </w:r>
      <w:r w:rsidR="008359CE">
        <w:t xml:space="preserve">10 to &lt; </w:t>
      </w:r>
      <w:r w:rsidRPr="00630560">
        <w:t>18 years</w:t>
      </w:r>
      <w:r w:rsidR="00DD7657">
        <w:t>)</w:t>
      </w:r>
      <w:r>
        <w:t xml:space="preserve"> </w:t>
      </w:r>
      <w:r w:rsidRPr="00630560">
        <w:t>was not supportive of the indication proposed in a previous submission</w:t>
      </w:r>
      <w:r>
        <w:t>;</w:t>
      </w:r>
    </w:p>
    <w:p w14:paraId="051D7485" w14:textId="77777777" w:rsidR="00B578DA" w:rsidRPr="00630560" w:rsidRDefault="00B578DA" w:rsidP="00B578DA">
      <w:pPr>
        <w:pStyle w:val="Bullet1"/>
      </w:pPr>
      <w:r w:rsidRPr="00630560">
        <w:t>lack of proposed product identification</w:t>
      </w:r>
      <w:r>
        <w:t>.</w:t>
      </w:r>
    </w:p>
    <w:p w14:paraId="14C47FEB" w14:textId="5D1E278B" w:rsidR="00A554AC" w:rsidRDefault="00A554AC" w:rsidP="00DE222E">
      <w:pPr>
        <w:pStyle w:val="Heading6"/>
      </w:pPr>
      <w:r>
        <w:t>Ahmed et al</w:t>
      </w:r>
      <w:r w:rsidR="0072466B">
        <w:t>. (2007)</w:t>
      </w:r>
    </w:p>
    <w:p w14:paraId="6FE159D9" w14:textId="32500F07" w:rsidR="0072466B" w:rsidRDefault="0072466B" w:rsidP="0072466B">
      <w:r>
        <w:t>Publication:</w:t>
      </w:r>
    </w:p>
    <w:p w14:paraId="445D56C2" w14:textId="2BBCE4FE" w:rsidR="0072466B" w:rsidRPr="0072466B" w:rsidRDefault="0072466B" w:rsidP="0072466B">
      <w:pPr>
        <w:ind w:left="720"/>
      </w:pPr>
      <w:r w:rsidRPr="0072466B">
        <w:t xml:space="preserve">Ahmed R. Low-dose buccal midazolam for aborting seizures in children. </w:t>
      </w:r>
      <w:r w:rsidRPr="0072466B">
        <w:rPr>
          <w:i/>
        </w:rPr>
        <w:t xml:space="preserve">J Pediatr Neurol </w:t>
      </w:r>
      <w:r w:rsidRPr="0072466B">
        <w:t>2007; 5:291-293.</w:t>
      </w:r>
      <w:r w:rsidR="00D63F17">
        <w:rPr>
          <w:rStyle w:val="FootnoteReference"/>
        </w:rPr>
        <w:footnoteReference w:id="44"/>
      </w:r>
    </w:p>
    <w:p w14:paraId="516C0FB8" w14:textId="657B0AA1" w:rsidR="00A554AC" w:rsidRDefault="00B578DA" w:rsidP="00D226CB">
      <w:r>
        <w:t>This paper describes a study</w:t>
      </w:r>
      <w:r w:rsidR="00D226CB">
        <w:t xml:space="preserve"> </w:t>
      </w:r>
      <w:r>
        <w:t xml:space="preserve">that </w:t>
      </w:r>
      <w:r w:rsidR="00A554AC">
        <w:t>used 0.2</w:t>
      </w:r>
      <w:r>
        <w:t xml:space="preserve"> </w:t>
      </w:r>
      <w:r w:rsidR="007C7F17">
        <w:t>mg/kg of</w:t>
      </w:r>
      <w:r w:rsidR="00A554AC">
        <w:t xml:space="preserve"> buccal midazolam to get a successful seizure control rate of 64%.</w:t>
      </w:r>
    </w:p>
    <w:p w14:paraId="0F5DCC35" w14:textId="66AA7C1D" w:rsidR="00B578DA" w:rsidRPr="00630560" w:rsidRDefault="00B578DA" w:rsidP="00B578DA">
      <w:r w:rsidRPr="00630560">
        <w:t>The Delegate commented that this was</w:t>
      </w:r>
      <w:r w:rsidR="007C7F17">
        <w:t xml:space="preserve"> a testimonial like report with</w:t>
      </w:r>
      <w:r w:rsidR="0072466B">
        <w:t>:</w:t>
      </w:r>
    </w:p>
    <w:p w14:paraId="0D31E556" w14:textId="4EA6A77A" w:rsidR="00B578DA" w:rsidRPr="00630560" w:rsidRDefault="00B578DA" w:rsidP="0072466B">
      <w:pPr>
        <w:pStyle w:val="ListBullet"/>
      </w:pPr>
      <w:r w:rsidRPr="00630560">
        <w:t>sparsity of patient number</w:t>
      </w:r>
      <w:r>
        <w:t>s</w:t>
      </w:r>
      <w:r w:rsidRPr="00630560">
        <w:t xml:space="preserve"> for the proposed indication age range </w:t>
      </w:r>
      <w:r w:rsidR="00DD7657">
        <w:t>(</w:t>
      </w:r>
      <w:r w:rsidR="0072466B">
        <w:t xml:space="preserve">10 to &lt; </w:t>
      </w:r>
      <w:r w:rsidRPr="00630560">
        <w:t>18 years</w:t>
      </w:r>
      <w:r w:rsidR="00DD7657">
        <w:t>)</w:t>
      </w:r>
      <w:r>
        <w:t xml:space="preserve"> </w:t>
      </w:r>
      <w:r w:rsidRPr="00630560">
        <w:t>was not supportive of the indication proposed in a previous submission</w:t>
      </w:r>
      <w:r>
        <w:t>;</w:t>
      </w:r>
    </w:p>
    <w:p w14:paraId="4E37C64B" w14:textId="77777777" w:rsidR="00B578DA" w:rsidRPr="00630560" w:rsidRDefault="00B578DA" w:rsidP="0072466B">
      <w:pPr>
        <w:pStyle w:val="ListBullet"/>
      </w:pPr>
      <w:r w:rsidRPr="00630560">
        <w:t>lack of proposed product identification</w:t>
      </w:r>
      <w:r>
        <w:t>.</w:t>
      </w:r>
    </w:p>
    <w:p w14:paraId="2D0AAB90" w14:textId="698B5F27" w:rsidR="00A554AC" w:rsidRDefault="00A554AC" w:rsidP="00DE222E">
      <w:pPr>
        <w:pStyle w:val="Heading6"/>
      </w:pPr>
      <w:r>
        <w:t>Mpimbaza et al</w:t>
      </w:r>
      <w:r w:rsidR="0072466B">
        <w:t>. (2008)</w:t>
      </w:r>
    </w:p>
    <w:p w14:paraId="685CDD0C" w14:textId="65455A56" w:rsidR="0072466B" w:rsidRDefault="0072466B" w:rsidP="0072466B">
      <w:r>
        <w:t>Publication:</w:t>
      </w:r>
    </w:p>
    <w:p w14:paraId="30A77A2C" w14:textId="7ECC9318" w:rsidR="0072466B" w:rsidRPr="0072466B" w:rsidRDefault="0072466B" w:rsidP="0072466B">
      <w:pPr>
        <w:ind w:left="720"/>
      </w:pPr>
      <w:r w:rsidRPr="0072466B">
        <w:t xml:space="preserve">Mpimbaza A, Ndeeza G, Staedke S, et al. Comparison of buccal midazolam with rectal diazepam in the treatment of prolonged seizures in Ugandan Children: A randomised clinical trial. </w:t>
      </w:r>
      <w:r w:rsidRPr="0072466B">
        <w:rPr>
          <w:i/>
        </w:rPr>
        <w:t>Paediatrics</w:t>
      </w:r>
      <w:r w:rsidRPr="0072466B">
        <w:t>, 2008; 121:e58-e64.</w:t>
      </w:r>
      <w:bookmarkStart w:id="98" w:name="_Ref108599232"/>
      <w:r>
        <w:rPr>
          <w:rStyle w:val="FootnoteReference"/>
        </w:rPr>
        <w:footnoteReference w:id="45"/>
      </w:r>
      <w:bookmarkEnd w:id="98"/>
    </w:p>
    <w:p w14:paraId="621B2A48" w14:textId="0104039D" w:rsidR="00A554AC" w:rsidRDefault="00D226CB" w:rsidP="00D226CB">
      <w:r>
        <w:t xml:space="preserve">In this paper there was </w:t>
      </w:r>
      <w:r w:rsidR="00A554AC">
        <w:t>successful seizure control rate of 70% with buccal midazolam</w:t>
      </w:r>
      <w:r w:rsidR="00CB7F66">
        <w:t xml:space="preserve"> versus </w:t>
      </w:r>
      <w:r w:rsidR="00A554AC">
        <w:t>57% with rectal diazepam;</w:t>
      </w:r>
      <w:r>
        <w:t xml:space="preserve"> </w:t>
      </w:r>
      <w:r w:rsidR="00A554AC">
        <w:t>b</w:t>
      </w:r>
      <w:r w:rsidR="0072466B">
        <w:t>oth drugs were administered at around</w:t>
      </w:r>
      <w:r w:rsidR="00A554AC">
        <w:t xml:space="preserve"> 0.5</w:t>
      </w:r>
      <w:r w:rsidR="00B578DA">
        <w:t xml:space="preserve"> </w:t>
      </w:r>
      <w:r w:rsidR="00A554AC">
        <w:t>mg/kg (2.5</w:t>
      </w:r>
      <w:r w:rsidR="0072466B">
        <w:t xml:space="preserve"> mg for 3 to </w:t>
      </w:r>
      <w:r w:rsidR="00A554AC">
        <w:t>11 months of age; 5</w:t>
      </w:r>
      <w:r w:rsidR="00B578DA">
        <w:t xml:space="preserve"> </w:t>
      </w:r>
      <w:r w:rsidR="0072466B">
        <w:t xml:space="preserve">mg for ages 1 to </w:t>
      </w:r>
      <w:r w:rsidR="00A554AC">
        <w:t>4 years; 7.5</w:t>
      </w:r>
      <w:r w:rsidR="00B578DA">
        <w:t xml:space="preserve"> </w:t>
      </w:r>
      <w:r w:rsidR="0072466B">
        <w:t xml:space="preserve">mg for ages 5 to </w:t>
      </w:r>
      <w:r w:rsidR="00A554AC">
        <w:t>9 years; and 10</w:t>
      </w:r>
      <w:r w:rsidR="00B578DA">
        <w:t xml:space="preserve"> </w:t>
      </w:r>
      <w:r w:rsidR="0072466B">
        <w:t xml:space="preserve">mg for ages 10 to </w:t>
      </w:r>
      <w:r w:rsidR="00A554AC">
        <w:t>12 years).</w:t>
      </w:r>
    </w:p>
    <w:p w14:paraId="6F380EAB" w14:textId="016C3345" w:rsidR="00D75EC9" w:rsidRDefault="00B578DA" w:rsidP="00B578DA">
      <w:r w:rsidRPr="00630560">
        <w:t>The Delegate commented that this was a testimonial like report with</w:t>
      </w:r>
    </w:p>
    <w:p w14:paraId="49F410EA" w14:textId="4723BCDB" w:rsidR="00B578DA" w:rsidRPr="00630560" w:rsidRDefault="00B578DA" w:rsidP="0072466B">
      <w:pPr>
        <w:pStyle w:val="ListBullet"/>
      </w:pPr>
      <w:r w:rsidRPr="00630560">
        <w:t>sparsity of patient number</w:t>
      </w:r>
      <w:r>
        <w:t>s</w:t>
      </w:r>
      <w:r w:rsidRPr="00630560">
        <w:t xml:space="preserve"> for the proposed indication age range </w:t>
      </w:r>
      <w:r w:rsidR="00DD7657">
        <w:t>(</w:t>
      </w:r>
      <w:r w:rsidRPr="00630560">
        <w:t>1</w:t>
      </w:r>
      <w:r w:rsidR="0072466B">
        <w:t xml:space="preserve">0 to </w:t>
      </w:r>
      <w:r w:rsidRPr="00630560">
        <w:t>18 years</w:t>
      </w:r>
      <w:r w:rsidR="00DD7657">
        <w:t>)</w:t>
      </w:r>
      <w:r>
        <w:t xml:space="preserve"> </w:t>
      </w:r>
      <w:r w:rsidRPr="00630560">
        <w:t>was not supportive of the indication proposed in a previous submission</w:t>
      </w:r>
      <w:r>
        <w:t>;</w:t>
      </w:r>
    </w:p>
    <w:p w14:paraId="3339AC89" w14:textId="77777777" w:rsidR="00B578DA" w:rsidRPr="00630560" w:rsidRDefault="00B578DA" w:rsidP="0072466B">
      <w:pPr>
        <w:pStyle w:val="ListBullet"/>
      </w:pPr>
      <w:r w:rsidRPr="00630560">
        <w:t>lack of proposed product identification</w:t>
      </w:r>
      <w:r>
        <w:t>.</w:t>
      </w:r>
    </w:p>
    <w:p w14:paraId="72DE9204" w14:textId="654FA5DA" w:rsidR="00A554AC" w:rsidRPr="00AA79CE" w:rsidRDefault="00A554AC" w:rsidP="00DE222E">
      <w:pPr>
        <w:pStyle w:val="Heading6"/>
        <w:rPr>
          <w:lang w:val="fr-FR"/>
        </w:rPr>
      </w:pPr>
      <w:r w:rsidRPr="00AA79CE">
        <w:rPr>
          <w:lang w:val="fr-FR"/>
        </w:rPr>
        <w:t>Connolly et al</w:t>
      </w:r>
      <w:r w:rsidR="0072466B" w:rsidRPr="00AA79CE">
        <w:rPr>
          <w:lang w:val="fr-FR"/>
        </w:rPr>
        <w:t>. (2015)</w:t>
      </w:r>
    </w:p>
    <w:p w14:paraId="5C820E5B" w14:textId="77777777" w:rsidR="0072466B" w:rsidRPr="00AA79CE" w:rsidRDefault="0072466B" w:rsidP="0072466B">
      <w:pPr>
        <w:rPr>
          <w:lang w:val="fr-FR"/>
        </w:rPr>
      </w:pPr>
      <w:r w:rsidRPr="00AA79CE">
        <w:rPr>
          <w:lang w:val="fr-FR"/>
        </w:rPr>
        <w:t>Publication:</w:t>
      </w:r>
    </w:p>
    <w:p w14:paraId="016513F6" w14:textId="5B7EB279" w:rsidR="0072466B" w:rsidRPr="0072466B" w:rsidRDefault="0072466B" w:rsidP="0072466B">
      <w:pPr>
        <w:ind w:left="720"/>
      </w:pPr>
      <w:r w:rsidRPr="00AA79CE">
        <w:rPr>
          <w:lang w:val="fr-FR"/>
        </w:rPr>
        <w:t xml:space="preserve">Connolly et al. </w:t>
      </w:r>
      <w:r w:rsidRPr="0072466B">
        <w:t xml:space="preserve">Exploring carer perceptions of training In out-of-hospital use of buccal midazolam for emergency management of seizures (2008-2012) </w:t>
      </w:r>
      <w:r w:rsidRPr="0072466B">
        <w:rPr>
          <w:i/>
        </w:rPr>
        <w:t>Journal of Paediatrics and Child Health</w:t>
      </w:r>
      <w:r w:rsidRPr="0072466B">
        <w:t xml:space="preserve"> 51 (2015) 704-707</w:t>
      </w:r>
      <w:r>
        <w:t>.</w:t>
      </w:r>
      <w:r>
        <w:rPr>
          <w:rStyle w:val="FootnoteReference"/>
        </w:rPr>
        <w:footnoteReference w:id="46"/>
      </w:r>
    </w:p>
    <w:p w14:paraId="4104709E" w14:textId="459F1437" w:rsidR="00D226CB" w:rsidRDefault="00B578DA" w:rsidP="00D226CB">
      <w:pPr>
        <w:rPr>
          <w:lang w:eastAsia="ja-JP"/>
        </w:rPr>
      </w:pPr>
      <w:r>
        <w:rPr>
          <w:lang w:eastAsia="ja-JP"/>
        </w:rPr>
        <w:t>In this paper</w:t>
      </w:r>
      <w:r w:rsidR="00D226CB">
        <w:rPr>
          <w:lang w:eastAsia="ja-JP"/>
        </w:rPr>
        <w:t>:</w:t>
      </w:r>
    </w:p>
    <w:p w14:paraId="64881381" w14:textId="31654142" w:rsidR="00A554AC" w:rsidRDefault="00D226CB" w:rsidP="00D226CB">
      <w:pPr>
        <w:pStyle w:val="Bullet1"/>
      </w:pPr>
      <w:r>
        <w:t>O</w:t>
      </w:r>
      <w:r w:rsidR="007C7F17">
        <w:t xml:space="preserve">ut of 63 </w:t>
      </w:r>
      <w:r w:rsidR="00A554AC">
        <w:t>trained carers, 21 gave buccal midazolam at a median of 5 times with</w:t>
      </w:r>
      <w:r>
        <w:t xml:space="preserve"> </w:t>
      </w:r>
      <w:r w:rsidR="00A554AC">
        <w:t>67% success;</w:t>
      </w:r>
      <w:r>
        <w:t xml:space="preserve"> </w:t>
      </w:r>
    </w:p>
    <w:p w14:paraId="53611BEC" w14:textId="3667D1F1" w:rsidR="00A554AC" w:rsidRDefault="00A554AC" w:rsidP="00D226CB">
      <w:pPr>
        <w:pStyle w:val="Bullet1"/>
      </w:pPr>
      <w:r>
        <w:t xml:space="preserve">10 reported administration problems </w:t>
      </w:r>
      <w:r w:rsidR="00DD7657">
        <w:t>(</w:t>
      </w:r>
      <w:r>
        <w:t>difficulties in drawing up the solution (2) or placing th</w:t>
      </w:r>
      <w:r w:rsidR="0072466B">
        <w:t>e syringe in the buccal space (one carer</w:t>
      </w:r>
      <w:r>
        <w:t>);</w:t>
      </w:r>
    </w:p>
    <w:p w14:paraId="6FE22EB4" w14:textId="4A73F6BF" w:rsidR="00D75EC9" w:rsidRDefault="00A554AC" w:rsidP="00D226CB">
      <w:pPr>
        <w:pStyle w:val="Bullet1"/>
      </w:pPr>
      <w:r>
        <w:t xml:space="preserve">Side effects </w:t>
      </w:r>
      <w:r w:rsidR="00DD7657">
        <w:t>(</w:t>
      </w:r>
      <w:r>
        <w:t>excessive secretions (7), vomiting associated with the seizure (3)</w:t>
      </w:r>
      <w:r w:rsidR="00DD7657">
        <w:t>)</w:t>
      </w:r>
      <w:r>
        <w:t>.</w:t>
      </w:r>
      <w:bookmarkStart w:id="99" w:name="_Toc509304712"/>
    </w:p>
    <w:p w14:paraId="352148F2" w14:textId="3F2E8153" w:rsidR="00A554AC" w:rsidRDefault="00B578DA" w:rsidP="00B578DA">
      <w:pPr>
        <w:rPr>
          <w:color w:val="FF0000"/>
          <w:lang w:eastAsia="ja-JP"/>
        </w:rPr>
      </w:pPr>
      <w:r>
        <w:rPr>
          <w:lang w:eastAsia="ja-JP"/>
        </w:rPr>
        <w:t xml:space="preserve">The </w:t>
      </w:r>
      <w:r w:rsidR="00DE222E">
        <w:rPr>
          <w:lang w:eastAsia="ja-JP"/>
        </w:rPr>
        <w:t>Delegate</w:t>
      </w:r>
      <w:r w:rsidR="00A554AC">
        <w:rPr>
          <w:lang w:eastAsia="ja-JP"/>
        </w:rPr>
        <w:t xml:space="preserve"> comment</w:t>
      </w:r>
      <w:r>
        <w:rPr>
          <w:lang w:eastAsia="ja-JP"/>
        </w:rPr>
        <w:t>ed that the s</w:t>
      </w:r>
      <w:r w:rsidR="00A554AC">
        <w:rPr>
          <w:lang w:eastAsia="ja-JP"/>
        </w:rPr>
        <w:t xml:space="preserve">tudy details </w:t>
      </w:r>
      <w:r>
        <w:rPr>
          <w:lang w:eastAsia="ja-JP"/>
        </w:rPr>
        <w:t xml:space="preserve">were </w:t>
      </w:r>
      <w:r w:rsidR="00A554AC">
        <w:rPr>
          <w:lang w:eastAsia="ja-JP"/>
        </w:rPr>
        <w:t>unknown</w:t>
      </w:r>
      <w:r>
        <w:rPr>
          <w:lang w:eastAsia="ja-JP"/>
        </w:rPr>
        <w:t>.</w:t>
      </w:r>
    </w:p>
    <w:p w14:paraId="58F8465A" w14:textId="323C06B7" w:rsidR="00A554AC" w:rsidRPr="00AA79CE" w:rsidRDefault="00A554AC" w:rsidP="00DE222E">
      <w:pPr>
        <w:pStyle w:val="Heading6"/>
        <w:rPr>
          <w:lang w:val="it-IT"/>
        </w:rPr>
      </w:pPr>
      <w:r w:rsidRPr="00AA79CE">
        <w:rPr>
          <w:lang w:val="it-IT"/>
        </w:rPr>
        <w:t>Moretti et al</w:t>
      </w:r>
      <w:r w:rsidR="0072466B" w:rsidRPr="00AA79CE">
        <w:rPr>
          <w:lang w:val="it-IT"/>
        </w:rPr>
        <w:t>.</w:t>
      </w:r>
      <w:r w:rsidRPr="00AA79CE">
        <w:rPr>
          <w:lang w:val="it-IT"/>
        </w:rPr>
        <w:t xml:space="preserve"> (2019)</w:t>
      </w:r>
    </w:p>
    <w:p w14:paraId="0992593E" w14:textId="77777777" w:rsidR="0072466B" w:rsidRPr="00AA79CE" w:rsidRDefault="0072466B" w:rsidP="0072466B">
      <w:pPr>
        <w:rPr>
          <w:lang w:val="it-IT"/>
        </w:rPr>
      </w:pPr>
      <w:r w:rsidRPr="00AA79CE">
        <w:rPr>
          <w:lang w:val="it-IT"/>
        </w:rPr>
        <w:t>Publication:</w:t>
      </w:r>
    </w:p>
    <w:p w14:paraId="43DA5BBE" w14:textId="5489A02B" w:rsidR="0072466B" w:rsidRPr="0072466B" w:rsidRDefault="0072466B" w:rsidP="0072466B">
      <w:pPr>
        <w:ind w:left="720"/>
      </w:pPr>
      <w:r w:rsidRPr="00AA79CE">
        <w:rPr>
          <w:lang w:val="it-IT"/>
        </w:rPr>
        <w:t xml:space="preserve">Moretti et al. </w:t>
      </w:r>
      <w:r w:rsidRPr="0072466B">
        <w:t xml:space="preserve">Buccal Midazolam Compared With Rectal Diazepam Reduces Seizure Duration in Children in the Outpatient Setting. </w:t>
      </w:r>
      <w:r w:rsidRPr="0072466B">
        <w:rPr>
          <w:i/>
        </w:rPr>
        <w:t>Paediatric Emergency Care</w:t>
      </w:r>
      <w:r w:rsidRPr="0072466B">
        <w:t xml:space="preserve"> Volume 35, Number 11, November 2019 p760-764</w:t>
      </w:r>
      <w:r>
        <w:t>.</w:t>
      </w:r>
      <w:bookmarkStart w:id="100" w:name="_Ref109211577"/>
      <w:r>
        <w:rPr>
          <w:rStyle w:val="FootnoteReference"/>
        </w:rPr>
        <w:footnoteReference w:id="47"/>
      </w:r>
      <w:bookmarkEnd w:id="100"/>
    </w:p>
    <w:p w14:paraId="180A439D" w14:textId="092145A5" w:rsidR="008B5B38" w:rsidRDefault="00A2652D" w:rsidP="00A2652D">
      <w:r>
        <w:t>In this paper, o</w:t>
      </w:r>
      <w:r w:rsidR="00A554AC">
        <w:t>ut of the 135 enlisted patients with history of further seizure, 42 received buccal midazolam (Buccolam)</w:t>
      </w:r>
      <w:r w:rsidR="007C7F17">
        <w:t>;</w:t>
      </w:r>
      <w:r w:rsidR="007C7F17">
        <w:rPr>
          <w:rStyle w:val="FootnoteReference"/>
        </w:rPr>
        <w:footnoteReference w:id="48"/>
      </w:r>
      <w:r w:rsidR="00A554AC">
        <w:t xml:space="preserve"> and 93 received rectal diazepam. Rectal diazepam was effective in 17 patients while the number was 16 with buccal midazolam.</w:t>
      </w:r>
    </w:p>
    <w:p w14:paraId="683E578B" w14:textId="17B0CA32" w:rsidR="00A2652D" w:rsidRDefault="00A2652D" w:rsidP="00A2652D">
      <w:pPr>
        <w:pStyle w:val="FigureTitle"/>
      </w:pPr>
      <w:r>
        <w:t xml:space="preserve">Figure </w:t>
      </w:r>
      <w:fldSimple w:instr=" SEQ Figure \* ARABIC ">
        <w:r w:rsidR="00AA79CE">
          <w:rPr>
            <w:noProof/>
          </w:rPr>
          <w:t>5</w:t>
        </w:r>
      </w:fldSimple>
      <w:r>
        <w:t>: Moretti et al. (2019) Study design and inclusion flowchart</w:t>
      </w:r>
    </w:p>
    <w:p w14:paraId="6E6A3D50" w14:textId="1AA8AB60" w:rsidR="008B5B38" w:rsidRDefault="008B5B38" w:rsidP="00240BB9">
      <w:pPr>
        <w:rPr>
          <w:sz w:val="16"/>
          <w:lang w:eastAsia="ja-JP"/>
        </w:rPr>
      </w:pPr>
      <w:r>
        <w:rPr>
          <w:noProof/>
          <w:lang w:val="en-GB" w:eastAsia="en-GB"/>
        </w:rPr>
        <w:drawing>
          <wp:inline distT="0" distB="0" distL="0" distR="0" wp14:anchorId="53C34529" wp14:editId="36A6D42B">
            <wp:extent cx="4890053" cy="3393825"/>
            <wp:effectExtent l="0" t="0" r="6350" b="0"/>
            <wp:docPr id="29" name="Picture 29" descr="Figure 3 Study design and inclusion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3 Study design and inclusion flowchart"/>
                    <pic:cNvPicPr/>
                  </pic:nvPicPr>
                  <pic:blipFill rotWithShape="1">
                    <a:blip r:embed="rId38"/>
                    <a:srcRect t="1172"/>
                    <a:stretch/>
                  </pic:blipFill>
                  <pic:spPr bwMode="auto">
                    <a:xfrm>
                      <a:off x="0" y="0"/>
                      <a:ext cx="4936647" cy="3426163"/>
                    </a:xfrm>
                    <a:prstGeom prst="rect">
                      <a:avLst/>
                    </a:prstGeom>
                    <a:ln>
                      <a:noFill/>
                    </a:ln>
                    <a:extLst>
                      <a:ext uri="{53640926-AAD7-44D8-BBD7-CCE9431645EC}">
                        <a14:shadowObscured xmlns:a14="http://schemas.microsoft.com/office/drawing/2010/main"/>
                      </a:ext>
                    </a:extLst>
                  </pic:spPr>
                </pic:pic>
              </a:graphicData>
            </a:graphic>
          </wp:inline>
        </w:drawing>
      </w:r>
    </w:p>
    <w:p w14:paraId="65D1DC9F" w14:textId="3315BEAC" w:rsidR="00A554AC" w:rsidRDefault="00A554AC" w:rsidP="00A2652D">
      <w:pPr>
        <w:pStyle w:val="ListBullet"/>
      </w:pPr>
      <w:r>
        <w:t>Mean age for midazolam was 68.2 months</w:t>
      </w:r>
      <w:r w:rsidR="00CB7F66">
        <w:t xml:space="preserve"> versus </w:t>
      </w:r>
      <w:r>
        <w:t>34.8 months for rectal diazepam (mean weight 26.9</w:t>
      </w:r>
      <w:r w:rsidR="00CB7F66">
        <w:t xml:space="preserve"> versus </w:t>
      </w:r>
      <w:r>
        <w:t>14.8</w:t>
      </w:r>
      <w:r w:rsidR="007101BD">
        <w:t xml:space="preserve"> </w:t>
      </w:r>
      <w:r>
        <w:t>kg);</w:t>
      </w:r>
    </w:p>
    <w:p w14:paraId="1FE0E20C" w14:textId="1BF642CB" w:rsidR="00A554AC" w:rsidRDefault="00A554AC" w:rsidP="00A2652D">
      <w:pPr>
        <w:pStyle w:val="ListBullet"/>
      </w:pPr>
      <w:r>
        <w:t>Mean delay in administration of the drug was 29.7</w:t>
      </w:r>
      <w:r w:rsidR="007101BD">
        <w:t xml:space="preserve"> </w:t>
      </w:r>
      <w:r>
        <w:t>min</w:t>
      </w:r>
      <w:r w:rsidR="00A2652D">
        <w:t>utes</w:t>
      </w:r>
      <w:r>
        <w:t xml:space="preserve"> for midazolam and 36.2</w:t>
      </w:r>
      <w:r w:rsidR="00A2652D">
        <w:t> minutes</w:t>
      </w:r>
      <w:r>
        <w:t xml:space="preserve"> for diazepam;</w:t>
      </w:r>
    </w:p>
    <w:p w14:paraId="08150702" w14:textId="5E3FD5A3" w:rsidR="00A554AC" w:rsidRDefault="00A554AC" w:rsidP="00A2652D">
      <w:pPr>
        <w:pStyle w:val="ListBullet2"/>
      </w:pPr>
      <w:r>
        <w:t>In the midazolam group, mean seizure duration was significantly shorter than in the rectal diazepam (10.3</w:t>
      </w:r>
      <w:r w:rsidR="00CB7F66">
        <w:t xml:space="preserve"> versus </w:t>
      </w:r>
      <w:r>
        <w:t>48.4min p = 0.0004);</w:t>
      </w:r>
    </w:p>
    <w:p w14:paraId="4D194721" w14:textId="4D52C1ED" w:rsidR="00A554AC" w:rsidRDefault="00A554AC" w:rsidP="00A2652D">
      <w:pPr>
        <w:pStyle w:val="ListBullet"/>
      </w:pPr>
      <w:r>
        <w:t>In addition, buccal midazolam significantly reduced the risk to shift toward a status epilepticus, defined as a duration of seizures superior to 30 minutes (6.3%</w:t>
      </w:r>
      <w:r w:rsidR="00CB7F66">
        <w:t xml:space="preserve"> versus </w:t>
      </w:r>
      <w:r>
        <w:t>47.1% p = 0.0008);</w:t>
      </w:r>
    </w:p>
    <w:p w14:paraId="42987734" w14:textId="3B7D214A" w:rsidR="00A554AC" w:rsidRDefault="00A2652D" w:rsidP="00A2652D">
      <w:pPr>
        <w:pStyle w:val="ListBullet"/>
      </w:pPr>
      <w:r>
        <w:t>Adverse events were</w:t>
      </w:r>
      <w:r w:rsidR="00A554AC">
        <w:t xml:space="preserve"> not clearly reported in the study.</w:t>
      </w:r>
    </w:p>
    <w:p w14:paraId="6E21CC65" w14:textId="069B87E8" w:rsidR="00A554AC" w:rsidRDefault="00A554AC" w:rsidP="00DE222E">
      <w:pPr>
        <w:pStyle w:val="Heading6"/>
        <w:rPr>
          <w:b/>
        </w:rPr>
      </w:pPr>
      <w:r>
        <w:t>Klimach (2009</w:t>
      </w:r>
      <w:r>
        <w:rPr>
          <w:b/>
        </w:rPr>
        <w:t>)</w:t>
      </w:r>
    </w:p>
    <w:p w14:paraId="17B971E7" w14:textId="1E1F4FBB" w:rsidR="00A2652D" w:rsidRDefault="00A2652D" w:rsidP="00A2652D">
      <w:r>
        <w:t>Publication:</w:t>
      </w:r>
    </w:p>
    <w:p w14:paraId="32428357" w14:textId="7D7B6533" w:rsidR="00A2652D" w:rsidRPr="00A2652D" w:rsidRDefault="00A2652D" w:rsidP="00A2652D">
      <w:pPr>
        <w:ind w:left="720"/>
      </w:pPr>
      <w:r w:rsidRPr="00A2652D">
        <w:t xml:space="preserve">Klimach VJ. The community use of rescue medication for prolonged epileptic seizures in children. </w:t>
      </w:r>
      <w:r w:rsidRPr="00A2652D">
        <w:rPr>
          <w:i/>
        </w:rPr>
        <w:t>Seizure</w:t>
      </w:r>
      <w:r w:rsidRPr="00A2652D">
        <w:t xml:space="preserve"> 18 (2009) 343–346</w:t>
      </w:r>
      <w:r w:rsidR="00D63F17">
        <w:t>.</w:t>
      </w:r>
      <w:r>
        <w:rPr>
          <w:rStyle w:val="FootnoteReference"/>
        </w:rPr>
        <w:footnoteReference w:id="49"/>
      </w:r>
    </w:p>
    <w:p w14:paraId="21AB3BF9" w14:textId="1C45A610" w:rsidR="00A554AC" w:rsidRDefault="00A2652D" w:rsidP="00A2652D">
      <w:r>
        <w:t>This study was based on a questionnaire c</w:t>
      </w:r>
      <w:r w:rsidR="00A554AC">
        <w:t>arried out to paediatricians and subsequently to carers. 203 paediatrician and 190 parent/carer questionnaires were returned:</w:t>
      </w:r>
    </w:p>
    <w:p w14:paraId="59C7262A" w14:textId="0C13ABD2" w:rsidR="00A554AC" w:rsidRPr="007101BD" w:rsidRDefault="00A554AC" w:rsidP="00A2652D">
      <w:pPr>
        <w:pStyle w:val="ListBullet"/>
      </w:pPr>
      <w:r w:rsidRPr="007101BD">
        <w:t>Buccal midazolam was the m</w:t>
      </w:r>
      <w:r w:rsidR="007C7F17">
        <w:t>ost popular rescue medication (b</w:t>
      </w:r>
      <w:r w:rsidRPr="007101BD">
        <w:t>uccal midazolam 110, rectal Diazepam 85, paraldehyde 8);</w:t>
      </w:r>
    </w:p>
    <w:p w14:paraId="0175F697" w14:textId="297ADABF" w:rsidR="00A554AC" w:rsidRPr="007101BD" w:rsidRDefault="00A554AC" w:rsidP="00A2652D">
      <w:pPr>
        <w:pStyle w:val="ListBullet"/>
      </w:pPr>
      <w:r w:rsidRPr="007101BD">
        <w:t xml:space="preserve">142 families reported using buccal midazolam. Ages </w:t>
      </w:r>
      <w:r w:rsidR="00A2652D">
        <w:t>not given. 55% said it worked ‘always’, 31% ‘usually’, 7% ‘rarely’ and 7% ‘</w:t>
      </w:r>
      <w:r w:rsidRPr="007101BD">
        <w:t>never’;</w:t>
      </w:r>
    </w:p>
    <w:p w14:paraId="7A448854" w14:textId="4082D386" w:rsidR="00A554AC" w:rsidRPr="007101BD" w:rsidRDefault="00A554AC" w:rsidP="00A2652D">
      <w:pPr>
        <w:pStyle w:val="ListBullet"/>
      </w:pPr>
      <w:r w:rsidRPr="007101BD">
        <w:t xml:space="preserve">Side effects, which caused concern, included four relating to buccal midazolam. The commonest side effects reported were drowsiness followed by respiratory difficulties </w:t>
      </w:r>
      <w:r w:rsidR="00DD7657">
        <w:t>(</w:t>
      </w:r>
      <w:r w:rsidRPr="007101BD">
        <w:t>seven cases of respiratory depression (7) were due t</w:t>
      </w:r>
      <w:r w:rsidR="00A2652D">
        <w:t>o diazepam, one to midazolam (‘choking</w:t>
      </w:r>
      <w:r w:rsidRPr="007101BD">
        <w:t>’) and two due to a combination of rectal diazepam and buccal midazolam.</w:t>
      </w:r>
    </w:p>
    <w:p w14:paraId="322EE774" w14:textId="480248D9" w:rsidR="00A554AC" w:rsidRPr="008B5B38" w:rsidRDefault="008B5B38" w:rsidP="008B5B38">
      <w:r w:rsidRPr="008B5B38">
        <w:t xml:space="preserve">The </w:t>
      </w:r>
      <w:r w:rsidR="00A554AC" w:rsidRPr="008B5B38">
        <w:t>Delegate comment</w:t>
      </w:r>
      <w:r w:rsidRPr="008B5B38">
        <w:t xml:space="preserve">ed that this study gave </w:t>
      </w:r>
      <w:r w:rsidR="00A2652D">
        <w:t>t</w:t>
      </w:r>
      <w:r w:rsidR="00A554AC" w:rsidRPr="008B5B38">
        <w:t>estimonial type of evidence</w:t>
      </w:r>
      <w:r>
        <w:t>.</w:t>
      </w:r>
    </w:p>
    <w:p w14:paraId="4C7222C9" w14:textId="361E6091" w:rsidR="00A554AC" w:rsidRDefault="00A554AC" w:rsidP="00DE222E">
      <w:pPr>
        <w:pStyle w:val="Heading6"/>
        <w:rPr>
          <w:rFonts w:ascii="Times New Roman" w:hAnsi="Times New Roman"/>
          <w:sz w:val="24"/>
          <w:szCs w:val="24"/>
        </w:rPr>
      </w:pPr>
      <w:r>
        <w:t>Khan (</w:t>
      </w:r>
      <w:r>
        <w:rPr>
          <w:rFonts w:ascii="Times New Roman" w:hAnsi="Times New Roman"/>
          <w:sz w:val="24"/>
          <w:szCs w:val="24"/>
        </w:rPr>
        <w:t>2014)</w:t>
      </w:r>
    </w:p>
    <w:p w14:paraId="466B5F3C" w14:textId="414D09E0" w:rsidR="00FC4E4D" w:rsidRDefault="00FC4E4D" w:rsidP="00FC4E4D">
      <w:r>
        <w:t>Publication:</w:t>
      </w:r>
    </w:p>
    <w:p w14:paraId="4380BB87" w14:textId="3D580644" w:rsidR="00FC4E4D" w:rsidRPr="00FC4E4D" w:rsidRDefault="00FC4E4D" w:rsidP="00FC4E4D">
      <w:pPr>
        <w:ind w:left="720"/>
      </w:pPr>
      <w:r w:rsidRPr="00FC4E4D">
        <w:t xml:space="preserve">Khan. Carers' express positive views on the acceptability, efficacy and safety of buccal midazolam for paediatric status epilepticus. </w:t>
      </w:r>
      <w:r w:rsidRPr="00FC4E4D">
        <w:rPr>
          <w:i/>
        </w:rPr>
        <w:t>Acta Pædiatrica</w:t>
      </w:r>
      <w:r w:rsidRPr="00FC4E4D">
        <w:t xml:space="preserve"> 2014 Apr;103(4):e165-8.</w:t>
      </w:r>
      <w:r>
        <w:rPr>
          <w:rStyle w:val="FootnoteReference"/>
        </w:rPr>
        <w:footnoteReference w:id="50"/>
      </w:r>
    </w:p>
    <w:p w14:paraId="51AD4419" w14:textId="37B6CE2F" w:rsidR="00A554AC" w:rsidRDefault="00FC4E4D" w:rsidP="00FC4E4D">
      <w:r>
        <w:t>In this paper</w:t>
      </w:r>
      <w:r w:rsidR="003803DF">
        <w:t>,</w:t>
      </w:r>
      <w:r>
        <w:t xml:space="preserve"> </w:t>
      </w:r>
      <w:r w:rsidR="00A554AC">
        <w:t>34 carers were interviewed. Most had used buccal midazolam for more than once in the previous 12 months:</w:t>
      </w:r>
    </w:p>
    <w:p w14:paraId="2F0B8B26" w14:textId="77777777" w:rsidR="00A554AC" w:rsidRDefault="00A554AC" w:rsidP="00FC4E4D">
      <w:pPr>
        <w:pStyle w:val="ListBullet"/>
      </w:pPr>
      <w:r>
        <w:t>44% of the carers said that it always worked the first time. A further 47% said it worked the first time in more than 75% of cases, and the remaining 9% said the first dose rarely worked;</w:t>
      </w:r>
    </w:p>
    <w:p w14:paraId="5AE5BC9D" w14:textId="2B67D5AE" w:rsidR="00A554AC" w:rsidRDefault="00A554AC" w:rsidP="00FC4E4D">
      <w:pPr>
        <w:pStyle w:val="ListBullet"/>
      </w:pPr>
      <w:r>
        <w:t>53% of the carers said their child’s seizures stopped within 5</w:t>
      </w:r>
      <w:r w:rsidR="00FC4E4D">
        <w:t xml:space="preserve"> </w:t>
      </w:r>
      <w:r>
        <w:t>min</w:t>
      </w:r>
      <w:r w:rsidR="00FC4E4D">
        <w:t>utes</w:t>
      </w:r>
      <w:r>
        <w:t xml:space="preserve"> of treatment, 21% said that it took six to 10</w:t>
      </w:r>
      <w:r w:rsidR="00FC4E4D">
        <w:t xml:space="preserve"> </w:t>
      </w:r>
      <w:r>
        <w:t>min</w:t>
      </w:r>
      <w:r w:rsidR="00FC4E4D">
        <w:t>utes</w:t>
      </w:r>
      <w:r>
        <w:t>, and 26% said it often took between 10 and 30</w:t>
      </w:r>
      <w:r w:rsidR="00FC4E4D">
        <w:t xml:space="preserve"> </w:t>
      </w:r>
      <w:r>
        <w:t>min</w:t>
      </w:r>
      <w:r w:rsidR="00FC4E4D">
        <w:t>utes</w:t>
      </w:r>
      <w:r>
        <w:t>. Just under two-thirds of the carers (65%) said that the use of buccal midazolam as a rescue therapy for convulsive status epilepticus was always, or usually, effective at preventing admission to hospital, while 24% said it never successfully prevented hospital admission;</w:t>
      </w:r>
    </w:p>
    <w:p w14:paraId="1E67014E" w14:textId="77777777" w:rsidR="00A554AC" w:rsidRDefault="00A554AC" w:rsidP="00FC4E4D">
      <w:pPr>
        <w:pStyle w:val="ListBullet"/>
      </w:pPr>
      <w:r>
        <w:t>24% of the carers reported that their child experienced drowsiness after receiving buccal midazolam, and 8% said their child needed to be hospitalised for respiratory depression.</w:t>
      </w:r>
    </w:p>
    <w:bookmarkEnd w:id="99"/>
    <w:p w14:paraId="3CF4AA9D" w14:textId="38B46299" w:rsidR="00A554AC" w:rsidRDefault="00FC4E4D" w:rsidP="008B5B38">
      <w:pPr>
        <w:pStyle w:val="Heading5"/>
        <w:rPr>
          <w:lang w:eastAsia="ja-JP"/>
        </w:rPr>
      </w:pPr>
      <w:r>
        <w:rPr>
          <w:lang w:eastAsia="ja-JP"/>
        </w:rPr>
        <w:t>E</w:t>
      </w:r>
      <w:r w:rsidR="00A554AC">
        <w:rPr>
          <w:lang w:eastAsia="ja-JP"/>
        </w:rPr>
        <w:t>fficacy data</w:t>
      </w:r>
      <w:r>
        <w:rPr>
          <w:lang w:eastAsia="ja-JP"/>
        </w:rPr>
        <w:t xml:space="preserve"> for intramuscular midazolam</w:t>
      </w:r>
    </w:p>
    <w:p w14:paraId="2B033F82" w14:textId="4630468F" w:rsidR="00DE222E" w:rsidRPr="00DE222E" w:rsidRDefault="00DE222E" w:rsidP="00DE222E">
      <w:r w:rsidRPr="00DE222E">
        <w:t>The clinical evaluator commented that the following studies were outside the proposed age group and excep</w:t>
      </w:r>
      <w:r w:rsidR="007C7F17">
        <w:t>t for Silbergleit et al. (2012);</w:t>
      </w:r>
      <w:r w:rsidR="007C7F17" w:rsidRPr="007C7F17">
        <w:rPr>
          <w:vertAlign w:val="superscript"/>
        </w:rPr>
        <w:fldChar w:fldCharType="begin"/>
      </w:r>
      <w:r w:rsidR="007C7F17" w:rsidRPr="007C7F17">
        <w:rPr>
          <w:vertAlign w:val="superscript"/>
        </w:rPr>
        <w:instrText xml:space="preserve"> NOTEREF _Ref109292184 \h </w:instrText>
      </w:r>
      <w:r w:rsidR="007C7F17">
        <w:rPr>
          <w:vertAlign w:val="superscript"/>
        </w:rPr>
        <w:instrText xml:space="preserve"> \* MERGEFORMAT </w:instrText>
      </w:r>
      <w:r w:rsidR="007C7F17" w:rsidRPr="007C7F17">
        <w:rPr>
          <w:vertAlign w:val="superscript"/>
        </w:rPr>
      </w:r>
      <w:r w:rsidR="007C7F17" w:rsidRPr="007C7F17">
        <w:rPr>
          <w:vertAlign w:val="superscript"/>
        </w:rPr>
        <w:fldChar w:fldCharType="separate"/>
      </w:r>
      <w:r w:rsidR="00AA79CE">
        <w:rPr>
          <w:vertAlign w:val="superscript"/>
        </w:rPr>
        <w:t>51</w:t>
      </w:r>
      <w:r w:rsidR="007C7F17" w:rsidRPr="007C7F17">
        <w:rPr>
          <w:vertAlign w:val="superscript"/>
        </w:rPr>
        <w:fldChar w:fldCharType="end"/>
      </w:r>
      <w:r w:rsidRPr="00DE222E">
        <w:t xml:space="preserve"> were not fully evaluated for efficacy. The studies are generally suppor</w:t>
      </w:r>
      <w:r w:rsidR="007C7F17">
        <w:t>tive.</w:t>
      </w:r>
    </w:p>
    <w:p w14:paraId="7745C7FE" w14:textId="40A592F3" w:rsidR="008B5B38" w:rsidRDefault="00A554AC" w:rsidP="007C7F17">
      <w:pPr>
        <w:pStyle w:val="Heading6"/>
        <w:rPr>
          <w:lang w:eastAsia="ja-JP"/>
        </w:rPr>
      </w:pPr>
      <w:r>
        <w:rPr>
          <w:lang w:eastAsia="ja-JP"/>
        </w:rPr>
        <w:t>Silbergleit et al</w:t>
      </w:r>
      <w:r w:rsidR="00FC4E4D">
        <w:rPr>
          <w:lang w:eastAsia="ja-JP"/>
        </w:rPr>
        <w:t>.</w:t>
      </w:r>
      <w:r>
        <w:rPr>
          <w:lang w:eastAsia="ja-JP"/>
        </w:rPr>
        <w:t xml:space="preserve"> (2012)</w:t>
      </w:r>
    </w:p>
    <w:p w14:paraId="5E52ADAB" w14:textId="22A153FE" w:rsidR="00FC4E4D" w:rsidRDefault="00FC4E4D" w:rsidP="007C7F17">
      <w:pPr>
        <w:keepNext/>
        <w:rPr>
          <w:lang w:eastAsia="ja-JP"/>
        </w:rPr>
      </w:pPr>
      <w:r>
        <w:rPr>
          <w:lang w:eastAsia="ja-JP"/>
        </w:rPr>
        <w:t>Publication:</w:t>
      </w:r>
    </w:p>
    <w:p w14:paraId="221FFAF0" w14:textId="2F7A4BE5" w:rsidR="00FC4E4D" w:rsidRPr="00FC4E4D" w:rsidRDefault="00FC4E4D" w:rsidP="00FC4E4D">
      <w:pPr>
        <w:ind w:left="720"/>
        <w:rPr>
          <w:lang w:eastAsia="ja-JP"/>
        </w:rPr>
      </w:pPr>
      <w:r w:rsidRPr="00FC4E4D">
        <w:rPr>
          <w:lang w:eastAsia="ja-JP"/>
        </w:rPr>
        <w:t>R Silbergleit, V Durkalski, D Lowenstein, R Conwit, A Pa</w:t>
      </w:r>
      <w:r>
        <w:rPr>
          <w:lang w:eastAsia="ja-JP"/>
        </w:rPr>
        <w:t xml:space="preserve">ncioli, Y Palesch, and W Barsan. </w:t>
      </w:r>
      <w:r w:rsidRPr="00FC4E4D">
        <w:rPr>
          <w:lang w:eastAsia="ja-JP"/>
        </w:rPr>
        <w:t>Intramuscular versus Intravenous Therapy for Prehospital Status Epilepticus</w:t>
      </w:r>
      <w:r>
        <w:rPr>
          <w:lang w:eastAsia="ja-JP"/>
        </w:rPr>
        <w:t>.</w:t>
      </w:r>
      <w:r w:rsidRPr="00FC4E4D">
        <w:rPr>
          <w:lang w:eastAsia="ja-JP"/>
        </w:rPr>
        <w:t xml:space="preserve"> </w:t>
      </w:r>
      <w:r w:rsidRPr="00FC4E4D">
        <w:rPr>
          <w:i/>
          <w:lang w:eastAsia="ja-JP"/>
        </w:rPr>
        <w:t>N Engl J Med</w:t>
      </w:r>
      <w:r w:rsidRPr="00FC4E4D">
        <w:rPr>
          <w:lang w:eastAsia="ja-JP"/>
        </w:rPr>
        <w:t xml:space="preserve"> 366;7 February 16, 2012</w:t>
      </w:r>
      <w:r>
        <w:rPr>
          <w:lang w:eastAsia="ja-JP"/>
        </w:rPr>
        <w:t>,</w:t>
      </w:r>
      <w:r w:rsidRPr="00FC4E4D">
        <w:rPr>
          <w:lang w:eastAsia="ja-JP"/>
        </w:rPr>
        <w:t xml:space="preserve"> 591</w:t>
      </w:r>
      <w:r>
        <w:rPr>
          <w:lang w:eastAsia="ja-JP"/>
        </w:rPr>
        <w:t>.</w:t>
      </w:r>
      <w:bookmarkStart w:id="101" w:name="_Ref109292184"/>
      <w:r>
        <w:rPr>
          <w:rStyle w:val="FootnoteReference"/>
          <w:lang w:eastAsia="ja-JP"/>
        </w:rPr>
        <w:footnoteReference w:id="51"/>
      </w:r>
      <w:bookmarkEnd w:id="101"/>
    </w:p>
    <w:p w14:paraId="2E835C9B" w14:textId="56ABAC9B" w:rsidR="00A554AC" w:rsidRPr="008B5B38" w:rsidRDefault="00D226CB" w:rsidP="008B5B38">
      <w:r>
        <w:t>This was a</w:t>
      </w:r>
      <w:r w:rsidR="00FC4E4D">
        <w:t xml:space="preserve"> multicentred, </w:t>
      </w:r>
      <w:r w:rsidR="00B934E5">
        <w:t>randomised</w:t>
      </w:r>
      <w:r w:rsidR="00A554AC" w:rsidRPr="008B5B38">
        <w:t>, double-blind, non-inferiority trial of prehospital IM midazolam 10mg (autoinjector)</w:t>
      </w:r>
      <w:r w:rsidR="00CB7F66" w:rsidRPr="008B5B38">
        <w:t xml:space="preserve"> versus </w:t>
      </w:r>
      <w:r w:rsidR="00A554AC" w:rsidRPr="008B5B38">
        <w:t>IV lorazepam 2</w:t>
      </w:r>
      <w:r w:rsidR="008B5B38">
        <w:t xml:space="preserve"> </w:t>
      </w:r>
      <w:r w:rsidR="00A554AC" w:rsidRPr="008B5B38">
        <w:t>mg in patients with status epilepticus who had been fitting for &gt; 5 minutes.</w:t>
      </w:r>
      <w:r w:rsidR="007C7F17">
        <w:t xml:space="preserve"> The study was conducted in the USA.</w:t>
      </w:r>
    </w:p>
    <w:p w14:paraId="7BFB04D2" w14:textId="2EAAC68F" w:rsidR="00A554AC" w:rsidRPr="00F71519" w:rsidRDefault="00A554AC" w:rsidP="008B5B38">
      <w:pPr>
        <w:spacing w:before="0" w:after="0" w:line="240" w:lineRule="auto"/>
      </w:pPr>
      <w:r w:rsidRPr="00240BB9">
        <w:rPr>
          <w:rFonts w:asciiTheme="minorHAnsi" w:hAnsiTheme="minorHAnsi" w:cs="Arial"/>
          <w:i/>
          <w:iCs/>
          <w:lang w:eastAsia="ja-JP"/>
        </w:rPr>
        <w:t>Primary outcome:</w:t>
      </w:r>
      <w:r>
        <w:rPr>
          <w:rFonts w:asciiTheme="minorHAnsi" w:hAnsiTheme="minorHAnsi" w:cs="Arial"/>
          <w:lang w:eastAsia="ja-JP"/>
        </w:rPr>
        <w:t xml:space="preserve"> was termination of seizures before arrival in the emergency </w:t>
      </w:r>
      <w:r w:rsidRPr="00F71519">
        <w:t>department without the need for the paramedics to provide rescue therapy.</w:t>
      </w:r>
    </w:p>
    <w:p w14:paraId="67F4D663" w14:textId="0DC1D8E5" w:rsidR="00A554AC" w:rsidRDefault="00A554AC" w:rsidP="00A554AC">
      <w:pPr>
        <w:rPr>
          <w:rFonts w:asciiTheme="minorHAnsi" w:hAnsiTheme="minorHAnsi" w:cs="Arial"/>
          <w:lang w:eastAsia="ja-JP"/>
        </w:rPr>
      </w:pPr>
      <w:r w:rsidRPr="00240BB9">
        <w:rPr>
          <w:rFonts w:asciiTheme="minorHAnsi" w:hAnsiTheme="minorHAnsi" w:cs="Arial"/>
          <w:i/>
          <w:iCs/>
          <w:lang w:eastAsia="ja-JP"/>
        </w:rPr>
        <w:t>Secondary outcome</w:t>
      </w:r>
      <w:r>
        <w:rPr>
          <w:rFonts w:asciiTheme="minorHAnsi" w:hAnsiTheme="minorHAnsi" w:cs="Arial"/>
          <w:lang w:eastAsia="ja-JP"/>
        </w:rPr>
        <w:t xml:space="preserve"> measures included:</w:t>
      </w:r>
    </w:p>
    <w:p w14:paraId="36D17599" w14:textId="60AA8FFF" w:rsidR="00A554AC" w:rsidRDefault="00A554AC" w:rsidP="00487773">
      <w:pPr>
        <w:pStyle w:val="ListBullet"/>
      </w:pPr>
      <w:r>
        <w:t>the time from study-box opening to termination of convulsions</w:t>
      </w:r>
    </w:p>
    <w:p w14:paraId="1C993C0F" w14:textId="77777777" w:rsidR="00A554AC" w:rsidRDefault="00A554AC" w:rsidP="00487773">
      <w:pPr>
        <w:pStyle w:val="ListBullet"/>
      </w:pPr>
      <w:r>
        <w:t>the time from initiation of active drug administration to termination of convulsions</w:t>
      </w:r>
    </w:p>
    <w:p w14:paraId="3DA1DE3F" w14:textId="0A631C6E" w:rsidR="00A554AC" w:rsidRDefault="00A554AC" w:rsidP="00487773">
      <w:pPr>
        <w:pStyle w:val="ListBullet"/>
      </w:pPr>
      <w:r>
        <w:t>the freq</w:t>
      </w:r>
      <w:r w:rsidR="00487773">
        <w:t>uency and duration of hospitalis</w:t>
      </w:r>
      <w:r>
        <w:t>ation</w:t>
      </w:r>
    </w:p>
    <w:p w14:paraId="05D7E5B7" w14:textId="174665EE" w:rsidR="00A554AC" w:rsidRDefault="00A554AC" w:rsidP="00487773">
      <w:pPr>
        <w:pStyle w:val="ListBullet"/>
      </w:pPr>
      <w:r>
        <w:t>the frequency and duration of admissions to the intensive care unit</w:t>
      </w:r>
    </w:p>
    <w:p w14:paraId="46945441" w14:textId="02C11742" w:rsidR="00A554AC" w:rsidRDefault="00A554AC" w:rsidP="00487773">
      <w:pPr>
        <w:pStyle w:val="ListBullet"/>
      </w:pPr>
      <w:r>
        <w:t>the frequencies of acute endotracheal intubation</w:t>
      </w:r>
    </w:p>
    <w:p w14:paraId="437112FC" w14:textId="77777777" w:rsidR="00A554AC" w:rsidRDefault="00A554AC" w:rsidP="00487773">
      <w:pPr>
        <w:pStyle w:val="ListBullet"/>
      </w:pPr>
      <w:r>
        <w:t>acute seizure recurrence.</w:t>
      </w:r>
    </w:p>
    <w:p w14:paraId="7CA657FF" w14:textId="148ABF7C" w:rsidR="008B5B38" w:rsidRDefault="00A554AC" w:rsidP="00A554AC">
      <w:pPr>
        <w:rPr>
          <w:rFonts w:asciiTheme="minorHAnsi" w:hAnsiTheme="minorHAnsi" w:cs="Arial"/>
          <w:lang w:eastAsia="ja-JP"/>
        </w:rPr>
      </w:pPr>
      <w:r>
        <w:rPr>
          <w:rFonts w:asciiTheme="minorHAnsi" w:hAnsiTheme="minorHAnsi" w:cs="Arial"/>
          <w:lang w:eastAsia="ja-JP"/>
        </w:rPr>
        <w:t>Based on published studies, after an initial dose of intravenous lorazepam had been administered, seizure termination would be expected in 70% of subjects. A non-inferiority margin of 10 percentage points was defined.</w:t>
      </w:r>
    </w:p>
    <w:p w14:paraId="5D5F014E" w14:textId="420F6944" w:rsidR="00A554AC" w:rsidRPr="00487773" w:rsidRDefault="00A554AC" w:rsidP="00487773">
      <w:pPr>
        <w:rPr>
          <w:rFonts w:asciiTheme="minorHAnsi" w:hAnsiTheme="minorHAnsi" w:cs="Arial"/>
          <w:lang w:eastAsia="ja-JP"/>
        </w:rPr>
      </w:pPr>
      <w:r>
        <w:rPr>
          <w:rFonts w:asciiTheme="minorHAnsi" w:hAnsiTheme="minorHAnsi" w:cs="Arial"/>
          <w:lang w:eastAsia="ja-JP"/>
        </w:rPr>
        <w:t xml:space="preserve">Total sample size </w:t>
      </w:r>
      <w:r w:rsidR="00487773">
        <w:rPr>
          <w:rFonts w:asciiTheme="minorHAnsi" w:hAnsiTheme="minorHAnsi" w:cs="Arial"/>
          <w:lang w:eastAsia="ja-JP"/>
        </w:rPr>
        <w:t xml:space="preserve">was calculated as 890 subjects and </w:t>
      </w:r>
      <w:r>
        <w:t>893 subjects were enrolled.</w:t>
      </w:r>
    </w:p>
    <w:p w14:paraId="3BC8C7DD" w14:textId="038A3420" w:rsidR="00487773" w:rsidRDefault="00487773" w:rsidP="00487773">
      <w:pPr>
        <w:pStyle w:val="TableTitle"/>
      </w:pPr>
      <w:r>
        <w:t xml:space="preserve">Table </w:t>
      </w:r>
      <w:fldSimple w:instr=" SEQ Table \* ARABIC ">
        <w:r w:rsidR="00AA79CE">
          <w:rPr>
            <w:noProof/>
          </w:rPr>
          <w:t>14</w:t>
        </w:r>
      </w:fldSimple>
      <w:r>
        <w:t>: Silbergleit et al. (2012) Baseline characteristics and randomisation by age group</w:t>
      </w:r>
    </w:p>
    <w:p w14:paraId="4D3853B4" w14:textId="15CE3AEF" w:rsidR="00A554AC" w:rsidRDefault="00A554AC" w:rsidP="00240BB9">
      <w:pPr>
        <w:rPr>
          <w:rFonts w:asciiTheme="minorHAnsi" w:hAnsiTheme="minorHAnsi" w:cs="Arial"/>
          <w:u w:val="single"/>
          <w:lang w:eastAsia="ja-JP"/>
        </w:rPr>
      </w:pPr>
      <w:r>
        <w:rPr>
          <w:noProof/>
          <w:lang w:val="en-GB" w:eastAsia="en-GB"/>
        </w:rPr>
        <w:drawing>
          <wp:inline distT="0" distB="0" distL="0" distR="0" wp14:anchorId="1AEDE0AD" wp14:editId="1B1C8432">
            <wp:extent cx="3066757" cy="1806847"/>
            <wp:effectExtent l="0" t="0" r="635" b="3175"/>
            <wp:docPr id="15" name="Picture 15" descr="Table 12: Characteristics of the Subjects at Basel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 12: Characteristics of the Subjects at Baseline &#10;"/>
                    <pic:cNvPicPr>
                      <a:picLocks noChangeAspect="1" noChangeArrowheads="1"/>
                    </pic:cNvPicPr>
                  </pic:nvPicPr>
                  <pic:blipFill>
                    <a:blip r:embed="rId39">
                      <a:extLst>
                        <a:ext uri="{28A0092B-C50C-407E-A947-70E740481C1C}">
                          <a14:useLocalDpi xmlns:a14="http://schemas.microsoft.com/office/drawing/2010/main" val="0"/>
                        </a:ext>
                      </a:extLst>
                    </a:blip>
                    <a:srcRect t="5019"/>
                    <a:stretch>
                      <a:fillRect/>
                    </a:stretch>
                  </pic:blipFill>
                  <pic:spPr bwMode="auto">
                    <a:xfrm>
                      <a:off x="0" y="0"/>
                      <a:ext cx="3076543" cy="1812613"/>
                    </a:xfrm>
                    <a:prstGeom prst="rect">
                      <a:avLst/>
                    </a:prstGeom>
                    <a:noFill/>
                    <a:ln>
                      <a:noFill/>
                    </a:ln>
                  </pic:spPr>
                </pic:pic>
              </a:graphicData>
            </a:graphic>
          </wp:inline>
        </w:drawing>
      </w:r>
    </w:p>
    <w:p w14:paraId="76BC2506" w14:textId="4A2C9085" w:rsidR="007C7F17" w:rsidRDefault="007C7F17" w:rsidP="007C7F17">
      <w:pPr>
        <w:pStyle w:val="TableDescription"/>
        <w:rPr>
          <w:lang w:eastAsia="ja-JP"/>
        </w:rPr>
      </w:pPr>
      <w:r>
        <w:rPr>
          <w:lang w:eastAsia="ja-JP"/>
        </w:rPr>
        <w:t>Abbreviations: IM = intramuscular; IV = intravenous; yr = years.</w:t>
      </w:r>
    </w:p>
    <w:p w14:paraId="23B79806" w14:textId="2455481C" w:rsidR="007C7F17" w:rsidRDefault="007C7F17" w:rsidP="007C7F17">
      <w:pPr>
        <w:pStyle w:val="TableDescription"/>
        <w:rPr>
          <w:lang w:eastAsia="ja-JP"/>
        </w:rPr>
      </w:pPr>
      <w:r>
        <w:rPr>
          <w:lang w:eastAsia="ja-JP"/>
        </w:rPr>
        <w:t xml:space="preserve">Source: </w:t>
      </w:r>
      <w:r w:rsidRPr="007C7F17">
        <w:rPr>
          <w:lang w:eastAsia="ja-JP"/>
        </w:rPr>
        <w:t>R Silbergleit, V Durkalski, D Lowenstein, R Conwit, A Pancioli, Y Palesch, and W Barsan. Intramuscular versus Intravenous Therapy for Prehospital Status Epilepticus. N Engl J Med 366;7 February 16, 2012, 591</w:t>
      </w:r>
    </w:p>
    <w:p w14:paraId="2AFE7A9B" w14:textId="7CA74A84" w:rsidR="00487773" w:rsidRDefault="00487773" w:rsidP="00487773">
      <w:pPr>
        <w:pStyle w:val="FigureTitle"/>
      </w:pPr>
      <w:r>
        <w:t xml:space="preserve">Figure </w:t>
      </w:r>
      <w:fldSimple w:instr=" SEQ Figure \* ARABIC ">
        <w:r w:rsidR="00AA79CE">
          <w:rPr>
            <w:noProof/>
          </w:rPr>
          <w:t>6</w:t>
        </w:r>
      </w:fldSimple>
      <w:r>
        <w:t xml:space="preserve">: Silbergleit et al. (2012) </w:t>
      </w:r>
      <w:r>
        <w:rPr>
          <w:lang w:eastAsia="ja-JP"/>
        </w:rPr>
        <w:t>Primary outcome results (non-inferiority)</w:t>
      </w:r>
      <w:r>
        <w:t xml:space="preserve"> </w:t>
      </w:r>
    </w:p>
    <w:p w14:paraId="75C4E59C" w14:textId="5A51A33B" w:rsidR="00A554AC" w:rsidRDefault="00A554AC" w:rsidP="00A554AC">
      <w:pPr>
        <w:spacing w:before="0" w:after="0"/>
        <w:rPr>
          <w:rFonts w:asciiTheme="minorHAnsi" w:hAnsiTheme="minorHAnsi" w:cs="Arial"/>
          <w:sz w:val="16"/>
          <w:lang w:eastAsia="ja-JP"/>
        </w:rPr>
      </w:pPr>
      <w:r>
        <w:rPr>
          <w:noProof/>
          <w:sz w:val="16"/>
          <w:lang w:val="en-GB" w:eastAsia="en-GB"/>
        </w:rPr>
        <w:drawing>
          <wp:inline distT="0" distB="0" distL="0" distR="0" wp14:anchorId="32D112FB" wp14:editId="33DC2379">
            <wp:extent cx="3181350" cy="2063750"/>
            <wp:effectExtent l="0" t="0" r="0" b="0"/>
            <wp:docPr id="14" name="Picture 14" descr="Primary Outcome According to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rimary Outcome According to Treatment Group"/>
                    <pic:cNvPicPr>
                      <a:picLocks noChangeAspect="1" noChangeArrowheads="1"/>
                    </pic:cNvPicPr>
                  </pic:nvPicPr>
                  <pic:blipFill rotWithShape="1">
                    <a:blip r:embed="rId40">
                      <a:extLst>
                        <a:ext uri="{28A0092B-C50C-407E-A947-70E740481C1C}">
                          <a14:useLocalDpi xmlns:a14="http://schemas.microsoft.com/office/drawing/2010/main" val="0"/>
                        </a:ext>
                      </a:extLst>
                    </a:blip>
                    <a:srcRect l="10886" t="4428" r="1143"/>
                    <a:stretch/>
                  </pic:blipFill>
                  <pic:spPr bwMode="auto">
                    <a:xfrm>
                      <a:off x="0" y="0"/>
                      <a:ext cx="3181350" cy="2063750"/>
                    </a:xfrm>
                    <a:prstGeom prst="rect">
                      <a:avLst/>
                    </a:prstGeom>
                    <a:noFill/>
                    <a:ln>
                      <a:noFill/>
                    </a:ln>
                    <a:extLst>
                      <a:ext uri="{53640926-AAD7-44D8-BBD7-CCE9431645EC}">
                        <a14:shadowObscured xmlns:a14="http://schemas.microsoft.com/office/drawing/2010/main"/>
                      </a:ext>
                    </a:extLst>
                  </pic:spPr>
                </pic:pic>
              </a:graphicData>
            </a:graphic>
          </wp:inline>
        </w:drawing>
      </w:r>
    </w:p>
    <w:p w14:paraId="5C7D993B" w14:textId="4C38A12A" w:rsidR="00487773" w:rsidRDefault="00487773" w:rsidP="00487773">
      <w:pPr>
        <w:pStyle w:val="FigureDescription"/>
      </w:pPr>
      <w:r w:rsidRPr="00487773">
        <w:t>Abbreviations: CI = confidence interaval; IM = intramuscular; IV = intravenous; PIM = point estimate of midazolam (intramuscular); PIV = point estimate of lorazepam (intravenous).</w:t>
      </w:r>
    </w:p>
    <w:p w14:paraId="70A54FF3" w14:textId="3FC61B36" w:rsidR="00D75EC9" w:rsidRDefault="007C7F17" w:rsidP="00487773">
      <w:pPr>
        <w:pStyle w:val="FigureDescription"/>
      </w:pPr>
      <w:r w:rsidRPr="00487773">
        <w:t>P</w:t>
      </w:r>
      <w:r w:rsidR="009109F0">
        <w:t xml:space="preserve"> </w:t>
      </w:r>
      <w:r w:rsidRPr="00487773">
        <w:t>&lt;</w:t>
      </w:r>
      <w:r w:rsidR="009109F0">
        <w:t xml:space="preserve"> </w:t>
      </w:r>
      <w:r w:rsidRPr="00487773">
        <w:t>0.001</w:t>
      </w:r>
    </w:p>
    <w:p w14:paraId="3ED2D990" w14:textId="69AA7924" w:rsidR="007C7F17" w:rsidRPr="00487773" w:rsidRDefault="007C7F17" w:rsidP="007C7F17">
      <w:pPr>
        <w:pStyle w:val="TableDescription"/>
        <w:rPr>
          <w:lang w:eastAsia="ja-JP"/>
        </w:rPr>
      </w:pPr>
      <w:r>
        <w:rPr>
          <w:lang w:eastAsia="ja-JP"/>
        </w:rPr>
        <w:t xml:space="preserve">Source: </w:t>
      </w:r>
      <w:r w:rsidRPr="007C7F17">
        <w:rPr>
          <w:lang w:eastAsia="ja-JP"/>
        </w:rPr>
        <w:t>R Silbergleit, V Durkalski, D Lowenstein, R Conwit, A Pancioli, Y Palesch, and W Barsan. Intramuscular versus Intravenous Therapy for Prehospital Status Epilepticus. N Engl J Med 366;7 February 16, 2012, 591</w:t>
      </w:r>
    </w:p>
    <w:p w14:paraId="50AF65E0" w14:textId="50511496" w:rsidR="00487773" w:rsidRPr="00487773" w:rsidRDefault="00487773" w:rsidP="00487773">
      <w:pPr>
        <w:pStyle w:val="TableTitle"/>
      </w:pPr>
      <w:r>
        <w:t xml:space="preserve">Table </w:t>
      </w:r>
      <w:fldSimple w:instr=" SEQ Table \* ARABIC ">
        <w:r w:rsidR="00AA79CE">
          <w:rPr>
            <w:noProof/>
          </w:rPr>
          <w:t>15</w:t>
        </w:r>
      </w:fldSimple>
      <w:r>
        <w:t>: Silbergleit et al. (2012) Primary and secondary outcomes</w:t>
      </w:r>
    </w:p>
    <w:p w14:paraId="3F8DD60C" w14:textId="6267A589" w:rsidR="00A554AC" w:rsidRDefault="00A554AC" w:rsidP="00A554AC">
      <w:pPr>
        <w:spacing w:before="0" w:after="0"/>
        <w:rPr>
          <w:rFonts w:asciiTheme="minorHAnsi" w:hAnsiTheme="minorHAnsi" w:cs="Arial"/>
          <w:sz w:val="16"/>
          <w:lang w:eastAsia="ja-JP"/>
        </w:rPr>
      </w:pPr>
      <w:r>
        <w:rPr>
          <w:noProof/>
          <w:sz w:val="16"/>
          <w:lang w:val="en-GB" w:eastAsia="en-GB"/>
        </w:rPr>
        <w:drawing>
          <wp:inline distT="0" distB="0" distL="0" distR="0" wp14:anchorId="19D201A0" wp14:editId="19B4E26E">
            <wp:extent cx="4381152" cy="2338950"/>
            <wp:effectExtent l="0" t="0" r="635" b="4445"/>
            <wp:docPr id="13" name="Picture 13" descr="Table 13: Primary and Secondary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 13: Primary and Secondary Outcom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98102" cy="2347999"/>
                    </a:xfrm>
                    <a:prstGeom prst="rect">
                      <a:avLst/>
                    </a:prstGeom>
                    <a:noFill/>
                    <a:ln>
                      <a:noFill/>
                    </a:ln>
                  </pic:spPr>
                </pic:pic>
              </a:graphicData>
            </a:graphic>
          </wp:inline>
        </w:drawing>
      </w:r>
    </w:p>
    <w:p w14:paraId="5C5B67DE" w14:textId="51A36273" w:rsidR="009109F0" w:rsidRDefault="009109F0" w:rsidP="009109F0">
      <w:pPr>
        <w:pStyle w:val="TableDescription"/>
        <w:rPr>
          <w:lang w:eastAsia="ja-JP"/>
        </w:rPr>
      </w:pPr>
      <w:r>
        <w:rPr>
          <w:lang w:eastAsia="ja-JP"/>
        </w:rPr>
        <w:t>Abbreviations: CI = confidence interval; IM = intramuscular; IV = intravenous; yr = years.</w:t>
      </w:r>
    </w:p>
    <w:p w14:paraId="3D466484" w14:textId="51B65EB0" w:rsidR="009109F0" w:rsidRPr="009109F0" w:rsidRDefault="009109F0" w:rsidP="009109F0">
      <w:pPr>
        <w:pStyle w:val="TableDescription"/>
        <w:rPr>
          <w:lang w:eastAsia="ja-JP"/>
        </w:rPr>
      </w:pPr>
      <w:r>
        <w:rPr>
          <w:lang w:eastAsia="ja-JP"/>
        </w:rPr>
        <w:t>Source: R Silbergleit, V Durkalski, D Lowenstein, R Conwit, A Pancioli, Y Palesch, and W Barsan. Intramuscular versus Intravenous Therapy for Prehospital Status Epilepticus. N Engl J Med 366;7 February 16, 2012, 591</w:t>
      </w:r>
    </w:p>
    <w:p w14:paraId="16415647" w14:textId="53585860" w:rsidR="00487773" w:rsidRDefault="00487773" w:rsidP="007101BD">
      <w:pPr>
        <w:pStyle w:val="FigureTitle"/>
      </w:pPr>
      <w:r>
        <w:t xml:space="preserve">Figure </w:t>
      </w:r>
      <w:fldSimple w:instr=" SEQ Figure \* ARABIC ">
        <w:r w:rsidR="00AA79CE">
          <w:rPr>
            <w:noProof/>
          </w:rPr>
          <w:t>7</w:t>
        </w:r>
      </w:fldSimple>
      <w:r>
        <w:t xml:space="preserve">: Silbergleit et al. (2012) </w:t>
      </w:r>
      <w:r>
        <w:rPr>
          <w:lang w:eastAsia="ja-JP"/>
        </w:rPr>
        <w:t>Time interval between active treatment and cessation of convulsions</w:t>
      </w:r>
    </w:p>
    <w:p w14:paraId="0469DA1F" w14:textId="61ACCD5B" w:rsidR="00A554AC" w:rsidRDefault="00A554AC" w:rsidP="00A554AC">
      <w:pPr>
        <w:spacing w:before="0" w:after="0"/>
        <w:rPr>
          <w:rFonts w:asciiTheme="minorHAnsi" w:hAnsiTheme="minorHAnsi"/>
          <w:sz w:val="16"/>
          <w:lang w:eastAsia="ja-JP"/>
        </w:rPr>
      </w:pPr>
      <w:r>
        <w:rPr>
          <w:noProof/>
          <w:sz w:val="16"/>
          <w:lang w:val="en-GB" w:eastAsia="en-GB"/>
        </w:rPr>
        <w:drawing>
          <wp:inline distT="0" distB="0" distL="0" distR="0" wp14:anchorId="289513D2" wp14:editId="44B1DA3A">
            <wp:extent cx="4441113" cy="890416"/>
            <wp:effectExtent l="0" t="0" r="0" b="5080"/>
            <wp:docPr id="12" name="Picture 12" descr="Interval between Active Treatment and Cessation of Convul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nterval between Active Treatment and Cessation of Convulsion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65327" cy="895271"/>
                    </a:xfrm>
                    <a:prstGeom prst="rect">
                      <a:avLst/>
                    </a:prstGeom>
                    <a:noFill/>
                    <a:ln>
                      <a:noFill/>
                    </a:ln>
                  </pic:spPr>
                </pic:pic>
              </a:graphicData>
            </a:graphic>
          </wp:inline>
        </w:drawing>
      </w:r>
    </w:p>
    <w:p w14:paraId="3D4F160B" w14:textId="1F4F5E9F" w:rsidR="009109F0" w:rsidRPr="002A5927" w:rsidRDefault="009109F0" w:rsidP="009109F0">
      <w:pPr>
        <w:pStyle w:val="FigureDescription"/>
        <w:rPr>
          <w:lang w:eastAsia="ja-JP"/>
        </w:rPr>
      </w:pPr>
      <w:r w:rsidRPr="002A5927">
        <w:rPr>
          <w:lang w:eastAsia="ja-JP"/>
        </w:rPr>
        <w:t>Abbreviations: IM = intramuscular; IV = intravenous.</w:t>
      </w:r>
    </w:p>
    <w:p w14:paraId="69F6DC17" w14:textId="7747029E" w:rsidR="009109F0" w:rsidRPr="009109F0" w:rsidRDefault="009109F0" w:rsidP="009109F0">
      <w:pPr>
        <w:pStyle w:val="FigureDescription"/>
        <w:rPr>
          <w:lang w:eastAsia="ja-JP"/>
        </w:rPr>
      </w:pPr>
      <w:r w:rsidRPr="002A5927">
        <w:rPr>
          <w:lang w:eastAsia="ja-JP"/>
        </w:rPr>
        <w:t xml:space="preserve">Source: R Silbergleit, V Durkalski, D Lowenstein, R Conwit, A Pancioli, Y Palesch, and W Barsan. </w:t>
      </w:r>
      <w:r>
        <w:rPr>
          <w:lang w:eastAsia="ja-JP"/>
        </w:rPr>
        <w:t>Intramuscular versus Intravenous Therapy for Prehospital Status Epilepticus. N Engl J Med 366;7 February 16, 2012, 591</w:t>
      </w:r>
    </w:p>
    <w:p w14:paraId="11518C0D" w14:textId="48474510" w:rsidR="00A554AC" w:rsidRPr="007101BD" w:rsidRDefault="007101BD" w:rsidP="007101BD">
      <w:r w:rsidRPr="007101BD">
        <w:t xml:space="preserve">The </w:t>
      </w:r>
      <w:r w:rsidR="00A554AC" w:rsidRPr="007101BD">
        <w:t>Delegate comment</w:t>
      </w:r>
      <w:r w:rsidRPr="007101BD">
        <w:t>ed on the</w:t>
      </w:r>
      <w:r w:rsidR="00A554AC" w:rsidRPr="007101BD">
        <w:t xml:space="preserve"> sparsity of patient number for the proposed indication age range </w:t>
      </w:r>
      <w:r w:rsidR="00DD7657">
        <w:t>(</w:t>
      </w:r>
      <w:r w:rsidR="00487773">
        <w:t xml:space="preserve">10 to &lt; </w:t>
      </w:r>
      <w:r w:rsidR="00A554AC" w:rsidRPr="007101BD">
        <w:t>18</w:t>
      </w:r>
      <w:r w:rsidRPr="007101BD">
        <w:t xml:space="preserve"> </w:t>
      </w:r>
      <w:r w:rsidR="00A554AC" w:rsidRPr="007101BD">
        <w:t>years</w:t>
      </w:r>
      <w:r w:rsidR="00DD7657">
        <w:t>)</w:t>
      </w:r>
      <w:r w:rsidR="00A554AC" w:rsidRPr="007101BD">
        <w:t xml:space="preserve"> was not supportive of the previously proposed indication</w:t>
      </w:r>
      <w:r w:rsidRPr="007101BD">
        <w:t xml:space="preserve"> and that m</w:t>
      </w:r>
      <w:r w:rsidR="00A554AC" w:rsidRPr="007101BD">
        <w:t>idazolam was not used</w:t>
      </w:r>
      <w:r w:rsidRPr="007101BD">
        <w:t>.</w:t>
      </w:r>
    </w:p>
    <w:p w14:paraId="5B42BFEA" w14:textId="77777777" w:rsidR="00B74B49" w:rsidRDefault="00A554AC" w:rsidP="003A3043">
      <w:pPr>
        <w:pStyle w:val="Heading6"/>
      </w:pPr>
      <w:r>
        <w:t xml:space="preserve">Nakken </w:t>
      </w:r>
      <w:r w:rsidR="00B74B49">
        <w:t>and Lossius (2011)</w:t>
      </w:r>
    </w:p>
    <w:p w14:paraId="47B7A905" w14:textId="77777777" w:rsidR="00B74B49" w:rsidRDefault="00B74B49" w:rsidP="00B74B49">
      <w:r>
        <w:t>Publication:</w:t>
      </w:r>
    </w:p>
    <w:p w14:paraId="3E711586" w14:textId="6860D2F6" w:rsidR="00B74B49" w:rsidRDefault="00DE222E" w:rsidP="00B74B49">
      <w:pPr>
        <w:ind w:left="720"/>
      </w:pPr>
      <w:r>
        <w:t xml:space="preserve">Nakken K and Lossius M. </w:t>
      </w:r>
      <w:r w:rsidR="00B74B49">
        <w:t>Buccal midazolam or rectal diazepam for treatment of residential adult patients with serial s</w:t>
      </w:r>
      <w:r>
        <w:t xml:space="preserve">eizures or status epilepticus. </w:t>
      </w:r>
      <w:r w:rsidR="00B74B49" w:rsidRPr="00B74B49">
        <w:rPr>
          <w:i/>
        </w:rPr>
        <w:t>Acta Neurol Scand</w:t>
      </w:r>
      <w:r w:rsidR="00B74B49">
        <w:t>: 2011; 124:99-103</w:t>
      </w:r>
      <w:r w:rsidR="00E805C1">
        <w:t>.</w:t>
      </w:r>
      <w:bookmarkStart w:id="102" w:name="_Ref108601452"/>
      <w:r w:rsidR="00E805C1">
        <w:rPr>
          <w:rStyle w:val="FootnoteReference"/>
        </w:rPr>
        <w:footnoteReference w:id="52"/>
      </w:r>
      <w:bookmarkEnd w:id="102"/>
    </w:p>
    <w:p w14:paraId="0E661B4F" w14:textId="7EED9572" w:rsidR="00A554AC" w:rsidRDefault="00DE222E" w:rsidP="00DE222E">
      <w:r>
        <w:t xml:space="preserve">This study </w:t>
      </w:r>
      <w:r w:rsidR="00A554AC">
        <w:t>had a successful seizure control rate of 74.4% with buccal midazolam</w:t>
      </w:r>
      <w:r w:rsidR="00CB7F66">
        <w:t xml:space="preserve"> versus </w:t>
      </w:r>
      <w:r w:rsidR="00A554AC">
        <w:t>83.3% with rectal diazepam</w:t>
      </w:r>
      <w:r>
        <w:t>.</w:t>
      </w:r>
    </w:p>
    <w:p w14:paraId="7E326EC0" w14:textId="31EA0E70" w:rsidR="00A554AC" w:rsidRDefault="00DE222E" w:rsidP="00DE222E">
      <w:r>
        <w:t>T</w:t>
      </w:r>
      <w:r w:rsidR="00A554AC">
        <w:t xml:space="preserve">ime to seizure cessation was </w:t>
      </w:r>
      <w:r>
        <w:t>up</w:t>
      </w:r>
      <w:r w:rsidR="00A554AC">
        <w:t xml:space="preserve"> to 30</w:t>
      </w:r>
      <w:r>
        <w:t xml:space="preserve"> </w:t>
      </w:r>
      <w:r w:rsidR="00A554AC">
        <w:t>min</w:t>
      </w:r>
      <w:r>
        <w:t>ute</w:t>
      </w:r>
      <w:r w:rsidR="00A554AC">
        <w:t>s and there were 80 events in 22 patients.</w:t>
      </w:r>
    </w:p>
    <w:p w14:paraId="6F3968C2" w14:textId="64C8C7EF" w:rsidR="00DE222E" w:rsidRPr="00AA79CE" w:rsidRDefault="00A554AC" w:rsidP="003A3043">
      <w:pPr>
        <w:pStyle w:val="Heading6"/>
        <w:rPr>
          <w:lang w:val="fr-FR"/>
        </w:rPr>
      </w:pPr>
      <w:r w:rsidRPr="00AA79CE">
        <w:rPr>
          <w:lang w:val="fr-FR"/>
        </w:rPr>
        <w:t>Melendez et al</w:t>
      </w:r>
      <w:r w:rsidR="00DE222E" w:rsidRPr="00AA79CE">
        <w:rPr>
          <w:lang w:val="fr-FR"/>
        </w:rPr>
        <w:t>. (2006)</w:t>
      </w:r>
    </w:p>
    <w:p w14:paraId="24A8882C" w14:textId="77777777" w:rsidR="00DE222E" w:rsidRPr="00AA79CE" w:rsidRDefault="00DE222E" w:rsidP="00D939AE">
      <w:pPr>
        <w:pageBreakBefore/>
        <w:rPr>
          <w:lang w:val="fr-FR"/>
        </w:rPr>
      </w:pPr>
      <w:r w:rsidRPr="00AA79CE">
        <w:rPr>
          <w:lang w:val="fr-FR"/>
        </w:rPr>
        <w:t>Publication:</w:t>
      </w:r>
    </w:p>
    <w:p w14:paraId="6FCFBFC5" w14:textId="44A5F081" w:rsidR="00A554AC" w:rsidRDefault="00DE222E" w:rsidP="00DE222E">
      <w:pPr>
        <w:ind w:left="720"/>
      </w:pPr>
      <w:r w:rsidRPr="00AA79CE">
        <w:rPr>
          <w:lang w:val="fr-FR"/>
        </w:rPr>
        <w:t xml:space="preserve">Melendez R, Batista D, Font D, et al. </w:t>
      </w:r>
      <w:r>
        <w:t xml:space="preserve">Prolonged convulsions treated with buccal midazolam in a setting of mentally retarded patients with refractory epilepsy. </w:t>
      </w:r>
      <w:r w:rsidRPr="00DE222E">
        <w:rPr>
          <w:i/>
        </w:rPr>
        <w:t>Neurologia</w:t>
      </w:r>
      <w:r>
        <w:t xml:space="preserve"> 2006; 21 (8):411-413</w:t>
      </w:r>
    </w:p>
    <w:p w14:paraId="74CB1BB0" w14:textId="51428835" w:rsidR="00A554AC" w:rsidRDefault="003A3043" w:rsidP="00DE222E">
      <w:r>
        <w:t>This paper reported:</w:t>
      </w:r>
      <w:r w:rsidR="00DE222E">
        <w:t xml:space="preserve"> </w:t>
      </w:r>
      <w:r w:rsidR="00A554AC">
        <w:t>52 seizures in 10 patients</w:t>
      </w:r>
      <w:r w:rsidR="00DE222E">
        <w:t xml:space="preserve">. A </w:t>
      </w:r>
      <w:r w:rsidR="00A554AC">
        <w:t>single 5</w:t>
      </w:r>
      <w:r w:rsidR="00DE222E">
        <w:t xml:space="preserve"> </w:t>
      </w:r>
      <w:r w:rsidR="00A554AC">
        <w:t>mg buccal midazolam dose gave 81% response.</w:t>
      </w:r>
    </w:p>
    <w:p w14:paraId="2EF2355C" w14:textId="5D4E862F" w:rsidR="00A554AC" w:rsidRDefault="00A554AC" w:rsidP="003A3043">
      <w:pPr>
        <w:pStyle w:val="Heading5"/>
      </w:pPr>
      <w:bookmarkStart w:id="103" w:name="_Toc509304713"/>
      <w:bookmarkStart w:id="104" w:name="_Toc77073435"/>
      <w:r>
        <w:t>Analyses performed</w:t>
      </w:r>
      <w:r w:rsidR="00DE222E">
        <w:t xml:space="preserve"> across trials: pooled and meta</w:t>
      </w:r>
      <w:r w:rsidR="003A3043">
        <w:t>–</w:t>
      </w:r>
      <w:r>
        <w:t>analyses</w:t>
      </w:r>
      <w:bookmarkEnd w:id="103"/>
      <w:bookmarkEnd w:id="104"/>
    </w:p>
    <w:p w14:paraId="12337575" w14:textId="35E4E900" w:rsidR="003A3043" w:rsidRDefault="003A3043" w:rsidP="003A3043">
      <w:r>
        <w:t>The following papers were submitted by the sponsor</w:t>
      </w:r>
      <w:r w:rsidR="00D226CB">
        <w:t xml:space="preserve"> </w:t>
      </w:r>
      <w:r>
        <w:t xml:space="preserve">and are described in more detail </w:t>
      </w:r>
      <w:r w:rsidR="00D226CB">
        <w:t xml:space="preserve">in the section </w:t>
      </w:r>
      <w:r>
        <w:t>below</w:t>
      </w:r>
      <w:r w:rsidR="00D226CB">
        <w:t>:</w:t>
      </w:r>
    </w:p>
    <w:p w14:paraId="74DB1037" w14:textId="77777777" w:rsidR="000C1D42" w:rsidRDefault="008E5B38" w:rsidP="000C1D42">
      <w:pPr>
        <w:pStyle w:val="ListBullet"/>
      </w:pPr>
      <w:r w:rsidRPr="008E5B38">
        <w:t xml:space="preserve">McTague A, Martland T, Appleton R. Drug management for acute tonic-clonic convulsions including convulsive status epilepticus in children. </w:t>
      </w:r>
      <w:r w:rsidRPr="000C1D42">
        <w:rPr>
          <w:i/>
        </w:rPr>
        <w:t xml:space="preserve">Cochrane Database of Systematic Reviews </w:t>
      </w:r>
      <w:r w:rsidRPr="008E5B38">
        <w:t>2018, Issue 1. Art. No.: CD001905.</w:t>
      </w:r>
    </w:p>
    <w:p w14:paraId="2C5BC381" w14:textId="025DCDFB" w:rsidR="003A3043" w:rsidRDefault="000C1D42" w:rsidP="000C1D42">
      <w:pPr>
        <w:pStyle w:val="ListBullet"/>
      </w:pPr>
      <w:r>
        <w:t xml:space="preserve">Arya R, Kothari H, Zhang Z, Han B, Horn P.S, Glauser T.A </w:t>
      </w:r>
      <w:r w:rsidR="003A3043">
        <w:t>Efficacy of non-venous medications for acute convulsive se</w:t>
      </w:r>
      <w:r>
        <w:t>izures: A network meta-analysis</w:t>
      </w:r>
      <w:r w:rsidR="003A3043">
        <w:t xml:space="preserve">. </w:t>
      </w:r>
      <w:r w:rsidR="003A3043" w:rsidRPr="000C1D42">
        <w:rPr>
          <w:i/>
        </w:rPr>
        <w:t>Neurology</w:t>
      </w:r>
      <w:r w:rsidR="003A3043">
        <w:t>. 2015; 85 (21): 1859-1868*</w:t>
      </w:r>
    </w:p>
    <w:p w14:paraId="40B726EA" w14:textId="24A98CE3" w:rsidR="003A3043" w:rsidRDefault="000C1D42" w:rsidP="000C1D42">
      <w:pPr>
        <w:pStyle w:val="ListBullet"/>
      </w:pPr>
      <w:r>
        <w:t xml:space="preserve">Brigo F, Nardone R, Tezzon F, Trinka E. </w:t>
      </w:r>
      <w:r w:rsidR="003A3043">
        <w:t xml:space="preserve">Non-intravenous midazolam versus intravenous or rectal diazepam for the treatment of early status epilepticus: A systematic review with meta-analysis. </w:t>
      </w:r>
      <w:r w:rsidR="003A3043" w:rsidRPr="000C1D42">
        <w:rPr>
          <w:i/>
        </w:rPr>
        <w:t>Epilepsy Behav.</w:t>
      </w:r>
      <w:r w:rsidR="003A3043">
        <w:t xml:space="preserve"> (2015), 49: 325-336</w:t>
      </w:r>
    </w:p>
    <w:p w14:paraId="3F4C3715" w14:textId="05F05D00" w:rsidR="003A3043" w:rsidRDefault="000C1D42" w:rsidP="000C1D42">
      <w:pPr>
        <w:pStyle w:val="ListBullet"/>
      </w:pPr>
      <w:r>
        <w:t xml:space="preserve">Brigo F, Nardone R, Tezzon F, Trinka E. </w:t>
      </w:r>
      <w:r w:rsidR="003A3043">
        <w:t xml:space="preserve">A Common Reference-Based Indirect Comparison Meta-Analysis of Buccal versus Intranasal Midazolam for Early Status Epilepticus. Brigo F, Nardone R, Tezzon F, Trinka E. </w:t>
      </w:r>
      <w:r w:rsidR="003A3043" w:rsidRPr="000C1D42">
        <w:rPr>
          <w:i/>
        </w:rPr>
        <w:t>CNS Drugs</w:t>
      </w:r>
      <w:r w:rsidR="003A3043">
        <w:t xml:space="preserve"> 2015; 29(9):741-57.</w:t>
      </w:r>
    </w:p>
    <w:p w14:paraId="342902DA" w14:textId="145EA849" w:rsidR="003A3043" w:rsidRDefault="00E66FA1" w:rsidP="00E66FA1">
      <w:pPr>
        <w:pStyle w:val="ListBullet"/>
        <w:rPr>
          <w:rStyle w:val="publicationcontentepubdate"/>
        </w:rPr>
      </w:pPr>
      <w:r w:rsidRPr="00E66FA1">
        <w:t xml:space="preserve">Doshi D. Controlling Seizures in Children: Diazepam or Midazolam? Systematic Review. </w:t>
      </w:r>
      <w:r w:rsidRPr="00E805C1">
        <w:rPr>
          <w:i/>
        </w:rPr>
        <w:t>Hong Kong Journal of Emergency Medicine</w:t>
      </w:r>
      <w:r w:rsidRPr="00E66FA1">
        <w:t>. 2010;17(2):196-204.</w:t>
      </w:r>
    </w:p>
    <w:p w14:paraId="6A579A5D" w14:textId="72D1118D" w:rsidR="003A3043" w:rsidRDefault="00E66FA1" w:rsidP="00E66FA1">
      <w:pPr>
        <w:pStyle w:val="ListBullet"/>
      </w:pPr>
      <w:r>
        <w:t xml:space="preserve">Glauser et al. </w:t>
      </w:r>
      <w:r w:rsidR="003A3043">
        <w:t>Evidence-Based Guideline: Treatment of Convulsive Status Epilepticus in Children and Adults: Report of the Guideline Committee o</w:t>
      </w:r>
      <w:r>
        <w:t xml:space="preserve">f the American Epilepsy Society. </w:t>
      </w:r>
      <w:r w:rsidR="003A3043" w:rsidRPr="00E805C1">
        <w:rPr>
          <w:i/>
        </w:rPr>
        <w:t>Epilepsy Currents</w:t>
      </w:r>
      <w:r w:rsidR="003A3043">
        <w:t>, Vol. 16, No. 1 (January/February) 2016 pp. 48–61</w:t>
      </w:r>
    </w:p>
    <w:p w14:paraId="285DC552" w14:textId="399A3F4B" w:rsidR="003A3043" w:rsidRDefault="00E805C1" w:rsidP="004C211A">
      <w:pPr>
        <w:pStyle w:val="ListBullet"/>
      </w:pPr>
      <w:r>
        <w:t xml:space="preserve">Haut et al. </w:t>
      </w:r>
      <w:r w:rsidR="003A3043">
        <w:t>Benzodiazepine use in seizure e</w:t>
      </w:r>
      <w:r>
        <w:t xml:space="preserve">mergencies: A systematic review. </w:t>
      </w:r>
      <w:r w:rsidR="003A3043" w:rsidRPr="00E805C1">
        <w:rPr>
          <w:i/>
        </w:rPr>
        <w:t>Epilepsy &amp; Behaviour</w:t>
      </w:r>
      <w:r w:rsidR="003A3043">
        <w:t xml:space="preserve"> 63 (2016) 109-117</w:t>
      </w:r>
    </w:p>
    <w:p w14:paraId="59530E1A" w14:textId="42A128C7" w:rsidR="003A3043" w:rsidRDefault="00E805C1" w:rsidP="004C211A">
      <w:pPr>
        <w:pStyle w:val="ListBullet"/>
      </w:pPr>
      <w:r>
        <w:t xml:space="preserve">Jain et al. </w:t>
      </w:r>
      <w:r w:rsidR="003A3043">
        <w:t>Efficacy and safety of anti-epileptic drugs in patients with active convulsive seizures when no IV access is available: Syst</w:t>
      </w:r>
      <w:r>
        <w:t xml:space="preserve">ematic review and meta-analysis. </w:t>
      </w:r>
      <w:r w:rsidR="003A3043" w:rsidRPr="00E805C1">
        <w:rPr>
          <w:i/>
        </w:rPr>
        <w:t>Epilepsy Research</w:t>
      </w:r>
      <w:r w:rsidR="003A3043">
        <w:t xml:space="preserve"> 122 (2016) 47-55.</w:t>
      </w:r>
    </w:p>
    <w:p w14:paraId="104F52CA" w14:textId="266E5A76" w:rsidR="003A3043" w:rsidRDefault="004C211A" w:rsidP="004C211A">
      <w:pPr>
        <w:pStyle w:val="ListBullet"/>
      </w:pPr>
      <w:r w:rsidRPr="00AA79CE">
        <w:rPr>
          <w:lang w:val="it-IT"/>
        </w:rPr>
        <w:t xml:space="preserve">McMullan J, Sasson C, Pancioli. </w:t>
      </w:r>
      <w:r w:rsidR="003A3043">
        <w:t>Midazolam versus diazepam for the treatment of status epilepticus in children an</w:t>
      </w:r>
      <w:r>
        <w:t>d young adults: A meta-analysis</w:t>
      </w:r>
      <w:r w:rsidRPr="004C211A">
        <w:rPr>
          <w:i/>
        </w:rPr>
        <w:t xml:space="preserve">. </w:t>
      </w:r>
      <w:r w:rsidR="003A3043" w:rsidRPr="004C211A">
        <w:rPr>
          <w:i/>
        </w:rPr>
        <w:t>Academic emergency medicine</w:t>
      </w:r>
      <w:r w:rsidR="003A3043">
        <w:t xml:space="preserve"> 2010; 17:575–582.</w:t>
      </w:r>
    </w:p>
    <w:p w14:paraId="72DDBDE0" w14:textId="07FE23F1" w:rsidR="003A3043" w:rsidRDefault="004C211A" w:rsidP="004C211A">
      <w:pPr>
        <w:pStyle w:val="ListBullet"/>
      </w:pPr>
      <w:r>
        <w:t xml:space="preserve">Sofou et al. </w:t>
      </w:r>
      <w:r w:rsidR="003A3043">
        <w:t xml:space="preserve">Management of Prolonged Seizures and Status Epilepticus in Childhood: A Systematic Review </w:t>
      </w:r>
      <w:r w:rsidR="003A3043" w:rsidRPr="004C211A">
        <w:rPr>
          <w:i/>
        </w:rPr>
        <w:t>Journal of Child Neurology</w:t>
      </w:r>
      <w:r w:rsidR="003A3043">
        <w:t xml:space="preserve"> Volume 24 Number 8 August 2009 918-926</w:t>
      </w:r>
    </w:p>
    <w:p w14:paraId="2BACF69D" w14:textId="58127BD1" w:rsidR="003A3043" w:rsidRDefault="004C211A" w:rsidP="004C211A">
      <w:pPr>
        <w:pStyle w:val="ListBullet"/>
      </w:pPr>
      <w:r w:rsidRPr="00AA79CE">
        <w:rPr>
          <w:lang w:val="fr-FR"/>
        </w:rPr>
        <w:t xml:space="preserve">Zhao Z.-Y, Wang H.-Y, Wen B, et al. </w:t>
      </w:r>
      <w:r w:rsidR="003A3043">
        <w:t xml:space="preserve">A Comparison of Midazolam, Lorazepam, and Diazepam for the Treatment of Status Epilepticus in Children: A Network Meta-analysis. </w:t>
      </w:r>
      <w:r w:rsidR="003A3043" w:rsidRPr="004C211A">
        <w:rPr>
          <w:i/>
        </w:rPr>
        <w:t>Journal of Child Neurology</w:t>
      </w:r>
      <w:r w:rsidR="003A3043">
        <w:t xml:space="preserve"> 2016; 31 (9): 1093-1107*</w:t>
      </w:r>
    </w:p>
    <w:p w14:paraId="3268084D" w14:textId="11437B2F" w:rsidR="00A554AC" w:rsidRDefault="008E5B38" w:rsidP="008E5B38">
      <w:pPr>
        <w:pStyle w:val="Heading6"/>
      </w:pPr>
      <w:r w:rsidRPr="00AA79CE">
        <w:rPr>
          <w:lang w:val="fr-FR"/>
        </w:rPr>
        <w:t>Cochrane Review (</w:t>
      </w:r>
      <w:r w:rsidR="00A554AC" w:rsidRPr="00AA79CE">
        <w:rPr>
          <w:lang w:val="fr-FR"/>
        </w:rPr>
        <w:t>McTague et al</w:t>
      </w:r>
      <w:r w:rsidRPr="00AA79CE">
        <w:rPr>
          <w:lang w:val="fr-FR"/>
        </w:rPr>
        <w:t>.)</w:t>
      </w:r>
      <w:r w:rsidR="00A554AC" w:rsidRPr="00AA79CE">
        <w:rPr>
          <w:lang w:val="fr-FR"/>
        </w:rPr>
        <w:t xml:space="preserve"> </w:t>
      </w:r>
      <w:r w:rsidR="004C211A">
        <w:t>(</w:t>
      </w:r>
      <w:r w:rsidR="00A554AC">
        <w:t>2018</w:t>
      </w:r>
      <w:r w:rsidR="004C211A">
        <w:t>)</w:t>
      </w:r>
    </w:p>
    <w:p w14:paraId="19B8DA8C" w14:textId="3798D07C" w:rsidR="008E5B38" w:rsidRDefault="008E5B38" w:rsidP="008E5B38">
      <w:r>
        <w:t>Publication:</w:t>
      </w:r>
    </w:p>
    <w:p w14:paraId="232A85BF" w14:textId="658265E6" w:rsidR="008E5B38" w:rsidRPr="003A3043" w:rsidRDefault="008E5B38" w:rsidP="008E5B38">
      <w:pPr>
        <w:ind w:left="720"/>
      </w:pPr>
      <w:r w:rsidRPr="008E5B38">
        <w:t xml:space="preserve">McTague A, Martland T, Appleton R. Drug management for acute tonic-clonic convulsions including convulsive status epilepticus in children. </w:t>
      </w:r>
      <w:r w:rsidRPr="00EA7CFD">
        <w:rPr>
          <w:i/>
        </w:rPr>
        <w:t xml:space="preserve">Cochrane Database of Systematic Reviews </w:t>
      </w:r>
      <w:r w:rsidRPr="008E5B38">
        <w:t>2018, Issue 1. Art. No.: CD001905.</w:t>
      </w:r>
      <w:bookmarkStart w:id="105" w:name="_Ref109293279"/>
      <w:r>
        <w:rPr>
          <w:rStyle w:val="FootnoteReference"/>
        </w:rPr>
        <w:footnoteReference w:id="53"/>
      </w:r>
      <w:bookmarkEnd w:id="105"/>
    </w:p>
    <w:p w14:paraId="5C1337BB" w14:textId="03E71D31" w:rsidR="00A554AC" w:rsidRDefault="008E5B38" w:rsidP="008E5B38">
      <w:r>
        <w:t>The o</w:t>
      </w:r>
      <w:r w:rsidR="00A554AC">
        <w:t xml:space="preserve">bjective of the review was to evaluate the effectiveness and safety of anticonvulsant drugs used to treat any acute tonic-clonic convulsion of any duration, including established convulsive (tonic-clonic) status epilepticus in children who present to a hospital </w:t>
      </w:r>
      <w:r>
        <w:t>or emergency medical department.</w:t>
      </w:r>
    </w:p>
    <w:p w14:paraId="0E6CC87E" w14:textId="1AA60BC2" w:rsidR="00A554AC" w:rsidRDefault="00A554AC" w:rsidP="008E5B38">
      <w:r>
        <w:t>The review involved buccal midazolam</w:t>
      </w:r>
      <w:r w:rsidR="00CB7F66">
        <w:t xml:space="preserve"> versus </w:t>
      </w:r>
      <w:r>
        <w:t>rectal diaze</w:t>
      </w:r>
      <w:r w:rsidR="008E5B38">
        <w:t xml:space="preserve">pam as in the papers by Ashrafi et al. </w:t>
      </w:r>
      <w:r w:rsidR="008E5B38" w:rsidRPr="00AA79CE">
        <w:rPr>
          <w:lang w:val="fr-FR"/>
        </w:rPr>
        <w:t>(</w:t>
      </w:r>
      <w:r w:rsidRPr="00AA79CE">
        <w:rPr>
          <w:lang w:val="fr-FR"/>
        </w:rPr>
        <w:t>2010</w:t>
      </w:r>
      <w:r w:rsidR="008E5B38" w:rsidRPr="00AA79CE">
        <w:rPr>
          <w:lang w:val="fr-FR"/>
        </w:rPr>
        <w:t>)</w:t>
      </w:r>
      <w:r w:rsidRPr="00AA79CE">
        <w:rPr>
          <w:lang w:val="fr-FR"/>
        </w:rPr>
        <w:t>;</w:t>
      </w:r>
      <w:r w:rsidR="008E5B38" w:rsidRPr="008E5B38">
        <w:rPr>
          <w:vertAlign w:val="superscript"/>
        </w:rPr>
        <w:fldChar w:fldCharType="begin"/>
      </w:r>
      <w:r w:rsidR="008E5B38" w:rsidRPr="00AA79CE">
        <w:rPr>
          <w:vertAlign w:val="superscript"/>
          <w:lang w:val="fr-FR"/>
        </w:rPr>
        <w:instrText xml:space="preserve"> NOTEREF _Ref108599168 \h  \* MERGEFORMAT </w:instrText>
      </w:r>
      <w:r w:rsidR="008E5B38" w:rsidRPr="008E5B38">
        <w:rPr>
          <w:vertAlign w:val="superscript"/>
        </w:rPr>
      </w:r>
      <w:r w:rsidR="008E5B38" w:rsidRPr="008E5B38">
        <w:rPr>
          <w:vertAlign w:val="superscript"/>
        </w:rPr>
        <w:fldChar w:fldCharType="separate"/>
      </w:r>
      <w:r w:rsidR="00AA79CE">
        <w:rPr>
          <w:vertAlign w:val="superscript"/>
          <w:lang w:val="fr-FR"/>
        </w:rPr>
        <w:t>36</w:t>
      </w:r>
      <w:r w:rsidR="008E5B38" w:rsidRPr="008E5B38">
        <w:rPr>
          <w:vertAlign w:val="superscript"/>
        </w:rPr>
        <w:fldChar w:fldCharType="end"/>
      </w:r>
      <w:r w:rsidRPr="00AA79CE">
        <w:rPr>
          <w:lang w:val="fr-FR"/>
        </w:rPr>
        <w:t xml:space="preserve"> Baysun </w:t>
      </w:r>
      <w:r w:rsidR="008E5B38" w:rsidRPr="00AA79CE">
        <w:rPr>
          <w:lang w:val="fr-FR"/>
        </w:rPr>
        <w:t>et al. (</w:t>
      </w:r>
      <w:r w:rsidRPr="00AA79CE">
        <w:rPr>
          <w:lang w:val="fr-FR"/>
        </w:rPr>
        <w:t>2005</w:t>
      </w:r>
      <w:r w:rsidR="008E5B38" w:rsidRPr="00AA79CE">
        <w:rPr>
          <w:lang w:val="fr-FR"/>
        </w:rPr>
        <w:t>)</w:t>
      </w:r>
      <w:r w:rsidRPr="00AA79CE">
        <w:rPr>
          <w:lang w:val="fr-FR"/>
        </w:rPr>
        <w:t>;</w:t>
      </w:r>
      <w:r w:rsidR="008E5B38" w:rsidRPr="008E5B38">
        <w:rPr>
          <w:vertAlign w:val="superscript"/>
        </w:rPr>
        <w:fldChar w:fldCharType="begin"/>
      </w:r>
      <w:r w:rsidR="008E5B38" w:rsidRPr="00AA79CE">
        <w:rPr>
          <w:vertAlign w:val="superscript"/>
          <w:lang w:val="fr-FR"/>
        </w:rPr>
        <w:instrText xml:space="preserve"> NOTEREF _Ref108599359 \h  \* MERGEFORMAT </w:instrText>
      </w:r>
      <w:r w:rsidR="008E5B38" w:rsidRPr="008E5B38">
        <w:rPr>
          <w:vertAlign w:val="superscript"/>
        </w:rPr>
      </w:r>
      <w:r w:rsidR="008E5B38" w:rsidRPr="008E5B38">
        <w:rPr>
          <w:vertAlign w:val="superscript"/>
        </w:rPr>
        <w:fldChar w:fldCharType="separate"/>
      </w:r>
      <w:r w:rsidR="00AA79CE">
        <w:rPr>
          <w:vertAlign w:val="superscript"/>
          <w:lang w:val="fr-FR"/>
        </w:rPr>
        <w:t>39</w:t>
      </w:r>
      <w:r w:rsidR="008E5B38" w:rsidRPr="008E5B38">
        <w:rPr>
          <w:vertAlign w:val="superscript"/>
        </w:rPr>
        <w:fldChar w:fldCharType="end"/>
      </w:r>
      <w:r w:rsidRPr="00AA79CE">
        <w:rPr>
          <w:lang w:val="fr-FR"/>
        </w:rPr>
        <w:t xml:space="preserve"> McIntyre</w:t>
      </w:r>
      <w:r w:rsidR="008E5B38" w:rsidRPr="00AA79CE">
        <w:rPr>
          <w:lang w:val="fr-FR"/>
        </w:rPr>
        <w:t xml:space="preserve"> et al. (</w:t>
      </w:r>
      <w:r w:rsidRPr="00AA79CE">
        <w:rPr>
          <w:lang w:val="fr-FR"/>
        </w:rPr>
        <w:t>2005</w:t>
      </w:r>
      <w:r w:rsidR="008E5B38" w:rsidRPr="00AA79CE">
        <w:rPr>
          <w:lang w:val="fr-FR"/>
        </w:rPr>
        <w:t>)</w:t>
      </w:r>
      <w:r w:rsidRPr="00AA79CE">
        <w:rPr>
          <w:lang w:val="fr-FR"/>
        </w:rPr>
        <w:t>;</w:t>
      </w:r>
      <w:r w:rsidR="008E5B38" w:rsidRPr="008E5B38">
        <w:rPr>
          <w:vertAlign w:val="superscript"/>
        </w:rPr>
        <w:fldChar w:fldCharType="begin"/>
      </w:r>
      <w:r w:rsidR="008E5B38" w:rsidRPr="00AA79CE">
        <w:rPr>
          <w:vertAlign w:val="superscript"/>
          <w:lang w:val="fr-FR"/>
        </w:rPr>
        <w:instrText xml:space="preserve"> NOTEREF _Ref108599219 \h  \* MERGEFORMAT </w:instrText>
      </w:r>
      <w:r w:rsidR="008E5B38" w:rsidRPr="008E5B38">
        <w:rPr>
          <w:vertAlign w:val="superscript"/>
        </w:rPr>
      </w:r>
      <w:r w:rsidR="008E5B38" w:rsidRPr="008E5B38">
        <w:rPr>
          <w:vertAlign w:val="superscript"/>
        </w:rPr>
        <w:fldChar w:fldCharType="separate"/>
      </w:r>
      <w:r w:rsidR="00AA79CE">
        <w:rPr>
          <w:vertAlign w:val="superscript"/>
          <w:lang w:val="fr-FR"/>
        </w:rPr>
        <w:t>37</w:t>
      </w:r>
      <w:r w:rsidR="008E5B38" w:rsidRPr="008E5B38">
        <w:rPr>
          <w:vertAlign w:val="superscript"/>
        </w:rPr>
        <w:fldChar w:fldCharType="end"/>
      </w:r>
      <w:r w:rsidRPr="00AA79CE">
        <w:rPr>
          <w:lang w:val="fr-FR"/>
        </w:rPr>
        <w:t xml:space="preserve"> </w:t>
      </w:r>
      <w:r w:rsidR="008E5B38" w:rsidRPr="00AA79CE">
        <w:rPr>
          <w:lang w:val="fr-FR"/>
        </w:rPr>
        <w:t xml:space="preserve">and </w:t>
      </w:r>
      <w:r w:rsidRPr="00AA79CE">
        <w:rPr>
          <w:lang w:val="fr-FR"/>
        </w:rPr>
        <w:t xml:space="preserve">Mpimbaza </w:t>
      </w:r>
      <w:r w:rsidR="008E5B38" w:rsidRPr="00AA79CE">
        <w:rPr>
          <w:lang w:val="fr-FR"/>
        </w:rPr>
        <w:t xml:space="preserve">et al. </w:t>
      </w:r>
      <w:r w:rsidR="008E5B38">
        <w:t>(</w:t>
      </w:r>
      <w:r>
        <w:t>2008</w:t>
      </w:r>
      <w:r w:rsidR="008E5B38">
        <w:t>)</w:t>
      </w:r>
      <w:r>
        <w:t>.</w:t>
      </w:r>
      <w:r w:rsidR="008E5B38" w:rsidRPr="008E5B38">
        <w:rPr>
          <w:vertAlign w:val="superscript"/>
        </w:rPr>
        <w:fldChar w:fldCharType="begin"/>
      </w:r>
      <w:r w:rsidR="008E5B38" w:rsidRPr="008E5B38">
        <w:rPr>
          <w:vertAlign w:val="superscript"/>
        </w:rPr>
        <w:instrText xml:space="preserve"> NOTEREF _Ref108599232 \h </w:instrText>
      </w:r>
      <w:r w:rsidR="008E5B38">
        <w:rPr>
          <w:vertAlign w:val="superscript"/>
        </w:rPr>
        <w:instrText xml:space="preserve"> \* MERGEFORMAT </w:instrText>
      </w:r>
      <w:r w:rsidR="008E5B38" w:rsidRPr="008E5B38">
        <w:rPr>
          <w:vertAlign w:val="superscript"/>
        </w:rPr>
      </w:r>
      <w:r w:rsidR="008E5B38" w:rsidRPr="008E5B38">
        <w:rPr>
          <w:vertAlign w:val="superscript"/>
        </w:rPr>
        <w:fldChar w:fldCharType="separate"/>
      </w:r>
      <w:r w:rsidR="00AA79CE">
        <w:rPr>
          <w:vertAlign w:val="superscript"/>
        </w:rPr>
        <w:t>45</w:t>
      </w:r>
      <w:r w:rsidR="008E5B38" w:rsidRPr="008E5B38">
        <w:rPr>
          <w:vertAlign w:val="superscript"/>
        </w:rPr>
        <w:fldChar w:fldCharType="end"/>
      </w:r>
      <w:r>
        <w:t xml:space="preserve"> The doses of the drugs use</w:t>
      </w:r>
      <w:r w:rsidR="008E5B38">
        <w:t>d in the studies were different.</w:t>
      </w:r>
    </w:p>
    <w:p w14:paraId="01346CA0" w14:textId="61C4BF8A" w:rsidR="00A554AC" w:rsidRDefault="00A554AC" w:rsidP="008E5B38">
      <w:pPr>
        <w:ind w:left="720"/>
      </w:pPr>
      <w:r>
        <w:t>‘This review provides only low- to very low-quality evidence comparing buccal midazolam with rectal diazepam for the treatment of acute tonic-clonic convulsions:</w:t>
      </w:r>
      <w:r w:rsidR="00D75EC9">
        <w:t xml:space="preserve"> </w:t>
      </w:r>
      <w:r>
        <w:t>(risk ratio (RR) for seizure cessation 1.25, 95% confidence interval (CI) 1.13 to 1.38; 4 trials; 690 children);</w:t>
      </w:r>
      <w:r w:rsidR="008E5B38">
        <w:t>’</w:t>
      </w:r>
    </w:p>
    <w:p w14:paraId="5E3CDBD9" w14:textId="77777777" w:rsidR="008E5B38" w:rsidRDefault="00A554AC" w:rsidP="008E5B38">
      <w:r>
        <w:t>However, there is uncertainty about the effect and therefore, insufficie</w:t>
      </w:r>
      <w:r w:rsidR="008E5B38">
        <w:t>nt evidence to support its use;</w:t>
      </w:r>
    </w:p>
    <w:p w14:paraId="20A8260A" w14:textId="3C4DD6CB" w:rsidR="00A554AC" w:rsidRDefault="00A554AC" w:rsidP="008E5B38">
      <w:pPr>
        <w:ind w:left="720"/>
      </w:pPr>
      <w:r>
        <w:t xml:space="preserve">‘In the absence of intravenous access, buccal midazolam or rectal diazepam are therefore acceptable first-line anticonvulsants for </w:t>
      </w:r>
      <w:r w:rsidR="000C1D42">
        <w:t>the treatment of an acute tonic</w:t>
      </w:r>
      <w:r w:rsidR="000C1D42">
        <w:noBreakHyphen/>
      </w:r>
      <w:r>
        <w:t>clonic convulsion that has lasted at least five minutes;</w:t>
      </w:r>
      <w:r w:rsidR="008E5B38">
        <w:t>’</w:t>
      </w:r>
    </w:p>
    <w:p w14:paraId="2D387CD6" w14:textId="1A24C004" w:rsidR="00A554AC" w:rsidRDefault="009109F0" w:rsidP="008E5B38">
      <w:r>
        <w:t xml:space="preserve">Across the four trials, 25 of </w:t>
      </w:r>
      <w:r w:rsidR="00A554AC">
        <w:t>346 in the buccal midazolam groups experienced respiratory depression</w:t>
      </w:r>
    </w:p>
    <w:p w14:paraId="6B19EA8B" w14:textId="3607E2A0" w:rsidR="00A554AC" w:rsidRDefault="00A554AC" w:rsidP="000C1D42">
      <w:pPr>
        <w:pStyle w:val="Heading6"/>
      </w:pPr>
      <w:r>
        <w:t>Arya et al</w:t>
      </w:r>
      <w:r w:rsidR="000C1D42">
        <w:t>. (2015)</w:t>
      </w:r>
    </w:p>
    <w:p w14:paraId="2B1D1F1E" w14:textId="3DE4B4A9" w:rsidR="000C1D42" w:rsidRDefault="000C1D42" w:rsidP="000C1D42">
      <w:r>
        <w:t>Publication:</w:t>
      </w:r>
    </w:p>
    <w:p w14:paraId="3963A0A8" w14:textId="476E9CD9" w:rsidR="000C1D42" w:rsidRDefault="000C1D42" w:rsidP="000C1D42">
      <w:pPr>
        <w:ind w:left="720"/>
      </w:pPr>
      <w:r>
        <w:t xml:space="preserve">Arya R, Kothari H, Zhang Z, Han B, Horn P.S, Glauser T.A Efficacy of non-venous medications for acute convulsive seizures: A network meta-analysis. </w:t>
      </w:r>
      <w:r w:rsidRPr="000C1D42">
        <w:rPr>
          <w:i/>
        </w:rPr>
        <w:t>Neurology</w:t>
      </w:r>
      <w:r w:rsidR="009109F0">
        <w:t>. 2015; 85 (21): 1859-1868.</w:t>
      </w:r>
    </w:p>
    <w:p w14:paraId="5C47B74D" w14:textId="326C6912" w:rsidR="00A554AC" w:rsidRDefault="00A554AC" w:rsidP="000C1D42">
      <w:pPr>
        <w:rPr>
          <w:b/>
        </w:rPr>
      </w:pPr>
      <w:r>
        <w:t>Study participants ranged from newborns to 102 years of age.</w:t>
      </w:r>
    </w:p>
    <w:p w14:paraId="464FF8E3" w14:textId="10D40B45" w:rsidR="00A554AC" w:rsidRDefault="00A554AC" w:rsidP="000C1D42">
      <w:r>
        <w:t xml:space="preserve">The study looked at seizure cessation within 10 minutes </w:t>
      </w:r>
      <w:r w:rsidR="000C1D42">
        <w:t>of administration rather than 5 </w:t>
      </w:r>
      <w:r>
        <w:t>minutes.</w:t>
      </w:r>
    </w:p>
    <w:p w14:paraId="050BF63C" w14:textId="77777777" w:rsidR="00A554AC" w:rsidRDefault="00A554AC" w:rsidP="000C1D42">
      <w:r>
        <w:t>The Bayesian hierarchical analysis showed:</w:t>
      </w:r>
    </w:p>
    <w:p w14:paraId="2BCA6781" w14:textId="0407A1F2" w:rsidR="00E104F3" w:rsidRDefault="00A554AC" w:rsidP="000C1D42">
      <w:pPr>
        <w:pStyle w:val="ListBullet"/>
      </w:pPr>
      <w:r>
        <w:t>buccal midazolam to be the second most efficacious non-venous medicat</w:t>
      </w:r>
      <w:r w:rsidR="000C1D42">
        <w:t>ion for some of the outcomes; this is to say</w:t>
      </w:r>
      <w:r>
        <w:t>:</w:t>
      </w:r>
    </w:p>
    <w:p w14:paraId="6ED3AAEB" w14:textId="6F4BBBF1" w:rsidR="00A554AC" w:rsidRDefault="00A554AC" w:rsidP="000C1D42">
      <w:pPr>
        <w:pStyle w:val="ListBullet2"/>
      </w:pPr>
      <w:r>
        <w:t>notably, whereas the time to initiate treatment was not significantly diffe</w:t>
      </w:r>
      <w:r w:rsidR="000C1D42">
        <w:t>rent for either IM, buccal and i</w:t>
      </w:r>
      <w:r>
        <w:t>ntranasal midazolam, these drugs differed regarding time to seizur</w:t>
      </w:r>
      <w:r w:rsidR="000C1D42">
        <w:t>e termination such that IM and i</w:t>
      </w:r>
      <w:r>
        <w:t>ntranasal midazolam were not statistically differ</w:t>
      </w:r>
      <w:r w:rsidR="000C1D42">
        <w:t>ent, but both were superior to b</w:t>
      </w:r>
      <w:r>
        <w:t>uccal midazolam in pairwise comparisons.</w:t>
      </w:r>
    </w:p>
    <w:p w14:paraId="40F0E041" w14:textId="182E28E0" w:rsidR="00A554AC" w:rsidRPr="00E104F3" w:rsidRDefault="00E104F3" w:rsidP="00E104F3">
      <w:r w:rsidRPr="00E104F3">
        <w:t xml:space="preserve">The </w:t>
      </w:r>
      <w:r w:rsidR="00A554AC" w:rsidRPr="00E104F3">
        <w:t>Delegate comment</w:t>
      </w:r>
      <w:r w:rsidRPr="00E104F3">
        <w:t>ed that the a</w:t>
      </w:r>
      <w:r w:rsidR="00A554AC" w:rsidRPr="00E104F3">
        <w:t>ge range well outside the prop</w:t>
      </w:r>
      <w:r w:rsidR="000C1D42">
        <w:t>osed indication range of 10 to under</w:t>
      </w:r>
      <w:r w:rsidR="009109F0">
        <w:t xml:space="preserve"> </w:t>
      </w:r>
      <w:r w:rsidR="00A554AC" w:rsidRPr="00E104F3">
        <w:t xml:space="preserve">18 years </w:t>
      </w:r>
      <w:r w:rsidRPr="00E104F3">
        <w:t>and there was a l</w:t>
      </w:r>
      <w:r w:rsidR="00A554AC" w:rsidRPr="00E104F3">
        <w:t>ack of proposed product identification</w:t>
      </w:r>
      <w:r w:rsidRPr="00E104F3">
        <w:t>.</w:t>
      </w:r>
    </w:p>
    <w:p w14:paraId="407080FA" w14:textId="072A66E2" w:rsidR="00A554AC" w:rsidRDefault="00A554AC" w:rsidP="000C1D42">
      <w:pPr>
        <w:pStyle w:val="Heading6"/>
      </w:pPr>
      <w:r>
        <w:t>Brigo et al</w:t>
      </w:r>
      <w:r w:rsidR="000C1D42">
        <w:t>. (2005)</w:t>
      </w:r>
    </w:p>
    <w:p w14:paraId="7FB90323" w14:textId="28F4FA5A" w:rsidR="000C1D42" w:rsidRDefault="000C1D42" w:rsidP="000C1D42">
      <w:r>
        <w:t>Publication:</w:t>
      </w:r>
    </w:p>
    <w:p w14:paraId="59352A42" w14:textId="6A58747D" w:rsidR="000C1D42" w:rsidRPr="000C1D42" w:rsidRDefault="000C1D42" w:rsidP="000C1D42">
      <w:pPr>
        <w:pStyle w:val="ListBullet"/>
        <w:numPr>
          <w:ilvl w:val="0"/>
          <w:numId w:val="0"/>
        </w:numPr>
        <w:ind w:left="720"/>
      </w:pPr>
      <w:r>
        <w:t xml:space="preserve">Brigo F, Nardone R, Tezzon F, Trinka E. Non-intravenous midazolam versus intravenous or rectal diazepam for the treatment of early status epilepticus: A systematic review with meta-analysis. </w:t>
      </w:r>
      <w:r w:rsidRPr="000C1D42">
        <w:rPr>
          <w:i/>
        </w:rPr>
        <w:t>Epilepsy Behav.</w:t>
      </w:r>
      <w:r>
        <w:t xml:space="preserve"> (2015), 49: 325-336.</w:t>
      </w:r>
      <w:r>
        <w:rPr>
          <w:rStyle w:val="FootnoteReference"/>
        </w:rPr>
        <w:footnoteReference w:id="54"/>
      </w:r>
    </w:p>
    <w:p w14:paraId="3710BD54" w14:textId="33DC828D" w:rsidR="00A554AC" w:rsidRPr="000C1D42" w:rsidRDefault="00A554AC" w:rsidP="000C1D42">
      <w:r w:rsidRPr="000C1D42">
        <w:t>Nineteen trials contributed to this review</w:t>
      </w:r>
      <w:r w:rsidR="00E104F3" w:rsidRPr="000C1D42">
        <w:t xml:space="preserve"> and</w:t>
      </w:r>
      <w:r w:rsidRPr="000C1D42">
        <w:t xml:space="preserve"> the earliest was published in 1997 and the most recent in 2014.</w:t>
      </w:r>
    </w:p>
    <w:p w14:paraId="54356EC6" w14:textId="77875BB0" w:rsidR="00A554AC" w:rsidRPr="000C1D42" w:rsidRDefault="00A554AC" w:rsidP="000C1D42">
      <w:r w:rsidRPr="000C1D42">
        <w:t>All studies were conducted in children, except one which included both children and young adults and one which included only adults, resulting in a total of 1573 patients younger than 16 years, many younger than 10</w:t>
      </w:r>
      <w:r w:rsidR="000F1F9C" w:rsidRPr="000C1D42">
        <w:t xml:space="preserve"> </w:t>
      </w:r>
      <w:r w:rsidRPr="000C1D42">
        <w:t>y</w:t>
      </w:r>
      <w:r w:rsidR="000F1F9C" w:rsidRPr="000C1D42">
        <w:t>ears</w:t>
      </w:r>
      <w:r w:rsidRPr="000C1D42">
        <w:t>.</w:t>
      </w:r>
    </w:p>
    <w:p w14:paraId="6C899A78" w14:textId="77777777" w:rsidR="00A554AC" w:rsidRPr="000C1D42" w:rsidRDefault="00A554AC" w:rsidP="000C1D42">
      <w:r w:rsidRPr="000C1D42">
        <w:t>Buccal midazolam:</w:t>
      </w:r>
    </w:p>
    <w:p w14:paraId="3EE410E6" w14:textId="7537E223" w:rsidR="00A554AC" w:rsidRDefault="00A554AC" w:rsidP="000C1D42">
      <w:pPr>
        <w:pStyle w:val="ListBullet"/>
      </w:pPr>
      <w:r>
        <w:t xml:space="preserve">was more effective than rectal diazepam in terminating Status epilepticus but only when results were expressed as </w:t>
      </w:r>
      <w:r w:rsidR="00D226CB">
        <w:t xml:space="preserve">odds ratio </w:t>
      </w:r>
      <w:r w:rsidR="009109F0">
        <w:t>(</w:t>
      </w:r>
      <w:r>
        <w:t xml:space="preserve">1.78; 95% </w:t>
      </w:r>
      <w:r w:rsidR="00E104F3">
        <w:t>confidence intervals (</w:t>
      </w:r>
      <w:r>
        <w:t>C</w:t>
      </w:r>
      <w:r w:rsidR="000C1D42">
        <w:t>I</w:t>
      </w:r>
      <w:r>
        <w:t>s</w:t>
      </w:r>
      <w:r w:rsidR="00E104F3">
        <w:t>)</w:t>
      </w:r>
      <w:r>
        <w:t xml:space="preserve">: 1.11 to 2.85; </w:t>
      </w:r>
      <w:r w:rsidR="00D226CB">
        <w:t xml:space="preserve">relative </w:t>
      </w:r>
      <w:r w:rsidR="00D226CB" w:rsidRPr="00D226CB">
        <w:t>risk (</w:t>
      </w:r>
      <w:r w:rsidRPr="00D226CB">
        <w:t>RR</w:t>
      </w:r>
      <w:r w:rsidR="00D226CB" w:rsidRPr="00D226CB">
        <w:t>)</w:t>
      </w:r>
      <w:r w:rsidRPr="00D226CB">
        <w:t xml:space="preserve"> 1.1</w:t>
      </w:r>
      <w:r>
        <w:t>5; 95% CIs 0.85 to 1.54)</w:t>
      </w:r>
    </w:p>
    <w:p w14:paraId="33D0DEBE" w14:textId="0970556E" w:rsidR="00A554AC" w:rsidRDefault="00A554AC" w:rsidP="000C1D42">
      <w:pPr>
        <w:pStyle w:val="ListBullet"/>
      </w:pPr>
      <w:r>
        <w:t xml:space="preserve">The superiority of buccal midazolam over rectal diazepam in terms of seizure control was observed even after performing a sensitivity analysis, by excluding one study that </w:t>
      </w:r>
      <w:r w:rsidR="009109F0">
        <w:t>also included adult patients (odds ratio</w:t>
      </w:r>
      <w:r>
        <w:t>: 1.67; 95% CIs: 0.89 to 3.14). However, this superiority was not evid</w:t>
      </w:r>
      <w:r w:rsidR="009109F0">
        <w:t>ent with results expressed as relative risk</w:t>
      </w:r>
      <w:r>
        <w:t xml:space="preserve"> (RR 1.12; 95% CIs 0.81 to 1.56)</w:t>
      </w:r>
    </w:p>
    <w:p w14:paraId="3A61AE09" w14:textId="72323DD9" w:rsidR="00A554AC" w:rsidRPr="00E104F3" w:rsidRDefault="00E104F3" w:rsidP="00E104F3">
      <w:pPr>
        <w:rPr>
          <w:bCs/>
        </w:rPr>
      </w:pPr>
      <w:r w:rsidRPr="00E104F3">
        <w:rPr>
          <w:bCs/>
          <w:lang w:eastAsia="ja-JP"/>
        </w:rPr>
        <w:t xml:space="preserve">The </w:t>
      </w:r>
      <w:r w:rsidR="00A554AC" w:rsidRPr="00E104F3">
        <w:rPr>
          <w:bCs/>
          <w:lang w:eastAsia="ja-JP"/>
        </w:rPr>
        <w:t>Delegate comment</w:t>
      </w:r>
      <w:r w:rsidRPr="00E104F3">
        <w:rPr>
          <w:bCs/>
          <w:lang w:eastAsia="ja-JP"/>
        </w:rPr>
        <w:t xml:space="preserve">ed that </w:t>
      </w:r>
      <w:r w:rsidR="00A554AC" w:rsidRPr="00E104F3">
        <w:rPr>
          <w:bCs/>
          <w:lang w:eastAsia="ja-JP"/>
        </w:rPr>
        <w:t>there</w:t>
      </w:r>
      <w:r w:rsidR="00A554AC" w:rsidRPr="00E104F3">
        <w:rPr>
          <w:bCs/>
        </w:rPr>
        <w:t xml:space="preserve"> is poor age range documentation, in terms of the proposed age range</w:t>
      </w:r>
      <w:r w:rsidRPr="00E104F3">
        <w:rPr>
          <w:bCs/>
        </w:rPr>
        <w:t xml:space="preserve">, that is, </w:t>
      </w:r>
      <w:r w:rsidR="000C1D42">
        <w:rPr>
          <w:bCs/>
        </w:rPr>
        <w:t xml:space="preserve">10 to under </w:t>
      </w:r>
      <w:r w:rsidR="00A554AC" w:rsidRPr="00E104F3">
        <w:rPr>
          <w:bCs/>
        </w:rPr>
        <w:t xml:space="preserve">18 years </w:t>
      </w:r>
      <w:r w:rsidRPr="00E104F3">
        <w:rPr>
          <w:bCs/>
        </w:rPr>
        <w:t>and a l</w:t>
      </w:r>
      <w:r w:rsidR="00A554AC" w:rsidRPr="00E104F3">
        <w:rPr>
          <w:bCs/>
        </w:rPr>
        <w:t>ack of proposed product identification.</w:t>
      </w:r>
    </w:p>
    <w:p w14:paraId="522F719F" w14:textId="63B4CC6F" w:rsidR="00A554AC" w:rsidRDefault="00E66FA1" w:rsidP="000C1D42">
      <w:pPr>
        <w:pStyle w:val="Heading6"/>
      </w:pPr>
      <w:r>
        <w:t>Brigo et al. (2015)</w:t>
      </w:r>
    </w:p>
    <w:p w14:paraId="276B791F" w14:textId="1E4B6DE8" w:rsidR="000C1D42" w:rsidRDefault="000C1D42" w:rsidP="000C1D42">
      <w:r>
        <w:t>Publication:</w:t>
      </w:r>
    </w:p>
    <w:p w14:paraId="4EC42CEE" w14:textId="472666D9" w:rsidR="000C1D42" w:rsidRPr="00E66FA1" w:rsidRDefault="000C1D42" w:rsidP="00E66FA1">
      <w:pPr>
        <w:ind w:left="720"/>
      </w:pPr>
      <w:r w:rsidRPr="00E66FA1">
        <w:t xml:space="preserve">Brigo F, Nardone R, Tezzon F, Trinka E. A Common Reference-Based Indirect Comparison Meta-Analysis of Buccal versus Intranasal Midazolam for Early Status Epilepticus. Brigo F, Nardone R, Tezzon F, Trinka E. </w:t>
      </w:r>
      <w:r w:rsidRPr="00E66FA1">
        <w:rPr>
          <w:i/>
        </w:rPr>
        <w:t>CNS Drugs</w:t>
      </w:r>
      <w:r w:rsidRPr="00E66FA1">
        <w:t xml:space="preserve"> 2015; 29(9):741-57.</w:t>
      </w:r>
      <w:r w:rsidR="00E66FA1">
        <w:rPr>
          <w:rStyle w:val="FootnoteReference"/>
        </w:rPr>
        <w:footnoteReference w:id="55"/>
      </w:r>
    </w:p>
    <w:p w14:paraId="0126B822" w14:textId="77777777" w:rsidR="00A554AC" w:rsidRPr="00E66FA1" w:rsidRDefault="00A554AC" w:rsidP="00E66FA1">
      <w:r w:rsidRPr="00E66FA1">
        <w:t>An indirect comparison of buccal and nasal midazolam was made through rectal diazepam.</w:t>
      </w:r>
    </w:p>
    <w:p w14:paraId="0F9EDCAA" w14:textId="08BD65E0" w:rsidR="00D75EC9" w:rsidRDefault="00A554AC" w:rsidP="00E66FA1">
      <w:r w:rsidRPr="00E66FA1">
        <w:t xml:space="preserve">Fifteen studies, with a total of 1662 seizures in 1331 patients (some studies included patients with more than one episode of </w:t>
      </w:r>
      <w:r w:rsidR="00E66FA1">
        <w:t>status epilepticus</w:t>
      </w:r>
      <w:r w:rsidRPr="00E66FA1">
        <w:t>) were included; 1303 patients were younger than 16 years.</w:t>
      </w:r>
    </w:p>
    <w:p w14:paraId="5D42A576" w14:textId="65D4B971" w:rsidR="00A554AC" w:rsidRPr="00E66FA1" w:rsidRDefault="00A554AC" w:rsidP="00E66FA1">
      <w:r w:rsidRPr="00E66FA1">
        <w:t>Indirect comparisons showed no difference between intranasal and buccal mid</w:t>
      </w:r>
      <w:r w:rsidR="00E66FA1">
        <w:t xml:space="preserve">azolam for seizure cessation </w:t>
      </w:r>
      <w:r w:rsidR="009109F0">
        <w:t>(odds ratio:</w:t>
      </w:r>
      <w:r w:rsidR="00E66FA1">
        <w:t xml:space="preserve"> 0.98, 95 % CI 0.32 to </w:t>
      </w:r>
      <w:r w:rsidRPr="00E66FA1">
        <w:t xml:space="preserve">3.01, comparator: intravenous diazepam; </w:t>
      </w:r>
      <w:r w:rsidR="00E66FA1">
        <w:t xml:space="preserve">odds ratio 0.87, 95 % CI 0.46 to </w:t>
      </w:r>
      <w:r w:rsidRPr="00E66FA1">
        <w:t>1.64, comparator: rectal diazepam).</w:t>
      </w:r>
    </w:p>
    <w:p w14:paraId="7B866CA1" w14:textId="2C58A5BE" w:rsidR="00A554AC" w:rsidRPr="00E104F3" w:rsidRDefault="00E104F3" w:rsidP="00E104F3">
      <w:r w:rsidRPr="00E104F3">
        <w:t xml:space="preserve">The </w:t>
      </w:r>
      <w:r w:rsidR="00A554AC" w:rsidRPr="00E104F3">
        <w:t>Delegate comment</w:t>
      </w:r>
      <w:r w:rsidRPr="00E104F3">
        <w:t>ed that there was p</w:t>
      </w:r>
      <w:r w:rsidR="00A554AC" w:rsidRPr="00E104F3">
        <w:t>oor age range documentation, in terms of that proposed</w:t>
      </w:r>
      <w:r w:rsidRPr="00E104F3">
        <w:t>, that is</w:t>
      </w:r>
      <w:r w:rsidR="00E66FA1">
        <w:t xml:space="preserve"> 10 to under </w:t>
      </w:r>
      <w:r w:rsidR="00A554AC" w:rsidRPr="00E104F3">
        <w:t xml:space="preserve">18 years </w:t>
      </w:r>
      <w:r w:rsidRPr="00E104F3">
        <w:t>and a l</w:t>
      </w:r>
      <w:r w:rsidR="00A554AC" w:rsidRPr="00E104F3">
        <w:t>ack of proposed product identification</w:t>
      </w:r>
      <w:r w:rsidRPr="00E104F3">
        <w:t>.</w:t>
      </w:r>
    </w:p>
    <w:p w14:paraId="48D5E22F" w14:textId="30D2817C" w:rsidR="00A554AC" w:rsidRDefault="00A554AC" w:rsidP="00E66FA1">
      <w:pPr>
        <w:pStyle w:val="Heading6"/>
      </w:pPr>
      <w:r>
        <w:t xml:space="preserve">Doshi, </w:t>
      </w:r>
      <w:r w:rsidR="00E66FA1">
        <w:t>(</w:t>
      </w:r>
      <w:r>
        <w:t>2010</w:t>
      </w:r>
      <w:r w:rsidR="00E66FA1">
        <w:t>)</w:t>
      </w:r>
    </w:p>
    <w:p w14:paraId="49F61695" w14:textId="21442CD4" w:rsidR="00E66FA1" w:rsidRDefault="00E66FA1" w:rsidP="00D939AE">
      <w:pPr>
        <w:pageBreakBefore/>
      </w:pPr>
      <w:r>
        <w:t>Publication:</w:t>
      </w:r>
    </w:p>
    <w:p w14:paraId="4F789635" w14:textId="22E39FA6" w:rsidR="00E66FA1" w:rsidRPr="00E66FA1" w:rsidRDefault="00E66FA1" w:rsidP="00E66FA1">
      <w:pPr>
        <w:ind w:left="720"/>
      </w:pPr>
      <w:r w:rsidRPr="00E66FA1">
        <w:t xml:space="preserve">Doshi D. Controlling Seizures in Children: Diazepam or Midazolam? Systematic Review. </w:t>
      </w:r>
      <w:r w:rsidRPr="00E66FA1">
        <w:rPr>
          <w:i/>
        </w:rPr>
        <w:t>Hong Kong Journal of Emergency Medicine</w:t>
      </w:r>
      <w:r w:rsidRPr="00E66FA1">
        <w:t>. 2010;17(2):196-204.</w:t>
      </w:r>
      <w:r>
        <w:rPr>
          <w:rStyle w:val="FootnoteReference"/>
        </w:rPr>
        <w:footnoteReference w:id="56"/>
      </w:r>
    </w:p>
    <w:p w14:paraId="5052F506" w14:textId="77777777" w:rsidR="00A554AC" w:rsidRPr="00E66FA1" w:rsidRDefault="00A554AC" w:rsidP="00E66FA1">
      <w:r w:rsidRPr="00E66FA1">
        <w:t>Four randomised, controlled trials were reviewed.</w:t>
      </w:r>
    </w:p>
    <w:p w14:paraId="198EB9C1" w14:textId="77777777" w:rsidR="00A554AC" w:rsidRPr="00E66FA1" w:rsidRDefault="00A554AC" w:rsidP="00E66FA1">
      <w:r w:rsidRPr="00E66FA1">
        <w:t>The reviewed trials were via ‘A literature search, performed to identify papers comparing the efficacy and tolerability of midazolam and diazepam in the management of childhood seizures.’</w:t>
      </w:r>
    </w:p>
    <w:p w14:paraId="1378DB09" w14:textId="5D8B492B" w:rsidR="00A554AC" w:rsidRDefault="00A554AC" w:rsidP="00E66FA1">
      <w:r>
        <w:t>The review found that</w:t>
      </w:r>
      <w:r w:rsidR="00E104F3">
        <w:t>:</w:t>
      </w:r>
    </w:p>
    <w:p w14:paraId="1E77AB68" w14:textId="77777777" w:rsidR="00A554AC" w:rsidRDefault="00A554AC" w:rsidP="00E66FA1">
      <w:pPr>
        <w:pStyle w:val="ListBullet"/>
      </w:pPr>
      <w:r>
        <w:t>‘Intranasal or buccal midazolam are at least as effective as rectal or intravenous diazepam in controlling acute childhood seizures;</w:t>
      </w:r>
    </w:p>
    <w:p w14:paraId="6FF78507" w14:textId="278F50F2" w:rsidR="00A554AC" w:rsidRDefault="00A554AC" w:rsidP="00E66FA1">
      <w:pPr>
        <w:pStyle w:val="ListBullet"/>
      </w:pPr>
      <w:r>
        <w:t>In all of the 4 robust studies reporting a significant difference, time to gain seizure control was shorter in patients treated with midazolam than those treated with diazepam, predominantly due to shorter drug administration time;</w:t>
      </w:r>
    </w:p>
    <w:p w14:paraId="05B74BFE" w14:textId="77777777" w:rsidR="00A554AC" w:rsidRDefault="00A554AC" w:rsidP="00E66FA1">
      <w:pPr>
        <w:pStyle w:val="ListBullet"/>
      </w:pPr>
      <w:r>
        <w:t>The incidence of seizure recurrence was lower in patients treated with midazolam than diazepam;</w:t>
      </w:r>
    </w:p>
    <w:p w14:paraId="63EAF8DB" w14:textId="77777777" w:rsidR="00A554AC" w:rsidRDefault="00A554AC" w:rsidP="00E66FA1">
      <w:pPr>
        <w:pStyle w:val="ListBullet"/>
      </w:pPr>
      <w:r>
        <w:t xml:space="preserve"> Respiratory depression was uncommon in both groups.’</w:t>
      </w:r>
    </w:p>
    <w:p w14:paraId="4859E27E" w14:textId="3C3DD895" w:rsidR="00A554AC" w:rsidRPr="00AA79CE" w:rsidRDefault="00E66FA1" w:rsidP="00E66FA1">
      <w:pPr>
        <w:pStyle w:val="Heading6"/>
        <w:rPr>
          <w:lang w:val="fr-FR"/>
        </w:rPr>
      </w:pPr>
      <w:r w:rsidRPr="00AA79CE">
        <w:rPr>
          <w:lang w:val="fr-FR"/>
        </w:rPr>
        <w:t>Glauser et al.</w:t>
      </w:r>
      <w:r w:rsidR="00A554AC" w:rsidRPr="00AA79CE">
        <w:rPr>
          <w:lang w:val="fr-FR"/>
        </w:rPr>
        <w:t xml:space="preserve"> </w:t>
      </w:r>
      <w:r w:rsidRPr="00AA79CE">
        <w:rPr>
          <w:lang w:val="fr-FR"/>
        </w:rPr>
        <w:t>(</w:t>
      </w:r>
      <w:r w:rsidR="00A554AC" w:rsidRPr="00AA79CE">
        <w:rPr>
          <w:lang w:val="fr-FR"/>
        </w:rPr>
        <w:t>2016</w:t>
      </w:r>
      <w:r w:rsidRPr="00AA79CE">
        <w:rPr>
          <w:lang w:val="fr-FR"/>
        </w:rPr>
        <w:t>)</w:t>
      </w:r>
    </w:p>
    <w:p w14:paraId="3198524A" w14:textId="3CCC6B05" w:rsidR="00E805C1" w:rsidRPr="00AA79CE" w:rsidRDefault="00E805C1" w:rsidP="00E805C1">
      <w:pPr>
        <w:rPr>
          <w:lang w:val="fr-FR"/>
        </w:rPr>
      </w:pPr>
      <w:r w:rsidRPr="00AA79CE">
        <w:rPr>
          <w:lang w:val="fr-FR"/>
        </w:rPr>
        <w:t>Publication:</w:t>
      </w:r>
    </w:p>
    <w:p w14:paraId="0CB8A479" w14:textId="25F3C98C" w:rsidR="00E805C1" w:rsidRDefault="00E805C1" w:rsidP="00E805C1">
      <w:pPr>
        <w:ind w:left="720"/>
      </w:pPr>
      <w:r w:rsidRPr="00AA79CE">
        <w:rPr>
          <w:lang w:val="fr-FR"/>
        </w:rPr>
        <w:t xml:space="preserve">Glauser et al. </w:t>
      </w:r>
      <w:r>
        <w:t>Evidence-Based Guideline: Treatment of Convulsive Status Epilepticus in Children and Adults: Report of the Guideline Committee of the American Epilepsy Society. Epilepsy Currents, Vol. 16, No. 1 (January/February) 2016 pp. 48–61.</w:t>
      </w:r>
      <w:r w:rsidRPr="00E805C1">
        <w:rPr>
          <w:rStyle w:val="FootnoteReference"/>
        </w:rPr>
        <w:t xml:space="preserve"> </w:t>
      </w:r>
      <w:r>
        <w:rPr>
          <w:rStyle w:val="FootnoteReference"/>
        </w:rPr>
        <w:footnoteReference w:id="57"/>
      </w:r>
    </w:p>
    <w:p w14:paraId="09327271" w14:textId="24A9BBA7" w:rsidR="00E805C1" w:rsidRPr="00E805C1" w:rsidRDefault="00E805C1" w:rsidP="00E805C1">
      <w:r>
        <w:t>This evidence-based guideline recommends the following:</w:t>
      </w:r>
    </w:p>
    <w:p w14:paraId="74D0EE95" w14:textId="55458FEB" w:rsidR="00A554AC" w:rsidRDefault="00A554AC" w:rsidP="00E805C1">
      <w:pPr>
        <w:pStyle w:val="ListBullet"/>
      </w:pPr>
      <w:r>
        <w:t>In children, intranasal lorazepam and intravenous diazepam are established as efficacious at stopping seizures lasting at least 5 minutes (Level A) while recital diazepam, intramuscular midazolam and intranasal midazolam and buccal midazolam are probably effective (Level B</w:t>
      </w:r>
      <w:r w:rsidR="006B6861">
        <w:t xml:space="preserve"> evidence</w:t>
      </w:r>
      <w:r>
        <w:t>);</w:t>
      </w:r>
    </w:p>
    <w:p w14:paraId="3DB8012E" w14:textId="1791329D" w:rsidR="00A554AC" w:rsidRDefault="00A554AC" w:rsidP="00E805C1">
      <w:pPr>
        <w:pStyle w:val="ListBullet"/>
      </w:pPr>
      <w:r>
        <w:t>For prehospital settings or where the three first-line benzodiazepine options are not available, rectal diazepam, intranasal midazolam, and buccal midazolam are reasonable initial therapy alternatives (level B</w:t>
      </w:r>
      <w:r w:rsidR="006B6861">
        <w:t xml:space="preserve"> evidence</w:t>
      </w:r>
      <w:r>
        <w:t>);</w:t>
      </w:r>
    </w:p>
    <w:p w14:paraId="6C41E732" w14:textId="2D89398F" w:rsidR="00A554AC" w:rsidRDefault="00A554AC" w:rsidP="00E805C1">
      <w:pPr>
        <w:pStyle w:val="ListBullet"/>
      </w:pPr>
      <w:r>
        <w:t>Time to seizure cessation from identification of the seizure in the emergency department was significantly shorter for buccal midazolam compared with IV diazepam (2.39 minutes v</w:t>
      </w:r>
      <w:r w:rsidR="006B6861">
        <w:t>ersus</w:t>
      </w:r>
      <w:r>
        <w:t xml:space="preserve"> 2.98 minutes, respectively), with most of the difference driven by more rapid time to initiation of treatment;</w:t>
      </w:r>
    </w:p>
    <w:p w14:paraId="790C150A" w14:textId="4E6AAF37" w:rsidR="00A554AC" w:rsidRDefault="00A554AC" w:rsidP="00E805C1">
      <w:pPr>
        <w:pStyle w:val="ListBullet"/>
      </w:pPr>
      <w:r>
        <w:t>Buccal midazolam is probably effective at stopping seizures lasting at least 5 minutes (level B</w:t>
      </w:r>
      <w:r w:rsidR="006B6861">
        <w:t xml:space="preserve"> evidence</w:t>
      </w:r>
      <w:r>
        <w:t>);</w:t>
      </w:r>
    </w:p>
    <w:p w14:paraId="33D04B87" w14:textId="07C56D2D" w:rsidR="00A554AC" w:rsidRDefault="00A554AC" w:rsidP="00E805C1">
      <w:pPr>
        <w:pStyle w:val="ListBullet"/>
      </w:pPr>
      <w:r>
        <w:t>‘Two class III studies reported respiratory depression with use of buccal midazolam in children, in contrast to two class III studies, which reported no respiratory depression associated with use of buccal midazolam in the paediatric population.</w:t>
      </w:r>
      <w:r w:rsidR="00E805C1">
        <w:t>’</w:t>
      </w:r>
    </w:p>
    <w:p w14:paraId="58EE426C" w14:textId="7BFCE555" w:rsidR="00A554AC" w:rsidRPr="00AA79CE" w:rsidRDefault="00A554AC" w:rsidP="00E805C1">
      <w:pPr>
        <w:pStyle w:val="Heading6"/>
        <w:rPr>
          <w:lang w:val="fr-FR"/>
        </w:rPr>
      </w:pPr>
      <w:r w:rsidRPr="00AA79CE">
        <w:rPr>
          <w:lang w:val="fr-FR"/>
        </w:rPr>
        <w:t xml:space="preserve">Haut et al. </w:t>
      </w:r>
      <w:r w:rsidR="00E805C1" w:rsidRPr="00AA79CE">
        <w:rPr>
          <w:lang w:val="fr-FR"/>
        </w:rPr>
        <w:t>(</w:t>
      </w:r>
      <w:r w:rsidRPr="00AA79CE">
        <w:rPr>
          <w:lang w:val="fr-FR"/>
        </w:rPr>
        <w:t>2016</w:t>
      </w:r>
      <w:r w:rsidR="00E805C1" w:rsidRPr="00AA79CE">
        <w:rPr>
          <w:lang w:val="fr-FR"/>
        </w:rPr>
        <w:t>)</w:t>
      </w:r>
    </w:p>
    <w:p w14:paraId="2FF6D68E" w14:textId="0C362F0A" w:rsidR="00E805C1" w:rsidRPr="00AA79CE" w:rsidRDefault="00E805C1" w:rsidP="00E805C1">
      <w:pPr>
        <w:rPr>
          <w:lang w:val="fr-FR"/>
        </w:rPr>
      </w:pPr>
      <w:r w:rsidRPr="00AA79CE">
        <w:rPr>
          <w:lang w:val="fr-FR"/>
        </w:rPr>
        <w:t>Publication:</w:t>
      </w:r>
    </w:p>
    <w:p w14:paraId="15B754F2" w14:textId="0463AC1C" w:rsidR="00E805C1" w:rsidRPr="00E805C1" w:rsidRDefault="00E805C1" w:rsidP="00E805C1">
      <w:pPr>
        <w:ind w:left="720"/>
      </w:pPr>
      <w:r w:rsidRPr="00AA79CE">
        <w:rPr>
          <w:lang w:val="fr-FR"/>
        </w:rPr>
        <w:t xml:space="preserve">Haut et al. </w:t>
      </w:r>
      <w:r>
        <w:t xml:space="preserve">Benzodiazepine use in seizure emergencies: A systematic review. </w:t>
      </w:r>
      <w:r w:rsidRPr="00E805C1">
        <w:rPr>
          <w:i/>
        </w:rPr>
        <w:t>Epilepsy &amp; Behaviour</w:t>
      </w:r>
      <w:r>
        <w:t xml:space="preserve"> 63 (2016) 109-117.</w:t>
      </w:r>
      <w:r>
        <w:rPr>
          <w:rStyle w:val="FootnoteReference"/>
        </w:rPr>
        <w:footnoteReference w:id="58"/>
      </w:r>
    </w:p>
    <w:p w14:paraId="477714E8" w14:textId="686A5F54" w:rsidR="00A554AC" w:rsidRDefault="00A554AC" w:rsidP="00E805C1">
      <w:r>
        <w:t>This review contained limited specific information mostly tabulated and combined with adults’ data.</w:t>
      </w:r>
    </w:p>
    <w:p w14:paraId="3E69E2CC" w14:textId="59AF7EE3" w:rsidR="00A554AC" w:rsidRPr="00AA79CE" w:rsidRDefault="00A554AC" w:rsidP="00E805C1">
      <w:pPr>
        <w:pStyle w:val="Heading6"/>
        <w:rPr>
          <w:lang w:val="fr-FR"/>
        </w:rPr>
      </w:pPr>
      <w:r w:rsidRPr="00AA79CE">
        <w:rPr>
          <w:lang w:val="fr-FR"/>
        </w:rPr>
        <w:t>Jain et al</w:t>
      </w:r>
      <w:r w:rsidR="00E805C1" w:rsidRPr="00AA79CE">
        <w:rPr>
          <w:lang w:val="fr-FR"/>
        </w:rPr>
        <w:t>. (</w:t>
      </w:r>
      <w:r w:rsidRPr="00AA79CE">
        <w:rPr>
          <w:lang w:val="fr-FR"/>
        </w:rPr>
        <w:t>2016</w:t>
      </w:r>
      <w:r w:rsidR="00E805C1" w:rsidRPr="00AA79CE">
        <w:rPr>
          <w:lang w:val="fr-FR"/>
        </w:rPr>
        <w:t>)</w:t>
      </w:r>
    </w:p>
    <w:p w14:paraId="3CA3AECC" w14:textId="41DFE7AE" w:rsidR="00E805C1" w:rsidRPr="00AA79CE" w:rsidRDefault="00E805C1" w:rsidP="00E805C1">
      <w:pPr>
        <w:rPr>
          <w:lang w:val="fr-FR"/>
        </w:rPr>
      </w:pPr>
      <w:r w:rsidRPr="00AA79CE">
        <w:rPr>
          <w:lang w:val="fr-FR"/>
        </w:rPr>
        <w:t>Publication:</w:t>
      </w:r>
    </w:p>
    <w:p w14:paraId="61DC88C9" w14:textId="44EF42F0" w:rsidR="00E805C1" w:rsidRPr="00E805C1" w:rsidRDefault="00E805C1" w:rsidP="00E805C1">
      <w:pPr>
        <w:ind w:left="720"/>
      </w:pPr>
      <w:r w:rsidRPr="00AA79CE">
        <w:rPr>
          <w:lang w:val="fr-FR"/>
        </w:rPr>
        <w:t xml:space="preserve">Jain et al. </w:t>
      </w:r>
      <w:r w:rsidRPr="00E805C1">
        <w:t xml:space="preserve">Efficacy and safety of anti-epileptic drugs in patients with active convulsive seizures when no IV access is available: Systematic review and meta-analysis. </w:t>
      </w:r>
      <w:r w:rsidRPr="00E805C1">
        <w:rPr>
          <w:i/>
        </w:rPr>
        <w:t>Epilepsy Research</w:t>
      </w:r>
      <w:r w:rsidRPr="00E805C1">
        <w:t xml:space="preserve"> 122 (2016) 47-55.</w:t>
      </w:r>
      <w:r>
        <w:rPr>
          <w:rStyle w:val="FootnoteReference"/>
        </w:rPr>
        <w:footnoteReference w:id="59"/>
      </w:r>
    </w:p>
    <w:p w14:paraId="7F2E6FC4" w14:textId="2405502A" w:rsidR="00A554AC" w:rsidRDefault="00A554AC" w:rsidP="00E805C1">
      <w:r>
        <w:t>The review by Jain et al</w:t>
      </w:r>
      <w:r w:rsidR="00E805C1">
        <w:t>.</w:t>
      </w:r>
      <w:r>
        <w:t xml:space="preserve"> </w:t>
      </w:r>
      <w:r w:rsidR="00E805C1">
        <w:t>(</w:t>
      </w:r>
      <w:r>
        <w:t>2016</w:t>
      </w:r>
      <w:r w:rsidR="00E805C1">
        <w:t>)</w:t>
      </w:r>
      <w:r>
        <w:t xml:space="preserve"> included p</w:t>
      </w:r>
      <w:r w:rsidR="00E805C1">
        <w:t xml:space="preserve">apers by Ashrafi et al. </w:t>
      </w:r>
      <w:r w:rsidR="00E805C1" w:rsidRPr="00AA79CE">
        <w:rPr>
          <w:lang w:val="fr-FR"/>
        </w:rPr>
        <w:t>(2010);</w:t>
      </w:r>
      <w:r w:rsidR="00E805C1" w:rsidRPr="00E805C1">
        <w:rPr>
          <w:vertAlign w:val="superscript"/>
        </w:rPr>
        <w:fldChar w:fldCharType="begin"/>
      </w:r>
      <w:r w:rsidR="00E805C1" w:rsidRPr="00AA79CE">
        <w:rPr>
          <w:vertAlign w:val="superscript"/>
          <w:lang w:val="fr-FR"/>
        </w:rPr>
        <w:instrText xml:space="preserve"> NOTEREF _Ref108599168 \h  \* MERGEFORMAT </w:instrText>
      </w:r>
      <w:r w:rsidR="00E805C1" w:rsidRPr="00E805C1">
        <w:rPr>
          <w:vertAlign w:val="superscript"/>
        </w:rPr>
      </w:r>
      <w:r w:rsidR="00E805C1" w:rsidRPr="00E805C1">
        <w:rPr>
          <w:vertAlign w:val="superscript"/>
        </w:rPr>
        <w:fldChar w:fldCharType="separate"/>
      </w:r>
      <w:r w:rsidR="00AA79CE">
        <w:rPr>
          <w:vertAlign w:val="superscript"/>
          <w:lang w:val="fr-FR"/>
        </w:rPr>
        <w:t>36</w:t>
      </w:r>
      <w:r w:rsidR="00E805C1" w:rsidRPr="00E805C1">
        <w:rPr>
          <w:vertAlign w:val="superscript"/>
        </w:rPr>
        <w:fldChar w:fldCharType="end"/>
      </w:r>
      <w:r w:rsidR="00E805C1" w:rsidRPr="00AA79CE">
        <w:rPr>
          <w:lang w:val="fr-FR"/>
        </w:rPr>
        <w:t xml:space="preserve"> Baysun et al. (2005);</w:t>
      </w:r>
      <w:r w:rsidR="00E805C1" w:rsidRPr="00E805C1">
        <w:rPr>
          <w:vertAlign w:val="superscript"/>
        </w:rPr>
        <w:fldChar w:fldCharType="begin"/>
      </w:r>
      <w:r w:rsidR="00E805C1" w:rsidRPr="00AA79CE">
        <w:rPr>
          <w:vertAlign w:val="superscript"/>
          <w:lang w:val="fr-FR"/>
        </w:rPr>
        <w:instrText xml:space="preserve"> NOTEREF _Ref108599359 \h  \* MERGEFORMAT </w:instrText>
      </w:r>
      <w:r w:rsidR="00E805C1" w:rsidRPr="00E805C1">
        <w:rPr>
          <w:vertAlign w:val="superscript"/>
        </w:rPr>
      </w:r>
      <w:r w:rsidR="00E805C1" w:rsidRPr="00E805C1">
        <w:rPr>
          <w:vertAlign w:val="superscript"/>
        </w:rPr>
        <w:fldChar w:fldCharType="separate"/>
      </w:r>
      <w:r w:rsidR="00AA79CE">
        <w:rPr>
          <w:vertAlign w:val="superscript"/>
          <w:lang w:val="fr-FR"/>
        </w:rPr>
        <w:t>39</w:t>
      </w:r>
      <w:r w:rsidR="00E805C1" w:rsidRPr="00E805C1">
        <w:rPr>
          <w:vertAlign w:val="superscript"/>
        </w:rPr>
        <w:fldChar w:fldCharType="end"/>
      </w:r>
      <w:r w:rsidRPr="00AA79CE">
        <w:rPr>
          <w:lang w:val="fr-FR"/>
        </w:rPr>
        <w:t xml:space="preserve"> McIntyre et al. (2005)</w:t>
      </w:r>
      <w:r w:rsidR="00E805C1" w:rsidRPr="00AA79CE">
        <w:rPr>
          <w:lang w:val="fr-FR"/>
        </w:rPr>
        <w:t>;</w:t>
      </w:r>
      <w:r w:rsidR="00E805C1" w:rsidRPr="00E805C1">
        <w:rPr>
          <w:vertAlign w:val="superscript"/>
        </w:rPr>
        <w:fldChar w:fldCharType="begin"/>
      </w:r>
      <w:r w:rsidR="00E805C1" w:rsidRPr="00AA79CE">
        <w:rPr>
          <w:vertAlign w:val="superscript"/>
          <w:lang w:val="fr-FR"/>
        </w:rPr>
        <w:instrText xml:space="preserve"> NOTEREF _Ref108599219 \h  \* MERGEFORMAT </w:instrText>
      </w:r>
      <w:r w:rsidR="00E805C1" w:rsidRPr="00E805C1">
        <w:rPr>
          <w:vertAlign w:val="superscript"/>
        </w:rPr>
      </w:r>
      <w:r w:rsidR="00E805C1" w:rsidRPr="00E805C1">
        <w:rPr>
          <w:vertAlign w:val="superscript"/>
        </w:rPr>
        <w:fldChar w:fldCharType="separate"/>
      </w:r>
      <w:r w:rsidR="00AA79CE">
        <w:rPr>
          <w:vertAlign w:val="superscript"/>
          <w:lang w:val="fr-FR"/>
        </w:rPr>
        <w:t>37</w:t>
      </w:r>
      <w:r w:rsidR="00E805C1" w:rsidRPr="00E805C1">
        <w:rPr>
          <w:vertAlign w:val="superscript"/>
        </w:rPr>
        <w:fldChar w:fldCharType="end"/>
      </w:r>
      <w:r w:rsidR="00E805C1" w:rsidRPr="00AA79CE">
        <w:rPr>
          <w:lang w:val="fr-FR"/>
        </w:rPr>
        <w:t xml:space="preserve"> Mpimbaza et al. (2008);</w:t>
      </w:r>
      <w:r w:rsidR="00E805C1" w:rsidRPr="00E805C1">
        <w:rPr>
          <w:vertAlign w:val="superscript"/>
        </w:rPr>
        <w:fldChar w:fldCharType="begin"/>
      </w:r>
      <w:r w:rsidR="00E805C1" w:rsidRPr="00AA79CE">
        <w:rPr>
          <w:vertAlign w:val="superscript"/>
          <w:lang w:val="fr-FR"/>
        </w:rPr>
        <w:instrText xml:space="preserve"> NOTEREF _Ref108599232 \h  \* MERGEFORMAT </w:instrText>
      </w:r>
      <w:r w:rsidR="00E805C1" w:rsidRPr="00E805C1">
        <w:rPr>
          <w:vertAlign w:val="superscript"/>
        </w:rPr>
      </w:r>
      <w:r w:rsidR="00E805C1" w:rsidRPr="00E805C1">
        <w:rPr>
          <w:vertAlign w:val="superscript"/>
        </w:rPr>
        <w:fldChar w:fldCharType="separate"/>
      </w:r>
      <w:r w:rsidR="00AA79CE">
        <w:rPr>
          <w:vertAlign w:val="superscript"/>
          <w:lang w:val="fr-FR"/>
        </w:rPr>
        <w:t>45</w:t>
      </w:r>
      <w:r w:rsidR="00E805C1" w:rsidRPr="00E805C1">
        <w:rPr>
          <w:vertAlign w:val="superscript"/>
        </w:rPr>
        <w:fldChar w:fldCharType="end"/>
      </w:r>
      <w:r w:rsidRPr="00AA79CE">
        <w:rPr>
          <w:lang w:val="fr-FR"/>
        </w:rPr>
        <w:t xml:space="preserve"> Scott et al. </w:t>
      </w:r>
      <w:r>
        <w:t>(1999)</w:t>
      </w:r>
      <w:r w:rsidR="00E805C1">
        <w:t>;</w:t>
      </w:r>
      <w:r w:rsidR="00E805C1" w:rsidRPr="00E805C1">
        <w:rPr>
          <w:vertAlign w:val="superscript"/>
        </w:rPr>
        <w:fldChar w:fldCharType="begin"/>
      </w:r>
      <w:r w:rsidR="00E805C1" w:rsidRPr="00E805C1">
        <w:rPr>
          <w:vertAlign w:val="superscript"/>
        </w:rPr>
        <w:instrText xml:space="preserve"> NOTEREF _Ref108601326 \h </w:instrText>
      </w:r>
      <w:r w:rsidR="00E805C1">
        <w:rPr>
          <w:vertAlign w:val="superscript"/>
        </w:rPr>
        <w:instrText xml:space="preserve"> \* MERGEFORMAT </w:instrText>
      </w:r>
      <w:r w:rsidR="00E805C1" w:rsidRPr="00E805C1">
        <w:rPr>
          <w:vertAlign w:val="superscript"/>
        </w:rPr>
      </w:r>
      <w:r w:rsidR="00E805C1" w:rsidRPr="00E805C1">
        <w:rPr>
          <w:vertAlign w:val="superscript"/>
        </w:rPr>
        <w:fldChar w:fldCharType="separate"/>
      </w:r>
      <w:r w:rsidR="00AA79CE">
        <w:rPr>
          <w:vertAlign w:val="superscript"/>
        </w:rPr>
        <w:t>28</w:t>
      </w:r>
      <w:r w:rsidR="00E805C1" w:rsidRPr="00E805C1">
        <w:rPr>
          <w:vertAlign w:val="superscript"/>
        </w:rPr>
        <w:fldChar w:fldCharType="end"/>
      </w:r>
      <w:r w:rsidRPr="00E805C1">
        <w:rPr>
          <w:vertAlign w:val="superscript"/>
        </w:rPr>
        <w:t xml:space="preserve"> </w:t>
      </w:r>
      <w:r>
        <w:t>and Trajano et al. (2009)</w:t>
      </w:r>
      <w:r>
        <w:rPr>
          <w:rStyle w:val="FootnoteReference"/>
        </w:rPr>
        <w:footnoteReference w:id="60"/>
      </w:r>
      <w:r>
        <w:t xml:space="preserve"> in children, bu</w:t>
      </w:r>
      <w:r w:rsidR="00E805C1">
        <w:t>t also Nakken and Lossius (2011);</w:t>
      </w:r>
      <w:r w:rsidR="00E805C1" w:rsidRPr="00E805C1">
        <w:rPr>
          <w:vertAlign w:val="superscript"/>
        </w:rPr>
        <w:fldChar w:fldCharType="begin"/>
      </w:r>
      <w:r w:rsidR="00E805C1" w:rsidRPr="00E805C1">
        <w:rPr>
          <w:vertAlign w:val="superscript"/>
        </w:rPr>
        <w:instrText xml:space="preserve"> NOTEREF _Ref108601452 \h </w:instrText>
      </w:r>
      <w:r w:rsidR="00E805C1">
        <w:rPr>
          <w:vertAlign w:val="superscript"/>
        </w:rPr>
        <w:instrText xml:space="preserve"> \* MERGEFORMAT </w:instrText>
      </w:r>
      <w:r w:rsidR="00E805C1" w:rsidRPr="00E805C1">
        <w:rPr>
          <w:vertAlign w:val="superscript"/>
        </w:rPr>
      </w:r>
      <w:r w:rsidR="00E805C1" w:rsidRPr="00E805C1">
        <w:rPr>
          <w:vertAlign w:val="superscript"/>
        </w:rPr>
        <w:fldChar w:fldCharType="separate"/>
      </w:r>
      <w:r w:rsidR="00AA79CE">
        <w:rPr>
          <w:vertAlign w:val="superscript"/>
        </w:rPr>
        <w:t>52</w:t>
      </w:r>
      <w:r w:rsidR="00E805C1" w:rsidRPr="00E805C1">
        <w:rPr>
          <w:vertAlign w:val="superscript"/>
        </w:rPr>
        <w:fldChar w:fldCharType="end"/>
      </w:r>
      <w:r>
        <w:t xml:space="preserve"> in adults.</w:t>
      </w:r>
    </w:p>
    <w:p w14:paraId="7E9C6AA0" w14:textId="70E912BA" w:rsidR="00705165" w:rsidRDefault="00705165" w:rsidP="00705165">
      <w:pPr>
        <w:pStyle w:val="TableTitle"/>
      </w:pPr>
      <w:r>
        <w:t xml:space="preserve">Table </w:t>
      </w:r>
      <w:fldSimple w:instr=" SEQ Table \* ARABIC ">
        <w:r w:rsidR="00AA79CE">
          <w:rPr>
            <w:noProof/>
          </w:rPr>
          <w:t>16</w:t>
        </w:r>
      </w:fldSimple>
      <w:r>
        <w:t>: Jain et al. (2016) Details of studies in review</w:t>
      </w:r>
    </w:p>
    <w:p w14:paraId="3822B02E" w14:textId="32E0C9A4" w:rsidR="00A554AC" w:rsidRDefault="00A554AC" w:rsidP="00A554AC">
      <w:pPr>
        <w:rPr>
          <w:lang w:eastAsia="ja-JP"/>
        </w:rPr>
      </w:pPr>
      <w:r>
        <w:rPr>
          <w:noProof/>
          <w:lang w:val="en-GB" w:eastAsia="en-GB"/>
        </w:rPr>
        <w:drawing>
          <wp:inline distT="0" distB="0" distL="0" distR="0" wp14:anchorId="7A2617B5" wp14:editId="54B4E7F3">
            <wp:extent cx="5615752" cy="2536466"/>
            <wp:effectExtent l="0" t="0" r="4445" b="0"/>
            <wp:docPr id="11" name="Picture 11" descr="Details of papers revi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tails of papers review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50312" cy="2552076"/>
                    </a:xfrm>
                    <a:prstGeom prst="rect">
                      <a:avLst/>
                    </a:prstGeom>
                    <a:noFill/>
                    <a:ln>
                      <a:noFill/>
                    </a:ln>
                  </pic:spPr>
                </pic:pic>
              </a:graphicData>
            </a:graphic>
          </wp:inline>
        </w:drawing>
      </w:r>
    </w:p>
    <w:p w14:paraId="5451AF11" w14:textId="253BBA80" w:rsidR="00A554AC" w:rsidRPr="00AA79CE" w:rsidRDefault="004C211A" w:rsidP="004C211A">
      <w:pPr>
        <w:pStyle w:val="Heading6"/>
        <w:rPr>
          <w:lang w:val="fr-FR"/>
        </w:rPr>
      </w:pPr>
      <w:r w:rsidRPr="00AA79CE">
        <w:rPr>
          <w:lang w:val="fr-FR"/>
        </w:rPr>
        <w:t>McMullen et al.</w:t>
      </w:r>
      <w:r w:rsidR="00A554AC" w:rsidRPr="00AA79CE">
        <w:rPr>
          <w:lang w:val="fr-FR"/>
        </w:rPr>
        <w:t xml:space="preserve"> </w:t>
      </w:r>
      <w:r w:rsidRPr="00AA79CE">
        <w:rPr>
          <w:lang w:val="fr-FR"/>
        </w:rPr>
        <w:t>(</w:t>
      </w:r>
      <w:r w:rsidR="00A554AC" w:rsidRPr="00AA79CE">
        <w:rPr>
          <w:lang w:val="fr-FR"/>
        </w:rPr>
        <w:t>2010</w:t>
      </w:r>
      <w:r w:rsidRPr="00AA79CE">
        <w:rPr>
          <w:lang w:val="fr-FR"/>
        </w:rPr>
        <w:t>)</w:t>
      </w:r>
    </w:p>
    <w:p w14:paraId="3BCE6904" w14:textId="5BFC14FD" w:rsidR="004C211A" w:rsidRPr="00AA79CE" w:rsidRDefault="004C211A" w:rsidP="004C211A">
      <w:pPr>
        <w:rPr>
          <w:lang w:val="fr-FR"/>
        </w:rPr>
      </w:pPr>
      <w:r w:rsidRPr="00AA79CE">
        <w:rPr>
          <w:lang w:val="fr-FR"/>
        </w:rPr>
        <w:t>Publication:</w:t>
      </w:r>
    </w:p>
    <w:p w14:paraId="7E0864A2" w14:textId="77777777" w:rsidR="004C211A" w:rsidRDefault="004C211A" w:rsidP="004C211A">
      <w:pPr>
        <w:ind w:left="720"/>
      </w:pPr>
      <w:r w:rsidRPr="00AA79CE">
        <w:rPr>
          <w:lang w:val="fr-FR"/>
        </w:rPr>
        <w:t xml:space="preserve">McMullan J, Sasson C, Pancioli. </w:t>
      </w:r>
      <w:r>
        <w:t>Midazolam versus diazepam for the treatment of status epilepticus in children and young adults: A meta-analysis</w:t>
      </w:r>
      <w:r w:rsidRPr="004C211A">
        <w:rPr>
          <w:i/>
        </w:rPr>
        <w:t>. Academic emergency medicine</w:t>
      </w:r>
      <w:r>
        <w:t xml:space="preserve"> 2010; 17:575–582.</w:t>
      </w:r>
    </w:p>
    <w:p w14:paraId="5CB60DFE" w14:textId="62721B72" w:rsidR="00A554AC" w:rsidRDefault="00A554AC" w:rsidP="004C211A">
      <w:r>
        <w:t xml:space="preserve">McMullen et al reviewed </w:t>
      </w:r>
      <w:r w:rsidR="004C211A">
        <w:t>three articles (McIntyre et al.</w:t>
      </w:r>
      <w:r>
        <w:t xml:space="preserve"> </w:t>
      </w:r>
      <w:r w:rsidR="004C211A">
        <w:t>(</w:t>
      </w:r>
      <w:r>
        <w:t>2005</w:t>
      </w:r>
      <w:r w:rsidR="004C211A">
        <w:t>);</w:t>
      </w:r>
      <w:r w:rsidR="004C211A" w:rsidRPr="004C211A">
        <w:rPr>
          <w:vertAlign w:val="superscript"/>
        </w:rPr>
        <w:fldChar w:fldCharType="begin"/>
      </w:r>
      <w:r w:rsidR="004C211A" w:rsidRPr="004C211A">
        <w:rPr>
          <w:vertAlign w:val="superscript"/>
        </w:rPr>
        <w:instrText xml:space="preserve"> NOTEREF _Ref108599219 \h </w:instrText>
      </w:r>
      <w:r w:rsidR="004C211A">
        <w:rPr>
          <w:vertAlign w:val="superscript"/>
        </w:rPr>
        <w:instrText xml:space="preserve"> \* MERGEFORMAT </w:instrText>
      </w:r>
      <w:r w:rsidR="004C211A" w:rsidRPr="004C211A">
        <w:rPr>
          <w:vertAlign w:val="superscript"/>
        </w:rPr>
      </w:r>
      <w:r w:rsidR="004C211A" w:rsidRPr="004C211A">
        <w:rPr>
          <w:vertAlign w:val="superscript"/>
        </w:rPr>
        <w:fldChar w:fldCharType="separate"/>
      </w:r>
      <w:r w:rsidR="00AA79CE">
        <w:rPr>
          <w:vertAlign w:val="superscript"/>
        </w:rPr>
        <w:t>37</w:t>
      </w:r>
      <w:r w:rsidR="004C211A" w:rsidRPr="004C211A">
        <w:rPr>
          <w:vertAlign w:val="superscript"/>
        </w:rPr>
        <w:fldChar w:fldCharType="end"/>
      </w:r>
      <w:r>
        <w:t xml:space="preserve"> </w:t>
      </w:r>
      <w:r w:rsidR="004C211A">
        <w:t>Mpimbaza et al.</w:t>
      </w:r>
      <w:r>
        <w:t xml:space="preserve"> </w:t>
      </w:r>
      <w:r w:rsidR="004C211A">
        <w:t>(</w:t>
      </w:r>
      <w:r>
        <w:t>2008</w:t>
      </w:r>
      <w:r w:rsidR="004C211A">
        <w:t>);</w:t>
      </w:r>
      <w:r w:rsidR="004C211A" w:rsidRPr="004C211A">
        <w:rPr>
          <w:vertAlign w:val="superscript"/>
        </w:rPr>
        <w:fldChar w:fldCharType="begin"/>
      </w:r>
      <w:r w:rsidR="004C211A" w:rsidRPr="004C211A">
        <w:rPr>
          <w:vertAlign w:val="superscript"/>
        </w:rPr>
        <w:instrText xml:space="preserve"> NOTEREF _Ref108599232 \h </w:instrText>
      </w:r>
      <w:r w:rsidR="004C211A">
        <w:rPr>
          <w:vertAlign w:val="superscript"/>
        </w:rPr>
        <w:instrText xml:space="preserve"> \* MERGEFORMAT </w:instrText>
      </w:r>
      <w:r w:rsidR="004C211A" w:rsidRPr="004C211A">
        <w:rPr>
          <w:vertAlign w:val="superscript"/>
        </w:rPr>
      </w:r>
      <w:r w:rsidR="004C211A" w:rsidRPr="004C211A">
        <w:rPr>
          <w:vertAlign w:val="superscript"/>
        </w:rPr>
        <w:fldChar w:fldCharType="separate"/>
      </w:r>
      <w:r w:rsidR="00AA79CE">
        <w:rPr>
          <w:vertAlign w:val="superscript"/>
        </w:rPr>
        <w:t>45</w:t>
      </w:r>
      <w:r w:rsidR="004C211A" w:rsidRPr="004C211A">
        <w:rPr>
          <w:vertAlign w:val="superscript"/>
        </w:rPr>
        <w:fldChar w:fldCharType="end"/>
      </w:r>
      <w:r w:rsidR="004C211A">
        <w:t xml:space="preserve"> and Scott et al.</w:t>
      </w:r>
      <w:r>
        <w:t xml:space="preserve"> </w:t>
      </w:r>
      <w:r w:rsidR="004C211A">
        <w:t>(</w:t>
      </w:r>
      <w:r>
        <w:t>1999);</w:t>
      </w:r>
      <w:r w:rsidR="004C211A" w:rsidRPr="004C211A">
        <w:rPr>
          <w:vertAlign w:val="superscript"/>
        </w:rPr>
        <w:fldChar w:fldCharType="begin"/>
      </w:r>
      <w:r w:rsidR="004C211A" w:rsidRPr="004C211A">
        <w:rPr>
          <w:vertAlign w:val="superscript"/>
        </w:rPr>
        <w:instrText xml:space="preserve"> NOTEREF _Ref108601326 \h </w:instrText>
      </w:r>
      <w:r w:rsidR="004C211A">
        <w:rPr>
          <w:vertAlign w:val="superscript"/>
        </w:rPr>
        <w:instrText xml:space="preserve"> \* MERGEFORMAT </w:instrText>
      </w:r>
      <w:r w:rsidR="004C211A" w:rsidRPr="004C211A">
        <w:rPr>
          <w:vertAlign w:val="superscript"/>
        </w:rPr>
      </w:r>
      <w:r w:rsidR="004C211A" w:rsidRPr="004C211A">
        <w:rPr>
          <w:vertAlign w:val="superscript"/>
        </w:rPr>
        <w:fldChar w:fldCharType="separate"/>
      </w:r>
      <w:r w:rsidR="00AA79CE">
        <w:rPr>
          <w:vertAlign w:val="superscript"/>
        </w:rPr>
        <w:t>28</w:t>
      </w:r>
      <w:r w:rsidR="004C211A" w:rsidRPr="004C211A">
        <w:rPr>
          <w:vertAlign w:val="superscript"/>
        </w:rPr>
        <w:fldChar w:fldCharType="end"/>
      </w:r>
    </w:p>
    <w:p w14:paraId="748CD666" w14:textId="74E48985" w:rsidR="00A554AC" w:rsidRDefault="00A554AC" w:rsidP="004C211A">
      <w:r>
        <w:t>The author concluded that buccal midazolam was more successful than rectal d</w:t>
      </w:r>
      <w:r w:rsidR="009109F0">
        <w:t>iazepam in seizure cessation (relative risk</w:t>
      </w:r>
      <w:r>
        <w:t xml:space="preserve"> = 1.54; 95% CI 1.29 to 1.85; I2 = 0%.</w:t>
      </w:r>
    </w:p>
    <w:p w14:paraId="5A09F174" w14:textId="793C681D" w:rsidR="00A554AC" w:rsidRPr="00AA79CE" w:rsidRDefault="00A554AC" w:rsidP="004C211A">
      <w:pPr>
        <w:pStyle w:val="Heading6"/>
        <w:rPr>
          <w:lang w:val="fr-FR"/>
        </w:rPr>
      </w:pPr>
      <w:r w:rsidRPr="00AA79CE">
        <w:rPr>
          <w:lang w:val="fr-FR"/>
        </w:rPr>
        <w:t xml:space="preserve">Sofou et </w:t>
      </w:r>
      <w:r w:rsidR="004C211A" w:rsidRPr="00AA79CE">
        <w:rPr>
          <w:lang w:val="fr-FR"/>
        </w:rPr>
        <w:t>al.</w:t>
      </w:r>
      <w:r w:rsidRPr="00AA79CE">
        <w:rPr>
          <w:lang w:val="fr-FR"/>
        </w:rPr>
        <w:t xml:space="preserve"> </w:t>
      </w:r>
      <w:r w:rsidR="004C211A" w:rsidRPr="00AA79CE">
        <w:rPr>
          <w:lang w:val="fr-FR"/>
        </w:rPr>
        <w:t>(</w:t>
      </w:r>
      <w:r w:rsidRPr="00AA79CE">
        <w:rPr>
          <w:lang w:val="fr-FR"/>
        </w:rPr>
        <w:t>2009</w:t>
      </w:r>
      <w:r w:rsidR="004C211A" w:rsidRPr="00AA79CE">
        <w:rPr>
          <w:lang w:val="fr-FR"/>
        </w:rPr>
        <w:t>)</w:t>
      </w:r>
    </w:p>
    <w:p w14:paraId="1D730790" w14:textId="5A8C756D" w:rsidR="004C211A" w:rsidRPr="00AA79CE" w:rsidRDefault="004C211A" w:rsidP="004C211A">
      <w:pPr>
        <w:rPr>
          <w:lang w:val="fr-FR"/>
        </w:rPr>
      </w:pPr>
      <w:r w:rsidRPr="00AA79CE">
        <w:rPr>
          <w:lang w:val="fr-FR"/>
        </w:rPr>
        <w:t>Publication:</w:t>
      </w:r>
    </w:p>
    <w:p w14:paraId="5981AE1D" w14:textId="43272E92" w:rsidR="004C211A" w:rsidRPr="004C211A" w:rsidRDefault="004C211A" w:rsidP="004C211A">
      <w:pPr>
        <w:ind w:left="720"/>
      </w:pPr>
      <w:r w:rsidRPr="00AA79CE">
        <w:rPr>
          <w:lang w:val="fr-FR"/>
        </w:rPr>
        <w:t xml:space="preserve">Sofou et al. </w:t>
      </w:r>
      <w:r w:rsidR="003A3043" w:rsidRPr="004C211A">
        <w:t xml:space="preserve">Management of Prolonged Seizures and Status Epilepticus in Childhood: A Systematic Review </w:t>
      </w:r>
      <w:r w:rsidR="003A3043" w:rsidRPr="004C211A">
        <w:rPr>
          <w:i/>
        </w:rPr>
        <w:t>Journal of Child Neurology</w:t>
      </w:r>
      <w:r w:rsidR="003A3043" w:rsidRPr="004C211A">
        <w:t xml:space="preserve"> Volume 24 Number 8 August 2009 918-926</w:t>
      </w:r>
      <w:r w:rsidR="009109F0">
        <w:t>.</w:t>
      </w:r>
    </w:p>
    <w:p w14:paraId="4A80C648" w14:textId="5E0A71C2" w:rsidR="00A554AC" w:rsidRDefault="009109F0" w:rsidP="004C211A">
      <w:r>
        <w:t>Included review of only two</w:t>
      </w:r>
      <w:r w:rsidR="00A554AC">
        <w:t xml:space="preserve"> trials of buccal midazolam;</w:t>
      </w:r>
    </w:p>
    <w:p w14:paraId="41B1C4E2" w14:textId="77777777" w:rsidR="00A554AC" w:rsidRDefault="00A554AC" w:rsidP="004C211A">
      <w:r>
        <w:t>Buccal midazolam was significantly more effective than rectal diazepam, reaching a seizure control rate of 70% and recurrence rate of 8%;</w:t>
      </w:r>
    </w:p>
    <w:p w14:paraId="7A971754" w14:textId="77777777" w:rsidR="00A554AC" w:rsidRDefault="00A554AC" w:rsidP="004C211A">
      <w:r>
        <w:t>Buccal midazolam is efficacious and safe and thanks to its convenient route of administration, which may serve as first-line in the treatment of prolonged seizures.</w:t>
      </w:r>
    </w:p>
    <w:p w14:paraId="1166F0BF" w14:textId="49772F24" w:rsidR="00A554AC" w:rsidRPr="00AA79CE" w:rsidRDefault="00A554AC" w:rsidP="002513AE">
      <w:pPr>
        <w:pStyle w:val="Heading6"/>
        <w:rPr>
          <w:lang w:val="fr-FR"/>
        </w:rPr>
      </w:pPr>
      <w:r w:rsidRPr="00AA79CE">
        <w:rPr>
          <w:lang w:val="fr-FR"/>
        </w:rPr>
        <w:t>Zhao et al</w:t>
      </w:r>
      <w:r w:rsidR="002513AE" w:rsidRPr="00AA79CE">
        <w:rPr>
          <w:lang w:val="fr-FR"/>
        </w:rPr>
        <w:t>. (2016)</w:t>
      </w:r>
    </w:p>
    <w:p w14:paraId="0121057D" w14:textId="77777777" w:rsidR="002513AE" w:rsidRPr="00AA79CE" w:rsidRDefault="002513AE" w:rsidP="002513AE">
      <w:pPr>
        <w:rPr>
          <w:lang w:val="fr-FR"/>
        </w:rPr>
      </w:pPr>
      <w:r w:rsidRPr="00AA79CE">
        <w:rPr>
          <w:lang w:val="fr-FR"/>
        </w:rPr>
        <w:t>Publication:</w:t>
      </w:r>
    </w:p>
    <w:p w14:paraId="54F98017" w14:textId="353AE040" w:rsidR="002513AE" w:rsidRPr="002513AE" w:rsidRDefault="002513AE" w:rsidP="002513AE">
      <w:pPr>
        <w:ind w:left="720"/>
      </w:pPr>
      <w:r w:rsidRPr="00AA79CE">
        <w:rPr>
          <w:lang w:val="fr-FR"/>
        </w:rPr>
        <w:t xml:space="preserve">Zhao Z.-Y, Wang H.-Y, Wen B, et al. </w:t>
      </w:r>
      <w:r w:rsidRPr="004C211A">
        <w:t xml:space="preserve">A Comparison of Midazolam, Lorazepam, and Diazepam for the Treatment of Status Epilepticus in Children: A Network Meta-analysis. </w:t>
      </w:r>
      <w:r w:rsidRPr="004C211A">
        <w:rPr>
          <w:i/>
        </w:rPr>
        <w:t>Journal of Child Neurology</w:t>
      </w:r>
      <w:r w:rsidR="009109F0">
        <w:t xml:space="preserve"> 2016; 31 (9): 1093-1107.</w:t>
      </w:r>
    </w:p>
    <w:p w14:paraId="0342FCB0" w14:textId="650E95B8" w:rsidR="00D75EC9" w:rsidRDefault="009109F0" w:rsidP="002513AE">
      <w:r>
        <w:t>Sixteen</w:t>
      </w:r>
      <w:r w:rsidR="00A554AC">
        <w:t xml:space="preserve"> randomi</w:t>
      </w:r>
      <w:r w:rsidR="00B934E5">
        <w:t>s</w:t>
      </w:r>
      <w:r w:rsidR="00A554AC">
        <w:t>ed controlled trials involvi</w:t>
      </w:r>
      <w:r w:rsidR="002513AE">
        <w:t>ng 1821 patients were included; o</w:t>
      </w:r>
      <w:r w:rsidR="00A554AC">
        <w:t xml:space="preserve">f the three </w:t>
      </w:r>
      <w:r w:rsidR="002513AE">
        <w:t>randomised control trials</w:t>
      </w:r>
      <w:r w:rsidR="00A554AC">
        <w:t xml:space="preserve"> using buccal midazolam, all patients in two </w:t>
      </w:r>
      <w:r w:rsidR="00B934E5">
        <w:t xml:space="preserve">of them </w:t>
      </w:r>
      <w:r w:rsidR="002513AE">
        <w:t>were under</w:t>
      </w:r>
      <w:r w:rsidR="00A554AC">
        <w:t xml:space="preserve"> 10</w:t>
      </w:r>
      <w:r w:rsidR="00B934E5">
        <w:t xml:space="preserve"> </w:t>
      </w:r>
      <w:r w:rsidR="00A554AC">
        <w:t>y</w:t>
      </w:r>
      <w:r w:rsidR="00B934E5">
        <w:t>ears old</w:t>
      </w:r>
      <w:r w:rsidR="00A554AC">
        <w:t xml:space="preserve"> and the ages in the third were not given.</w:t>
      </w:r>
    </w:p>
    <w:p w14:paraId="265C7557" w14:textId="7B053036" w:rsidR="00A554AC" w:rsidRDefault="00A554AC" w:rsidP="002513AE">
      <w:r>
        <w:t>No separate findin</w:t>
      </w:r>
      <w:r w:rsidR="002513AE">
        <w:t>g on buccal midazolam was given.</w:t>
      </w:r>
    </w:p>
    <w:p w14:paraId="065781F6" w14:textId="3D3D4E46" w:rsidR="00A554AC" w:rsidRPr="00B934E5" w:rsidRDefault="00B934E5" w:rsidP="00B934E5">
      <w:r w:rsidRPr="00B934E5">
        <w:t xml:space="preserve">The </w:t>
      </w:r>
      <w:r w:rsidR="00A554AC" w:rsidRPr="00B934E5">
        <w:t>Delegate comment</w:t>
      </w:r>
      <w:r w:rsidRPr="00B934E5">
        <w:t>ed that there was p</w:t>
      </w:r>
      <w:r w:rsidR="00A554AC" w:rsidRPr="00B934E5">
        <w:t>oor age range documenta</w:t>
      </w:r>
      <w:r w:rsidR="002513AE">
        <w:t>tion, in terms</w:t>
      </w:r>
      <w:r w:rsidR="009109F0">
        <w:t xml:space="preserve"> of that proposed, that is, 10 </w:t>
      </w:r>
      <w:r w:rsidR="002513AE">
        <w:t xml:space="preserve">to under </w:t>
      </w:r>
      <w:r w:rsidR="00A554AC" w:rsidRPr="00B934E5">
        <w:t>18 years</w:t>
      </w:r>
      <w:r w:rsidR="002513AE">
        <w:t xml:space="preserve"> of age</w:t>
      </w:r>
      <w:r w:rsidR="00A554AC" w:rsidRPr="00B934E5">
        <w:t xml:space="preserve"> </w:t>
      </w:r>
      <w:r w:rsidRPr="00B934E5">
        <w:t>and there was a</w:t>
      </w:r>
      <w:r>
        <w:t xml:space="preserve"> </w:t>
      </w:r>
      <w:r w:rsidRPr="00B934E5">
        <w:t>l</w:t>
      </w:r>
      <w:r w:rsidR="00A554AC" w:rsidRPr="00B934E5">
        <w:t>ack of proposed product identification</w:t>
      </w:r>
      <w:r w:rsidRPr="00B934E5">
        <w:t>.</w:t>
      </w:r>
    </w:p>
    <w:p w14:paraId="2CECD8B8" w14:textId="609A4D7D" w:rsidR="00A554AC" w:rsidRDefault="002513AE" w:rsidP="002513AE">
      <w:pPr>
        <w:pStyle w:val="Heading5"/>
      </w:pPr>
      <w:bookmarkStart w:id="106" w:name="_Toc57711126"/>
      <w:bookmarkStart w:id="107" w:name="_Toc77073436"/>
      <w:r>
        <w:t>Other d</w:t>
      </w:r>
      <w:r w:rsidR="00A554AC">
        <w:t>ata</w:t>
      </w:r>
      <w:bookmarkEnd w:id="106"/>
      <w:bookmarkEnd w:id="107"/>
    </w:p>
    <w:p w14:paraId="1542CB96" w14:textId="1999BFE0" w:rsidR="00A554AC" w:rsidRDefault="00A554AC" w:rsidP="00B934E5">
      <w:pPr>
        <w:pStyle w:val="Numberbullet0"/>
        <w:numPr>
          <w:ilvl w:val="0"/>
          <w:numId w:val="0"/>
        </w:numPr>
      </w:pPr>
      <w:r>
        <w:t xml:space="preserve">The sponsor has again submitted a collection of retrospective data on the use of </w:t>
      </w:r>
      <w:r w:rsidR="00BD2BAB">
        <w:t>Zyamis</w:t>
      </w:r>
      <w:r w:rsidR="009109F0">
        <w:t xml:space="preserve"> (previously submitted to the TGA)</w:t>
      </w:r>
      <w:r w:rsidR="00B934E5">
        <w:t>.</w:t>
      </w:r>
      <w:r w:rsidR="009109F0" w:rsidRPr="009109F0">
        <w:rPr>
          <w:vertAlign w:val="superscript"/>
        </w:rPr>
        <w:fldChar w:fldCharType="begin"/>
      </w:r>
      <w:r w:rsidR="009109F0" w:rsidRPr="009109F0">
        <w:rPr>
          <w:vertAlign w:val="superscript"/>
        </w:rPr>
        <w:instrText xml:space="preserve"> NOTEREF _Ref109291169 \h </w:instrText>
      </w:r>
      <w:r w:rsidR="009109F0">
        <w:rPr>
          <w:vertAlign w:val="superscript"/>
        </w:rPr>
        <w:instrText xml:space="preserve"> \* MERGEFORMAT </w:instrText>
      </w:r>
      <w:r w:rsidR="009109F0" w:rsidRPr="009109F0">
        <w:rPr>
          <w:vertAlign w:val="superscript"/>
        </w:rPr>
      </w:r>
      <w:r w:rsidR="009109F0" w:rsidRPr="009109F0">
        <w:rPr>
          <w:vertAlign w:val="superscript"/>
        </w:rPr>
        <w:fldChar w:fldCharType="separate"/>
      </w:r>
      <w:r w:rsidR="00AA79CE">
        <w:rPr>
          <w:vertAlign w:val="superscript"/>
        </w:rPr>
        <w:t>32</w:t>
      </w:r>
      <w:r w:rsidR="009109F0" w:rsidRPr="009109F0">
        <w:rPr>
          <w:vertAlign w:val="superscript"/>
        </w:rPr>
        <w:fldChar w:fldCharType="end"/>
      </w:r>
      <w:r w:rsidR="00B934E5">
        <w:t xml:space="preserve"> T</w:t>
      </w:r>
      <w:r>
        <w:t>his time round referring to it as a Real World Retrospective Study (2010). This was a collection of dat</w:t>
      </w:r>
      <w:r w:rsidR="009109F0">
        <w:t>a that included 39 subjects (41 </w:t>
      </w:r>
      <w:r>
        <w:t>episodes) in the proposed population, who received over the previous 10</w:t>
      </w:r>
      <w:r w:rsidR="00B934E5">
        <w:t xml:space="preserve"> </w:t>
      </w:r>
      <w:r>
        <w:t>years</w:t>
      </w:r>
      <w:r w:rsidRPr="00B934E5">
        <w:rPr>
          <w:rFonts w:cstheme="majorHAnsi"/>
        </w:rPr>
        <w:t xml:space="preserve"> unlicensed rescue medication treatment in </w:t>
      </w:r>
      <w:r w:rsidR="00B934E5">
        <w:rPr>
          <w:rFonts w:cstheme="majorHAnsi"/>
        </w:rPr>
        <w:t>e</w:t>
      </w:r>
      <w:r w:rsidRPr="00B934E5">
        <w:rPr>
          <w:rFonts w:cstheme="majorHAnsi"/>
        </w:rPr>
        <w:t>pilepsy patients with prolonged or repeated seizures</w:t>
      </w:r>
      <w:r w:rsidR="00B934E5">
        <w:rPr>
          <w:rFonts w:cstheme="majorHAnsi"/>
        </w:rPr>
        <w:t>.</w:t>
      </w:r>
    </w:p>
    <w:p w14:paraId="3E88EA92" w14:textId="431DD2FB" w:rsidR="00A554AC" w:rsidRPr="00B934E5" w:rsidRDefault="00B934E5" w:rsidP="00B934E5">
      <w:r w:rsidRPr="00B934E5">
        <w:t>The clinical evaluator commented that:</w:t>
      </w:r>
    </w:p>
    <w:p w14:paraId="62847717" w14:textId="1AB6A3D5" w:rsidR="00A554AC" w:rsidRDefault="00A554AC" w:rsidP="00B934E5">
      <w:pPr>
        <w:pStyle w:val="Bullet1"/>
      </w:pPr>
      <w:r>
        <w:t xml:space="preserve">The contribution of this data to assessing </w:t>
      </w:r>
      <w:r w:rsidR="00B934E5">
        <w:t>e</w:t>
      </w:r>
      <w:r>
        <w:t>fficacy of the proposed product is limited.</w:t>
      </w:r>
    </w:p>
    <w:p w14:paraId="4C5AA15C" w14:textId="77777777" w:rsidR="00A554AC" w:rsidRDefault="00A554AC" w:rsidP="00B934E5">
      <w:pPr>
        <w:pStyle w:val="Bullet1"/>
      </w:pPr>
      <w:r>
        <w:t>The sponsor has included an unpublished Japanese trial on 25 subjects from the EU trials register.</w:t>
      </w:r>
    </w:p>
    <w:p w14:paraId="4BED1998" w14:textId="79631E9C" w:rsidR="00A554AC" w:rsidRDefault="00A554AC" w:rsidP="00B934E5">
      <w:pPr>
        <w:pStyle w:val="Bullet1"/>
      </w:pPr>
      <w:r>
        <w:t xml:space="preserve">The sponsor referred to the Cochrane Database of Systematic Reviews </w:t>
      </w:r>
      <w:r w:rsidR="00767456">
        <w:t>(</w:t>
      </w:r>
      <w:r>
        <w:t>2018</w:t>
      </w:r>
      <w:r w:rsidR="00767456">
        <w:t>);</w:t>
      </w:r>
      <w:r w:rsidR="00767456" w:rsidRPr="00767456">
        <w:rPr>
          <w:vertAlign w:val="superscript"/>
        </w:rPr>
        <w:fldChar w:fldCharType="begin"/>
      </w:r>
      <w:r w:rsidR="00767456" w:rsidRPr="00767456">
        <w:rPr>
          <w:vertAlign w:val="superscript"/>
        </w:rPr>
        <w:instrText xml:space="preserve"> NOTEREF _Ref109293279 \h </w:instrText>
      </w:r>
      <w:r w:rsidR="00767456">
        <w:rPr>
          <w:vertAlign w:val="superscript"/>
        </w:rPr>
        <w:instrText xml:space="preserve"> \* MERGEFORMAT </w:instrText>
      </w:r>
      <w:r w:rsidR="00767456" w:rsidRPr="00767456">
        <w:rPr>
          <w:vertAlign w:val="superscript"/>
        </w:rPr>
      </w:r>
      <w:r w:rsidR="00767456" w:rsidRPr="00767456">
        <w:rPr>
          <w:vertAlign w:val="superscript"/>
        </w:rPr>
        <w:fldChar w:fldCharType="separate"/>
      </w:r>
      <w:r w:rsidR="00AA79CE">
        <w:rPr>
          <w:vertAlign w:val="superscript"/>
        </w:rPr>
        <w:t>53</w:t>
      </w:r>
      <w:r w:rsidR="00767456" w:rsidRPr="00767456">
        <w:rPr>
          <w:vertAlign w:val="superscript"/>
        </w:rPr>
        <w:fldChar w:fldCharType="end"/>
      </w:r>
      <w:r w:rsidR="00767456">
        <w:t xml:space="preserve"> ’b</w:t>
      </w:r>
      <w:r>
        <w:t>uccal midazolam was statistically significantly more effective than rectal di</w:t>
      </w:r>
      <w:r w:rsidR="00767456">
        <w:t xml:space="preserve">azepam for seizure cessation (relative risk = 1.25, 95% CI 1.13, 1.38; p </w:t>
      </w:r>
      <w:r>
        <w:t>&lt;</w:t>
      </w:r>
      <w:r w:rsidR="00767456">
        <w:t xml:space="preserve"> </w:t>
      </w:r>
      <w:r>
        <w:t>0.001)’;</w:t>
      </w:r>
    </w:p>
    <w:p w14:paraId="61FBA785" w14:textId="677AC1D2" w:rsidR="00A554AC" w:rsidRDefault="00A554AC" w:rsidP="00B934E5">
      <w:pPr>
        <w:pStyle w:val="Bullet2"/>
      </w:pPr>
      <w:r>
        <w:t>There was considerable heterogeneity in the analysis (I2 = 81%), however, and the quality of evidence was considered to be low. When the analysis was repeated with a random-effects model, there was no statistically significant diffe</w:t>
      </w:r>
      <w:r w:rsidR="00767456">
        <w:t xml:space="preserve">rence between the treatments (relative risk = 1.23, 95% CI 0.98, 1.54; p = </w:t>
      </w:r>
      <w:r>
        <w:t>0.08).</w:t>
      </w:r>
    </w:p>
    <w:p w14:paraId="28B452DD" w14:textId="77777777" w:rsidR="00A554AC" w:rsidRDefault="00A554AC" w:rsidP="00B934E5">
      <w:pPr>
        <w:pStyle w:val="Bullet1"/>
      </w:pPr>
      <w:r>
        <w:t>The sponsor referred to trials published in abstract only:</w:t>
      </w:r>
    </w:p>
    <w:p w14:paraId="28DBBA8F" w14:textId="77777777" w:rsidR="00A554AC" w:rsidRDefault="00A554AC" w:rsidP="00B934E5">
      <w:pPr>
        <w:pStyle w:val="Bullet2"/>
      </w:pPr>
      <w:r>
        <w:t>Trajano et al: ‘Buccal midazolam compared to rectal diazepam and intravenous midazolam as emergent treatment of acute seizures in children: preliminary study Journal of the Neurological Sciences 285 SI (2009) S155-S339 19th World Congress of Neurology, Poster Abstracts;</w:t>
      </w:r>
    </w:p>
    <w:p w14:paraId="1CC9D10B" w14:textId="77777777" w:rsidR="00A554AC" w:rsidRDefault="00A554AC" w:rsidP="00B934E5">
      <w:pPr>
        <w:pStyle w:val="Bullet2"/>
      </w:pPr>
      <w:r>
        <w:t>Bagale &amp; Chapagain: ‘A comparison of buccal midazolam and intravenous diazepam in acute treatment of seizures in children. Poster Presentations: 12th European Paediatric Neurology Society Congress 20-24 June 2017.</w:t>
      </w:r>
    </w:p>
    <w:p w14:paraId="056561C0" w14:textId="42BE580D" w:rsidR="00A554AC" w:rsidRDefault="00130680" w:rsidP="00130680">
      <w:pPr>
        <w:pStyle w:val="Heading5"/>
      </w:pPr>
      <w:bookmarkStart w:id="108" w:name="_Ref271126605"/>
      <w:bookmarkStart w:id="109" w:name="_Toc272414657"/>
      <w:bookmarkStart w:id="110" w:name="_Toc290888508"/>
      <w:bookmarkStart w:id="111" w:name="_Toc416353724"/>
      <w:bookmarkStart w:id="112" w:name="_Toc421005272"/>
      <w:bookmarkStart w:id="113" w:name="_Toc432079154"/>
      <w:bookmarkStart w:id="114" w:name="_Toc432080727"/>
      <w:bookmarkStart w:id="115" w:name="_Toc509304714"/>
      <w:bookmarkStart w:id="116" w:name="_Toc77073437"/>
      <w:r>
        <w:t>C</w:t>
      </w:r>
      <w:r w:rsidR="00B934E5">
        <w:t>linical evaluat</w:t>
      </w:r>
      <w:r w:rsidR="00767456">
        <w:t>ion</w:t>
      </w:r>
      <w:r w:rsidR="000F1F9C">
        <w:t xml:space="preserve"> </w:t>
      </w:r>
      <w:r w:rsidR="00AB568B">
        <w:t>conclusion</w:t>
      </w:r>
      <w:r w:rsidR="00767456">
        <w:t>s</w:t>
      </w:r>
      <w:r w:rsidR="00A554AC">
        <w:t xml:space="preserve"> on efficacy</w:t>
      </w:r>
      <w:bookmarkEnd w:id="108"/>
      <w:bookmarkEnd w:id="109"/>
      <w:bookmarkEnd w:id="110"/>
      <w:bookmarkEnd w:id="111"/>
      <w:bookmarkEnd w:id="112"/>
      <w:bookmarkEnd w:id="113"/>
      <w:bookmarkEnd w:id="114"/>
      <w:bookmarkEnd w:id="115"/>
      <w:bookmarkEnd w:id="116"/>
    </w:p>
    <w:p w14:paraId="1D63B28F" w14:textId="25734AB2" w:rsidR="00A554AC" w:rsidRPr="00130680" w:rsidRDefault="00A554AC" w:rsidP="00130680">
      <w:r w:rsidRPr="00130680">
        <w:t xml:space="preserve">The literature provides general support for the use of midazolam to control seizures, the most effective route being IV. The application is specific for use by parents/caregivers, </w:t>
      </w:r>
      <w:r w:rsidR="00B934E5" w:rsidRPr="00130680">
        <w:t>that is,</w:t>
      </w:r>
      <w:r w:rsidR="00130680">
        <w:t xml:space="preserve"> out of hospital use.</w:t>
      </w:r>
    </w:p>
    <w:p w14:paraId="02732DC6" w14:textId="7D4C2090" w:rsidR="00A554AC" w:rsidRPr="00EB2061" w:rsidRDefault="00A554AC" w:rsidP="00130680">
      <w:r w:rsidRPr="00EB2061">
        <w:t xml:space="preserve">The sponsor, after creating a model of </w:t>
      </w:r>
      <w:r w:rsidR="00767456" w:rsidRPr="00EB2061">
        <w:t>the pharmacokinetics</w:t>
      </w:r>
      <w:r w:rsidRPr="00EB2061">
        <w:t xml:space="preserve"> of paediatric buccal midazolam</w:t>
      </w:r>
      <w:r w:rsidR="00D75EC9">
        <w:t xml:space="preserve"> </w:t>
      </w:r>
      <w:r w:rsidRPr="00EB2061">
        <w:t xml:space="preserve">therapy using </w:t>
      </w:r>
      <w:r w:rsidR="00EB2061">
        <w:t>a population pharmacokinetic program</w:t>
      </w:r>
      <w:r w:rsidR="00EB2061" w:rsidRPr="00EB2061">
        <w:t xml:space="preserve"> </w:t>
      </w:r>
      <w:r w:rsidRPr="00EB2061">
        <w:t>and literature data, selected the dose of 10</w:t>
      </w:r>
      <w:r w:rsidR="00B934E5" w:rsidRPr="00EB2061">
        <w:t xml:space="preserve"> </w:t>
      </w:r>
      <w:r w:rsidRPr="00EB2061">
        <w:t xml:space="preserve">mg and then claimed bioequivalence (‘similar to’) with the same dose in a study of IM midazolam in </w:t>
      </w:r>
      <w:r w:rsidR="00B934E5" w:rsidRPr="00EB2061">
        <w:t>a</w:t>
      </w:r>
      <w:r w:rsidRPr="00EB2061">
        <w:t xml:space="preserve">dults. Bioequivalence was not shown, as per </w:t>
      </w:r>
      <w:r w:rsidR="00767456" w:rsidRPr="00EB2061">
        <w:fldChar w:fldCharType="begin"/>
      </w:r>
      <w:r w:rsidR="00767456" w:rsidRPr="00EB2061">
        <w:instrText xml:space="preserve"> REF _Ref109293356 \h </w:instrText>
      </w:r>
      <w:r w:rsidR="00E3457E" w:rsidRPr="00AA79CE">
        <w:instrText xml:space="preserve"> \* MERGEFORMAT </w:instrText>
      </w:r>
      <w:r w:rsidR="00767456" w:rsidRPr="00EB2061">
        <w:fldChar w:fldCharType="separate"/>
      </w:r>
      <w:r w:rsidR="00AA79CE">
        <w:t xml:space="preserve">Table </w:t>
      </w:r>
      <w:r w:rsidR="00AA79CE">
        <w:rPr>
          <w:noProof/>
        </w:rPr>
        <w:t>2</w:t>
      </w:r>
      <w:r w:rsidR="00767456" w:rsidRPr="00EB2061">
        <w:fldChar w:fldCharType="end"/>
      </w:r>
      <w:r w:rsidR="00767456" w:rsidRPr="00EB2061">
        <w:t xml:space="preserve"> above</w:t>
      </w:r>
      <w:r w:rsidR="00B934E5" w:rsidRPr="00EB2061">
        <w:t>.</w:t>
      </w:r>
    </w:p>
    <w:p w14:paraId="2881D271" w14:textId="16B585EE" w:rsidR="00A554AC" w:rsidRPr="00EB2061" w:rsidRDefault="00130680" w:rsidP="00130680">
      <w:r w:rsidRPr="00EB2061">
        <w:t xml:space="preserve">The </w:t>
      </w:r>
      <w:r w:rsidR="00A554AC" w:rsidRPr="00EB2061">
        <w:t>simulated results</w:t>
      </w:r>
      <w:r w:rsidRPr="00EB2061">
        <w:t xml:space="preserve"> (via the buccal route in those between 10 to under 18 years of age)</w:t>
      </w:r>
      <w:r w:rsidR="00A554AC" w:rsidRPr="00EB2061">
        <w:t xml:space="preserve"> were bioequivalent </w:t>
      </w:r>
      <w:r w:rsidRPr="00EB2061">
        <w:t>to the buccal results in adults. These</w:t>
      </w:r>
      <w:r w:rsidR="00A554AC" w:rsidRPr="00EB2061">
        <w:t xml:space="preserve"> in turn had been shown to be bioequivalent to</w:t>
      </w:r>
      <w:r w:rsidRPr="00EB2061">
        <w:t xml:space="preserve"> the buccal results with the </w:t>
      </w:r>
      <w:r w:rsidR="00A554AC" w:rsidRPr="00EB2061">
        <w:t>Hypnovel product;</w:t>
      </w:r>
      <w:r w:rsidR="00767456" w:rsidRPr="00446B1D">
        <w:rPr>
          <w:vertAlign w:val="superscript"/>
        </w:rPr>
        <w:fldChar w:fldCharType="begin"/>
      </w:r>
      <w:r w:rsidR="00767456" w:rsidRPr="00EB2061">
        <w:rPr>
          <w:vertAlign w:val="superscript"/>
        </w:rPr>
        <w:instrText xml:space="preserve"> NOTEREF _Ref109289276 \h  \* MERGEFORMAT </w:instrText>
      </w:r>
      <w:r w:rsidR="00767456" w:rsidRPr="00446B1D">
        <w:rPr>
          <w:vertAlign w:val="superscript"/>
        </w:rPr>
      </w:r>
      <w:r w:rsidR="00767456" w:rsidRPr="00446B1D">
        <w:rPr>
          <w:vertAlign w:val="superscript"/>
        </w:rPr>
        <w:fldChar w:fldCharType="separate"/>
      </w:r>
      <w:r w:rsidR="00AA79CE">
        <w:rPr>
          <w:vertAlign w:val="superscript"/>
        </w:rPr>
        <w:t>14</w:t>
      </w:r>
      <w:r w:rsidR="00767456" w:rsidRPr="00446B1D">
        <w:rPr>
          <w:vertAlign w:val="superscript"/>
        </w:rPr>
        <w:fldChar w:fldCharType="end"/>
      </w:r>
    </w:p>
    <w:p w14:paraId="31588CA7" w14:textId="4E2E076E" w:rsidR="00A554AC" w:rsidRPr="00EB2061" w:rsidRDefault="00130680" w:rsidP="00130680">
      <w:r w:rsidRPr="00EB2061">
        <w:t>The pharmacokinetic/pharmacodynamic</w:t>
      </w:r>
      <w:r w:rsidR="00A554AC" w:rsidRPr="00EB2061">
        <w:t xml:space="preserve"> study wa</w:t>
      </w:r>
      <w:r w:rsidRPr="00EB2061">
        <w:t>s interpreted in the regulatory</w:t>
      </w:r>
      <w:r w:rsidRPr="00EB2061">
        <w:noBreakHyphen/>
      </w:r>
      <w:r w:rsidR="00A554AC" w:rsidRPr="00EB2061">
        <w:t>response document as:</w:t>
      </w:r>
    </w:p>
    <w:p w14:paraId="272A4E3D" w14:textId="61543200" w:rsidR="00A554AC" w:rsidRPr="00EB2061" w:rsidRDefault="00A554AC" w:rsidP="00130680">
      <w:pPr>
        <w:pStyle w:val="ListBullet"/>
      </w:pPr>
      <w:r w:rsidRPr="00EB2061">
        <w:t>The range of predicted maximum midazolam plasma</w:t>
      </w:r>
      <w:r w:rsidR="00130680" w:rsidRPr="00EB2061">
        <w:t xml:space="preserve"> concentrations (90% CI) for 10 to </w:t>
      </w:r>
      <w:r w:rsidRPr="00EB2061">
        <w:t>18 year old subjects ranged from 50</w:t>
      </w:r>
      <w:r w:rsidR="00A514E9" w:rsidRPr="00EB2061">
        <w:t xml:space="preserve"> </w:t>
      </w:r>
      <w:r w:rsidR="00130680" w:rsidRPr="00EB2061">
        <w:t>ng/mL</w:t>
      </w:r>
      <w:r w:rsidRPr="00EB2061">
        <w:t xml:space="preserve"> (75% swallow) to 61</w:t>
      </w:r>
      <w:r w:rsidR="00130680" w:rsidRPr="00EB2061">
        <w:t xml:space="preserve"> ng/mL (10% </w:t>
      </w:r>
      <w:r w:rsidRPr="00EB2061">
        <w:t>swallow), which is very comparable to adults median C</w:t>
      </w:r>
      <w:r w:rsidRPr="00EB2061">
        <w:rPr>
          <w:vertAlign w:val="subscript"/>
        </w:rPr>
        <w:t xml:space="preserve">max </w:t>
      </w:r>
      <w:r w:rsidRPr="00EB2061">
        <w:t xml:space="preserve">values obtained from </w:t>
      </w:r>
      <w:r w:rsidR="00130680" w:rsidRPr="00EB2061">
        <w:t xml:space="preserve">Studies </w:t>
      </w:r>
      <w:r w:rsidRPr="00EB2061">
        <w:t>SPL001 and SPL002, 64</w:t>
      </w:r>
      <w:r w:rsidR="00A514E9" w:rsidRPr="00EB2061">
        <w:t xml:space="preserve"> </w:t>
      </w:r>
      <w:r w:rsidR="00130680" w:rsidRPr="00EB2061">
        <w:t>ng/mL</w:t>
      </w:r>
      <w:r w:rsidRPr="00EB2061">
        <w:t xml:space="preserve"> and 60</w:t>
      </w:r>
      <w:r w:rsidR="00A514E9" w:rsidRPr="00EB2061">
        <w:t xml:space="preserve"> </w:t>
      </w:r>
      <w:r w:rsidR="00130680" w:rsidRPr="00EB2061">
        <w:t>ng/mL respectively.</w:t>
      </w:r>
    </w:p>
    <w:p w14:paraId="61E4C8AE" w14:textId="5386A0C0" w:rsidR="00A554AC" w:rsidRPr="00EB2061" w:rsidRDefault="00A554AC" w:rsidP="00130680">
      <w:pPr>
        <w:pStyle w:val="ListBullet"/>
      </w:pPr>
      <w:r w:rsidRPr="00EB2061">
        <w:t xml:space="preserve">As it was shown, in the </w:t>
      </w:r>
      <w:r w:rsidR="00EB2061">
        <w:t xml:space="preserve">population pharmacokinetics </w:t>
      </w:r>
      <w:r w:rsidRPr="00EB2061">
        <w:t>report on the 10</w:t>
      </w:r>
      <w:r w:rsidR="00A514E9" w:rsidRPr="00EB2061">
        <w:t xml:space="preserve"> </w:t>
      </w:r>
      <w:r w:rsidRPr="00EB2061">
        <w:t>mg dose justification in adults, these plasma concentrations yield effective brain concentrations in adult subjects and, thus should produce</w:t>
      </w:r>
      <w:r w:rsidR="00130680" w:rsidRPr="00EB2061">
        <w:t xml:space="preserve"> the desired effect in the 10 to 18 year old population.</w:t>
      </w:r>
    </w:p>
    <w:p w14:paraId="4024D1CB" w14:textId="3E6715C7" w:rsidR="00A554AC" w:rsidRPr="00EB2061" w:rsidRDefault="00A554AC" w:rsidP="00130680">
      <w:pPr>
        <w:pStyle w:val="ListBullet"/>
      </w:pPr>
      <w:r w:rsidRPr="00EB2061">
        <w:t xml:space="preserve">Since efficacy has been reasonably shown for the expanded age group, the result of effective brain concentrations in adults is seen as irrelevant, regardless of this evaluator’s acceptance of the findings of this added </w:t>
      </w:r>
      <w:r w:rsidR="00130680" w:rsidRPr="00EB2061">
        <w:t xml:space="preserve">pharmacokinetic/pharmacodynamic </w:t>
      </w:r>
      <w:r w:rsidRPr="00EB2061">
        <w:t>report.</w:t>
      </w:r>
    </w:p>
    <w:p w14:paraId="61094DC2" w14:textId="50311495" w:rsidR="00A554AC" w:rsidRDefault="00A554AC" w:rsidP="00130680">
      <w:r>
        <w:t>The studies considered pivotal by th</w:t>
      </w:r>
      <w:r w:rsidR="00A514E9">
        <w:t>e clinical</w:t>
      </w:r>
      <w:r>
        <w:t xml:space="preserve"> evaluator are:</w:t>
      </w:r>
    </w:p>
    <w:p w14:paraId="4D963D7E" w14:textId="419715A2" w:rsidR="00D75EC9" w:rsidRDefault="00C60B51" w:rsidP="00130680">
      <w:pPr>
        <w:pStyle w:val="ListBullet"/>
      </w:pPr>
      <w:r>
        <w:t>Ta</w:t>
      </w:r>
      <w:r w:rsidR="00A554AC">
        <w:t>lukdar and Chakrabarty</w:t>
      </w:r>
      <w:r>
        <w:t xml:space="preserve"> (2009)</w:t>
      </w:r>
      <w:r w:rsidRPr="00C60B51">
        <w:rPr>
          <w:vertAlign w:val="superscript"/>
        </w:rPr>
        <w:fldChar w:fldCharType="begin"/>
      </w:r>
      <w:r w:rsidRPr="00C60B51">
        <w:rPr>
          <w:vertAlign w:val="superscript"/>
        </w:rPr>
        <w:instrText xml:space="preserve"> NOTEREF _Ref108786213 \h </w:instrText>
      </w:r>
      <w:r>
        <w:rPr>
          <w:vertAlign w:val="superscript"/>
        </w:rPr>
        <w:instrText xml:space="preserve"> \* MERGEFORMAT </w:instrText>
      </w:r>
      <w:r w:rsidRPr="00C60B51">
        <w:rPr>
          <w:vertAlign w:val="superscript"/>
        </w:rPr>
      </w:r>
      <w:r w:rsidRPr="00C60B51">
        <w:rPr>
          <w:vertAlign w:val="superscript"/>
        </w:rPr>
        <w:fldChar w:fldCharType="separate"/>
      </w:r>
      <w:r w:rsidR="00AA79CE">
        <w:rPr>
          <w:vertAlign w:val="superscript"/>
        </w:rPr>
        <w:t>34</w:t>
      </w:r>
      <w:r w:rsidRPr="00C60B51">
        <w:rPr>
          <w:vertAlign w:val="superscript"/>
        </w:rPr>
        <w:fldChar w:fldCharType="end"/>
      </w:r>
      <w:r>
        <w:t>:</w:t>
      </w:r>
      <w:r w:rsidR="00A514E9">
        <w:t xml:space="preserve"> </w:t>
      </w:r>
      <w:r w:rsidR="00A554AC">
        <w:t>a comparison of IV diazepam (which is a registered use and route of administration) with buccal midazolam. The study was open, total numbers were small</w:t>
      </w:r>
      <w:r>
        <w:t>;</w:t>
      </w:r>
      <w:r w:rsidR="00A554AC">
        <w:rPr>
          <w:rStyle w:val="FootnoteReference"/>
        </w:rPr>
        <w:footnoteReference w:id="61"/>
      </w:r>
      <w:r w:rsidR="00A554AC">
        <w:t xml:space="preserve"> and the investigators failed to show any difference in efficacy (85% v</w:t>
      </w:r>
      <w:r w:rsidR="00A514E9">
        <w:t xml:space="preserve">ersus </w:t>
      </w:r>
      <w:r w:rsidR="00A554AC">
        <w:t>93%), however buccal midazolam was statistically superior to IV diazepam in the time taken to initiate treatment and the time taken from the decision to initiate treatment to control of seizures.</w:t>
      </w:r>
    </w:p>
    <w:p w14:paraId="5F736595" w14:textId="0517BC9A" w:rsidR="00A554AC" w:rsidRPr="00A514E9" w:rsidRDefault="00A554AC" w:rsidP="00C60B51">
      <w:pPr>
        <w:pStyle w:val="ListBullet"/>
        <w:rPr>
          <w:lang w:eastAsia="en-AU"/>
        </w:rPr>
      </w:pPr>
      <w:r w:rsidRPr="00A514E9">
        <w:t>Tonekaboni et al</w:t>
      </w:r>
      <w:r w:rsidR="00C60B51">
        <w:t>. (2012)</w:t>
      </w:r>
      <w:r w:rsidR="00C60B51" w:rsidRPr="00C60B51">
        <w:rPr>
          <w:vertAlign w:val="superscript"/>
        </w:rPr>
        <w:fldChar w:fldCharType="begin"/>
      </w:r>
      <w:r w:rsidR="00C60B51" w:rsidRPr="00C60B51">
        <w:rPr>
          <w:vertAlign w:val="superscript"/>
        </w:rPr>
        <w:instrText xml:space="preserve"> NOTEREF _Ref108786258 \h </w:instrText>
      </w:r>
      <w:r w:rsidR="00C60B51">
        <w:rPr>
          <w:vertAlign w:val="superscript"/>
        </w:rPr>
        <w:instrText xml:space="preserve"> \* MERGEFORMAT </w:instrText>
      </w:r>
      <w:r w:rsidR="00C60B51" w:rsidRPr="00C60B51">
        <w:rPr>
          <w:vertAlign w:val="superscript"/>
        </w:rPr>
      </w:r>
      <w:r w:rsidR="00C60B51" w:rsidRPr="00C60B51">
        <w:rPr>
          <w:vertAlign w:val="superscript"/>
        </w:rPr>
        <w:fldChar w:fldCharType="separate"/>
      </w:r>
      <w:r w:rsidR="00AA79CE">
        <w:rPr>
          <w:vertAlign w:val="superscript"/>
        </w:rPr>
        <w:t>35</w:t>
      </w:r>
      <w:r w:rsidR="00C60B51" w:rsidRPr="00C60B51">
        <w:rPr>
          <w:vertAlign w:val="superscript"/>
        </w:rPr>
        <w:fldChar w:fldCharType="end"/>
      </w:r>
      <w:r w:rsidRPr="00A514E9">
        <w:t>:</w:t>
      </w:r>
      <w:r w:rsidR="00A514E9" w:rsidRPr="00A514E9">
        <w:t xml:space="preserve"> </w:t>
      </w:r>
      <w:r w:rsidRPr="00A514E9">
        <w:t>was</w:t>
      </w:r>
      <w:r w:rsidRPr="00A514E9">
        <w:rPr>
          <w:strike/>
        </w:rPr>
        <w:t xml:space="preserve"> </w:t>
      </w:r>
      <w:r w:rsidRPr="00A514E9">
        <w:t>likewise a comparison of IV diazepam with buccal midazolam</w:t>
      </w:r>
      <w:r w:rsidR="00A514E9" w:rsidRPr="00A514E9">
        <w:t xml:space="preserve"> </w:t>
      </w:r>
      <w:r w:rsidRPr="00A514E9">
        <w:t>The study was</w:t>
      </w:r>
      <w:r w:rsidR="00C60B51">
        <w:t xml:space="preserve"> open, total numbers were small;</w:t>
      </w:r>
      <w:r>
        <w:rPr>
          <w:rStyle w:val="FootnoteReference"/>
          <w:rFonts w:asciiTheme="minorHAnsi" w:hAnsiTheme="minorHAnsi"/>
        </w:rPr>
        <w:footnoteReference w:id="62"/>
      </w:r>
      <w:r w:rsidRPr="00A514E9">
        <w:t xml:space="preserve"> and the investigators failed to show any difference in efficacy (40%</w:t>
      </w:r>
      <w:r w:rsidR="00CB7F66" w:rsidRPr="00A514E9">
        <w:t xml:space="preserve"> versus </w:t>
      </w:r>
      <w:r w:rsidRPr="00A514E9">
        <w:t>40%)</w:t>
      </w:r>
      <w:r w:rsidRPr="00A514E9">
        <w:rPr>
          <w:lang w:eastAsia="en-AU"/>
        </w:rPr>
        <w:t xml:space="preserve"> for a single dose at 5</w:t>
      </w:r>
      <w:r w:rsidR="00767456">
        <w:rPr>
          <w:lang w:eastAsia="en-AU"/>
        </w:rPr>
        <w:t> </w:t>
      </w:r>
      <w:r w:rsidR="00C60B51">
        <w:rPr>
          <w:lang w:eastAsia="en-AU"/>
        </w:rPr>
        <w:t>minutes</w:t>
      </w:r>
      <w:r w:rsidRPr="00A514E9">
        <w:rPr>
          <w:lang w:eastAsia="en-AU"/>
        </w:rPr>
        <w:t>. Unfortunately, failure to respond at 5</w:t>
      </w:r>
      <w:r w:rsidR="00A514E9">
        <w:rPr>
          <w:lang w:eastAsia="en-AU"/>
        </w:rPr>
        <w:t xml:space="preserve"> </w:t>
      </w:r>
      <w:r w:rsidR="00C60B51">
        <w:rPr>
          <w:lang w:eastAsia="en-AU"/>
        </w:rPr>
        <w:t>minutes</w:t>
      </w:r>
      <w:r w:rsidRPr="00A514E9">
        <w:rPr>
          <w:lang w:eastAsia="en-AU"/>
        </w:rPr>
        <w:t xml:space="preserve"> meant that a second dose was given.</w:t>
      </w:r>
    </w:p>
    <w:p w14:paraId="2F1A5306" w14:textId="313751E2" w:rsidR="00A554AC" w:rsidRDefault="00A554AC" w:rsidP="00C60B51">
      <w:r>
        <w:t>Based on the available submitted literature, buccal midazolam is as effective as rectal diazepam (an off</w:t>
      </w:r>
      <w:r w:rsidR="000F1F9C">
        <w:t>-</w:t>
      </w:r>
      <w:r>
        <w:t>label route of administr</w:t>
      </w:r>
      <w:r w:rsidR="00C60B51">
        <w:t>ation) in controlling seizures.</w:t>
      </w:r>
    </w:p>
    <w:p w14:paraId="50030D8F" w14:textId="77777777" w:rsidR="00A554AC" w:rsidRDefault="00A554AC" w:rsidP="00C60B51">
      <w:r>
        <w:t>The relationship of the proposed formulation to those used in some of the studies is unclear. The sponsor has assumed a positive relationship based on the product concentration for the formulation used in some of the studies, and this has been accepted.</w:t>
      </w:r>
    </w:p>
    <w:p w14:paraId="202C073C" w14:textId="438C180E" w:rsidR="00A554AC" w:rsidRDefault="00C60B51" w:rsidP="00A514E9">
      <w:pPr>
        <w:pStyle w:val="Heading4"/>
        <w:rPr>
          <w:lang w:eastAsia="ja-JP"/>
        </w:rPr>
      </w:pPr>
      <w:r>
        <w:rPr>
          <w:lang w:eastAsia="ja-JP"/>
        </w:rPr>
        <w:t>S</w:t>
      </w:r>
      <w:r w:rsidR="00A554AC">
        <w:rPr>
          <w:lang w:eastAsia="ja-JP"/>
        </w:rPr>
        <w:t>afety</w:t>
      </w:r>
    </w:p>
    <w:p w14:paraId="541E4BEF" w14:textId="41A28E48" w:rsidR="00A554AC" w:rsidRDefault="00C60B51" w:rsidP="00C60B51">
      <w:r>
        <w:t xml:space="preserve">The proposed product (midazolam) </w:t>
      </w:r>
      <w:r w:rsidR="00A554AC">
        <w:t xml:space="preserve">is a different salt, </w:t>
      </w:r>
      <w:r>
        <w:t xml:space="preserve">midazolam </w:t>
      </w:r>
      <w:r w:rsidR="00A554AC" w:rsidRPr="00240BB9">
        <w:rPr>
          <w:i/>
          <w:iCs/>
        </w:rPr>
        <w:t>maleate</w:t>
      </w:r>
      <w:r w:rsidR="00A554AC">
        <w:t xml:space="preserve">, rather than </w:t>
      </w:r>
      <w:r>
        <w:t xml:space="preserve">midazolam </w:t>
      </w:r>
      <w:r w:rsidR="00A554AC" w:rsidRPr="00240BB9">
        <w:rPr>
          <w:i/>
          <w:iCs/>
        </w:rPr>
        <w:t>hydrochloride</w:t>
      </w:r>
      <w:r>
        <w:t xml:space="preserve"> of the i</w:t>
      </w:r>
      <w:r w:rsidR="00A554AC">
        <w:t>nnovator. The submission is as a gener</w:t>
      </w:r>
      <w:r w:rsidR="0095575F">
        <w:t>ic of Hypnovel</w:t>
      </w:r>
      <w:r w:rsidR="00767456">
        <w:t>;</w:t>
      </w:r>
      <w:r w:rsidR="00767456" w:rsidRPr="00767456">
        <w:rPr>
          <w:vertAlign w:val="superscript"/>
        </w:rPr>
        <w:fldChar w:fldCharType="begin"/>
      </w:r>
      <w:r w:rsidR="00767456" w:rsidRPr="00767456">
        <w:rPr>
          <w:vertAlign w:val="superscript"/>
        </w:rPr>
        <w:instrText xml:space="preserve"> NOTEREF _Ref109289276 \h </w:instrText>
      </w:r>
      <w:r w:rsidR="00767456">
        <w:rPr>
          <w:vertAlign w:val="superscript"/>
        </w:rPr>
        <w:instrText xml:space="preserve"> \* MERGEFORMAT </w:instrText>
      </w:r>
      <w:r w:rsidR="00767456" w:rsidRPr="00767456">
        <w:rPr>
          <w:vertAlign w:val="superscript"/>
        </w:rPr>
      </w:r>
      <w:r w:rsidR="00767456" w:rsidRPr="00767456">
        <w:rPr>
          <w:vertAlign w:val="superscript"/>
        </w:rPr>
        <w:fldChar w:fldCharType="separate"/>
      </w:r>
      <w:r w:rsidR="00AA79CE">
        <w:rPr>
          <w:vertAlign w:val="superscript"/>
        </w:rPr>
        <w:t>14</w:t>
      </w:r>
      <w:r w:rsidR="00767456" w:rsidRPr="00767456">
        <w:rPr>
          <w:vertAlign w:val="superscript"/>
        </w:rPr>
        <w:fldChar w:fldCharType="end"/>
      </w:r>
      <w:r w:rsidR="0095575F" w:rsidRPr="00767456">
        <w:rPr>
          <w:vertAlign w:val="superscript"/>
        </w:rPr>
        <w:t xml:space="preserve"> </w:t>
      </w:r>
      <w:r w:rsidR="0095575F">
        <w:t>rather than as a</w:t>
      </w:r>
      <w:r w:rsidR="00A554AC">
        <w:t xml:space="preserve"> </w:t>
      </w:r>
      <w:r>
        <w:t>new chemical entity</w:t>
      </w:r>
      <w:r w:rsidR="00A554AC">
        <w:t>. No difference in properties (other th</w:t>
      </w:r>
      <w:r>
        <w:t>an related to the proposed new i</w:t>
      </w:r>
      <w:r w:rsidR="00A554AC">
        <w:t>ndication and route of administration) should be claimed</w:t>
      </w:r>
      <w:r w:rsidR="00D75EC9">
        <w:t>.</w:t>
      </w:r>
    </w:p>
    <w:p w14:paraId="0F80CBC3" w14:textId="343020E0" w:rsidR="00C60B51" w:rsidRDefault="00A554AC" w:rsidP="00C60B51">
      <w:pPr>
        <w:rPr>
          <w:rFonts w:cstheme="majorHAnsi"/>
        </w:rPr>
      </w:pPr>
      <w:r>
        <w:t>The sponsor is correct in stating that</w:t>
      </w:r>
      <w:r w:rsidR="00A273D4">
        <w:t>’</w:t>
      </w:r>
      <w:r>
        <w:t xml:space="preserve"> the safety of midazolam derived from decades of use in approved indications in children is well established</w:t>
      </w:r>
      <w:r w:rsidR="00A273D4">
        <w:t>’</w:t>
      </w:r>
      <w:r>
        <w:t xml:space="preserve"> even</w:t>
      </w:r>
      <w:r w:rsidR="00C60B51">
        <w:t xml:space="preserve"> though the innovator </w:t>
      </w:r>
      <w:r w:rsidR="001C0ADC">
        <w:t>(Hypnovel)</w:t>
      </w:r>
      <w:r w:rsidR="00767456">
        <w:t>;</w:t>
      </w:r>
      <w:r w:rsidR="00767456" w:rsidRPr="00767456">
        <w:rPr>
          <w:vertAlign w:val="superscript"/>
        </w:rPr>
        <w:fldChar w:fldCharType="begin"/>
      </w:r>
      <w:r w:rsidR="00767456" w:rsidRPr="00767456">
        <w:rPr>
          <w:vertAlign w:val="superscript"/>
        </w:rPr>
        <w:instrText xml:space="preserve"> NOTEREF _Ref109289276 \h </w:instrText>
      </w:r>
      <w:r w:rsidR="00767456">
        <w:rPr>
          <w:vertAlign w:val="superscript"/>
        </w:rPr>
        <w:instrText xml:space="preserve"> \* MERGEFORMAT </w:instrText>
      </w:r>
      <w:r w:rsidR="00767456" w:rsidRPr="00767456">
        <w:rPr>
          <w:vertAlign w:val="superscript"/>
        </w:rPr>
      </w:r>
      <w:r w:rsidR="00767456" w:rsidRPr="00767456">
        <w:rPr>
          <w:vertAlign w:val="superscript"/>
        </w:rPr>
        <w:fldChar w:fldCharType="separate"/>
      </w:r>
      <w:r w:rsidR="00AA79CE">
        <w:rPr>
          <w:vertAlign w:val="superscript"/>
        </w:rPr>
        <w:t>14</w:t>
      </w:r>
      <w:r w:rsidR="00767456" w:rsidRPr="00767456">
        <w:rPr>
          <w:vertAlign w:val="superscript"/>
        </w:rPr>
        <w:fldChar w:fldCharType="end"/>
      </w:r>
      <w:r w:rsidR="001C0ADC">
        <w:t xml:space="preserve"> </w:t>
      </w:r>
      <w:r w:rsidR="00C60B51">
        <w:t>PI states</w:t>
      </w:r>
      <w:r w:rsidR="00C60B51">
        <w:rPr>
          <w:rFonts w:cstheme="majorHAnsi"/>
        </w:rPr>
        <w:t>:</w:t>
      </w:r>
    </w:p>
    <w:p w14:paraId="11C800FD" w14:textId="060CFD50" w:rsidR="00A554AC" w:rsidRDefault="00A273D4" w:rsidP="00C60B51">
      <w:pPr>
        <w:ind w:left="720"/>
        <w:rPr>
          <w:rFonts w:cstheme="majorHAnsi"/>
          <w:i/>
        </w:rPr>
      </w:pPr>
      <w:r w:rsidRPr="00C60B51">
        <w:rPr>
          <w:rFonts w:cstheme="majorHAnsi"/>
          <w:i/>
        </w:rPr>
        <w:t>‘</w:t>
      </w:r>
      <w:r w:rsidR="00A554AC" w:rsidRPr="00C60B51">
        <w:rPr>
          <w:rFonts w:cstheme="majorHAnsi"/>
          <w:i/>
        </w:rPr>
        <w:t>Safety and effectiveness of midazolam in children below the age of 8 have not been established. Pharmacokinetics in children have not been established and may differ from adults</w:t>
      </w:r>
      <w:r w:rsidRPr="00C60B51">
        <w:rPr>
          <w:rFonts w:cstheme="majorHAnsi"/>
          <w:i/>
        </w:rPr>
        <w:t>’</w:t>
      </w:r>
      <w:r w:rsidR="00A554AC" w:rsidRPr="00C60B51">
        <w:rPr>
          <w:rFonts w:cstheme="majorHAnsi"/>
          <w:i/>
        </w:rPr>
        <w:t>.</w:t>
      </w:r>
    </w:p>
    <w:p w14:paraId="3B5E95DE" w14:textId="4ACFCC57" w:rsidR="00455B60" w:rsidRPr="00455B60" w:rsidRDefault="00455B60" w:rsidP="00455B60">
      <w:pPr>
        <w:pStyle w:val="Heading5"/>
      </w:pPr>
      <w:r>
        <w:t>Exposure and adverse events recorded in the literature</w:t>
      </w:r>
    </w:p>
    <w:p w14:paraId="1C5381F8" w14:textId="2A95F715" w:rsidR="00A554AC" w:rsidRDefault="00A554AC" w:rsidP="00C60B51">
      <w:pPr>
        <w:rPr>
          <w:lang w:eastAsia="ja-JP"/>
        </w:rPr>
      </w:pPr>
      <w:bookmarkStart w:id="117" w:name="_Toc77073438"/>
      <w:r>
        <w:t xml:space="preserve">Adverse events </w:t>
      </w:r>
      <w:r w:rsidR="00DD7657">
        <w:t>(</w:t>
      </w:r>
      <w:r>
        <w:t>AEs</w:t>
      </w:r>
      <w:r w:rsidR="00DD7657">
        <w:t>)</w:t>
      </w:r>
      <w:r>
        <w:t xml:space="preserve"> in </w:t>
      </w:r>
      <w:r w:rsidR="00455B60">
        <w:t xml:space="preserve">the </w:t>
      </w:r>
      <w:r w:rsidR="00A514E9">
        <w:t>literature</w:t>
      </w:r>
      <w:r>
        <w:t xml:space="preserve"> </w:t>
      </w:r>
      <w:r w:rsidR="00A514E9">
        <w:t>s</w:t>
      </w:r>
      <w:r>
        <w:t>tudies providing evaluable safety data</w:t>
      </w:r>
      <w:bookmarkEnd w:id="117"/>
      <w:r w:rsidR="00A514E9">
        <w:t xml:space="preserve"> are shown in </w:t>
      </w:r>
      <w:r w:rsidR="00C60B51">
        <w:fldChar w:fldCharType="begin"/>
      </w:r>
      <w:r w:rsidR="00C60B51">
        <w:instrText xml:space="preserve"> REF _Ref108786685 \h </w:instrText>
      </w:r>
      <w:r w:rsidR="00C60B51">
        <w:fldChar w:fldCharType="separate"/>
      </w:r>
      <w:r w:rsidR="00AA79CE">
        <w:t xml:space="preserve">Table </w:t>
      </w:r>
      <w:r w:rsidR="00AA79CE">
        <w:rPr>
          <w:noProof/>
        </w:rPr>
        <w:t>17</w:t>
      </w:r>
      <w:r w:rsidR="00C60B51">
        <w:fldChar w:fldCharType="end"/>
      </w:r>
      <w:r w:rsidR="00C60B51">
        <w:t>, below.</w:t>
      </w:r>
    </w:p>
    <w:p w14:paraId="65D812AF" w14:textId="6E0861F0" w:rsidR="00C60B51" w:rsidRDefault="00C60B51" w:rsidP="00C60B51">
      <w:pPr>
        <w:pStyle w:val="TableTitle"/>
      </w:pPr>
      <w:bookmarkStart w:id="118" w:name="_Ref108786685"/>
      <w:r>
        <w:t xml:space="preserve">Table </w:t>
      </w:r>
      <w:fldSimple w:instr=" SEQ Table \* ARABIC ">
        <w:r w:rsidR="00AA79CE">
          <w:rPr>
            <w:noProof/>
          </w:rPr>
          <w:t>17</w:t>
        </w:r>
      </w:fldSimple>
      <w:bookmarkEnd w:id="118"/>
      <w:r>
        <w:t>: Total exposure derived from the literature submitted for this submission</w:t>
      </w:r>
    </w:p>
    <w:tbl>
      <w:tblPr>
        <w:tblStyle w:val="TableTGAblue"/>
        <w:tblW w:w="8720" w:type="dxa"/>
        <w:tblLook w:val="04A0" w:firstRow="1" w:lastRow="0" w:firstColumn="1" w:lastColumn="0" w:noHBand="0" w:noVBand="1"/>
      </w:tblPr>
      <w:tblGrid>
        <w:gridCol w:w="4580"/>
        <w:gridCol w:w="2160"/>
        <w:gridCol w:w="1980"/>
      </w:tblGrid>
      <w:tr w:rsidR="00A514E9" w:rsidRPr="00C60B51" w14:paraId="5C9F4237" w14:textId="77777777" w:rsidTr="00767456">
        <w:trPr>
          <w:cnfStyle w:val="100000000000" w:firstRow="1" w:lastRow="0" w:firstColumn="0" w:lastColumn="0" w:oddVBand="0" w:evenVBand="0" w:oddHBand="0" w:evenHBand="0" w:firstRowFirstColumn="0" w:firstRowLastColumn="0" w:lastRowFirstColumn="0" w:lastRowLastColumn="0"/>
        </w:trPr>
        <w:tc>
          <w:tcPr>
            <w:tcW w:w="4580" w:type="dxa"/>
            <w:hideMark/>
          </w:tcPr>
          <w:p w14:paraId="080EAB5E" w14:textId="1E081AE8" w:rsidR="00A554AC" w:rsidRPr="00C60B51" w:rsidRDefault="00C60B51" w:rsidP="00C60B51">
            <w:r>
              <w:t>Study/publication</w:t>
            </w:r>
          </w:p>
        </w:tc>
        <w:tc>
          <w:tcPr>
            <w:tcW w:w="2160" w:type="dxa"/>
            <w:hideMark/>
          </w:tcPr>
          <w:p w14:paraId="35D0E614" w14:textId="2B52FAE3" w:rsidR="00A554AC" w:rsidRPr="00C60B51" w:rsidRDefault="00C60B51" w:rsidP="00C60B51">
            <w:r>
              <w:t>Buccal p</w:t>
            </w:r>
            <w:r w:rsidR="00A554AC" w:rsidRPr="00C60B51">
              <w:t xml:space="preserve">opulation </w:t>
            </w:r>
          </w:p>
        </w:tc>
        <w:tc>
          <w:tcPr>
            <w:tcW w:w="1980" w:type="dxa"/>
            <w:hideMark/>
          </w:tcPr>
          <w:p w14:paraId="2A175832" w14:textId="277D5961" w:rsidR="00A554AC" w:rsidRPr="00C60B51" w:rsidRDefault="00C60B51" w:rsidP="00C60B51">
            <w:r>
              <w:t>Adverse events</w:t>
            </w:r>
          </w:p>
        </w:tc>
      </w:tr>
      <w:tr w:rsidR="00A514E9" w:rsidRPr="00C60B51" w14:paraId="33C7AB25" w14:textId="77777777" w:rsidTr="00767456">
        <w:trPr>
          <w:cantSplit/>
        </w:trPr>
        <w:tc>
          <w:tcPr>
            <w:tcW w:w="4580" w:type="dxa"/>
            <w:hideMark/>
          </w:tcPr>
          <w:p w14:paraId="5833203C" w14:textId="72AB39E0" w:rsidR="00F717C7" w:rsidRPr="00767456" w:rsidRDefault="00F717C7" w:rsidP="00F717C7">
            <w:pPr>
              <w:rPr>
                <w:sz w:val="20"/>
              </w:rPr>
            </w:pPr>
            <w:r w:rsidRPr="00767456">
              <w:rPr>
                <w:sz w:val="20"/>
              </w:rPr>
              <w:t xml:space="preserve">Talukdar B, Chakrabarty B. Efficacy of buccal midazolam compared to intravenous diazepam in controlling convulsions in children: a randomised controlled trial. </w:t>
            </w:r>
            <w:r w:rsidRPr="00767456">
              <w:rPr>
                <w:i/>
                <w:sz w:val="20"/>
              </w:rPr>
              <w:t>Brain Dev.</w:t>
            </w:r>
            <w:r w:rsidRPr="00767456">
              <w:rPr>
                <w:sz w:val="20"/>
              </w:rPr>
              <w:t xml:space="preserve"> 2009; 31(10)744-9</w:t>
            </w:r>
          </w:p>
          <w:p w14:paraId="64BC1FD4" w14:textId="45E09B11" w:rsidR="00A554AC" w:rsidRPr="00767456" w:rsidRDefault="00A554AC" w:rsidP="00F717C7">
            <w:pPr>
              <w:rPr>
                <w:sz w:val="20"/>
              </w:rPr>
            </w:pPr>
            <w:r w:rsidRPr="00767456">
              <w:rPr>
                <w:sz w:val="20"/>
              </w:rPr>
              <w:t>Used midazolam hydrochloride</w:t>
            </w:r>
          </w:p>
        </w:tc>
        <w:tc>
          <w:tcPr>
            <w:tcW w:w="2160" w:type="dxa"/>
            <w:hideMark/>
          </w:tcPr>
          <w:p w14:paraId="2943764A" w14:textId="2EA9FECE" w:rsidR="00D75EC9" w:rsidRDefault="00A554AC" w:rsidP="00C60B51">
            <w:pPr>
              <w:rPr>
                <w:sz w:val="20"/>
              </w:rPr>
            </w:pPr>
            <w:r w:rsidRPr="00767456">
              <w:rPr>
                <w:sz w:val="20"/>
              </w:rPr>
              <w:t>60 patients</w:t>
            </w:r>
          </w:p>
          <w:p w14:paraId="39C3EE50" w14:textId="60AD7B24" w:rsidR="00A554AC" w:rsidRPr="00767456" w:rsidRDefault="00F717C7" w:rsidP="00C60B51">
            <w:pPr>
              <w:rPr>
                <w:sz w:val="20"/>
              </w:rPr>
            </w:pPr>
            <w:r w:rsidRPr="00767456">
              <w:rPr>
                <w:sz w:val="20"/>
              </w:rPr>
              <w:t>53.3% were &lt; 1 year of age</w:t>
            </w:r>
          </w:p>
        </w:tc>
        <w:tc>
          <w:tcPr>
            <w:tcW w:w="1980" w:type="dxa"/>
            <w:hideMark/>
          </w:tcPr>
          <w:p w14:paraId="2C9A3A9F" w14:textId="77777777" w:rsidR="00A554AC" w:rsidRPr="00767456" w:rsidRDefault="00A554AC" w:rsidP="00C60B51">
            <w:pPr>
              <w:rPr>
                <w:sz w:val="20"/>
              </w:rPr>
            </w:pPr>
            <w:r w:rsidRPr="00767456">
              <w:rPr>
                <w:sz w:val="20"/>
              </w:rPr>
              <w:t xml:space="preserve">Nil </w:t>
            </w:r>
          </w:p>
        </w:tc>
      </w:tr>
      <w:tr w:rsidR="00A514E9" w:rsidRPr="00C60B51" w14:paraId="1D9C151E" w14:textId="77777777" w:rsidTr="00767456">
        <w:tc>
          <w:tcPr>
            <w:tcW w:w="4580" w:type="dxa"/>
            <w:hideMark/>
          </w:tcPr>
          <w:p w14:paraId="179490CD" w14:textId="11FB27C6" w:rsidR="00F717C7" w:rsidRPr="00767456" w:rsidRDefault="00F717C7" w:rsidP="00C60B51">
            <w:pPr>
              <w:rPr>
                <w:sz w:val="20"/>
              </w:rPr>
            </w:pPr>
            <w:r w:rsidRPr="00767456">
              <w:rPr>
                <w:sz w:val="20"/>
                <w:lang w:eastAsia="ja-JP"/>
              </w:rPr>
              <w:t xml:space="preserve">Tonekaboni S., Shamsabadi FM, Anvari S, Mazrooei A, and Ghofrani M. A comparison of buccal midazolam and intravenous diazepam for the acute treatment of seizures in children. </w:t>
            </w:r>
            <w:r w:rsidRPr="00767456">
              <w:rPr>
                <w:i/>
                <w:sz w:val="20"/>
                <w:lang w:eastAsia="ja-JP"/>
              </w:rPr>
              <w:t>Iran J Pediatr</w:t>
            </w:r>
            <w:r w:rsidRPr="00767456">
              <w:rPr>
                <w:sz w:val="20"/>
                <w:lang w:eastAsia="ja-JP"/>
              </w:rPr>
              <w:t xml:space="preserve"> 2012; 22(3):303-308</w:t>
            </w:r>
          </w:p>
          <w:p w14:paraId="0DFD8BED" w14:textId="20CDF09E" w:rsidR="00A554AC" w:rsidRPr="00767456" w:rsidRDefault="00A554AC" w:rsidP="00C60B51">
            <w:pPr>
              <w:rPr>
                <w:sz w:val="20"/>
              </w:rPr>
            </w:pPr>
            <w:r w:rsidRPr="00767456">
              <w:rPr>
                <w:sz w:val="20"/>
              </w:rPr>
              <w:t>Used midazolam maleate</w:t>
            </w:r>
          </w:p>
        </w:tc>
        <w:tc>
          <w:tcPr>
            <w:tcW w:w="2160" w:type="dxa"/>
            <w:hideMark/>
          </w:tcPr>
          <w:p w14:paraId="67D111C6" w14:textId="18777CA6" w:rsidR="00D75EC9" w:rsidRDefault="00A554AC" w:rsidP="00C60B51">
            <w:pPr>
              <w:rPr>
                <w:sz w:val="20"/>
              </w:rPr>
            </w:pPr>
            <w:r w:rsidRPr="00767456">
              <w:rPr>
                <w:sz w:val="20"/>
              </w:rPr>
              <w:t>32 patients</w:t>
            </w:r>
          </w:p>
          <w:p w14:paraId="0650C242" w14:textId="4F14D161" w:rsidR="00A554AC" w:rsidRPr="00767456" w:rsidRDefault="00F717C7" w:rsidP="00C60B51">
            <w:pPr>
              <w:rPr>
                <w:sz w:val="20"/>
              </w:rPr>
            </w:pPr>
            <w:r w:rsidRPr="00767456">
              <w:rPr>
                <w:sz w:val="20"/>
              </w:rPr>
              <w:t>M</w:t>
            </w:r>
            <w:r w:rsidR="00A554AC" w:rsidRPr="00767456">
              <w:rPr>
                <w:sz w:val="20"/>
              </w:rPr>
              <w:t>edian age was 18.4</w:t>
            </w:r>
            <w:r w:rsidRPr="00767456">
              <w:rPr>
                <w:sz w:val="20"/>
              </w:rPr>
              <w:t xml:space="preserve"> months (±10.3 </w:t>
            </w:r>
            <w:r w:rsidR="00A554AC" w:rsidRPr="00767456">
              <w:rPr>
                <w:sz w:val="20"/>
              </w:rPr>
              <w:t>months</w:t>
            </w:r>
            <w:r w:rsidRPr="00767456">
              <w:rPr>
                <w:sz w:val="20"/>
              </w:rPr>
              <w:t>)</w:t>
            </w:r>
          </w:p>
        </w:tc>
        <w:tc>
          <w:tcPr>
            <w:tcW w:w="1980" w:type="dxa"/>
            <w:hideMark/>
          </w:tcPr>
          <w:p w14:paraId="633905B0" w14:textId="77777777" w:rsidR="00A554AC" w:rsidRPr="00767456" w:rsidRDefault="00A554AC" w:rsidP="00C60B51">
            <w:pPr>
              <w:rPr>
                <w:sz w:val="20"/>
              </w:rPr>
            </w:pPr>
            <w:r w:rsidRPr="00767456">
              <w:rPr>
                <w:sz w:val="20"/>
              </w:rPr>
              <w:t>Agitation (11) hypotension (7)</w:t>
            </w:r>
          </w:p>
        </w:tc>
      </w:tr>
      <w:tr w:rsidR="00A514E9" w:rsidRPr="00C60B51" w14:paraId="401E2453" w14:textId="77777777" w:rsidTr="00767456">
        <w:trPr>
          <w:cantSplit/>
        </w:trPr>
        <w:tc>
          <w:tcPr>
            <w:tcW w:w="4580" w:type="dxa"/>
            <w:hideMark/>
          </w:tcPr>
          <w:p w14:paraId="47225EF6" w14:textId="77777777" w:rsidR="00F717C7" w:rsidRPr="00767456" w:rsidRDefault="00F717C7" w:rsidP="00C60B51">
            <w:pPr>
              <w:rPr>
                <w:sz w:val="20"/>
              </w:rPr>
            </w:pPr>
            <w:r w:rsidRPr="00767456">
              <w:rPr>
                <w:sz w:val="20"/>
              </w:rPr>
              <w:t xml:space="preserve">Ashrafi MR, Khosroshahi N, Karimi P, et al. Efficacy and usability of buccal midazolam in controlling acute prolonged convulsive seizures in children. </w:t>
            </w:r>
            <w:r w:rsidRPr="00767456">
              <w:rPr>
                <w:i/>
                <w:sz w:val="20"/>
              </w:rPr>
              <w:t>Eur J Paediatric Neurol.</w:t>
            </w:r>
            <w:r w:rsidRPr="00767456">
              <w:rPr>
                <w:sz w:val="20"/>
              </w:rPr>
              <w:t xml:space="preserve"> 2010.</w:t>
            </w:r>
          </w:p>
          <w:p w14:paraId="07E2F41F" w14:textId="28163346" w:rsidR="00A554AC" w:rsidRPr="00767456" w:rsidRDefault="00A554AC" w:rsidP="00C60B51">
            <w:pPr>
              <w:rPr>
                <w:sz w:val="20"/>
              </w:rPr>
            </w:pPr>
            <w:r w:rsidRPr="00767456">
              <w:rPr>
                <w:sz w:val="20"/>
              </w:rPr>
              <w:t>Used midazolam maleate</w:t>
            </w:r>
            <w:r w:rsidR="00F717C7" w:rsidRPr="00767456">
              <w:rPr>
                <w:sz w:val="20"/>
              </w:rPr>
              <w:t>.</w:t>
            </w:r>
          </w:p>
        </w:tc>
        <w:tc>
          <w:tcPr>
            <w:tcW w:w="2160" w:type="dxa"/>
            <w:hideMark/>
          </w:tcPr>
          <w:p w14:paraId="28BC0308" w14:textId="77777777" w:rsidR="00A554AC" w:rsidRPr="00767456" w:rsidRDefault="00A554AC" w:rsidP="00C60B51">
            <w:pPr>
              <w:rPr>
                <w:sz w:val="20"/>
              </w:rPr>
            </w:pPr>
            <w:r w:rsidRPr="00767456">
              <w:rPr>
                <w:sz w:val="20"/>
              </w:rPr>
              <w:t>43 patients</w:t>
            </w:r>
          </w:p>
          <w:p w14:paraId="4FCD2578" w14:textId="66C827D0" w:rsidR="00A554AC" w:rsidRPr="00767456" w:rsidRDefault="00A554AC" w:rsidP="00C60B51">
            <w:pPr>
              <w:rPr>
                <w:sz w:val="20"/>
              </w:rPr>
            </w:pPr>
            <w:r w:rsidRPr="00767456">
              <w:rPr>
                <w:sz w:val="20"/>
              </w:rPr>
              <w:t>Median age 24</w:t>
            </w:r>
            <w:r w:rsidR="00F717C7" w:rsidRPr="00767456">
              <w:rPr>
                <w:sz w:val="20"/>
              </w:rPr>
              <w:t> </w:t>
            </w:r>
            <w:r w:rsidRPr="00767456">
              <w:rPr>
                <w:sz w:val="20"/>
              </w:rPr>
              <w:t>months</w:t>
            </w:r>
          </w:p>
        </w:tc>
        <w:tc>
          <w:tcPr>
            <w:tcW w:w="1980" w:type="dxa"/>
            <w:hideMark/>
          </w:tcPr>
          <w:p w14:paraId="0C234516" w14:textId="77777777" w:rsidR="00A554AC" w:rsidRPr="00767456" w:rsidRDefault="00A554AC" w:rsidP="00C60B51">
            <w:pPr>
              <w:rPr>
                <w:sz w:val="20"/>
              </w:rPr>
            </w:pPr>
            <w:r w:rsidRPr="00767456">
              <w:rPr>
                <w:sz w:val="20"/>
              </w:rPr>
              <w:t xml:space="preserve">Nil </w:t>
            </w:r>
          </w:p>
        </w:tc>
      </w:tr>
      <w:tr w:rsidR="00A514E9" w:rsidRPr="00C60B51" w14:paraId="68B4964E" w14:textId="77777777" w:rsidTr="00767456">
        <w:tc>
          <w:tcPr>
            <w:tcW w:w="4580" w:type="dxa"/>
            <w:hideMark/>
          </w:tcPr>
          <w:p w14:paraId="2E8E0C6E" w14:textId="77777777" w:rsidR="00F717C7" w:rsidRPr="00767456" w:rsidRDefault="00F717C7" w:rsidP="00C60B51">
            <w:pPr>
              <w:rPr>
                <w:sz w:val="20"/>
              </w:rPr>
            </w:pPr>
            <w:r w:rsidRPr="00AA79CE">
              <w:rPr>
                <w:sz w:val="20"/>
                <w:lang w:val="fr-FR"/>
              </w:rPr>
              <w:t xml:space="preserve">McIntyre J, Robertson S, Norris E, et al. </w:t>
            </w:r>
            <w:r w:rsidRPr="00767456">
              <w:rPr>
                <w:sz w:val="20"/>
              </w:rPr>
              <w:t xml:space="preserve">Safety and efficacy of buccal midazolam versus rectal diazepam for emergency treatment of seizures in children: a randomised controlled. </w:t>
            </w:r>
            <w:r w:rsidRPr="00767456">
              <w:rPr>
                <w:i/>
                <w:sz w:val="20"/>
              </w:rPr>
              <w:t>Lancet</w:t>
            </w:r>
            <w:r w:rsidRPr="00767456">
              <w:rPr>
                <w:sz w:val="20"/>
              </w:rPr>
              <w:t xml:space="preserve"> 2005; 366 (9481):205-210.</w:t>
            </w:r>
          </w:p>
          <w:p w14:paraId="5F645AFE" w14:textId="2CCA838B" w:rsidR="00A554AC" w:rsidRPr="00767456" w:rsidRDefault="00A554AC" w:rsidP="00C60B51">
            <w:pPr>
              <w:rPr>
                <w:sz w:val="20"/>
              </w:rPr>
            </w:pPr>
            <w:r w:rsidRPr="00767456">
              <w:rPr>
                <w:sz w:val="20"/>
              </w:rPr>
              <w:t>Used midazolam hydrochloride</w:t>
            </w:r>
            <w:r w:rsidR="00F717C7" w:rsidRPr="00767456">
              <w:rPr>
                <w:sz w:val="20"/>
              </w:rPr>
              <w:t>.</w:t>
            </w:r>
          </w:p>
        </w:tc>
        <w:tc>
          <w:tcPr>
            <w:tcW w:w="2160" w:type="dxa"/>
            <w:hideMark/>
          </w:tcPr>
          <w:p w14:paraId="2AD9B8CA" w14:textId="7F8064FA" w:rsidR="00D75EC9" w:rsidRDefault="00A554AC" w:rsidP="00C60B51">
            <w:pPr>
              <w:rPr>
                <w:sz w:val="20"/>
              </w:rPr>
            </w:pPr>
            <w:r w:rsidRPr="00767456">
              <w:rPr>
                <w:sz w:val="20"/>
              </w:rPr>
              <w:t>9</w:t>
            </w:r>
            <w:r w:rsidR="00F717C7" w:rsidRPr="00767456">
              <w:rPr>
                <w:sz w:val="20"/>
              </w:rPr>
              <w:t>2 patients (109 </w:t>
            </w:r>
            <w:r w:rsidRPr="00767456">
              <w:rPr>
                <w:sz w:val="20"/>
              </w:rPr>
              <w:t>episodes)</w:t>
            </w:r>
          </w:p>
          <w:p w14:paraId="308853AE" w14:textId="77777777" w:rsidR="00A554AC" w:rsidRPr="00767456" w:rsidRDefault="00A554AC" w:rsidP="00C60B51">
            <w:pPr>
              <w:rPr>
                <w:sz w:val="20"/>
              </w:rPr>
            </w:pPr>
            <w:r w:rsidRPr="00767456">
              <w:rPr>
                <w:sz w:val="20"/>
              </w:rPr>
              <w:t xml:space="preserve">Only ages combined arms given </w:t>
            </w:r>
          </w:p>
        </w:tc>
        <w:tc>
          <w:tcPr>
            <w:tcW w:w="1980" w:type="dxa"/>
            <w:hideMark/>
          </w:tcPr>
          <w:p w14:paraId="78FEF973" w14:textId="5C731C17" w:rsidR="00A554AC" w:rsidRPr="00767456" w:rsidRDefault="00A554AC" w:rsidP="00C60B51">
            <w:pPr>
              <w:rPr>
                <w:sz w:val="20"/>
              </w:rPr>
            </w:pPr>
            <w:r w:rsidRPr="00767456">
              <w:rPr>
                <w:sz w:val="20"/>
              </w:rPr>
              <w:t>Respiratory depression (5</w:t>
            </w:r>
            <w:r w:rsidR="00F717C7" w:rsidRPr="00767456">
              <w:rPr>
                <w:sz w:val="20"/>
              </w:rPr>
              <w:t> events</w:t>
            </w:r>
            <w:r w:rsidRPr="00767456">
              <w:rPr>
                <w:sz w:val="20"/>
              </w:rPr>
              <w:t>, 5%)</w:t>
            </w:r>
          </w:p>
        </w:tc>
      </w:tr>
      <w:tr w:rsidR="00A514E9" w:rsidRPr="00C60B51" w14:paraId="392EC1D5" w14:textId="77777777" w:rsidTr="00767456">
        <w:tc>
          <w:tcPr>
            <w:tcW w:w="4580" w:type="dxa"/>
            <w:hideMark/>
          </w:tcPr>
          <w:p w14:paraId="6957B300" w14:textId="77777777" w:rsidR="00F717C7" w:rsidRPr="00767456" w:rsidRDefault="00F717C7" w:rsidP="00F717C7">
            <w:pPr>
              <w:rPr>
                <w:sz w:val="20"/>
              </w:rPr>
            </w:pPr>
            <w:r w:rsidRPr="00767456">
              <w:rPr>
                <w:sz w:val="20"/>
              </w:rPr>
              <w:t xml:space="preserve">Scott RC, Besag FM and Neville BG. Buccal midazolam and rectal diazepam for treatment of prolonged seizures in childhood and adolescence: a randomised trial. </w:t>
            </w:r>
            <w:r w:rsidRPr="00767456">
              <w:rPr>
                <w:i/>
                <w:sz w:val="20"/>
              </w:rPr>
              <w:t>Lancet</w:t>
            </w:r>
            <w:r w:rsidRPr="00767456">
              <w:rPr>
                <w:sz w:val="20"/>
              </w:rPr>
              <w:t>. 1999; 35 (9153)623-626.</w:t>
            </w:r>
          </w:p>
          <w:p w14:paraId="72F70CF8" w14:textId="19298032" w:rsidR="00A554AC" w:rsidRPr="00767456" w:rsidRDefault="00A554AC" w:rsidP="00F717C7">
            <w:pPr>
              <w:rPr>
                <w:sz w:val="20"/>
              </w:rPr>
            </w:pPr>
            <w:r w:rsidRPr="00767456">
              <w:rPr>
                <w:sz w:val="20"/>
              </w:rPr>
              <w:t>Used midazolam hydrochloride</w:t>
            </w:r>
          </w:p>
        </w:tc>
        <w:tc>
          <w:tcPr>
            <w:tcW w:w="2160" w:type="dxa"/>
            <w:hideMark/>
          </w:tcPr>
          <w:p w14:paraId="1973AFE5" w14:textId="78A759D7" w:rsidR="00D75EC9" w:rsidRDefault="00F717C7" w:rsidP="00C60B51">
            <w:pPr>
              <w:rPr>
                <w:sz w:val="20"/>
              </w:rPr>
            </w:pPr>
            <w:r w:rsidRPr="00767456">
              <w:rPr>
                <w:sz w:val="20"/>
              </w:rPr>
              <w:t>14 patients (40 </w:t>
            </w:r>
            <w:r w:rsidR="00A554AC" w:rsidRPr="00767456">
              <w:rPr>
                <w:sz w:val="20"/>
              </w:rPr>
              <w:t>episodes)</w:t>
            </w:r>
          </w:p>
          <w:p w14:paraId="0700AA5D" w14:textId="7A3F575A" w:rsidR="00A554AC" w:rsidRPr="00767456" w:rsidRDefault="00F717C7" w:rsidP="00C60B51">
            <w:pPr>
              <w:rPr>
                <w:sz w:val="20"/>
              </w:rPr>
            </w:pPr>
            <w:r w:rsidRPr="00767456">
              <w:rPr>
                <w:sz w:val="20"/>
              </w:rPr>
              <w:t>Included 6 of 18 patients aged 18/19 years</w:t>
            </w:r>
          </w:p>
        </w:tc>
        <w:tc>
          <w:tcPr>
            <w:tcW w:w="1980" w:type="dxa"/>
            <w:hideMark/>
          </w:tcPr>
          <w:p w14:paraId="3F945933" w14:textId="1CDFFC56" w:rsidR="00A554AC" w:rsidRPr="00767456" w:rsidRDefault="00F717C7" w:rsidP="00C60B51">
            <w:pPr>
              <w:rPr>
                <w:sz w:val="20"/>
              </w:rPr>
            </w:pPr>
            <w:r w:rsidRPr="00767456">
              <w:rPr>
                <w:sz w:val="20"/>
              </w:rPr>
              <w:t>No clinically important adverse events</w:t>
            </w:r>
          </w:p>
        </w:tc>
      </w:tr>
      <w:tr w:rsidR="00A514E9" w:rsidRPr="00C60B51" w14:paraId="0254D419" w14:textId="77777777" w:rsidTr="00767456">
        <w:tc>
          <w:tcPr>
            <w:tcW w:w="4580" w:type="dxa"/>
            <w:hideMark/>
          </w:tcPr>
          <w:p w14:paraId="56B36789" w14:textId="77777777" w:rsidR="00F717C7" w:rsidRPr="00767456" w:rsidRDefault="00F717C7" w:rsidP="00C60B51">
            <w:pPr>
              <w:rPr>
                <w:sz w:val="20"/>
              </w:rPr>
            </w:pPr>
            <w:r w:rsidRPr="00767456">
              <w:rPr>
                <w:sz w:val="20"/>
              </w:rPr>
              <w:t xml:space="preserve">Baysun S, Aydin OF, Atmaca E et.al. Comparison of buccal midazolam and rectal diazepam for the acute treatment of seizures. A </w:t>
            </w:r>
            <w:r w:rsidRPr="00767456">
              <w:rPr>
                <w:i/>
                <w:sz w:val="20"/>
              </w:rPr>
              <w:t>Clin Pediatr. (Plila).</w:t>
            </w:r>
            <w:r w:rsidRPr="00767456">
              <w:rPr>
                <w:sz w:val="20"/>
              </w:rPr>
              <w:t xml:space="preserve"> 2005; 44 (9):771-776.</w:t>
            </w:r>
          </w:p>
          <w:p w14:paraId="51CEED15" w14:textId="40DF6F08" w:rsidR="00A554AC" w:rsidRPr="00767456" w:rsidRDefault="00A554AC" w:rsidP="00C60B51">
            <w:pPr>
              <w:rPr>
                <w:sz w:val="20"/>
              </w:rPr>
            </w:pPr>
            <w:r w:rsidRPr="00767456">
              <w:rPr>
                <w:sz w:val="20"/>
              </w:rPr>
              <w:t>Used midazolam hydrochloride</w:t>
            </w:r>
          </w:p>
        </w:tc>
        <w:tc>
          <w:tcPr>
            <w:tcW w:w="2160" w:type="dxa"/>
            <w:hideMark/>
          </w:tcPr>
          <w:p w14:paraId="510E2B5A" w14:textId="77777777" w:rsidR="00F717C7" w:rsidRPr="00767456" w:rsidRDefault="00A554AC" w:rsidP="00C60B51">
            <w:pPr>
              <w:rPr>
                <w:sz w:val="20"/>
              </w:rPr>
            </w:pPr>
            <w:r w:rsidRPr="00767456">
              <w:rPr>
                <w:sz w:val="20"/>
              </w:rPr>
              <w:t>23 patients</w:t>
            </w:r>
            <w:r w:rsidR="00F717C7" w:rsidRPr="00767456">
              <w:rPr>
                <w:sz w:val="20"/>
              </w:rPr>
              <w:t>.</w:t>
            </w:r>
          </w:p>
          <w:p w14:paraId="1D237888" w14:textId="6835CD02" w:rsidR="00F717C7" w:rsidRPr="00767456" w:rsidRDefault="00F717C7" w:rsidP="00C60B51">
            <w:pPr>
              <w:rPr>
                <w:sz w:val="20"/>
              </w:rPr>
            </w:pPr>
            <w:r w:rsidRPr="00767456">
              <w:rPr>
                <w:sz w:val="20"/>
              </w:rPr>
              <w:t xml:space="preserve"> M</w:t>
            </w:r>
            <w:r w:rsidR="00A554AC" w:rsidRPr="00767456">
              <w:rPr>
                <w:sz w:val="20"/>
              </w:rPr>
              <w:t>ean age 3.87</w:t>
            </w:r>
            <w:r w:rsidRPr="00767456">
              <w:rPr>
                <w:sz w:val="20"/>
              </w:rPr>
              <w:t xml:space="preserve"> years (</w:t>
            </w:r>
            <w:r w:rsidR="00A554AC" w:rsidRPr="00767456">
              <w:rPr>
                <w:sz w:val="20"/>
              </w:rPr>
              <w:t>±</w:t>
            </w:r>
            <w:r w:rsidRPr="00767456">
              <w:rPr>
                <w:sz w:val="20"/>
              </w:rPr>
              <w:t xml:space="preserve"> 3.39).</w:t>
            </w:r>
          </w:p>
          <w:p w14:paraId="0A6A1D44" w14:textId="28C9007E" w:rsidR="00A554AC" w:rsidRPr="00767456" w:rsidRDefault="00F717C7" w:rsidP="00C60B51">
            <w:pPr>
              <w:rPr>
                <w:sz w:val="20"/>
              </w:rPr>
            </w:pPr>
            <w:r w:rsidRPr="00767456">
              <w:rPr>
                <w:sz w:val="20"/>
              </w:rPr>
              <w:t>Range: 2 months to 12 years</w:t>
            </w:r>
          </w:p>
        </w:tc>
        <w:tc>
          <w:tcPr>
            <w:tcW w:w="1980" w:type="dxa"/>
            <w:hideMark/>
          </w:tcPr>
          <w:p w14:paraId="23F17CFE" w14:textId="77777777" w:rsidR="00A554AC" w:rsidRPr="00767456" w:rsidRDefault="00A554AC" w:rsidP="00C60B51">
            <w:pPr>
              <w:rPr>
                <w:sz w:val="20"/>
              </w:rPr>
            </w:pPr>
            <w:r w:rsidRPr="00767456">
              <w:rPr>
                <w:sz w:val="20"/>
              </w:rPr>
              <w:t>Coughing (1)</w:t>
            </w:r>
          </w:p>
        </w:tc>
      </w:tr>
      <w:tr w:rsidR="00A514E9" w:rsidRPr="00C60B51" w14:paraId="5AC4A189" w14:textId="77777777" w:rsidTr="00767456">
        <w:tc>
          <w:tcPr>
            <w:tcW w:w="4580" w:type="dxa"/>
            <w:hideMark/>
          </w:tcPr>
          <w:p w14:paraId="0B5982ED" w14:textId="735AD485" w:rsidR="00A554AC" w:rsidRPr="00767456" w:rsidRDefault="00D63F17" w:rsidP="00D63F17">
            <w:pPr>
              <w:rPr>
                <w:sz w:val="20"/>
              </w:rPr>
            </w:pPr>
            <w:r w:rsidRPr="00AA79CE">
              <w:rPr>
                <w:sz w:val="20"/>
                <w:lang w:val="it-IT"/>
              </w:rPr>
              <w:t xml:space="preserve">Kutlu NO, Dogrul M, Yakinci C et al. </w:t>
            </w:r>
            <w:r w:rsidRPr="00767456">
              <w:rPr>
                <w:sz w:val="20"/>
              </w:rPr>
              <w:t xml:space="preserve">Buccal midazolam for treatment of prolonged seizures in children. </w:t>
            </w:r>
            <w:r w:rsidRPr="00767456">
              <w:rPr>
                <w:i/>
                <w:sz w:val="20"/>
              </w:rPr>
              <w:t>Brain Dev.</w:t>
            </w:r>
            <w:r w:rsidRPr="00767456">
              <w:rPr>
                <w:sz w:val="20"/>
              </w:rPr>
              <w:t xml:space="preserve"> 2003; 25 (4):275-278.</w:t>
            </w:r>
          </w:p>
        </w:tc>
        <w:tc>
          <w:tcPr>
            <w:tcW w:w="2160" w:type="dxa"/>
            <w:hideMark/>
          </w:tcPr>
          <w:p w14:paraId="0400684A" w14:textId="77777777" w:rsidR="00A554AC" w:rsidRPr="00767456" w:rsidRDefault="00A554AC" w:rsidP="00C60B51">
            <w:pPr>
              <w:rPr>
                <w:sz w:val="20"/>
              </w:rPr>
            </w:pPr>
            <w:r w:rsidRPr="00767456">
              <w:rPr>
                <w:sz w:val="20"/>
              </w:rPr>
              <w:t>19 patients</w:t>
            </w:r>
          </w:p>
          <w:p w14:paraId="326AAA91" w14:textId="77777777" w:rsidR="00D63F17" w:rsidRPr="00767456" w:rsidRDefault="00A554AC" w:rsidP="00C60B51">
            <w:pPr>
              <w:rPr>
                <w:sz w:val="20"/>
              </w:rPr>
            </w:pPr>
            <w:r w:rsidRPr="00767456">
              <w:rPr>
                <w:sz w:val="20"/>
              </w:rPr>
              <w:t xml:space="preserve">Age 3.76 </w:t>
            </w:r>
            <w:r w:rsidR="00D63F17" w:rsidRPr="00767456">
              <w:rPr>
                <w:sz w:val="20"/>
              </w:rPr>
              <w:t>years (</w:t>
            </w:r>
            <w:r w:rsidRPr="00767456">
              <w:rPr>
                <w:sz w:val="20"/>
              </w:rPr>
              <w:t>± 4.48</w:t>
            </w:r>
            <w:r w:rsidR="00D63F17" w:rsidRPr="00767456">
              <w:rPr>
                <w:sz w:val="20"/>
              </w:rPr>
              <w:t xml:space="preserve"> </w:t>
            </w:r>
            <w:r w:rsidRPr="00767456">
              <w:rPr>
                <w:sz w:val="20"/>
              </w:rPr>
              <w:t>y</w:t>
            </w:r>
            <w:r w:rsidR="00D63F17" w:rsidRPr="00767456">
              <w:rPr>
                <w:sz w:val="20"/>
              </w:rPr>
              <w:t>ears)</w:t>
            </w:r>
          </w:p>
          <w:p w14:paraId="1EAD8D1B" w14:textId="174738A3" w:rsidR="00A554AC" w:rsidRPr="00767456" w:rsidRDefault="00D63F17" w:rsidP="00C60B51">
            <w:pPr>
              <w:rPr>
                <w:sz w:val="20"/>
              </w:rPr>
            </w:pPr>
            <w:r w:rsidRPr="00767456">
              <w:rPr>
                <w:sz w:val="20"/>
              </w:rPr>
              <w:t>R</w:t>
            </w:r>
            <w:r w:rsidR="00A554AC" w:rsidRPr="00767456">
              <w:rPr>
                <w:sz w:val="20"/>
              </w:rPr>
              <w:t>ange</w:t>
            </w:r>
            <w:r w:rsidRPr="00767456">
              <w:rPr>
                <w:sz w:val="20"/>
              </w:rPr>
              <w:t>:</w:t>
            </w:r>
            <w:r w:rsidR="00A554AC" w:rsidRPr="00767456">
              <w:rPr>
                <w:sz w:val="20"/>
              </w:rPr>
              <w:t xml:space="preserve"> 1 month to 15</w:t>
            </w:r>
            <w:r w:rsidRPr="00767456">
              <w:rPr>
                <w:sz w:val="20"/>
              </w:rPr>
              <w:t xml:space="preserve"> </w:t>
            </w:r>
            <w:r w:rsidR="00A554AC" w:rsidRPr="00767456">
              <w:rPr>
                <w:sz w:val="20"/>
              </w:rPr>
              <w:t>y</w:t>
            </w:r>
            <w:r w:rsidRPr="00767456">
              <w:rPr>
                <w:sz w:val="20"/>
              </w:rPr>
              <w:t>ears</w:t>
            </w:r>
          </w:p>
        </w:tc>
        <w:tc>
          <w:tcPr>
            <w:tcW w:w="1980" w:type="dxa"/>
            <w:hideMark/>
          </w:tcPr>
          <w:p w14:paraId="030B122B" w14:textId="77777777" w:rsidR="00A554AC" w:rsidRPr="00767456" w:rsidRDefault="00A554AC" w:rsidP="00C60B51">
            <w:pPr>
              <w:rPr>
                <w:sz w:val="20"/>
              </w:rPr>
            </w:pPr>
            <w:r w:rsidRPr="00767456">
              <w:rPr>
                <w:sz w:val="20"/>
              </w:rPr>
              <w:t>Nil</w:t>
            </w:r>
          </w:p>
        </w:tc>
      </w:tr>
      <w:tr w:rsidR="00A514E9" w:rsidRPr="00C60B51" w14:paraId="33B307E7" w14:textId="77777777" w:rsidTr="00767456">
        <w:tc>
          <w:tcPr>
            <w:tcW w:w="4580" w:type="dxa"/>
            <w:hideMark/>
          </w:tcPr>
          <w:p w14:paraId="4475DB2A" w14:textId="5C36006A" w:rsidR="00A554AC" w:rsidRPr="00767456" w:rsidRDefault="00D63F17" w:rsidP="00C60B51">
            <w:pPr>
              <w:rPr>
                <w:sz w:val="20"/>
              </w:rPr>
            </w:pPr>
            <w:r w:rsidRPr="00767456">
              <w:rPr>
                <w:sz w:val="20"/>
                <w:lang w:eastAsia="ja-JP"/>
              </w:rPr>
              <w:t xml:space="preserve">Frelih J, Zupancic N, Kolenc J, Rogelj M and Neubauer D. Buccal midazolam use for acute treatment of seizures. </w:t>
            </w:r>
            <w:r w:rsidRPr="00767456">
              <w:rPr>
                <w:i/>
                <w:sz w:val="20"/>
                <w:lang w:eastAsia="ja-JP"/>
              </w:rPr>
              <w:t>Paediatr Croat</w:t>
            </w:r>
            <w:r w:rsidRPr="00767456">
              <w:rPr>
                <w:sz w:val="20"/>
                <w:lang w:eastAsia="ja-JP"/>
              </w:rPr>
              <w:t xml:space="preserve"> 2007; 51(Supl 1):149-151.</w:t>
            </w:r>
          </w:p>
        </w:tc>
        <w:tc>
          <w:tcPr>
            <w:tcW w:w="2160" w:type="dxa"/>
            <w:hideMark/>
          </w:tcPr>
          <w:p w14:paraId="562C3E07" w14:textId="77777777" w:rsidR="00A514E9" w:rsidRPr="00767456" w:rsidRDefault="00A554AC" w:rsidP="00C60B51">
            <w:pPr>
              <w:rPr>
                <w:sz w:val="20"/>
              </w:rPr>
            </w:pPr>
            <w:r w:rsidRPr="00767456">
              <w:rPr>
                <w:sz w:val="20"/>
              </w:rPr>
              <w:t>20 patients</w:t>
            </w:r>
          </w:p>
          <w:p w14:paraId="0DC9524E" w14:textId="01848272" w:rsidR="00D63F17" w:rsidRPr="00767456" w:rsidRDefault="00D63F17" w:rsidP="00C60B51">
            <w:pPr>
              <w:rPr>
                <w:sz w:val="20"/>
              </w:rPr>
            </w:pPr>
            <w:r w:rsidRPr="00767456">
              <w:rPr>
                <w:sz w:val="20"/>
              </w:rPr>
              <w:t xml:space="preserve">Age: </w:t>
            </w:r>
            <w:r w:rsidR="00A554AC" w:rsidRPr="00767456">
              <w:rPr>
                <w:sz w:val="20"/>
              </w:rPr>
              <w:t>3 to 24</w:t>
            </w:r>
            <w:r w:rsidRPr="00767456">
              <w:rPr>
                <w:sz w:val="20"/>
              </w:rPr>
              <w:t xml:space="preserve"> </w:t>
            </w:r>
            <w:r w:rsidR="00A554AC" w:rsidRPr="00767456">
              <w:rPr>
                <w:sz w:val="20"/>
              </w:rPr>
              <w:t>y</w:t>
            </w:r>
            <w:r w:rsidRPr="00767456">
              <w:rPr>
                <w:sz w:val="20"/>
              </w:rPr>
              <w:t>ears</w:t>
            </w:r>
          </w:p>
          <w:p w14:paraId="7865B54B" w14:textId="5380D795" w:rsidR="00A554AC" w:rsidRPr="00767456" w:rsidRDefault="00D63F17" w:rsidP="00C60B51">
            <w:pPr>
              <w:rPr>
                <w:sz w:val="20"/>
              </w:rPr>
            </w:pPr>
            <w:r w:rsidRPr="00767456">
              <w:rPr>
                <w:sz w:val="20"/>
              </w:rPr>
              <w:t>M</w:t>
            </w:r>
            <w:r w:rsidR="00A554AC" w:rsidRPr="00767456">
              <w:rPr>
                <w:sz w:val="20"/>
              </w:rPr>
              <w:t xml:space="preserve">ean </w:t>
            </w:r>
            <w:r w:rsidRPr="00767456">
              <w:rPr>
                <w:sz w:val="20"/>
              </w:rPr>
              <w:t xml:space="preserve">age: </w:t>
            </w:r>
            <w:r w:rsidR="00A554AC" w:rsidRPr="00767456">
              <w:rPr>
                <w:sz w:val="20"/>
              </w:rPr>
              <w:t>8 ± 2.3</w:t>
            </w:r>
            <w:r w:rsidRPr="00767456">
              <w:rPr>
                <w:sz w:val="20"/>
              </w:rPr>
              <w:t xml:space="preserve"> </w:t>
            </w:r>
            <w:r w:rsidR="00A554AC" w:rsidRPr="00767456">
              <w:rPr>
                <w:sz w:val="20"/>
              </w:rPr>
              <w:t>y</w:t>
            </w:r>
            <w:r w:rsidRPr="00767456">
              <w:rPr>
                <w:sz w:val="20"/>
              </w:rPr>
              <w:t>ears</w:t>
            </w:r>
          </w:p>
        </w:tc>
        <w:tc>
          <w:tcPr>
            <w:tcW w:w="1980" w:type="dxa"/>
            <w:hideMark/>
          </w:tcPr>
          <w:p w14:paraId="70E8F2AF" w14:textId="24841BCD" w:rsidR="00A554AC" w:rsidRPr="00767456" w:rsidRDefault="00AB568B" w:rsidP="00C60B51">
            <w:pPr>
              <w:rPr>
                <w:sz w:val="20"/>
              </w:rPr>
            </w:pPr>
            <w:r w:rsidRPr="00767456">
              <w:rPr>
                <w:sz w:val="20"/>
              </w:rPr>
              <w:t xml:space="preserve">No severe adverse events </w:t>
            </w:r>
            <w:r w:rsidR="00D63F17" w:rsidRPr="00767456">
              <w:rPr>
                <w:sz w:val="20"/>
              </w:rPr>
              <w:t>reported</w:t>
            </w:r>
          </w:p>
        </w:tc>
      </w:tr>
      <w:tr w:rsidR="00A514E9" w:rsidRPr="00C60B51" w14:paraId="4EF2AFD7" w14:textId="77777777" w:rsidTr="00767456">
        <w:tc>
          <w:tcPr>
            <w:tcW w:w="4580" w:type="dxa"/>
            <w:hideMark/>
          </w:tcPr>
          <w:p w14:paraId="76430B25" w14:textId="3B990BDA" w:rsidR="00A554AC" w:rsidRPr="00767456" w:rsidRDefault="00D63F17" w:rsidP="00C60B51">
            <w:pPr>
              <w:rPr>
                <w:sz w:val="20"/>
              </w:rPr>
            </w:pPr>
            <w:r w:rsidRPr="00767456">
              <w:rPr>
                <w:sz w:val="20"/>
              </w:rPr>
              <w:t xml:space="preserve">Wilson MT, Macleod S and O’Regan. M. E. Nasal/buccal midazolam use in the community. </w:t>
            </w:r>
            <w:r w:rsidRPr="00767456">
              <w:rPr>
                <w:i/>
                <w:sz w:val="20"/>
              </w:rPr>
              <w:t>Arch. Dis. Child.</w:t>
            </w:r>
            <w:r w:rsidRPr="00767456">
              <w:rPr>
                <w:sz w:val="20"/>
              </w:rPr>
              <w:t xml:space="preserve"> 2004; 89:50-51.</w:t>
            </w:r>
          </w:p>
        </w:tc>
        <w:tc>
          <w:tcPr>
            <w:tcW w:w="2160" w:type="dxa"/>
            <w:hideMark/>
          </w:tcPr>
          <w:p w14:paraId="2A88B49B" w14:textId="77777777" w:rsidR="00D63F17" w:rsidRPr="00767456" w:rsidRDefault="00D63F17" w:rsidP="00D63F17">
            <w:pPr>
              <w:rPr>
                <w:sz w:val="20"/>
              </w:rPr>
            </w:pPr>
            <w:r w:rsidRPr="00767456">
              <w:rPr>
                <w:sz w:val="20"/>
              </w:rPr>
              <w:t>40 patients</w:t>
            </w:r>
          </w:p>
          <w:p w14:paraId="050F8FAB" w14:textId="58EB025C" w:rsidR="00A554AC" w:rsidRPr="00767456" w:rsidRDefault="00D63F17" w:rsidP="00D63F17">
            <w:pPr>
              <w:rPr>
                <w:sz w:val="20"/>
              </w:rPr>
            </w:pPr>
            <w:r w:rsidRPr="00767456">
              <w:rPr>
                <w:sz w:val="20"/>
              </w:rPr>
              <w:t xml:space="preserve">Age: 3 to </w:t>
            </w:r>
            <w:r w:rsidR="00A554AC" w:rsidRPr="00767456">
              <w:rPr>
                <w:sz w:val="20"/>
              </w:rPr>
              <w:t>21</w:t>
            </w:r>
            <w:r w:rsidRPr="00767456">
              <w:rPr>
                <w:sz w:val="20"/>
              </w:rPr>
              <w:t xml:space="preserve"> </w:t>
            </w:r>
            <w:r w:rsidR="00A554AC" w:rsidRPr="00767456">
              <w:rPr>
                <w:sz w:val="20"/>
              </w:rPr>
              <w:t>y</w:t>
            </w:r>
            <w:r w:rsidRPr="00767456">
              <w:rPr>
                <w:sz w:val="20"/>
              </w:rPr>
              <w:t>ears</w:t>
            </w:r>
          </w:p>
        </w:tc>
        <w:tc>
          <w:tcPr>
            <w:tcW w:w="1980" w:type="dxa"/>
            <w:hideMark/>
          </w:tcPr>
          <w:p w14:paraId="41074519" w14:textId="77777777" w:rsidR="00A554AC" w:rsidRPr="00767456" w:rsidRDefault="00A554AC" w:rsidP="00C60B51">
            <w:pPr>
              <w:rPr>
                <w:sz w:val="20"/>
              </w:rPr>
            </w:pPr>
            <w:r w:rsidRPr="00767456">
              <w:rPr>
                <w:sz w:val="20"/>
              </w:rPr>
              <w:t>Euphoria (1)</w:t>
            </w:r>
          </w:p>
        </w:tc>
      </w:tr>
      <w:tr w:rsidR="00A514E9" w:rsidRPr="00C60B51" w14:paraId="6AC33A18" w14:textId="77777777" w:rsidTr="00767456">
        <w:trPr>
          <w:trHeight w:val="93"/>
        </w:trPr>
        <w:tc>
          <w:tcPr>
            <w:tcW w:w="4580" w:type="dxa"/>
            <w:hideMark/>
          </w:tcPr>
          <w:p w14:paraId="4F50AA30" w14:textId="0A706F65" w:rsidR="00A554AC" w:rsidRPr="00767456" w:rsidRDefault="00D63F17" w:rsidP="00D63F17">
            <w:pPr>
              <w:rPr>
                <w:sz w:val="20"/>
              </w:rPr>
            </w:pPr>
            <w:r w:rsidRPr="00767456">
              <w:rPr>
                <w:sz w:val="20"/>
              </w:rPr>
              <w:t xml:space="preserve">Muchohi S, Kokwaro G, Ogutu B, Edwards G, Ward S and Newton C. Pharmacokinetics and clinical efficacy of midazolam in children with severe malaria and convulsions. </w:t>
            </w:r>
            <w:r w:rsidRPr="00767456">
              <w:rPr>
                <w:i/>
                <w:sz w:val="20"/>
              </w:rPr>
              <w:t>British Journal of Clinical Pharmacology,</w:t>
            </w:r>
            <w:r w:rsidRPr="00767456">
              <w:rPr>
                <w:sz w:val="20"/>
              </w:rPr>
              <w:t xml:space="preserve"> 2008; 66(4):529-538.</w:t>
            </w:r>
          </w:p>
        </w:tc>
        <w:tc>
          <w:tcPr>
            <w:tcW w:w="2160" w:type="dxa"/>
            <w:hideMark/>
          </w:tcPr>
          <w:p w14:paraId="63CBBC58" w14:textId="77777777" w:rsidR="00A514E9" w:rsidRPr="00767456" w:rsidRDefault="00A554AC" w:rsidP="00C60B51">
            <w:pPr>
              <w:rPr>
                <w:sz w:val="20"/>
              </w:rPr>
            </w:pPr>
            <w:r w:rsidRPr="00767456">
              <w:rPr>
                <w:sz w:val="20"/>
              </w:rPr>
              <w:t>8 patients</w:t>
            </w:r>
          </w:p>
          <w:p w14:paraId="4109C258" w14:textId="77777777" w:rsidR="00D63F17" w:rsidRPr="00767456" w:rsidRDefault="00D63F17" w:rsidP="00C60B51">
            <w:pPr>
              <w:rPr>
                <w:sz w:val="20"/>
              </w:rPr>
            </w:pPr>
            <w:r w:rsidRPr="00767456">
              <w:rPr>
                <w:sz w:val="20"/>
              </w:rPr>
              <w:t>M</w:t>
            </w:r>
            <w:r w:rsidR="00A554AC" w:rsidRPr="00767456">
              <w:rPr>
                <w:sz w:val="20"/>
              </w:rPr>
              <w:t>edian age</w:t>
            </w:r>
            <w:r w:rsidRPr="00767456">
              <w:rPr>
                <w:sz w:val="20"/>
              </w:rPr>
              <w:t>: 26 months</w:t>
            </w:r>
          </w:p>
          <w:p w14:paraId="649DE088" w14:textId="6D2BA18B" w:rsidR="00A554AC" w:rsidRPr="00767456" w:rsidRDefault="00D63F17" w:rsidP="00C60B51">
            <w:pPr>
              <w:rPr>
                <w:sz w:val="20"/>
              </w:rPr>
            </w:pPr>
            <w:r w:rsidRPr="00767456">
              <w:rPr>
                <w:sz w:val="20"/>
              </w:rPr>
              <w:t>R</w:t>
            </w:r>
            <w:r w:rsidR="00A554AC" w:rsidRPr="00767456">
              <w:rPr>
                <w:sz w:val="20"/>
              </w:rPr>
              <w:t>ange</w:t>
            </w:r>
            <w:r w:rsidRPr="00767456">
              <w:rPr>
                <w:sz w:val="20"/>
              </w:rPr>
              <w:t>: 7 to 64</w:t>
            </w:r>
            <w:r w:rsidR="00A554AC" w:rsidRPr="00767456">
              <w:rPr>
                <w:sz w:val="20"/>
              </w:rPr>
              <w:t xml:space="preserve"> months</w:t>
            </w:r>
          </w:p>
        </w:tc>
        <w:tc>
          <w:tcPr>
            <w:tcW w:w="1980" w:type="dxa"/>
            <w:hideMark/>
          </w:tcPr>
          <w:p w14:paraId="17BBAD3B" w14:textId="77777777" w:rsidR="00A554AC" w:rsidRPr="00767456" w:rsidRDefault="00A554AC" w:rsidP="00C60B51">
            <w:pPr>
              <w:rPr>
                <w:sz w:val="20"/>
              </w:rPr>
            </w:pPr>
            <w:r w:rsidRPr="00767456">
              <w:rPr>
                <w:sz w:val="20"/>
              </w:rPr>
              <w:t>Respiratory depression (2)</w:t>
            </w:r>
          </w:p>
          <w:p w14:paraId="15F17286" w14:textId="77777777" w:rsidR="00A554AC" w:rsidRPr="00767456" w:rsidRDefault="00A554AC" w:rsidP="00C60B51">
            <w:pPr>
              <w:rPr>
                <w:sz w:val="20"/>
              </w:rPr>
            </w:pPr>
            <w:r w:rsidRPr="00767456">
              <w:rPr>
                <w:sz w:val="20"/>
              </w:rPr>
              <w:t>Hypersalivation (2)</w:t>
            </w:r>
          </w:p>
        </w:tc>
      </w:tr>
      <w:tr w:rsidR="00A514E9" w:rsidRPr="00C60B51" w14:paraId="466E7832" w14:textId="77777777" w:rsidTr="00767456">
        <w:tc>
          <w:tcPr>
            <w:tcW w:w="4580" w:type="dxa"/>
            <w:hideMark/>
          </w:tcPr>
          <w:p w14:paraId="5E98AC7E" w14:textId="04ADEF9B" w:rsidR="00A554AC" w:rsidRPr="00767456" w:rsidRDefault="00D63F17" w:rsidP="00D63F17">
            <w:pPr>
              <w:rPr>
                <w:sz w:val="20"/>
              </w:rPr>
            </w:pPr>
            <w:r w:rsidRPr="00767456">
              <w:rPr>
                <w:sz w:val="20"/>
              </w:rPr>
              <w:t xml:space="preserve">Ahmed R. Low-dose buccal midazolam for aborting seizures in children. </w:t>
            </w:r>
            <w:r w:rsidRPr="00767456">
              <w:rPr>
                <w:i/>
                <w:sz w:val="20"/>
              </w:rPr>
              <w:t xml:space="preserve">J Pediatr Neurol </w:t>
            </w:r>
            <w:r w:rsidRPr="00767456">
              <w:rPr>
                <w:sz w:val="20"/>
              </w:rPr>
              <w:t>2007; 5:291-293.</w:t>
            </w:r>
          </w:p>
        </w:tc>
        <w:tc>
          <w:tcPr>
            <w:tcW w:w="2160" w:type="dxa"/>
            <w:hideMark/>
          </w:tcPr>
          <w:p w14:paraId="57ADC65E" w14:textId="60F295CE" w:rsidR="00D75EC9" w:rsidRDefault="00A554AC" w:rsidP="00C60B51">
            <w:pPr>
              <w:rPr>
                <w:sz w:val="20"/>
              </w:rPr>
            </w:pPr>
            <w:r w:rsidRPr="00767456">
              <w:rPr>
                <w:sz w:val="20"/>
              </w:rPr>
              <w:t>20 patients</w:t>
            </w:r>
          </w:p>
          <w:p w14:paraId="7FBDABDF" w14:textId="136CB65F" w:rsidR="00A554AC" w:rsidRPr="00767456" w:rsidRDefault="00D63F17" w:rsidP="00C60B51">
            <w:pPr>
              <w:rPr>
                <w:sz w:val="20"/>
              </w:rPr>
            </w:pPr>
            <w:r w:rsidRPr="00767456">
              <w:rPr>
                <w:sz w:val="20"/>
              </w:rPr>
              <w:t>Age range: 5.5 </w:t>
            </w:r>
            <w:r w:rsidR="00A554AC" w:rsidRPr="00767456">
              <w:rPr>
                <w:sz w:val="20"/>
              </w:rPr>
              <w:t>months to 6.2 years</w:t>
            </w:r>
          </w:p>
        </w:tc>
        <w:tc>
          <w:tcPr>
            <w:tcW w:w="1980" w:type="dxa"/>
            <w:hideMark/>
          </w:tcPr>
          <w:p w14:paraId="2A778678" w14:textId="77777777" w:rsidR="00A554AC" w:rsidRPr="00767456" w:rsidRDefault="00A554AC" w:rsidP="00C60B51">
            <w:pPr>
              <w:rPr>
                <w:sz w:val="20"/>
              </w:rPr>
            </w:pPr>
            <w:r w:rsidRPr="00767456">
              <w:rPr>
                <w:sz w:val="20"/>
              </w:rPr>
              <w:t xml:space="preserve">Nil </w:t>
            </w:r>
          </w:p>
        </w:tc>
      </w:tr>
      <w:tr w:rsidR="00A514E9" w:rsidRPr="00C60B51" w14:paraId="52B7F2CD" w14:textId="77777777" w:rsidTr="00767456">
        <w:tc>
          <w:tcPr>
            <w:tcW w:w="4580" w:type="dxa"/>
            <w:hideMark/>
          </w:tcPr>
          <w:p w14:paraId="61F3A928" w14:textId="77777777" w:rsidR="00D63F17" w:rsidRPr="00767456" w:rsidRDefault="00D63F17" w:rsidP="00C60B51">
            <w:pPr>
              <w:rPr>
                <w:sz w:val="20"/>
              </w:rPr>
            </w:pPr>
            <w:r w:rsidRPr="00767456">
              <w:rPr>
                <w:sz w:val="20"/>
              </w:rPr>
              <w:t xml:space="preserve">Mpimbaza A, Ndeeza G, Staedke S, et al. Comparison of buccal midazolam with rectal diazepam in the treatment of prolonged seizures in Ugandan Children: A randomised clinical trial. </w:t>
            </w:r>
            <w:r w:rsidRPr="00767456">
              <w:rPr>
                <w:i/>
                <w:sz w:val="20"/>
              </w:rPr>
              <w:t>Paediatrics</w:t>
            </w:r>
            <w:r w:rsidRPr="00767456">
              <w:rPr>
                <w:sz w:val="20"/>
              </w:rPr>
              <w:t>, 2008; 121:e58-e64.</w:t>
            </w:r>
          </w:p>
          <w:p w14:paraId="1705DE66" w14:textId="2B4A7192" w:rsidR="00A554AC" w:rsidRPr="00767456" w:rsidRDefault="00A554AC" w:rsidP="00C60B51">
            <w:pPr>
              <w:rPr>
                <w:sz w:val="20"/>
              </w:rPr>
            </w:pPr>
            <w:r w:rsidRPr="00767456">
              <w:rPr>
                <w:sz w:val="20"/>
              </w:rPr>
              <w:t>Used midazolam hydrochloride</w:t>
            </w:r>
          </w:p>
        </w:tc>
        <w:tc>
          <w:tcPr>
            <w:tcW w:w="2160" w:type="dxa"/>
            <w:hideMark/>
          </w:tcPr>
          <w:p w14:paraId="06D2C6AA" w14:textId="5BB35248" w:rsidR="00D75EC9" w:rsidRDefault="00A554AC" w:rsidP="00C60B51">
            <w:pPr>
              <w:rPr>
                <w:sz w:val="20"/>
              </w:rPr>
            </w:pPr>
            <w:r w:rsidRPr="00767456">
              <w:rPr>
                <w:sz w:val="20"/>
              </w:rPr>
              <w:t>165 patients</w:t>
            </w:r>
          </w:p>
          <w:p w14:paraId="26CA865B" w14:textId="6278C788" w:rsidR="00A554AC" w:rsidRPr="00767456" w:rsidRDefault="00A554AC" w:rsidP="00D63F17">
            <w:pPr>
              <w:rPr>
                <w:sz w:val="20"/>
              </w:rPr>
            </w:pPr>
            <w:r w:rsidRPr="00767456">
              <w:rPr>
                <w:sz w:val="20"/>
              </w:rPr>
              <w:t>Median age (IQR)</w:t>
            </w:r>
            <w:r w:rsidR="00D63F17" w:rsidRPr="00767456">
              <w:rPr>
                <w:sz w:val="20"/>
              </w:rPr>
              <w:t xml:space="preserve">: 17.0 months (10.5, </w:t>
            </w:r>
            <w:r w:rsidRPr="00767456">
              <w:rPr>
                <w:sz w:val="20"/>
              </w:rPr>
              <w:t>30.0)</w:t>
            </w:r>
          </w:p>
        </w:tc>
        <w:tc>
          <w:tcPr>
            <w:tcW w:w="1980" w:type="dxa"/>
            <w:hideMark/>
          </w:tcPr>
          <w:p w14:paraId="429113F8" w14:textId="3B5FD183" w:rsidR="00A554AC" w:rsidRPr="00767456" w:rsidRDefault="00D63F17" w:rsidP="00C60B51">
            <w:pPr>
              <w:rPr>
                <w:sz w:val="20"/>
              </w:rPr>
            </w:pPr>
            <w:r w:rsidRPr="00767456">
              <w:rPr>
                <w:sz w:val="20"/>
              </w:rPr>
              <w:t>Respiratory depression (2; </w:t>
            </w:r>
            <w:r w:rsidR="00A554AC" w:rsidRPr="00767456">
              <w:rPr>
                <w:sz w:val="20"/>
              </w:rPr>
              <w:t>1%) aphasia, pruritus (possibly related)</w:t>
            </w:r>
          </w:p>
        </w:tc>
      </w:tr>
      <w:tr w:rsidR="00A514E9" w:rsidRPr="00C60B51" w14:paraId="1D5F5A4F" w14:textId="77777777" w:rsidTr="00767456">
        <w:trPr>
          <w:cantSplit/>
        </w:trPr>
        <w:tc>
          <w:tcPr>
            <w:tcW w:w="4580" w:type="dxa"/>
            <w:hideMark/>
          </w:tcPr>
          <w:p w14:paraId="75EA76EA" w14:textId="005729F3" w:rsidR="00A554AC" w:rsidRPr="00767456" w:rsidRDefault="00D63F17" w:rsidP="00C60B51">
            <w:pPr>
              <w:rPr>
                <w:sz w:val="20"/>
              </w:rPr>
            </w:pPr>
            <w:r w:rsidRPr="00767456">
              <w:rPr>
                <w:sz w:val="20"/>
              </w:rPr>
              <w:t xml:space="preserve">Connolly et al. Exploring carer perceptions of training In out-of-hospital use of buccal midazolam for emergency management of seizures (2008-2012) </w:t>
            </w:r>
            <w:r w:rsidRPr="00767456">
              <w:rPr>
                <w:i/>
                <w:sz w:val="20"/>
              </w:rPr>
              <w:t>Journal of Paediatrics and Child Health</w:t>
            </w:r>
            <w:r w:rsidRPr="00767456">
              <w:rPr>
                <w:sz w:val="20"/>
              </w:rPr>
              <w:t xml:space="preserve"> 51 (2015) 704-707.</w:t>
            </w:r>
          </w:p>
        </w:tc>
        <w:tc>
          <w:tcPr>
            <w:tcW w:w="2160" w:type="dxa"/>
            <w:hideMark/>
          </w:tcPr>
          <w:p w14:paraId="6488EDAF" w14:textId="77777777" w:rsidR="00D63F17" w:rsidRPr="00767456" w:rsidRDefault="00D63F17" w:rsidP="00D63F17">
            <w:pPr>
              <w:rPr>
                <w:sz w:val="20"/>
              </w:rPr>
            </w:pPr>
            <w:r w:rsidRPr="00767456">
              <w:rPr>
                <w:sz w:val="20"/>
              </w:rPr>
              <w:t>21 patients</w:t>
            </w:r>
          </w:p>
          <w:p w14:paraId="6E7DF1C5" w14:textId="77777777" w:rsidR="00D63F17" w:rsidRPr="00767456" w:rsidRDefault="00A554AC" w:rsidP="00D63F17">
            <w:pPr>
              <w:rPr>
                <w:sz w:val="20"/>
              </w:rPr>
            </w:pPr>
            <w:r w:rsidRPr="00767456">
              <w:rPr>
                <w:sz w:val="20"/>
              </w:rPr>
              <w:t>Median age</w:t>
            </w:r>
            <w:r w:rsidR="00D63F17" w:rsidRPr="00767456">
              <w:rPr>
                <w:sz w:val="20"/>
              </w:rPr>
              <w:t>:</w:t>
            </w:r>
            <w:r w:rsidRPr="00767456">
              <w:rPr>
                <w:sz w:val="20"/>
              </w:rPr>
              <w:t xml:space="preserve"> 4</w:t>
            </w:r>
            <w:r w:rsidR="00D63F17" w:rsidRPr="00767456">
              <w:rPr>
                <w:sz w:val="20"/>
              </w:rPr>
              <w:t> </w:t>
            </w:r>
            <w:r w:rsidRPr="00767456">
              <w:rPr>
                <w:sz w:val="20"/>
              </w:rPr>
              <w:t>y</w:t>
            </w:r>
            <w:r w:rsidR="00D63F17" w:rsidRPr="00767456">
              <w:rPr>
                <w:sz w:val="20"/>
              </w:rPr>
              <w:t>ears</w:t>
            </w:r>
          </w:p>
          <w:p w14:paraId="3EE0E40C" w14:textId="7B2FBCE0" w:rsidR="00A554AC" w:rsidRPr="00767456" w:rsidRDefault="00D63F17" w:rsidP="00D63F17">
            <w:pPr>
              <w:rPr>
                <w:sz w:val="20"/>
              </w:rPr>
            </w:pPr>
            <w:r w:rsidRPr="00767456">
              <w:rPr>
                <w:sz w:val="20"/>
              </w:rPr>
              <w:t>R</w:t>
            </w:r>
            <w:r w:rsidR="00A554AC" w:rsidRPr="00767456">
              <w:rPr>
                <w:sz w:val="20"/>
              </w:rPr>
              <w:t>ange</w:t>
            </w:r>
            <w:r w:rsidRPr="00767456">
              <w:rPr>
                <w:sz w:val="20"/>
              </w:rPr>
              <w:t>: 3 months</w:t>
            </w:r>
            <w:r w:rsidR="00D75EC9">
              <w:rPr>
                <w:sz w:val="20"/>
              </w:rPr>
              <w:t xml:space="preserve"> </w:t>
            </w:r>
            <w:r w:rsidRPr="00767456">
              <w:rPr>
                <w:sz w:val="20"/>
              </w:rPr>
              <w:t>to 15 years</w:t>
            </w:r>
          </w:p>
        </w:tc>
        <w:tc>
          <w:tcPr>
            <w:tcW w:w="1980" w:type="dxa"/>
            <w:hideMark/>
          </w:tcPr>
          <w:p w14:paraId="54996FB5" w14:textId="389631CA" w:rsidR="00A554AC" w:rsidRPr="00767456" w:rsidRDefault="00A554AC" w:rsidP="00C60B51">
            <w:pPr>
              <w:rPr>
                <w:sz w:val="20"/>
              </w:rPr>
            </w:pPr>
            <w:r w:rsidRPr="00767456">
              <w:rPr>
                <w:sz w:val="20"/>
              </w:rPr>
              <w:t>10</w:t>
            </w:r>
            <w:r w:rsidR="00A514E9" w:rsidRPr="00767456">
              <w:rPr>
                <w:sz w:val="20"/>
              </w:rPr>
              <w:t xml:space="preserve"> </w:t>
            </w:r>
            <w:r w:rsidRPr="00767456">
              <w:rPr>
                <w:sz w:val="20"/>
              </w:rPr>
              <w:t xml:space="preserve">administration problems (excessive secretions </w:t>
            </w:r>
            <w:r w:rsidR="0095575F" w:rsidRPr="00767456">
              <w:rPr>
                <w:sz w:val="20"/>
              </w:rPr>
              <w:t>(</w:t>
            </w:r>
            <w:r w:rsidRPr="00767456">
              <w:rPr>
                <w:sz w:val="20"/>
              </w:rPr>
              <w:t>7</w:t>
            </w:r>
            <w:r w:rsidR="0095575F" w:rsidRPr="00767456">
              <w:rPr>
                <w:sz w:val="20"/>
              </w:rPr>
              <w:t>)</w:t>
            </w:r>
            <w:r w:rsidRPr="00767456">
              <w:rPr>
                <w:sz w:val="20"/>
              </w:rPr>
              <w:t xml:space="preserve">, vomiting associated with the seizure </w:t>
            </w:r>
            <w:r w:rsidR="0095575F" w:rsidRPr="00767456">
              <w:rPr>
                <w:sz w:val="20"/>
              </w:rPr>
              <w:t>(</w:t>
            </w:r>
            <w:r w:rsidRPr="00767456">
              <w:rPr>
                <w:sz w:val="20"/>
              </w:rPr>
              <w:t>3</w:t>
            </w:r>
            <w:r w:rsidR="0095575F" w:rsidRPr="00767456">
              <w:rPr>
                <w:sz w:val="20"/>
              </w:rPr>
              <w:t>),</w:t>
            </w:r>
            <w:r w:rsidRPr="00767456">
              <w:rPr>
                <w:sz w:val="20"/>
              </w:rPr>
              <w:t xml:space="preserve"> and difficulties in drawing up the solution </w:t>
            </w:r>
            <w:r w:rsidR="0095575F" w:rsidRPr="00767456">
              <w:rPr>
                <w:sz w:val="20"/>
              </w:rPr>
              <w:t>(</w:t>
            </w:r>
            <w:r w:rsidRPr="00767456">
              <w:rPr>
                <w:sz w:val="20"/>
              </w:rPr>
              <w:t>2</w:t>
            </w:r>
            <w:r w:rsidR="0095575F" w:rsidRPr="00767456">
              <w:rPr>
                <w:sz w:val="20"/>
              </w:rPr>
              <w:t>),</w:t>
            </w:r>
            <w:r w:rsidRPr="00767456">
              <w:rPr>
                <w:sz w:val="20"/>
              </w:rPr>
              <w:t xml:space="preserve"> or placing the syringe in the buccal space 1) </w:t>
            </w:r>
          </w:p>
        </w:tc>
      </w:tr>
      <w:tr w:rsidR="00A514E9" w:rsidRPr="00C60B51" w14:paraId="733F51C0" w14:textId="77777777" w:rsidTr="00767456">
        <w:tc>
          <w:tcPr>
            <w:tcW w:w="4580" w:type="dxa"/>
            <w:hideMark/>
          </w:tcPr>
          <w:p w14:paraId="6E183D39" w14:textId="01956C82" w:rsidR="00A554AC" w:rsidRPr="00767456" w:rsidRDefault="00D63F17" w:rsidP="00C60B51">
            <w:pPr>
              <w:rPr>
                <w:sz w:val="20"/>
              </w:rPr>
            </w:pPr>
            <w:r w:rsidRPr="00767456">
              <w:rPr>
                <w:sz w:val="20"/>
              </w:rPr>
              <w:t xml:space="preserve">Moretti et al. Buccal Midazolam Compared With Rectal Diazepam Reduces Seizure Duration in Children in the Outpatient Setting. </w:t>
            </w:r>
            <w:r w:rsidRPr="00767456">
              <w:rPr>
                <w:i/>
                <w:sz w:val="20"/>
              </w:rPr>
              <w:t>Paediatric Emergency Care</w:t>
            </w:r>
            <w:r w:rsidRPr="00767456">
              <w:rPr>
                <w:sz w:val="20"/>
              </w:rPr>
              <w:t xml:space="preserve"> Volume 35, Number 11, November 2019 p760-764.</w:t>
            </w:r>
          </w:p>
        </w:tc>
        <w:tc>
          <w:tcPr>
            <w:tcW w:w="2160" w:type="dxa"/>
            <w:hideMark/>
          </w:tcPr>
          <w:p w14:paraId="13EEB78E" w14:textId="08812818" w:rsidR="00D75EC9" w:rsidRDefault="00A554AC" w:rsidP="00C60B51">
            <w:pPr>
              <w:rPr>
                <w:sz w:val="20"/>
              </w:rPr>
            </w:pPr>
            <w:r w:rsidRPr="00767456">
              <w:rPr>
                <w:sz w:val="20"/>
              </w:rPr>
              <w:t>16 patients</w:t>
            </w:r>
          </w:p>
          <w:p w14:paraId="7DAF84DF" w14:textId="77777777" w:rsidR="00D63F17" w:rsidRPr="00767456" w:rsidRDefault="00A554AC" w:rsidP="00C60B51">
            <w:pPr>
              <w:rPr>
                <w:sz w:val="20"/>
              </w:rPr>
            </w:pPr>
            <w:r w:rsidRPr="00767456">
              <w:rPr>
                <w:sz w:val="20"/>
              </w:rPr>
              <w:t xml:space="preserve">4 </w:t>
            </w:r>
            <w:r w:rsidR="00D63F17" w:rsidRPr="00767456">
              <w:rPr>
                <w:sz w:val="20"/>
              </w:rPr>
              <w:t xml:space="preserve">reporting </w:t>
            </w:r>
            <w:r w:rsidRPr="00767456">
              <w:rPr>
                <w:sz w:val="20"/>
              </w:rPr>
              <w:t xml:space="preserve">panic or </w:t>
            </w:r>
            <w:r w:rsidR="00D63F17" w:rsidRPr="00767456">
              <w:rPr>
                <w:sz w:val="20"/>
              </w:rPr>
              <w:t>difficult administration</w:t>
            </w:r>
          </w:p>
          <w:p w14:paraId="32F19A36" w14:textId="2050FBA3" w:rsidR="00A554AC" w:rsidRPr="00767456" w:rsidRDefault="00D63F17" w:rsidP="00C60B51">
            <w:pPr>
              <w:rPr>
                <w:sz w:val="20"/>
              </w:rPr>
            </w:pPr>
            <w:r w:rsidRPr="00767456">
              <w:rPr>
                <w:sz w:val="20"/>
              </w:rPr>
              <w:t>M</w:t>
            </w:r>
            <w:r w:rsidR="00A554AC" w:rsidRPr="00767456">
              <w:rPr>
                <w:sz w:val="20"/>
              </w:rPr>
              <w:t>ean age</w:t>
            </w:r>
            <w:r w:rsidRPr="00767456">
              <w:rPr>
                <w:sz w:val="20"/>
              </w:rPr>
              <w:t>: 68.2 </w:t>
            </w:r>
            <w:r w:rsidR="00A554AC" w:rsidRPr="00767456">
              <w:rPr>
                <w:sz w:val="20"/>
              </w:rPr>
              <w:t>months</w:t>
            </w:r>
          </w:p>
        </w:tc>
        <w:tc>
          <w:tcPr>
            <w:tcW w:w="1980" w:type="dxa"/>
          </w:tcPr>
          <w:p w14:paraId="4EECF351" w14:textId="5D8989E2" w:rsidR="00A554AC" w:rsidRPr="00767456" w:rsidRDefault="00D63F17" w:rsidP="00D939AE">
            <w:pPr>
              <w:rPr>
                <w:sz w:val="20"/>
              </w:rPr>
            </w:pPr>
            <w:r w:rsidRPr="00767456">
              <w:rPr>
                <w:sz w:val="20"/>
              </w:rPr>
              <w:t>Adverse events</w:t>
            </w:r>
            <w:r w:rsidR="00A554AC" w:rsidRPr="00767456">
              <w:rPr>
                <w:sz w:val="20"/>
              </w:rPr>
              <w:t xml:space="preserve"> not clearly reported.</w:t>
            </w:r>
          </w:p>
        </w:tc>
      </w:tr>
      <w:tr w:rsidR="00A514E9" w:rsidRPr="00C60B51" w14:paraId="3B96A86A" w14:textId="77777777" w:rsidTr="00767456">
        <w:tc>
          <w:tcPr>
            <w:tcW w:w="4580" w:type="dxa"/>
            <w:hideMark/>
          </w:tcPr>
          <w:p w14:paraId="5F301F18" w14:textId="16748D26" w:rsidR="00A554AC" w:rsidRPr="00767456" w:rsidRDefault="00D63F17" w:rsidP="00C60B51">
            <w:pPr>
              <w:rPr>
                <w:sz w:val="20"/>
              </w:rPr>
            </w:pPr>
            <w:r w:rsidRPr="00767456">
              <w:rPr>
                <w:sz w:val="20"/>
              </w:rPr>
              <w:t xml:space="preserve">Klimach VJ. The community use of rescue medication for prolonged epileptic seizures in children. </w:t>
            </w:r>
            <w:r w:rsidRPr="00767456">
              <w:rPr>
                <w:i/>
                <w:sz w:val="20"/>
              </w:rPr>
              <w:t>Seizure</w:t>
            </w:r>
            <w:r w:rsidRPr="00767456">
              <w:rPr>
                <w:sz w:val="20"/>
              </w:rPr>
              <w:t xml:space="preserve"> 18 (2009) 343–346</w:t>
            </w:r>
          </w:p>
        </w:tc>
        <w:tc>
          <w:tcPr>
            <w:tcW w:w="2160" w:type="dxa"/>
            <w:hideMark/>
          </w:tcPr>
          <w:p w14:paraId="5FB20AAA" w14:textId="77777777" w:rsidR="00E95E60" w:rsidRPr="00767456" w:rsidRDefault="00A554AC" w:rsidP="00C60B51">
            <w:pPr>
              <w:rPr>
                <w:sz w:val="20"/>
              </w:rPr>
            </w:pPr>
            <w:r w:rsidRPr="00767456">
              <w:rPr>
                <w:sz w:val="20"/>
              </w:rPr>
              <w:t>142 families reported using buccal midazolam</w:t>
            </w:r>
          </w:p>
          <w:p w14:paraId="5425CEBC" w14:textId="20DD2A72" w:rsidR="00A554AC" w:rsidRPr="00767456" w:rsidRDefault="00A554AC" w:rsidP="00C60B51">
            <w:pPr>
              <w:rPr>
                <w:sz w:val="20"/>
              </w:rPr>
            </w:pPr>
            <w:r w:rsidRPr="00767456">
              <w:rPr>
                <w:sz w:val="20"/>
              </w:rPr>
              <w:t>Ages not given</w:t>
            </w:r>
          </w:p>
        </w:tc>
        <w:tc>
          <w:tcPr>
            <w:tcW w:w="1980" w:type="dxa"/>
            <w:hideMark/>
          </w:tcPr>
          <w:p w14:paraId="4978D52B" w14:textId="285CD338" w:rsidR="00A554AC" w:rsidRPr="00767456" w:rsidRDefault="00A554AC" w:rsidP="0041045A">
            <w:pPr>
              <w:rPr>
                <w:sz w:val="20"/>
              </w:rPr>
            </w:pPr>
            <w:r w:rsidRPr="00767456">
              <w:rPr>
                <w:sz w:val="20"/>
              </w:rPr>
              <w:t xml:space="preserve">4 </w:t>
            </w:r>
            <w:r w:rsidR="0041045A" w:rsidRPr="00767456">
              <w:rPr>
                <w:sz w:val="20"/>
              </w:rPr>
              <w:t>adverse events;</w:t>
            </w:r>
            <w:r w:rsidRPr="00767456">
              <w:rPr>
                <w:sz w:val="20"/>
              </w:rPr>
              <w:t xml:space="preserve"> commonest was drowsiness followed by respiratory difficulties, 1 had respirato</w:t>
            </w:r>
            <w:r w:rsidR="0041045A" w:rsidRPr="00767456">
              <w:rPr>
                <w:sz w:val="20"/>
              </w:rPr>
              <w:t>ry depression with midazolam (’choking’</w:t>
            </w:r>
            <w:r w:rsidRPr="00767456">
              <w:rPr>
                <w:sz w:val="20"/>
              </w:rPr>
              <w:t xml:space="preserve">) </w:t>
            </w:r>
          </w:p>
        </w:tc>
      </w:tr>
      <w:tr w:rsidR="00A514E9" w:rsidRPr="00C60B51" w14:paraId="598D271B" w14:textId="77777777" w:rsidTr="00767456">
        <w:tc>
          <w:tcPr>
            <w:tcW w:w="4580" w:type="dxa"/>
            <w:hideMark/>
          </w:tcPr>
          <w:p w14:paraId="1DC7C386" w14:textId="71B2A936" w:rsidR="00A554AC" w:rsidRPr="00767456" w:rsidRDefault="0041045A" w:rsidP="00C60B51">
            <w:pPr>
              <w:rPr>
                <w:sz w:val="20"/>
              </w:rPr>
            </w:pPr>
            <w:r w:rsidRPr="00767456">
              <w:rPr>
                <w:sz w:val="20"/>
              </w:rPr>
              <w:t xml:space="preserve">Khan. Carers' express positive views on the acceptability, efficacy and safety of buccal midazolam for paediatric status epilepticus. </w:t>
            </w:r>
            <w:r w:rsidRPr="00767456">
              <w:rPr>
                <w:i/>
                <w:sz w:val="20"/>
              </w:rPr>
              <w:t>Acta Pædiatrica</w:t>
            </w:r>
            <w:r w:rsidRPr="00767456">
              <w:rPr>
                <w:sz w:val="20"/>
              </w:rPr>
              <w:t xml:space="preserve"> 2014 Apr;103(4):e165-8</w:t>
            </w:r>
          </w:p>
        </w:tc>
        <w:tc>
          <w:tcPr>
            <w:tcW w:w="2160" w:type="dxa"/>
            <w:hideMark/>
          </w:tcPr>
          <w:p w14:paraId="1417B94A" w14:textId="3B74B11F" w:rsidR="00D75EC9" w:rsidRDefault="00A554AC" w:rsidP="00C60B51">
            <w:pPr>
              <w:rPr>
                <w:sz w:val="20"/>
              </w:rPr>
            </w:pPr>
            <w:r w:rsidRPr="00767456">
              <w:rPr>
                <w:sz w:val="20"/>
              </w:rPr>
              <w:t>34 carers</w:t>
            </w:r>
          </w:p>
          <w:p w14:paraId="13A4BD6E" w14:textId="25A1840E" w:rsidR="00A554AC" w:rsidRPr="00767456" w:rsidRDefault="0041045A" w:rsidP="0041045A">
            <w:pPr>
              <w:rPr>
                <w:sz w:val="20"/>
              </w:rPr>
            </w:pPr>
            <w:r w:rsidRPr="00767456">
              <w:rPr>
                <w:sz w:val="20"/>
              </w:rPr>
              <w:t>Ages</w:t>
            </w:r>
            <w:r w:rsidR="00A554AC" w:rsidRPr="00767456">
              <w:rPr>
                <w:sz w:val="20"/>
              </w:rPr>
              <w:t xml:space="preserve"> not given</w:t>
            </w:r>
          </w:p>
        </w:tc>
        <w:tc>
          <w:tcPr>
            <w:tcW w:w="1980" w:type="dxa"/>
            <w:hideMark/>
          </w:tcPr>
          <w:p w14:paraId="3203DEF5" w14:textId="314AD564" w:rsidR="00A554AC" w:rsidRPr="00767456" w:rsidRDefault="00A554AC" w:rsidP="00C60B51">
            <w:pPr>
              <w:rPr>
                <w:sz w:val="20"/>
              </w:rPr>
            </w:pPr>
            <w:r w:rsidRPr="00767456">
              <w:rPr>
                <w:sz w:val="20"/>
              </w:rPr>
              <w:t xml:space="preserve">24% said that their child experienced drowsiness, and 8% were hospitalised for respiratory depression </w:t>
            </w:r>
          </w:p>
        </w:tc>
      </w:tr>
    </w:tbl>
    <w:p w14:paraId="0836433E" w14:textId="78DCDC7B" w:rsidR="00A554AC" w:rsidRDefault="00A554AC" w:rsidP="0041045A">
      <w:pPr>
        <w:rPr>
          <w:lang w:eastAsia="ja-JP"/>
        </w:rPr>
      </w:pPr>
      <w:r>
        <w:rPr>
          <w:lang w:eastAsia="ja-JP"/>
        </w:rPr>
        <w:t xml:space="preserve">The above </w:t>
      </w:r>
      <w:r w:rsidR="00380FA4">
        <w:rPr>
          <w:lang w:eastAsia="ja-JP"/>
        </w:rPr>
        <w:t>t</w:t>
      </w:r>
      <w:r>
        <w:rPr>
          <w:lang w:eastAsia="ja-JP"/>
        </w:rPr>
        <w:t>able gives a total of 536 patients exposed with an unknown number above or below the proposed age range. Some patients had more than one exposure.</w:t>
      </w:r>
    </w:p>
    <w:p w14:paraId="24BE518E" w14:textId="3E0BF658" w:rsidR="00A554AC" w:rsidRDefault="00455B60" w:rsidP="002608C6">
      <w:pPr>
        <w:pStyle w:val="Heading5"/>
      </w:pPr>
      <w:bookmarkStart w:id="119" w:name="_Toc57711131"/>
      <w:bookmarkStart w:id="120" w:name="_Toc77073439"/>
      <w:r>
        <w:t xml:space="preserve">Exposure and </w:t>
      </w:r>
      <w:r w:rsidR="002608C6">
        <w:t>adverse events</w:t>
      </w:r>
      <w:r w:rsidR="00A554AC">
        <w:t xml:space="preserve"> </w:t>
      </w:r>
      <w:bookmarkEnd w:id="119"/>
      <w:bookmarkEnd w:id="120"/>
      <w:r>
        <w:t>recorded in other data</w:t>
      </w:r>
    </w:p>
    <w:p w14:paraId="344B789F" w14:textId="086E91BA" w:rsidR="00A554AC" w:rsidRDefault="00A554AC" w:rsidP="00A554AC">
      <w:pPr>
        <w:rPr>
          <w:lang w:eastAsia="ja-JP"/>
        </w:rPr>
      </w:pPr>
      <w:r>
        <w:rPr>
          <w:lang w:eastAsia="ja-JP"/>
        </w:rPr>
        <w:t>The sponsor has included unpublished studies, a study for another indication and a published abstract</w:t>
      </w:r>
      <w:r w:rsidR="002608C6">
        <w:rPr>
          <w:lang w:eastAsia="ja-JP"/>
        </w:rPr>
        <w:t xml:space="preserve"> in their submission</w:t>
      </w:r>
      <w:r>
        <w:rPr>
          <w:lang w:eastAsia="ja-JP"/>
        </w:rPr>
        <w:t>.</w:t>
      </w:r>
      <w:r w:rsidR="002608C6">
        <w:rPr>
          <w:lang w:eastAsia="ja-JP"/>
        </w:rPr>
        <w:t xml:space="preserve"> Papers submitted are detailed below.</w:t>
      </w:r>
    </w:p>
    <w:p w14:paraId="3429C39A" w14:textId="401193D1" w:rsidR="003803DF" w:rsidRDefault="003803DF" w:rsidP="003803DF">
      <w:pPr>
        <w:pStyle w:val="TableTitle"/>
      </w:pPr>
      <w:r>
        <w:t xml:space="preserve">Table </w:t>
      </w:r>
      <w:fldSimple w:instr=" SEQ Table \* ARABIC ">
        <w:r w:rsidR="00AA79CE">
          <w:rPr>
            <w:noProof/>
          </w:rPr>
          <w:t>18</w:t>
        </w:r>
      </w:fldSimple>
      <w:r>
        <w:t>: Exposure and adverse events from other studies</w:t>
      </w:r>
    </w:p>
    <w:tbl>
      <w:tblPr>
        <w:tblStyle w:val="TableTGAblue"/>
        <w:tblW w:w="8630" w:type="dxa"/>
        <w:tblLook w:val="04A0" w:firstRow="1" w:lastRow="0" w:firstColumn="1" w:lastColumn="0" w:noHBand="0" w:noVBand="1"/>
      </w:tblPr>
      <w:tblGrid>
        <w:gridCol w:w="3964"/>
        <w:gridCol w:w="2236"/>
        <w:gridCol w:w="2430"/>
      </w:tblGrid>
      <w:tr w:rsidR="002608C6" w14:paraId="37F7F255" w14:textId="77777777" w:rsidTr="00767456">
        <w:trPr>
          <w:cnfStyle w:val="100000000000" w:firstRow="1" w:lastRow="0" w:firstColumn="0" w:lastColumn="0" w:oddVBand="0" w:evenVBand="0" w:oddHBand="0" w:evenHBand="0" w:firstRowFirstColumn="0" w:firstRowLastColumn="0" w:lastRowFirstColumn="0" w:lastRowLastColumn="0"/>
        </w:trPr>
        <w:tc>
          <w:tcPr>
            <w:tcW w:w="3964" w:type="dxa"/>
          </w:tcPr>
          <w:p w14:paraId="0EFB2061" w14:textId="084E1B13" w:rsidR="002608C6" w:rsidRDefault="002608C6">
            <w:pPr>
              <w:rPr>
                <w:lang w:eastAsia="ja-JP"/>
              </w:rPr>
            </w:pPr>
            <w:r>
              <w:rPr>
                <w:lang w:eastAsia="ja-JP"/>
              </w:rPr>
              <w:t>Study details</w:t>
            </w:r>
          </w:p>
        </w:tc>
        <w:tc>
          <w:tcPr>
            <w:tcW w:w="2236" w:type="dxa"/>
          </w:tcPr>
          <w:p w14:paraId="5315EF5F" w14:textId="44A0E7D8" w:rsidR="002608C6" w:rsidRDefault="002608C6">
            <w:pPr>
              <w:rPr>
                <w:rFonts w:asciiTheme="minorHAnsi" w:hAnsiTheme="minorHAnsi" w:cstheme="majorHAnsi"/>
                <w:lang w:eastAsia="ja-JP"/>
              </w:rPr>
            </w:pPr>
            <w:r>
              <w:rPr>
                <w:rFonts w:asciiTheme="minorHAnsi" w:hAnsiTheme="minorHAnsi" w:cstheme="majorHAnsi"/>
                <w:lang w:eastAsia="ja-JP"/>
              </w:rPr>
              <w:t>Participants</w:t>
            </w:r>
          </w:p>
        </w:tc>
        <w:tc>
          <w:tcPr>
            <w:tcW w:w="2430" w:type="dxa"/>
          </w:tcPr>
          <w:p w14:paraId="0B8CE9F4" w14:textId="6B82E342" w:rsidR="002608C6" w:rsidRDefault="00AB568B">
            <w:pPr>
              <w:rPr>
                <w:lang w:eastAsia="ja-JP"/>
              </w:rPr>
            </w:pPr>
            <w:r>
              <w:rPr>
                <w:lang w:eastAsia="ja-JP"/>
              </w:rPr>
              <w:t>Adverse events</w:t>
            </w:r>
          </w:p>
        </w:tc>
      </w:tr>
      <w:tr w:rsidR="00A554AC" w14:paraId="6B9CA04E" w14:textId="77777777" w:rsidTr="00767456">
        <w:trPr>
          <w:cantSplit/>
        </w:trPr>
        <w:tc>
          <w:tcPr>
            <w:tcW w:w="3964" w:type="dxa"/>
            <w:hideMark/>
          </w:tcPr>
          <w:p w14:paraId="4E5F42E7" w14:textId="77777777" w:rsidR="00A554AC" w:rsidRPr="00767456" w:rsidRDefault="00A554AC">
            <w:pPr>
              <w:rPr>
                <w:sz w:val="20"/>
                <w:lang w:eastAsia="ja-JP"/>
              </w:rPr>
            </w:pPr>
            <w:r w:rsidRPr="00767456">
              <w:rPr>
                <w:sz w:val="20"/>
                <w:lang w:eastAsia="ja-JP"/>
              </w:rPr>
              <w:t>2010 Real World Retrospective Study (unpublished)</w:t>
            </w:r>
          </w:p>
        </w:tc>
        <w:tc>
          <w:tcPr>
            <w:tcW w:w="2236" w:type="dxa"/>
            <w:hideMark/>
          </w:tcPr>
          <w:p w14:paraId="3214A0E6" w14:textId="77777777" w:rsidR="00AC2D84" w:rsidRPr="00767456" w:rsidRDefault="00AC2D84">
            <w:pPr>
              <w:rPr>
                <w:rFonts w:asciiTheme="minorHAnsi" w:hAnsiTheme="minorHAnsi" w:cstheme="majorHAnsi"/>
                <w:sz w:val="20"/>
                <w:lang w:eastAsia="ja-JP"/>
              </w:rPr>
            </w:pPr>
            <w:r w:rsidRPr="00767456">
              <w:rPr>
                <w:rFonts w:asciiTheme="minorHAnsi" w:hAnsiTheme="minorHAnsi" w:cstheme="majorHAnsi"/>
                <w:sz w:val="20"/>
                <w:lang w:eastAsia="ja-JP"/>
              </w:rPr>
              <w:t>39 participants &lt; 18 years</w:t>
            </w:r>
          </w:p>
          <w:p w14:paraId="37967B46" w14:textId="6ADB2B71" w:rsidR="00A554AC" w:rsidRPr="00767456" w:rsidRDefault="00AC2D84">
            <w:pPr>
              <w:rPr>
                <w:sz w:val="20"/>
                <w:lang w:eastAsia="ja-JP"/>
              </w:rPr>
            </w:pPr>
            <w:r w:rsidRPr="00767456">
              <w:rPr>
                <w:rFonts w:asciiTheme="minorHAnsi" w:hAnsiTheme="minorHAnsi" w:cstheme="majorHAnsi"/>
                <w:sz w:val="20"/>
                <w:lang w:eastAsia="ja-JP"/>
              </w:rPr>
              <w:t>Treated for 41 </w:t>
            </w:r>
            <w:r w:rsidR="00A554AC" w:rsidRPr="00767456">
              <w:rPr>
                <w:rFonts w:asciiTheme="minorHAnsi" w:hAnsiTheme="minorHAnsi" w:cstheme="majorHAnsi"/>
                <w:sz w:val="20"/>
                <w:lang w:eastAsia="ja-JP"/>
              </w:rPr>
              <w:t>seizures</w:t>
            </w:r>
          </w:p>
        </w:tc>
        <w:tc>
          <w:tcPr>
            <w:tcW w:w="2430" w:type="dxa"/>
            <w:hideMark/>
          </w:tcPr>
          <w:p w14:paraId="230400BA" w14:textId="03E1A87C" w:rsidR="00A554AC" w:rsidRPr="00767456" w:rsidRDefault="002608C6">
            <w:pPr>
              <w:rPr>
                <w:sz w:val="20"/>
                <w:lang w:eastAsia="ja-JP"/>
              </w:rPr>
            </w:pPr>
            <w:r w:rsidRPr="00767456">
              <w:rPr>
                <w:sz w:val="20"/>
                <w:lang w:eastAsia="ja-JP"/>
              </w:rPr>
              <w:t>D</w:t>
            </w:r>
            <w:r w:rsidR="00A554AC" w:rsidRPr="00767456">
              <w:rPr>
                <w:sz w:val="20"/>
                <w:lang w:eastAsia="ja-JP"/>
              </w:rPr>
              <w:t>ry/peeling skin*</w:t>
            </w:r>
          </w:p>
        </w:tc>
      </w:tr>
      <w:tr w:rsidR="00A554AC" w14:paraId="77BBE3A5" w14:textId="77777777" w:rsidTr="00767456">
        <w:tc>
          <w:tcPr>
            <w:tcW w:w="3964" w:type="dxa"/>
            <w:hideMark/>
          </w:tcPr>
          <w:p w14:paraId="1A5EFEE4" w14:textId="01D61D1B" w:rsidR="00AC2D84" w:rsidRPr="00767456" w:rsidRDefault="003B46DB">
            <w:pPr>
              <w:rPr>
                <w:sz w:val="20"/>
                <w:lang w:eastAsia="ja-JP"/>
              </w:rPr>
            </w:pPr>
            <w:r w:rsidRPr="00767456">
              <w:rPr>
                <w:sz w:val="20"/>
                <w:lang w:eastAsia="ja-JP"/>
              </w:rPr>
              <w:t>A Phase III</w:t>
            </w:r>
            <w:r w:rsidR="00AC2D84" w:rsidRPr="00767456">
              <w:rPr>
                <w:sz w:val="20"/>
                <w:lang w:eastAsia="ja-JP"/>
              </w:rPr>
              <w:t>, multicenter, open-label study to determine the efficacy, safety, and pharmacokinetics of buccally administered MHOS/SHP615 in pediatric subjects with status epilepticus (convulsive) in the hospital or emergency room in Japan</w:t>
            </w:r>
          </w:p>
          <w:p w14:paraId="78092BA8" w14:textId="3EFB096F" w:rsidR="00AC2D84" w:rsidRPr="00767456" w:rsidRDefault="00AC2D84">
            <w:pPr>
              <w:rPr>
                <w:sz w:val="20"/>
                <w:lang w:eastAsia="ja-JP"/>
              </w:rPr>
            </w:pPr>
            <w:r w:rsidRPr="00767456">
              <w:rPr>
                <w:sz w:val="20"/>
                <w:lang w:eastAsia="ja-JP"/>
              </w:rPr>
              <w:t>ClinicalTrials.gov identifier: NCT03336645</w:t>
            </w:r>
          </w:p>
          <w:p w14:paraId="72BECE23" w14:textId="6E43BE28" w:rsidR="00A554AC" w:rsidRPr="00767456" w:rsidRDefault="00A554AC">
            <w:pPr>
              <w:rPr>
                <w:sz w:val="20"/>
                <w:lang w:eastAsia="ja-JP"/>
              </w:rPr>
            </w:pPr>
            <w:r w:rsidRPr="00767456">
              <w:rPr>
                <w:sz w:val="20"/>
                <w:lang w:eastAsia="ja-JP"/>
              </w:rPr>
              <w:t>EudraCT number</w:t>
            </w:r>
            <w:r w:rsidR="00AC2D84" w:rsidRPr="00767456">
              <w:rPr>
                <w:sz w:val="20"/>
                <w:lang w:eastAsia="ja-JP"/>
              </w:rPr>
              <w:t>: 2020-000226-26</w:t>
            </w:r>
          </w:p>
        </w:tc>
        <w:tc>
          <w:tcPr>
            <w:tcW w:w="2236" w:type="dxa"/>
          </w:tcPr>
          <w:p w14:paraId="4DC7CEAB" w14:textId="062BB91B" w:rsidR="00A554AC" w:rsidRPr="00767456" w:rsidRDefault="00A554AC" w:rsidP="00AC2D84">
            <w:pPr>
              <w:rPr>
                <w:sz w:val="20"/>
                <w:lang w:eastAsia="ja-JP"/>
              </w:rPr>
            </w:pPr>
            <w:r w:rsidRPr="00767456">
              <w:rPr>
                <w:sz w:val="20"/>
                <w:lang w:eastAsia="ja-JP"/>
              </w:rPr>
              <w:t xml:space="preserve">25 </w:t>
            </w:r>
            <w:r w:rsidR="00AC2D84" w:rsidRPr="00767456">
              <w:rPr>
                <w:sz w:val="20"/>
                <w:lang w:eastAsia="ja-JP"/>
              </w:rPr>
              <w:t>children</w:t>
            </w:r>
          </w:p>
        </w:tc>
        <w:tc>
          <w:tcPr>
            <w:tcW w:w="2430" w:type="dxa"/>
            <w:hideMark/>
          </w:tcPr>
          <w:p w14:paraId="28367194" w14:textId="77777777" w:rsidR="003803DF" w:rsidRPr="00767456" w:rsidRDefault="00A554AC">
            <w:pPr>
              <w:rPr>
                <w:sz w:val="20"/>
                <w:lang w:eastAsia="ja-JP"/>
              </w:rPr>
            </w:pPr>
            <w:r w:rsidRPr="00767456">
              <w:rPr>
                <w:sz w:val="20"/>
                <w:lang w:eastAsia="ja-JP"/>
              </w:rPr>
              <w:t>Sedation</w:t>
            </w:r>
            <w:r w:rsidRPr="00767456">
              <w:rPr>
                <w:sz w:val="20"/>
                <w:vertAlign w:val="superscript"/>
                <w:lang w:eastAsia="ja-JP"/>
              </w:rPr>
              <w:t>a</w:t>
            </w:r>
            <w:r w:rsidRPr="00767456">
              <w:rPr>
                <w:sz w:val="20"/>
                <w:lang w:eastAsia="ja-JP"/>
              </w:rPr>
              <w:t xml:space="preserve"> Mean change from ba</w:t>
            </w:r>
            <w:r w:rsidR="003803DF" w:rsidRPr="00767456">
              <w:rPr>
                <w:sz w:val="20"/>
                <w:lang w:eastAsia="ja-JP"/>
              </w:rPr>
              <w:t>seline (N = 23) of 2.2 ± 1.23</w:t>
            </w:r>
          </w:p>
          <w:p w14:paraId="71778A5A" w14:textId="77777777" w:rsidR="002C60B4" w:rsidRPr="00767456" w:rsidRDefault="00A554AC" w:rsidP="002C60B4">
            <w:pPr>
              <w:rPr>
                <w:sz w:val="20"/>
                <w:lang w:eastAsia="ja-JP"/>
              </w:rPr>
            </w:pPr>
            <w:r w:rsidRPr="00767456">
              <w:rPr>
                <w:sz w:val="20"/>
                <w:lang w:eastAsia="ja-JP"/>
              </w:rPr>
              <w:t xml:space="preserve">Change in </w:t>
            </w:r>
            <w:r w:rsidR="002C60B4" w:rsidRPr="00767456">
              <w:rPr>
                <w:sz w:val="20"/>
                <w:lang w:eastAsia="ja-JP"/>
              </w:rPr>
              <w:t>oxygen saturation (N = 14) 3.7 ± 10.21%</w:t>
            </w:r>
          </w:p>
          <w:p w14:paraId="05506192" w14:textId="3819CE5B" w:rsidR="00A554AC" w:rsidRPr="00767456" w:rsidRDefault="002C60B4" w:rsidP="002C60B4">
            <w:pPr>
              <w:rPr>
                <w:sz w:val="20"/>
                <w:lang w:eastAsia="ja-JP"/>
              </w:rPr>
            </w:pPr>
            <w:r w:rsidRPr="00767456">
              <w:rPr>
                <w:sz w:val="20"/>
                <w:lang w:eastAsia="ja-JP"/>
              </w:rPr>
              <w:t>Respiratory depression (N = </w:t>
            </w:r>
            <w:r w:rsidR="00A554AC" w:rsidRPr="00767456">
              <w:rPr>
                <w:sz w:val="20"/>
                <w:lang w:eastAsia="ja-JP"/>
              </w:rPr>
              <w:t>2</w:t>
            </w:r>
            <w:r w:rsidRPr="00767456">
              <w:rPr>
                <w:sz w:val="20"/>
                <w:lang w:eastAsia="ja-JP"/>
              </w:rPr>
              <w:t>;</w:t>
            </w:r>
            <w:r w:rsidR="00A554AC" w:rsidRPr="00767456">
              <w:rPr>
                <w:sz w:val="20"/>
                <w:lang w:eastAsia="ja-JP"/>
              </w:rPr>
              <w:t xml:space="preserve"> 8.0%)</w:t>
            </w:r>
          </w:p>
        </w:tc>
      </w:tr>
      <w:tr w:rsidR="00A554AC" w14:paraId="0884EEA3" w14:textId="77777777" w:rsidTr="00767456">
        <w:trPr>
          <w:cantSplit/>
        </w:trPr>
        <w:tc>
          <w:tcPr>
            <w:tcW w:w="3964" w:type="dxa"/>
            <w:hideMark/>
          </w:tcPr>
          <w:p w14:paraId="7E192753" w14:textId="00A5257B" w:rsidR="00A554AC" w:rsidRPr="00767456" w:rsidRDefault="00A554AC">
            <w:pPr>
              <w:rPr>
                <w:sz w:val="20"/>
                <w:lang w:eastAsia="ja-JP"/>
              </w:rPr>
            </w:pPr>
            <w:r w:rsidRPr="00767456">
              <w:rPr>
                <w:sz w:val="20"/>
                <w:lang w:eastAsia="ja-JP"/>
              </w:rPr>
              <w:t xml:space="preserve">Albrecht S, Schwilden H. Pharmacokinetics of oromucosal midazolam hydrochloride in children. </w:t>
            </w:r>
            <w:r w:rsidR="00AC2D84" w:rsidRPr="00767456">
              <w:rPr>
                <w:i/>
                <w:sz w:val="20"/>
                <w:lang w:eastAsia="ja-JP"/>
              </w:rPr>
              <w:t>British Journal Of Anaesthesia</w:t>
            </w:r>
            <w:r w:rsidRPr="00767456">
              <w:rPr>
                <w:sz w:val="20"/>
                <w:lang w:eastAsia="ja-JP"/>
              </w:rPr>
              <w:t xml:space="preserve"> 2012; 108 (suppl 2):pp ii307. (premedication)</w:t>
            </w:r>
          </w:p>
        </w:tc>
        <w:tc>
          <w:tcPr>
            <w:tcW w:w="2236" w:type="dxa"/>
            <w:hideMark/>
          </w:tcPr>
          <w:p w14:paraId="25AB84B8" w14:textId="77777777" w:rsidR="003803DF" w:rsidRPr="00767456" w:rsidRDefault="003803DF">
            <w:pPr>
              <w:rPr>
                <w:sz w:val="20"/>
                <w:lang w:eastAsia="ja-JP"/>
              </w:rPr>
            </w:pPr>
            <w:r w:rsidRPr="00767456">
              <w:rPr>
                <w:sz w:val="20"/>
                <w:lang w:eastAsia="ja-JP"/>
              </w:rPr>
              <w:t>53 children</w:t>
            </w:r>
          </w:p>
          <w:p w14:paraId="26069B0F" w14:textId="0890367B" w:rsidR="00A554AC" w:rsidRPr="00767456" w:rsidRDefault="003803DF">
            <w:pPr>
              <w:rPr>
                <w:sz w:val="20"/>
                <w:lang w:eastAsia="ja-JP"/>
              </w:rPr>
            </w:pPr>
            <w:r w:rsidRPr="00767456">
              <w:rPr>
                <w:sz w:val="20"/>
                <w:lang w:eastAsia="ja-JP"/>
              </w:rPr>
              <w:t>L</w:t>
            </w:r>
            <w:r w:rsidR="00A554AC" w:rsidRPr="00767456">
              <w:rPr>
                <w:sz w:val="20"/>
                <w:lang w:eastAsia="ja-JP"/>
              </w:rPr>
              <w:t>ow-dose buccal midazolam 0.2</w:t>
            </w:r>
            <w:r w:rsidRPr="00767456">
              <w:rPr>
                <w:sz w:val="20"/>
                <w:lang w:eastAsia="ja-JP"/>
              </w:rPr>
              <w:t> mg/kg</w:t>
            </w:r>
          </w:p>
        </w:tc>
        <w:tc>
          <w:tcPr>
            <w:tcW w:w="2430" w:type="dxa"/>
            <w:hideMark/>
          </w:tcPr>
          <w:p w14:paraId="5F300E21" w14:textId="440E5425" w:rsidR="002608C6" w:rsidRPr="00767456" w:rsidRDefault="00AB568B">
            <w:pPr>
              <w:rPr>
                <w:sz w:val="20"/>
                <w:lang w:eastAsia="ja-JP"/>
              </w:rPr>
            </w:pPr>
            <w:r w:rsidRPr="00767456">
              <w:rPr>
                <w:sz w:val="20"/>
                <w:lang w:eastAsia="ja-JP"/>
              </w:rPr>
              <w:t xml:space="preserve">59 </w:t>
            </w:r>
            <w:r w:rsidR="00767456">
              <w:rPr>
                <w:sz w:val="20"/>
                <w:lang w:eastAsia="ja-JP"/>
              </w:rPr>
              <w:t>adverse events</w:t>
            </w:r>
            <w:r w:rsidRPr="00767456">
              <w:rPr>
                <w:sz w:val="20"/>
                <w:lang w:eastAsia="ja-JP"/>
              </w:rPr>
              <w:t xml:space="preserve"> in 39 patients, 2 </w:t>
            </w:r>
            <w:r w:rsidR="00A554AC" w:rsidRPr="00767456">
              <w:rPr>
                <w:sz w:val="20"/>
                <w:lang w:eastAsia="ja-JP"/>
              </w:rPr>
              <w:t>related: vomiting, nausea</w:t>
            </w:r>
            <w:r w:rsidR="002608C6" w:rsidRPr="00767456">
              <w:rPr>
                <w:sz w:val="20"/>
                <w:lang w:eastAsia="ja-JP"/>
              </w:rPr>
              <w:t>.</w:t>
            </w:r>
          </w:p>
          <w:p w14:paraId="66774452" w14:textId="496FC046" w:rsidR="00A554AC" w:rsidRPr="00767456" w:rsidRDefault="00A554AC">
            <w:pPr>
              <w:rPr>
                <w:sz w:val="20"/>
                <w:lang w:eastAsia="ja-JP"/>
              </w:rPr>
            </w:pPr>
            <w:r w:rsidRPr="00767456">
              <w:rPr>
                <w:sz w:val="20"/>
                <w:lang w:eastAsia="ja-JP"/>
              </w:rPr>
              <w:t>No respiratory events attributed to buccal midazolam.</w:t>
            </w:r>
          </w:p>
        </w:tc>
      </w:tr>
      <w:tr w:rsidR="00A554AC" w14:paraId="28ACEC02" w14:textId="77777777" w:rsidTr="00767456">
        <w:tc>
          <w:tcPr>
            <w:tcW w:w="3964" w:type="dxa"/>
          </w:tcPr>
          <w:p w14:paraId="5DE3B3B7" w14:textId="25CFE14B" w:rsidR="00A554AC" w:rsidRPr="00767456" w:rsidRDefault="003803DF" w:rsidP="003803DF">
            <w:pPr>
              <w:rPr>
                <w:sz w:val="20"/>
                <w:lang w:eastAsia="ja-JP"/>
              </w:rPr>
            </w:pPr>
            <w:r w:rsidRPr="00767456">
              <w:rPr>
                <w:sz w:val="20"/>
                <w:lang w:eastAsia="ja-JP"/>
              </w:rPr>
              <w:t>Bagale &amp; Chapagain: ‘A comparison of buccal midazolam and intravenous diazepam in acute treatment of seizures in children. Poster Presentations: 12th European Paediatric Neurology Society Congress 20-24 June 2017.</w:t>
            </w:r>
          </w:p>
        </w:tc>
        <w:tc>
          <w:tcPr>
            <w:tcW w:w="2236" w:type="dxa"/>
          </w:tcPr>
          <w:p w14:paraId="570C666B" w14:textId="0705AAFB" w:rsidR="00A554AC" w:rsidRPr="00767456" w:rsidRDefault="003803DF" w:rsidP="002608C6">
            <w:pPr>
              <w:rPr>
                <w:sz w:val="20"/>
                <w:lang w:eastAsia="ja-JP"/>
              </w:rPr>
            </w:pPr>
            <w:r w:rsidRPr="00767456">
              <w:rPr>
                <w:sz w:val="20"/>
                <w:lang w:eastAsia="ja-JP"/>
              </w:rPr>
              <w:t>45 children</w:t>
            </w:r>
          </w:p>
        </w:tc>
        <w:tc>
          <w:tcPr>
            <w:tcW w:w="2430" w:type="dxa"/>
            <w:hideMark/>
          </w:tcPr>
          <w:p w14:paraId="5C865663" w14:textId="25F5ED6B" w:rsidR="00A554AC" w:rsidRPr="00767456" w:rsidRDefault="00A554AC" w:rsidP="002608C6">
            <w:pPr>
              <w:rPr>
                <w:sz w:val="20"/>
                <w:lang w:eastAsia="ja-JP"/>
              </w:rPr>
            </w:pPr>
            <w:r w:rsidRPr="00767456">
              <w:rPr>
                <w:sz w:val="20"/>
                <w:lang w:eastAsia="ja-JP"/>
              </w:rPr>
              <w:t>No significant difference in adverse effects</w:t>
            </w:r>
            <w:r w:rsidR="002608C6" w:rsidRPr="00767456">
              <w:rPr>
                <w:sz w:val="20"/>
                <w:lang w:eastAsia="ja-JP"/>
              </w:rPr>
              <w:t xml:space="preserve"> were </w:t>
            </w:r>
            <w:r w:rsidRPr="00767456">
              <w:rPr>
                <w:sz w:val="20"/>
                <w:lang w:eastAsia="ja-JP"/>
              </w:rPr>
              <w:t>was noted between two groups</w:t>
            </w:r>
          </w:p>
        </w:tc>
      </w:tr>
    </w:tbl>
    <w:p w14:paraId="33F728CA" w14:textId="6AADFE2D" w:rsidR="002608C6" w:rsidRDefault="00CB6B00" w:rsidP="002608C6">
      <w:pPr>
        <w:pStyle w:val="Heading5"/>
      </w:pPr>
      <w:bookmarkStart w:id="121" w:name="_Ref56587811"/>
      <w:r>
        <w:t>Adverse events from retrospective d</w:t>
      </w:r>
      <w:r w:rsidR="00A554AC">
        <w:t xml:space="preserve">ata on </w:t>
      </w:r>
      <w:r w:rsidR="00D96405">
        <w:t xml:space="preserve">past </w:t>
      </w:r>
      <w:r w:rsidR="00A554AC">
        <w:t>use</w:t>
      </w:r>
      <w:r w:rsidR="00D96405">
        <w:t xml:space="preserve"> of medicine</w:t>
      </w:r>
      <w:bookmarkEnd w:id="121"/>
    </w:p>
    <w:p w14:paraId="415A97D5" w14:textId="4A567434" w:rsidR="00A554AC" w:rsidRDefault="00767456" w:rsidP="00CB6B00">
      <w:pPr>
        <w:rPr>
          <w:rFonts w:asciiTheme="minorHAnsi" w:hAnsiTheme="minorHAnsi" w:cstheme="majorHAnsi"/>
          <w:lang w:eastAsia="ja-JP"/>
        </w:rPr>
      </w:pPr>
      <w:r>
        <w:rPr>
          <w:rFonts w:asciiTheme="minorHAnsi" w:hAnsiTheme="minorHAnsi"/>
          <w:lang w:eastAsia="ja-JP"/>
        </w:rPr>
        <w:t>The clinical evaluation</w:t>
      </w:r>
      <w:r w:rsidR="002608C6">
        <w:rPr>
          <w:rFonts w:asciiTheme="minorHAnsi" w:hAnsiTheme="minorHAnsi"/>
          <w:lang w:eastAsia="ja-JP"/>
        </w:rPr>
        <w:t xml:space="preserve"> commented that w</w:t>
      </w:r>
      <w:r w:rsidR="00A554AC">
        <w:rPr>
          <w:rFonts w:asciiTheme="minorHAnsi" w:hAnsiTheme="minorHAnsi"/>
          <w:lang w:eastAsia="ja-JP"/>
        </w:rPr>
        <w:t xml:space="preserve">hile entry criteria to data entries are described, the criteria for patient selection for treatment are not. Potentially the protocols might vary across the sites. </w:t>
      </w:r>
      <w:r w:rsidR="00A554AC">
        <w:rPr>
          <w:rFonts w:asciiTheme="minorHAnsi" w:hAnsiTheme="minorHAnsi" w:cstheme="majorHAnsi"/>
          <w:lang w:eastAsia="ja-JP"/>
        </w:rPr>
        <w:t>Collection of retrospective d</w:t>
      </w:r>
      <w:r w:rsidR="00CB6B00">
        <w:rPr>
          <w:rFonts w:asciiTheme="minorHAnsi" w:hAnsiTheme="minorHAnsi" w:cstheme="majorHAnsi"/>
          <w:lang w:eastAsia="ja-JP"/>
        </w:rPr>
        <w:t>ata is always a difficult task.</w:t>
      </w:r>
    </w:p>
    <w:p w14:paraId="71B4D251" w14:textId="045257E7" w:rsidR="006B6861" w:rsidRPr="00CB6B00" w:rsidRDefault="006B6861" w:rsidP="00CB6B00">
      <w:pPr>
        <w:rPr>
          <w:rFonts w:asciiTheme="minorHAnsi" w:hAnsiTheme="minorHAnsi" w:cstheme="majorHAnsi"/>
          <w:lang w:eastAsia="ja-JP"/>
        </w:rPr>
      </w:pPr>
      <w:r>
        <w:rPr>
          <w:rFonts w:asciiTheme="minorHAnsi" w:hAnsiTheme="minorHAnsi" w:cstheme="majorHAnsi"/>
          <w:lang w:eastAsia="ja-JP"/>
        </w:rPr>
        <w:t>Note, Zyamis, the sponsor’s product described in this submission, is sold under the tradename ‘Epistatus’ overseas.</w:t>
      </w:r>
    </w:p>
    <w:p w14:paraId="279ECCCB" w14:textId="5E9020B1" w:rsidR="00CB6B00" w:rsidRDefault="00CB6B00" w:rsidP="00CB6B00">
      <w:pPr>
        <w:pStyle w:val="TableTitle"/>
      </w:pPr>
      <w:r>
        <w:t xml:space="preserve">Table </w:t>
      </w:r>
      <w:fldSimple w:instr=" SEQ Table \* ARABIC ">
        <w:r w:rsidR="00AA79CE">
          <w:rPr>
            <w:noProof/>
          </w:rPr>
          <w:t>19</w:t>
        </w:r>
      </w:fldSimple>
      <w:r>
        <w:t>: Summary of treatment-emergent adverse events from data entries</w:t>
      </w:r>
    </w:p>
    <w:p w14:paraId="4B7F96DA" w14:textId="2288AFE2" w:rsidR="00A554AC" w:rsidRDefault="00A554AC" w:rsidP="00A554AC">
      <w:pPr>
        <w:spacing w:before="0" w:after="0"/>
        <w:rPr>
          <w:sz w:val="16"/>
          <w:lang w:eastAsia="ja-JP"/>
        </w:rPr>
      </w:pPr>
      <w:r>
        <w:rPr>
          <w:noProof/>
          <w:sz w:val="16"/>
          <w:lang w:val="en-GB" w:eastAsia="en-GB"/>
        </w:rPr>
        <w:drawing>
          <wp:inline distT="0" distB="0" distL="0" distR="0" wp14:anchorId="22687257" wp14:editId="18E93615">
            <wp:extent cx="3413048" cy="2030437"/>
            <wp:effectExtent l="0" t="0" r="0" b="8255"/>
            <wp:docPr id="10" name="Picture 10" descr="Table 18: Overall Summary of Treatment Emergent 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 18: Overall Summary of Treatment Emergent A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1938" cy="2035726"/>
                    </a:xfrm>
                    <a:prstGeom prst="rect">
                      <a:avLst/>
                    </a:prstGeom>
                    <a:noFill/>
                    <a:ln>
                      <a:noFill/>
                    </a:ln>
                  </pic:spPr>
                </pic:pic>
              </a:graphicData>
            </a:graphic>
          </wp:inline>
        </w:drawing>
      </w:r>
    </w:p>
    <w:p w14:paraId="71D5D196" w14:textId="4084CC1F" w:rsidR="00767456" w:rsidRDefault="00767456" w:rsidP="00767456">
      <w:pPr>
        <w:pStyle w:val="TableTitle"/>
      </w:pPr>
      <w:r>
        <w:t xml:space="preserve">Table </w:t>
      </w:r>
      <w:fldSimple w:instr=" SEQ Table \* ARABIC ">
        <w:r w:rsidR="00AA79CE">
          <w:rPr>
            <w:noProof/>
          </w:rPr>
          <w:t>20</w:t>
        </w:r>
      </w:fldSimple>
      <w:r>
        <w:t>: Adverse events from the Summary of Product Characteristics for Epistatus</w:t>
      </w:r>
    </w:p>
    <w:tbl>
      <w:tblPr>
        <w:tblStyle w:val="TableGrid"/>
        <w:tblW w:w="0" w:type="auto"/>
        <w:tblLook w:val="04A0" w:firstRow="1" w:lastRow="0" w:firstColumn="1" w:lastColumn="0" w:noHBand="0" w:noVBand="1"/>
      </w:tblPr>
      <w:tblGrid>
        <w:gridCol w:w="4247"/>
        <w:gridCol w:w="4247"/>
      </w:tblGrid>
      <w:tr w:rsidR="00D96295" w14:paraId="1D4A8149" w14:textId="77777777" w:rsidTr="00D96295">
        <w:tc>
          <w:tcPr>
            <w:tcW w:w="4247" w:type="dxa"/>
          </w:tcPr>
          <w:p w14:paraId="3D115453" w14:textId="7E18E527" w:rsidR="00D96295" w:rsidRDefault="00D96295" w:rsidP="00AB568B">
            <w:pPr>
              <w:keepNext/>
            </w:pPr>
            <w:r>
              <w:t>System Organ Class</w:t>
            </w:r>
          </w:p>
        </w:tc>
        <w:tc>
          <w:tcPr>
            <w:tcW w:w="4247" w:type="dxa"/>
          </w:tcPr>
          <w:p w14:paraId="5CDCCA52" w14:textId="5C6A1987" w:rsidR="00D96295" w:rsidRDefault="00D96295" w:rsidP="00AB568B">
            <w:pPr>
              <w:keepNext/>
            </w:pPr>
            <w:r>
              <w:t>Frequency: Adverse drug reaction</w:t>
            </w:r>
          </w:p>
        </w:tc>
      </w:tr>
      <w:tr w:rsidR="00D96295" w14:paraId="117073FD" w14:textId="77777777" w:rsidTr="00D96295">
        <w:tc>
          <w:tcPr>
            <w:tcW w:w="4247" w:type="dxa"/>
          </w:tcPr>
          <w:p w14:paraId="4E4E8AA9" w14:textId="37A26E55" w:rsidR="00D96295" w:rsidRDefault="00D96295" w:rsidP="00D96295">
            <w:r>
              <w:t>Nervous system disorders</w:t>
            </w:r>
          </w:p>
        </w:tc>
        <w:tc>
          <w:tcPr>
            <w:tcW w:w="4247" w:type="dxa"/>
          </w:tcPr>
          <w:p w14:paraId="09521B84" w14:textId="77777777" w:rsidR="00D96295" w:rsidRDefault="00D96295" w:rsidP="00D96295">
            <w:r>
              <w:t>Common: Sedation, somnolence, depressed levels of consciousness</w:t>
            </w:r>
          </w:p>
          <w:p w14:paraId="362A57A0" w14:textId="0ECA17A4" w:rsidR="00D96295" w:rsidRDefault="00D96295" w:rsidP="00D96295">
            <w:r>
              <w:t>Respiratory depression</w:t>
            </w:r>
          </w:p>
        </w:tc>
      </w:tr>
      <w:tr w:rsidR="00D96295" w14:paraId="6A9E5C02" w14:textId="77777777" w:rsidTr="00D96295">
        <w:tc>
          <w:tcPr>
            <w:tcW w:w="4247" w:type="dxa"/>
          </w:tcPr>
          <w:p w14:paraId="221E62BD" w14:textId="0F6675CA" w:rsidR="00D96295" w:rsidRDefault="00D96295" w:rsidP="00D96295">
            <w:r>
              <w:t>Gastrointestinal disorders</w:t>
            </w:r>
          </w:p>
        </w:tc>
        <w:tc>
          <w:tcPr>
            <w:tcW w:w="4247" w:type="dxa"/>
          </w:tcPr>
          <w:p w14:paraId="02BEBE7C" w14:textId="0E305A64" w:rsidR="00D96295" w:rsidRDefault="00D96295" w:rsidP="00D96295">
            <w:r>
              <w:t>Common: Nausea and vomiting</w:t>
            </w:r>
          </w:p>
        </w:tc>
      </w:tr>
      <w:tr w:rsidR="00D96295" w14:paraId="6E2A5102" w14:textId="77777777" w:rsidTr="00D96295">
        <w:tc>
          <w:tcPr>
            <w:tcW w:w="4247" w:type="dxa"/>
          </w:tcPr>
          <w:p w14:paraId="583CA513" w14:textId="3F95796F" w:rsidR="00D96295" w:rsidRDefault="00D96295" w:rsidP="00D96295">
            <w:r>
              <w:t>Skin and subcutaneous tissue disorders</w:t>
            </w:r>
          </w:p>
        </w:tc>
        <w:tc>
          <w:tcPr>
            <w:tcW w:w="4247" w:type="dxa"/>
          </w:tcPr>
          <w:p w14:paraId="2995AD69" w14:textId="7A1138A6" w:rsidR="00D96295" w:rsidRDefault="00D96295" w:rsidP="00D96295">
            <w:r>
              <w:t>Uncommon: Pruritus, rash and urticaria</w:t>
            </w:r>
          </w:p>
        </w:tc>
      </w:tr>
    </w:tbl>
    <w:p w14:paraId="404DBD8B" w14:textId="7F13E8BB" w:rsidR="00A554AC" w:rsidRPr="00D96295" w:rsidRDefault="00A554AC" w:rsidP="00D96295">
      <w:pPr>
        <w:rPr>
          <w:b/>
        </w:rPr>
      </w:pPr>
      <w:r>
        <w:t xml:space="preserve">The major safety concern regarding administration of benzodiazepines, including buccal midazolam, to children experiencing a prolonged seizure is the risk of respiratory depression, especially outside of hospital. In two of the controlled clinical studies, respiratory depression after buccal administration of midazolam was reported with an incidence </w:t>
      </w:r>
      <w:r w:rsidR="00D96295">
        <w:t>of 1.2 to 5%.</w:t>
      </w:r>
    </w:p>
    <w:p w14:paraId="5B322A9C" w14:textId="77777777" w:rsidR="00A554AC" w:rsidRDefault="00A554AC" w:rsidP="00D96295">
      <w:r>
        <w:t>Specific concern of the new route of administration is the possibility of aspiration, always a possibility with status epilepticus anyway. Regarding the latter:</w:t>
      </w:r>
    </w:p>
    <w:p w14:paraId="7FA6CE53" w14:textId="6C0804D5" w:rsidR="00D75EC9" w:rsidRDefault="00A554AC" w:rsidP="00D96295">
      <w:pPr>
        <w:pStyle w:val="ListBullet"/>
      </w:pPr>
      <w:r>
        <w:t xml:space="preserve">only one study </w:t>
      </w:r>
      <w:r w:rsidR="00D96295">
        <w:t>(</w:t>
      </w:r>
      <w:r>
        <w:t>Muchohi et al</w:t>
      </w:r>
      <w:r w:rsidR="00D96295">
        <w:t>.,</w:t>
      </w:r>
      <w:r>
        <w:t xml:space="preserve"> 2008</w:t>
      </w:r>
      <w:r w:rsidR="00D96295">
        <w:t>);</w:t>
      </w:r>
      <w:r w:rsidR="00D96295" w:rsidRPr="00D96295">
        <w:rPr>
          <w:vertAlign w:val="superscript"/>
        </w:rPr>
        <w:fldChar w:fldCharType="begin"/>
      </w:r>
      <w:r w:rsidR="00D96295" w:rsidRPr="00D96295">
        <w:rPr>
          <w:vertAlign w:val="superscript"/>
        </w:rPr>
        <w:instrText xml:space="preserve"> NOTEREF _Ref108791377 \h </w:instrText>
      </w:r>
      <w:r w:rsidR="00D96295">
        <w:rPr>
          <w:vertAlign w:val="superscript"/>
        </w:rPr>
        <w:instrText xml:space="preserve"> \* MERGEFORMAT </w:instrText>
      </w:r>
      <w:r w:rsidR="00D96295" w:rsidRPr="00D96295">
        <w:rPr>
          <w:vertAlign w:val="superscript"/>
        </w:rPr>
      </w:r>
      <w:r w:rsidR="00D96295" w:rsidRPr="00D96295">
        <w:rPr>
          <w:vertAlign w:val="superscript"/>
        </w:rPr>
        <w:fldChar w:fldCharType="separate"/>
      </w:r>
      <w:r w:rsidR="00AA79CE">
        <w:rPr>
          <w:vertAlign w:val="superscript"/>
        </w:rPr>
        <w:t>43</w:t>
      </w:r>
      <w:r w:rsidR="00D96295" w:rsidRPr="00D96295">
        <w:rPr>
          <w:vertAlign w:val="superscript"/>
        </w:rPr>
        <w:fldChar w:fldCharType="end"/>
      </w:r>
      <w:r>
        <w:t xml:space="preserve"> mentioned specifically th</w:t>
      </w:r>
      <w:r w:rsidR="00D96295">
        <w:t xml:space="preserve">at it did not occur and two </w:t>
      </w:r>
      <w:r>
        <w:t>of their 8 patients had hypersalivation necessitating suction;</w:t>
      </w:r>
    </w:p>
    <w:p w14:paraId="3D132500" w14:textId="2340FC70" w:rsidR="00A554AC" w:rsidRDefault="00A554AC" w:rsidP="00D96295">
      <w:pPr>
        <w:pStyle w:val="ListBullet"/>
      </w:pPr>
      <w:r>
        <w:t>Baysun et al</w:t>
      </w:r>
      <w:r w:rsidR="00D96295">
        <w:t>.</w:t>
      </w:r>
      <w:r>
        <w:t xml:space="preserve"> </w:t>
      </w:r>
      <w:r w:rsidR="00D96295">
        <w:t>(</w:t>
      </w:r>
      <w:r>
        <w:t>2008</w:t>
      </w:r>
      <w:r w:rsidR="00D96295">
        <w:t>);</w:t>
      </w:r>
      <w:r w:rsidR="00D96295" w:rsidRPr="00D96295">
        <w:rPr>
          <w:vertAlign w:val="superscript"/>
        </w:rPr>
        <w:fldChar w:fldCharType="begin"/>
      </w:r>
      <w:r w:rsidR="00D96295" w:rsidRPr="00D96295">
        <w:rPr>
          <w:vertAlign w:val="superscript"/>
        </w:rPr>
        <w:instrText xml:space="preserve"> NOTEREF _Ref108599359 \h </w:instrText>
      </w:r>
      <w:r w:rsidR="00D96295">
        <w:rPr>
          <w:vertAlign w:val="superscript"/>
        </w:rPr>
        <w:instrText xml:space="preserve"> \* MERGEFORMAT </w:instrText>
      </w:r>
      <w:r w:rsidR="00D96295" w:rsidRPr="00D96295">
        <w:rPr>
          <w:vertAlign w:val="superscript"/>
        </w:rPr>
      </w:r>
      <w:r w:rsidR="00D96295" w:rsidRPr="00D96295">
        <w:rPr>
          <w:vertAlign w:val="superscript"/>
        </w:rPr>
        <w:fldChar w:fldCharType="separate"/>
      </w:r>
      <w:r w:rsidR="00AA79CE">
        <w:rPr>
          <w:vertAlign w:val="superscript"/>
        </w:rPr>
        <w:t>39</w:t>
      </w:r>
      <w:r w:rsidR="00D96295" w:rsidRPr="00D96295">
        <w:rPr>
          <w:vertAlign w:val="superscript"/>
        </w:rPr>
        <w:fldChar w:fldCharType="end"/>
      </w:r>
      <w:r w:rsidR="00D96295">
        <w:t xml:space="preserve"> had one of </w:t>
      </w:r>
      <w:r>
        <w:t>23 patients with a coughing fit, shortly after administration.</w:t>
      </w:r>
    </w:p>
    <w:p w14:paraId="227F4AC4" w14:textId="77777777" w:rsidR="00A554AC" w:rsidRDefault="00A554AC" w:rsidP="00A554AC">
      <w:pPr>
        <w:rPr>
          <w:lang w:eastAsia="ja-JP"/>
        </w:rPr>
      </w:pPr>
      <w:r>
        <w:rPr>
          <w:lang w:eastAsia="ja-JP"/>
        </w:rPr>
        <w:t>The sponsor proposes:</w:t>
      </w:r>
    </w:p>
    <w:p w14:paraId="08640BE9" w14:textId="3C1ED105" w:rsidR="00A554AC" w:rsidRDefault="00A554AC" w:rsidP="00D96295">
      <w:pPr>
        <w:pStyle w:val="ListBullet"/>
      </w:pPr>
      <w:r>
        <w:rPr>
          <w:rFonts w:asciiTheme="majorHAnsi" w:hAnsiTheme="majorHAnsi"/>
        </w:rPr>
        <w:t>‘</w:t>
      </w:r>
      <w:r>
        <w:t>With re</w:t>
      </w:r>
      <w:r w:rsidR="00D96295">
        <w:t>spect to the risk of aspiration […] h</w:t>
      </w:r>
      <w:r>
        <w:t>owever, the volumes of drug are very small, and are likely to be exceeded significantly by the excess saliva produced during a seizure. In practice, these concerns have not been reported as safety issues</w:t>
      </w:r>
      <w:r w:rsidR="00A273D4">
        <w:t>’</w:t>
      </w:r>
      <w:r>
        <w:t>.</w:t>
      </w:r>
    </w:p>
    <w:p w14:paraId="0129A0CC" w14:textId="77777777" w:rsidR="00A554AC" w:rsidRDefault="00A554AC" w:rsidP="00D96295">
      <w:pPr>
        <w:pStyle w:val="ListBullet"/>
      </w:pPr>
      <w:r>
        <w:t>‘Deaths have been related to the underlying disease state’.</w:t>
      </w:r>
    </w:p>
    <w:p w14:paraId="134829FC" w14:textId="5CE39C54" w:rsidR="00D75EC9" w:rsidRDefault="000A5B6D" w:rsidP="000A5B6D">
      <w:r w:rsidRPr="000A5B6D">
        <w:t xml:space="preserve">The </w:t>
      </w:r>
      <w:r w:rsidR="00A554AC" w:rsidRPr="000A5B6D">
        <w:t>Delegate</w:t>
      </w:r>
      <w:r w:rsidRPr="000A5B6D">
        <w:t xml:space="preserve"> gave the following s</w:t>
      </w:r>
      <w:r w:rsidR="00A554AC" w:rsidRPr="000A5B6D">
        <w:t>uggestion, that the issue has not been properly explored.</w:t>
      </w:r>
    </w:p>
    <w:p w14:paraId="33678346" w14:textId="78A0A5D9" w:rsidR="00A554AC" w:rsidRDefault="00A554AC" w:rsidP="00D96295">
      <w:pPr>
        <w:pStyle w:val="ListBullet"/>
      </w:pPr>
      <w:r>
        <w:t>The review prior to registration of Buccolam</w:t>
      </w:r>
      <w:r w:rsidR="00D96295">
        <w:t xml:space="preserve"> (buccal midazolam hydrochloride)</w:t>
      </w:r>
      <w:r>
        <w:t xml:space="preserve"> showed there has been severe and moderate harm associated with community use that the sponsor sug</w:t>
      </w:r>
      <w:r w:rsidR="00D96295">
        <w:t>gests is related to overdosing.</w:t>
      </w:r>
    </w:p>
    <w:p w14:paraId="2523EB46" w14:textId="70DF6EA0" w:rsidR="00A554AC" w:rsidRDefault="00A554AC" w:rsidP="00D96295">
      <w:pPr>
        <w:pStyle w:val="Heading5"/>
      </w:pPr>
      <w:bookmarkStart w:id="122" w:name="_Toc57711133"/>
      <w:bookmarkStart w:id="123" w:name="_Toc77073440"/>
      <w:r>
        <w:t>Potential for abuse</w:t>
      </w:r>
      <w:bookmarkEnd w:id="122"/>
      <w:bookmarkEnd w:id="123"/>
    </w:p>
    <w:p w14:paraId="6E05A3E9" w14:textId="6D948378" w:rsidR="00A554AC" w:rsidRPr="00D96295" w:rsidRDefault="00A554AC" w:rsidP="00D96295">
      <w:r>
        <w:rPr>
          <w:lang w:eastAsia="ja-JP"/>
        </w:rPr>
        <w:t>The sponsor has specifically addressed this in the appropriate section of the submission</w:t>
      </w:r>
      <w:r w:rsidR="00D96295">
        <w:rPr>
          <w:lang w:eastAsia="ja-JP"/>
        </w:rPr>
        <w:t>:</w:t>
      </w:r>
    </w:p>
    <w:p w14:paraId="696E066C" w14:textId="65AA1DCA" w:rsidR="00A554AC" w:rsidRDefault="00A554AC" w:rsidP="00D96295">
      <w:pPr>
        <w:pStyle w:val="ListBullet"/>
      </w:pPr>
      <w:r>
        <w:t xml:space="preserve">According to </w:t>
      </w:r>
      <w:r w:rsidR="00D96295">
        <w:t xml:space="preserve">the </w:t>
      </w:r>
      <w:r>
        <w:t xml:space="preserve">TGA’s national classification system, midazolam is categorised in Schedule 4. Therefore, </w:t>
      </w:r>
      <w:r w:rsidR="00BD2BAB">
        <w:t>Zyamis</w:t>
      </w:r>
      <w:r>
        <w:t xml:space="preserve"> oromucosal solution is a prescription only medicine. </w:t>
      </w:r>
      <w:r w:rsidR="0080633E">
        <w:t xml:space="preserve">Off-label midazolam (IV formula, used </w:t>
      </w:r>
      <w:r w:rsidR="00933D74">
        <w:t xml:space="preserve">intranasally and </w:t>
      </w:r>
      <w:r w:rsidR="0080633E">
        <w:t xml:space="preserve">buccally) </w:t>
      </w:r>
      <w:r>
        <w:t>has already been available to the parents and carers of patients for home use since 2002 and ther</w:t>
      </w:r>
      <w:r w:rsidR="00D96295">
        <w:t>e is no apparent abuse reported.</w:t>
      </w:r>
    </w:p>
    <w:p w14:paraId="3CF942EA" w14:textId="69EEC4CF" w:rsidR="00A554AC" w:rsidRDefault="00A554AC" w:rsidP="00D96295">
      <w:pPr>
        <w:pStyle w:val="ListBullet"/>
      </w:pPr>
      <w:r>
        <w:t>The product will be supplied as 2.5</w:t>
      </w:r>
      <w:r w:rsidR="000A5B6D">
        <w:t xml:space="preserve"> </w:t>
      </w:r>
      <w:r>
        <w:t>mg, 5</w:t>
      </w:r>
      <w:r w:rsidR="000A5B6D">
        <w:t xml:space="preserve"> </w:t>
      </w:r>
      <w:r>
        <w:t>mg, 7</w:t>
      </w:r>
      <w:r w:rsidR="00EB2061">
        <w:t>.5</w:t>
      </w:r>
      <w:r w:rsidR="000A5B6D">
        <w:t xml:space="preserve"> </w:t>
      </w:r>
      <w:r>
        <w:t>mg and 10</w:t>
      </w:r>
      <w:r w:rsidR="000A5B6D">
        <w:t xml:space="preserve"> </w:t>
      </w:r>
      <w:r>
        <w:t>mg midazolam base in 0.25</w:t>
      </w:r>
      <w:r w:rsidR="000A5B6D">
        <w:t> </w:t>
      </w:r>
      <w:r>
        <w:t>mL to 1</w:t>
      </w:r>
      <w:r w:rsidR="000A5B6D">
        <w:t xml:space="preserve"> </w:t>
      </w:r>
      <w:r>
        <w:t xml:space="preserve">mL of sugar free syrup with a single use, prefilled </w:t>
      </w:r>
      <w:r w:rsidR="00D96295">
        <w:t>syringe for oral administration.</w:t>
      </w:r>
    </w:p>
    <w:p w14:paraId="4188D124" w14:textId="717CE00B" w:rsidR="00A554AC" w:rsidRDefault="00A554AC" w:rsidP="00D96295">
      <w:pPr>
        <w:pStyle w:val="ListBullet"/>
      </w:pPr>
      <w:r>
        <w:t xml:space="preserve">The </w:t>
      </w:r>
      <w:r w:rsidR="000A5B6D">
        <w:t>sponsor</w:t>
      </w:r>
      <w:r>
        <w:t xml:space="preserve"> has considered the risk of diversion for illicit use and will address this by the distribution of appropriately limited pack sizes, which will only be available on prescription to individuals in the community who have a specific need for the product by virtue of their propensity for </w:t>
      </w:r>
      <w:r w:rsidR="00F112F6">
        <w:t>s</w:t>
      </w:r>
      <w:r w:rsidR="00F112F6" w:rsidRPr="009D42AE">
        <w:t xml:space="preserve">tatus </w:t>
      </w:r>
      <w:r w:rsidR="00F112F6">
        <w:t>e</w:t>
      </w:r>
      <w:r w:rsidR="00F112F6" w:rsidRPr="009D42AE">
        <w:t>pilepticus</w:t>
      </w:r>
      <w:r w:rsidR="00D226CB">
        <w:t>,</w:t>
      </w:r>
      <w:r>
        <w:t xml:space="preserve"> or available in the prehospital emergency setting or within the hospital enviro</w:t>
      </w:r>
      <w:r w:rsidR="00D96295">
        <w:t>nment via the hospital pharmacy.</w:t>
      </w:r>
    </w:p>
    <w:p w14:paraId="38CC2C84" w14:textId="04A6CDC4" w:rsidR="00A554AC" w:rsidRDefault="00A554AC" w:rsidP="00D96295">
      <w:pPr>
        <w:pStyle w:val="ListBullet"/>
      </w:pPr>
      <w:r>
        <w:t xml:space="preserve">In addition, the Australian Product Information (PI) and Australian Consumer Medicine Information (CMI) will include a recommendation that the patient’s or care giver’s past medical history be considered when prescribing or dispensing </w:t>
      </w:r>
      <w:r w:rsidR="00BD2BAB">
        <w:t>Zyamis</w:t>
      </w:r>
      <w:r>
        <w:t xml:space="preserve"> in situations where this is concern about and increase risk of misuse, abuse or diversion;</w:t>
      </w:r>
    </w:p>
    <w:p w14:paraId="0BD4A703" w14:textId="77777777" w:rsidR="00A554AC" w:rsidRDefault="00A554AC" w:rsidP="00D96295">
      <w:pPr>
        <w:pStyle w:val="ListBullet"/>
      </w:pPr>
      <w:r>
        <w:t>All patients treated with benzodiazepines should be carefully monitored for signs of abuse or addiction.</w:t>
      </w:r>
    </w:p>
    <w:p w14:paraId="7817D682" w14:textId="77777777" w:rsidR="00A554AC" w:rsidRDefault="00A554AC" w:rsidP="000A5B6D">
      <w:pPr>
        <w:pStyle w:val="Heading5"/>
      </w:pPr>
      <w:bookmarkStart w:id="124" w:name="_Toc499117275"/>
      <w:bookmarkStart w:id="125" w:name="_Toc57711134"/>
      <w:bookmarkStart w:id="126" w:name="_Toc77073441"/>
      <w:r>
        <w:t>Community experience</w:t>
      </w:r>
      <w:bookmarkEnd w:id="124"/>
      <w:bookmarkEnd w:id="125"/>
      <w:bookmarkEnd w:id="126"/>
    </w:p>
    <w:p w14:paraId="54967181" w14:textId="4A45B0EA" w:rsidR="00A554AC" w:rsidRPr="00AB568B" w:rsidRDefault="00A554AC" w:rsidP="00AB568B">
      <w:pPr>
        <w:rPr>
          <w:rFonts w:asciiTheme="minorHAnsi" w:hAnsiTheme="minorHAnsi"/>
          <w:lang w:eastAsia="ja-JP"/>
        </w:rPr>
      </w:pPr>
      <w:r>
        <w:rPr>
          <w:rFonts w:asciiTheme="minorHAnsi" w:hAnsiTheme="minorHAnsi"/>
          <w:lang w:eastAsia="ja-JP"/>
        </w:rPr>
        <w:t>The previous submission</w:t>
      </w:r>
      <w:r w:rsidR="00AB568B">
        <w:rPr>
          <w:rFonts w:asciiTheme="minorHAnsi" w:hAnsiTheme="minorHAnsi"/>
          <w:lang w:eastAsia="ja-JP"/>
        </w:rPr>
        <w:t xml:space="preserve"> contained the following document ‘Anaesthesia Glare J: </w:t>
      </w:r>
      <w:r>
        <w:t>Caution: oral/buccal midazolam for serious epileptic seizures</w:t>
      </w:r>
      <w:r w:rsidR="00AB568B">
        <w:t xml:space="preserve">, potential for dose confusion’ from the </w:t>
      </w:r>
      <w:r>
        <w:t xml:space="preserve">West Midlands </w:t>
      </w:r>
      <w:r w:rsidR="00AB568B">
        <w:t xml:space="preserve">(UK) </w:t>
      </w:r>
      <w:r>
        <w:t>Medicines Information Service 2003.</w:t>
      </w:r>
      <w:r w:rsidR="006B6861">
        <w:rPr>
          <w:rStyle w:val="FootnoteReference"/>
        </w:rPr>
        <w:footnoteReference w:id="63"/>
      </w:r>
    </w:p>
    <w:p w14:paraId="2A8D48D1" w14:textId="4902F87F" w:rsidR="00A554AC" w:rsidRDefault="00A554AC" w:rsidP="00A554AC">
      <w:pPr>
        <w:rPr>
          <w:rFonts w:asciiTheme="minorHAnsi" w:hAnsiTheme="minorHAnsi"/>
          <w:lang w:eastAsia="ja-JP"/>
        </w:rPr>
      </w:pPr>
      <w:r>
        <w:rPr>
          <w:rFonts w:asciiTheme="minorHAnsi" w:hAnsiTheme="minorHAnsi"/>
          <w:lang w:eastAsia="ja-JP"/>
        </w:rPr>
        <w:t>The sponsor said</w:t>
      </w:r>
      <w:r w:rsidR="000A5B6D">
        <w:rPr>
          <w:rFonts w:asciiTheme="minorHAnsi" w:hAnsiTheme="minorHAnsi"/>
          <w:lang w:eastAsia="ja-JP"/>
        </w:rPr>
        <w:t xml:space="preserve"> the following about </w:t>
      </w:r>
      <w:r>
        <w:rPr>
          <w:rFonts w:asciiTheme="minorHAnsi" w:hAnsiTheme="minorHAnsi"/>
          <w:lang w:eastAsia="ja-JP"/>
        </w:rPr>
        <w:t xml:space="preserve">the above </w:t>
      </w:r>
      <w:r w:rsidR="000A5B6D">
        <w:rPr>
          <w:rFonts w:asciiTheme="minorHAnsi" w:hAnsiTheme="minorHAnsi"/>
          <w:lang w:eastAsia="ja-JP"/>
        </w:rPr>
        <w:t>paper in the previous submission:</w:t>
      </w:r>
    </w:p>
    <w:p w14:paraId="092F436F" w14:textId="77777777" w:rsidR="00A554AC" w:rsidRDefault="00A554AC" w:rsidP="00AB568B">
      <w:pPr>
        <w:pStyle w:val="ListBullet"/>
      </w:pPr>
      <w:r>
        <w:t>An online report of a search of the UK National health Service National Reporting and Learning system following a signal generated by an event involving respiratory depression in the community attributed to buccal midazolam administration revealed 132 reported medication incidents (NHS National Reporting and Learning System., 2012);</w:t>
      </w:r>
    </w:p>
    <w:p w14:paraId="753AB411" w14:textId="3A33F81E" w:rsidR="00A554AC" w:rsidRDefault="00A554AC" w:rsidP="00AB568B">
      <w:pPr>
        <w:pStyle w:val="ListBullet"/>
      </w:pPr>
      <w:r>
        <w:t xml:space="preserve">Three of these were associated with severe harm and five with moderate harm. Little further information is provided, but it would appear that these events were associated with </w:t>
      </w:r>
      <w:r w:rsidR="00A273D4">
        <w:t>‘</w:t>
      </w:r>
      <w:r>
        <w:t>wrong dose errors</w:t>
      </w:r>
      <w:r w:rsidR="00A273D4">
        <w:t>’</w:t>
      </w:r>
      <w:r>
        <w:t>,</w:t>
      </w:r>
      <w:r w:rsidR="000A5B6D">
        <w:t xml:space="preserve"> for example</w:t>
      </w:r>
      <w:r>
        <w:t xml:space="preserve"> 10-fold overdosing.</w:t>
      </w:r>
    </w:p>
    <w:p w14:paraId="681AD999" w14:textId="52A80709" w:rsidR="00A554AC" w:rsidRDefault="00C0549F" w:rsidP="000A5B6D">
      <w:pPr>
        <w:pStyle w:val="Heading5"/>
      </w:pPr>
      <w:bookmarkStart w:id="127" w:name="_Toc57711135"/>
      <w:bookmarkStart w:id="128" w:name="_Toc77073442"/>
      <w:r>
        <w:t>P</w:t>
      </w:r>
      <w:r w:rsidR="00A554AC">
        <w:t>ostmarketing experience</w:t>
      </w:r>
      <w:bookmarkEnd w:id="127"/>
      <w:bookmarkEnd w:id="128"/>
    </w:p>
    <w:p w14:paraId="691AB24C" w14:textId="6EA0D560" w:rsidR="00A554AC" w:rsidRDefault="00A554AC" w:rsidP="000A5B6D">
      <w:r>
        <w:t xml:space="preserve">The sponsor submitted a </w:t>
      </w:r>
      <w:r w:rsidR="00AB568B">
        <w:t>periodic safety update report (</w:t>
      </w:r>
      <w:r>
        <w:t>PSUR</w:t>
      </w:r>
      <w:r w:rsidR="00AB568B">
        <w:t>)</w:t>
      </w:r>
      <w:r>
        <w:t xml:space="preserve"> </w:t>
      </w:r>
      <w:r w:rsidR="000A5B6D">
        <w:t xml:space="preserve">for the period </w:t>
      </w:r>
      <w:r w:rsidR="00767456">
        <w:t>10 </w:t>
      </w:r>
      <w:r>
        <w:t>Sep</w:t>
      </w:r>
      <w:r w:rsidR="000A5B6D">
        <w:t>tember</w:t>
      </w:r>
      <w:r>
        <w:t xml:space="preserve"> 2016 to 9 Sep</w:t>
      </w:r>
      <w:r w:rsidR="000A5B6D">
        <w:t>tember</w:t>
      </w:r>
      <w:r>
        <w:t xml:space="preserve"> 2019</w:t>
      </w:r>
      <w:r w:rsidR="00D96405">
        <w:t>. Note, Zyamis, the sponsor’s product described here in this submission and the following periodic safety update report, is sold under the tradename ‘Epistatus’ overseas:</w:t>
      </w:r>
    </w:p>
    <w:p w14:paraId="1A19E1BF" w14:textId="233214F9" w:rsidR="00A554AC" w:rsidRDefault="009418A8" w:rsidP="00AB568B">
      <w:pPr>
        <w:pStyle w:val="ListBullet"/>
      </w:pPr>
      <w:r>
        <w:t>Epistatus</w:t>
      </w:r>
      <w:r w:rsidR="00A554AC">
        <w:t xml:space="preserve"> 10mg Oromuco</w:t>
      </w:r>
      <w:r w:rsidR="00AB568B">
        <w:t xml:space="preserve">sal Solution was registered on </w:t>
      </w:r>
      <w:r w:rsidR="00A554AC">
        <w:t>7 April 2017 for the treatment of prolonged, acute, convulsive seizures in children and adolescents aged 10 t</w:t>
      </w:r>
      <w:r>
        <w:t xml:space="preserve">o less than 18 years, </w:t>
      </w:r>
      <w:r w:rsidR="00767456">
        <w:t>in the United Kingdom.</w:t>
      </w:r>
    </w:p>
    <w:p w14:paraId="464E1BC4" w14:textId="77BBEC73" w:rsidR="00A554AC" w:rsidRPr="009418A8" w:rsidRDefault="00A554AC" w:rsidP="009418A8">
      <w:pPr>
        <w:pStyle w:val="ListBullet"/>
      </w:pPr>
      <w:r>
        <w:t>There were no sponsored ongoing or completed c</w:t>
      </w:r>
      <w:r w:rsidR="009418A8">
        <w:t>linical studies.</w:t>
      </w:r>
    </w:p>
    <w:p w14:paraId="3E90B184" w14:textId="04B57D3B" w:rsidR="00A554AC" w:rsidRDefault="00A554AC" w:rsidP="009418A8">
      <w:pPr>
        <w:pStyle w:val="ListBullet"/>
      </w:pPr>
      <w:r>
        <w:t xml:space="preserve">The sponsor assumes the above number equates with usage (or underestimates it because of unlicensed forms of </w:t>
      </w:r>
      <w:r w:rsidR="00D96405">
        <w:t>Epistatus [</w:t>
      </w:r>
      <w:r w:rsidR="00BD2BAB">
        <w:t>Zyamis</w:t>
      </w:r>
      <w:r w:rsidR="00D96405">
        <w:t>]</w:t>
      </w:r>
      <w:r>
        <w:t>). As indicated in some of the studies submitted, units suppli</w:t>
      </w:r>
      <w:r w:rsidR="009418A8">
        <w:t>ed do not equate with usage, for example,</w:t>
      </w:r>
      <w:r>
        <w:t xml:space="preserve"> for </w:t>
      </w:r>
      <w:r w:rsidR="009418A8">
        <w:t xml:space="preserve">the </w:t>
      </w:r>
      <w:r>
        <w:t>Moretti et al</w:t>
      </w:r>
      <w:r w:rsidR="009418A8">
        <w:t>. (</w:t>
      </w:r>
      <w:r>
        <w:t>2019</w:t>
      </w:r>
      <w:r w:rsidR="009418A8">
        <w:t>) study it was around</w:t>
      </w:r>
      <w:r>
        <w:t xml:space="preserve"> 50% </w:t>
      </w:r>
      <w:r w:rsidR="009418A8">
        <w:t>(or 20 of 42).</w:t>
      </w:r>
      <w:r w:rsidR="009418A8" w:rsidRPr="009418A8">
        <w:rPr>
          <w:vertAlign w:val="superscript"/>
        </w:rPr>
        <w:fldChar w:fldCharType="begin"/>
      </w:r>
      <w:r w:rsidR="009418A8" w:rsidRPr="009418A8">
        <w:rPr>
          <w:vertAlign w:val="superscript"/>
        </w:rPr>
        <w:instrText xml:space="preserve"> NOTEREF _Ref109211577 \h </w:instrText>
      </w:r>
      <w:r w:rsidR="009418A8">
        <w:rPr>
          <w:vertAlign w:val="superscript"/>
        </w:rPr>
        <w:instrText xml:space="preserve"> \* MERGEFORMAT </w:instrText>
      </w:r>
      <w:r w:rsidR="009418A8" w:rsidRPr="009418A8">
        <w:rPr>
          <w:vertAlign w:val="superscript"/>
        </w:rPr>
      </w:r>
      <w:r w:rsidR="009418A8" w:rsidRPr="009418A8">
        <w:rPr>
          <w:vertAlign w:val="superscript"/>
        </w:rPr>
        <w:fldChar w:fldCharType="separate"/>
      </w:r>
      <w:r w:rsidR="00AA79CE">
        <w:rPr>
          <w:vertAlign w:val="superscript"/>
        </w:rPr>
        <w:t>47</w:t>
      </w:r>
      <w:r w:rsidR="009418A8" w:rsidRPr="009418A8">
        <w:rPr>
          <w:vertAlign w:val="superscript"/>
        </w:rPr>
        <w:fldChar w:fldCharType="end"/>
      </w:r>
    </w:p>
    <w:p w14:paraId="4E1FBFD5" w14:textId="7C069B6E" w:rsidR="00A554AC" w:rsidRDefault="00A554AC" w:rsidP="009418A8">
      <w:pPr>
        <w:pStyle w:val="ListBullet"/>
      </w:pPr>
      <w:r>
        <w:t>W</w:t>
      </w:r>
      <w:r w:rsidR="000A5B6D">
        <w:t>h</w:t>
      </w:r>
      <w:r>
        <w:t xml:space="preserve">ile there was considerable review of benzodiazepine use and its </w:t>
      </w:r>
      <w:r w:rsidR="009418A8">
        <w:t>adverse events</w:t>
      </w:r>
      <w:r>
        <w:t>, neither was the duration and dosage limited to the proposed single occasional use nor was the age</w:t>
      </w:r>
      <w:r w:rsidR="009418A8">
        <w:t xml:space="preserve"> group limited to that proposed.</w:t>
      </w:r>
    </w:p>
    <w:p w14:paraId="69416A19" w14:textId="77777777" w:rsidR="00A554AC" w:rsidRDefault="00A554AC" w:rsidP="009418A8">
      <w:pPr>
        <w:pStyle w:val="ListBullet"/>
      </w:pPr>
      <w:r>
        <w:t>The sponsor submitted that there are no further issues arising, which would recommend changes to the reference safety information or additional risk management activities;</w:t>
      </w:r>
    </w:p>
    <w:p w14:paraId="6EF503EB" w14:textId="5945A3B2" w:rsidR="00A554AC" w:rsidRDefault="00A554AC" w:rsidP="009418A8">
      <w:pPr>
        <w:pStyle w:val="ListBullet"/>
        <w:rPr>
          <w:rFonts w:asciiTheme="minorHAnsi" w:hAnsiTheme="minorHAnsi"/>
        </w:rPr>
      </w:pPr>
      <w:r>
        <w:rPr>
          <w:rFonts w:asciiTheme="minorHAnsi" w:hAnsiTheme="minorHAnsi"/>
        </w:rPr>
        <w:t>Throughout the PSUR, the statement is found</w:t>
      </w:r>
      <w:r w:rsidR="00A67D26">
        <w:rPr>
          <w:rFonts w:asciiTheme="minorHAnsi" w:hAnsiTheme="minorHAnsi"/>
        </w:rPr>
        <w:t xml:space="preserve"> </w:t>
      </w:r>
      <w:r w:rsidRPr="00A67D26">
        <w:rPr>
          <w:rFonts w:asciiTheme="minorHAnsi" w:hAnsiTheme="minorHAnsi"/>
          <w:i/>
          <w:iCs/>
        </w:rPr>
        <w:t>’48 Epistatus cases in total for the reporting period</w:t>
      </w:r>
      <w:r>
        <w:rPr>
          <w:rFonts w:asciiTheme="minorHAnsi" w:hAnsiTheme="minorHAnsi"/>
        </w:rPr>
        <w:t xml:space="preserve">’ while, the referenced </w:t>
      </w:r>
      <w:r w:rsidR="000A5B6D">
        <w:rPr>
          <w:rFonts w:asciiTheme="minorHAnsi" w:hAnsiTheme="minorHAnsi"/>
        </w:rPr>
        <w:t>t</w:t>
      </w:r>
      <w:r>
        <w:rPr>
          <w:rFonts w:asciiTheme="minorHAnsi" w:hAnsiTheme="minorHAnsi"/>
        </w:rPr>
        <w:t>able (</w:t>
      </w:r>
      <w:r w:rsidR="000A5B6D">
        <w:rPr>
          <w:rFonts w:asciiTheme="minorHAnsi" w:hAnsiTheme="minorHAnsi"/>
        </w:rPr>
        <w:t>see table below</w:t>
      </w:r>
      <w:r>
        <w:rPr>
          <w:rFonts w:asciiTheme="minorHAnsi" w:hAnsiTheme="minorHAnsi"/>
        </w:rPr>
        <w:t>) has the note ‘</w:t>
      </w:r>
      <w:r w:rsidRPr="00A67D26">
        <w:rPr>
          <w:rFonts w:asciiTheme="minorHAnsi" w:hAnsiTheme="minorHAnsi" w:cstheme="majorHAnsi"/>
          <w:i/>
          <w:iCs/>
        </w:rPr>
        <w:t xml:space="preserve">As this is the first PBRER </w:t>
      </w:r>
      <w:r w:rsidR="009418A8">
        <w:rPr>
          <w:rFonts w:asciiTheme="minorHAnsi" w:hAnsiTheme="minorHAnsi" w:cstheme="majorHAnsi"/>
          <w:iCs/>
        </w:rPr>
        <w:t>[periodic benefit-risk evaluation report]</w:t>
      </w:r>
      <w:r w:rsidR="009418A8">
        <w:rPr>
          <w:rFonts w:asciiTheme="minorHAnsi" w:hAnsiTheme="minorHAnsi" w:cstheme="majorHAnsi"/>
          <w:i/>
          <w:iCs/>
        </w:rPr>
        <w:t xml:space="preserve"> </w:t>
      </w:r>
      <w:r w:rsidRPr="00A67D26">
        <w:rPr>
          <w:rFonts w:asciiTheme="minorHAnsi" w:hAnsiTheme="minorHAnsi" w:cstheme="majorHAnsi"/>
          <w:i/>
          <w:iCs/>
        </w:rPr>
        <w:t>for this product, no cumulative data is available, so only interval data has been presented</w:t>
      </w:r>
      <w:r>
        <w:rPr>
          <w:rFonts w:asciiTheme="minorHAnsi" w:hAnsiTheme="minorHAnsi" w:cstheme="majorHAnsi"/>
        </w:rPr>
        <w:t>.</w:t>
      </w:r>
      <w:r w:rsidR="00A67D26">
        <w:rPr>
          <w:rFonts w:asciiTheme="minorHAnsi" w:hAnsiTheme="minorHAnsi" w:cstheme="majorHAnsi"/>
        </w:rPr>
        <w:t>’</w:t>
      </w:r>
      <w:r>
        <w:rPr>
          <w:rFonts w:asciiTheme="minorHAnsi" w:hAnsiTheme="minorHAnsi" w:cstheme="majorHAnsi"/>
        </w:rPr>
        <w:t xml:space="preserve"> That table, from which the following </w:t>
      </w:r>
      <w:r w:rsidR="00767456">
        <w:rPr>
          <w:rFonts w:asciiTheme="minorHAnsi" w:hAnsiTheme="minorHAnsi" w:cstheme="majorHAnsi"/>
        </w:rPr>
        <w:fldChar w:fldCharType="begin"/>
      </w:r>
      <w:r w:rsidR="00767456">
        <w:rPr>
          <w:rFonts w:asciiTheme="minorHAnsi" w:hAnsiTheme="minorHAnsi" w:cstheme="majorHAnsi"/>
        </w:rPr>
        <w:instrText xml:space="preserve"> REF _Ref109294138 \h </w:instrText>
      </w:r>
      <w:r w:rsidR="00767456">
        <w:rPr>
          <w:rFonts w:asciiTheme="minorHAnsi" w:hAnsiTheme="minorHAnsi" w:cstheme="majorHAnsi"/>
        </w:rPr>
      </w:r>
      <w:r w:rsidR="00767456">
        <w:rPr>
          <w:rFonts w:asciiTheme="minorHAnsi" w:hAnsiTheme="minorHAnsi" w:cstheme="majorHAnsi"/>
        </w:rPr>
        <w:fldChar w:fldCharType="separate"/>
      </w:r>
      <w:r w:rsidR="00AA79CE">
        <w:t xml:space="preserve">Table </w:t>
      </w:r>
      <w:r w:rsidR="00AA79CE">
        <w:rPr>
          <w:noProof/>
        </w:rPr>
        <w:t>21</w:t>
      </w:r>
      <w:r w:rsidR="00767456">
        <w:rPr>
          <w:rFonts w:asciiTheme="minorHAnsi" w:hAnsiTheme="minorHAnsi" w:cstheme="majorHAnsi"/>
        </w:rPr>
        <w:fldChar w:fldCharType="end"/>
      </w:r>
      <w:r w:rsidR="00767456">
        <w:rPr>
          <w:rFonts w:asciiTheme="minorHAnsi" w:hAnsiTheme="minorHAnsi" w:cstheme="majorHAnsi"/>
        </w:rPr>
        <w:t xml:space="preserve"> </w:t>
      </w:r>
      <w:r>
        <w:rPr>
          <w:rFonts w:asciiTheme="minorHAnsi" w:hAnsiTheme="minorHAnsi" w:cstheme="majorHAnsi"/>
        </w:rPr>
        <w:t xml:space="preserve">is derived has 90 non-serious and 83 serious </w:t>
      </w:r>
      <w:r w:rsidR="009418A8">
        <w:rPr>
          <w:rFonts w:asciiTheme="minorHAnsi" w:hAnsiTheme="minorHAnsi" w:cstheme="majorHAnsi"/>
        </w:rPr>
        <w:t>adverse events.</w:t>
      </w:r>
    </w:p>
    <w:p w14:paraId="44EE48FE" w14:textId="2A1D982B" w:rsidR="009418A8" w:rsidRDefault="009418A8" w:rsidP="009418A8">
      <w:pPr>
        <w:pStyle w:val="TableTitle"/>
      </w:pPr>
      <w:bookmarkStart w:id="129" w:name="_Ref109294138"/>
      <w:r>
        <w:t xml:space="preserve">Table </w:t>
      </w:r>
      <w:fldSimple w:instr=" SEQ Table \* ARABIC ">
        <w:r w:rsidR="00AA79CE">
          <w:rPr>
            <w:noProof/>
          </w:rPr>
          <w:t>21</w:t>
        </w:r>
      </w:fldSimple>
      <w:bookmarkEnd w:id="129"/>
      <w:r>
        <w:t>: I</w:t>
      </w:r>
      <w:r>
        <w:rPr>
          <w:lang w:eastAsia="ja-JP"/>
        </w:rPr>
        <w:t>nterval summary tabulation of serious and non-serious adverse reactions reported ≥ 2 times from post-marketing data sources</w:t>
      </w:r>
    </w:p>
    <w:p w14:paraId="5F819083" w14:textId="5AD3FCF0" w:rsidR="00A554AC" w:rsidRDefault="00A554AC" w:rsidP="00A554AC">
      <w:pPr>
        <w:spacing w:before="0" w:after="0"/>
        <w:rPr>
          <w:sz w:val="16"/>
        </w:rPr>
      </w:pPr>
      <w:r>
        <w:rPr>
          <w:noProof/>
          <w:sz w:val="16"/>
          <w:lang w:val="en-GB" w:eastAsia="en-GB"/>
        </w:rPr>
        <w:drawing>
          <wp:inline distT="0" distB="0" distL="0" distR="0" wp14:anchorId="78CD66CF" wp14:editId="4DD99C30">
            <wp:extent cx="5343277" cy="6153817"/>
            <wp:effectExtent l="0" t="0" r="0" b="0"/>
            <wp:docPr id="8" name="Picture 8" descr="Table 20: Interval summary tabulation of serious and non-serious adverse reactions reported ≥ 2 times from post-marketing data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20: Interval summary tabulation of serious and non-serious adverse reactions reported ≥ 2 times from post-marketing data sourc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66664" cy="6180751"/>
                    </a:xfrm>
                    <a:prstGeom prst="rect">
                      <a:avLst/>
                    </a:prstGeom>
                    <a:noFill/>
                    <a:ln>
                      <a:noFill/>
                    </a:ln>
                  </pic:spPr>
                </pic:pic>
              </a:graphicData>
            </a:graphic>
          </wp:inline>
        </w:drawing>
      </w:r>
    </w:p>
    <w:p w14:paraId="068FF20D" w14:textId="7DF0A877" w:rsidR="0080633E" w:rsidRPr="000C1206" w:rsidRDefault="0080633E" w:rsidP="00AA79CE">
      <w:pPr>
        <w:spacing w:before="0" w:after="200" w:line="0" w:lineRule="auto"/>
      </w:pPr>
      <w:r>
        <w:br w:type="page"/>
      </w:r>
    </w:p>
    <w:p w14:paraId="4328DCB6" w14:textId="5BDB1A60" w:rsidR="00A554AC" w:rsidRPr="00D447E8" w:rsidRDefault="000A5B6D" w:rsidP="00D447E8">
      <w:pPr>
        <w:pStyle w:val="Heading5"/>
      </w:pPr>
      <w:r w:rsidRPr="00D447E8">
        <w:rPr>
          <w:rStyle w:val="Heading4Char"/>
          <w:b/>
          <w:bCs/>
        </w:rPr>
        <w:t xml:space="preserve">Clinical </w:t>
      </w:r>
      <w:bookmarkStart w:id="130" w:name="_Toc54627314"/>
      <w:bookmarkStart w:id="131" w:name="_Toc77073443"/>
      <w:r w:rsidR="009418A8">
        <w:rPr>
          <w:rStyle w:val="Heading4Char"/>
          <w:b/>
          <w:bCs/>
        </w:rPr>
        <w:t xml:space="preserve">evaluation’s </w:t>
      </w:r>
      <w:r w:rsidR="00D447E8">
        <w:rPr>
          <w:rStyle w:val="Heading4Char"/>
          <w:b/>
          <w:bCs/>
        </w:rPr>
        <w:t>a</w:t>
      </w:r>
      <w:r w:rsidR="00A554AC" w:rsidRPr="00D447E8">
        <w:rPr>
          <w:rStyle w:val="Heading4Char"/>
          <w:b/>
          <w:bCs/>
        </w:rPr>
        <w:t>ssessment of benefits</w:t>
      </w:r>
      <w:r w:rsidR="00681130">
        <w:rPr>
          <w:rStyle w:val="Heading4Char"/>
          <w:b/>
          <w:bCs/>
        </w:rPr>
        <w:t xml:space="preserve"> and </w:t>
      </w:r>
      <w:r w:rsidR="00A554AC" w:rsidRPr="00D447E8">
        <w:rPr>
          <w:rStyle w:val="Heading4Char"/>
          <w:b/>
          <w:bCs/>
        </w:rPr>
        <w:t>risks</w:t>
      </w:r>
      <w:bookmarkEnd w:id="130"/>
      <w:bookmarkEnd w:id="131"/>
    </w:p>
    <w:p w14:paraId="7BAD56D7" w14:textId="1211295A" w:rsidR="009418A8" w:rsidRDefault="009418A8" w:rsidP="009418A8">
      <w:pPr>
        <w:pStyle w:val="TableTitle"/>
      </w:pPr>
      <w:r>
        <w:t xml:space="preserve">Table </w:t>
      </w:r>
      <w:fldSimple w:instr=" SEQ Table \* ARABIC ">
        <w:r w:rsidR="00AA79CE">
          <w:rPr>
            <w:noProof/>
          </w:rPr>
          <w:t>22</w:t>
        </w:r>
      </w:fldSimple>
      <w:r>
        <w:t xml:space="preserve">: Clinical evaluation’s assessment of the benefits of Zyamis </w:t>
      </w:r>
      <w:r w:rsidR="00093926">
        <w:t>(</w:t>
      </w:r>
      <w:r>
        <w:t>midazolam maleate</w:t>
      </w:r>
      <w:r w:rsidR="00093926">
        <w:t>)</w:t>
      </w:r>
      <w:r>
        <w:t xml:space="preserve"> oromucosal solution</w:t>
      </w:r>
    </w:p>
    <w:tbl>
      <w:tblPr>
        <w:tblStyle w:val="TableTGAblue"/>
        <w:tblW w:w="8617" w:type="dxa"/>
        <w:tblLook w:val="04A0" w:firstRow="1" w:lastRow="0" w:firstColumn="1" w:lastColumn="0" w:noHBand="0" w:noVBand="1"/>
      </w:tblPr>
      <w:tblGrid>
        <w:gridCol w:w="2870"/>
        <w:gridCol w:w="5747"/>
      </w:tblGrid>
      <w:tr w:rsidR="00A554AC" w:rsidRPr="009418A8" w14:paraId="336CAD78" w14:textId="77777777" w:rsidTr="009418A8">
        <w:trPr>
          <w:cnfStyle w:val="100000000000" w:firstRow="1" w:lastRow="0" w:firstColumn="0" w:lastColumn="0" w:oddVBand="0" w:evenVBand="0" w:oddHBand="0" w:evenHBand="0" w:firstRowFirstColumn="0" w:firstRowLastColumn="0" w:lastRowFirstColumn="0" w:lastRowLastColumn="0"/>
        </w:trPr>
        <w:tc>
          <w:tcPr>
            <w:tcW w:w="2870" w:type="dxa"/>
            <w:hideMark/>
          </w:tcPr>
          <w:p w14:paraId="2D727676" w14:textId="77777777" w:rsidR="00A554AC" w:rsidRPr="009418A8" w:rsidRDefault="00A554AC" w:rsidP="009418A8">
            <w:pPr>
              <w:ind w:left="0"/>
            </w:pPr>
            <w:r w:rsidRPr="009418A8">
              <w:t>Benefits</w:t>
            </w:r>
          </w:p>
        </w:tc>
        <w:tc>
          <w:tcPr>
            <w:tcW w:w="5747" w:type="dxa"/>
            <w:hideMark/>
          </w:tcPr>
          <w:p w14:paraId="1B374C09" w14:textId="77777777" w:rsidR="00A554AC" w:rsidRPr="009418A8" w:rsidRDefault="00A554AC" w:rsidP="009418A8">
            <w:pPr>
              <w:ind w:left="0"/>
            </w:pPr>
            <w:r w:rsidRPr="009418A8">
              <w:t>Strengths and Uncertainties</w:t>
            </w:r>
          </w:p>
        </w:tc>
      </w:tr>
      <w:tr w:rsidR="00A554AC" w:rsidRPr="009418A8" w14:paraId="786CB58F" w14:textId="77777777" w:rsidTr="009418A8">
        <w:tc>
          <w:tcPr>
            <w:tcW w:w="2870" w:type="dxa"/>
          </w:tcPr>
          <w:p w14:paraId="49547463" w14:textId="2FF17FF6" w:rsidR="00681130" w:rsidRPr="009418A8" w:rsidRDefault="00A554AC" w:rsidP="009418A8">
            <w:pPr>
              <w:ind w:left="0"/>
            </w:pPr>
            <w:r w:rsidRPr="009418A8">
              <w:t xml:space="preserve">Indication </w:t>
            </w:r>
            <w:r w:rsidR="00DD7657" w:rsidRPr="009418A8">
              <w:t>(</w:t>
            </w:r>
            <w:r w:rsidRPr="009418A8">
              <w:t>proposed</w:t>
            </w:r>
            <w:r w:rsidR="00DD7657" w:rsidRPr="009418A8">
              <w:t>)</w:t>
            </w:r>
            <w:r w:rsidRPr="009418A8">
              <w:t>:</w:t>
            </w:r>
          </w:p>
          <w:p w14:paraId="23E0FCA1" w14:textId="4801DA53" w:rsidR="00A554AC" w:rsidRPr="009418A8" w:rsidRDefault="00A554AC" w:rsidP="009418A8">
            <w:pPr>
              <w:ind w:left="0"/>
              <w:rPr>
                <w:i/>
              </w:rPr>
            </w:pPr>
            <w:r w:rsidRPr="009418A8">
              <w:rPr>
                <w:i/>
              </w:rPr>
              <w:t xml:space="preserve">Treatment of </w:t>
            </w:r>
            <w:r w:rsidR="00681130" w:rsidRPr="009418A8">
              <w:rPr>
                <w:i/>
              </w:rPr>
              <w:t>pro</w:t>
            </w:r>
            <w:r w:rsidRPr="009418A8">
              <w:rPr>
                <w:i/>
              </w:rPr>
              <w:t>longed</w:t>
            </w:r>
            <w:r w:rsidR="00681130" w:rsidRPr="009418A8">
              <w:rPr>
                <w:i/>
              </w:rPr>
              <w:t xml:space="preserve"> a</w:t>
            </w:r>
            <w:r w:rsidRPr="009418A8">
              <w:rPr>
                <w:i/>
              </w:rPr>
              <w:t xml:space="preserve">cute </w:t>
            </w:r>
            <w:r w:rsidR="00681130" w:rsidRPr="009418A8">
              <w:rPr>
                <w:i/>
              </w:rPr>
              <w:t>c</w:t>
            </w:r>
            <w:r w:rsidRPr="009418A8">
              <w:rPr>
                <w:i/>
              </w:rPr>
              <w:t xml:space="preserve">onvulsive </w:t>
            </w:r>
            <w:r w:rsidR="00681130" w:rsidRPr="009418A8">
              <w:rPr>
                <w:i/>
              </w:rPr>
              <w:t>s</w:t>
            </w:r>
            <w:r w:rsidRPr="009418A8">
              <w:rPr>
                <w:i/>
              </w:rPr>
              <w:t>eizures with</w:t>
            </w:r>
            <w:r w:rsidR="00681130" w:rsidRPr="009418A8">
              <w:rPr>
                <w:i/>
              </w:rPr>
              <w:t xml:space="preserve"> m</w:t>
            </w:r>
            <w:r w:rsidRPr="009418A8">
              <w:rPr>
                <w:i/>
              </w:rPr>
              <w:t>idazolam.</w:t>
            </w:r>
          </w:p>
        </w:tc>
        <w:tc>
          <w:tcPr>
            <w:tcW w:w="5747" w:type="dxa"/>
            <w:hideMark/>
          </w:tcPr>
          <w:p w14:paraId="0948843C" w14:textId="17734CFC" w:rsidR="00A554AC" w:rsidRPr="009418A8" w:rsidRDefault="00A554AC" w:rsidP="009418A8">
            <w:pPr>
              <w:ind w:left="0"/>
            </w:pPr>
            <w:r w:rsidRPr="009418A8">
              <w:t xml:space="preserve">The sponsor has not specifically reviewed the evidence to support this </w:t>
            </w:r>
            <w:r w:rsidR="00681130" w:rsidRPr="009418A8">
              <w:t>e</w:t>
            </w:r>
            <w:r w:rsidRPr="009418A8">
              <w:t xml:space="preserve">xtension of </w:t>
            </w:r>
            <w:r w:rsidR="00681130" w:rsidRPr="009418A8">
              <w:t>i</w:t>
            </w:r>
            <w:r w:rsidRPr="009418A8">
              <w:t>ndications. The literature search approval was for a limited search strategy confined to buccal use of midazolam for the treatment of PACS in infants, children and adolescents.</w:t>
            </w:r>
          </w:p>
          <w:p w14:paraId="4016632D" w14:textId="180D32E5" w:rsidR="00D75EC9" w:rsidRDefault="00A554AC" w:rsidP="009418A8">
            <w:r w:rsidRPr="009418A8">
              <w:t>The literature provides general support for the use of midazolam to control seizures, the most effective route being IV.</w:t>
            </w:r>
          </w:p>
          <w:p w14:paraId="77EA73E3" w14:textId="53BD48D0" w:rsidR="00A554AC" w:rsidRPr="009418A8" w:rsidRDefault="00A554AC" w:rsidP="009418A8">
            <w:pPr>
              <w:ind w:left="0"/>
            </w:pPr>
            <w:r w:rsidRPr="009418A8">
              <w:t xml:space="preserve">Midazolam has been registered for this </w:t>
            </w:r>
            <w:r w:rsidR="003345C8">
              <w:t>i</w:t>
            </w:r>
            <w:r w:rsidRPr="009418A8">
              <w:t>ndication in the EU</w:t>
            </w:r>
            <w:r w:rsidR="009418A8">
              <w:t>.</w:t>
            </w:r>
          </w:p>
        </w:tc>
      </w:tr>
      <w:tr w:rsidR="00A554AC" w:rsidRPr="009418A8" w14:paraId="1C9E96E1" w14:textId="77777777" w:rsidTr="009418A8">
        <w:tc>
          <w:tcPr>
            <w:tcW w:w="2870" w:type="dxa"/>
          </w:tcPr>
          <w:p w14:paraId="6E0EAF76" w14:textId="0A6C204B" w:rsidR="00A554AC" w:rsidRPr="009418A8" w:rsidRDefault="00A554AC" w:rsidP="009418A8">
            <w:pPr>
              <w:ind w:left="0"/>
            </w:pPr>
            <w:r w:rsidRPr="009418A8">
              <w:t xml:space="preserve">The use of </w:t>
            </w:r>
            <w:r w:rsidR="00681130" w:rsidRPr="009418A8">
              <w:t>b</w:t>
            </w:r>
            <w:r w:rsidRPr="009418A8">
              <w:t>uccal midazolam to control seizures</w:t>
            </w:r>
            <w:r w:rsidR="00681130" w:rsidRPr="009418A8">
              <w:t>.</w:t>
            </w:r>
          </w:p>
        </w:tc>
        <w:tc>
          <w:tcPr>
            <w:tcW w:w="5747" w:type="dxa"/>
            <w:hideMark/>
          </w:tcPr>
          <w:p w14:paraId="446E4212" w14:textId="7E7C4657" w:rsidR="00A554AC" w:rsidRPr="009418A8" w:rsidRDefault="00A554AC" w:rsidP="009418A8">
            <w:pPr>
              <w:ind w:left="0"/>
            </w:pPr>
            <w:r w:rsidRPr="009418A8">
              <w:t>The studies considered pivotal</w:t>
            </w:r>
            <w:r w:rsidR="00093926">
              <w:t>;</w:t>
            </w:r>
            <w:r w:rsidR="00093926" w:rsidRPr="00093926">
              <w:rPr>
                <w:vertAlign w:val="superscript"/>
              </w:rPr>
              <w:fldChar w:fldCharType="begin"/>
            </w:r>
            <w:r w:rsidR="00093926" w:rsidRPr="00093926">
              <w:rPr>
                <w:vertAlign w:val="superscript"/>
              </w:rPr>
              <w:instrText xml:space="preserve"> NOTEREF _Ref108786213 \h </w:instrText>
            </w:r>
            <w:r w:rsidR="00093926">
              <w:rPr>
                <w:vertAlign w:val="superscript"/>
              </w:rPr>
              <w:instrText xml:space="preserve"> \* MERGEFORMAT </w:instrText>
            </w:r>
            <w:r w:rsidR="00093926" w:rsidRPr="00093926">
              <w:rPr>
                <w:vertAlign w:val="superscript"/>
              </w:rPr>
            </w:r>
            <w:r w:rsidR="00093926" w:rsidRPr="00093926">
              <w:rPr>
                <w:vertAlign w:val="superscript"/>
              </w:rPr>
              <w:fldChar w:fldCharType="separate"/>
            </w:r>
            <w:r w:rsidR="00AA79CE">
              <w:rPr>
                <w:vertAlign w:val="superscript"/>
              </w:rPr>
              <w:t>34</w:t>
            </w:r>
            <w:r w:rsidR="00093926" w:rsidRPr="00093926">
              <w:rPr>
                <w:vertAlign w:val="superscript"/>
              </w:rPr>
              <w:fldChar w:fldCharType="end"/>
            </w:r>
            <w:r w:rsidR="00093926" w:rsidRPr="00093926">
              <w:rPr>
                <w:vertAlign w:val="superscript"/>
              </w:rPr>
              <w:t>,</w:t>
            </w:r>
            <w:r w:rsidR="00093926" w:rsidRPr="00093926">
              <w:rPr>
                <w:vertAlign w:val="superscript"/>
              </w:rPr>
              <w:fldChar w:fldCharType="begin"/>
            </w:r>
            <w:r w:rsidR="00093926" w:rsidRPr="00093926">
              <w:rPr>
                <w:vertAlign w:val="superscript"/>
              </w:rPr>
              <w:instrText xml:space="preserve"> NOTEREF _Ref108786258 \h </w:instrText>
            </w:r>
            <w:r w:rsidR="00093926">
              <w:rPr>
                <w:vertAlign w:val="superscript"/>
              </w:rPr>
              <w:instrText xml:space="preserve"> \* MERGEFORMAT </w:instrText>
            </w:r>
            <w:r w:rsidR="00093926" w:rsidRPr="00093926">
              <w:rPr>
                <w:vertAlign w:val="superscript"/>
              </w:rPr>
            </w:r>
            <w:r w:rsidR="00093926" w:rsidRPr="00093926">
              <w:rPr>
                <w:vertAlign w:val="superscript"/>
              </w:rPr>
              <w:fldChar w:fldCharType="separate"/>
            </w:r>
            <w:r w:rsidR="00AA79CE">
              <w:rPr>
                <w:vertAlign w:val="superscript"/>
              </w:rPr>
              <w:t>35</w:t>
            </w:r>
            <w:r w:rsidR="00093926" w:rsidRPr="00093926">
              <w:rPr>
                <w:vertAlign w:val="superscript"/>
              </w:rPr>
              <w:fldChar w:fldCharType="end"/>
            </w:r>
            <w:r w:rsidRPr="009418A8">
              <w:t xml:space="preserve"> by this evaluator are a comparison of IV diazepam (which is a registered use and route of administration) with buccal midazolam. The total numbers were small</w:t>
            </w:r>
            <w:r w:rsidR="009418A8">
              <w:t xml:space="preserve"> (60 patients given IV diazepam and 32 patients given buccal midazolam) </w:t>
            </w:r>
            <w:r w:rsidRPr="009418A8">
              <w:t>and the investigators failed to show any difference in efficacy.</w:t>
            </w:r>
          </w:p>
          <w:p w14:paraId="54E97E49" w14:textId="1F190BBB" w:rsidR="00A554AC" w:rsidRPr="009418A8" w:rsidRDefault="00A554AC" w:rsidP="009418A8">
            <w:pPr>
              <w:ind w:left="0"/>
            </w:pPr>
            <w:r w:rsidRPr="009418A8">
              <w:t xml:space="preserve">Midazolam </w:t>
            </w:r>
            <w:r w:rsidR="0080633E">
              <w:t xml:space="preserve">(under the tradename Buccolam) </w:t>
            </w:r>
            <w:r w:rsidRPr="009418A8">
              <w:t xml:space="preserve">has been registered for a similar </w:t>
            </w:r>
            <w:r w:rsidR="0080633E">
              <w:t>i</w:t>
            </w:r>
            <w:r w:rsidRPr="009418A8">
              <w:t>ndication in the EU</w:t>
            </w:r>
            <w:r w:rsidR="0080633E">
              <w:t>.</w:t>
            </w:r>
          </w:p>
        </w:tc>
      </w:tr>
      <w:tr w:rsidR="00A554AC" w:rsidRPr="009418A8" w14:paraId="30D12F0A" w14:textId="77777777" w:rsidTr="009418A8">
        <w:tc>
          <w:tcPr>
            <w:tcW w:w="2870" w:type="dxa"/>
            <w:hideMark/>
          </w:tcPr>
          <w:p w14:paraId="0B0EFFD9" w14:textId="711F8F5F" w:rsidR="00A554AC" w:rsidRPr="009418A8" w:rsidRDefault="00A554AC" w:rsidP="009418A8">
            <w:pPr>
              <w:ind w:left="0"/>
            </w:pPr>
            <w:r w:rsidRPr="009418A8">
              <w:t>To control seizures without the need for IV access</w:t>
            </w:r>
            <w:r w:rsidR="00681130" w:rsidRPr="009418A8">
              <w:t>.</w:t>
            </w:r>
          </w:p>
        </w:tc>
        <w:tc>
          <w:tcPr>
            <w:tcW w:w="5747" w:type="dxa"/>
            <w:hideMark/>
          </w:tcPr>
          <w:p w14:paraId="5979CD98" w14:textId="1BB380E1" w:rsidR="00A554AC" w:rsidRPr="009418A8" w:rsidRDefault="00A554AC" w:rsidP="009418A8">
            <w:pPr>
              <w:ind w:left="0"/>
            </w:pPr>
            <w:r w:rsidRPr="009418A8">
              <w:t>Talukdar and Chakrabarty</w:t>
            </w:r>
            <w:r w:rsidR="00767456">
              <w:t xml:space="preserve"> (2009)</w:t>
            </w:r>
            <w:r w:rsidR="00093926">
              <w:t>;</w:t>
            </w:r>
            <w:r w:rsidR="00093926" w:rsidRPr="00093926">
              <w:rPr>
                <w:vertAlign w:val="superscript"/>
              </w:rPr>
              <w:fldChar w:fldCharType="begin"/>
            </w:r>
            <w:r w:rsidR="00093926" w:rsidRPr="00093926">
              <w:rPr>
                <w:vertAlign w:val="superscript"/>
              </w:rPr>
              <w:instrText xml:space="preserve"> NOTEREF _Ref108786213 \h </w:instrText>
            </w:r>
            <w:r w:rsidR="00093926">
              <w:rPr>
                <w:vertAlign w:val="superscript"/>
              </w:rPr>
              <w:instrText xml:space="preserve"> \* MERGEFORMAT </w:instrText>
            </w:r>
            <w:r w:rsidR="00093926" w:rsidRPr="00093926">
              <w:rPr>
                <w:vertAlign w:val="superscript"/>
              </w:rPr>
            </w:r>
            <w:r w:rsidR="00093926" w:rsidRPr="00093926">
              <w:rPr>
                <w:vertAlign w:val="superscript"/>
              </w:rPr>
              <w:fldChar w:fldCharType="separate"/>
            </w:r>
            <w:r w:rsidR="00AA79CE">
              <w:rPr>
                <w:vertAlign w:val="superscript"/>
              </w:rPr>
              <w:t>34</w:t>
            </w:r>
            <w:r w:rsidR="00093926" w:rsidRPr="00093926">
              <w:rPr>
                <w:vertAlign w:val="superscript"/>
              </w:rPr>
              <w:fldChar w:fldCharType="end"/>
            </w:r>
            <w:r w:rsidRPr="009418A8">
              <w:t xml:space="preserve"> showed buccal midazolam was statistically superior to IV diazepam in the time taken to initiate treatment and the time taken from the decision to initiate treatment to control of seizures. </w:t>
            </w:r>
          </w:p>
        </w:tc>
      </w:tr>
    </w:tbl>
    <w:p w14:paraId="60F54400" w14:textId="78F528CF" w:rsidR="00093926" w:rsidRDefault="00093926" w:rsidP="00093926">
      <w:pPr>
        <w:pStyle w:val="TableTitle"/>
      </w:pPr>
      <w:r>
        <w:t xml:space="preserve">Table </w:t>
      </w:r>
      <w:fldSimple w:instr=" SEQ Table \* ARABIC ">
        <w:r w:rsidR="00AA79CE">
          <w:rPr>
            <w:noProof/>
          </w:rPr>
          <w:t>23</w:t>
        </w:r>
      </w:fldSimple>
      <w:r>
        <w:t xml:space="preserve">: Clinical evaluation’s assessment of the risks of Zyamis </w:t>
      </w:r>
      <w:r w:rsidR="003345C8">
        <w:t>(</w:t>
      </w:r>
      <w:r>
        <w:t>midazolam maleate</w:t>
      </w:r>
      <w:r w:rsidR="003345C8">
        <w:t>)</w:t>
      </w:r>
      <w:r>
        <w:t xml:space="preserve"> oromucosal solution</w:t>
      </w:r>
    </w:p>
    <w:tbl>
      <w:tblPr>
        <w:tblStyle w:val="TableTGAblue"/>
        <w:tblW w:w="8630" w:type="dxa"/>
        <w:tblLook w:val="04A0" w:firstRow="1" w:lastRow="0" w:firstColumn="1" w:lastColumn="0" w:noHBand="0" w:noVBand="1"/>
      </w:tblPr>
      <w:tblGrid>
        <w:gridCol w:w="4187"/>
        <w:gridCol w:w="4443"/>
      </w:tblGrid>
      <w:tr w:rsidR="00A554AC" w:rsidRPr="00093926" w14:paraId="531F46C5" w14:textId="77777777" w:rsidTr="00093926">
        <w:trPr>
          <w:cnfStyle w:val="100000000000" w:firstRow="1" w:lastRow="0" w:firstColumn="0" w:lastColumn="0" w:oddVBand="0" w:evenVBand="0" w:oddHBand="0" w:evenHBand="0" w:firstRowFirstColumn="0" w:firstRowLastColumn="0" w:lastRowFirstColumn="0" w:lastRowLastColumn="0"/>
        </w:trPr>
        <w:tc>
          <w:tcPr>
            <w:tcW w:w="4187" w:type="dxa"/>
            <w:hideMark/>
          </w:tcPr>
          <w:p w14:paraId="70732EAA" w14:textId="77777777" w:rsidR="00A554AC" w:rsidRPr="00093926" w:rsidRDefault="00A554AC" w:rsidP="00093926">
            <w:pPr>
              <w:ind w:left="0"/>
            </w:pPr>
            <w:r w:rsidRPr="00093926">
              <w:t>Risks</w:t>
            </w:r>
          </w:p>
        </w:tc>
        <w:tc>
          <w:tcPr>
            <w:tcW w:w="4443" w:type="dxa"/>
            <w:hideMark/>
          </w:tcPr>
          <w:p w14:paraId="0DD22D44" w14:textId="77777777" w:rsidR="00A554AC" w:rsidRPr="00093926" w:rsidRDefault="00A554AC" w:rsidP="00093926">
            <w:pPr>
              <w:ind w:left="0"/>
            </w:pPr>
            <w:r w:rsidRPr="00093926">
              <w:t>Strengths and Uncertainties</w:t>
            </w:r>
          </w:p>
        </w:tc>
      </w:tr>
      <w:tr w:rsidR="00A554AC" w:rsidRPr="00093926" w14:paraId="6BA1525A" w14:textId="77777777" w:rsidTr="00093926">
        <w:tc>
          <w:tcPr>
            <w:tcW w:w="4187" w:type="dxa"/>
            <w:hideMark/>
          </w:tcPr>
          <w:p w14:paraId="71EACED4" w14:textId="1C854600" w:rsidR="00A554AC" w:rsidRPr="00093926" w:rsidRDefault="00F91755" w:rsidP="00093926">
            <w:pPr>
              <w:ind w:left="0"/>
            </w:pPr>
            <w:r w:rsidRPr="00093926">
              <w:t>Zyamis</w:t>
            </w:r>
            <w:r w:rsidR="00A554AC" w:rsidRPr="00093926">
              <w:t xml:space="preserve"> has not been registered anywhere for this age group</w:t>
            </w:r>
          </w:p>
        </w:tc>
        <w:tc>
          <w:tcPr>
            <w:tcW w:w="4443" w:type="dxa"/>
            <w:hideMark/>
          </w:tcPr>
          <w:p w14:paraId="4ADB445E" w14:textId="66F06712" w:rsidR="00D75EC9" w:rsidRDefault="00A554AC" w:rsidP="00093926">
            <w:r w:rsidRPr="00093926">
              <w:t>The product has been supplied since 2002 but not actually marketed in a process akin to an Australian compounding pharmacist.</w:t>
            </w:r>
          </w:p>
          <w:p w14:paraId="18A77788" w14:textId="7EBC92E5" w:rsidR="00A554AC" w:rsidRPr="00093926" w:rsidRDefault="00A554AC" w:rsidP="00093926">
            <w:pPr>
              <w:ind w:left="0"/>
            </w:pPr>
            <w:r w:rsidRPr="00093926">
              <w:t>Registered in the UK (April 2017) and EU mutual recognition (2</w:t>
            </w:r>
            <w:r w:rsidR="00093926">
              <w:t xml:space="preserve">019/2020), and only for 10 to less than </w:t>
            </w:r>
            <w:r w:rsidRPr="00093926">
              <w:t>18</w:t>
            </w:r>
            <w:r w:rsidR="00681130" w:rsidRPr="00093926">
              <w:t xml:space="preserve"> </w:t>
            </w:r>
            <w:r w:rsidRPr="00093926">
              <w:t>y</w:t>
            </w:r>
            <w:r w:rsidR="00681130" w:rsidRPr="00093926">
              <w:t>ear olds</w:t>
            </w:r>
          </w:p>
        </w:tc>
      </w:tr>
      <w:tr w:rsidR="00A554AC" w:rsidRPr="00093926" w14:paraId="7E73D158" w14:textId="77777777" w:rsidTr="00093926">
        <w:tc>
          <w:tcPr>
            <w:tcW w:w="4187" w:type="dxa"/>
            <w:hideMark/>
          </w:tcPr>
          <w:p w14:paraId="26E13E82" w14:textId="37171D7F" w:rsidR="00A554AC" w:rsidRPr="00093926" w:rsidRDefault="00A554AC" w:rsidP="00093926">
            <w:pPr>
              <w:ind w:left="0"/>
            </w:pPr>
            <w:r w:rsidRPr="00093926">
              <w:t>The use of buccal midazolam in the EU has o</w:t>
            </w:r>
            <w:r w:rsidR="00093926">
              <w:t>nly been registered for 9 years.</w:t>
            </w:r>
          </w:p>
        </w:tc>
        <w:tc>
          <w:tcPr>
            <w:tcW w:w="4443" w:type="dxa"/>
            <w:hideMark/>
          </w:tcPr>
          <w:p w14:paraId="2A27C5CA" w14:textId="3CA17A33" w:rsidR="00A554AC" w:rsidRPr="00093926" w:rsidRDefault="00A554AC" w:rsidP="00093926">
            <w:pPr>
              <w:ind w:left="0"/>
            </w:pPr>
            <w:r w:rsidRPr="00093926">
              <w:t xml:space="preserve">Post marketing reports for Buccolam </w:t>
            </w:r>
            <w:r w:rsidR="00093926">
              <w:t xml:space="preserve">oromucosal midazolam hydrochloride </w:t>
            </w:r>
            <w:r w:rsidRPr="00093926">
              <w:t>are not available.</w:t>
            </w:r>
          </w:p>
          <w:p w14:paraId="52DB9193" w14:textId="409C68FF" w:rsidR="00A554AC" w:rsidRPr="00093926" w:rsidRDefault="00093926" w:rsidP="00093926">
            <w:pPr>
              <w:ind w:left="0"/>
            </w:pPr>
            <w:r>
              <w:t>Some other post-</w:t>
            </w:r>
            <w:r w:rsidR="00A554AC" w:rsidRPr="00093926">
              <w:t>marketing data available</w:t>
            </w:r>
          </w:p>
          <w:p w14:paraId="4C6CA146" w14:textId="6F5D9BC5" w:rsidR="00A554AC" w:rsidRPr="00093926" w:rsidRDefault="00A554AC" w:rsidP="00093926">
            <w:pPr>
              <w:ind w:left="0"/>
            </w:pPr>
            <w:r w:rsidRPr="00093926">
              <w:t xml:space="preserve">A PSUR for </w:t>
            </w:r>
            <w:r w:rsidR="00F91755" w:rsidRPr="00093926">
              <w:t>Zyamis</w:t>
            </w:r>
            <w:r w:rsidR="00093926">
              <w:t xml:space="preserve"> in the 10 to less than</w:t>
            </w:r>
            <w:r w:rsidRPr="00093926">
              <w:t xml:space="preserve"> 18</w:t>
            </w:r>
            <w:r w:rsidR="00FC38AC">
              <w:t> </w:t>
            </w:r>
            <w:r w:rsidRPr="00093926">
              <w:t>y</w:t>
            </w:r>
            <w:r w:rsidR="00681130" w:rsidRPr="00093926">
              <w:t>ear</w:t>
            </w:r>
            <w:r w:rsidR="00093926">
              <w:t>s</w:t>
            </w:r>
            <w:r w:rsidR="00681130" w:rsidRPr="00093926">
              <w:t xml:space="preserve"> old</w:t>
            </w:r>
            <w:r w:rsidRPr="00093926">
              <w:t xml:space="preserve"> was submitted</w:t>
            </w:r>
          </w:p>
        </w:tc>
      </w:tr>
      <w:tr w:rsidR="00A554AC" w:rsidRPr="00093926" w14:paraId="7C87F0E8" w14:textId="77777777" w:rsidTr="00093926">
        <w:tc>
          <w:tcPr>
            <w:tcW w:w="4187" w:type="dxa"/>
            <w:hideMark/>
          </w:tcPr>
          <w:p w14:paraId="3C3311C8" w14:textId="77777777" w:rsidR="00A554AC" w:rsidRPr="00093926" w:rsidRDefault="00A554AC" w:rsidP="00093926">
            <w:pPr>
              <w:ind w:left="0"/>
            </w:pPr>
            <w:r w:rsidRPr="00093926">
              <w:t>Buccal midazolam was the subject of 132 reported medication incidents in the years prior to Buccolam registration.</w:t>
            </w:r>
          </w:p>
        </w:tc>
        <w:tc>
          <w:tcPr>
            <w:tcW w:w="4443" w:type="dxa"/>
            <w:hideMark/>
          </w:tcPr>
          <w:p w14:paraId="0E3E0664" w14:textId="44D79918" w:rsidR="00A554AC" w:rsidRPr="00093926" w:rsidRDefault="00093926" w:rsidP="00093926">
            <w:pPr>
              <w:ind w:left="0"/>
            </w:pPr>
            <w:r>
              <w:t>Three</w:t>
            </w:r>
            <w:r w:rsidR="00A554AC" w:rsidRPr="00093926">
              <w:t xml:space="preserve"> were as</w:t>
            </w:r>
            <w:r>
              <w:t>sociated with severe harm and five </w:t>
            </w:r>
            <w:r w:rsidR="00A554AC" w:rsidRPr="00093926">
              <w:t>with moderate harm.</w:t>
            </w:r>
          </w:p>
        </w:tc>
      </w:tr>
      <w:tr w:rsidR="00A554AC" w:rsidRPr="00093926" w14:paraId="6EBB36DC" w14:textId="77777777" w:rsidTr="00093926">
        <w:tc>
          <w:tcPr>
            <w:tcW w:w="4187" w:type="dxa"/>
            <w:hideMark/>
          </w:tcPr>
          <w:p w14:paraId="0631F889" w14:textId="77777777" w:rsidR="00A554AC" w:rsidRPr="00093926" w:rsidRDefault="00A554AC" w:rsidP="00093926">
            <w:pPr>
              <w:ind w:left="0"/>
            </w:pPr>
            <w:r w:rsidRPr="00093926">
              <w:t xml:space="preserve">There is comparatively little paediatric and adolescent exposure to buccal midazolam in patients with status in the literature submitted. </w:t>
            </w:r>
          </w:p>
        </w:tc>
        <w:tc>
          <w:tcPr>
            <w:tcW w:w="4443" w:type="dxa"/>
            <w:hideMark/>
          </w:tcPr>
          <w:p w14:paraId="461843CF" w14:textId="29E0A6C4" w:rsidR="00A554AC" w:rsidRPr="00093926" w:rsidRDefault="00A554AC" w:rsidP="00093926">
            <w:pPr>
              <w:ind w:left="0"/>
            </w:pPr>
            <w:r w:rsidRPr="00093926">
              <w:t xml:space="preserve">The limited literature showed relatively few </w:t>
            </w:r>
            <w:r w:rsidR="00093926">
              <w:t>adverse events</w:t>
            </w:r>
            <w:r w:rsidRPr="00093926">
              <w:t>.</w:t>
            </w:r>
          </w:p>
          <w:p w14:paraId="2BEE4434" w14:textId="77777777" w:rsidR="00A554AC" w:rsidRPr="00093926" w:rsidRDefault="00A554AC" w:rsidP="00093926">
            <w:pPr>
              <w:ind w:left="0"/>
            </w:pPr>
            <w:r w:rsidRPr="00093926">
              <w:t>The incidence reported was generally similar to those for rectal diazepam.</w:t>
            </w:r>
          </w:p>
        </w:tc>
      </w:tr>
      <w:tr w:rsidR="00A554AC" w:rsidRPr="00093926" w14:paraId="70913357" w14:textId="77777777" w:rsidTr="00093926">
        <w:tc>
          <w:tcPr>
            <w:tcW w:w="4187" w:type="dxa"/>
            <w:hideMark/>
          </w:tcPr>
          <w:p w14:paraId="1F348A10" w14:textId="77777777" w:rsidR="00A554AC" w:rsidRPr="00093926" w:rsidRDefault="00A554AC" w:rsidP="00093926">
            <w:pPr>
              <w:ind w:left="0"/>
            </w:pPr>
            <w:r w:rsidRPr="00093926">
              <w:t>The exposure of paediatric and adolescent patients to community treatment is small.</w:t>
            </w:r>
          </w:p>
        </w:tc>
        <w:tc>
          <w:tcPr>
            <w:tcW w:w="4443" w:type="dxa"/>
            <w:hideMark/>
          </w:tcPr>
          <w:p w14:paraId="3DA15045" w14:textId="7D690C15" w:rsidR="00A554AC" w:rsidRPr="00093926" w:rsidRDefault="00A554AC" w:rsidP="00093926">
            <w:pPr>
              <w:ind w:left="0"/>
            </w:pPr>
            <w:r w:rsidRPr="00093926">
              <w:t>279 patients of all ages in the literature submitted.</w:t>
            </w:r>
          </w:p>
        </w:tc>
      </w:tr>
      <w:tr w:rsidR="00A554AC" w:rsidRPr="00093926" w14:paraId="0DFEEB4E" w14:textId="77777777" w:rsidTr="00093926">
        <w:tc>
          <w:tcPr>
            <w:tcW w:w="4187" w:type="dxa"/>
            <w:hideMark/>
          </w:tcPr>
          <w:p w14:paraId="0D6B8D5D" w14:textId="77777777" w:rsidR="00A554AC" w:rsidRPr="00093926" w:rsidRDefault="00A554AC" w:rsidP="00093926">
            <w:pPr>
              <w:ind w:left="0"/>
            </w:pPr>
            <w:r w:rsidRPr="00093926">
              <w:t xml:space="preserve">Respiratory depression. </w:t>
            </w:r>
          </w:p>
        </w:tc>
        <w:tc>
          <w:tcPr>
            <w:tcW w:w="4443" w:type="dxa"/>
            <w:hideMark/>
          </w:tcPr>
          <w:p w14:paraId="721AECE4" w14:textId="54582B19" w:rsidR="00A554AC" w:rsidRPr="00093926" w:rsidRDefault="00A554AC" w:rsidP="00093926">
            <w:pPr>
              <w:ind w:left="0"/>
            </w:pPr>
            <w:r w:rsidRPr="00093926">
              <w:t>Was commonly reported &gt;</w:t>
            </w:r>
            <w:r w:rsidR="00093926">
              <w:t xml:space="preserve"> </w:t>
            </w:r>
            <w:r w:rsidRPr="00093926">
              <w:t xml:space="preserve">1% in the larger studies. </w:t>
            </w:r>
          </w:p>
        </w:tc>
      </w:tr>
      <w:tr w:rsidR="00A554AC" w:rsidRPr="00093926" w14:paraId="7434E0D4" w14:textId="77777777" w:rsidTr="00093926">
        <w:tc>
          <w:tcPr>
            <w:tcW w:w="4187" w:type="dxa"/>
            <w:hideMark/>
          </w:tcPr>
          <w:p w14:paraId="0795C836" w14:textId="77777777" w:rsidR="00A554AC" w:rsidRPr="00093926" w:rsidRDefault="00A554AC" w:rsidP="00093926">
            <w:pPr>
              <w:ind w:left="0"/>
            </w:pPr>
            <w:r w:rsidRPr="00093926">
              <w:t>Aspiration.</w:t>
            </w:r>
          </w:p>
        </w:tc>
        <w:tc>
          <w:tcPr>
            <w:tcW w:w="4443" w:type="dxa"/>
            <w:hideMark/>
          </w:tcPr>
          <w:p w14:paraId="2FCDD089" w14:textId="6AFE003D" w:rsidR="00D75EC9" w:rsidRDefault="00A554AC" w:rsidP="00093926">
            <w:r w:rsidRPr="00093926">
              <w:t>W</w:t>
            </w:r>
            <w:r w:rsidR="00FC38AC">
              <w:t>ell recognised complication of s</w:t>
            </w:r>
            <w:r w:rsidRPr="00093926">
              <w:t>tatus</w:t>
            </w:r>
            <w:r w:rsidR="00FC38AC">
              <w:t xml:space="preserve"> epilepticus</w:t>
            </w:r>
            <w:r w:rsidRPr="00093926">
              <w:t>.</w:t>
            </w:r>
          </w:p>
          <w:p w14:paraId="483BDA50" w14:textId="7A2DE97A" w:rsidR="00A554AC" w:rsidRPr="00093926" w:rsidRDefault="00A554AC" w:rsidP="00093926">
            <w:pPr>
              <w:ind w:left="0"/>
            </w:pPr>
            <w:r w:rsidRPr="00093926">
              <w:t>Only one study mentioned specifically that it did not occur</w:t>
            </w:r>
            <w:r w:rsidR="00093926">
              <w:t xml:space="preserve"> and 2 of their 8 patients had h</w:t>
            </w:r>
            <w:r w:rsidRPr="00093926">
              <w:t>ypersalivation necessitating suction.</w:t>
            </w:r>
          </w:p>
          <w:p w14:paraId="3B331843" w14:textId="77777777" w:rsidR="00A554AC" w:rsidRPr="00093926" w:rsidRDefault="00A554AC" w:rsidP="00093926">
            <w:pPr>
              <w:ind w:left="0"/>
            </w:pPr>
            <w:r w:rsidRPr="00093926">
              <w:t>Another study had a patient coughing shortly after administration.</w:t>
            </w:r>
          </w:p>
          <w:p w14:paraId="32369D14" w14:textId="77777777" w:rsidR="00A554AC" w:rsidRPr="00093926" w:rsidRDefault="00A554AC" w:rsidP="00093926">
            <w:pPr>
              <w:ind w:left="0"/>
            </w:pPr>
            <w:r w:rsidRPr="00093926">
              <w:t xml:space="preserve">The reporting of respiratory depression was often as a fall in pulse oximetry saturation alone, which would not distinguish central depression from aspiration. </w:t>
            </w:r>
          </w:p>
        </w:tc>
      </w:tr>
    </w:tbl>
    <w:p w14:paraId="1CF1E05C" w14:textId="25898AE2" w:rsidR="00A554AC" w:rsidRDefault="00093926" w:rsidP="00681130">
      <w:pPr>
        <w:pStyle w:val="Heading5"/>
      </w:pPr>
      <w:r>
        <w:t>Clinical evaluation</w:t>
      </w:r>
      <w:r w:rsidR="00681130">
        <w:t xml:space="preserve"> </w:t>
      </w:r>
      <w:bookmarkStart w:id="132" w:name="_Toc46661427"/>
      <w:bookmarkStart w:id="133" w:name="_Toc54627318"/>
      <w:bookmarkStart w:id="134" w:name="_Toc77073446"/>
      <w:r w:rsidR="00681130">
        <w:t>r</w:t>
      </w:r>
      <w:r w:rsidR="00A554AC">
        <w:t>ecommendation regarding authorisation</w:t>
      </w:r>
      <w:bookmarkEnd w:id="132"/>
      <w:bookmarkEnd w:id="133"/>
      <w:bookmarkEnd w:id="134"/>
    </w:p>
    <w:p w14:paraId="1900F4DC" w14:textId="77777777" w:rsidR="00093926" w:rsidRDefault="00093926" w:rsidP="00681130">
      <w:r>
        <w:t>Authorisation for the proposed i</w:t>
      </w:r>
      <w:r w:rsidR="00A554AC" w:rsidRPr="00681130">
        <w:t>ndication cannot be recommended.</w:t>
      </w:r>
      <w:r w:rsidR="00681130">
        <w:t xml:space="preserve"> </w:t>
      </w:r>
      <w:r>
        <w:t>The proposed i</w:t>
      </w:r>
      <w:r w:rsidR="00A554AC" w:rsidRPr="00681130">
        <w:t>ndication and the PI require modificati</w:t>
      </w:r>
      <w:r>
        <w:t>on as in the following section.</w:t>
      </w:r>
    </w:p>
    <w:p w14:paraId="4DE8AF67" w14:textId="4958A37E" w:rsidR="00912CE4" w:rsidRPr="00681130" w:rsidRDefault="00912CE4" w:rsidP="00681130">
      <w:r w:rsidRPr="00681130">
        <w:t xml:space="preserve">Authorisation is </w:t>
      </w:r>
      <w:r w:rsidR="00093926">
        <w:t xml:space="preserve">however, </w:t>
      </w:r>
      <w:r w:rsidR="00FC38AC">
        <w:t>recommended for the proposed i</w:t>
      </w:r>
      <w:r w:rsidRPr="00681130">
        <w:t>ndication:</w:t>
      </w:r>
    </w:p>
    <w:p w14:paraId="4643A353" w14:textId="6596A579" w:rsidR="00456765" w:rsidRPr="00093926" w:rsidRDefault="00681130" w:rsidP="00093926">
      <w:pPr>
        <w:ind w:left="720"/>
        <w:rPr>
          <w:i/>
        </w:rPr>
      </w:pPr>
      <w:r w:rsidRPr="00093926">
        <w:rPr>
          <w:i/>
        </w:rPr>
        <w:t>T</w:t>
      </w:r>
      <w:r w:rsidR="00912CE4" w:rsidRPr="00093926">
        <w:rPr>
          <w:i/>
        </w:rPr>
        <w:t>he treatment of Prolonged Acute Convulsive Seizures (PACS) in infants, children and adolescents aged from 6 m</w:t>
      </w:r>
      <w:r w:rsidR="00093926">
        <w:rPr>
          <w:i/>
        </w:rPr>
        <w:t xml:space="preserve">onths to less than 18 years old </w:t>
      </w:r>
      <w:r w:rsidR="00912CE4" w:rsidRPr="00093926">
        <w:rPr>
          <w:i/>
        </w:rPr>
        <w:t>when used by parents/caregivers, must only be used where the patient has been diagnosed by a medical practitioner to have epilepsy</w:t>
      </w:r>
    </w:p>
    <w:p w14:paraId="2BDD735B" w14:textId="4FC46AD1" w:rsidR="008E7846" w:rsidRDefault="00386150" w:rsidP="007B6132">
      <w:pPr>
        <w:pStyle w:val="Heading3"/>
        <w:rPr>
          <w:lang w:eastAsia="en-AU"/>
        </w:rPr>
      </w:pPr>
      <w:bookmarkStart w:id="135" w:name="_Toc132882399"/>
      <w:r>
        <w:rPr>
          <w:lang w:eastAsia="en-AU"/>
        </w:rPr>
        <w:t>Risk m</w:t>
      </w:r>
      <w:r w:rsidR="008E7846">
        <w:rPr>
          <w:lang w:eastAsia="en-AU"/>
        </w:rPr>
        <w:t xml:space="preserve">anagement </w:t>
      </w:r>
      <w:r>
        <w:rPr>
          <w:lang w:eastAsia="en-AU"/>
        </w:rPr>
        <w:t>p</w:t>
      </w:r>
      <w:r w:rsidR="008E7846">
        <w:rPr>
          <w:lang w:eastAsia="en-AU"/>
        </w:rPr>
        <w:t>lan</w:t>
      </w:r>
      <w:bookmarkEnd w:id="59"/>
      <w:bookmarkEnd w:id="135"/>
    </w:p>
    <w:p w14:paraId="5F4BD80F" w14:textId="25CD1703" w:rsidR="00505081" w:rsidRDefault="00505081" w:rsidP="00505081">
      <w:pPr>
        <w:rPr>
          <w:lang w:eastAsia="en-AU"/>
        </w:rPr>
      </w:pPr>
      <w:r>
        <w:rPr>
          <w:lang w:eastAsia="en-AU"/>
        </w:rPr>
        <w:t>The sponsor has applied to extend the indications of midazolam. Currently, midazolam (as hydrochloride) solution for injection is approved for use in Australia as an agent for sedation (either administered intravenously (IV) or intramuscularly (IM)) or for the induction of anaesthesia (administered IV). The current submission for midazolam (as maleate) oromucosal solution (Zyamis) seeks to include a new route of administration (buccal) and to extend the indications to include the treatment of prolonged acute convulsive seizures (PACS) in infants, children and adolescents aged from 6 months to less than 18 years old.</w:t>
      </w:r>
    </w:p>
    <w:p w14:paraId="7BAC8ED0" w14:textId="138149FB" w:rsidR="00505081" w:rsidRDefault="00505081" w:rsidP="00505081">
      <w:pPr>
        <w:rPr>
          <w:lang w:eastAsia="en-AU"/>
        </w:rPr>
      </w:pPr>
      <w:r>
        <w:rPr>
          <w:lang w:eastAsia="en-AU"/>
        </w:rPr>
        <w:t xml:space="preserve">With this submission the sponsor has submitted EU-risk management plan (RMP) version 1.2 (dated 25 June 2019; data lock point (DLP) 31 December 2018) and Australia-specific Annex (ASA) version 1.0 (dated 2020) in support of this application. At the second round of evaluation the sponsor has submitted ASA version 1.1 (dated 6 May 2021) in support of this application. At the third round </w:t>
      </w:r>
      <w:r w:rsidR="00D75EC9">
        <w:rPr>
          <w:lang w:eastAsia="en-AU"/>
        </w:rPr>
        <w:t>of evaluation</w:t>
      </w:r>
      <w:r>
        <w:rPr>
          <w:lang w:eastAsia="en-AU"/>
        </w:rPr>
        <w:t xml:space="preserve"> the sponsor has submitted EU-RMP version 2.0 (dated 23 September 2020; DLP 9 December 2019) and ASA version 1.2 (dated 7 June 2021) in support of this application. At fourth round of evaluation the sponsor has submitted ASA version 1.3 (dated 28 June 2021 in support of this application.</w:t>
      </w:r>
    </w:p>
    <w:p w14:paraId="3D42BD80" w14:textId="202A299E" w:rsidR="00505081" w:rsidRPr="00505081" w:rsidRDefault="00505081" w:rsidP="00505081">
      <w:pPr>
        <w:rPr>
          <w:lang w:eastAsia="en-AU"/>
        </w:rPr>
      </w:pPr>
      <w:r>
        <w:rPr>
          <w:lang w:eastAsia="en-AU"/>
        </w:rPr>
        <w:t>A previous submission to the TGA for midazolam oromucosal solution was withdrawn on 14 September 2018 by the sponsor (formerly Special Products Australia Pty Limited).</w:t>
      </w:r>
      <w:r w:rsidR="00093926">
        <w:rPr>
          <w:rStyle w:val="FootnoteReference"/>
          <w:lang w:eastAsia="en-AU"/>
        </w:rPr>
        <w:footnoteReference w:id="64"/>
      </w:r>
      <w:r>
        <w:rPr>
          <w:lang w:eastAsia="en-AU"/>
        </w:rPr>
        <w:t xml:space="preserve"> An RMP evaluation was undertaken for this application (submission PM-2017-00392-1-1) which evaluated EU-RMP version 1.0 (dated 9 November 2015; DLP 11 November 2013) and ASA version 2.0 (dated 30 October 2017 (second round)).</w:t>
      </w:r>
    </w:p>
    <w:p w14:paraId="1C6D1235" w14:textId="041E2D87" w:rsidR="007D53B6" w:rsidRPr="008C3B5A" w:rsidRDefault="007D53B6" w:rsidP="007D53B6">
      <w:r>
        <w:t xml:space="preserve">The </w:t>
      </w:r>
      <w:r w:rsidRPr="008C3B5A">
        <w:t xml:space="preserve">summary of safety concerns and their associated risk monitoring and mitigation strategies </w:t>
      </w:r>
      <w:r w:rsidR="00AA164F">
        <w:t>(</w:t>
      </w:r>
      <w:r w:rsidR="00AA164F" w:rsidRPr="008C3B5A">
        <w:t>EU-RMP version 2.0 and ASA version 1.3</w:t>
      </w:r>
      <w:r w:rsidR="00AA164F">
        <w:t xml:space="preserve">) </w:t>
      </w:r>
      <w:r w:rsidRPr="008C3B5A">
        <w:t xml:space="preserve">are summarised in </w:t>
      </w:r>
      <w:r w:rsidR="00AA164F">
        <w:fldChar w:fldCharType="begin"/>
      </w:r>
      <w:r w:rsidR="00AA164F">
        <w:instrText xml:space="preserve"> REF _Ref109035099 \h </w:instrText>
      </w:r>
      <w:r w:rsidR="00AA164F">
        <w:fldChar w:fldCharType="separate"/>
      </w:r>
      <w:r w:rsidR="00AA79CE">
        <w:t xml:space="preserve">Table </w:t>
      </w:r>
      <w:r w:rsidR="00AA79CE">
        <w:rPr>
          <w:noProof/>
        </w:rPr>
        <w:t>24</w:t>
      </w:r>
      <w:r w:rsidR="00AA164F">
        <w:fldChar w:fldCharType="end"/>
      </w:r>
      <w:r w:rsidRPr="008C3B5A">
        <w:t>.</w:t>
      </w:r>
      <w:r w:rsidRPr="008C3B5A">
        <w:rPr>
          <w:rStyle w:val="FootnoteReference"/>
        </w:rPr>
        <w:footnoteReference w:id="65"/>
      </w:r>
    </w:p>
    <w:p w14:paraId="2025AD15" w14:textId="089E1E1F" w:rsidR="000539D8" w:rsidRDefault="000539D8" w:rsidP="000539D8">
      <w:pPr>
        <w:pStyle w:val="TableTitle"/>
      </w:pPr>
      <w:bookmarkStart w:id="136" w:name="_Ref109035099"/>
      <w:r>
        <w:t xml:space="preserve">Table </w:t>
      </w:r>
      <w:fldSimple w:instr=" SEQ Table \* ARABIC ">
        <w:r w:rsidR="00AA79CE">
          <w:rPr>
            <w:noProof/>
          </w:rPr>
          <w:t>24</w:t>
        </w:r>
      </w:fldSimple>
      <w:bookmarkEnd w:id="136"/>
      <w:r>
        <w:t>: Summary of safety concerns and pharmacovigilance and risk mitigation activities</w:t>
      </w:r>
    </w:p>
    <w:tbl>
      <w:tblPr>
        <w:tblStyle w:val="TableTGAblue"/>
        <w:tblW w:w="8720" w:type="dxa"/>
        <w:tblLayout w:type="fixed"/>
        <w:tblLook w:val="04A0" w:firstRow="1" w:lastRow="0" w:firstColumn="1" w:lastColumn="0" w:noHBand="0" w:noVBand="1"/>
      </w:tblPr>
      <w:tblGrid>
        <w:gridCol w:w="1520"/>
        <w:gridCol w:w="2880"/>
        <w:gridCol w:w="990"/>
        <w:gridCol w:w="1170"/>
        <w:gridCol w:w="990"/>
        <w:gridCol w:w="1170"/>
      </w:tblGrid>
      <w:tr w:rsidR="00AD63F6" w:rsidRPr="0090261C" w14:paraId="3FE5C00E" w14:textId="77777777" w:rsidTr="000539D8">
        <w:trPr>
          <w:cnfStyle w:val="100000000000" w:firstRow="1" w:lastRow="0" w:firstColumn="0" w:lastColumn="0" w:oddVBand="0" w:evenVBand="0" w:oddHBand="0" w:evenHBand="0" w:firstRowFirstColumn="0" w:firstRowLastColumn="0" w:lastRowFirstColumn="0" w:lastRowLastColumn="0"/>
          <w:trHeight w:val="131"/>
        </w:trPr>
        <w:tc>
          <w:tcPr>
            <w:tcW w:w="4400" w:type="dxa"/>
            <w:gridSpan w:val="2"/>
            <w:vMerge w:val="restart"/>
          </w:tcPr>
          <w:p w14:paraId="5451980C" w14:textId="77777777" w:rsidR="00AD63F6" w:rsidRPr="0090261C" w:rsidRDefault="00AD63F6" w:rsidP="000539D8">
            <w:pPr>
              <w:ind w:left="0" w:right="0"/>
            </w:pPr>
            <w:r w:rsidRPr="0090261C">
              <w:t>Summary of safety concerns</w:t>
            </w:r>
          </w:p>
        </w:tc>
        <w:tc>
          <w:tcPr>
            <w:tcW w:w="2160" w:type="dxa"/>
            <w:gridSpan w:val="2"/>
          </w:tcPr>
          <w:p w14:paraId="5942D5E1" w14:textId="77777777" w:rsidR="00AD63F6" w:rsidRPr="0090261C" w:rsidRDefault="00AD63F6" w:rsidP="000539D8">
            <w:pPr>
              <w:ind w:left="0" w:right="0"/>
            </w:pPr>
            <w:r w:rsidRPr="0090261C">
              <w:t>Pharmacovigilance</w:t>
            </w:r>
          </w:p>
        </w:tc>
        <w:tc>
          <w:tcPr>
            <w:tcW w:w="2160" w:type="dxa"/>
            <w:gridSpan w:val="2"/>
          </w:tcPr>
          <w:p w14:paraId="74140A8D" w14:textId="77777777" w:rsidR="00AD63F6" w:rsidRPr="0090261C" w:rsidRDefault="00AD63F6" w:rsidP="000539D8">
            <w:pPr>
              <w:ind w:left="0" w:right="0"/>
            </w:pPr>
            <w:r w:rsidRPr="0090261C">
              <w:t>Risk Minimisation</w:t>
            </w:r>
          </w:p>
        </w:tc>
      </w:tr>
      <w:tr w:rsidR="00AD63F6" w:rsidRPr="0090261C" w14:paraId="706C0D3B" w14:textId="77777777" w:rsidTr="000539D8">
        <w:trPr>
          <w:trHeight w:val="150"/>
        </w:trPr>
        <w:tc>
          <w:tcPr>
            <w:tcW w:w="4400" w:type="dxa"/>
            <w:gridSpan w:val="2"/>
            <w:vMerge/>
          </w:tcPr>
          <w:p w14:paraId="6C05A43D" w14:textId="77777777" w:rsidR="00AD63F6" w:rsidRPr="0090261C" w:rsidRDefault="00AD63F6" w:rsidP="000539D8">
            <w:pPr>
              <w:keepNext/>
              <w:ind w:left="0" w:right="0"/>
            </w:pPr>
          </w:p>
        </w:tc>
        <w:tc>
          <w:tcPr>
            <w:tcW w:w="990" w:type="dxa"/>
          </w:tcPr>
          <w:p w14:paraId="2F7A991E" w14:textId="77777777" w:rsidR="00AD63F6" w:rsidRPr="000539D8" w:rsidRDefault="00AD63F6" w:rsidP="000539D8">
            <w:pPr>
              <w:keepNext/>
              <w:ind w:left="0" w:right="0"/>
              <w:rPr>
                <w:sz w:val="20"/>
              </w:rPr>
            </w:pPr>
            <w:r w:rsidRPr="000539D8">
              <w:rPr>
                <w:sz w:val="20"/>
              </w:rPr>
              <w:t>Routine</w:t>
            </w:r>
          </w:p>
        </w:tc>
        <w:tc>
          <w:tcPr>
            <w:tcW w:w="1170" w:type="dxa"/>
          </w:tcPr>
          <w:p w14:paraId="0D50EF8A" w14:textId="77777777" w:rsidR="00AD63F6" w:rsidRPr="000539D8" w:rsidRDefault="00AD63F6" w:rsidP="000539D8">
            <w:pPr>
              <w:keepNext/>
              <w:ind w:left="0" w:right="0"/>
              <w:rPr>
                <w:sz w:val="20"/>
              </w:rPr>
            </w:pPr>
            <w:r w:rsidRPr="000539D8">
              <w:rPr>
                <w:sz w:val="20"/>
              </w:rPr>
              <w:t>Additional</w:t>
            </w:r>
          </w:p>
        </w:tc>
        <w:tc>
          <w:tcPr>
            <w:tcW w:w="990" w:type="dxa"/>
          </w:tcPr>
          <w:p w14:paraId="75023A3A" w14:textId="77777777" w:rsidR="00AD63F6" w:rsidRPr="000539D8" w:rsidRDefault="00AD63F6" w:rsidP="000539D8">
            <w:pPr>
              <w:keepNext/>
              <w:ind w:left="0" w:right="0"/>
              <w:rPr>
                <w:sz w:val="20"/>
              </w:rPr>
            </w:pPr>
            <w:r w:rsidRPr="000539D8">
              <w:rPr>
                <w:sz w:val="20"/>
              </w:rPr>
              <w:t>Routine</w:t>
            </w:r>
          </w:p>
        </w:tc>
        <w:tc>
          <w:tcPr>
            <w:tcW w:w="1170" w:type="dxa"/>
          </w:tcPr>
          <w:p w14:paraId="7180ACA4" w14:textId="77777777" w:rsidR="00AD63F6" w:rsidRPr="000539D8" w:rsidRDefault="00AD63F6" w:rsidP="000539D8">
            <w:pPr>
              <w:keepNext/>
              <w:ind w:left="0" w:right="0"/>
              <w:rPr>
                <w:sz w:val="20"/>
              </w:rPr>
            </w:pPr>
            <w:r w:rsidRPr="000539D8">
              <w:rPr>
                <w:sz w:val="20"/>
              </w:rPr>
              <w:t>Additional</w:t>
            </w:r>
          </w:p>
        </w:tc>
      </w:tr>
      <w:tr w:rsidR="00AD63F6" w:rsidRPr="0090261C" w14:paraId="2CFF6410" w14:textId="77777777" w:rsidTr="000539D8">
        <w:trPr>
          <w:cantSplit/>
          <w:trHeight w:val="94"/>
        </w:trPr>
        <w:tc>
          <w:tcPr>
            <w:tcW w:w="1520" w:type="dxa"/>
            <w:vMerge w:val="restart"/>
          </w:tcPr>
          <w:p w14:paraId="7C4481CC" w14:textId="70084CB1" w:rsidR="00AD63F6" w:rsidRPr="000539D8" w:rsidRDefault="00505081" w:rsidP="000539D8">
            <w:pPr>
              <w:keepNext/>
              <w:ind w:left="0" w:right="0"/>
              <w:rPr>
                <w:b/>
              </w:rPr>
            </w:pPr>
            <w:r>
              <w:rPr>
                <w:b/>
              </w:rPr>
              <w:t>Important I</w:t>
            </w:r>
            <w:r w:rsidR="00AD63F6" w:rsidRPr="000539D8">
              <w:rPr>
                <w:b/>
              </w:rPr>
              <w:t>dentified Risks</w:t>
            </w:r>
          </w:p>
        </w:tc>
        <w:tc>
          <w:tcPr>
            <w:tcW w:w="2880" w:type="dxa"/>
          </w:tcPr>
          <w:p w14:paraId="6B346891" w14:textId="77777777" w:rsidR="00AD63F6" w:rsidRPr="00AA164F" w:rsidRDefault="00AD63F6" w:rsidP="000539D8">
            <w:pPr>
              <w:keepNext/>
              <w:ind w:left="0" w:right="0"/>
              <w:rPr>
                <w:sz w:val="20"/>
              </w:rPr>
            </w:pPr>
            <w:r w:rsidRPr="00AA164F">
              <w:rPr>
                <w:sz w:val="20"/>
              </w:rPr>
              <w:t>Sedation (CNS depression)</w:t>
            </w:r>
          </w:p>
        </w:tc>
        <w:tc>
          <w:tcPr>
            <w:tcW w:w="990" w:type="dxa"/>
          </w:tcPr>
          <w:p w14:paraId="549C6D73" w14:textId="77777777" w:rsidR="00AD63F6" w:rsidRPr="0090261C" w:rsidRDefault="00AD63F6" w:rsidP="000539D8">
            <w:pPr>
              <w:keepNext/>
              <w:ind w:left="0" w:right="0"/>
              <w:jc w:val="center"/>
            </w:pPr>
            <w:r w:rsidRPr="0090261C">
              <w:sym w:font="Wingdings" w:char="F0FC"/>
            </w:r>
          </w:p>
        </w:tc>
        <w:tc>
          <w:tcPr>
            <w:tcW w:w="1170" w:type="dxa"/>
          </w:tcPr>
          <w:p w14:paraId="101FA87A" w14:textId="77777777" w:rsidR="00AD63F6" w:rsidRPr="0090261C" w:rsidRDefault="00AD63F6" w:rsidP="000539D8">
            <w:pPr>
              <w:keepNext/>
              <w:ind w:left="0" w:right="0"/>
              <w:jc w:val="center"/>
            </w:pPr>
            <w:r w:rsidRPr="0090261C">
              <w:t>–</w:t>
            </w:r>
          </w:p>
        </w:tc>
        <w:tc>
          <w:tcPr>
            <w:tcW w:w="990" w:type="dxa"/>
          </w:tcPr>
          <w:p w14:paraId="298EFFAD" w14:textId="77777777" w:rsidR="00AD63F6" w:rsidRPr="0090261C" w:rsidRDefault="00AD63F6" w:rsidP="000539D8">
            <w:pPr>
              <w:keepNext/>
              <w:ind w:left="0" w:right="0"/>
              <w:jc w:val="center"/>
            </w:pPr>
            <w:r w:rsidRPr="0090261C">
              <w:sym w:font="Wingdings" w:char="F0FC"/>
            </w:r>
          </w:p>
        </w:tc>
        <w:tc>
          <w:tcPr>
            <w:tcW w:w="1170" w:type="dxa"/>
          </w:tcPr>
          <w:p w14:paraId="6DF361E4" w14:textId="77777777" w:rsidR="00AD63F6" w:rsidRPr="0090261C" w:rsidRDefault="00AD63F6" w:rsidP="000539D8">
            <w:pPr>
              <w:keepNext/>
              <w:ind w:left="0" w:right="0"/>
              <w:jc w:val="center"/>
            </w:pPr>
            <w:r w:rsidRPr="0090261C">
              <w:t>–</w:t>
            </w:r>
          </w:p>
        </w:tc>
      </w:tr>
      <w:tr w:rsidR="00AD63F6" w:rsidRPr="0090261C" w14:paraId="13E8E173" w14:textId="77777777" w:rsidTr="000539D8">
        <w:trPr>
          <w:trHeight w:val="94"/>
        </w:trPr>
        <w:tc>
          <w:tcPr>
            <w:tcW w:w="1520" w:type="dxa"/>
            <w:vMerge/>
          </w:tcPr>
          <w:p w14:paraId="5CAE7395" w14:textId="77777777" w:rsidR="00AD63F6" w:rsidRPr="0090261C" w:rsidRDefault="00AD63F6" w:rsidP="0090261C">
            <w:pPr>
              <w:ind w:left="0" w:right="0"/>
            </w:pPr>
          </w:p>
        </w:tc>
        <w:tc>
          <w:tcPr>
            <w:tcW w:w="2880" w:type="dxa"/>
          </w:tcPr>
          <w:p w14:paraId="2B94F6B1" w14:textId="77777777" w:rsidR="00AD63F6" w:rsidRPr="00AA164F" w:rsidRDefault="00AD63F6" w:rsidP="0090261C">
            <w:pPr>
              <w:ind w:left="0" w:right="0"/>
              <w:rPr>
                <w:sz w:val="20"/>
              </w:rPr>
            </w:pPr>
            <w:r w:rsidRPr="00AA164F">
              <w:rPr>
                <w:sz w:val="20"/>
              </w:rPr>
              <w:t>Breathing suspended (apnoea)</w:t>
            </w:r>
          </w:p>
        </w:tc>
        <w:tc>
          <w:tcPr>
            <w:tcW w:w="990" w:type="dxa"/>
          </w:tcPr>
          <w:p w14:paraId="0CC8BCCB" w14:textId="77777777" w:rsidR="00AD63F6" w:rsidRPr="0090261C" w:rsidRDefault="00AD63F6" w:rsidP="000539D8">
            <w:pPr>
              <w:ind w:left="0" w:right="0"/>
              <w:jc w:val="center"/>
            </w:pPr>
            <w:r w:rsidRPr="0090261C">
              <w:sym w:font="Wingdings" w:char="F0FC"/>
            </w:r>
          </w:p>
        </w:tc>
        <w:tc>
          <w:tcPr>
            <w:tcW w:w="1170" w:type="dxa"/>
          </w:tcPr>
          <w:p w14:paraId="0BFF7F15" w14:textId="77777777" w:rsidR="00AD63F6" w:rsidRPr="0090261C" w:rsidRDefault="00AD63F6" w:rsidP="000539D8">
            <w:pPr>
              <w:ind w:left="0" w:right="0"/>
              <w:jc w:val="center"/>
            </w:pPr>
            <w:r w:rsidRPr="0090261C">
              <w:t>–</w:t>
            </w:r>
          </w:p>
        </w:tc>
        <w:tc>
          <w:tcPr>
            <w:tcW w:w="990" w:type="dxa"/>
          </w:tcPr>
          <w:p w14:paraId="63BAF91B" w14:textId="77777777" w:rsidR="00AD63F6" w:rsidRPr="0090261C" w:rsidRDefault="00AD63F6" w:rsidP="000539D8">
            <w:pPr>
              <w:ind w:left="0" w:right="0"/>
              <w:jc w:val="center"/>
            </w:pPr>
            <w:r w:rsidRPr="0090261C">
              <w:sym w:font="Wingdings" w:char="F0FC"/>
            </w:r>
          </w:p>
        </w:tc>
        <w:tc>
          <w:tcPr>
            <w:tcW w:w="1170" w:type="dxa"/>
          </w:tcPr>
          <w:p w14:paraId="16F36EA8" w14:textId="77777777" w:rsidR="00AD63F6" w:rsidRPr="0090261C" w:rsidRDefault="00AD63F6" w:rsidP="000539D8">
            <w:pPr>
              <w:ind w:left="0" w:right="0"/>
              <w:jc w:val="center"/>
            </w:pPr>
            <w:r w:rsidRPr="0090261C">
              <w:t>–</w:t>
            </w:r>
          </w:p>
        </w:tc>
      </w:tr>
      <w:tr w:rsidR="00AD63F6" w:rsidRPr="0090261C" w14:paraId="382C82D8" w14:textId="77777777" w:rsidTr="000539D8">
        <w:trPr>
          <w:trHeight w:val="94"/>
        </w:trPr>
        <w:tc>
          <w:tcPr>
            <w:tcW w:w="1520" w:type="dxa"/>
            <w:vMerge/>
          </w:tcPr>
          <w:p w14:paraId="681DB804" w14:textId="77777777" w:rsidR="00AD63F6" w:rsidRPr="0090261C" w:rsidRDefault="00AD63F6" w:rsidP="0090261C">
            <w:pPr>
              <w:ind w:left="0" w:right="0"/>
            </w:pPr>
          </w:p>
        </w:tc>
        <w:tc>
          <w:tcPr>
            <w:tcW w:w="2880" w:type="dxa"/>
          </w:tcPr>
          <w:p w14:paraId="572956FB" w14:textId="77777777" w:rsidR="00AD63F6" w:rsidRPr="00AA164F" w:rsidRDefault="00AD63F6" w:rsidP="0090261C">
            <w:pPr>
              <w:ind w:left="0" w:right="0"/>
              <w:rPr>
                <w:sz w:val="20"/>
              </w:rPr>
            </w:pPr>
            <w:r w:rsidRPr="00AA164F">
              <w:rPr>
                <w:sz w:val="20"/>
              </w:rPr>
              <w:t>Breathing difficult (respiratory arrest)</w:t>
            </w:r>
          </w:p>
        </w:tc>
        <w:tc>
          <w:tcPr>
            <w:tcW w:w="990" w:type="dxa"/>
          </w:tcPr>
          <w:p w14:paraId="67FAB9BE" w14:textId="77777777" w:rsidR="00AD63F6" w:rsidRPr="0090261C" w:rsidRDefault="00AD63F6" w:rsidP="000539D8">
            <w:pPr>
              <w:ind w:left="0" w:right="0"/>
              <w:jc w:val="center"/>
            </w:pPr>
            <w:r w:rsidRPr="0090261C">
              <w:sym w:font="Wingdings" w:char="F0FC"/>
            </w:r>
          </w:p>
        </w:tc>
        <w:tc>
          <w:tcPr>
            <w:tcW w:w="1170" w:type="dxa"/>
          </w:tcPr>
          <w:p w14:paraId="18B490B5" w14:textId="77777777" w:rsidR="00AD63F6" w:rsidRPr="0090261C" w:rsidRDefault="00AD63F6" w:rsidP="000539D8">
            <w:pPr>
              <w:ind w:left="0" w:right="0"/>
              <w:jc w:val="center"/>
            </w:pPr>
            <w:r w:rsidRPr="0090261C">
              <w:t>–</w:t>
            </w:r>
          </w:p>
        </w:tc>
        <w:tc>
          <w:tcPr>
            <w:tcW w:w="990" w:type="dxa"/>
          </w:tcPr>
          <w:p w14:paraId="62202BB2" w14:textId="77777777" w:rsidR="00AD63F6" w:rsidRPr="0090261C" w:rsidRDefault="00AD63F6" w:rsidP="000539D8">
            <w:pPr>
              <w:ind w:left="0" w:right="0"/>
              <w:jc w:val="center"/>
            </w:pPr>
          </w:p>
        </w:tc>
        <w:tc>
          <w:tcPr>
            <w:tcW w:w="1170" w:type="dxa"/>
          </w:tcPr>
          <w:p w14:paraId="0739317F" w14:textId="77777777" w:rsidR="00AD63F6" w:rsidRPr="0090261C" w:rsidRDefault="00AD63F6" w:rsidP="000539D8">
            <w:pPr>
              <w:ind w:left="0" w:right="0"/>
              <w:jc w:val="center"/>
            </w:pPr>
            <w:r w:rsidRPr="0090261C">
              <w:t>–</w:t>
            </w:r>
          </w:p>
        </w:tc>
      </w:tr>
      <w:tr w:rsidR="00AD63F6" w:rsidRPr="0090261C" w14:paraId="1388D235" w14:textId="77777777" w:rsidTr="000539D8">
        <w:trPr>
          <w:trHeight w:val="94"/>
        </w:trPr>
        <w:tc>
          <w:tcPr>
            <w:tcW w:w="1520" w:type="dxa"/>
            <w:vMerge/>
          </w:tcPr>
          <w:p w14:paraId="1EA46AAB" w14:textId="77777777" w:rsidR="00AD63F6" w:rsidRPr="0090261C" w:rsidRDefault="00AD63F6" w:rsidP="0090261C">
            <w:pPr>
              <w:ind w:left="0" w:right="0"/>
            </w:pPr>
          </w:p>
        </w:tc>
        <w:tc>
          <w:tcPr>
            <w:tcW w:w="2880" w:type="dxa"/>
          </w:tcPr>
          <w:p w14:paraId="249CDF90" w14:textId="77777777" w:rsidR="00AD63F6" w:rsidRPr="00AA164F" w:rsidRDefault="00AD63F6" w:rsidP="0090261C">
            <w:pPr>
              <w:ind w:left="0" w:right="0"/>
              <w:rPr>
                <w:sz w:val="20"/>
              </w:rPr>
            </w:pPr>
            <w:r w:rsidRPr="00AA164F">
              <w:rPr>
                <w:sz w:val="20"/>
              </w:rPr>
              <w:t>Sickness and feeling sick (nausea and vomiting)</w:t>
            </w:r>
          </w:p>
        </w:tc>
        <w:tc>
          <w:tcPr>
            <w:tcW w:w="990" w:type="dxa"/>
          </w:tcPr>
          <w:p w14:paraId="31396F0E" w14:textId="77777777" w:rsidR="00AD63F6" w:rsidRPr="0090261C" w:rsidRDefault="00AD63F6" w:rsidP="000539D8">
            <w:pPr>
              <w:ind w:left="0" w:right="0"/>
              <w:jc w:val="center"/>
            </w:pPr>
            <w:r w:rsidRPr="0090261C">
              <w:sym w:font="Wingdings" w:char="F0FC"/>
            </w:r>
          </w:p>
        </w:tc>
        <w:tc>
          <w:tcPr>
            <w:tcW w:w="1170" w:type="dxa"/>
          </w:tcPr>
          <w:p w14:paraId="03663A77" w14:textId="77777777" w:rsidR="00AD63F6" w:rsidRPr="0090261C" w:rsidRDefault="00AD63F6" w:rsidP="000539D8">
            <w:pPr>
              <w:ind w:left="0" w:right="0"/>
              <w:jc w:val="center"/>
            </w:pPr>
            <w:r w:rsidRPr="0090261C">
              <w:t>–</w:t>
            </w:r>
          </w:p>
        </w:tc>
        <w:tc>
          <w:tcPr>
            <w:tcW w:w="990" w:type="dxa"/>
          </w:tcPr>
          <w:p w14:paraId="03DD9A8F" w14:textId="77777777" w:rsidR="00AD63F6" w:rsidRPr="0090261C" w:rsidRDefault="00AD63F6" w:rsidP="000539D8">
            <w:pPr>
              <w:ind w:left="0" w:right="0"/>
              <w:jc w:val="center"/>
            </w:pPr>
            <w:r w:rsidRPr="0090261C">
              <w:sym w:font="Wingdings" w:char="F0FC"/>
            </w:r>
          </w:p>
        </w:tc>
        <w:tc>
          <w:tcPr>
            <w:tcW w:w="1170" w:type="dxa"/>
          </w:tcPr>
          <w:p w14:paraId="677F23AF" w14:textId="77777777" w:rsidR="00AD63F6" w:rsidRPr="0090261C" w:rsidRDefault="00AD63F6" w:rsidP="000539D8">
            <w:pPr>
              <w:ind w:left="0" w:right="0"/>
              <w:jc w:val="center"/>
            </w:pPr>
            <w:r w:rsidRPr="0090261C">
              <w:t>–</w:t>
            </w:r>
          </w:p>
        </w:tc>
      </w:tr>
      <w:tr w:rsidR="00AD63F6" w:rsidRPr="0090261C" w14:paraId="4C81EC5A" w14:textId="77777777" w:rsidTr="000539D8">
        <w:trPr>
          <w:trHeight w:val="187"/>
        </w:trPr>
        <w:tc>
          <w:tcPr>
            <w:tcW w:w="1520" w:type="dxa"/>
            <w:vMerge/>
          </w:tcPr>
          <w:p w14:paraId="02F508BC" w14:textId="77777777" w:rsidR="00AD63F6" w:rsidRPr="0090261C" w:rsidRDefault="00AD63F6" w:rsidP="0090261C">
            <w:pPr>
              <w:ind w:left="0" w:right="0"/>
            </w:pPr>
          </w:p>
        </w:tc>
        <w:tc>
          <w:tcPr>
            <w:tcW w:w="2880" w:type="dxa"/>
          </w:tcPr>
          <w:p w14:paraId="0D5CC0BC" w14:textId="77777777" w:rsidR="00AD63F6" w:rsidRPr="00AA164F" w:rsidRDefault="00AD63F6" w:rsidP="0090261C">
            <w:pPr>
              <w:ind w:left="0" w:right="0"/>
              <w:rPr>
                <w:sz w:val="20"/>
              </w:rPr>
            </w:pPr>
            <w:r w:rsidRPr="00AA164F">
              <w:rPr>
                <w:sz w:val="20"/>
              </w:rPr>
              <w:t>Itch (pruritis)</w:t>
            </w:r>
          </w:p>
        </w:tc>
        <w:tc>
          <w:tcPr>
            <w:tcW w:w="990" w:type="dxa"/>
          </w:tcPr>
          <w:p w14:paraId="3A5A94C3" w14:textId="77777777" w:rsidR="00AD63F6" w:rsidRPr="0090261C" w:rsidRDefault="00AD63F6" w:rsidP="000539D8">
            <w:pPr>
              <w:ind w:left="0" w:right="0"/>
              <w:jc w:val="center"/>
            </w:pPr>
            <w:r w:rsidRPr="0090261C">
              <w:sym w:font="Wingdings" w:char="F0FC"/>
            </w:r>
          </w:p>
        </w:tc>
        <w:tc>
          <w:tcPr>
            <w:tcW w:w="1170" w:type="dxa"/>
          </w:tcPr>
          <w:p w14:paraId="4009CA9E" w14:textId="77777777" w:rsidR="00AD63F6" w:rsidRPr="0090261C" w:rsidRDefault="00AD63F6" w:rsidP="000539D8">
            <w:pPr>
              <w:ind w:left="0" w:right="0"/>
              <w:jc w:val="center"/>
            </w:pPr>
            <w:r w:rsidRPr="0090261C">
              <w:t>–</w:t>
            </w:r>
          </w:p>
        </w:tc>
        <w:tc>
          <w:tcPr>
            <w:tcW w:w="990" w:type="dxa"/>
          </w:tcPr>
          <w:p w14:paraId="52AED7B4" w14:textId="77777777" w:rsidR="00AD63F6" w:rsidRPr="0090261C" w:rsidRDefault="00AD63F6" w:rsidP="000539D8">
            <w:pPr>
              <w:ind w:left="0" w:right="0"/>
              <w:jc w:val="center"/>
            </w:pPr>
            <w:r w:rsidRPr="0090261C">
              <w:sym w:font="Wingdings" w:char="F0FC"/>
            </w:r>
          </w:p>
        </w:tc>
        <w:tc>
          <w:tcPr>
            <w:tcW w:w="1170" w:type="dxa"/>
          </w:tcPr>
          <w:p w14:paraId="1895F919" w14:textId="77777777" w:rsidR="00AD63F6" w:rsidRPr="0090261C" w:rsidRDefault="00AD63F6" w:rsidP="000539D8">
            <w:pPr>
              <w:ind w:left="0" w:right="0"/>
              <w:jc w:val="center"/>
            </w:pPr>
            <w:r w:rsidRPr="0090261C">
              <w:t>–</w:t>
            </w:r>
          </w:p>
        </w:tc>
      </w:tr>
      <w:tr w:rsidR="00AD63F6" w:rsidRPr="0090261C" w14:paraId="29788837" w14:textId="77777777" w:rsidTr="000539D8">
        <w:trPr>
          <w:trHeight w:val="159"/>
        </w:trPr>
        <w:tc>
          <w:tcPr>
            <w:tcW w:w="1520" w:type="dxa"/>
            <w:vMerge w:val="restart"/>
          </w:tcPr>
          <w:p w14:paraId="2F552258" w14:textId="623DC338" w:rsidR="00AD63F6" w:rsidRPr="000539D8" w:rsidRDefault="00505081" w:rsidP="0090261C">
            <w:pPr>
              <w:ind w:left="0" w:right="0"/>
              <w:rPr>
                <w:b/>
              </w:rPr>
            </w:pPr>
            <w:r>
              <w:rPr>
                <w:b/>
              </w:rPr>
              <w:t>Important Potential R</w:t>
            </w:r>
            <w:r w:rsidR="00AD63F6" w:rsidRPr="000539D8">
              <w:rPr>
                <w:b/>
              </w:rPr>
              <w:t>isks</w:t>
            </w:r>
          </w:p>
        </w:tc>
        <w:tc>
          <w:tcPr>
            <w:tcW w:w="2880" w:type="dxa"/>
          </w:tcPr>
          <w:p w14:paraId="70136827" w14:textId="77777777" w:rsidR="00AD63F6" w:rsidRPr="00AA164F" w:rsidRDefault="00AD63F6" w:rsidP="0090261C">
            <w:pPr>
              <w:ind w:left="0" w:right="0"/>
              <w:rPr>
                <w:sz w:val="20"/>
              </w:rPr>
            </w:pPr>
            <w:r w:rsidRPr="00AA164F">
              <w:rPr>
                <w:sz w:val="20"/>
              </w:rPr>
              <w:t>Physical dependence</w:t>
            </w:r>
          </w:p>
        </w:tc>
        <w:tc>
          <w:tcPr>
            <w:tcW w:w="990" w:type="dxa"/>
          </w:tcPr>
          <w:p w14:paraId="338F865F" w14:textId="77777777" w:rsidR="00AD63F6" w:rsidRPr="0090261C" w:rsidRDefault="00AD63F6" w:rsidP="000539D8">
            <w:pPr>
              <w:ind w:left="0" w:right="0"/>
              <w:jc w:val="center"/>
            </w:pPr>
            <w:r w:rsidRPr="0090261C">
              <w:sym w:font="Wingdings" w:char="F0FC"/>
            </w:r>
          </w:p>
        </w:tc>
        <w:tc>
          <w:tcPr>
            <w:tcW w:w="1170" w:type="dxa"/>
          </w:tcPr>
          <w:p w14:paraId="2422BB10" w14:textId="77777777" w:rsidR="00AD63F6" w:rsidRPr="0090261C" w:rsidRDefault="00AD63F6" w:rsidP="000539D8">
            <w:pPr>
              <w:ind w:left="0" w:right="0"/>
              <w:jc w:val="center"/>
            </w:pPr>
            <w:r w:rsidRPr="0090261C">
              <w:t>–</w:t>
            </w:r>
          </w:p>
        </w:tc>
        <w:tc>
          <w:tcPr>
            <w:tcW w:w="990" w:type="dxa"/>
          </w:tcPr>
          <w:p w14:paraId="636F1267" w14:textId="77777777" w:rsidR="00AD63F6" w:rsidRPr="0090261C" w:rsidRDefault="00AD63F6" w:rsidP="000539D8">
            <w:pPr>
              <w:ind w:left="0" w:right="0"/>
              <w:jc w:val="center"/>
            </w:pPr>
            <w:r w:rsidRPr="0090261C">
              <w:sym w:font="Wingdings" w:char="F0FC"/>
            </w:r>
          </w:p>
        </w:tc>
        <w:tc>
          <w:tcPr>
            <w:tcW w:w="1170" w:type="dxa"/>
          </w:tcPr>
          <w:p w14:paraId="3721DF19" w14:textId="77777777" w:rsidR="00AD63F6" w:rsidRPr="0090261C" w:rsidRDefault="00AD63F6" w:rsidP="000539D8">
            <w:pPr>
              <w:ind w:left="0" w:right="0"/>
              <w:jc w:val="center"/>
            </w:pPr>
            <w:r w:rsidRPr="0090261C">
              <w:sym w:font="Wingdings" w:char="F0FC"/>
            </w:r>
            <w:r w:rsidRPr="0090261C">
              <w:t>*</w:t>
            </w:r>
          </w:p>
        </w:tc>
      </w:tr>
      <w:tr w:rsidR="00AD63F6" w:rsidRPr="0090261C" w14:paraId="1DD824FE" w14:textId="77777777" w:rsidTr="000539D8">
        <w:trPr>
          <w:trHeight w:val="122"/>
        </w:trPr>
        <w:tc>
          <w:tcPr>
            <w:tcW w:w="1520" w:type="dxa"/>
            <w:vMerge/>
          </w:tcPr>
          <w:p w14:paraId="100E806C" w14:textId="77777777" w:rsidR="00AD63F6" w:rsidRPr="000539D8" w:rsidRDefault="00AD63F6" w:rsidP="0090261C">
            <w:pPr>
              <w:ind w:left="0" w:right="0"/>
              <w:rPr>
                <w:b/>
              </w:rPr>
            </w:pPr>
          </w:p>
        </w:tc>
        <w:tc>
          <w:tcPr>
            <w:tcW w:w="2880" w:type="dxa"/>
          </w:tcPr>
          <w:p w14:paraId="17616BEE" w14:textId="77777777" w:rsidR="00AD63F6" w:rsidRPr="00AA164F" w:rsidRDefault="00AD63F6" w:rsidP="0090261C">
            <w:pPr>
              <w:ind w:left="0" w:right="0"/>
              <w:rPr>
                <w:sz w:val="20"/>
              </w:rPr>
            </w:pPr>
            <w:r w:rsidRPr="00AA164F">
              <w:rPr>
                <w:sz w:val="20"/>
              </w:rPr>
              <w:t>Aspiration/Aspiration pneumonia</w:t>
            </w:r>
          </w:p>
        </w:tc>
        <w:tc>
          <w:tcPr>
            <w:tcW w:w="990" w:type="dxa"/>
          </w:tcPr>
          <w:p w14:paraId="0F7641E3" w14:textId="77777777" w:rsidR="00AD63F6" w:rsidRPr="0090261C" w:rsidRDefault="00AD63F6" w:rsidP="000539D8">
            <w:pPr>
              <w:ind w:left="0" w:right="0"/>
              <w:jc w:val="center"/>
            </w:pPr>
            <w:r w:rsidRPr="0090261C">
              <w:sym w:font="Wingdings" w:char="F0FC"/>
            </w:r>
          </w:p>
        </w:tc>
        <w:tc>
          <w:tcPr>
            <w:tcW w:w="1170" w:type="dxa"/>
          </w:tcPr>
          <w:p w14:paraId="46CA4C53" w14:textId="77777777" w:rsidR="00AD63F6" w:rsidRPr="0090261C" w:rsidRDefault="00AD63F6" w:rsidP="000539D8">
            <w:pPr>
              <w:ind w:left="0" w:right="0"/>
              <w:jc w:val="center"/>
            </w:pPr>
            <w:r w:rsidRPr="0090261C">
              <w:t>–</w:t>
            </w:r>
          </w:p>
        </w:tc>
        <w:tc>
          <w:tcPr>
            <w:tcW w:w="990" w:type="dxa"/>
          </w:tcPr>
          <w:p w14:paraId="59DEE218" w14:textId="77777777" w:rsidR="00AD63F6" w:rsidRPr="0090261C" w:rsidRDefault="00AD63F6" w:rsidP="000539D8">
            <w:pPr>
              <w:ind w:left="0" w:right="0"/>
              <w:jc w:val="center"/>
            </w:pPr>
            <w:r w:rsidRPr="0090261C">
              <w:sym w:font="Wingdings" w:char="F0FC"/>
            </w:r>
          </w:p>
        </w:tc>
        <w:tc>
          <w:tcPr>
            <w:tcW w:w="1170" w:type="dxa"/>
          </w:tcPr>
          <w:p w14:paraId="569499AB" w14:textId="77777777" w:rsidR="00AD63F6" w:rsidRPr="0090261C" w:rsidRDefault="00AD63F6" w:rsidP="000539D8">
            <w:pPr>
              <w:ind w:left="0" w:right="0"/>
              <w:jc w:val="center"/>
            </w:pPr>
            <w:r w:rsidRPr="0090261C">
              <w:sym w:font="Wingdings" w:char="F0FC"/>
            </w:r>
            <w:r w:rsidRPr="0090261C">
              <w:t>*</w:t>
            </w:r>
          </w:p>
        </w:tc>
      </w:tr>
      <w:tr w:rsidR="00AD63F6" w:rsidRPr="0090261C" w14:paraId="0E47E90E" w14:textId="77777777" w:rsidTr="000539D8">
        <w:trPr>
          <w:trHeight w:val="122"/>
        </w:trPr>
        <w:tc>
          <w:tcPr>
            <w:tcW w:w="1520" w:type="dxa"/>
            <w:vMerge/>
          </w:tcPr>
          <w:p w14:paraId="080FDF05" w14:textId="77777777" w:rsidR="00AD63F6" w:rsidRPr="000539D8" w:rsidRDefault="00AD63F6" w:rsidP="0090261C">
            <w:pPr>
              <w:ind w:left="0" w:right="0"/>
              <w:rPr>
                <w:b/>
              </w:rPr>
            </w:pPr>
          </w:p>
        </w:tc>
        <w:tc>
          <w:tcPr>
            <w:tcW w:w="2880" w:type="dxa"/>
          </w:tcPr>
          <w:p w14:paraId="63EB85E0" w14:textId="77777777" w:rsidR="00AD63F6" w:rsidRPr="00AA164F" w:rsidRDefault="00AD63F6" w:rsidP="0090261C">
            <w:pPr>
              <w:ind w:left="0" w:right="0"/>
              <w:rPr>
                <w:sz w:val="20"/>
              </w:rPr>
            </w:pPr>
            <w:r w:rsidRPr="00AA164F">
              <w:rPr>
                <w:sz w:val="20"/>
              </w:rPr>
              <w:t>Medication Errors</w:t>
            </w:r>
          </w:p>
        </w:tc>
        <w:tc>
          <w:tcPr>
            <w:tcW w:w="990" w:type="dxa"/>
          </w:tcPr>
          <w:p w14:paraId="5D7BD204" w14:textId="77777777" w:rsidR="00AD63F6" w:rsidRPr="0090261C" w:rsidRDefault="00AD63F6" w:rsidP="000539D8">
            <w:pPr>
              <w:ind w:left="0" w:right="0"/>
              <w:jc w:val="center"/>
            </w:pPr>
            <w:r w:rsidRPr="0090261C">
              <w:sym w:font="Wingdings" w:char="F0FC"/>
            </w:r>
          </w:p>
        </w:tc>
        <w:tc>
          <w:tcPr>
            <w:tcW w:w="1170" w:type="dxa"/>
          </w:tcPr>
          <w:p w14:paraId="7234D604" w14:textId="77777777" w:rsidR="00AD63F6" w:rsidRPr="0090261C" w:rsidRDefault="00AD63F6" w:rsidP="000539D8">
            <w:pPr>
              <w:ind w:left="0" w:right="0"/>
              <w:jc w:val="center"/>
            </w:pPr>
            <w:r w:rsidRPr="0090261C">
              <w:sym w:font="Wingdings" w:char="F0FC"/>
            </w:r>
            <w:r w:rsidRPr="0090261C">
              <w:t>**</w:t>
            </w:r>
          </w:p>
        </w:tc>
        <w:tc>
          <w:tcPr>
            <w:tcW w:w="990" w:type="dxa"/>
          </w:tcPr>
          <w:p w14:paraId="70034D3D" w14:textId="77777777" w:rsidR="00AD63F6" w:rsidRPr="0090261C" w:rsidRDefault="00AD63F6" w:rsidP="000539D8">
            <w:pPr>
              <w:ind w:left="0" w:right="0"/>
              <w:jc w:val="center"/>
            </w:pPr>
            <w:r w:rsidRPr="0090261C">
              <w:sym w:font="Wingdings" w:char="F0FC"/>
            </w:r>
          </w:p>
        </w:tc>
        <w:tc>
          <w:tcPr>
            <w:tcW w:w="1170" w:type="dxa"/>
          </w:tcPr>
          <w:p w14:paraId="49B70BAE" w14:textId="77777777" w:rsidR="00AD63F6" w:rsidRPr="0090261C" w:rsidRDefault="00AD63F6" w:rsidP="000539D8">
            <w:pPr>
              <w:ind w:left="0" w:right="0"/>
              <w:jc w:val="center"/>
            </w:pPr>
            <w:r w:rsidRPr="0090261C">
              <w:sym w:font="Wingdings" w:char="F0FC"/>
            </w:r>
            <w:r w:rsidRPr="0090261C">
              <w:t>*</w:t>
            </w:r>
          </w:p>
        </w:tc>
      </w:tr>
      <w:tr w:rsidR="00AD63F6" w:rsidRPr="0090261C" w14:paraId="1F5F3FCA" w14:textId="77777777" w:rsidTr="000539D8">
        <w:trPr>
          <w:trHeight w:val="60"/>
        </w:trPr>
        <w:tc>
          <w:tcPr>
            <w:tcW w:w="1520" w:type="dxa"/>
            <w:vMerge/>
          </w:tcPr>
          <w:p w14:paraId="77C48590" w14:textId="77777777" w:rsidR="00AD63F6" w:rsidRPr="000539D8" w:rsidRDefault="00AD63F6" w:rsidP="0090261C">
            <w:pPr>
              <w:ind w:left="0" w:right="0"/>
              <w:rPr>
                <w:b/>
              </w:rPr>
            </w:pPr>
          </w:p>
        </w:tc>
        <w:tc>
          <w:tcPr>
            <w:tcW w:w="2880" w:type="dxa"/>
          </w:tcPr>
          <w:p w14:paraId="4944F074" w14:textId="77777777" w:rsidR="00AD63F6" w:rsidRPr="00AA164F" w:rsidRDefault="00AD63F6" w:rsidP="0090261C">
            <w:pPr>
              <w:ind w:left="0" w:right="0"/>
              <w:rPr>
                <w:sz w:val="20"/>
              </w:rPr>
            </w:pPr>
            <w:r w:rsidRPr="00AA164F">
              <w:rPr>
                <w:sz w:val="20"/>
              </w:rPr>
              <w:t>Oral/facial trauma</w:t>
            </w:r>
          </w:p>
        </w:tc>
        <w:tc>
          <w:tcPr>
            <w:tcW w:w="990" w:type="dxa"/>
          </w:tcPr>
          <w:p w14:paraId="74C977D1" w14:textId="77777777" w:rsidR="00AD63F6" w:rsidRPr="0090261C" w:rsidRDefault="00AD63F6" w:rsidP="000539D8">
            <w:pPr>
              <w:ind w:left="0" w:right="0"/>
              <w:jc w:val="center"/>
            </w:pPr>
            <w:r w:rsidRPr="0090261C">
              <w:sym w:font="Wingdings" w:char="F0FC"/>
            </w:r>
          </w:p>
        </w:tc>
        <w:tc>
          <w:tcPr>
            <w:tcW w:w="1170" w:type="dxa"/>
          </w:tcPr>
          <w:p w14:paraId="7006796B" w14:textId="77777777" w:rsidR="00AD63F6" w:rsidRPr="0090261C" w:rsidRDefault="00AD63F6" w:rsidP="000539D8">
            <w:pPr>
              <w:ind w:left="0" w:right="0"/>
              <w:jc w:val="center"/>
            </w:pPr>
            <w:r w:rsidRPr="0090261C">
              <w:t>–</w:t>
            </w:r>
          </w:p>
        </w:tc>
        <w:tc>
          <w:tcPr>
            <w:tcW w:w="990" w:type="dxa"/>
          </w:tcPr>
          <w:p w14:paraId="436CFEAC" w14:textId="77777777" w:rsidR="00AD63F6" w:rsidRPr="0090261C" w:rsidRDefault="00AD63F6" w:rsidP="000539D8">
            <w:pPr>
              <w:ind w:left="0" w:right="0"/>
              <w:jc w:val="center"/>
            </w:pPr>
            <w:r w:rsidRPr="0090261C">
              <w:sym w:font="Wingdings" w:char="F0FC"/>
            </w:r>
          </w:p>
        </w:tc>
        <w:tc>
          <w:tcPr>
            <w:tcW w:w="1170" w:type="dxa"/>
          </w:tcPr>
          <w:p w14:paraId="4772EF9D" w14:textId="77777777" w:rsidR="00AD63F6" w:rsidRPr="0090261C" w:rsidRDefault="00AD63F6" w:rsidP="000539D8">
            <w:pPr>
              <w:ind w:left="0" w:right="0"/>
              <w:jc w:val="center"/>
            </w:pPr>
            <w:r w:rsidRPr="0090261C">
              <w:sym w:font="Wingdings" w:char="F0FC"/>
            </w:r>
            <w:r w:rsidRPr="0090261C">
              <w:t>*</w:t>
            </w:r>
          </w:p>
        </w:tc>
      </w:tr>
      <w:tr w:rsidR="00AD63F6" w:rsidRPr="0090261C" w14:paraId="3C7DF58E" w14:textId="77777777" w:rsidTr="000539D8">
        <w:trPr>
          <w:trHeight w:val="112"/>
        </w:trPr>
        <w:tc>
          <w:tcPr>
            <w:tcW w:w="1520" w:type="dxa"/>
            <w:vMerge/>
          </w:tcPr>
          <w:p w14:paraId="241EF57C" w14:textId="77777777" w:rsidR="00AD63F6" w:rsidRPr="000539D8" w:rsidRDefault="00AD63F6" w:rsidP="0090261C">
            <w:pPr>
              <w:ind w:left="0" w:right="0"/>
              <w:rPr>
                <w:b/>
              </w:rPr>
            </w:pPr>
          </w:p>
        </w:tc>
        <w:tc>
          <w:tcPr>
            <w:tcW w:w="2880" w:type="dxa"/>
          </w:tcPr>
          <w:p w14:paraId="52BC6C5D" w14:textId="77777777" w:rsidR="00AD63F6" w:rsidRPr="00AA164F" w:rsidRDefault="00AD63F6" w:rsidP="0090261C">
            <w:pPr>
              <w:ind w:left="0" w:right="0"/>
              <w:rPr>
                <w:sz w:val="20"/>
              </w:rPr>
            </w:pPr>
            <w:r w:rsidRPr="00AA164F">
              <w:rPr>
                <w:sz w:val="20"/>
              </w:rPr>
              <w:t>Drug-facilitated sexual abuse</w:t>
            </w:r>
          </w:p>
        </w:tc>
        <w:tc>
          <w:tcPr>
            <w:tcW w:w="990" w:type="dxa"/>
          </w:tcPr>
          <w:p w14:paraId="21960F38" w14:textId="77777777" w:rsidR="00AD63F6" w:rsidRPr="0090261C" w:rsidRDefault="00AD63F6" w:rsidP="000539D8">
            <w:pPr>
              <w:ind w:left="0" w:right="0"/>
              <w:jc w:val="center"/>
            </w:pPr>
            <w:r w:rsidRPr="0090261C">
              <w:sym w:font="Wingdings" w:char="F0FC"/>
            </w:r>
          </w:p>
        </w:tc>
        <w:tc>
          <w:tcPr>
            <w:tcW w:w="1170" w:type="dxa"/>
          </w:tcPr>
          <w:p w14:paraId="14D28C3F" w14:textId="77777777" w:rsidR="00AD63F6" w:rsidRPr="0090261C" w:rsidRDefault="00AD63F6" w:rsidP="000539D8">
            <w:pPr>
              <w:ind w:left="0" w:right="0"/>
              <w:jc w:val="center"/>
            </w:pPr>
            <w:r w:rsidRPr="0090261C">
              <w:t>–</w:t>
            </w:r>
          </w:p>
        </w:tc>
        <w:tc>
          <w:tcPr>
            <w:tcW w:w="990" w:type="dxa"/>
          </w:tcPr>
          <w:p w14:paraId="6C5B0980" w14:textId="77777777" w:rsidR="00AD63F6" w:rsidRPr="0090261C" w:rsidRDefault="00AD63F6" w:rsidP="000539D8">
            <w:pPr>
              <w:ind w:left="0" w:right="0"/>
              <w:jc w:val="center"/>
            </w:pPr>
            <w:r w:rsidRPr="0090261C">
              <w:sym w:font="Wingdings" w:char="F0FC"/>
            </w:r>
          </w:p>
        </w:tc>
        <w:tc>
          <w:tcPr>
            <w:tcW w:w="1170" w:type="dxa"/>
          </w:tcPr>
          <w:p w14:paraId="7B8871AD" w14:textId="77777777" w:rsidR="00AD63F6" w:rsidRPr="0090261C" w:rsidRDefault="00AD63F6" w:rsidP="000539D8">
            <w:pPr>
              <w:ind w:left="0" w:right="0"/>
              <w:jc w:val="center"/>
            </w:pPr>
            <w:r w:rsidRPr="0090261C">
              <w:sym w:font="Wingdings" w:char="F0FC"/>
            </w:r>
            <w:r w:rsidRPr="0090261C">
              <w:t>*</w:t>
            </w:r>
          </w:p>
        </w:tc>
      </w:tr>
      <w:tr w:rsidR="00AD63F6" w:rsidRPr="0090261C" w14:paraId="2F57EC3E" w14:textId="77777777" w:rsidTr="000539D8">
        <w:trPr>
          <w:trHeight w:val="140"/>
        </w:trPr>
        <w:tc>
          <w:tcPr>
            <w:tcW w:w="1520" w:type="dxa"/>
            <w:vMerge w:val="restart"/>
          </w:tcPr>
          <w:p w14:paraId="47421E3B" w14:textId="650831FB" w:rsidR="00AD63F6" w:rsidRPr="000539D8" w:rsidRDefault="00505081" w:rsidP="0090261C">
            <w:pPr>
              <w:ind w:left="0" w:right="0"/>
              <w:rPr>
                <w:b/>
              </w:rPr>
            </w:pPr>
            <w:r>
              <w:rPr>
                <w:b/>
              </w:rPr>
              <w:t>Missing I</w:t>
            </w:r>
            <w:r w:rsidR="00AD63F6" w:rsidRPr="000539D8">
              <w:rPr>
                <w:b/>
              </w:rPr>
              <w:t>nformation</w:t>
            </w:r>
          </w:p>
        </w:tc>
        <w:tc>
          <w:tcPr>
            <w:tcW w:w="2880" w:type="dxa"/>
          </w:tcPr>
          <w:p w14:paraId="4E8E8883" w14:textId="73B8FEE3" w:rsidR="00AD63F6" w:rsidRPr="00AA164F" w:rsidRDefault="00AD63F6" w:rsidP="0090261C">
            <w:pPr>
              <w:ind w:left="0" w:right="0"/>
              <w:rPr>
                <w:sz w:val="20"/>
              </w:rPr>
            </w:pPr>
            <w:r w:rsidRPr="00AA164F">
              <w:rPr>
                <w:sz w:val="20"/>
              </w:rPr>
              <w:t>Limited information on use for seizure control in paedia</w:t>
            </w:r>
            <w:r w:rsidR="00AA164F">
              <w:rPr>
                <w:sz w:val="20"/>
              </w:rPr>
              <w:t xml:space="preserve">tric population of 6 months to under </w:t>
            </w:r>
            <w:r w:rsidRPr="00AA164F">
              <w:rPr>
                <w:sz w:val="20"/>
              </w:rPr>
              <w:t>10</w:t>
            </w:r>
            <w:r w:rsidR="00AA164F">
              <w:rPr>
                <w:sz w:val="20"/>
              </w:rPr>
              <w:t xml:space="preserve"> </w:t>
            </w:r>
            <w:r w:rsidRPr="00AA164F">
              <w:rPr>
                <w:sz w:val="20"/>
              </w:rPr>
              <w:t>y</w:t>
            </w:r>
            <w:r w:rsidR="00AA164F">
              <w:rPr>
                <w:sz w:val="20"/>
              </w:rPr>
              <w:t>ears</w:t>
            </w:r>
            <w:r w:rsidRPr="00AA164F">
              <w:rPr>
                <w:sz w:val="20"/>
              </w:rPr>
              <w:t xml:space="preserve"> age group†</w:t>
            </w:r>
          </w:p>
        </w:tc>
        <w:tc>
          <w:tcPr>
            <w:tcW w:w="990" w:type="dxa"/>
          </w:tcPr>
          <w:p w14:paraId="4D17E394" w14:textId="77777777" w:rsidR="00AD63F6" w:rsidRPr="0090261C" w:rsidRDefault="00AD63F6" w:rsidP="000539D8">
            <w:pPr>
              <w:ind w:left="0" w:right="0"/>
              <w:jc w:val="center"/>
            </w:pPr>
            <w:r w:rsidRPr="0090261C">
              <w:sym w:font="Wingdings" w:char="F0FC"/>
            </w:r>
          </w:p>
        </w:tc>
        <w:tc>
          <w:tcPr>
            <w:tcW w:w="1170" w:type="dxa"/>
          </w:tcPr>
          <w:p w14:paraId="28828460" w14:textId="77777777" w:rsidR="00AD63F6" w:rsidRPr="0090261C" w:rsidRDefault="00AD63F6" w:rsidP="000539D8">
            <w:pPr>
              <w:ind w:left="0" w:right="0"/>
              <w:jc w:val="center"/>
            </w:pPr>
            <w:r w:rsidRPr="0090261C">
              <w:sym w:font="Wingdings" w:char="F0FC"/>
            </w:r>
            <w:r w:rsidRPr="0090261C">
              <w:t>**</w:t>
            </w:r>
          </w:p>
        </w:tc>
        <w:tc>
          <w:tcPr>
            <w:tcW w:w="990" w:type="dxa"/>
          </w:tcPr>
          <w:p w14:paraId="321D2806" w14:textId="77777777" w:rsidR="00AD63F6" w:rsidRPr="0090261C" w:rsidRDefault="00AD63F6" w:rsidP="000539D8">
            <w:pPr>
              <w:ind w:left="0" w:right="0"/>
              <w:jc w:val="center"/>
            </w:pPr>
            <w:r w:rsidRPr="0090261C">
              <w:sym w:font="Wingdings" w:char="F0FC"/>
            </w:r>
          </w:p>
        </w:tc>
        <w:tc>
          <w:tcPr>
            <w:tcW w:w="1170" w:type="dxa"/>
          </w:tcPr>
          <w:p w14:paraId="23953D28" w14:textId="77777777" w:rsidR="00AD63F6" w:rsidRPr="0090261C" w:rsidRDefault="00AD63F6" w:rsidP="000539D8">
            <w:pPr>
              <w:ind w:left="0" w:right="0"/>
              <w:jc w:val="center"/>
            </w:pPr>
            <w:r w:rsidRPr="0090261C">
              <w:t>–</w:t>
            </w:r>
          </w:p>
        </w:tc>
      </w:tr>
      <w:tr w:rsidR="00AD63F6" w:rsidRPr="0090261C" w14:paraId="0A1688C7" w14:textId="77777777" w:rsidTr="000539D8">
        <w:trPr>
          <w:trHeight w:val="140"/>
        </w:trPr>
        <w:tc>
          <w:tcPr>
            <w:tcW w:w="1520" w:type="dxa"/>
            <w:vMerge/>
          </w:tcPr>
          <w:p w14:paraId="5B0ECFA7" w14:textId="77777777" w:rsidR="00AD63F6" w:rsidRPr="0090261C" w:rsidRDefault="00AD63F6" w:rsidP="0090261C">
            <w:pPr>
              <w:ind w:left="0" w:right="0"/>
            </w:pPr>
          </w:p>
        </w:tc>
        <w:tc>
          <w:tcPr>
            <w:tcW w:w="2880" w:type="dxa"/>
          </w:tcPr>
          <w:p w14:paraId="62411E4B" w14:textId="77777777" w:rsidR="00AD63F6" w:rsidRPr="00AA164F" w:rsidRDefault="00AD63F6" w:rsidP="0090261C">
            <w:pPr>
              <w:ind w:left="0" w:right="0"/>
              <w:rPr>
                <w:sz w:val="20"/>
              </w:rPr>
            </w:pPr>
            <w:r w:rsidRPr="00AA164F">
              <w:rPr>
                <w:sz w:val="20"/>
              </w:rPr>
              <w:t>Pharmacokinetics in children†</w:t>
            </w:r>
          </w:p>
        </w:tc>
        <w:tc>
          <w:tcPr>
            <w:tcW w:w="990" w:type="dxa"/>
          </w:tcPr>
          <w:p w14:paraId="77342146" w14:textId="77777777" w:rsidR="00AD63F6" w:rsidRPr="0090261C" w:rsidRDefault="00AD63F6" w:rsidP="000539D8">
            <w:pPr>
              <w:ind w:left="0" w:right="0"/>
              <w:jc w:val="center"/>
            </w:pPr>
            <w:r w:rsidRPr="0090261C">
              <w:sym w:font="Wingdings" w:char="F0FC"/>
            </w:r>
          </w:p>
        </w:tc>
        <w:tc>
          <w:tcPr>
            <w:tcW w:w="1170" w:type="dxa"/>
          </w:tcPr>
          <w:p w14:paraId="25ED6834" w14:textId="77777777" w:rsidR="00AD63F6" w:rsidRPr="0090261C" w:rsidRDefault="00AD63F6" w:rsidP="000539D8">
            <w:pPr>
              <w:ind w:left="0" w:right="0"/>
              <w:jc w:val="center"/>
            </w:pPr>
            <w:r w:rsidRPr="0090261C">
              <w:t>–</w:t>
            </w:r>
          </w:p>
        </w:tc>
        <w:tc>
          <w:tcPr>
            <w:tcW w:w="990" w:type="dxa"/>
          </w:tcPr>
          <w:p w14:paraId="1FC34A6A" w14:textId="77777777" w:rsidR="00AD63F6" w:rsidRPr="0090261C" w:rsidRDefault="00AD63F6" w:rsidP="000539D8">
            <w:pPr>
              <w:ind w:left="0" w:right="0"/>
              <w:jc w:val="center"/>
            </w:pPr>
            <w:r w:rsidRPr="0090261C">
              <w:sym w:font="Wingdings" w:char="F0FC"/>
            </w:r>
          </w:p>
        </w:tc>
        <w:tc>
          <w:tcPr>
            <w:tcW w:w="1170" w:type="dxa"/>
          </w:tcPr>
          <w:p w14:paraId="220A8ED7" w14:textId="77777777" w:rsidR="00AD63F6" w:rsidRPr="0090261C" w:rsidRDefault="00AD63F6" w:rsidP="000539D8">
            <w:pPr>
              <w:ind w:left="0" w:right="0"/>
              <w:jc w:val="center"/>
            </w:pPr>
            <w:r w:rsidRPr="0090261C">
              <w:t>–</w:t>
            </w:r>
          </w:p>
        </w:tc>
      </w:tr>
    </w:tbl>
    <w:p w14:paraId="1D89F663" w14:textId="19A41F97" w:rsidR="00AD63F6" w:rsidRDefault="00AD63F6" w:rsidP="00505081">
      <w:pPr>
        <w:pStyle w:val="TableDescription"/>
      </w:pPr>
      <w:r w:rsidRPr="005C077B">
        <w:t xml:space="preserve">* At </w:t>
      </w:r>
      <w:r w:rsidR="00505081">
        <w:t>the second round of evaluation</w:t>
      </w:r>
      <w:r w:rsidRPr="005C077B">
        <w:t>, the educational materials (How to prescribe leaflet, training pack, frequently asked questions leaflet (HCP), patient and carer leaflet, app and video) have been included as additional risk minimisation activities in the updated ASA and apply to all the Important Potential Risks.</w:t>
      </w:r>
    </w:p>
    <w:p w14:paraId="1EC0B459" w14:textId="77777777" w:rsidR="00505081" w:rsidRDefault="00505081" w:rsidP="00505081">
      <w:pPr>
        <w:pStyle w:val="TableDescription"/>
        <w:rPr>
          <w:rFonts w:eastAsiaTheme="minorHAnsi" w:cs="Cambria"/>
          <w:sz w:val="20"/>
          <w:szCs w:val="20"/>
          <w:lang w:val="en-GB"/>
        </w:rPr>
      </w:pPr>
      <w:r>
        <w:rPr>
          <w:rFonts w:eastAsiaTheme="minorHAnsi" w:cs="Cambria"/>
          <w:sz w:val="20"/>
          <w:szCs w:val="20"/>
          <w:lang w:val="en-GB"/>
        </w:rPr>
        <w:t>** Drug Utilisation Study to assess the additional risk minimisation activities.</w:t>
      </w:r>
    </w:p>
    <w:p w14:paraId="61D37E71" w14:textId="77777777" w:rsidR="00505081" w:rsidRPr="00505081" w:rsidRDefault="00505081" w:rsidP="00505081">
      <w:pPr>
        <w:pStyle w:val="TableDescription"/>
      </w:pPr>
      <w:r w:rsidRPr="00505081">
        <w:t>† Included in the ASA only</w:t>
      </w:r>
    </w:p>
    <w:p w14:paraId="113A143B" w14:textId="0BDA2A09" w:rsidR="005C077B" w:rsidRDefault="005C077B" w:rsidP="005C077B">
      <w:r>
        <w:t>The following specific conditions of registration are recommended:</w:t>
      </w:r>
    </w:p>
    <w:p w14:paraId="38E02858" w14:textId="7F1D5771" w:rsidR="00AD63F6" w:rsidRPr="00282E42" w:rsidRDefault="00AD63F6" w:rsidP="00FC38AC">
      <w:pPr>
        <w:pStyle w:val="ListBullet"/>
      </w:pPr>
      <w:r w:rsidRPr="00282E42">
        <w:t xml:space="preserve">The </w:t>
      </w:r>
      <w:r w:rsidRPr="00A67D26">
        <w:t>Zyamis</w:t>
      </w:r>
      <w:r w:rsidRPr="00282E42">
        <w:t xml:space="preserve"> EU-Risk Management Plan (RMP) (version 2.0; dated 23 September 2020; DLP 9 December 2019), with Australian Specific Annex (version 1.</w:t>
      </w:r>
      <w:r>
        <w:t>3</w:t>
      </w:r>
      <w:r w:rsidRPr="00282E42">
        <w:t xml:space="preserve">, dated </w:t>
      </w:r>
      <w:r>
        <w:t>28</w:t>
      </w:r>
      <w:r w:rsidR="00053CE7">
        <w:t> June </w:t>
      </w:r>
      <w:r w:rsidRPr="00282E42">
        <w:t>2021), included with submission PM-2020-04183-1-1, and any subsequent revisions, as agreed with the TGA will be implemented in Australia.</w:t>
      </w:r>
    </w:p>
    <w:p w14:paraId="0A788A52" w14:textId="58995CA5" w:rsidR="00AD63F6" w:rsidRPr="00282E42" w:rsidRDefault="00AD63F6" w:rsidP="00FC38AC">
      <w:pPr>
        <w:pStyle w:val="ListBullet"/>
      </w:pPr>
      <w:r w:rsidRPr="00282E42">
        <w:t>An obligatory component of risk management plans is routine pharmacovigilance. Routine pharmacovigilance includes the submission of periodic safety update reports (PSURs).</w:t>
      </w:r>
    </w:p>
    <w:p w14:paraId="4D5F10CE" w14:textId="0E8405C7" w:rsidR="00AD63F6" w:rsidRPr="00282E42" w:rsidRDefault="00AD63F6" w:rsidP="00FC38AC">
      <w:pPr>
        <w:pStyle w:val="ListBullet"/>
        <w:numPr>
          <w:ilvl w:val="0"/>
          <w:numId w:val="0"/>
        </w:numPr>
        <w:ind w:left="360"/>
      </w:pPr>
      <w:r w:rsidRPr="00282E42">
        <w:t>Reports are to be provided in line with the current published list of EU reference dates and frequency of submission of PSURs until the period covered by such reports is not less than three years from the date of this approval letter.</w:t>
      </w:r>
    </w:p>
    <w:p w14:paraId="53147E56" w14:textId="79DE62FB" w:rsidR="00AD63F6" w:rsidRPr="00282E42" w:rsidRDefault="00AD63F6" w:rsidP="00FC38AC">
      <w:pPr>
        <w:pStyle w:val="ListBullet"/>
        <w:numPr>
          <w:ilvl w:val="0"/>
          <w:numId w:val="0"/>
        </w:numPr>
        <w:ind w:left="360"/>
      </w:pPr>
      <w:r w:rsidRPr="00282E42">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543F785E" w14:textId="77777777" w:rsidR="00AD63F6" w:rsidRPr="00BF52F4" w:rsidRDefault="00AD63F6" w:rsidP="00FC38AC">
      <w:pPr>
        <w:pStyle w:val="ListBullet"/>
      </w:pPr>
      <w:r w:rsidRPr="00A67D26">
        <w:t>Zyamis</w:t>
      </w:r>
      <w:r w:rsidRPr="00282E42">
        <w:rPr>
          <w:smallCaps/>
        </w:rPr>
        <w:t xml:space="preserve"> </w:t>
      </w:r>
      <w:r w:rsidRPr="00282E42">
        <w:t xml:space="preserve">(midazolam maleate) is to be included in the Black Triangle Scheme. The PI and CMI for </w:t>
      </w:r>
      <w:r w:rsidRPr="00A67D26">
        <w:t>Zyamis</w:t>
      </w:r>
      <w:r w:rsidRPr="00282E42">
        <w:t xml:space="preserve"> must include the black triangle symbol and mandatory accompanying text for five years, which starts from the date that the sponsor notifies the TGA of supply of the product.</w:t>
      </w:r>
    </w:p>
    <w:p w14:paraId="587864F0" w14:textId="77777777" w:rsidR="008E7846" w:rsidRDefault="00AA0ED0" w:rsidP="008E7846">
      <w:pPr>
        <w:pStyle w:val="Heading3"/>
      </w:pPr>
      <w:bookmarkStart w:id="137" w:name="_Toc247691531"/>
      <w:bookmarkStart w:id="138" w:name="_Toc314842515"/>
      <w:bookmarkStart w:id="139" w:name="_Toc132882400"/>
      <w:bookmarkStart w:id="140" w:name="_Toc196046505"/>
      <w:bookmarkStart w:id="141" w:name="_Toc196046949"/>
      <w:r>
        <w:t>Risk-benefit a</w:t>
      </w:r>
      <w:r w:rsidR="008E7846">
        <w:t>nalysis</w:t>
      </w:r>
      <w:bookmarkEnd w:id="137"/>
      <w:bookmarkEnd w:id="138"/>
      <w:bookmarkEnd w:id="139"/>
    </w:p>
    <w:p w14:paraId="1DC5343D" w14:textId="55FB617D" w:rsidR="00D23139" w:rsidRDefault="007D53B6" w:rsidP="00D23139">
      <w:pPr>
        <w:pStyle w:val="Heading4"/>
      </w:pPr>
      <w:r>
        <w:t>Delegate’s considerations</w:t>
      </w:r>
    </w:p>
    <w:p w14:paraId="6EC1EC62" w14:textId="3F84DCA5" w:rsidR="00D75EC9" w:rsidRDefault="00A70919" w:rsidP="00A70919">
      <w:r w:rsidRPr="005C077B">
        <w:t>This is a new indication with a new route of administration for this active ingredient. The sponsor is thus the innovator for the new indication and the new route of administration.</w:t>
      </w:r>
    </w:p>
    <w:p w14:paraId="70BAE6E7" w14:textId="77777777" w:rsidR="00A70919" w:rsidRPr="005C077B" w:rsidRDefault="00A70919" w:rsidP="00C12A66">
      <w:pPr>
        <w:pStyle w:val="ListBullet"/>
      </w:pPr>
      <w:r w:rsidRPr="005C077B">
        <w:t>Zyamis also represents a new pharmaceutical formulation (NPF) in Australia and, the sponsor is the innovator for the NPF.</w:t>
      </w:r>
    </w:p>
    <w:p w14:paraId="4D393137" w14:textId="639E02A2" w:rsidR="00A70919" w:rsidRPr="005C077B" w:rsidRDefault="00A70919" w:rsidP="00C12A66">
      <w:pPr>
        <w:pStyle w:val="ListBullet"/>
      </w:pPr>
      <w:r w:rsidRPr="005C077B">
        <w:t>A benzodiazepine in the parenteral formulation (</w:t>
      </w:r>
      <w:r w:rsidR="00C12A66">
        <w:t xml:space="preserve">DBL </w:t>
      </w:r>
      <w:r w:rsidRPr="005C077B">
        <w:t>diazepam</w:t>
      </w:r>
      <w:r w:rsidR="00C12A66">
        <w:t>,</w:t>
      </w:r>
      <w:r w:rsidR="00EC1F7E">
        <w:t xml:space="preserve"> injection);</w:t>
      </w:r>
      <w:r w:rsidR="00EC1F7E">
        <w:rPr>
          <w:rStyle w:val="FootnoteReference"/>
        </w:rPr>
        <w:footnoteReference w:id="66"/>
      </w:r>
      <w:r w:rsidRPr="005C077B">
        <w:t xml:space="preserve"> is registered</w:t>
      </w:r>
      <w:r w:rsidR="00E93B46">
        <w:t xml:space="preserve"> and approved in Australia for status e</w:t>
      </w:r>
      <w:r w:rsidRPr="005C077B">
        <w:t>pilepticus</w:t>
      </w:r>
      <w:r w:rsidR="005C077B" w:rsidRPr="005C077B">
        <w:t>,</w:t>
      </w:r>
      <w:r w:rsidRPr="005C077B">
        <w:t xml:space="preserve"> an indication akin to the one proposed for </w:t>
      </w:r>
      <w:r w:rsidR="00C12A66">
        <w:t>Zyamis.</w:t>
      </w:r>
      <w:r w:rsidRPr="005C077B">
        <w:t xml:space="preserve"> Notably however, while the sponsor wishes to limit use of their product to certain age groups, diazepam injection is neither contraindicated </w:t>
      </w:r>
      <w:r w:rsidR="00C12A66">
        <w:t>nor restricted to any age range.</w:t>
      </w:r>
    </w:p>
    <w:p w14:paraId="2621EA37" w14:textId="210F66DA" w:rsidR="00A70919" w:rsidRPr="005C077B" w:rsidRDefault="00A70919" w:rsidP="00C12A66">
      <w:pPr>
        <w:pStyle w:val="ListBullet"/>
      </w:pPr>
      <w:r w:rsidRPr="005C077B">
        <w:t xml:space="preserve">Given that </w:t>
      </w:r>
      <w:r w:rsidR="00F91755">
        <w:t>Zyamis</w:t>
      </w:r>
      <w:r w:rsidRPr="005C077B">
        <w:t xml:space="preserve"> is essentially a modified midazolam formulation, for buccal route administration and for an indication different from those of the already registered in Australia midazolam so</w:t>
      </w:r>
      <w:r w:rsidR="00EC1F7E">
        <w:t>lution for injection (Hypnovel);</w:t>
      </w:r>
      <w:bookmarkStart w:id="142" w:name="_Ref109029717"/>
      <w:r w:rsidR="00EC1F7E">
        <w:rPr>
          <w:rStyle w:val="FootnoteReference"/>
        </w:rPr>
        <w:footnoteReference w:id="67"/>
      </w:r>
      <w:bookmarkEnd w:id="142"/>
      <w:r w:rsidRPr="005C077B">
        <w:t xml:space="preserve"> the current submission could be classified as</w:t>
      </w:r>
      <w:r w:rsidR="00EC1F7E">
        <w:t xml:space="preserve"> being extension of indications of new dose form and </w:t>
      </w:r>
      <w:r w:rsidRPr="005C077B">
        <w:t>new salt</w:t>
      </w:r>
      <w:r w:rsidR="00EC1F7E">
        <w:t xml:space="preserve"> (midazolam maleate versus midazolam hydrochloride)</w:t>
      </w:r>
      <w:r w:rsidRPr="005C077B">
        <w:t>.</w:t>
      </w:r>
    </w:p>
    <w:p w14:paraId="735A5C9C" w14:textId="66E98D30" w:rsidR="00912CE4" w:rsidRDefault="00912CE4" w:rsidP="00912CE4">
      <w:pPr>
        <w:rPr>
          <w:rFonts w:asciiTheme="minorHAnsi" w:hAnsiTheme="minorHAnsi" w:cstheme="majorHAnsi"/>
          <w:lang w:eastAsia="ja-JP"/>
        </w:rPr>
      </w:pPr>
      <w:r>
        <w:rPr>
          <w:lang w:eastAsia="ja-JP"/>
        </w:rPr>
        <w:t xml:space="preserve">In agreement with the </w:t>
      </w:r>
      <w:r w:rsidR="00EC1F7E">
        <w:rPr>
          <w:lang w:eastAsia="ja-JP"/>
        </w:rPr>
        <w:t>clinical evaluation</w:t>
      </w:r>
      <w:r w:rsidR="005C077B">
        <w:rPr>
          <w:lang w:eastAsia="ja-JP"/>
        </w:rPr>
        <w:t>, the Delegate agrees that</w:t>
      </w:r>
      <w:r>
        <w:rPr>
          <w:lang w:eastAsia="ja-JP"/>
        </w:rPr>
        <w:t xml:space="preserve"> the submission is as a generic of Hypnovel rather than a</w:t>
      </w:r>
      <w:r w:rsidR="00EC1F7E">
        <w:rPr>
          <w:lang w:eastAsia="ja-JP"/>
        </w:rPr>
        <w:t xml:space="preserve"> new chemical entity</w:t>
      </w:r>
      <w:r>
        <w:rPr>
          <w:lang w:eastAsia="ja-JP"/>
        </w:rPr>
        <w:t xml:space="preserve">. The proposed product is a different salt, </w:t>
      </w:r>
      <w:r w:rsidRPr="005C077B">
        <w:rPr>
          <w:iCs/>
          <w:lang w:eastAsia="ja-JP"/>
        </w:rPr>
        <w:t>maleate</w:t>
      </w:r>
      <w:r>
        <w:rPr>
          <w:lang w:eastAsia="ja-JP"/>
        </w:rPr>
        <w:t xml:space="preserve">, rather than the hydrochloride of the Innovator </w:t>
      </w:r>
      <w:r w:rsidR="00DD7657">
        <w:rPr>
          <w:lang w:eastAsia="ja-JP"/>
        </w:rPr>
        <w:t>(</w:t>
      </w:r>
      <w:r>
        <w:rPr>
          <w:lang w:eastAsia="ja-JP"/>
        </w:rPr>
        <w:t>Hypnovel</w:t>
      </w:r>
      <w:r w:rsidR="00DD7657">
        <w:rPr>
          <w:lang w:eastAsia="ja-JP"/>
        </w:rPr>
        <w:t>)</w:t>
      </w:r>
      <w:r>
        <w:rPr>
          <w:lang w:eastAsia="ja-JP"/>
        </w:rPr>
        <w:t>. No difference in properties (other than related to the proposed new Indication and route of administration), should thus be claimed.</w:t>
      </w:r>
    </w:p>
    <w:p w14:paraId="6C9FB0EC" w14:textId="77777777" w:rsidR="00912CE4" w:rsidRPr="00BB6087" w:rsidRDefault="00912CE4" w:rsidP="00912CE4">
      <w:pPr>
        <w:rPr>
          <w:rFonts w:asciiTheme="minorHAnsi" w:hAnsiTheme="minorHAnsi" w:cstheme="majorHAnsi"/>
          <w:lang w:eastAsia="ja-JP"/>
        </w:rPr>
      </w:pPr>
      <w:r>
        <w:rPr>
          <w:rFonts w:asciiTheme="minorHAnsi" w:hAnsiTheme="minorHAnsi" w:cstheme="majorHAnsi"/>
          <w:lang w:eastAsia="ja-JP"/>
        </w:rPr>
        <w:t xml:space="preserve">Clinically, </w:t>
      </w:r>
      <w:r w:rsidRPr="00BB6087">
        <w:rPr>
          <w:rFonts w:asciiTheme="minorHAnsi" w:hAnsiTheme="minorHAnsi" w:cstheme="majorHAnsi"/>
          <w:lang w:eastAsia="ja-JP"/>
        </w:rPr>
        <w:t>seizures</w:t>
      </w:r>
      <w:r>
        <w:rPr>
          <w:rFonts w:asciiTheme="minorHAnsi" w:hAnsiTheme="minorHAnsi" w:cstheme="majorHAnsi"/>
          <w:lang w:eastAsia="ja-JP"/>
        </w:rPr>
        <w:t xml:space="preserve"> of </w:t>
      </w:r>
      <w:r w:rsidRPr="00BB6087">
        <w:rPr>
          <w:rFonts w:asciiTheme="minorHAnsi" w:hAnsiTheme="minorHAnsi" w:cstheme="majorHAnsi"/>
          <w:lang w:eastAsia="ja-JP"/>
        </w:rPr>
        <w:t xml:space="preserve">less than 5 minutes are </w:t>
      </w:r>
      <w:r>
        <w:rPr>
          <w:rFonts w:asciiTheme="minorHAnsi" w:hAnsiTheme="minorHAnsi" w:cstheme="majorHAnsi"/>
          <w:lang w:eastAsia="ja-JP"/>
        </w:rPr>
        <w:t xml:space="preserve">termed </w:t>
      </w:r>
      <w:r w:rsidRPr="00BB6087">
        <w:rPr>
          <w:rFonts w:asciiTheme="minorHAnsi" w:hAnsiTheme="minorHAnsi" w:cstheme="majorHAnsi"/>
          <w:lang w:eastAsia="ja-JP"/>
        </w:rPr>
        <w:t xml:space="preserve">‘brief’, while seizures </w:t>
      </w:r>
      <w:r>
        <w:rPr>
          <w:rFonts w:asciiTheme="minorHAnsi" w:hAnsiTheme="minorHAnsi" w:cstheme="majorHAnsi"/>
          <w:lang w:eastAsia="ja-JP"/>
        </w:rPr>
        <w:t>of</w:t>
      </w:r>
      <w:r w:rsidRPr="00BB6087">
        <w:rPr>
          <w:rFonts w:asciiTheme="minorHAnsi" w:hAnsiTheme="minorHAnsi" w:cstheme="majorHAnsi"/>
          <w:lang w:eastAsia="ja-JP"/>
        </w:rPr>
        <w:t xml:space="preserve"> between 5 </w:t>
      </w:r>
      <w:r>
        <w:rPr>
          <w:rFonts w:asciiTheme="minorHAnsi" w:hAnsiTheme="minorHAnsi" w:cstheme="majorHAnsi"/>
          <w:lang w:eastAsia="ja-JP"/>
        </w:rPr>
        <w:t>to</w:t>
      </w:r>
      <w:r w:rsidRPr="00BB6087">
        <w:rPr>
          <w:rFonts w:asciiTheme="minorHAnsi" w:hAnsiTheme="minorHAnsi" w:cstheme="majorHAnsi"/>
          <w:lang w:eastAsia="ja-JP"/>
        </w:rPr>
        <w:t xml:space="preserve"> 30 minutes are</w:t>
      </w:r>
      <w:r>
        <w:rPr>
          <w:rFonts w:asciiTheme="minorHAnsi" w:hAnsiTheme="minorHAnsi" w:cstheme="majorHAnsi"/>
          <w:lang w:eastAsia="ja-JP"/>
        </w:rPr>
        <w:t xml:space="preserve"> termed </w:t>
      </w:r>
      <w:r w:rsidRPr="00BB6087">
        <w:rPr>
          <w:rFonts w:asciiTheme="minorHAnsi" w:hAnsiTheme="minorHAnsi" w:cstheme="majorHAnsi"/>
          <w:lang w:eastAsia="ja-JP"/>
        </w:rPr>
        <w:t>‘prolonged’.</w:t>
      </w:r>
    </w:p>
    <w:p w14:paraId="45534F6F" w14:textId="587AEF7B" w:rsidR="00912CE4" w:rsidRPr="00BB6087" w:rsidRDefault="00912CE4" w:rsidP="00912CE4">
      <w:pPr>
        <w:rPr>
          <w:rFonts w:asciiTheme="minorHAnsi" w:hAnsiTheme="minorHAnsi" w:cstheme="majorHAnsi"/>
          <w:lang w:eastAsia="ja-JP"/>
        </w:rPr>
      </w:pPr>
      <w:r w:rsidRPr="00BB6087">
        <w:rPr>
          <w:rFonts w:asciiTheme="minorHAnsi" w:hAnsiTheme="minorHAnsi" w:cstheme="majorHAnsi"/>
          <w:lang w:eastAsia="ja-JP"/>
        </w:rPr>
        <w:t>Status epilepticus is defined as more than 30 minutes of either continuous seizure activity</w:t>
      </w:r>
      <w:r w:rsidR="00FF63D2">
        <w:rPr>
          <w:rFonts w:asciiTheme="minorHAnsi" w:hAnsiTheme="minorHAnsi" w:cstheme="majorHAnsi"/>
          <w:lang w:eastAsia="ja-JP"/>
        </w:rPr>
        <w:t>;</w:t>
      </w:r>
      <w:r w:rsidRPr="00BB6087">
        <w:rPr>
          <w:rFonts w:asciiTheme="minorHAnsi" w:hAnsiTheme="minorHAnsi" w:cstheme="majorHAnsi"/>
          <w:lang w:eastAsia="ja-JP"/>
        </w:rPr>
        <w:t xml:space="preserve"> or two or more sequential seizures without full recovery of consciousness between the episodes.</w:t>
      </w:r>
      <w:r w:rsidRPr="00BB6087">
        <w:rPr>
          <w:rFonts w:asciiTheme="minorHAnsi" w:hAnsiTheme="minorHAnsi"/>
        </w:rPr>
        <w:t xml:space="preserve"> </w:t>
      </w:r>
      <w:r w:rsidR="00FF63D2">
        <w:rPr>
          <w:rFonts w:asciiTheme="minorHAnsi" w:hAnsiTheme="minorHAnsi" w:cstheme="majorHAnsi"/>
          <w:lang w:eastAsia="ja-JP"/>
        </w:rPr>
        <w:t xml:space="preserve">The 30 </w:t>
      </w:r>
      <w:r w:rsidRPr="00BB6087">
        <w:rPr>
          <w:rFonts w:asciiTheme="minorHAnsi" w:hAnsiTheme="minorHAnsi" w:cstheme="majorHAnsi"/>
          <w:lang w:eastAsia="ja-JP"/>
        </w:rPr>
        <w:t>minute definition is based on the duration of convulsive activity that may lead to permanent neuronal injury by itself.</w:t>
      </w:r>
    </w:p>
    <w:p w14:paraId="281B3F59" w14:textId="6C788BF7" w:rsidR="00912CE4" w:rsidRPr="00BB6087" w:rsidRDefault="00912CE4" w:rsidP="00912CE4">
      <w:pPr>
        <w:rPr>
          <w:rFonts w:asciiTheme="minorHAnsi" w:hAnsiTheme="minorHAnsi" w:cstheme="majorHAnsi"/>
          <w:lang w:eastAsia="ja-JP"/>
        </w:rPr>
      </w:pPr>
      <w:r w:rsidRPr="00BB6087">
        <w:rPr>
          <w:rFonts w:asciiTheme="minorHAnsi" w:hAnsiTheme="minorHAnsi" w:cstheme="majorHAnsi"/>
          <w:lang w:eastAsia="ja-JP"/>
        </w:rPr>
        <w:t>About 8% of children will</w:t>
      </w:r>
      <w:r w:rsidRPr="00BB6087">
        <w:rPr>
          <w:rFonts w:asciiTheme="minorHAnsi" w:hAnsiTheme="minorHAnsi"/>
        </w:rPr>
        <w:t xml:space="preserve"> </w:t>
      </w:r>
      <w:r w:rsidRPr="00BB6087">
        <w:rPr>
          <w:rFonts w:asciiTheme="minorHAnsi" w:hAnsiTheme="minorHAnsi" w:cstheme="majorHAnsi"/>
          <w:lang w:eastAsia="ja-JP"/>
        </w:rPr>
        <w:t>have at least one seizure by 15 years of age.</w:t>
      </w:r>
      <w:r w:rsidR="00FF63D2" w:rsidRPr="00FF63D2">
        <w:rPr>
          <w:rFonts w:asciiTheme="minorHAnsi" w:hAnsiTheme="minorHAnsi" w:cstheme="majorHAnsi"/>
          <w:vertAlign w:val="superscript"/>
          <w:lang w:eastAsia="ja-JP"/>
        </w:rPr>
        <w:fldChar w:fldCharType="begin"/>
      </w:r>
      <w:r w:rsidR="00FF63D2" w:rsidRPr="00FF63D2">
        <w:rPr>
          <w:rFonts w:asciiTheme="minorHAnsi" w:hAnsiTheme="minorHAnsi" w:cstheme="majorHAnsi"/>
          <w:vertAlign w:val="superscript"/>
          <w:lang w:eastAsia="ja-JP"/>
        </w:rPr>
        <w:instrText xml:space="preserve"> NOTEREF _Ref109029369 \h </w:instrText>
      </w:r>
      <w:r w:rsidR="00FF63D2">
        <w:rPr>
          <w:rFonts w:asciiTheme="minorHAnsi" w:hAnsiTheme="minorHAnsi" w:cstheme="majorHAnsi"/>
          <w:vertAlign w:val="superscript"/>
          <w:lang w:eastAsia="ja-JP"/>
        </w:rPr>
        <w:instrText xml:space="preserve"> \* MERGEFORMAT </w:instrText>
      </w:r>
      <w:r w:rsidR="00FF63D2" w:rsidRPr="00FF63D2">
        <w:rPr>
          <w:rFonts w:asciiTheme="minorHAnsi" w:hAnsiTheme="minorHAnsi" w:cstheme="majorHAnsi"/>
          <w:vertAlign w:val="superscript"/>
          <w:lang w:eastAsia="ja-JP"/>
        </w:rPr>
      </w:r>
      <w:r w:rsidR="00FF63D2" w:rsidRPr="00FF63D2">
        <w:rPr>
          <w:rFonts w:asciiTheme="minorHAnsi" w:hAnsiTheme="minorHAnsi" w:cstheme="majorHAnsi"/>
          <w:vertAlign w:val="superscript"/>
          <w:lang w:eastAsia="ja-JP"/>
        </w:rPr>
        <w:fldChar w:fldCharType="separate"/>
      </w:r>
      <w:r w:rsidR="00AA79CE">
        <w:rPr>
          <w:rFonts w:asciiTheme="minorHAnsi" w:hAnsiTheme="minorHAnsi" w:cstheme="majorHAnsi"/>
          <w:vertAlign w:val="superscript"/>
          <w:lang w:eastAsia="ja-JP"/>
        </w:rPr>
        <w:t>6</w:t>
      </w:r>
      <w:r w:rsidR="00FF63D2" w:rsidRPr="00FF63D2">
        <w:rPr>
          <w:rFonts w:asciiTheme="minorHAnsi" w:hAnsiTheme="minorHAnsi" w:cstheme="majorHAnsi"/>
          <w:vertAlign w:val="superscript"/>
          <w:lang w:eastAsia="ja-JP"/>
        </w:rPr>
        <w:fldChar w:fldCharType="end"/>
      </w:r>
    </w:p>
    <w:p w14:paraId="385A13FF" w14:textId="5ACBB22A" w:rsidR="00912CE4" w:rsidRPr="00B906F6" w:rsidRDefault="00912CE4" w:rsidP="00912CE4">
      <w:pPr>
        <w:rPr>
          <w:rFonts w:asciiTheme="minorHAnsi" w:hAnsiTheme="minorHAnsi"/>
          <w:lang w:eastAsia="ja-JP"/>
        </w:rPr>
      </w:pPr>
      <w:r>
        <w:rPr>
          <w:rFonts w:asciiTheme="minorHAnsi" w:hAnsiTheme="minorHAnsi"/>
          <w:lang w:eastAsia="ja-JP"/>
        </w:rPr>
        <w:t xml:space="preserve">In contemporary clinical practice, it has been customary to treat </w:t>
      </w:r>
      <w:r w:rsidRPr="00CF5F69">
        <w:rPr>
          <w:rFonts w:asciiTheme="minorHAnsi" w:hAnsiTheme="minorHAnsi"/>
          <w:lang w:eastAsia="ja-JP"/>
        </w:rPr>
        <w:t xml:space="preserve">children with a history of prolonged seizures </w:t>
      </w:r>
      <w:r>
        <w:rPr>
          <w:rFonts w:asciiTheme="minorHAnsi" w:hAnsiTheme="minorHAnsi"/>
          <w:lang w:eastAsia="ja-JP"/>
        </w:rPr>
        <w:t xml:space="preserve">with </w:t>
      </w:r>
      <w:r w:rsidR="00A273D4">
        <w:rPr>
          <w:rFonts w:asciiTheme="minorHAnsi" w:hAnsiTheme="minorHAnsi"/>
          <w:lang w:eastAsia="ja-JP"/>
        </w:rPr>
        <w:t>‘</w:t>
      </w:r>
      <w:r w:rsidR="00FF63D2">
        <w:rPr>
          <w:rFonts w:asciiTheme="minorHAnsi" w:hAnsiTheme="minorHAnsi"/>
          <w:lang w:eastAsia="ja-JP"/>
        </w:rPr>
        <w:t xml:space="preserve">off-label’ </w:t>
      </w:r>
      <w:r w:rsidRPr="00CF5F69">
        <w:rPr>
          <w:rFonts w:asciiTheme="minorHAnsi" w:hAnsiTheme="minorHAnsi"/>
          <w:lang w:eastAsia="ja-JP"/>
        </w:rPr>
        <w:t>administration of rectal diazepam</w:t>
      </w:r>
      <w:r>
        <w:rPr>
          <w:rFonts w:asciiTheme="minorHAnsi" w:hAnsiTheme="minorHAnsi"/>
          <w:lang w:eastAsia="ja-JP"/>
        </w:rPr>
        <w:t xml:space="preserve">. The latter was often </w:t>
      </w:r>
      <w:r w:rsidRPr="00CF5F69">
        <w:rPr>
          <w:rFonts w:asciiTheme="minorHAnsi" w:hAnsiTheme="minorHAnsi"/>
          <w:lang w:eastAsia="ja-JP"/>
        </w:rPr>
        <w:t>provided to families along with an individuali</w:t>
      </w:r>
      <w:r w:rsidR="00B906F6">
        <w:rPr>
          <w:rFonts w:asciiTheme="minorHAnsi" w:hAnsiTheme="minorHAnsi"/>
          <w:lang w:eastAsia="ja-JP"/>
        </w:rPr>
        <w:t>s</w:t>
      </w:r>
      <w:r w:rsidRPr="00CF5F69">
        <w:rPr>
          <w:rFonts w:asciiTheme="minorHAnsi" w:hAnsiTheme="minorHAnsi"/>
          <w:lang w:eastAsia="ja-JP"/>
        </w:rPr>
        <w:t>ed treatment plan to terminate the seizure as soon as possible. Intranasal lorazepam</w:t>
      </w:r>
      <w:r>
        <w:rPr>
          <w:rFonts w:asciiTheme="minorHAnsi" w:hAnsiTheme="minorHAnsi"/>
          <w:lang w:eastAsia="ja-JP"/>
        </w:rPr>
        <w:t xml:space="preserve">, another benzodiazepine, (not listed on the ARTG) had also been used in </w:t>
      </w:r>
      <w:r w:rsidR="00B906F6">
        <w:rPr>
          <w:rFonts w:asciiTheme="minorHAnsi" w:hAnsiTheme="minorHAnsi"/>
          <w:lang w:eastAsia="ja-JP"/>
        </w:rPr>
        <w:t>s</w:t>
      </w:r>
      <w:r w:rsidR="00B906F6" w:rsidRPr="00BB6087">
        <w:rPr>
          <w:rFonts w:asciiTheme="minorHAnsi" w:hAnsiTheme="minorHAnsi" w:cstheme="majorHAnsi"/>
          <w:lang w:eastAsia="ja-JP"/>
        </w:rPr>
        <w:t xml:space="preserve">tatus </w:t>
      </w:r>
      <w:r w:rsidR="00B906F6" w:rsidRPr="00B906F6">
        <w:rPr>
          <w:rFonts w:asciiTheme="minorHAnsi" w:hAnsiTheme="minorHAnsi" w:cstheme="majorHAnsi"/>
          <w:lang w:eastAsia="ja-JP"/>
        </w:rPr>
        <w:t>epilepticus</w:t>
      </w:r>
      <w:r w:rsidRPr="00B906F6">
        <w:rPr>
          <w:rFonts w:asciiTheme="minorHAnsi" w:hAnsiTheme="minorHAnsi"/>
          <w:lang w:eastAsia="ja-JP"/>
        </w:rPr>
        <w:t>.</w:t>
      </w:r>
    </w:p>
    <w:p w14:paraId="72BDEF3B" w14:textId="28DA5C08" w:rsidR="00912CE4" w:rsidRDefault="00912CE4" w:rsidP="00912CE4">
      <w:pPr>
        <w:rPr>
          <w:rFonts w:cstheme="majorHAnsi"/>
          <w:lang w:eastAsia="ja-JP"/>
        </w:rPr>
      </w:pPr>
      <w:r w:rsidRPr="00B906F6">
        <w:rPr>
          <w:rFonts w:cstheme="majorHAnsi"/>
          <w:lang w:eastAsia="ja-JP"/>
        </w:rPr>
        <w:t xml:space="preserve">The goal of therapy in epilepsy is the rapid termination of both clinical and electrical seizure activity, since appropriate and timely therapy of </w:t>
      </w:r>
      <w:r w:rsidR="00FF63D2" w:rsidRPr="00FF63D2">
        <w:rPr>
          <w:rFonts w:cstheme="majorHAnsi"/>
          <w:lang w:eastAsia="ja-JP"/>
        </w:rPr>
        <w:t xml:space="preserve">prolonged acute convulsive seizures </w:t>
      </w:r>
      <w:r w:rsidR="00FF63D2">
        <w:rPr>
          <w:rFonts w:cstheme="majorHAnsi"/>
          <w:lang w:eastAsia="ja-JP"/>
        </w:rPr>
        <w:t xml:space="preserve">(PACS) </w:t>
      </w:r>
      <w:r w:rsidRPr="00B906F6">
        <w:rPr>
          <w:rFonts w:cstheme="majorHAnsi"/>
          <w:lang w:eastAsia="ja-JP"/>
        </w:rPr>
        <w:t>reduces the risk of progression to status epilepticus with associated</w:t>
      </w:r>
      <w:r w:rsidRPr="00820167">
        <w:rPr>
          <w:rFonts w:cstheme="majorHAnsi"/>
          <w:lang w:eastAsia="ja-JP"/>
        </w:rPr>
        <w:t xml:space="preserve"> mortality and morbidity</w:t>
      </w:r>
      <w:r>
        <w:rPr>
          <w:rFonts w:cstheme="majorHAnsi"/>
          <w:lang w:eastAsia="ja-JP"/>
        </w:rPr>
        <w:t>.</w:t>
      </w:r>
    </w:p>
    <w:p w14:paraId="7B8FA337" w14:textId="2215477D" w:rsidR="00912CE4" w:rsidRDefault="00912CE4" w:rsidP="00912CE4">
      <w:r>
        <w:t xml:space="preserve">The major </w:t>
      </w:r>
      <w:r w:rsidR="00B906F6">
        <w:t>issues noted</w:t>
      </w:r>
      <w:r>
        <w:t xml:space="preserve"> </w:t>
      </w:r>
      <w:r w:rsidR="00B906F6">
        <w:t xml:space="preserve">with a previous, similar submission </w:t>
      </w:r>
      <w:r>
        <w:t>were:</w:t>
      </w:r>
    </w:p>
    <w:p w14:paraId="50756DB0" w14:textId="1E646AF5" w:rsidR="00912CE4" w:rsidRPr="00B906F6" w:rsidRDefault="00912CE4" w:rsidP="00FF63D2">
      <w:pPr>
        <w:pStyle w:val="ListBullet"/>
      </w:pPr>
      <w:r w:rsidRPr="00B906F6">
        <w:t xml:space="preserve">the submitted comparative </w:t>
      </w:r>
      <w:r w:rsidR="00FC38AC">
        <w:t>pharmacokinetic</w:t>
      </w:r>
      <w:r w:rsidRPr="00B906F6">
        <w:t xml:space="preserve"> study was in adults as opposed to children;</w:t>
      </w:r>
    </w:p>
    <w:p w14:paraId="7F23C494" w14:textId="4382A5A4" w:rsidR="00912CE4" w:rsidRDefault="00912CE4" w:rsidP="00FF63D2">
      <w:pPr>
        <w:pStyle w:val="ListBullet"/>
      </w:pPr>
      <w:r w:rsidRPr="00B906F6">
        <w:t xml:space="preserve">the comparative </w:t>
      </w:r>
      <w:r w:rsidR="00FC38AC">
        <w:t>pharmacokinetic</w:t>
      </w:r>
      <w:r w:rsidRPr="00B906F6">
        <w:t xml:space="preserve"> parameters study was </w:t>
      </w:r>
      <w:r w:rsidRPr="000B4CF3">
        <w:t xml:space="preserve">between buccal </w:t>
      </w:r>
      <w:r w:rsidR="00B906F6">
        <w:t>m</w:t>
      </w:r>
      <w:r w:rsidRPr="000B4CF3">
        <w:t>idazolam</w:t>
      </w:r>
      <w:r>
        <w:t xml:space="preserve"> </w:t>
      </w:r>
      <w:r w:rsidRPr="000B4CF3">
        <w:t>(</w:t>
      </w:r>
      <w:r w:rsidR="00F91755">
        <w:t>Zyamis</w:t>
      </w:r>
      <w:r w:rsidR="00B906F6">
        <w:t xml:space="preserve">, </w:t>
      </w:r>
      <w:r w:rsidRPr="000B4CF3">
        <w:t xml:space="preserve">maleate salt) and parenteral </w:t>
      </w:r>
      <w:r w:rsidR="00B906F6">
        <w:t>m</w:t>
      </w:r>
      <w:r w:rsidRPr="000B4CF3">
        <w:t xml:space="preserve">idazolam </w:t>
      </w:r>
      <w:r w:rsidR="00B906F6">
        <w:t>(</w:t>
      </w:r>
      <w:r w:rsidRPr="000B4CF3">
        <w:t>Hypnovel</w:t>
      </w:r>
      <w:r w:rsidR="00B906F6">
        <w:t xml:space="preserve">; a </w:t>
      </w:r>
      <w:r w:rsidRPr="000B4CF3">
        <w:t xml:space="preserve">hydrochloride salt, not registered for the </w:t>
      </w:r>
      <w:r w:rsidRPr="0036631B">
        <w:t>buccal</w:t>
      </w:r>
      <w:r w:rsidRPr="000B4CF3">
        <w:t xml:space="preserve"> route of administration</w:t>
      </w:r>
      <w:r w:rsidR="00B906F6">
        <w:t>)</w:t>
      </w:r>
      <w:r>
        <w:t>;</w:t>
      </w:r>
      <w:r w:rsidR="00FF63D2" w:rsidRPr="00FF63D2">
        <w:rPr>
          <w:vertAlign w:val="superscript"/>
        </w:rPr>
        <w:fldChar w:fldCharType="begin"/>
      </w:r>
      <w:r w:rsidR="00FF63D2" w:rsidRPr="00FF63D2">
        <w:rPr>
          <w:vertAlign w:val="superscript"/>
        </w:rPr>
        <w:instrText xml:space="preserve"> NOTEREF _Ref109029717 \h </w:instrText>
      </w:r>
      <w:r w:rsidR="00FF63D2">
        <w:rPr>
          <w:vertAlign w:val="superscript"/>
        </w:rPr>
        <w:instrText xml:space="preserve"> \* MERGEFORMAT </w:instrText>
      </w:r>
      <w:r w:rsidR="00FF63D2" w:rsidRPr="00FF63D2">
        <w:rPr>
          <w:vertAlign w:val="superscript"/>
        </w:rPr>
      </w:r>
      <w:r w:rsidR="00FF63D2" w:rsidRPr="00FF63D2">
        <w:rPr>
          <w:vertAlign w:val="superscript"/>
        </w:rPr>
        <w:fldChar w:fldCharType="separate"/>
      </w:r>
      <w:r w:rsidR="00AA79CE">
        <w:rPr>
          <w:vertAlign w:val="superscript"/>
        </w:rPr>
        <w:t>67</w:t>
      </w:r>
      <w:r w:rsidR="00FF63D2" w:rsidRPr="00FF63D2">
        <w:rPr>
          <w:vertAlign w:val="superscript"/>
        </w:rPr>
        <w:fldChar w:fldCharType="end"/>
      </w:r>
    </w:p>
    <w:p w14:paraId="24371273" w14:textId="0FB0CFD2" w:rsidR="00912CE4" w:rsidRDefault="00FC38AC" w:rsidP="00FF63D2">
      <w:pPr>
        <w:pStyle w:val="ListBullet"/>
      </w:pPr>
      <w:r>
        <w:t>the submitted p</w:t>
      </w:r>
      <w:r w:rsidR="00912CE4">
        <w:t>op</w:t>
      </w:r>
      <w:r w:rsidR="00B906F6">
        <w:t xml:space="preserve">ulation </w:t>
      </w:r>
      <w:r>
        <w:t>pharmacokine</w:t>
      </w:r>
      <w:r w:rsidRPr="00AA79CE">
        <w:t>tic</w:t>
      </w:r>
      <w:r w:rsidR="00912CE4" w:rsidRPr="00AA79CE">
        <w:t xml:space="preserve"> data simulating</w:t>
      </w:r>
      <w:r w:rsidR="00912CE4">
        <w:t xml:space="preserve"> </w:t>
      </w:r>
      <w:r w:rsidR="00912CE4" w:rsidRPr="0036631B">
        <w:t>paediatric buccal midazolam doses</w:t>
      </w:r>
      <w:r w:rsidR="00912CE4">
        <w:t xml:space="preserve"> to</w:t>
      </w:r>
      <w:r w:rsidR="00912CE4" w:rsidRPr="0036631B">
        <w:t xml:space="preserve"> adults receiving 10</w:t>
      </w:r>
      <w:r>
        <w:t xml:space="preserve"> </w:t>
      </w:r>
      <w:r w:rsidR="00912CE4" w:rsidRPr="0036631B">
        <w:t>mg midazolam either IM (or IV)</w:t>
      </w:r>
      <w:r w:rsidR="00912CE4">
        <w:t xml:space="preserve"> for the purpose of establishing bioequivalence was negative as well as being invalidated;</w:t>
      </w:r>
    </w:p>
    <w:p w14:paraId="6E7E472F" w14:textId="262317C7" w:rsidR="00912CE4" w:rsidRDefault="00912CE4" w:rsidP="00FF63D2">
      <w:pPr>
        <w:pStyle w:val="ListBullet"/>
      </w:pPr>
      <w:r w:rsidRPr="0036631B">
        <w:t>insufficient patient number exposure</w:t>
      </w:r>
      <w:r w:rsidR="00FF63D2">
        <w:t xml:space="preserve"> in the age range 10 years to under </w:t>
      </w:r>
      <w:r>
        <w:t>18</w:t>
      </w:r>
      <w:r w:rsidR="00B906F6">
        <w:t xml:space="preserve"> </w:t>
      </w:r>
      <w:r>
        <w:t>years proposed in the</w:t>
      </w:r>
      <w:r w:rsidRPr="0036631B">
        <w:t xml:space="preserve"> indication</w:t>
      </w:r>
      <w:r>
        <w:t>;</w:t>
      </w:r>
    </w:p>
    <w:p w14:paraId="5E89BF70" w14:textId="2B512812" w:rsidR="00912CE4" w:rsidRPr="007D7F87" w:rsidRDefault="00912CE4" w:rsidP="00FF63D2">
      <w:pPr>
        <w:pStyle w:val="ListBullet"/>
      </w:pPr>
      <w:r w:rsidRPr="007D7F87">
        <w:t xml:space="preserve">inadequate identification of the buccal midazolam formulation product used in the bulk of the </w:t>
      </w:r>
      <w:r w:rsidR="00B906F6">
        <w:t xml:space="preserve">literature based </w:t>
      </w:r>
      <w:r w:rsidRPr="007D7F87">
        <w:t xml:space="preserve">data submitted, and relationship to </w:t>
      </w:r>
      <w:r>
        <w:t xml:space="preserve">the </w:t>
      </w:r>
      <w:r w:rsidR="00F91755">
        <w:t>Zyamis</w:t>
      </w:r>
      <w:r>
        <w:t xml:space="preserve"> proposed for marketing in Australia</w:t>
      </w:r>
      <w:r w:rsidR="00FF63D2">
        <w:t>.</w:t>
      </w:r>
    </w:p>
    <w:p w14:paraId="6582079F" w14:textId="6EC6B2F5" w:rsidR="00912CE4" w:rsidRDefault="00912CE4" w:rsidP="00912CE4">
      <w:pPr>
        <w:rPr>
          <w:rFonts w:asciiTheme="minorHAnsi" w:hAnsiTheme="minorHAnsi"/>
        </w:rPr>
      </w:pPr>
      <w:r w:rsidRPr="002B26E9">
        <w:t>Following pre</w:t>
      </w:r>
      <w:r w:rsidR="007161B5">
        <w:t>-</w:t>
      </w:r>
      <w:r w:rsidRPr="002B26E9">
        <w:t xml:space="preserve">submission discussions with the sponsor </w:t>
      </w:r>
      <w:r w:rsidRPr="002B26E9">
        <w:rPr>
          <w:rFonts w:asciiTheme="minorHAnsi" w:hAnsiTheme="minorHAnsi"/>
        </w:rPr>
        <w:t>and the</w:t>
      </w:r>
      <w:r w:rsidR="007161B5">
        <w:rPr>
          <w:rFonts w:asciiTheme="minorHAnsi" w:hAnsiTheme="minorHAnsi"/>
        </w:rPr>
        <w:t xml:space="preserve"> </w:t>
      </w:r>
      <w:r w:rsidRPr="002B26E9">
        <w:rPr>
          <w:rFonts w:asciiTheme="minorHAnsi" w:hAnsiTheme="minorHAnsi"/>
        </w:rPr>
        <w:t>TGA</w:t>
      </w:r>
      <w:r>
        <w:rPr>
          <w:rFonts w:asciiTheme="minorHAnsi" w:hAnsiTheme="minorHAnsi"/>
        </w:rPr>
        <w:t>,</w:t>
      </w:r>
      <w:r w:rsidRPr="002B26E9">
        <w:rPr>
          <w:rFonts w:asciiTheme="minorHAnsi" w:hAnsiTheme="minorHAnsi"/>
        </w:rPr>
        <w:t xml:space="preserve"> it was considered that an expansion of the target population for the indication</w:t>
      </w:r>
      <w:r>
        <w:rPr>
          <w:rFonts w:asciiTheme="minorHAnsi" w:hAnsiTheme="minorHAnsi"/>
        </w:rPr>
        <w:t xml:space="preserve"> is inherent. The suggestion was</w:t>
      </w:r>
      <w:r w:rsidRPr="002B26E9">
        <w:rPr>
          <w:rFonts w:asciiTheme="minorHAnsi" w:hAnsiTheme="minorHAnsi"/>
        </w:rPr>
        <w:t xml:space="preserve"> to include</w:t>
      </w:r>
      <w:r>
        <w:rPr>
          <w:rFonts w:asciiTheme="minorHAnsi" w:hAnsiTheme="minorHAnsi"/>
        </w:rPr>
        <w:t xml:space="preserve"> efficacy/safety data for the</w:t>
      </w:r>
      <w:r w:rsidRPr="002B26E9">
        <w:rPr>
          <w:rFonts w:asciiTheme="minorHAnsi" w:hAnsiTheme="minorHAnsi"/>
        </w:rPr>
        <w:t xml:space="preserve"> lo</w:t>
      </w:r>
      <w:r>
        <w:rPr>
          <w:rFonts w:asciiTheme="minorHAnsi" w:hAnsiTheme="minorHAnsi"/>
        </w:rPr>
        <w:t>wer</w:t>
      </w:r>
      <w:r w:rsidRPr="002B26E9">
        <w:rPr>
          <w:rFonts w:asciiTheme="minorHAnsi" w:hAnsiTheme="minorHAnsi"/>
        </w:rPr>
        <w:t xml:space="preserve"> aged children (infants) with sufficient data in the </w:t>
      </w:r>
      <w:r w:rsidR="007161B5">
        <w:rPr>
          <w:rFonts w:asciiTheme="minorHAnsi" w:hAnsiTheme="minorHAnsi"/>
        </w:rPr>
        <w:t>literature based submission</w:t>
      </w:r>
      <w:r>
        <w:rPr>
          <w:rFonts w:asciiTheme="minorHAnsi" w:hAnsiTheme="minorHAnsi"/>
        </w:rPr>
        <w:t xml:space="preserve"> to</w:t>
      </w:r>
      <w:r w:rsidRPr="002B26E9">
        <w:rPr>
          <w:rFonts w:asciiTheme="minorHAnsi" w:hAnsiTheme="minorHAnsi"/>
        </w:rPr>
        <w:t xml:space="preserve"> cater for the small patient number in the </w:t>
      </w:r>
      <w:r w:rsidR="007161B5">
        <w:rPr>
          <w:rFonts w:asciiTheme="minorHAnsi" w:hAnsiTheme="minorHAnsi"/>
        </w:rPr>
        <w:t>literature based submission</w:t>
      </w:r>
      <w:r w:rsidRPr="002B26E9">
        <w:rPr>
          <w:rFonts w:asciiTheme="minorHAnsi" w:hAnsiTheme="minorHAnsi"/>
        </w:rPr>
        <w:t xml:space="preserve"> wi</w:t>
      </w:r>
      <w:r w:rsidR="00B67CAA">
        <w:rPr>
          <w:rFonts w:asciiTheme="minorHAnsi" w:hAnsiTheme="minorHAnsi"/>
        </w:rPr>
        <w:t xml:space="preserve">th regards to the 10 years to under </w:t>
      </w:r>
      <w:r w:rsidRPr="002B26E9">
        <w:rPr>
          <w:rFonts w:asciiTheme="minorHAnsi" w:hAnsiTheme="minorHAnsi"/>
        </w:rPr>
        <w:t xml:space="preserve">18 year old </w:t>
      </w:r>
      <w:r>
        <w:rPr>
          <w:rFonts w:asciiTheme="minorHAnsi" w:hAnsiTheme="minorHAnsi"/>
        </w:rPr>
        <w:t xml:space="preserve">population </w:t>
      </w:r>
      <w:r w:rsidRPr="002B26E9">
        <w:rPr>
          <w:rFonts w:asciiTheme="minorHAnsi" w:hAnsiTheme="minorHAnsi"/>
        </w:rPr>
        <w:t>in the</w:t>
      </w:r>
      <w:r>
        <w:rPr>
          <w:rFonts w:asciiTheme="minorHAnsi" w:hAnsiTheme="minorHAnsi"/>
        </w:rPr>
        <w:t xml:space="preserve"> </w:t>
      </w:r>
      <w:r w:rsidRPr="002B26E9">
        <w:rPr>
          <w:rFonts w:asciiTheme="minorHAnsi" w:hAnsiTheme="minorHAnsi"/>
        </w:rPr>
        <w:t>indication,</w:t>
      </w:r>
      <w:r>
        <w:rPr>
          <w:rFonts w:asciiTheme="minorHAnsi" w:hAnsiTheme="minorHAnsi"/>
        </w:rPr>
        <w:t xml:space="preserve"> when</w:t>
      </w:r>
      <w:r w:rsidRPr="002B26E9">
        <w:rPr>
          <w:rFonts w:asciiTheme="minorHAnsi" w:hAnsiTheme="minorHAnsi"/>
        </w:rPr>
        <w:t xml:space="preserve"> </w:t>
      </w:r>
      <w:r w:rsidRPr="00D226CB">
        <w:rPr>
          <w:rFonts w:asciiTheme="minorHAnsi" w:hAnsiTheme="minorHAnsi"/>
        </w:rPr>
        <w:t>amalgamated. The above approach</w:t>
      </w:r>
      <w:r w:rsidR="00B67CAA">
        <w:rPr>
          <w:rFonts w:asciiTheme="minorHAnsi" w:hAnsiTheme="minorHAnsi"/>
        </w:rPr>
        <w:t xml:space="preserve"> will not require either </w:t>
      </w:r>
      <w:r w:rsidR="00FC38AC">
        <w:rPr>
          <w:rFonts w:asciiTheme="minorHAnsi" w:hAnsiTheme="minorHAnsi"/>
        </w:rPr>
        <w:t>pharmacokinetic</w:t>
      </w:r>
      <w:r w:rsidR="00B67CAA">
        <w:rPr>
          <w:rFonts w:asciiTheme="minorHAnsi" w:hAnsiTheme="minorHAnsi"/>
        </w:rPr>
        <w:t xml:space="preserve"> or p</w:t>
      </w:r>
      <w:r w:rsidRPr="00D226CB">
        <w:rPr>
          <w:rFonts w:asciiTheme="minorHAnsi" w:hAnsiTheme="minorHAnsi"/>
        </w:rPr>
        <w:t>op</w:t>
      </w:r>
      <w:r w:rsidR="007161B5" w:rsidRPr="00D226CB">
        <w:rPr>
          <w:rFonts w:asciiTheme="minorHAnsi" w:hAnsiTheme="minorHAnsi"/>
        </w:rPr>
        <w:t xml:space="preserve">ulation </w:t>
      </w:r>
      <w:r w:rsidR="00FC38AC">
        <w:rPr>
          <w:rFonts w:asciiTheme="minorHAnsi" w:hAnsiTheme="minorHAnsi"/>
        </w:rPr>
        <w:t>pharmacokinetic</w:t>
      </w:r>
      <w:r w:rsidRPr="00D226CB">
        <w:rPr>
          <w:rFonts w:asciiTheme="minorHAnsi" w:hAnsiTheme="minorHAnsi"/>
        </w:rPr>
        <w:t xml:space="preserve"> data in the consideration of the </w:t>
      </w:r>
      <w:r w:rsidR="00D226CB" w:rsidRPr="00D226CB">
        <w:rPr>
          <w:rFonts w:asciiTheme="minorHAnsi" w:hAnsiTheme="minorHAnsi"/>
        </w:rPr>
        <w:t xml:space="preserve">current </w:t>
      </w:r>
      <w:r w:rsidRPr="00D226CB">
        <w:rPr>
          <w:rFonts w:asciiTheme="minorHAnsi" w:hAnsiTheme="minorHAnsi"/>
        </w:rPr>
        <w:t>submission.</w:t>
      </w:r>
    </w:p>
    <w:p w14:paraId="486B5A18" w14:textId="4C67EB4D" w:rsidR="00912CE4" w:rsidRPr="002B26E9" w:rsidRDefault="007161B5" w:rsidP="00912CE4">
      <w:r>
        <w:rPr>
          <w:rFonts w:asciiTheme="minorHAnsi" w:hAnsiTheme="minorHAnsi"/>
        </w:rPr>
        <w:t xml:space="preserve">Quality data </w:t>
      </w:r>
      <w:r w:rsidR="00912CE4" w:rsidRPr="00C90849">
        <w:rPr>
          <w:rFonts w:asciiTheme="minorHAnsi" w:hAnsiTheme="minorHAnsi"/>
        </w:rPr>
        <w:t>assessment stated that</w:t>
      </w:r>
      <w:r>
        <w:rPr>
          <w:rFonts w:asciiTheme="minorHAnsi" w:hAnsiTheme="minorHAnsi"/>
        </w:rPr>
        <w:t xml:space="preserve"> </w:t>
      </w:r>
      <w:r w:rsidR="00A273D4" w:rsidRPr="007161B5">
        <w:rPr>
          <w:rFonts w:asciiTheme="minorHAnsi" w:hAnsiTheme="minorHAnsi"/>
          <w:i/>
          <w:iCs/>
        </w:rPr>
        <w:t>’</w:t>
      </w:r>
      <w:r w:rsidR="00912CE4" w:rsidRPr="007161B5">
        <w:rPr>
          <w:rFonts w:asciiTheme="minorHAnsi" w:hAnsiTheme="minorHAnsi"/>
          <w:i/>
          <w:iCs/>
        </w:rPr>
        <w:t>approval</w:t>
      </w:r>
      <w:r w:rsidR="00912CE4" w:rsidRPr="007161B5">
        <w:rPr>
          <w:i/>
          <w:iCs/>
        </w:rPr>
        <w:t xml:space="preserve"> can be recommended for registration of the proposed drug product from a pharmaceutical chemistry and quality aspect</w:t>
      </w:r>
      <w:r w:rsidR="00A273D4" w:rsidRPr="007161B5">
        <w:rPr>
          <w:i/>
          <w:iCs/>
        </w:rPr>
        <w:t>’</w:t>
      </w:r>
      <w:r w:rsidR="00912CE4" w:rsidRPr="00087B9A">
        <w:t>.</w:t>
      </w:r>
      <w:r w:rsidR="00912CE4">
        <w:t xml:space="preserve"> The latter eases the issue of inadequate</w:t>
      </w:r>
      <w:r w:rsidR="00912CE4" w:rsidRPr="007D7F87">
        <w:t xml:space="preserve"> identification of the buccal midazolam formulation product used in the bulk of the </w:t>
      </w:r>
      <w:r>
        <w:t>literature based</w:t>
      </w:r>
      <w:r w:rsidR="00912CE4" w:rsidRPr="007D7F87">
        <w:t xml:space="preserve"> data submitted and</w:t>
      </w:r>
      <w:r w:rsidR="00912CE4">
        <w:t xml:space="preserve">, the </w:t>
      </w:r>
      <w:r w:rsidR="00912CE4" w:rsidRPr="007D7F87">
        <w:t xml:space="preserve">relationship to </w:t>
      </w:r>
      <w:r w:rsidR="00F91755">
        <w:t>Zyamis</w:t>
      </w:r>
      <w:r w:rsidR="00912CE4">
        <w:t xml:space="preserve"> </w:t>
      </w:r>
      <w:r w:rsidR="00B67CAA">
        <w:t xml:space="preserve">(midazolam maleate) </w:t>
      </w:r>
      <w:r w:rsidR="00912CE4">
        <w:t>proposed for marketing in Australia, as having been insufficiently clarified.</w:t>
      </w:r>
    </w:p>
    <w:p w14:paraId="596C23CF" w14:textId="475585AA" w:rsidR="00912CE4" w:rsidRDefault="00912CE4" w:rsidP="00912CE4">
      <w:r w:rsidRPr="00790041">
        <w:rPr>
          <w:rFonts w:cstheme="majorHAnsi"/>
        </w:rPr>
        <w:t xml:space="preserve">Based on the </w:t>
      </w:r>
      <w:r w:rsidR="007161B5">
        <w:rPr>
          <w:rFonts w:cstheme="majorHAnsi"/>
        </w:rPr>
        <w:t>l</w:t>
      </w:r>
      <w:r w:rsidRPr="00790041">
        <w:rPr>
          <w:rFonts w:cstheme="majorHAnsi"/>
        </w:rPr>
        <w:t>iterature</w:t>
      </w:r>
      <w:r w:rsidR="003345C8">
        <w:rPr>
          <w:rFonts w:cstheme="majorHAnsi"/>
        </w:rPr>
        <w:t>-</w:t>
      </w:r>
      <w:r w:rsidR="007161B5">
        <w:rPr>
          <w:rFonts w:cstheme="majorHAnsi"/>
        </w:rPr>
        <w:t>b</w:t>
      </w:r>
      <w:r w:rsidRPr="00790041">
        <w:rPr>
          <w:rFonts w:cstheme="majorHAnsi"/>
        </w:rPr>
        <w:t xml:space="preserve">ased </w:t>
      </w:r>
      <w:r w:rsidR="007161B5">
        <w:rPr>
          <w:rFonts w:cstheme="majorHAnsi"/>
        </w:rPr>
        <w:t>s</w:t>
      </w:r>
      <w:r w:rsidRPr="00790041">
        <w:rPr>
          <w:rFonts w:cstheme="majorHAnsi"/>
        </w:rPr>
        <w:t xml:space="preserve">ubmission, the </w:t>
      </w:r>
      <w:r w:rsidR="007161B5">
        <w:rPr>
          <w:rFonts w:cstheme="majorHAnsi"/>
        </w:rPr>
        <w:t>clinical evaluator</w:t>
      </w:r>
      <w:r w:rsidRPr="00790041">
        <w:rPr>
          <w:rFonts w:cstheme="majorHAnsi"/>
        </w:rPr>
        <w:t xml:space="preserve"> found the benefit-risk assessment balance of </w:t>
      </w:r>
      <w:r w:rsidR="00F91755">
        <w:rPr>
          <w:rFonts w:cstheme="majorHAnsi"/>
        </w:rPr>
        <w:t>Zyamis</w:t>
      </w:r>
      <w:r w:rsidR="00B67CAA">
        <w:rPr>
          <w:rFonts w:cstheme="majorHAnsi"/>
        </w:rPr>
        <w:t xml:space="preserve"> midazolam maleate</w:t>
      </w:r>
      <w:r w:rsidRPr="00790041">
        <w:rPr>
          <w:rFonts w:cstheme="majorHAnsi"/>
        </w:rPr>
        <w:t xml:space="preserve"> for the proposed indication </w:t>
      </w:r>
      <w:r w:rsidR="00A273D4" w:rsidRPr="00B67CAA">
        <w:rPr>
          <w:rFonts w:cstheme="majorHAnsi"/>
          <w:i/>
        </w:rPr>
        <w:t>‘</w:t>
      </w:r>
      <w:r w:rsidRPr="00B67CAA">
        <w:rPr>
          <w:rFonts w:cstheme="majorHAnsi"/>
          <w:i/>
        </w:rPr>
        <w:t>the</w:t>
      </w:r>
      <w:r w:rsidRPr="00B67CAA">
        <w:rPr>
          <w:rFonts w:asciiTheme="minorHAnsi" w:hAnsiTheme="minorHAnsi" w:cs="Arial"/>
          <w:i/>
        </w:rPr>
        <w:t xml:space="preserve"> treatment of Prolonged Acute Convulsive Seizures (PACS) in infants, children and adolescents aged from 6 months to less than 18 years old</w:t>
      </w:r>
      <w:r w:rsidR="00A273D4" w:rsidRPr="00B67CAA">
        <w:rPr>
          <w:rFonts w:asciiTheme="minorHAnsi" w:hAnsiTheme="minorHAnsi" w:cs="Arial"/>
          <w:i/>
        </w:rPr>
        <w:t>’</w:t>
      </w:r>
      <w:r w:rsidRPr="00790041">
        <w:rPr>
          <w:rFonts w:asciiTheme="minorHAnsi" w:hAnsiTheme="minorHAnsi" w:cs="Arial"/>
        </w:rPr>
        <w:t>, to be</w:t>
      </w:r>
      <w:r w:rsidRPr="00790041">
        <w:rPr>
          <w:rFonts w:asciiTheme="minorHAnsi" w:hAnsiTheme="minorHAnsi"/>
        </w:rPr>
        <w:t xml:space="preserve"> favourable.</w:t>
      </w:r>
      <w:r w:rsidRPr="00242A5B">
        <w:t xml:space="preserve"> </w:t>
      </w:r>
      <w:r>
        <w:t xml:space="preserve">The </w:t>
      </w:r>
      <w:r w:rsidR="007161B5">
        <w:t>D</w:t>
      </w:r>
      <w:r>
        <w:t xml:space="preserve">elegate agrees with the </w:t>
      </w:r>
      <w:r w:rsidR="007161B5">
        <w:t xml:space="preserve">clinical </w:t>
      </w:r>
      <w:r w:rsidR="00B67CAA">
        <w:t>evaluation</w:t>
      </w:r>
      <w:r>
        <w:t xml:space="preserve"> that </w:t>
      </w:r>
      <w:r w:rsidRPr="008B7CD0">
        <w:t>efficacy has been reasonably s</w:t>
      </w:r>
      <w:r>
        <w:t xml:space="preserve">hown for the expanded age group. According to the </w:t>
      </w:r>
      <w:r w:rsidR="007161B5">
        <w:t xml:space="preserve">clinical </w:t>
      </w:r>
      <w:r w:rsidR="00B67CAA">
        <w:t>evaluation</w:t>
      </w:r>
      <w:r>
        <w:t>, the pivotal studies are those of Talukdar and Chakrabarty</w:t>
      </w:r>
      <w:r w:rsidR="00B67CAA">
        <w:t xml:space="preserve"> (2009);</w:t>
      </w:r>
      <w:r w:rsidR="00B67CAA" w:rsidRPr="00B67CAA">
        <w:rPr>
          <w:vertAlign w:val="superscript"/>
        </w:rPr>
        <w:fldChar w:fldCharType="begin"/>
      </w:r>
      <w:r w:rsidR="00B67CAA" w:rsidRPr="00B67CAA">
        <w:rPr>
          <w:vertAlign w:val="superscript"/>
        </w:rPr>
        <w:instrText xml:space="preserve"> NOTEREF _Ref108786213 \h </w:instrText>
      </w:r>
      <w:r w:rsidR="00B67CAA">
        <w:rPr>
          <w:vertAlign w:val="superscript"/>
        </w:rPr>
        <w:instrText xml:space="preserve"> \* MERGEFORMAT </w:instrText>
      </w:r>
      <w:r w:rsidR="00B67CAA" w:rsidRPr="00B67CAA">
        <w:rPr>
          <w:vertAlign w:val="superscript"/>
        </w:rPr>
      </w:r>
      <w:r w:rsidR="00B67CAA" w:rsidRPr="00B67CAA">
        <w:rPr>
          <w:vertAlign w:val="superscript"/>
        </w:rPr>
        <w:fldChar w:fldCharType="separate"/>
      </w:r>
      <w:r w:rsidR="00AA79CE">
        <w:rPr>
          <w:vertAlign w:val="superscript"/>
        </w:rPr>
        <w:t>34</w:t>
      </w:r>
      <w:r w:rsidR="00B67CAA" w:rsidRPr="00B67CAA">
        <w:rPr>
          <w:vertAlign w:val="superscript"/>
        </w:rPr>
        <w:fldChar w:fldCharType="end"/>
      </w:r>
      <w:r>
        <w:t xml:space="preserve"> and</w:t>
      </w:r>
      <w:r w:rsidRPr="00261591">
        <w:t xml:space="preserve"> </w:t>
      </w:r>
      <w:r>
        <w:t>Tonekaboni et al</w:t>
      </w:r>
      <w:r w:rsidR="00B67CAA">
        <w:t>. (2009);</w:t>
      </w:r>
      <w:r w:rsidR="00B67CAA" w:rsidRPr="00B67CAA">
        <w:rPr>
          <w:vertAlign w:val="superscript"/>
        </w:rPr>
        <w:fldChar w:fldCharType="begin"/>
      </w:r>
      <w:r w:rsidR="00B67CAA" w:rsidRPr="00B67CAA">
        <w:rPr>
          <w:vertAlign w:val="superscript"/>
        </w:rPr>
        <w:instrText xml:space="preserve"> NOTEREF _Ref108786258 \h </w:instrText>
      </w:r>
      <w:r w:rsidR="00B67CAA">
        <w:rPr>
          <w:vertAlign w:val="superscript"/>
        </w:rPr>
        <w:instrText xml:space="preserve"> \* MERGEFORMAT </w:instrText>
      </w:r>
      <w:r w:rsidR="00B67CAA" w:rsidRPr="00B67CAA">
        <w:rPr>
          <w:vertAlign w:val="superscript"/>
        </w:rPr>
      </w:r>
      <w:r w:rsidR="00B67CAA" w:rsidRPr="00B67CAA">
        <w:rPr>
          <w:vertAlign w:val="superscript"/>
        </w:rPr>
        <w:fldChar w:fldCharType="separate"/>
      </w:r>
      <w:r w:rsidR="00AA79CE">
        <w:rPr>
          <w:vertAlign w:val="superscript"/>
        </w:rPr>
        <w:t>35</w:t>
      </w:r>
      <w:r w:rsidR="00B67CAA" w:rsidRPr="00B67CAA">
        <w:rPr>
          <w:vertAlign w:val="superscript"/>
        </w:rPr>
        <w:fldChar w:fldCharType="end"/>
      </w:r>
      <w:r w:rsidRPr="00261591">
        <w:t xml:space="preserve"> </w:t>
      </w:r>
      <w:r>
        <w:t>which suggested that buccal midazolam is as effective as rectal diazepam (an off</w:t>
      </w:r>
      <w:r w:rsidR="008C3B5A">
        <w:t>-</w:t>
      </w:r>
      <w:r>
        <w:t>label route of administr</w:t>
      </w:r>
      <w:r w:rsidR="00B67CAA">
        <w:t>ation) in controlling seizures.</w:t>
      </w:r>
    </w:p>
    <w:p w14:paraId="0CEC7078" w14:textId="299765A8" w:rsidR="00F00D38" w:rsidRDefault="00F00D38" w:rsidP="00F00D38">
      <w:pPr>
        <w:pStyle w:val="Heading5"/>
      </w:pPr>
      <w:r>
        <w:t>Indication</w:t>
      </w:r>
    </w:p>
    <w:p w14:paraId="411E2E5B" w14:textId="54E5BF65" w:rsidR="00F00D38" w:rsidRPr="00790041" w:rsidRDefault="00F00D38" w:rsidP="00F00D38">
      <w:pPr>
        <w:pStyle w:val="Heading6"/>
      </w:pPr>
      <w:r>
        <w:t>Initial proposed indication</w:t>
      </w:r>
    </w:p>
    <w:p w14:paraId="25ABB13F" w14:textId="20E8DD11" w:rsidR="00912CE4" w:rsidRPr="00B67CAA" w:rsidRDefault="00B67CAA" w:rsidP="00B67CAA">
      <w:r>
        <w:t>The p</w:t>
      </w:r>
      <w:r w:rsidR="00912CE4" w:rsidRPr="00B67CAA">
        <w:t>roposed indication</w:t>
      </w:r>
      <w:r>
        <w:t>,</w:t>
      </w:r>
      <w:r w:rsidR="00912CE4" w:rsidRPr="00B67CAA">
        <w:t xml:space="preserve"> as per the </w:t>
      </w:r>
      <w:r w:rsidR="007161B5" w:rsidRPr="00B67CAA">
        <w:t>s</w:t>
      </w:r>
      <w:r w:rsidR="00912CE4" w:rsidRPr="00B67CAA">
        <w:t>ponsor</w:t>
      </w:r>
      <w:r>
        <w:t>, can be broken down into two parts</w:t>
      </w:r>
      <w:r w:rsidR="00912CE4" w:rsidRPr="00B67CAA">
        <w:t>:</w:t>
      </w:r>
    </w:p>
    <w:p w14:paraId="65863453" w14:textId="5094B714" w:rsidR="00912CE4" w:rsidRPr="00B67CAA" w:rsidRDefault="00A273D4" w:rsidP="006E08BB">
      <w:pPr>
        <w:pStyle w:val="Numberbullet0"/>
        <w:numPr>
          <w:ilvl w:val="0"/>
          <w:numId w:val="18"/>
        </w:numPr>
        <w:rPr>
          <w:i/>
        </w:rPr>
      </w:pPr>
      <w:r>
        <w:t>‘</w:t>
      </w:r>
      <w:r w:rsidR="00240BB9" w:rsidRPr="00B67CAA">
        <w:rPr>
          <w:i/>
        </w:rPr>
        <w:t>Zyamis</w:t>
      </w:r>
      <w:r w:rsidR="00912CE4" w:rsidRPr="00B67CAA">
        <w:rPr>
          <w:i/>
        </w:rPr>
        <w:t xml:space="preserve"> is indicated for the treatment of Prolonged Acute Convulsive Seizures (PACS) in infants, children and adolescents age</w:t>
      </w:r>
      <w:r w:rsidR="00FC38AC">
        <w:rPr>
          <w:i/>
        </w:rPr>
        <w:t>d from 6 months to less than 18 </w:t>
      </w:r>
      <w:r w:rsidR="00912CE4" w:rsidRPr="00B67CAA">
        <w:rPr>
          <w:i/>
        </w:rPr>
        <w:t>years old when IV Diazepam is not available or inappropriate to use</w:t>
      </w:r>
      <w:r w:rsidR="00912CE4">
        <w:t>;</w:t>
      </w:r>
    </w:p>
    <w:p w14:paraId="7B7019BE" w14:textId="5CE94258" w:rsidR="00912CE4" w:rsidRPr="00B67CAA" w:rsidRDefault="00240BB9" w:rsidP="00522270">
      <w:pPr>
        <w:pStyle w:val="Numberbullet0"/>
        <w:rPr>
          <w:i/>
        </w:rPr>
      </w:pPr>
      <w:r w:rsidRPr="00B67CAA">
        <w:rPr>
          <w:i/>
        </w:rPr>
        <w:t>Zyamis</w:t>
      </w:r>
      <w:r w:rsidR="00912CE4" w:rsidRPr="00B67CAA">
        <w:rPr>
          <w:i/>
        </w:rPr>
        <w:t xml:space="preserve">, </w:t>
      </w:r>
      <w:r w:rsidR="00912CE4" w:rsidRPr="00B67CAA">
        <w:rPr>
          <w:i/>
          <w:iCs/>
        </w:rPr>
        <w:t>when used by parents / caregivers</w:t>
      </w:r>
      <w:r w:rsidR="00912CE4" w:rsidRPr="00B67CAA">
        <w:rPr>
          <w:i/>
        </w:rPr>
        <w:t>, must only be used by parents /</w:t>
      </w:r>
      <w:r w:rsidR="00FC38AC">
        <w:rPr>
          <w:i/>
        </w:rPr>
        <w:t xml:space="preserve"> </w:t>
      </w:r>
      <w:r w:rsidR="00912CE4" w:rsidRPr="00B67CAA">
        <w:rPr>
          <w:i/>
        </w:rPr>
        <w:t xml:space="preserve">caregivers where, the patient has been diagnosed </w:t>
      </w:r>
      <w:r w:rsidR="00912CE4" w:rsidRPr="00B67CAA">
        <w:rPr>
          <w:i/>
          <w:iCs/>
        </w:rPr>
        <w:t>by a medical practitioner</w:t>
      </w:r>
      <w:r w:rsidR="00912CE4" w:rsidRPr="00B67CAA">
        <w:rPr>
          <w:i/>
          <w:u w:val="double"/>
        </w:rPr>
        <w:t xml:space="preserve"> </w:t>
      </w:r>
      <w:r w:rsidR="00912CE4" w:rsidRPr="00B67CAA">
        <w:rPr>
          <w:i/>
        </w:rPr>
        <w:t>to have epilepsy</w:t>
      </w:r>
      <w:r w:rsidR="00A273D4" w:rsidRPr="00B67CAA">
        <w:rPr>
          <w:i/>
        </w:rPr>
        <w:t>’</w:t>
      </w:r>
      <w:r w:rsidR="00912CE4" w:rsidRPr="00B67CAA">
        <w:rPr>
          <w:i/>
        </w:rPr>
        <w:t>.</w:t>
      </w:r>
    </w:p>
    <w:p w14:paraId="1D4BFCE9" w14:textId="191E403D" w:rsidR="00912CE4" w:rsidRDefault="00912CE4" w:rsidP="00912CE4">
      <w:pPr>
        <w:spacing w:before="0" w:after="0" w:line="240" w:lineRule="auto"/>
        <w:rPr>
          <w:bCs/>
        </w:rPr>
      </w:pPr>
      <w:r>
        <w:rPr>
          <w:bCs/>
        </w:rPr>
        <w:t>According to the</w:t>
      </w:r>
      <w:r w:rsidR="00B67CAA">
        <w:rPr>
          <w:bCs/>
        </w:rPr>
        <w:t xml:space="preserve"> clinical evaluation</w:t>
      </w:r>
      <w:r>
        <w:rPr>
          <w:bCs/>
        </w:rPr>
        <w:t>, the evidence from the pivotal trials in relation IV diazepam v</w:t>
      </w:r>
      <w:r w:rsidR="007161B5">
        <w:rPr>
          <w:bCs/>
        </w:rPr>
        <w:t xml:space="preserve">ersus </w:t>
      </w:r>
      <w:r>
        <w:rPr>
          <w:bCs/>
        </w:rPr>
        <w:t xml:space="preserve">midazolam does not strictly support </w:t>
      </w:r>
      <w:r w:rsidR="00B67CAA">
        <w:rPr>
          <w:bCs/>
        </w:rPr>
        <w:t>the first part of the proposed indication above, as:</w:t>
      </w:r>
    </w:p>
    <w:p w14:paraId="2C97A124" w14:textId="188AC697" w:rsidR="00912CE4" w:rsidRDefault="00912CE4" w:rsidP="00B67CAA">
      <w:pPr>
        <w:pStyle w:val="ListBullet"/>
      </w:pPr>
      <w:r>
        <w:t>The investigators were unable to show any significant difference in</w:t>
      </w:r>
      <w:r w:rsidRPr="00CB606C">
        <w:t xml:space="preserve"> </w:t>
      </w:r>
      <w:r>
        <w:t>cessation of all of motor activity (defined as stoppage of all motor activity within or by 5</w:t>
      </w:r>
      <w:r w:rsidR="00B67CAA">
        <w:t xml:space="preserve"> </w:t>
      </w:r>
      <w:r>
        <w:t>min</w:t>
      </w:r>
      <w:r w:rsidR="00B67CAA">
        <w:t>utes</w:t>
      </w:r>
      <w:r>
        <w:t xml:space="preserve"> of administration of the drug. Buccal midazolam was statistically superior to IV diazepam in the time taken to initiate treatment and the time taken from the decision to initiate treatment to control of seizures. IV diazepam was statistically superior to buccal midazolam in the effect time (the time to seizure control after drug administration);</w:t>
      </w:r>
    </w:p>
    <w:p w14:paraId="3576EB84" w14:textId="7D31D1B0" w:rsidR="00912CE4" w:rsidRPr="00CB606C" w:rsidRDefault="00912CE4" w:rsidP="00B67CAA">
      <w:pPr>
        <w:pStyle w:val="ListBullet"/>
      </w:pPr>
      <w:r>
        <w:t>In the buccal midazolam group, the first administration was effective in controlling the seizures in 13 (40%)</w:t>
      </w:r>
      <w:r w:rsidR="00CB7F66">
        <w:t xml:space="preserve"> versus </w:t>
      </w:r>
      <w:r w:rsidR="00B67CAA">
        <w:t>24 (40%)</w:t>
      </w:r>
      <w:r>
        <w:t xml:space="preserve"> in the IV diazepam group</w:t>
      </w:r>
      <w:r w:rsidR="00B67CAA">
        <w:t xml:space="preserve"> (p = 0.9)</w:t>
      </w:r>
      <w:r>
        <w:t xml:space="preserve">. </w:t>
      </w:r>
      <w:r w:rsidRPr="00CB606C">
        <w:rPr>
          <w:bCs/>
        </w:rPr>
        <w:t xml:space="preserve">The mean time required to control the convulsive episodes after administration of medications was not statistically significantly different between IV diazepam and </w:t>
      </w:r>
      <w:r>
        <w:t>buccal midazolam</w:t>
      </w:r>
    </w:p>
    <w:p w14:paraId="2E35F6E7" w14:textId="03F087AB" w:rsidR="00912CE4" w:rsidRDefault="00B67CAA" w:rsidP="00912CE4">
      <w:r>
        <w:t xml:space="preserve">For the second part of </w:t>
      </w:r>
      <w:r w:rsidR="00912CE4" w:rsidRPr="00FA2CB2">
        <w:t xml:space="preserve">the </w:t>
      </w:r>
      <w:r w:rsidR="007161B5">
        <w:t>s</w:t>
      </w:r>
      <w:r w:rsidR="00912CE4" w:rsidRPr="00FA2CB2">
        <w:t xml:space="preserve">ponsor’s proposed indication above, the </w:t>
      </w:r>
      <w:r w:rsidR="007161B5">
        <w:t>clinical evaluator</w:t>
      </w:r>
      <w:r w:rsidR="00912CE4" w:rsidRPr="00FA2CB2">
        <w:t xml:space="preserve"> stated, that it is a grammatical error as it implies that the use of </w:t>
      </w:r>
      <w:r w:rsidR="00F91755">
        <w:t>Zyamis</w:t>
      </w:r>
      <w:r w:rsidR="00912CE4" w:rsidRPr="00FA2CB2">
        <w:t xml:space="preserve"> is restricted to parents / caregivers.</w:t>
      </w:r>
    </w:p>
    <w:p w14:paraId="3D9160C5" w14:textId="4E4DAB20" w:rsidR="00F00D38" w:rsidRDefault="00F00D38" w:rsidP="00F00D38">
      <w:pPr>
        <w:pStyle w:val="Heading6"/>
      </w:pPr>
      <w:r>
        <w:t>TGA recommended amendments to the proposed indication</w:t>
      </w:r>
    </w:p>
    <w:p w14:paraId="14AACB49" w14:textId="7ACD3401" w:rsidR="00F00D38" w:rsidRPr="00F00D38" w:rsidRDefault="00F00D38" w:rsidP="00F00D38">
      <w:r>
        <w:t>The clinical evaluation recommended that the proposed indication be amended to the following:</w:t>
      </w:r>
    </w:p>
    <w:p w14:paraId="0307B936" w14:textId="55C44C96" w:rsidR="00912CE4" w:rsidRPr="00F00D38" w:rsidRDefault="00A273D4" w:rsidP="00F00D38">
      <w:pPr>
        <w:ind w:left="720"/>
        <w:rPr>
          <w:i/>
        </w:rPr>
      </w:pPr>
      <w:r w:rsidRPr="00F00D38">
        <w:rPr>
          <w:i/>
        </w:rPr>
        <w:t>‘</w:t>
      </w:r>
      <w:r w:rsidR="00240BB9" w:rsidRPr="00F00D38">
        <w:rPr>
          <w:i/>
        </w:rPr>
        <w:t>Zyamis</w:t>
      </w:r>
      <w:r w:rsidR="00912CE4" w:rsidRPr="00F00D38">
        <w:rPr>
          <w:i/>
        </w:rPr>
        <w:t xml:space="preserve"> is indicated for the treatment of prolonged, acute, convulsive seizures in children and adolescents aged 10 to less than 18 year</w:t>
      </w:r>
      <w:r w:rsidR="00F00D38" w:rsidRPr="00F00D38">
        <w:rPr>
          <w:i/>
        </w:rPr>
        <w:t>s</w:t>
      </w:r>
      <w:r w:rsidR="00912CE4" w:rsidRPr="00F00D38">
        <w:rPr>
          <w:i/>
        </w:rPr>
        <w:t>;</w:t>
      </w:r>
      <w:r w:rsidR="00F00D38" w:rsidRPr="00F00D38">
        <w:rPr>
          <w:i/>
        </w:rPr>
        <w:t xml:space="preserve"> </w:t>
      </w:r>
      <w:r w:rsidR="00240BB9" w:rsidRPr="00F00D38">
        <w:rPr>
          <w:i/>
        </w:rPr>
        <w:t>Zyamis</w:t>
      </w:r>
      <w:r w:rsidR="00912CE4" w:rsidRPr="00F00D38">
        <w:rPr>
          <w:i/>
        </w:rPr>
        <w:t xml:space="preserve"> must only be used by parents / caregivers where the patient has been diagnosed to have epilepsy</w:t>
      </w:r>
      <w:r w:rsidRPr="00F00D38">
        <w:rPr>
          <w:i/>
        </w:rPr>
        <w:t>’</w:t>
      </w:r>
      <w:r w:rsidR="00912CE4" w:rsidRPr="00F00D38">
        <w:rPr>
          <w:i/>
        </w:rPr>
        <w:t>.</w:t>
      </w:r>
    </w:p>
    <w:p w14:paraId="2598D10C" w14:textId="2A7F7848" w:rsidR="00912CE4" w:rsidRPr="00F00D38" w:rsidRDefault="00F00D38" w:rsidP="00F00D38">
      <w:r w:rsidRPr="00F00D38">
        <w:t xml:space="preserve">The </w:t>
      </w:r>
      <w:r>
        <w:t xml:space="preserve">TGA </w:t>
      </w:r>
      <w:r w:rsidRPr="00F00D38">
        <w:t>Delegate</w:t>
      </w:r>
      <w:r>
        <w:t xml:space="preserve"> recommends the indication to be changed to the following:</w:t>
      </w:r>
    </w:p>
    <w:p w14:paraId="529CEB1F" w14:textId="513F3ADA" w:rsidR="00912CE4" w:rsidRPr="00F00D38" w:rsidRDefault="00A273D4" w:rsidP="00F00D38">
      <w:pPr>
        <w:ind w:left="720"/>
        <w:rPr>
          <w:lang w:eastAsia="ja-JP"/>
        </w:rPr>
      </w:pPr>
      <w:r w:rsidRPr="00F00D38">
        <w:t>‘</w:t>
      </w:r>
      <w:r w:rsidR="00F00D38">
        <w:rPr>
          <w:lang w:eastAsia="ja-JP"/>
        </w:rPr>
        <w:t>Zyamis</w:t>
      </w:r>
      <w:r w:rsidR="00912CE4" w:rsidRPr="00F00D38">
        <w:rPr>
          <w:lang w:eastAsia="ja-JP"/>
        </w:rPr>
        <w:t>, as buccal midazolam, is indicated for the treatment of prolonged, acute, convulsive seizures in infants, children and adolescents less than 18 year old</w:t>
      </w:r>
      <w:r w:rsidRPr="00F00D38">
        <w:rPr>
          <w:lang w:eastAsia="ja-JP"/>
        </w:rPr>
        <w:t>’</w:t>
      </w:r>
      <w:r w:rsidR="00912CE4" w:rsidRPr="00F00D38">
        <w:rPr>
          <w:lang w:eastAsia="ja-JP"/>
        </w:rPr>
        <w:t>.</w:t>
      </w:r>
    </w:p>
    <w:p w14:paraId="524A75D7" w14:textId="0A509A61" w:rsidR="00912CE4" w:rsidRPr="00A67D26" w:rsidRDefault="00F00D38" w:rsidP="00F00D38">
      <w:pPr>
        <w:rPr>
          <w:lang w:eastAsia="ja-JP"/>
        </w:rPr>
      </w:pPr>
      <w:r>
        <w:rPr>
          <w:lang w:eastAsia="ja-JP"/>
        </w:rPr>
        <w:t>The Del</w:t>
      </w:r>
      <w:r w:rsidR="00383369">
        <w:rPr>
          <w:lang w:eastAsia="ja-JP"/>
        </w:rPr>
        <w:t>eg</w:t>
      </w:r>
      <w:r>
        <w:rPr>
          <w:lang w:eastAsia="ja-JP"/>
        </w:rPr>
        <w:t>ate’s r</w:t>
      </w:r>
      <w:r w:rsidR="00912CE4" w:rsidRPr="00A67D26">
        <w:rPr>
          <w:lang w:eastAsia="ja-JP"/>
        </w:rPr>
        <w:t>ationale</w:t>
      </w:r>
      <w:r>
        <w:rPr>
          <w:lang w:eastAsia="ja-JP"/>
        </w:rPr>
        <w:t xml:space="preserve"> for this indication is to propose </w:t>
      </w:r>
      <w:r>
        <w:t>s</w:t>
      </w:r>
      <w:r w:rsidR="00912CE4" w:rsidRPr="00A67D26">
        <w:t xml:space="preserve">light modification to differentiate IV </w:t>
      </w:r>
      <w:r w:rsidR="00751601" w:rsidRPr="00A67D26">
        <w:t>m</w:t>
      </w:r>
      <w:r w:rsidR="00912CE4" w:rsidRPr="00A67D26">
        <w:t xml:space="preserve">idazolam </w:t>
      </w:r>
      <w:r w:rsidR="00DD7657">
        <w:t>(</w:t>
      </w:r>
      <w:r w:rsidR="00912CE4" w:rsidRPr="00A67D26">
        <w:t>Hypnovel</w:t>
      </w:r>
      <w:r w:rsidR="00DD7657">
        <w:t>)</w:t>
      </w:r>
      <w:r w:rsidR="00912CE4" w:rsidRPr="00A67D26">
        <w:t xml:space="preserve"> fr</w:t>
      </w:r>
      <w:r w:rsidR="004B7262" w:rsidRPr="00A67D26">
        <w:t xml:space="preserve">om </w:t>
      </w:r>
      <w:r w:rsidR="00751601" w:rsidRPr="00A67D26">
        <w:rPr>
          <w:lang w:eastAsia="ja-JP"/>
        </w:rPr>
        <w:t>buccal</w:t>
      </w:r>
      <w:r w:rsidR="00912CE4" w:rsidRPr="00A67D26">
        <w:rPr>
          <w:lang w:eastAsia="ja-JP"/>
        </w:rPr>
        <w:t xml:space="preserve"> </w:t>
      </w:r>
      <w:r w:rsidR="00751601" w:rsidRPr="00A67D26">
        <w:rPr>
          <w:lang w:eastAsia="ja-JP"/>
        </w:rPr>
        <w:t>m</w:t>
      </w:r>
      <w:r w:rsidR="00912CE4" w:rsidRPr="00A67D26">
        <w:rPr>
          <w:lang w:eastAsia="ja-JP"/>
        </w:rPr>
        <w:t xml:space="preserve">idazolam </w:t>
      </w:r>
      <w:r w:rsidR="00DD7657">
        <w:rPr>
          <w:lang w:eastAsia="ja-JP"/>
        </w:rPr>
        <w:t>(</w:t>
      </w:r>
      <w:r w:rsidR="00F91755" w:rsidRPr="00A67D26">
        <w:rPr>
          <w:lang w:eastAsia="ja-JP"/>
        </w:rPr>
        <w:t>Zyamis</w:t>
      </w:r>
      <w:r w:rsidR="00DD7657">
        <w:rPr>
          <w:lang w:eastAsia="ja-JP"/>
        </w:rPr>
        <w:t>)</w:t>
      </w:r>
      <w:r w:rsidR="00912CE4" w:rsidRPr="00A67D26">
        <w:rPr>
          <w:lang w:eastAsia="ja-JP"/>
        </w:rPr>
        <w:t>;</w:t>
      </w:r>
      <w:r>
        <w:rPr>
          <w:lang w:eastAsia="ja-JP"/>
        </w:rPr>
        <w:t xml:space="preserve"> the Delegate believes</w:t>
      </w:r>
      <w:r w:rsidR="004B7262" w:rsidRPr="00A67D26">
        <w:rPr>
          <w:lang w:eastAsia="ja-JP"/>
        </w:rPr>
        <w:t xml:space="preserve"> </w:t>
      </w:r>
      <w:r w:rsidR="00912CE4" w:rsidRPr="00A67D26">
        <w:t xml:space="preserve">it is not necessary to particularly specify age when it comes to infants/children, as there is ample evidence in the </w:t>
      </w:r>
      <w:r w:rsidR="004B7262" w:rsidRPr="00A67D26">
        <w:t>literature</w:t>
      </w:r>
      <w:r w:rsidR="00912CE4" w:rsidRPr="00A67D26">
        <w:t xml:space="preserve"> that infants as young as 4 weeks received oral Buccolam/buccal midazolam.</w:t>
      </w:r>
    </w:p>
    <w:p w14:paraId="138CDDBC" w14:textId="2F330061" w:rsidR="00A67D26" w:rsidRDefault="00F00D38" w:rsidP="00F00D38">
      <w:pPr>
        <w:rPr>
          <w:lang w:eastAsia="ja-JP"/>
        </w:rPr>
      </w:pPr>
      <w:r>
        <w:rPr>
          <w:iCs/>
          <w:lang w:eastAsia="ja-JP"/>
        </w:rPr>
        <w:t>The Delegate recommends the r</w:t>
      </w:r>
      <w:r w:rsidR="00912CE4" w:rsidRPr="00A67D26">
        <w:rPr>
          <w:iCs/>
          <w:lang w:eastAsia="ja-JP"/>
        </w:rPr>
        <w:t>elocation of</w:t>
      </w:r>
      <w:r w:rsidR="00912CE4" w:rsidRPr="00A67D26">
        <w:rPr>
          <w:i/>
          <w:lang w:eastAsia="ja-JP"/>
        </w:rPr>
        <w:t xml:space="preserve"> </w:t>
      </w:r>
      <w:r>
        <w:rPr>
          <w:lang w:eastAsia="ja-JP"/>
        </w:rPr>
        <w:t xml:space="preserve">the advice that </w:t>
      </w:r>
      <w:r w:rsidR="00A273D4" w:rsidRPr="00F00D38">
        <w:rPr>
          <w:i/>
          <w:lang w:eastAsia="ja-JP"/>
        </w:rPr>
        <w:t>‘</w:t>
      </w:r>
      <w:r w:rsidRPr="00F00D38">
        <w:rPr>
          <w:i/>
          <w:lang w:eastAsia="ja-JP"/>
        </w:rPr>
        <w:t>Zyamis</w:t>
      </w:r>
      <w:r w:rsidR="00912CE4" w:rsidRPr="00F00D38">
        <w:rPr>
          <w:i/>
          <w:lang w:eastAsia="ja-JP"/>
        </w:rPr>
        <w:t>, as buccal midazolam, must only be used by parents / caregivers who have received adequate training in the use of the produc</w:t>
      </w:r>
      <w:r>
        <w:rPr>
          <w:i/>
          <w:lang w:eastAsia="ja-JP"/>
        </w:rPr>
        <w:t xml:space="preserve">t, where the patient has been </w:t>
      </w:r>
      <w:r w:rsidR="00912CE4" w:rsidRPr="00F00D38">
        <w:rPr>
          <w:i/>
          <w:lang w:eastAsia="ja-JP"/>
        </w:rPr>
        <w:t>diagnosed to have epilepsy</w:t>
      </w:r>
      <w:r w:rsidR="00A273D4" w:rsidRPr="00F00D38">
        <w:rPr>
          <w:i/>
          <w:lang w:eastAsia="ja-JP"/>
        </w:rPr>
        <w:t>’</w:t>
      </w:r>
      <w:r>
        <w:rPr>
          <w:lang w:eastAsia="ja-JP"/>
        </w:rPr>
        <w:t xml:space="preserve"> be moved to</w:t>
      </w:r>
      <w:r w:rsidR="00912CE4" w:rsidRPr="00A67D26">
        <w:rPr>
          <w:lang w:eastAsia="ja-JP"/>
        </w:rPr>
        <w:t xml:space="preserve"> the ‘Administration </w:t>
      </w:r>
      <w:r w:rsidR="004B7262" w:rsidRPr="00A67D26">
        <w:rPr>
          <w:lang w:eastAsia="ja-JP"/>
        </w:rPr>
        <w:t>and</w:t>
      </w:r>
      <w:r w:rsidR="00912CE4" w:rsidRPr="00A67D26">
        <w:rPr>
          <w:lang w:eastAsia="ja-JP"/>
        </w:rPr>
        <w:t xml:space="preserve"> Dosage’ section of the PI.</w:t>
      </w:r>
    </w:p>
    <w:p w14:paraId="52508CF5" w14:textId="256B08E2" w:rsidR="00912CE4" w:rsidRDefault="00F00D38" w:rsidP="00AD798D">
      <w:pPr>
        <w:rPr>
          <w:lang w:eastAsia="ja-JP"/>
        </w:rPr>
      </w:pPr>
      <w:r>
        <w:rPr>
          <w:lang w:eastAsia="ja-JP"/>
        </w:rPr>
        <w:t>The r</w:t>
      </w:r>
      <w:r w:rsidR="00912CE4" w:rsidRPr="00A67D26">
        <w:rPr>
          <w:lang w:eastAsia="ja-JP"/>
        </w:rPr>
        <w:t>ationale</w:t>
      </w:r>
      <w:r>
        <w:rPr>
          <w:lang w:eastAsia="ja-JP"/>
        </w:rPr>
        <w:t xml:space="preserve"> for this </w:t>
      </w:r>
      <w:r w:rsidR="00AD798D">
        <w:rPr>
          <w:lang w:eastAsia="ja-JP"/>
        </w:rPr>
        <w:t>is that it serves as more of a p</w:t>
      </w:r>
      <w:r w:rsidR="00912CE4" w:rsidRPr="00A67D26">
        <w:rPr>
          <w:lang w:eastAsia="ja-JP"/>
        </w:rPr>
        <w:t xml:space="preserve">recautionary statement akin to the administration of </w:t>
      </w:r>
      <w:r w:rsidR="00F91755" w:rsidRPr="00A67D26">
        <w:rPr>
          <w:lang w:eastAsia="ja-JP"/>
        </w:rPr>
        <w:t>Zyamis</w:t>
      </w:r>
      <w:r w:rsidR="00912CE4" w:rsidRPr="00A67D26">
        <w:rPr>
          <w:lang w:eastAsia="ja-JP"/>
        </w:rPr>
        <w:t xml:space="preserve"> rather than</w:t>
      </w:r>
      <w:r w:rsidR="00AD798D">
        <w:rPr>
          <w:lang w:eastAsia="ja-JP"/>
        </w:rPr>
        <w:t xml:space="preserve"> making up part of</w:t>
      </w:r>
      <w:r w:rsidR="00912CE4" w:rsidRPr="00A67D26">
        <w:rPr>
          <w:lang w:eastAsia="ja-JP"/>
        </w:rPr>
        <w:t xml:space="preserve"> the indication.</w:t>
      </w:r>
    </w:p>
    <w:p w14:paraId="635F3531" w14:textId="2DC54517" w:rsidR="00912CE4" w:rsidRDefault="00912CE4" w:rsidP="00AD798D">
      <w:pPr>
        <w:pStyle w:val="Heading5"/>
      </w:pPr>
      <w:r w:rsidRPr="00521623">
        <w:t>Deficiencies of the data</w:t>
      </w:r>
    </w:p>
    <w:p w14:paraId="03F83E1A" w14:textId="4CB76023" w:rsidR="00AD798D" w:rsidRPr="00AD798D" w:rsidRDefault="00AD798D" w:rsidP="00AD798D">
      <w:r>
        <w:t>The Delegate states the following as being deficiencies of the data supplied in this submission:</w:t>
      </w:r>
    </w:p>
    <w:p w14:paraId="5688861F" w14:textId="5F216976" w:rsidR="00912CE4" w:rsidRPr="007D7F87" w:rsidRDefault="00AD798D" w:rsidP="00AD798D">
      <w:pPr>
        <w:pStyle w:val="ListBullet"/>
      </w:pPr>
      <w:r>
        <w:t>l</w:t>
      </w:r>
      <w:r w:rsidR="00912CE4" w:rsidRPr="007D7F87">
        <w:t>ow level quality data (most</w:t>
      </w:r>
      <w:r w:rsidR="00912CE4">
        <w:t xml:space="preserve"> are</w:t>
      </w:r>
      <w:r w:rsidR="00912CE4" w:rsidRPr="007D7F87">
        <w:t xml:space="preserve"> open label, </w:t>
      </w:r>
      <w:r w:rsidR="00912CE4">
        <w:t xml:space="preserve">some are </w:t>
      </w:r>
      <w:r w:rsidR="00912CE4" w:rsidRPr="007D7F87">
        <w:t>testimonial-like)</w:t>
      </w:r>
      <w:r w:rsidR="00912CE4">
        <w:t>;</w:t>
      </w:r>
      <w:r>
        <w:t xml:space="preserve"> and</w:t>
      </w:r>
    </w:p>
    <w:p w14:paraId="6B00F669" w14:textId="7978A86B" w:rsidR="00AD798D" w:rsidRPr="00AD798D" w:rsidRDefault="00AD798D" w:rsidP="00AD798D">
      <w:pPr>
        <w:pStyle w:val="ListBullet"/>
        <w:rPr>
          <w:i/>
        </w:rPr>
      </w:pPr>
      <w:r>
        <w:t>i</w:t>
      </w:r>
      <w:r w:rsidR="00912CE4" w:rsidRPr="007D7F87">
        <w:t xml:space="preserve">nadequate identification of the buccal midazolam formulation product used in the bulk of the </w:t>
      </w:r>
      <w:r w:rsidR="004B7262">
        <w:t>submission</w:t>
      </w:r>
      <w:r w:rsidR="00912CE4" w:rsidRPr="007D7F87">
        <w:t xml:space="preserve"> and</w:t>
      </w:r>
      <w:r>
        <w:t xml:space="preserve"> the</w:t>
      </w:r>
      <w:r w:rsidR="00912CE4" w:rsidRPr="007D7F87">
        <w:t xml:space="preserve"> relationship to </w:t>
      </w:r>
      <w:r w:rsidR="00912CE4">
        <w:t xml:space="preserve">the </w:t>
      </w:r>
      <w:r w:rsidR="00F91755">
        <w:t>Zyamis</w:t>
      </w:r>
      <w:r w:rsidR="00912CE4">
        <w:t xml:space="preserve"> prop</w:t>
      </w:r>
      <w:r>
        <w:t>osed for marketing in Australia.</w:t>
      </w:r>
    </w:p>
    <w:p w14:paraId="3F792F36" w14:textId="2F7B9D76" w:rsidR="00912CE4" w:rsidRPr="00CD0216" w:rsidRDefault="00AD798D" w:rsidP="00AD798D">
      <w:r>
        <w:t>The Delegate stated that the latter point is</w:t>
      </w:r>
      <w:r w:rsidR="00912CE4" w:rsidRPr="00CD0216">
        <w:t xml:space="preserve"> less confronting given </w:t>
      </w:r>
      <w:r>
        <w:t>quality and pharmaceutical chemistry evaluation’s</w:t>
      </w:r>
      <w:r w:rsidR="004B7262">
        <w:t xml:space="preserve"> </w:t>
      </w:r>
      <w:r>
        <w:t>positive recommendation.</w:t>
      </w:r>
    </w:p>
    <w:p w14:paraId="54EA9117" w14:textId="77777777" w:rsidR="00AD798D" w:rsidRDefault="00912CE4" w:rsidP="00AD798D">
      <w:pPr>
        <w:pStyle w:val="Heading5"/>
      </w:pPr>
      <w:r w:rsidRPr="0070769C">
        <w:t>Conditions of registration</w:t>
      </w:r>
    </w:p>
    <w:p w14:paraId="27150D86" w14:textId="54672941" w:rsidR="00912CE4" w:rsidRPr="00AD798D" w:rsidRDefault="00AD798D" w:rsidP="00AD798D">
      <w:r>
        <w:t>I</w:t>
      </w:r>
      <w:r w:rsidR="00912CE4" w:rsidRPr="007D7F87">
        <w:t xml:space="preserve">f </w:t>
      </w:r>
      <w:r>
        <w:t>the sponsor continues to contemplate a regulatory decision to approve this product, the Delegate stated the sponsor, for this submission, must:</w:t>
      </w:r>
    </w:p>
    <w:p w14:paraId="6DB49E86" w14:textId="6478BE08" w:rsidR="00912CE4" w:rsidRPr="00CF6A68" w:rsidRDefault="00AD798D" w:rsidP="00AD798D">
      <w:pPr>
        <w:pStyle w:val="ListBullet"/>
      </w:pPr>
      <w:r>
        <w:t xml:space="preserve">be </w:t>
      </w:r>
      <w:r w:rsidR="00FC38AC">
        <w:t xml:space="preserve">in </w:t>
      </w:r>
      <w:r>
        <w:t>c</w:t>
      </w:r>
      <w:r w:rsidR="00912CE4" w:rsidRPr="00CF6A68">
        <w:t xml:space="preserve">ompliance with the </w:t>
      </w:r>
      <w:r>
        <w:t>risk management plan (RMP) evaluation’s recommendations regarding</w:t>
      </w:r>
      <w:r w:rsidR="00912CE4" w:rsidRPr="00CF6A68">
        <w:t xml:space="preserve"> risk minimisation towards the safe use of the product in the Australia community, if not already established.</w:t>
      </w:r>
    </w:p>
    <w:p w14:paraId="600252C1" w14:textId="01D29B61" w:rsidR="00AD798D" w:rsidRDefault="00AD798D" w:rsidP="00AD798D">
      <w:pPr>
        <w:pStyle w:val="Heading4"/>
        <w:rPr>
          <w:szCs w:val="22"/>
        </w:rPr>
      </w:pPr>
      <w:r>
        <w:rPr>
          <w:szCs w:val="22"/>
        </w:rPr>
        <w:t>Outstanding issues</w:t>
      </w:r>
    </w:p>
    <w:p w14:paraId="079F8712" w14:textId="69D975A3" w:rsidR="00AD798D" w:rsidRPr="00AD798D" w:rsidRDefault="00AD798D" w:rsidP="00AD798D">
      <w:r>
        <w:t>The Delegate stated that the following are the outstanding issues related to this submission:</w:t>
      </w:r>
    </w:p>
    <w:p w14:paraId="4C7F74C8" w14:textId="69A7DCCF" w:rsidR="00912CE4" w:rsidRPr="004B7262" w:rsidRDefault="00912CE4" w:rsidP="00AD798D">
      <w:pPr>
        <w:pStyle w:val="ListBullet"/>
      </w:pPr>
      <w:r w:rsidRPr="004B7262">
        <w:t>Not defining the duration of prolongation in the proposed indication is a risk concern, given that the product is expected to be distributed and use</w:t>
      </w:r>
      <w:r w:rsidR="00AD798D">
        <w:t>d at large within the community.</w:t>
      </w:r>
    </w:p>
    <w:p w14:paraId="0A341071" w14:textId="0F228241" w:rsidR="00912CE4" w:rsidRPr="004B7262" w:rsidRDefault="00912CE4" w:rsidP="00AD798D">
      <w:pPr>
        <w:pStyle w:val="ListBullet"/>
      </w:pPr>
      <w:r w:rsidRPr="004B7262">
        <w:t xml:space="preserve">As part of the risk assessment, the </w:t>
      </w:r>
      <w:r w:rsidR="00AD798D">
        <w:t>clinical evaluation</w:t>
      </w:r>
      <w:r w:rsidRPr="004B7262">
        <w:t xml:space="preserve"> refer</w:t>
      </w:r>
      <w:r w:rsidR="00AD798D">
        <w:t xml:space="preserve">red to the data on pneumonia (possibly </w:t>
      </w:r>
      <w:r w:rsidRPr="004B7262">
        <w:t xml:space="preserve">aspiration type, given that aspiration is a well-recognised complication of status epilepticus and aspiration of </w:t>
      </w:r>
      <w:r w:rsidR="00F91755">
        <w:t>Zyamis</w:t>
      </w:r>
      <w:r w:rsidRPr="004B7262">
        <w:t xml:space="preserve"> in a coughing fit episode is a strong possibility). This issue needs to be addressed as part of the risk management plan in the use of </w:t>
      </w:r>
      <w:r w:rsidR="00F91755">
        <w:t>Zyamis</w:t>
      </w:r>
      <w:r w:rsidRPr="004B7262">
        <w:t>. Use of the product in the community without adequate healthcare training, also poses a serious risk concern.</w:t>
      </w:r>
    </w:p>
    <w:p w14:paraId="3CDB1FA4" w14:textId="6AA3C4A9" w:rsidR="00912CE4" w:rsidRPr="004B7262" w:rsidRDefault="00912CE4" w:rsidP="00AD798D">
      <w:pPr>
        <w:pStyle w:val="ListBullet"/>
      </w:pPr>
      <w:r w:rsidRPr="004B7262">
        <w:t>Adherence to the recommendations to the d</w:t>
      </w:r>
      <w:r w:rsidR="004B7262">
        <w:t xml:space="preserve">raft </w:t>
      </w:r>
      <w:r w:rsidRPr="004B7262">
        <w:t xml:space="preserve">PI as per the </w:t>
      </w:r>
      <w:r w:rsidR="004B7262">
        <w:t>nonclinical</w:t>
      </w:r>
      <w:r w:rsidR="00AD798D">
        <w:t xml:space="preserve"> evaluation</w:t>
      </w:r>
      <w:r w:rsidRPr="004B7262">
        <w:t xml:space="preserve"> and recommended RMP issues.</w:t>
      </w:r>
    </w:p>
    <w:p w14:paraId="315F523F" w14:textId="12D36C67" w:rsidR="00912CE4" w:rsidRPr="00364309" w:rsidRDefault="00912CE4" w:rsidP="00A67D26">
      <w:pPr>
        <w:pStyle w:val="Heading4"/>
      </w:pPr>
      <w:r w:rsidRPr="00364309">
        <w:t>Conclusion</w:t>
      </w:r>
      <w:r w:rsidR="00A67D26">
        <w:t xml:space="preserve"> and proposed </w:t>
      </w:r>
      <w:r w:rsidR="009C7014">
        <w:t xml:space="preserve">regulatory </w:t>
      </w:r>
      <w:r w:rsidR="00A67D26">
        <w:t>action</w:t>
      </w:r>
    </w:p>
    <w:p w14:paraId="30E31374" w14:textId="304E5FE0" w:rsidR="00912CE4" w:rsidRDefault="00912CE4" w:rsidP="00912CE4">
      <w:r w:rsidRPr="007D7F87">
        <w:t>In as much as the proposed buccal midazolam product (</w:t>
      </w:r>
      <w:r w:rsidR="00F91755">
        <w:t>Zyamis</w:t>
      </w:r>
      <w:r w:rsidRPr="007D7F87">
        <w:t xml:space="preserve">) could be useful in </w:t>
      </w:r>
      <w:r>
        <w:t>PACS</w:t>
      </w:r>
      <w:r w:rsidRPr="007D7F87">
        <w:t>, it would have been far better to</w:t>
      </w:r>
      <w:r>
        <w:t xml:space="preserve"> be able to</w:t>
      </w:r>
      <w:r w:rsidRPr="007D7F87">
        <w:t xml:space="preserve"> confirm the veracity of the proposed indication </w:t>
      </w:r>
      <w:r w:rsidRPr="00D226CB">
        <w:t>and safety in its entire</w:t>
      </w:r>
      <w:r w:rsidR="00AD798D">
        <w:t>ty, based on high quality data.</w:t>
      </w:r>
    </w:p>
    <w:p w14:paraId="1B70AA33" w14:textId="30DF3A95" w:rsidR="004B7262" w:rsidRPr="00AD798D" w:rsidRDefault="00AD798D" w:rsidP="00AD798D">
      <w:pPr>
        <w:rPr>
          <w:i/>
          <w:color w:val="0070C0"/>
        </w:rPr>
      </w:pPr>
      <w:r>
        <w:t>The Delegate stated that the submission could be considered approvable.</w:t>
      </w:r>
      <w:r>
        <w:rPr>
          <w:i/>
          <w:color w:val="0070C0"/>
        </w:rPr>
        <w:t xml:space="preserve"> </w:t>
      </w:r>
      <w:r w:rsidR="004B7262" w:rsidRPr="00D226CB">
        <w:t>The Delegate was</w:t>
      </w:r>
      <w:r w:rsidR="004B7262">
        <w:t xml:space="preserve"> </w:t>
      </w:r>
      <w:r w:rsidR="004B7262" w:rsidRPr="00B9545E">
        <w:t xml:space="preserve">not in a position to say, at this time, that the </w:t>
      </w:r>
      <w:r w:rsidR="004B7262" w:rsidRPr="00240BB9">
        <w:t xml:space="preserve">application for </w:t>
      </w:r>
      <w:r w:rsidR="00F91755" w:rsidRPr="00240BB9">
        <w:t>Zyamis</w:t>
      </w:r>
      <w:r w:rsidR="004B7262" w:rsidRPr="00B9545E">
        <w:t xml:space="preserve"> should not be approved for registration</w:t>
      </w:r>
      <w:r w:rsidR="006C6DE0">
        <w:t>.</w:t>
      </w:r>
    </w:p>
    <w:p w14:paraId="14082AB2" w14:textId="77777777" w:rsidR="008E7846" w:rsidRDefault="008E7846" w:rsidP="007D53B6">
      <w:pPr>
        <w:pStyle w:val="Heading4"/>
      </w:pPr>
      <w:r>
        <w:t xml:space="preserve">Advisory Committee </w:t>
      </w:r>
      <w:r w:rsidR="007D53B6">
        <w:t>c</w:t>
      </w:r>
      <w:r>
        <w:t>onsiderations</w:t>
      </w:r>
      <w:r w:rsidR="00456765">
        <w:rPr>
          <w:rStyle w:val="FootnoteReference"/>
        </w:rPr>
        <w:footnoteReference w:id="68"/>
      </w:r>
    </w:p>
    <w:p w14:paraId="185A9DF2" w14:textId="7A338023" w:rsidR="00744121" w:rsidRDefault="00744121" w:rsidP="00744121">
      <w:pPr>
        <w:rPr>
          <w:bCs/>
        </w:rPr>
      </w:pPr>
      <w:bookmarkStart w:id="143" w:name="_Toc247691532"/>
      <w:bookmarkStart w:id="144" w:name="_Toc314842516"/>
      <w:bookmarkEnd w:id="43"/>
      <w:bookmarkEnd w:id="140"/>
      <w:bookmarkEnd w:id="141"/>
      <w:r w:rsidRPr="00456765">
        <w:rPr>
          <w:bCs/>
        </w:rPr>
        <w:t>The Advisory Committee on Medicines (ACM), having considered the evaluations and the Delegate’s overview, as well as the sponsor’s response to these documents, advised the following</w:t>
      </w:r>
      <w:r>
        <w:rPr>
          <w:bCs/>
        </w:rPr>
        <w:t>.</w:t>
      </w:r>
    </w:p>
    <w:p w14:paraId="676A17FD" w14:textId="77777777" w:rsidR="00744121" w:rsidRDefault="00744121" w:rsidP="00744121">
      <w:pPr>
        <w:pStyle w:val="Heading5"/>
      </w:pPr>
      <w:r>
        <w:t>Specific advice to the Delegate</w:t>
      </w:r>
    </w:p>
    <w:p w14:paraId="60247282" w14:textId="77777777" w:rsidR="00AD63F6" w:rsidRDefault="00AD63F6" w:rsidP="00AD63F6">
      <w:pPr>
        <w:keepNext/>
        <w:keepLines/>
      </w:pPr>
      <w:r>
        <w:t>The ACM advised the following in response to the Delegate’s specific request for advice:</w:t>
      </w:r>
    </w:p>
    <w:p w14:paraId="7149D3BE" w14:textId="0FC0F7FE" w:rsidR="00AD63F6" w:rsidRPr="009C7014" w:rsidRDefault="00AD63F6" w:rsidP="006E08BB">
      <w:pPr>
        <w:pStyle w:val="Numberbullet0"/>
        <w:numPr>
          <w:ilvl w:val="0"/>
          <w:numId w:val="17"/>
        </w:numPr>
        <w:rPr>
          <w:b/>
          <w:bCs/>
          <w:i/>
        </w:rPr>
      </w:pPr>
      <w:r w:rsidRPr="009C7014">
        <w:rPr>
          <w:b/>
          <w:bCs/>
          <w:i/>
        </w:rPr>
        <w:t xml:space="preserve">Consider the approvability of the submission stated under </w:t>
      </w:r>
      <w:r w:rsidR="00A273D4" w:rsidRPr="009C7014">
        <w:rPr>
          <w:b/>
          <w:bCs/>
          <w:i/>
        </w:rPr>
        <w:t>‘</w:t>
      </w:r>
      <w:r w:rsidR="009C7014">
        <w:rPr>
          <w:b/>
          <w:bCs/>
          <w:i/>
        </w:rPr>
        <w:t>p</w:t>
      </w:r>
      <w:r w:rsidRPr="009C7014">
        <w:rPr>
          <w:b/>
          <w:bCs/>
          <w:i/>
        </w:rPr>
        <w:t>roposed regulatory action</w:t>
      </w:r>
      <w:r w:rsidR="00A273D4" w:rsidRPr="009C7014">
        <w:rPr>
          <w:b/>
          <w:bCs/>
          <w:i/>
        </w:rPr>
        <w:t>’</w:t>
      </w:r>
      <w:r w:rsidR="009C7014">
        <w:rPr>
          <w:b/>
          <w:bCs/>
          <w:i/>
        </w:rPr>
        <w:t xml:space="preserve"> below and, the D</w:t>
      </w:r>
      <w:r w:rsidRPr="009C7014">
        <w:rPr>
          <w:b/>
          <w:bCs/>
          <w:i/>
        </w:rPr>
        <w:t>elegate’s proposed modification to the indication.</w:t>
      </w:r>
    </w:p>
    <w:p w14:paraId="384D1D28" w14:textId="77852B92" w:rsidR="00AD63F6" w:rsidRPr="009C7014" w:rsidRDefault="00AD63F6" w:rsidP="00534954">
      <w:pPr>
        <w:pStyle w:val="Numberbullet2"/>
        <w:rPr>
          <w:b/>
          <w:bCs/>
          <w:i/>
        </w:rPr>
      </w:pPr>
      <w:r w:rsidRPr="009C7014">
        <w:rPr>
          <w:b/>
          <w:bCs/>
          <w:i/>
        </w:rPr>
        <w:t>Not defining the duration of prolongation in the proposed indication is a risk concern, given that the product is expected to be distributed and used at large within the community</w:t>
      </w:r>
      <w:r w:rsidR="00534954" w:rsidRPr="009C7014">
        <w:rPr>
          <w:b/>
          <w:bCs/>
          <w:i/>
        </w:rPr>
        <w:t>.</w:t>
      </w:r>
    </w:p>
    <w:p w14:paraId="01644833" w14:textId="77777777" w:rsidR="00AD63F6" w:rsidRDefault="00AD63F6" w:rsidP="00AD63F6">
      <w:r>
        <w:t>The ACM were of the view that any prolongation of therapeutic effect should not pose a significant risk for therapy, as there is limited intention for repeat dosing within 24 hours. The ACM noted that if additional intervention was needed thereafter, this is likely to occur within a hospital setting.</w:t>
      </w:r>
    </w:p>
    <w:p w14:paraId="7F3276A2" w14:textId="77777777" w:rsidR="00AD63F6" w:rsidRDefault="00AD63F6" w:rsidP="00AD63F6">
      <w:r>
        <w:t>The ACM agreed that in-community use was the appropriate setting for this medication.</w:t>
      </w:r>
    </w:p>
    <w:p w14:paraId="4DFE2834" w14:textId="071F210F" w:rsidR="00AD63F6" w:rsidRPr="009C7014" w:rsidRDefault="00AD63F6" w:rsidP="009C7014">
      <w:pPr>
        <w:pStyle w:val="Numberbullet2"/>
        <w:rPr>
          <w:b/>
          <w:bCs/>
          <w:i/>
        </w:rPr>
      </w:pPr>
      <w:r w:rsidRPr="009C7014">
        <w:rPr>
          <w:b/>
          <w:bCs/>
          <w:i/>
        </w:rPr>
        <w:t xml:space="preserve">As part of the risk assessment, the </w:t>
      </w:r>
      <w:r w:rsidR="004B7262" w:rsidRPr="009C7014">
        <w:rPr>
          <w:b/>
          <w:bCs/>
          <w:i/>
        </w:rPr>
        <w:t>clinical evaluator</w:t>
      </w:r>
      <w:r w:rsidRPr="009C7014">
        <w:rPr>
          <w:b/>
          <w:bCs/>
          <w:i/>
        </w:rPr>
        <w:t xml:space="preserve"> refe</w:t>
      </w:r>
      <w:r w:rsidR="009C7014" w:rsidRPr="009C7014">
        <w:rPr>
          <w:b/>
          <w:bCs/>
          <w:i/>
        </w:rPr>
        <w:t xml:space="preserve">rred to the data on pneumonia (possibly </w:t>
      </w:r>
      <w:r w:rsidR="009C7014" w:rsidRPr="009C7014">
        <w:rPr>
          <w:b/>
          <w:i/>
        </w:rPr>
        <w:t>a</w:t>
      </w:r>
      <w:r w:rsidRPr="009C7014">
        <w:rPr>
          <w:b/>
          <w:i/>
        </w:rPr>
        <w:t>spiration type, given that aspiration is a well-recognised complication of status epilepticus and aspiration of Zyamis in a coughing fit episode is a strong possibility). This issue needs to be addressed as part of the risk management plan in the use of Zyamis. Use of the product in the community without adequate healthcare training, also poses a serious risk concern</w:t>
      </w:r>
    </w:p>
    <w:p w14:paraId="2A5921F1" w14:textId="77777777" w:rsidR="00AD63F6" w:rsidRDefault="00AD63F6" w:rsidP="00AD63F6">
      <w:pPr>
        <w:rPr>
          <w:lang w:val="en-US"/>
        </w:rPr>
      </w:pPr>
      <w:r>
        <w:t xml:space="preserve">The ACM advised that aspiration is a recognised complication of </w:t>
      </w:r>
      <w:r w:rsidRPr="0062228F">
        <w:rPr>
          <w:lang w:val="en-US"/>
        </w:rPr>
        <w:t>status epilepticus</w:t>
      </w:r>
      <w:r>
        <w:rPr>
          <w:lang w:val="en-US"/>
        </w:rPr>
        <w:t xml:space="preserve">, and that the aim of midazolam administration is to prevent </w:t>
      </w:r>
      <w:r w:rsidRPr="0062228F">
        <w:rPr>
          <w:lang w:val="en-US"/>
        </w:rPr>
        <w:t>status epilepticus</w:t>
      </w:r>
      <w:r>
        <w:rPr>
          <w:lang w:val="en-US"/>
        </w:rPr>
        <w:t xml:space="preserve"> and therefore lower the risk of aspiration associated with </w:t>
      </w:r>
      <w:r w:rsidRPr="0062228F">
        <w:rPr>
          <w:lang w:val="en-US"/>
        </w:rPr>
        <w:t>status epilepticus</w:t>
      </w:r>
      <w:r>
        <w:rPr>
          <w:lang w:val="en-US"/>
        </w:rPr>
        <w:t>.</w:t>
      </w:r>
    </w:p>
    <w:p w14:paraId="3877E63B" w14:textId="77777777" w:rsidR="00AD63F6" w:rsidRDefault="00AD63F6" w:rsidP="00AD63F6">
      <w:pPr>
        <w:rPr>
          <w:lang w:val="en-US"/>
        </w:rPr>
      </w:pPr>
      <w:r>
        <w:rPr>
          <w:lang w:val="en-US"/>
        </w:rPr>
        <w:t>The ACM were of the view that a</w:t>
      </w:r>
      <w:r w:rsidRPr="00256A64">
        <w:rPr>
          <w:lang w:val="en-US"/>
        </w:rPr>
        <w:t>spiration pneumonia</w:t>
      </w:r>
      <w:r>
        <w:rPr>
          <w:lang w:val="en-US"/>
        </w:rPr>
        <w:t xml:space="preserve"> is generally uncommon but may occur more commonly in</w:t>
      </w:r>
      <w:r w:rsidRPr="00256A64">
        <w:rPr>
          <w:lang w:val="en-US"/>
        </w:rPr>
        <w:t xml:space="preserve"> patients who have difficulty swallowing.</w:t>
      </w:r>
    </w:p>
    <w:p w14:paraId="6AC82A71" w14:textId="0EDD2BD2" w:rsidR="00AD63F6" w:rsidRDefault="00AD63F6" w:rsidP="00AD63F6">
      <w:pPr>
        <w:rPr>
          <w:lang w:val="en-US"/>
        </w:rPr>
      </w:pPr>
      <w:r>
        <w:rPr>
          <w:lang w:val="en-US"/>
        </w:rPr>
        <w:t>While the ACM did acknowledge the risk of aspiration of the medication with a coughing fit, they were of the view that the m</w:t>
      </w:r>
      <w:r w:rsidRPr="0062228F">
        <w:rPr>
          <w:lang w:val="en-US"/>
        </w:rPr>
        <w:t>edication is a very small volume</w:t>
      </w:r>
      <w:r>
        <w:rPr>
          <w:lang w:val="en-US"/>
        </w:rPr>
        <w:t xml:space="preserve"> (formulated as </w:t>
      </w:r>
      <w:r w:rsidR="009C7014">
        <w:rPr>
          <w:lang w:val="en-US"/>
        </w:rPr>
        <w:t>0.25 mL to 1 mL</w:t>
      </w:r>
      <w:r>
        <w:rPr>
          <w:lang w:val="en-US"/>
        </w:rPr>
        <w:t>) particularly when</w:t>
      </w:r>
      <w:r w:rsidRPr="0062228F">
        <w:rPr>
          <w:lang w:val="en-US"/>
        </w:rPr>
        <w:t xml:space="preserve"> compared to volumes of saliva being produced </w:t>
      </w:r>
      <w:r>
        <w:rPr>
          <w:lang w:val="en-US"/>
        </w:rPr>
        <w:t>and/or</w:t>
      </w:r>
      <w:r w:rsidRPr="0062228F">
        <w:rPr>
          <w:lang w:val="en-US"/>
        </w:rPr>
        <w:t xml:space="preserve"> not swallowed during </w:t>
      </w:r>
      <w:r>
        <w:rPr>
          <w:lang w:val="en-US"/>
        </w:rPr>
        <w:t xml:space="preserve">a </w:t>
      </w:r>
      <w:r w:rsidRPr="0062228F">
        <w:rPr>
          <w:lang w:val="en-US"/>
        </w:rPr>
        <w:t>convulsive seizure</w:t>
      </w:r>
      <w:r>
        <w:rPr>
          <w:lang w:val="en-US"/>
        </w:rPr>
        <w:t>.</w:t>
      </w:r>
    </w:p>
    <w:p w14:paraId="1C11160E" w14:textId="77777777" w:rsidR="00AD63F6" w:rsidRDefault="00AD63F6" w:rsidP="00AD63F6">
      <w:pPr>
        <w:rPr>
          <w:lang w:val="en-US"/>
        </w:rPr>
      </w:pPr>
      <w:r>
        <w:rPr>
          <w:lang w:val="en-US"/>
        </w:rPr>
        <w:t>To mitigate the risk of aspiration the ACM highlighted the i</w:t>
      </w:r>
      <w:r w:rsidRPr="0062228F">
        <w:rPr>
          <w:lang w:val="en-US"/>
        </w:rPr>
        <w:t xml:space="preserve">mportance of good airway positioning </w:t>
      </w:r>
      <w:r>
        <w:rPr>
          <w:lang w:val="en-US"/>
        </w:rPr>
        <w:t>and</w:t>
      </w:r>
      <w:r w:rsidRPr="0062228F">
        <w:rPr>
          <w:lang w:val="en-US"/>
        </w:rPr>
        <w:t xml:space="preserve"> </w:t>
      </w:r>
      <w:r>
        <w:rPr>
          <w:lang w:val="en-US"/>
        </w:rPr>
        <w:t xml:space="preserve">the </w:t>
      </w:r>
      <w:r w:rsidRPr="0062228F">
        <w:rPr>
          <w:lang w:val="en-US"/>
        </w:rPr>
        <w:t>recovery position</w:t>
      </w:r>
      <w:r>
        <w:rPr>
          <w:lang w:val="en-US"/>
        </w:rPr>
        <w:t>.</w:t>
      </w:r>
    </w:p>
    <w:p w14:paraId="5687EB3B" w14:textId="77777777" w:rsidR="00AD63F6" w:rsidRDefault="00AD63F6" w:rsidP="00AD63F6">
      <w:pPr>
        <w:rPr>
          <w:lang w:val="en-US"/>
        </w:rPr>
      </w:pPr>
      <w:r>
        <w:rPr>
          <w:lang w:val="en-US"/>
        </w:rPr>
        <w:t>Given that Zyamis will be used within the community the ACM recommend:</w:t>
      </w:r>
    </w:p>
    <w:p w14:paraId="37580F99" w14:textId="3CA26F8A" w:rsidR="00AD63F6" w:rsidRDefault="00B303AF" w:rsidP="009C7014">
      <w:pPr>
        <w:pStyle w:val="ListBullet"/>
        <w:rPr>
          <w:lang w:val="en-US"/>
        </w:rPr>
      </w:pPr>
      <w:r>
        <w:rPr>
          <w:lang w:val="en-US"/>
        </w:rPr>
        <w:t>g</w:t>
      </w:r>
      <w:r w:rsidR="00AD63F6">
        <w:rPr>
          <w:lang w:val="en-US"/>
        </w:rPr>
        <w:t>uided education at the time of prescribing</w:t>
      </w:r>
      <w:r>
        <w:rPr>
          <w:lang w:val="en-US"/>
        </w:rPr>
        <w:t>;</w:t>
      </w:r>
    </w:p>
    <w:p w14:paraId="485B4044" w14:textId="35B38152" w:rsidR="00AD63F6" w:rsidRDefault="00B303AF" w:rsidP="009C7014">
      <w:pPr>
        <w:pStyle w:val="ListBullet"/>
        <w:rPr>
          <w:lang w:val="en-US"/>
        </w:rPr>
      </w:pPr>
      <w:r>
        <w:rPr>
          <w:lang w:val="en-US"/>
        </w:rPr>
        <w:t>a</w:t>
      </w:r>
      <w:r w:rsidR="00AD63F6">
        <w:rPr>
          <w:lang w:val="en-US"/>
        </w:rPr>
        <w:t>vailability of ongoing education</w:t>
      </w:r>
      <w:r>
        <w:rPr>
          <w:lang w:val="en-US"/>
        </w:rPr>
        <w:t>;</w:t>
      </w:r>
    </w:p>
    <w:p w14:paraId="6FBD48D1" w14:textId="49DED77B" w:rsidR="00AD63F6" w:rsidRDefault="00B303AF" w:rsidP="009C7014">
      <w:pPr>
        <w:pStyle w:val="ListBullet"/>
        <w:rPr>
          <w:lang w:val="en-US"/>
        </w:rPr>
      </w:pPr>
      <w:r>
        <w:rPr>
          <w:lang w:val="en-US"/>
        </w:rPr>
        <w:t>e</w:t>
      </w:r>
      <w:r w:rsidR="00AD63F6">
        <w:rPr>
          <w:lang w:val="en-US"/>
        </w:rPr>
        <w:t>ncouragement of first aid training</w:t>
      </w:r>
      <w:r>
        <w:rPr>
          <w:lang w:val="en-US"/>
        </w:rPr>
        <w:t>; and</w:t>
      </w:r>
    </w:p>
    <w:p w14:paraId="4B9F6B24" w14:textId="44BF1A70" w:rsidR="00AD63F6" w:rsidRDefault="00B303AF" w:rsidP="009C7014">
      <w:pPr>
        <w:pStyle w:val="ListBullet"/>
        <w:rPr>
          <w:lang w:val="en-US"/>
        </w:rPr>
      </w:pPr>
      <w:r>
        <w:rPr>
          <w:lang w:val="en-US"/>
        </w:rPr>
        <w:t>i</w:t>
      </w:r>
      <w:r w:rsidR="00AD63F6">
        <w:rPr>
          <w:lang w:val="en-US"/>
        </w:rPr>
        <w:t xml:space="preserve">ndividualised patient plans / </w:t>
      </w:r>
      <w:r w:rsidR="00AD63F6">
        <w:rPr>
          <w:iCs/>
        </w:rPr>
        <w:t>epilepsy management plan</w:t>
      </w:r>
    </w:p>
    <w:p w14:paraId="3DDE2F9A" w14:textId="77777777" w:rsidR="00AD63F6" w:rsidRDefault="00AD63F6" w:rsidP="00AD63F6">
      <w:r>
        <w:t>The ACM acknowledged that often caregivers are not comfortable administering these treatments in an emergency setting without adequate training. The ACM is therefore very supportive of clear and targeted training and management plans.</w:t>
      </w:r>
    </w:p>
    <w:p w14:paraId="0FD4F386" w14:textId="77777777" w:rsidR="00AD63F6" w:rsidRDefault="00AD63F6" w:rsidP="00AD63F6">
      <w:r>
        <w:t>The ACM also expressed support for</w:t>
      </w:r>
      <w:r w:rsidRPr="00406514">
        <w:t xml:space="preserve"> all reasonable mechanisms to collect post-marketing data, encourage training</w:t>
      </w:r>
      <w:r>
        <w:t xml:space="preserve"> and </w:t>
      </w:r>
      <w:r w:rsidRPr="00406514">
        <w:t>minimise diversion</w:t>
      </w:r>
      <w:r>
        <w:t>.</w:t>
      </w:r>
    </w:p>
    <w:p w14:paraId="778F2794" w14:textId="77777777" w:rsidR="00AD63F6" w:rsidRDefault="00AD63F6" w:rsidP="00AD63F6">
      <w:r>
        <w:t xml:space="preserve">Overall, the ACM were of the view that </w:t>
      </w:r>
      <w:r w:rsidRPr="00406514">
        <w:t>Z</w:t>
      </w:r>
      <w:r>
        <w:t>yamis is approvable and in practice, will be a safe and effective treatment that can be administered by trained laypersons.</w:t>
      </w:r>
    </w:p>
    <w:p w14:paraId="49EE590B" w14:textId="10E264F1" w:rsidR="00AD63F6" w:rsidRPr="009C7014" w:rsidRDefault="00AD63F6" w:rsidP="00534954">
      <w:pPr>
        <w:pStyle w:val="Numberbullet0"/>
        <w:rPr>
          <w:b/>
          <w:bCs/>
          <w:i/>
        </w:rPr>
      </w:pPr>
      <w:r w:rsidRPr="009C7014">
        <w:rPr>
          <w:b/>
          <w:bCs/>
          <w:i/>
        </w:rPr>
        <w:t xml:space="preserve">Provide any other advice regarding the </w:t>
      </w:r>
      <w:r w:rsidR="009C7014">
        <w:rPr>
          <w:b/>
          <w:bCs/>
          <w:i/>
        </w:rPr>
        <w:t>literature-based</w:t>
      </w:r>
      <w:r w:rsidRPr="009C7014">
        <w:rPr>
          <w:b/>
          <w:bCs/>
          <w:i/>
        </w:rPr>
        <w:t xml:space="preserve"> </w:t>
      </w:r>
      <w:r w:rsidR="009C7014">
        <w:rPr>
          <w:b/>
          <w:bCs/>
          <w:i/>
        </w:rPr>
        <w:t>submission</w:t>
      </w:r>
      <w:r w:rsidRPr="009C7014">
        <w:rPr>
          <w:b/>
          <w:bCs/>
          <w:i/>
        </w:rPr>
        <w:t>.</w:t>
      </w:r>
    </w:p>
    <w:p w14:paraId="57DAD3A3" w14:textId="48195785" w:rsidR="00AD63F6" w:rsidRPr="009C7014" w:rsidRDefault="00AD63F6" w:rsidP="00534954">
      <w:pPr>
        <w:pStyle w:val="Numberbullet2"/>
        <w:rPr>
          <w:b/>
          <w:bCs/>
          <w:i/>
        </w:rPr>
      </w:pPr>
      <w:r w:rsidRPr="009C7014">
        <w:rPr>
          <w:b/>
          <w:bCs/>
          <w:i/>
        </w:rPr>
        <w:t>Dose comments</w:t>
      </w:r>
    </w:p>
    <w:p w14:paraId="00F5E97D" w14:textId="06990BB3" w:rsidR="00AD63F6" w:rsidRDefault="00AD63F6" w:rsidP="00AD63F6">
      <w:r>
        <w:t>The ACM noted</w:t>
      </w:r>
      <w:r w:rsidR="009C7014">
        <w:t xml:space="preserve"> this formulation of midazolam is at a concentration of 10 mg/</w:t>
      </w:r>
      <w:r>
        <w:t>mL and this is stronger than other formulations currently available (tha</w:t>
      </w:r>
      <w:r w:rsidR="009C7014">
        <w:t>t is, 5 mg in 1 mL or 5 mg in 5 </w:t>
      </w:r>
      <w:r>
        <w:t>mL).</w:t>
      </w:r>
      <w:r w:rsidR="009C7014" w:rsidRPr="009C7014">
        <w:rPr>
          <w:vertAlign w:val="superscript"/>
        </w:rPr>
        <w:fldChar w:fldCharType="begin"/>
      </w:r>
      <w:r w:rsidR="009C7014" w:rsidRPr="009C7014">
        <w:rPr>
          <w:vertAlign w:val="superscript"/>
        </w:rPr>
        <w:instrText xml:space="preserve"> NOTEREF _Ref109029717 \h </w:instrText>
      </w:r>
      <w:r w:rsidR="009C7014">
        <w:rPr>
          <w:vertAlign w:val="superscript"/>
        </w:rPr>
        <w:instrText xml:space="preserve"> \* MERGEFORMAT </w:instrText>
      </w:r>
      <w:r w:rsidR="009C7014" w:rsidRPr="009C7014">
        <w:rPr>
          <w:vertAlign w:val="superscript"/>
        </w:rPr>
      </w:r>
      <w:r w:rsidR="009C7014" w:rsidRPr="009C7014">
        <w:rPr>
          <w:vertAlign w:val="superscript"/>
        </w:rPr>
        <w:fldChar w:fldCharType="separate"/>
      </w:r>
      <w:r w:rsidR="00AA79CE">
        <w:rPr>
          <w:vertAlign w:val="superscript"/>
        </w:rPr>
        <w:t>67</w:t>
      </w:r>
      <w:r w:rsidR="009C7014" w:rsidRPr="009C7014">
        <w:rPr>
          <w:vertAlign w:val="superscript"/>
        </w:rPr>
        <w:fldChar w:fldCharType="end"/>
      </w:r>
      <w:r>
        <w:t xml:space="preserve"> The ACM were of the view that this different formulation must be clearly highlighted to users to avoid dosing errors.</w:t>
      </w:r>
    </w:p>
    <w:p w14:paraId="750B08A5" w14:textId="77777777" w:rsidR="00AD63F6" w:rsidRDefault="00AD63F6" w:rsidP="00AD63F6">
      <w:r>
        <w:t>The formulation is packaged as 2.5 mg, 5 mg, 7.5 mg and 10 mg prefilled syringes and dosage advice is based on age.</w:t>
      </w:r>
      <w:r w:rsidRPr="00B751B2">
        <w:t xml:space="preserve"> </w:t>
      </w:r>
      <w:r>
        <w:t xml:space="preserve">The ACM were of the view that caution is needed when using an age-based dosing regimen alone in order to avoid underdosing or overdosing of children who are either big or small for their age. To address this concern, the ACM advised that </w:t>
      </w:r>
      <w:r>
        <w:rPr>
          <w:iCs/>
        </w:rPr>
        <w:t xml:space="preserve">weight-based dosing may be appropriate for inclusion </w:t>
      </w:r>
      <w:r>
        <w:t>within the PI alongside the age-based dosing regimen. The ACM advised that paediatric dosing is often based on weight, with 0.3 mg/kg up to 10 mg as the usual recommendation.</w:t>
      </w:r>
    </w:p>
    <w:p w14:paraId="43579089" w14:textId="01DA49BD" w:rsidR="00AD63F6" w:rsidRPr="009C7014" w:rsidRDefault="0090261C" w:rsidP="009C7014">
      <w:pPr>
        <w:pStyle w:val="Numberbullet2"/>
        <w:rPr>
          <w:b/>
          <w:i/>
        </w:rPr>
      </w:pPr>
      <w:r>
        <w:rPr>
          <w:b/>
          <w:i/>
        </w:rPr>
        <w:t>Comments on the indication</w:t>
      </w:r>
    </w:p>
    <w:p w14:paraId="1150C10C" w14:textId="77777777" w:rsidR="00AD63F6" w:rsidRDefault="00AD63F6" w:rsidP="00AD63F6">
      <w:r>
        <w:t>The ACM discussed the age population included within the indication and were of the view, that the need for this type of medication is unlikely to disappear at the age of 18. To allow for continued use into early adulthood, the ACM would be supportive of removing the upper age restriction on the indication.</w:t>
      </w:r>
    </w:p>
    <w:p w14:paraId="620AA4B3" w14:textId="77777777" w:rsidR="00AD63F6" w:rsidRPr="001D50A2" w:rsidRDefault="00AD63F6" w:rsidP="00AD63F6">
      <w:pPr>
        <w:rPr>
          <w:iCs/>
        </w:rPr>
      </w:pPr>
      <w:r>
        <w:rPr>
          <w:iCs/>
        </w:rPr>
        <w:t>The ACM noted that the sponsor’s pre-ACM response included a request to limit administration of certain age ranges (3 to 6 months) to within the hospital. The ACM were of the view that there is limited need for this pre-filled syringe within a hospital setting, as weight-based medication is more commonly used within this environment.</w:t>
      </w:r>
    </w:p>
    <w:p w14:paraId="4D5D61D6" w14:textId="6A84E3B5" w:rsidR="00AD63F6" w:rsidRPr="0090261C" w:rsidRDefault="009C7014" w:rsidP="009C7014">
      <w:pPr>
        <w:pStyle w:val="Numberbullet2"/>
        <w:rPr>
          <w:b/>
          <w:i/>
        </w:rPr>
      </w:pPr>
      <w:r w:rsidRPr="0090261C">
        <w:rPr>
          <w:b/>
          <w:i/>
        </w:rPr>
        <w:t>Comments on the Product Indication and Consumer Medicines Information</w:t>
      </w:r>
    </w:p>
    <w:p w14:paraId="127F1D6C" w14:textId="42785574" w:rsidR="00AD63F6" w:rsidRDefault="00AD63F6" w:rsidP="00AD63F6">
      <w:pPr>
        <w:rPr>
          <w:iCs/>
        </w:rPr>
      </w:pPr>
      <w:r>
        <w:rPr>
          <w:iCs/>
        </w:rPr>
        <w:t xml:space="preserve">The ACM noted that some of the wording within the </w:t>
      </w:r>
      <w:r w:rsidR="0090261C">
        <w:rPr>
          <w:iCs/>
        </w:rPr>
        <w:t>Product Information (PI)</w:t>
      </w:r>
      <w:r>
        <w:rPr>
          <w:iCs/>
        </w:rPr>
        <w:t xml:space="preserve"> appears inappropriate, noting, for example, that the maximum dose of Zyamis is stated as 1 mL. The ACM also questioned the requirement to include state</w:t>
      </w:r>
      <w:r w:rsidR="0090261C">
        <w:rPr>
          <w:iCs/>
        </w:rPr>
        <w:t xml:space="preserve">ments regarding ethanol content (in </w:t>
      </w:r>
      <w:r>
        <w:rPr>
          <w:iCs/>
        </w:rPr>
        <w:t>alcoholism</w:t>
      </w:r>
      <w:r w:rsidR="0090261C">
        <w:rPr>
          <w:iCs/>
        </w:rPr>
        <w:t xml:space="preserve">) and maltitol content (in </w:t>
      </w:r>
      <w:r>
        <w:rPr>
          <w:iCs/>
        </w:rPr>
        <w:t>fructose intolerance</w:t>
      </w:r>
      <w:r w:rsidR="0090261C">
        <w:rPr>
          <w:iCs/>
        </w:rPr>
        <w:t>)</w:t>
      </w:r>
      <w:r>
        <w:rPr>
          <w:iCs/>
        </w:rPr>
        <w:t>.</w:t>
      </w:r>
    </w:p>
    <w:p w14:paraId="4239C17F" w14:textId="7D96D0DD" w:rsidR="0090261C" w:rsidRDefault="00AD63F6" w:rsidP="00AD63F6">
      <w:r>
        <w:t xml:space="preserve">The ACM noted that the proposed </w:t>
      </w:r>
      <w:r w:rsidR="0090261C">
        <w:t>Consumer Medicines Information (</w:t>
      </w:r>
      <w:r>
        <w:t>CMI</w:t>
      </w:r>
      <w:r w:rsidR="0090261C">
        <w:t>) currently uses wording such as:</w:t>
      </w:r>
    </w:p>
    <w:p w14:paraId="208D7560" w14:textId="77777777" w:rsidR="0090261C" w:rsidRPr="0090261C" w:rsidRDefault="00A273D4" w:rsidP="0090261C">
      <w:pPr>
        <w:ind w:firstLine="720"/>
        <w:rPr>
          <w:i/>
        </w:rPr>
      </w:pPr>
      <w:r w:rsidRPr="0090261C">
        <w:rPr>
          <w:i/>
        </w:rPr>
        <w:t>‘</w:t>
      </w:r>
      <w:r w:rsidR="00AD63F6" w:rsidRPr="0090261C">
        <w:rPr>
          <w:i/>
        </w:rPr>
        <w:t>Do not use … if you …</w:t>
      </w:r>
      <w:r w:rsidRPr="0090261C">
        <w:rPr>
          <w:i/>
        </w:rPr>
        <w:t>’</w:t>
      </w:r>
      <w:r w:rsidR="0090261C" w:rsidRPr="0090261C">
        <w:rPr>
          <w:i/>
        </w:rPr>
        <w:t>.</w:t>
      </w:r>
    </w:p>
    <w:p w14:paraId="31986112" w14:textId="022A01A3" w:rsidR="00AD63F6" w:rsidRDefault="00AD63F6" w:rsidP="0090261C">
      <w:r>
        <w:t>Given that the person administering Zyamis won’t be the patient, and as such the intended audience for this CMI would likely be the caregiver (rather than the patient), the ACM were of the view that this type of wording should be amended.</w:t>
      </w:r>
    </w:p>
    <w:p w14:paraId="0050072B" w14:textId="77777777" w:rsidR="0090261C" w:rsidRDefault="00AD63F6" w:rsidP="0090261C">
      <w:r>
        <w:rPr>
          <w:iCs/>
        </w:rPr>
        <w:t xml:space="preserve">Additionally, the ACM were of the view that the proposed CMI outlines a number of different pathways for how to manage </w:t>
      </w:r>
      <w:r w:rsidR="0090261C">
        <w:rPr>
          <w:iCs/>
        </w:rPr>
        <w:t xml:space="preserve">status epilepticus including, </w:t>
      </w:r>
      <w:r w:rsidR="0090261C">
        <w:t>seeking emergency assistance:</w:t>
      </w:r>
    </w:p>
    <w:p w14:paraId="0DC1C04D" w14:textId="2235AD8F" w:rsidR="00AD63F6" w:rsidRPr="0090261C" w:rsidRDefault="00A273D4" w:rsidP="0090261C">
      <w:pPr>
        <w:ind w:left="720"/>
        <w:rPr>
          <w:i/>
          <w:iCs/>
        </w:rPr>
      </w:pPr>
      <w:r w:rsidRPr="0090261C">
        <w:rPr>
          <w:i/>
        </w:rPr>
        <w:t>‘</w:t>
      </w:r>
      <w:r w:rsidR="0090261C" w:rsidRPr="0090261C">
        <w:rPr>
          <w:i/>
        </w:rPr>
        <w:t>C</w:t>
      </w:r>
      <w:r w:rsidR="00AD63F6" w:rsidRPr="0090261C">
        <w:rPr>
          <w:i/>
        </w:rPr>
        <w:t>all ambulance</w:t>
      </w:r>
      <w:r w:rsidRPr="0090261C">
        <w:rPr>
          <w:i/>
        </w:rPr>
        <w:t>’</w:t>
      </w:r>
      <w:r w:rsidR="00AD63F6" w:rsidRPr="0090261C">
        <w:rPr>
          <w:i/>
        </w:rPr>
        <w:t xml:space="preserve"> / </w:t>
      </w:r>
      <w:r w:rsidRPr="0090261C">
        <w:rPr>
          <w:i/>
        </w:rPr>
        <w:t>‘</w:t>
      </w:r>
      <w:r w:rsidR="00AD63F6" w:rsidRPr="0090261C">
        <w:rPr>
          <w:i/>
        </w:rPr>
        <w:t>follow your normal plan</w:t>
      </w:r>
      <w:r w:rsidRPr="0090261C">
        <w:rPr>
          <w:i/>
        </w:rPr>
        <w:t>’</w:t>
      </w:r>
      <w:r w:rsidR="00AD63F6" w:rsidRPr="0090261C">
        <w:rPr>
          <w:i/>
        </w:rPr>
        <w:t xml:space="preserve"> / </w:t>
      </w:r>
      <w:r w:rsidRPr="0090261C">
        <w:rPr>
          <w:i/>
        </w:rPr>
        <w:t>‘</w:t>
      </w:r>
      <w:r w:rsidR="0090261C" w:rsidRPr="0090261C">
        <w:rPr>
          <w:i/>
        </w:rPr>
        <w:t>contact </w:t>
      </w:r>
      <w:r w:rsidR="00AD63F6" w:rsidRPr="0090261C">
        <w:rPr>
          <w:i/>
        </w:rPr>
        <w:t>doctor</w:t>
      </w:r>
      <w:r w:rsidRPr="0090261C">
        <w:rPr>
          <w:i/>
        </w:rPr>
        <w:t>’</w:t>
      </w:r>
    </w:p>
    <w:p w14:paraId="5CFB095C" w14:textId="06635565" w:rsidR="00AD63F6" w:rsidRPr="0090261C" w:rsidRDefault="00A273D4" w:rsidP="0090261C">
      <w:pPr>
        <w:ind w:left="720"/>
      </w:pPr>
      <w:r w:rsidRPr="0090261C">
        <w:rPr>
          <w:i/>
        </w:rPr>
        <w:t>‘</w:t>
      </w:r>
      <w:r w:rsidR="00AD63F6" w:rsidRPr="0090261C">
        <w:rPr>
          <w:i/>
        </w:rPr>
        <w:t>Call ambulance … if … slow or shallow breathing or blue lips</w:t>
      </w:r>
      <w:r w:rsidRPr="0090261C">
        <w:rPr>
          <w:i/>
        </w:rPr>
        <w:t>’</w:t>
      </w:r>
    </w:p>
    <w:p w14:paraId="544DA689" w14:textId="77777777" w:rsidR="0090261C" w:rsidRDefault="0090261C" w:rsidP="0090261C">
      <w:r>
        <w:t>Or other advice:</w:t>
      </w:r>
    </w:p>
    <w:p w14:paraId="25A301E3" w14:textId="55D4805F" w:rsidR="00AD63F6" w:rsidRPr="0090261C" w:rsidRDefault="00A273D4" w:rsidP="0090261C">
      <w:pPr>
        <w:ind w:firstLine="720"/>
        <w:rPr>
          <w:i/>
        </w:rPr>
      </w:pPr>
      <w:r w:rsidRPr="0090261C">
        <w:rPr>
          <w:i/>
        </w:rPr>
        <w:t>‘</w:t>
      </w:r>
      <w:r w:rsidR="0090261C" w:rsidRPr="0090261C">
        <w:rPr>
          <w:i/>
        </w:rPr>
        <w:t>C</w:t>
      </w:r>
      <w:r w:rsidR="00AD63F6" w:rsidRPr="0090261C">
        <w:rPr>
          <w:i/>
        </w:rPr>
        <w:t>ontact your doctor before taking</w:t>
      </w:r>
      <w:r w:rsidR="0090261C" w:rsidRPr="0090261C">
        <w:rPr>
          <w:i/>
        </w:rPr>
        <w:t>…</w:t>
      </w:r>
      <w:r w:rsidRPr="0090261C">
        <w:rPr>
          <w:i/>
        </w:rPr>
        <w:t>’</w:t>
      </w:r>
    </w:p>
    <w:p w14:paraId="798C37C7" w14:textId="4B5566F4" w:rsidR="00AD63F6" w:rsidRDefault="00AD63F6" w:rsidP="00AD63F6">
      <w:pPr>
        <w:rPr>
          <w:iCs/>
        </w:rPr>
      </w:pPr>
      <w:r>
        <w:rPr>
          <w:iCs/>
        </w:rPr>
        <w:t xml:space="preserve">To avoid confusion, the ACM were of the view that a </w:t>
      </w:r>
      <w:r w:rsidR="00A273D4" w:rsidRPr="0090261C">
        <w:rPr>
          <w:i/>
          <w:iCs/>
        </w:rPr>
        <w:t>‘</w:t>
      </w:r>
      <w:r w:rsidRPr="0090261C">
        <w:rPr>
          <w:i/>
          <w:iCs/>
        </w:rPr>
        <w:t>following the current epilepsy management plan</w:t>
      </w:r>
      <w:r w:rsidR="00A273D4" w:rsidRPr="0090261C">
        <w:rPr>
          <w:i/>
          <w:iCs/>
        </w:rPr>
        <w:t>’</w:t>
      </w:r>
      <w:r>
        <w:rPr>
          <w:iCs/>
        </w:rPr>
        <w:t xml:space="preserve"> statement should be the key message within the CMI.</w:t>
      </w:r>
    </w:p>
    <w:p w14:paraId="5F2BFAEC" w14:textId="77777777" w:rsidR="00AD63F6" w:rsidRDefault="00AD63F6" w:rsidP="00BD2BAB">
      <w:pPr>
        <w:pStyle w:val="Heading5"/>
      </w:pPr>
      <w:bookmarkStart w:id="145" w:name="_Toc80356161"/>
      <w:r>
        <w:t>ACM conclusion</w:t>
      </w:r>
      <w:bookmarkEnd w:id="145"/>
    </w:p>
    <w:p w14:paraId="35462BD1" w14:textId="77777777" w:rsidR="00AD63F6" w:rsidRDefault="00AD63F6" w:rsidP="00AD63F6">
      <w:r w:rsidRPr="007E73DB">
        <w:t xml:space="preserve">The </w:t>
      </w:r>
      <w:r w:rsidRPr="00C12AE4">
        <w:t xml:space="preserve">ACM considered this product to have an </w:t>
      </w:r>
      <w:r w:rsidRPr="001E4AEE">
        <w:t>overall positive</w:t>
      </w:r>
      <w:r w:rsidRPr="00C12AE4">
        <w:t xml:space="preserve"> benefit-risk profile</w:t>
      </w:r>
      <w:r>
        <w:t xml:space="preserve"> for the indication:</w:t>
      </w:r>
    </w:p>
    <w:p w14:paraId="600BC2F8" w14:textId="59E27CB6" w:rsidR="00AD63F6" w:rsidRPr="004B4075" w:rsidRDefault="00534954" w:rsidP="00AD63F6">
      <w:pPr>
        <w:ind w:left="720"/>
        <w:rPr>
          <w:i/>
          <w:iCs/>
          <w:strike/>
        </w:rPr>
      </w:pPr>
      <w:r>
        <w:rPr>
          <w:i/>
          <w:iCs/>
        </w:rPr>
        <w:t>Zyamis</w:t>
      </w:r>
      <w:r w:rsidR="00AD63F6" w:rsidRPr="00127551">
        <w:rPr>
          <w:i/>
          <w:iCs/>
        </w:rPr>
        <w:t xml:space="preserve">, as buccal midazolam, is indicated for the treatment of prolonged, acute, convulsive seizures in </w:t>
      </w:r>
      <w:r w:rsidR="00AD63F6">
        <w:rPr>
          <w:i/>
          <w:iCs/>
        </w:rPr>
        <w:t>those over 6 months old.</w:t>
      </w:r>
    </w:p>
    <w:p w14:paraId="1E0DB842" w14:textId="35CA8C70" w:rsidR="008E7846" w:rsidRPr="002E238E" w:rsidRDefault="008E7846" w:rsidP="008E7846">
      <w:pPr>
        <w:pStyle w:val="Heading3"/>
      </w:pPr>
      <w:bookmarkStart w:id="146" w:name="_Toc132882401"/>
      <w:r>
        <w:t>Outcome</w:t>
      </w:r>
      <w:bookmarkEnd w:id="143"/>
      <w:bookmarkEnd w:id="144"/>
      <w:bookmarkEnd w:id="146"/>
    </w:p>
    <w:p w14:paraId="0F628F86" w14:textId="5B09CFAF" w:rsidR="00744121" w:rsidRPr="00F112F6" w:rsidRDefault="00744121" w:rsidP="00744121">
      <w:bookmarkStart w:id="147" w:name="_Toc247691533"/>
      <w:bookmarkStart w:id="148" w:name="_Toc314842517"/>
      <w:r w:rsidRPr="00F112F6">
        <w:t xml:space="preserve">Based on a review of quality, safety and efficacy, the TGA approved the registration of </w:t>
      </w:r>
      <w:r w:rsidR="00F112F6" w:rsidRPr="00F112F6">
        <w:t>Zyamis</w:t>
      </w:r>
      <w:r w:rsidRPr="00F112F6">
        <w:t xml:space="preserve"> (</w:t>
      </w:r>
      <w:r w:rsidR="00F112F6" w:rsidRPr="00F112F6">
        <w:t>midazolam maleate</w:t>
      </w:r>
      <w:r w:rsidRPr="00F112F6">
        <w:t>)</w:t>
      </w:r>
      <w:r w:rsidR="0090261C">
        <w:t xml:space="preserve"> 10 mg/mL </w:t>
      </w:r>
      <w:r w:rsidR="00F112F6" w:rsidRPr="00F112F6">
        <w:rPr>
          <w:rFonts w:asciiTheme="minorHAnsi" w:eastAsiaTheme="minorHAnsi" w:hAnsiTheme="minorHAnsi"/>
        </w:rPr>
        <w:t>oromucosal solution</w:t>
      </w:r>
      <w:r w:rsidR="0090261C">
        <w:rPr>
          <w:rFonts w:asciiTheme="minorHAnsi" w:eastAsiaTheme="minorHAnsi" w:hAnsiTheme="minorHAnsi"/>
        </w:rPr>
        <w:t xml:space="preserve">, formulated as </w:t>
      </w:r>
      <w:r w:rsidR="0090261C">
        <w:t xml:space="preserve">2.5 mg/0.25 mL, 5 mg/0.5 mL, 7.5 mg/0.75 mL and </w:t>
      </w:r>
      <w:r w:rsidR="0090261C" w:rsidRPr="00F112F6">
        <w:t>10 mg/</w:t>
      </w:r>
      <w:r w:rsidR="0090261C">
        <w:t xml:space="preserve">1 </w:t>
      </w:r>
      <w:r w:rsidR="0090261C" w:rsidRPr="00F112F6">
        <w:t>mL</w:t>
      </w:r>
      <w:r w:rsidR="008C3B5A" w:rsidRPr="00F112F6">
        <w:t xml:space="preserve"> pre-filled </w:t>
      </w:r>
      <w:r w:rsidR="00F112F6" w:rsidRPr="00F112F6">
        <w:t>oral syringe</w:t>
      </w:r>
      <w:r w:rsidR="0090261C">
        <w:t>s</w:t>
      </w:r>
      <w:r w:rsidRPr="00F112F6">
        <w:t>, indicated for:</w:t>
      </w:r>
    </w:p>
    <w:p w14:paraId="5328CF76" w14:textId="6FE5134B" w:rsidR="007D53B6" w:rsidRPr="00AA33A8" w:rsidRDefault="00534954" w:rsidP="00AA33A8">
      <w:pPr>
        <w:ind w:left="720"/>
        <w:rPr>
          <w:i/>
          <w:iCs/>
        </w:rPr>
      </w:pPr>
      <w:r w:rsidRPr="00F112F6">
        <w:rPr>
          <w:i/>
          <w:iCs/>
        </w:rPr>
        <w:t>Zyamis</w:t>
      </w:r>
      <w:r w:rsidR="001A273F" w:rsidRPr="00AA33A8">
        <w:rPr>
          <w:i/>
          <w:iCs/>
        </w:rPr>
        <w:t>, as buccal midazolam, is indicated for the treatment of Generalised Convulsive Status</w:t>
      </w:r>
      <w:r w:rsidR="0090261C">
        <w:rPr>
          <w:i/>
          <w:iCs/>
        </w:rPr>
        <w:t xml:space="preserve"> </w:t>
      </w:r>
      <w:r w:rsidR="001A273F" w:rsidRPr="00AA33A8">
        <w:rPr>
          <w:i/>
          <w:iCs/>
        </w:rPr>
        <w:t>Epilepticus (GCSE), in those over 6 months old.</w:t>
      </w:r>
    </w:p>
    <w:p w14:paraId="44F36CAE" w14:textId="6F693583" w:rsidR="00D23139" w:rsidRDefault="00D23139" w:rsidP="00D23139">
      <w:pPr>
        <w:pStyle w:val="Heading4"/>
      </w:pPr>
      <w:r w:rsidRPr="00D23139">
        <w:t>Specific conditions of registration applying to these goods</w:t>
      </w:r>
    </w:p>
    <w:p w14:paraId="3236E6B1" w14:textId="5E8BAAFD" w:rsidR="001A273F" w:rsidRPr="001A273F" w:rsidRDefault="001A273F" w:rsidP="006E08BB">
      <w:pPr>
        <w:pStyle w:val="Numberbullet0"/>
        <w:numPr>
          <w:ilvl w:val="0"/>
          <w:numId w:val="16"/>
        </w:numPr>
      </w:pPr>
      <w:r w:rsidRPr="001A273F">
        <w:t>Z</w:t>
      </w:r>
      <w:r w:rsidR="00534954">
        <w:t>yamis</w:t>
      </w:r>
      <w:r w:rsidRPr="001A273F">
        <w:t xml:space="preserve"> (midazolam) is to be included in the Black Triangle Scheme. The PI and CMI for Z</w:t>
      </w:r>
      <w:r w:rsidR="00534954">
        <w:t>yamis</w:t>
      </w:r>
      <w:r w:rsidRPr="001A273F">
        <w:t xml:space="preserve"> must include the black triangle symbol and mandatory accompanying text for five years, which starts from the date that the sponsor notifies the TGA of supply of the </w:t>
      </w:r>
      <w:r>
        <w:t>pr</w:t>
      </w:r>
      <w:r w:rsidRPr="001A273F">
        <w:t>oduct.</w:t>
      </w:r>
    </w:p>
    <w:p w14:paraId="76CD30BA" w14:textId="1C823B33" w:rsidR="001A273F" w:rsidRPr="001A273F" w:rsidRDefault="001A273F" w:rsidP="00534954">
      <w:pPr>
        <w:pStyle w:val="Numberbullet0"/>
      </w:pPr>
      <w:r w:rsidRPr="001A273F">
        <w:t>The Zyamis EU-Risk Management Plan (RMP) (version 2.0; dated 23 September 2020; DLP 9 December 2019), with Australian Specific Annex (version 1.3, dated 28 June 2021), included with submission PM-2020-04183-1-1, and any subsequent revisions, as agreed with the TGA will be implemented in Australia.</w:t>
      </w:r>
    </w:p>
    <w:p w14:paraId="75368702" w14:textId="0886A5C4" w:rsidR="001A273F" w:rsidRPr="001A273F" w:rsidRDefault="001A273F" w:rsidP="00534954">
      <w:pPr>
        <w:pStyle w:val="Numberbullet0"/>
      </w:pPr>
      <w:r w:rsidRPr="001A273F">
        <w:t>An obligatory component of risk management plans is routine pharmacovigilance. Routine pharmacovigilance includes the submission of periodic safety update reports (PSURs).</w:t>
      </w:r>
    </w:p>
    <w:p w14:paraId="5B6112B3" w14:textId="58272188" w:rsidR="001A273F" w:rsidRPr="001A273F" w:rsidRDefault="001A273F" w:rsidP="00534954">
      <w:pPr>
        <w:pStyle w:val="Numberbullet0"/>
      </w:pPr>
      <w:r w:rsidRPr="001A273F">
        <w:t>The sponsor is required to provide assurance of strict adherence to the following ACM recommendations:</w:t>
      </w:r>
    </w:p>
    <w:p w14:paraId="36174BB3" w14:textId="630C36BD" w:rsidR="001A273F" w:rsidRPr="001A273F" w:rsidRDefault="001A273F" w:rsidP="00534954">
      <w:pPr>
        <w:pStyle w:val="Numberbullet2"/>
      </w:pPr>
      <w:r w:rsidRPr="001A273F">
        <w:t>Guided education at the time of prescribing</w:t>
      </w:r>
    </w:p>
    <w:p w14:paraId="36BFD05E" w14:textId="588AE460" w:rsidR="001A273F" w:rsidRPr="001A273F" w:rsidRDefault="001A273F" w:rsidP="00534954">
      <w:pPr>
        <w:pStyle w:val="Numberbullet2"/>
      </w:pPr>
      <w:r w:rsidRPr="001A273F">
        <w:t>Availability of ongoing education</w:t>
      </w:r>
    </w:p>
    <w:p w14:paraId="77A984C8" w14:textId="06A05169" w:rsidR="001A273F" w:rsidRPr="001A273F" w:rsidRDefault="001A273F" w:rsidP="00534954">
      <w:pPr>
        <w:pStyle w:val="Numberbullet2"/>
      </w:pPr>
      <w:r w:rsidRPr="001A273F">
        <w:t>Encouragement of first aid training</w:t>
      </w:r>
    </w:p>
    <w:p w14:paraId="30920794" w14:textId="74A2D520" w:rsidR="001A273F" w:rsidRPr="001A273F" w:rsidRDefault="001A273F" w:rsidP="00534954">
      <w:pPr>
        <w:pStyle w:val="Numberbullet2"/>
      </w:pPr>
      <w:r w:rsidRPr="001A273F">
        <w:t>Individualised patient plans / epilepsy management plan</w:t>
      </w:r>
    </w:p>
    <w:p w14:paraId="1E1EF01B" w14:textId="44280B61" w:rsidR="008E7846" w:rsidRDefault="00A80B5B" w:rsidP="00D23139">
      <w:pPr>
        <w:pStyle w:val="Heading2"/>
      </w:pPr>
      <w:bookmarkStart w:id="149" w:name="_Toc132882402"/>
      <w:r>
        <w:t xml:space="preserve">Attachment 1. </w:t>
      </w:r>
      <w:r w:rsidR="008E7846">
        <w:t xml:space="preserve">Product </w:t>
      </w:r>
      <w:r w:rsidR="00AA0ED0">
        <w:t>I</w:t>
      </w:r>
      <w:r w:rsidR="008E7846">
        <w:t>nformation</w:t>
      </w:r>
      <w:bookmarkEnd w:id="147"/>
      <w:bookmarkEnd w:id="148"/>
      <w:bookmarkEnd w:id="149"/>
    </w:p>
    <w:p w14:paraId="23EDEE16" w14:textId="7C7371B7" w:rsidR="00C80137" w:rsidRDefault="006136D7" w:rsidP="00C80137">
      <w:pPr>
        <w:rPr>
          <w:color w:val="000000"/>
          <w:lang w:eastAsia="en-AU"/>
        </w:rPr>
      </w:pPr>
      <w:r w:rsidRPr="002B3624">
        <w:t xml:space="preserve">The </w:t>
      </w:r>
      <w:r>
        <w:t>PI</w:t>
      </w:r>
      <w:r w:rsidRPr="002B3624">
        <w:t xml:space="preserve"> for </w:t>
      </w:r>
      <w:r w:rsidR="00AD63F6">
        <w:t>Zyamis</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46" w:history="1">
        <w:r w:rsidR="007C6B9B" w:rsidRPr="007C6B9B">
          <w:rPr>
            <w:rStyle w:val="Hyperlink"/>
          </w:rPr>
          <w:t>https://www.tga.gov.au/product-information-pi</w:t>
        </w:r>
      </w:hyperlink>
      <w:r w:rsidR="007C6B9B" w:rsidRPr="007C6B9B">
        <w:t>&gt;.</w:t>
      </w:r>
    </w:p>
    <w:p w14:paraId="439DCAD5" w14:textId="00E4F334" w:rsidR="00C80137" w:rsidRPr="001D043B" w:rsidRDefault="008E7846" w:rsidP="00C63D72">
      <w:pPr>
        <w:autoSpaceDE w:val="0"/>
        <w:autoSpaceDN w:val="0"/>
        <w:adjustRightInd w:val="0"/>
        <w:spacing w:after="0"/>
        <w:sectPr w:rsidR="00C80137" w:rsidRPr="001D043B" w:rsidSect="00B452CE">
          <w:headerReference w:type="even" r:id="rId47"/>
          <w:headerReference w:type="default" r:id="rId48"/>
          <w:headerReference w:type="first" r:id="rId49"/>
          <w:footerReference w:type="first" r:id="rId50"/>
          <w:pgSz w:w="11906" w:h="16838" w:code="9"/>
          <w:pgMar w:top="834" w:right="1701" w:bottom="1191" w:left="1701" w:header="907" w:footer="216" w:gutter="0"/>
          <w:cols w:space="708"/>
          <w:docGrid w:linePitch="360"/>
        </w:sectPr>
      </w:pPr>
      <w:r w:rsidRPr="00C80137">
        <w:rPr>
          <w:b/>
        </w:rP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69772E34" w14:textId="77777777" w:rsidTr="00A05FA4">
        <w:trPr>
          <w:trHeight w:hRule="exact" w:val="704"/>
        </w:trPr>
        <w:tc>
          <w:tcPr>
            <w:tcW w:w="9175" w:type="dxa"/>
          </w:tcPr>
          <w:p w14:paraId="177B1F94" w14:textId="77777777" w:rsidR="001C32CD" w:rsidRPr="00487162" w:rsidRDefault="001C32CD" w:rsidP="00A05FA4">
            <w:pPr>
              <w:pStyle w:val="TGASignoff"/>
            </w:pPr>
            <w:r w:rsidRPr="00487162">
              <w:t>Therapeutic Goods Administration</w:t>
            </w:r>
          </w:p>
        </w:tc>
      </w:tr>
      <w:tr w:rsidR="001C32CD" w:rsidRPr="004C239D" w14:paraId="127DBB65" w14:textId="77777777" w:rsidTr="00A05FA4">
        <w:trPr>
          <w:trHeight w:val="1221"/>
        </w:trPr>
        <w:tc>
          <w:tcPr>
            <w:tcW w:w="9175" w:type="dxa"/>
            <w:tcMar>
              <w:top w:w="28" w:type="dxa"/>
            </w:tcMar>
          </w:tcPr>
          <w:p w14:paraId="1C347EFF" w14:textId="77777777" w:rsidR="001C32CD" w:rsidRPr="00487162" w:rsidRDefault="001C32CD" w:rsidP="00A05FA4">
            <w:pPr>
              <w:pStyle w:val="Address"/>
            </w:pPr>
            <w:r w:rsidRPr="00487162">
              <w:t>PO Box 100 Woden ACT 2606 Australia</w:t>
            </w:r>
          </w:p>
          <w:p w14:paraId="24F8CB04" w14:textId="1DBDB53E" w:rsidR="001C32CD" w:rsidRPr="00487162" w:rsidRDefault="001C32CD" w:rsidP="00A05FA4">
            <w:pPr>
              <w:pStyle w:val="Address"/>
            </w:pPr>
            <w:r w:rsidRPr="00487162">
              <w:t xml:space="preserve">Email: </w:t>
            </w:r>
            <w:hyperlink r:id="rId51" w:history="1">
              <w:r w:rsidRPr="004C239D">
                <w:rPr>
                  <w:rStyle w:val="Hyperlink"/>
                </w:rPr>
                <w:t>info@tga.gov.au</w:t>
              </w:r>
            </w:hyperlink>
            <w:r w:rsidR="00D75EC9">
              <w:t xml:space="preserve"> </w:t>
            </w:r>
            <w:r w:rsidRPr="00487162">
              <w:t>Phone: 1800 020 653</w:t>
            </w:r>
            <w:r w:rsidR="00D75EC9">
              <w:t xml:space="preserve"> </w:t>
            </w:r>
            <w:r w:rsidRPr="00487162">
              <w:t>Fax: 02 6232 8605</w:t>
            </w:r>
          </w:p>
          <w:p w14:paraId="77910BC7" w14:textId="36991B39" w:rsidR="001C32CD" w:rsidRPr="004C239D" w:rsidRDefault="005C09BF" w:rsidP="00A05FA4">
            <w:pPr>
              <w:pStyle w:val="Address"/>
              <w:spacing w:line="260" w:lineRule="atLeast"/>
              <w:rPr>
                <w:b/>
                <w:color w:val="0000FF"/>
                <w:u w:val="single"/>
              </w:rPr>
            </w:pPr>
            <w:hyperlink r:id="rId52" w:history="1">
              <w:r w:rsidR="007C6B9B" w:rsidRPr="007C6B9B">
                <w:rPr>
                  <w:rStyle w:val="Hyperlink"/>
                  <w:b/>
                </w:rPr>
                <w:t>https://www.tga.gov.au</w:t>
              </w:r>
            </w:hyperlink>
          </w:p>
        </w:tc>
      </w:tr>
    </w:tbl>
    <w:p w14:paraId="7C8ACCF5" w14:textId="77777777" w:rsidR="00774E1D" w:rsidRPr="008A5E0B" w:rsidRDefault="00774E1D" w:rsidP="004C239D"/>
    <w:sectPr w:rsidR="00774E1D" w:rsidRPr="008A5E0B" w:rsidSect="001C32CD">
      <w:headerReference w:type="even" r:id="rId53"/>
      <w:headerReference w:type="default" r:id="rId54"/>
      <w:footerReference w:type="default" r:id="rId55"/>
      <w:headerReference w:type="first" r:id="rId56"/>
      <w:footerReference w:type="first" r:id="rId57"/>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22569" w14:textId="77777777" w:rsidR="001F3DA9" w:rsidRDefault="001F3DA9" w:rsidP="00C40A36">
      <w:pPr>
        <w:spacing w:after="0"/>
      </w:pPr>
      <w:r>
        <w:separator/>
      </w:r>
    </w:p>
  </w:endnote>
  <w:endnote w:type="continuationSeparator" w:id="0">
    <w:p w14:paraId="19852090" w14:textId="77777777" w:rsidR="001F3DA9" w:rsidRDefault="001F3DA9"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ArialMT">
    <w:panose1 w:val="00000000000000000000"/>
    <w:charset w:val="80"/>
    <w:family w:val="auto"/>
    <w:notTrueType/>
    <w:pitch w:val="default"/>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7D49DB" w:rsidRPr="00487162" w14:paraId="721CDE25" w14:textId="77777777" w:rsidTr="00DB750B">
      <w:trPr>
        <w:trHeight w:val="269"/>
      </w:trPr>
      <w:tc>
        <w:tcPr>
          <w:tcW w:w="7371" w:type="dxa"/>
          <w:tcMar>
            <w:top w:w="142" w:type="dxa"/>
            <w:bottom w:w="0" w:type="dxa"/>
          </w:tcMar>
        </w:tcPr>
        <w:p w14:paraId="0145FC14" w14:textId="60F9D6A1" w:rsidR="007D49DB" w:rsidRPr="00B64BA5" w:rsidRDefault="007D49DB" w:rsidP="006942EF">
          <w:pPr>
            <w:pStyle w:val="Footer"/>
            <w:rPr>
              <w:szCs w:val="17"/>
            </w:rPr>
          </w:pPr>
          <w:r w:rsidRPr="00B64BA5">
            <w:rPr>
              <w:szCs w:val="17"/>
            </w:rPr>
            <w:t xml:space="preserve">AusPAR - Zyamis – </w:t>
          </w:r>
          <w:r w:rsidRPr="00B64BA5">
            <w:rPr>
              <w:rFonts w:asciiTheme="minorHAnsi" w:hAnsiTheme="minorHAnsi"/>
              <w:szCs w:val="17"/>
            </w:rPr>
            <w:t>Midazolam maleate</w:t>
          </w:r>
          <w:r w:rsidRPr="00B64BA5">
            <w:rPr>
              <w:szCs w:val="17"/>
            </w:rPr>
            <w:t xml:space="preserve"> - </w:t>
          </w:r>
          <w:r w:rsidRPr="00B64BA5">
            <w:rPr>
              <w:rFonts w:asciiTheme="minorHAnsi" w:hAnsiTheme="minorHAnsi"/>
              <w:szCs w:val="17"/>
            </w:rPr>
            <w:t xml:space="preserve">Veriton Pharma Pty </w:t>
          </w:r>
          <w:r>
            <w:rPr>
              <w:rFonts w:asciiTheme="minorHAnsi" w:hAnsiTheme="minorHAnsi"/>
              <w:szCs w:val="17"/>
            </w:rPr>
            <w:t>Ltd</w:t>
          </w:r>
          <w:r w:rsidRPr="00B64BA5">
            <w:rPr>
              <w:rFonts w:asciiTheme="minorHAnsi" w:hAnsiTheme="minorHAnsi"/>
              <w:szCs w:val="17"/>
            </w:rPr>
            <w:t xml:space="preserve"> </w:t>
          </w:r>
          <w:r>
            <w:rPr>
              <w:rFonts w:asciiTheme="minorHAnsi" w:hAnsiTheme="minorHAnsi"/>
              <w:szCs w:val="17"/>
            </w:rPr>
            <w:t xml:space="preserve">- </w:t>
          </w:r>
          <w:r w:rsidRPr="00B64BA5">
            <w:rPr>
              <w:szCs w:val="17"/>
            </w:rPr>
            <w:t>PM-</w:t>
          </w:r>
          <w:r w:rsidRPr="00B64BA5">
            <w:rPr>
              <w:rFonts w:asciiTheme="minorHAnsi" w:hAnsiTheme="minorHAnsi"/>
              <w:szCs w:val="17"/>
            </w:rPr>
            <w:t xml:space="preserve"> 2020-04183-1</w:t>
          </w:r>
          <w:r>
            <w:rPr>
              <w:rFonts w:asciiTheme="minorHAnsi" w:hAnsiTheme="minorHAnsi"/>
              <w:szCs w:val="17"/>
            </w:rPr>
            <w:t>-1</w:t>
          </w:r>
          <w:r w:rsidRPr="00B64BA5">
            <w:rPr>
              <w:szCs w:val="17"/>
            </w:rPr>
            <w:br/>
          </w:r>
          <w:r w:rsidR="007E529A">
            <w:rPr>
              <w:szCs w:val="17"/>
            </w:rPr>
            <w:t>Final 20 April 2023</w:t>
          </w:r>
        </w:p>
      </w:tc>
      <w:tc>
        <w:tcPr>
          <w:tcW w:w="1490" w:type="dxa"/>
          <w:tcMar>
            <w:top w:w="142" w:type="dxa"/>
            <w:bottom w:w="0" w:type="dxa"/>
          </w:tcMar>
        </w:tcPr>
        <w:p w14:paraId="74E436F2" w14:textId="7CBA17B1" w:rsidR="007D49DB" w:rsidRPr="00487162" w:rsidRDefault="007D49DB" w:rsidP="00DB750B">
          <w:pPr>
            <w:pStyle w:val="Footer"/>
            <w:jc w:val="right"/>
          </w:pPr>
          <w:r w:rsidRPr="00487162">
            <w:t xml:space="preserve">Page </w:t>
          </w:r>
          <w:r>
            <w:fldChar w:fldCharType="begin"/>
          </w:r>
          <w:r>
            <w:instrText xml:space="preserve"> PAGE  \* Arabic </w:instrText>
          </w:r>
          <w:r>
            <w:fldChar w:fldCharType="separate"/>
          </w:r>
          <w:r w:rsidR="00605DCB">
            <w:rPr>
              <w:noProof/>
            </w:rPr>
            <w:t>11</w:t>
          </w:r>
          <w:r>
            <w:fldChar w:fldCharType="end"/>
          </w:r>
          <w:r w:rsidRPr="00487162">
            <w:t xml:space="preserve"> of </w:t>
          </w:r>
          <w:fldSimple w:instr=" NUMPAGES  \* Arabic ">
            <w:r w:rsidR="00605DCB">
              <w:rPr>
                <w:noProof/>
              </w:rPr>
              <w:t>74</w:t>
            </w:r>
          </w:fldSimple>
        </w:p>
      </w:tc>
    </w:tr>
  </w:tbl>
  <w:p w14:paraId="58831CF6" w14:textId="77777777" w:rsidR="007D49DB" w:rsidRDefault="007D49DB"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7D49DB" w:rsidRPr="00487162" w14:paraId="09FF5095" w14:textId="77777777" w:rsidTr="00E45619">
      <w:trPr>
        <w:trHeight w:val="269"/>
      </w:trPr>
      <w:tc>
        <w:tcPr>
          <w:tcW w:w="4519" w:type="dxa"/>
          <w:tcBorders>
            <w:top w:val="single" w:sz="4" w:space="0" w:color="auto"/>
          </w:tcBorders>
          <w:tcMar>
            <w:top w:w="142" w:type="dxa"/>
            <w:bottom w:w="0" w:type="dxa"/>
          </w:tcMar>
        </w:tcPr>
        <w:p w14:paraId="096782D1" w14:textId="77777777" w:rsidR="007D49DB" w:rsidRPr="00487162" w:rsidRDefault="007D49DB" w:rsidP="00FE1DEE">
          <w:pPr>
            <w:pStyle w:val="Footer"/>
          </w:pPr>
          <w:r w:rsidRPr="00487162">
            <w:t>Document title, Part #, Section # - Section title</w:t>
          </w:r>
        </w:p>
        <w:p w14:paraId="63124B2A" w14:textId="77777777" w:rsidR="007D49DB" w:rsidRPr="00487162" w:rsidRDefault="007D49DB" w:rsidP="00FE1DEE">
          <w:pPr>
            <w:pStyle w:val="Footer"/>
          </w:pPr>
          <w:r w:rsidRPr="00487162">
            <w:t>V1.0 October 2010</w:t>
          </w:r>
        </w:p>
      </w:tc>
      <w:tc>
        <w:tcPr>
          <w:tcW w:w="4342" w:type="dxa"/>
          <w:tcBorders>
            <w:top w:val="single" w:sz="4" w:space="0" w:color="auto"/>
          </w:tcBorders>
          <w:tcMar>
            <w:top w:w="142" w:type="dxa"/>
            <w:bottom w:w="0" w:type="dxa"/>
          </w:tcMar>
        </w:tcPr>
        <w:p w14:paraId="4FDA6FC9" w14:textId="77777777" w:rsidR="007D49DB" w:rsidRPr="00487162" w:rsidRDefault="007D49D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21</w:t>
            </w:r>
          </w:fldSimple>
        </w:p>
      </w:tc>
    </w:tr>
  </w:tbl>
  <w:p w14:paraId="22C32073" w14:textId="77777777" w:rsidR="007D49DB" w:rsidRDefault="007D49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5D89C" w14:textId="77777777" w:rsidR="007D49DB" w:rsidRPr="001C32CD" w:rsidRDefault="007D49DB"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7D49DB" w14:paraId="4E52F186" w14:textId="77777777" w:rsidTr="0010601F">
      <w:trPr>
        <w:trHeight w:val="108"/>
      </w:trPr>
      <w:tc>
        <w:tcPr>
          <w:tcW w:w="8875" w:type="dxa"/>
          <w:gridSpan w:val="2"/>
          <w:tcBorders>
            <w:bottom w:val="single" w:sz="4" w:space="0" w:color="auto"/>
          </w:tcBorders>
          <w:tcMar>
            <w:right w:w="284" w:type="dxa"/>
          </w:tcMar>
        </w:tcPr>
        <w:p w14:paraId="48DB0931" w14:textId="77777777" w:rsidR="007D49DB" w:rsidRDefault="007D49DB" w:rsidP="006E08B3">
          <w:pPr>
            <w:pStyle w:val="Heading3"/>
          </w:pPr>
          <w:r>
            <w:t>Copyright</w:t>
          </w:r>
        </w:p>
        <w:p w14:paraId="15FC6F99" w14:textId="77777777" w:rsidR="007D49DB" w:rsidRDefault="007D49DB" w:rsidP="006E08B3">
          <w:r>
            <w:rPr>
              <w:rFonts w:cs="Arial"/>
            </w:rPr>
            <w:t>©</w:t>
          </w:r>
          <w:r>
            <w:t xml:space="preserve"> Commonwealth of Australia [add year]</w:t>
          </w:r>
        </w:p>
        <w:p w14:paraId="10520F69" w14:textId="77777777" w:rsidR="007D49DB" w:rsidRDefault="007D49DB" w:rsidP="006E08B3"/>
        <w:p w14:paraId="3725E5EB" w14:textId="77777777" w:rsidR="007D49DB" w:rsidRDefault="007D49D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43F239BE" w14:textId="77777777" w:rsidR="007D49DB" w:rsidRDefault="007D49DB" w:rsidP="006E08B3"/>
        <w:p w14:paraId="3E9E11E7" w14:textId="77777777" w:rsidR="007D49DB" w:rsidRDefault="007D49DB" w:rsidP="006E08B3">
          <w:pPr>
            <w:pStyle w:val="Heading3"/>
          </w:pPr>
          <w:r>
            <w:t>Confidentiality</w:t>
          </w:r>
        </w:p>
        <w:p w14:paraId="5121A9A0" w14:textId="45806FAE" w:rsidR="007D49DB" w:rsidRDefault="007D49D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13754FBF" w14:textId="77777777" w:rsidR="007D49DB" w:rsidRDefault="007D49DB" w:rsidP="006E08B3"/>
        <w:p w14:paraId="16810617" w14:textId="77777777" w:rsidR="007D49DB" w:rsidRDefault="007D49DB" w:rsidP="006E08B3">
          <w:r>
            <w:t>For submission made by individuals, all personal details, other than your name, will be removed from your submission before it is published on the TGA’s Internet site.</w:t>
          </w:r>
        </w:p>
        <w:p w14:paraId="6ED36091" w14:textId="77777777" w:rsidR="007D49DB" w:rsidRDefault="007D49DB" w:rsidP="006E08B3"/>
        <w:p w14:paraId="3E2C8E11" w14:textId="77777777" w:rsidR="007D49DB" w:rsidRDefault="007D49DB" w:rsidP="006E08B3">
          <w:r>
            <w:t>In addition, a list of parties making submissions will be published. If you do not wish to be identified with your submission you must specifically request this in the space provided ib the submission coversheet.</w:t>
          </w:r>
        </w:p>
      </w:tc>
    </w:tr>
    <w:tr w:rsidR="007D49DB" w14:paraId="3803E24E" w14:textId="77777777" w:rsidTr="0010601F">
      <w:trPr>
        <w:trHeight w:val="417"/>
      </w:trPr>
      <w:tc>
        <w:tcPr>
          <w:tcW w:w="4519" w:type="dxa"/>
          <w:tcBorders>
            <w:top w:val="single" w:sz="4" w:space="0" w:color="auto"/>
          </w:tcBorders>
          <w:tcMar>
            <w:top w:w="142" w:type="dxa"/>
            <w:bottom w:w="0" w:type="dxa"/>
          </w:tcMar>
        </w:tcPr>
        <w:p w14:paraId="5F08893B" w14:textId="77777777" w:rsidR="007D49DB" w:rsidRDefault="007D49DB" w:rsidP="006E08B3">
          <w:r>
            <w:t>Document title, Part #, Section # - Section title</w:t>
          </w:r>
        </w:p>
        <w:p w14:paraId="65857752" w14:textId="77777777" w:rsidR="007D49DB" w:rsidRDefault="007D49DB" w:rsidP="006E08B3">
          <w:r>
            <w:t>V1.0 October 2010</w:t>
          </w:r>
        </w:p>
      </w:tc>
      <w:tc>
        <w:tcPr>
          <w:tcW w:w="4356" w:type="dxa"/>
          <w:tcBorders>
            <w:top w:val="single" w:sz="4" w:space="0" w:color="auto"/>
          </w:tcBorders>
          <w:tcMar>
            <w:top w:w="142" w:type="dxa"/>
            <w:bottom w:w="0" w:type="dxa"/>
          </w:tcMar>
        </w:tcPr>
        <w:p w14:paraId="4C3F6B4A" w14:textId="77777777" w:rsidR="007D49DB" w:rsidRDefault="007D49D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21</w:t>
            </w:r>
          </w:fldSimple>
          <w:r>
            <w:t xml:space="preserve">  </w:t>
          </w:r>
        </w:p>
      </w:tc>
    </w:tr>
  </w:tbl>
  <w:p w14:paraId="080D9DCF" w14:textId="77777777" w:rsidR="007D49DB" w:rsidRDefault="007D49D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D1E2C" w14:textId="77777777" w:rsidR="001F3DA9" w:rsidRDefault="001F3DA9" w:rsidP="00C40A36">
      <w:pPr>
        <w:spacing w:after="0"/>
      </w:pPr>
      <w:r>
        <w:separator/>
      </w:r>
    </w:p>
  </w:footnote>
  <w:footnote w:type="continuationSeparator" w:id="0">
    <w:p w14:paraId="1A64231F" w14:textId="77777777" w:rsidR="001F3DA9" w:rsidRDefault="001F3DA9" w:rsidP="00C40A36">
      <w:pPr>
        <w:spacing w:after="0"/>
      </w:pPr>
      <w:r>
        <w:continuationSeparator/>
      </w:r>
    </w:p>
  </w:footnote>
  <w:footnote w:id="1">
    <w:p w14:paraId="5032A790" w14:textId="77777777" w:rsidR="007D49DB" w:rsidRDefault="007D49DB">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16D9FB66" w14:textId="0FF4FF5F" w:rsidR="007D49DB" w:rsidRPr="00C12A66" w:rsidRDefault="007D49DB">
      <w:pPr>
        <w:pStyle w:val="FootnoteText"/>
        <w:rPr>
          <w:lang w:val="en-GB"/>
        </w:rPr>
      </w:pPr>
      <w:r>
        <w:rPr>
          <w:rStyle w:val="FootnoteReference"/>
        </w:rPr>
        <w:footnoteRef/>
      </w:r>
      <w:r>
        <w:t xml:space="preserve"> DBL Diazepam 10mg/2ml injection USP ampoule, Pfizer Australia Pty Ltd. ARTG R 115049; indicated for: </w:t>
      </w:r>
      <w:r>
        <w:br/>
      </w:r>
      <w:r w:rsidRPr="00C12A66">
        <w:rPr>
          <w:i/>
        </w:rPr>
        <w:t>Intravenous diazepam is useful in controlling status epilepticus</w:t>
      </w:r>
      <w:r>
        <w:rPr>
          <w:i/>
        </w:rPr>
        <w:t>.</w:t>
      </w:r>
    </w:p>
  </w:footnote>
  <w:footnote w:id="3">
    <w:p w14:paraId="7E0F5A86" w14:textId="7AD958F9" w:rsidR="007D49DB" w:rsidRPr="00A226CB" w:rsidRDefault="007D49DB" w:rsidP="00A226CB">
      <w:pPr>
        <w:pStyle w:val="FootnoteText"/>
      </w:pPr>
      <w:r>
        <w:rPr>
          <w:rStyle w:val="FootnoteReference"/>
        </w:rPr>
        <w:footnoteRef/>
      </w:r>
      <w:r>
        <w:t xml:space="preserve"> Glauser T, Shinnar S, Gloss D, Alldredge B, et al.. Evidence-Based Guideline: Treatment of Convulsive Status Epilepticus in Children and Adults: Report of the Guideline Committee of the American Epilepsy Society. Epilepsy Curr. 2016; 16(1):48-61.</w:t>
      </w:r>
    </w:p>
  </w:footnote>
  <w:footnote w:id="4">
    <w:p w14:paraId="6BBD05AF" w14:textId="152DDCB6" w:rsidR="007D49DB" w:rsidRPr="00A226CB" w:rsidRDefault="007D49DB" w:rsidP="00A226CB">
      <w:pPr>
        <w:pStyle w:val="FootnoteText"/>
      </w:pPr>
      <w:r>
        <w:rPr>
          <w:rStyle w:val="FootnoteReference"/>
        </w:rPr>
        <w:footnoteRef/>
      </w:r>
      <w:r>
        <w:t xml:space="preserve"> Trinka E, Höfler J, Leitinger M, Rohracher A, Kalss G and Brigo F. Pharmacologic treatment of status epilepticus. Expert Opinion on Pharmacotherapy 2016; 17(4):513-534.</w:t>
      </w:r>
    </w:p>
  </w:footnote>
  <w:footnote w:id="5">
    <w:p w14:paraId="5F133080" w14:textId="7595D9FD" w:rsidR="007D49DB" w:rsidRPr="00A226CB" w:rsidRDefault="007D49DB" w:rsidP="00A226CB">
      <w:pPr>
        <w:pStyle w:val="FootnoteText"/>
      </w:pPr>
      <w:r>
        <w:rPr>
          <w:rStyle w:val="FootnoteReference"/>
        </w:rPr>
        <w:footnoteRef/>
      </w:r>
      <w:r>
        <w:t xml:space="preserve"> Lagae L. The treatment of acute convulsive seizures in children. Eur J Pediatr 2011; 179:413-418.</w:t>
      </w:r>
    </w:p>
  </w:footnote>
  <w:footnote w:id="6">
    <w:p w14:paraId="305D6617" w14:textId="52AD2519" w:rsidR="007D49DB" w:rsidRDefault="007D49DB" w:rsidP="00A226CB">
      <w:pPr>
        <w:pStyle w:val="FootnoteText"/>
      </w:pPr>
      <w:r>
        <w:rPr>
          <w:rStyle w:val="FootnoteReference"/>
        </w:rPr>
        <w:footnoteRef/>
      </w:r>
      <w:r>
        <w:t xml:space="preserve"> NSW Government Health Guideline. Infants and Children – Acute Management of Seizure, GL2018_015. Agency for Clinical Innovation, Publication date 7 June 2018.</w:t>
      </w:r>
    </w:p>
  </w:footnote>
  <w:footnote w:id="7">
    <w:p w14:paraId="67FE9AE8" w14:textId="249F1FCC" w:rsidR="007D49DB" w:rsidRPr="001474D3" w:rsidRDefault="007D49DB" w:rsidP="001474D3">
      <w:pPr>
        <w:pStyle w:val="FootnoteText"/>
      </w:pPr>
      <w:r>
        <w:rPr>
          <w:rStyle w:val="FootnoteReference"/>
        </w:rPr>
        <w:footnoteRef/>
      </w:r>
      <w:r>
        <w:t xml:space="preserve"> Scott RC, Neville BG. Pharmacological management of convulsive status epilepticus in children. Dev Med Child Neurol. 1999; 41(3):207-10.</w:t>
      </w:r>
    </w:p>
  </w:footnote>
  <w:footnote w:id="8">
    <w:p w14:paraId="1C8A5E23" w14:textId="6AA498CF" w:rsidR="007D49DB" w:rsidRPr="00722CED" w:rsidRDefault="007D49DB">
      <w:pPr>
        <w:pStyle w:val="FootnoteText"/>
        <w:rPr>
          <w:lang w:val="en-GB"/>
        </w:rPr>
      </w:pPr>
      <w:r>
        <w:rPr>
          <w:rStyle w:val="FootnoteReference"/>
        </w:rPr>
        <w:footnoteRef/>
      </w:r>
      <w:r>
        <w:t xml:space="preserve"> Guideline No: 2014-9103 v3 Guideline: Seizures and Status Epilepticus – Management. Sydney Children’s Hospital Network. Available at: </w:t>
      </w:r>
      <w:hyperlink r:id="rId1" w:history="1">
        <w:r>
          <w:rPr>
            <w:rStyle w:val="Hyperlink"/>
          </w:rPr>
          <w:t>Seizures and Status Epilepticus Management (nsw.gov.au)</w:t>
        </w:r>
      </w:hyperlink>
    </w:p>
  </w:footnote>
  <w:footnote w:id="9">
    <w:p w14:paraId="65DBD871" w14:textId="66257FA2" w:rsidR="007D49DB" w:rsidRPr="00722CED" w:rsidRDefault="007D49DB">
      <w:pPr>
        <w:pStyle w:val="FootnoteText"/>
        <w:rPr>
          <w:lang w:val="en-GB"/>
        </w:rPr>
      </w:pPr>
      <w:r>
        <w:rPr>
          <w:rStyle w:val="FootnoteReference"/>
        </w:rPr>
        <w:footnoteRef/>
      </w:r>
      <w:r>
        <w:t xml:space="preserve"> Royal Children’s Hospital Melbourne Clinical Practice Guideline for afebrile seizures. Available at: </w:t>
      </w:r>
      <w:hyperlink r:id="rId2" w:history="1">
        <w:r>
          <w:rPr>
            <w:rStyle w:val="Hyperlink"/>
          </w:rPr>
          <w:t>Clinical Practice Guidelines : Afebrile seizures (rch.org.au)</w:t>
        </w:r>
      </w:hyperlink>
    </w:p>
  </w:footnote>
  <w:footnote w:id="10">
    <w:p w14:paraId="724353BE" w14:textId="77777777" w:rsidR="007D49DB" w:rsidRPr="003E32F0" w:rsidRDefault="007D49DB" w:rsidP="003E32F0">
      <w:pPr>
        <w:pStyle w:val="FootnoteText"/>
      </w:pPr>
      <w:r>
        <w:rPr>
          <w:rStyle w:val="FootnoteReference"/>
        </w:rPr>
        <w:footnoteRef/>
      </w:r>
      <w:r>
        <w:t xml:space="preserve"> DBL diazepam 10 mg/2 mL Injection USP. Pfizer Australia Pty Ltd; ARTG R 115049.</w:t>
      </w:r>
    </w:p>
  </w:footnote>
  <w:footnote w:id="11">
    <w:p w14:paraId="1BF09F41" w14:textId="0FCDE800" w:rsidR="007D49DB" w:rsidRPr="003E32F0" w:rsidRDefault="007D49DB" w:rsidP="003E32F0">
      <w:pPr>
        <w:pStyle w:val="FootnoteText"/>
        <w:rPr>
          <w:lang w:val="en-GB"/>
        </w:rPr>
      </w:pPr>
      <w:r>
        <w:rPr>
          <w:rStyle w:val="FootnoteReference"/>
        </w:rPr>
        <w:footnoteRef/>
      </w:r>
      <w:r>
        <w:t xml:space="preserve"> </w:t>
      </w:r>
      <w:r w:rsidRPr="003E32F0">
        <w:t>Rivotril clonazepam 1</w:t>
      </w:r>
      <w:r>
        <w:t xml:space="preserve"> </w:t>
      </w:r>
      <w:r w:rsidRPr="003E32F0">
        <w:t>mg/1</w:t>
      </w:r>
      <w:r>
        <w:t xml:space="preserve"> </w:t>
      </w:r>
      <w:r w:rsidRPr="003E32F0">
        <w:t>mL injection ampoule with diluent ampoule</w:t>
      </w:r>
      <w:r>
        <w:t>. Pharmaco Australia Ltd; ARTG R 13757.</w:t>
      </w:r>
    </w:p>
  </w:footnote>
  <w:footnote w:id="12">
    <w:p w14:paraId="21CD900E" w14:textId="1EBD4457" w:rsidR="007D49DB" w:rsidRPr="006358F7" w:rsidRDefault="007D49DB">
      <w:pPr>
        <w:pStyle w:val="FootnoteText"/>
        <w:rPr>
          <w:lang w:val="en-GB"/>
        </w:rPr>
      </w:pPr>
      <w:r>
        <w:rPr>
          <w:rStyle w:val="FootnoteReference"/>
        </w:rPr>
        <w:footnoteRef/>
      </w:r>
      <w:r>
        <w:t xml:space="preserve"> Royal Childrens Hospital Melbourne, Fact sheets: </w:t>
      </w:r>
      <w:r w:rsidRPr="006358F7">
        <w:t>Midazolam for seizures</w:t>
      </w:r>
      <w:r>
        <w:t xml:space="preserve">. Available at: </w:t>
      </w:r>
      <w:hyperlink r:id="rId3" w:history="1">
        <w:r>
          <w:rPr>
            <w:rStyle w:val="Hyperlink"/>
          </w:rPr>
          <w:t>Kids Health Information : Midazolam for seizures (rch.org.au)</w:t>
        </w:r>
      </w:hyperlink>
    </w:p>
  </w:footnote>
  <w:footnote w:id="13">
    <w:p w14:paraId="6FFFA8AC" w14:textId="77777777" w:rsidR="007D49DB" w:rsidRPr="00722CED" w:rsidRDefault="007D49DB" w:rsidP="00722CED">
      <w:pPr>
        <w:pStyle w:val="FootnoteText"/>
      </w:pPr>
      <w:r>
        <w:rPr>
          <w:rStyle w:val="FootnoteReference"/>
        </w:rPr>
        <w:footnoteRef/>
      </w:r>
      <w:r>
        <w:t xml:space="preserve"> United States Product Insert Diastat C-IV Diastat AcuDial C-IV (diazepam rectal gel) (diazepam rectal gel) Rectal Delivery system. Available at: www.accessdata.fda.gov/drugsatfda_docs/label/2021/020648s022lbl.pdf</w:t>
      </w:r>
    </w:p>
  </w:footnote>
  <w:footnote w:id="14">
    <w:p w14:paraId="0A7474E3" w14:textId="77777777" w:rsidR="007D49DB" w:rsidRDefault="007D49DB">
      <w:pPr>
        <w:pStyle w:val="FootnoteText"/>
      </w:pPr>
      <w:r>
        <w:rPr>
          <w:rStyle w:val="FootnoteReference"/>
        </w:rPr>
        <w:footnoteRef/>
      </w:r>
      <w:r>
        <w:t xml:space="preserve"> </w:t>
      </w:r>
      <w:r w:rsidRPr="003A7CF5">
        <w:t>Hypnovel midazolam (as hydrochloride) solution for injection</w:t>
      </w:r>
      <w:r>
        <w:t xml:space="preserve">, </w:t>
      </w:r>
      <w:r w:rsidRPr="003A7CF5">
        <w:t>Pharmaco (Australia) Ltd</w:t>
      </w:r>
      <w:r>
        <w:t>.</w:t>
      </w:r>
    </w:p>
    <w:p w14:paraId="462AEF58" w14:textId="77777777" w:rsidR="007D49DB" w:rsidRDefault="007D49DB">
      <w:pPr>
        <w:pStyle w:val="FootnoteText"/>
      </w:pPr>
      <w:r w:rsidRPr="003A7CF5">
        <w:t>Hypnovel Injection 5 mg in 5 mL, AUST R 13779. Hypnovel Inje</w:t>
      </w:r>
      <w:r>
        <w:t>ction 5 mg in 1 ml AUST R 13726.</w:t>
      </w:r>
    </w:p>
    <w:p w14:paraId="6D3E534E" w14:textId="77777777" w:rsidR="00D75EC9" w:rsidRDefault="007D49DB">
      <w:pPr>
        <w:pStyle w:val="FootnoteText"/>
      </w:pPr>
      <w:r w:rsidRPr="003A7CF5">
        <w:t>Hypnovel Injection 15 mg in 3 mL AUST R 13727.</w:t>
      </w:r>
    </w:p>
    <w:p w14:paraId="601708D1" w14:textId="298749E7" w:rsidR="007D49DB" w:rsidRPr="006358F7" w:rsidRDefault="007D49DB">
      <w:pPr>
        <w:pStyle w:val="FootnoteText"/>
        <w:rPr>
          <w:lang w:val="en-GB"/>
        </w:rPr>
      </w:pPr>
      <w:r w:rsidRPr="003A7CF5">
        <w:t xml:space="preserve"> </w:t>
      </w:r>
    </w:p>
  </w:footnote>
  <w:footnote w:id="15">
    <w:p w14:paraId="0B0EDAC4" w14:textId="77777777" w:rsidR="00D75EC9" w:rsidRDefault="007D49DB">
      <w:pPr>
        <w:pStyle w:val="FootnoteText"/>
      </w:pPr>
      <w:r>
        <w:rPr>
          <w:rStyle w:val="FootnoteReference"/>
        </w:rPr>
        <w:footnoteRef/>
      </w:r>
      <w:r>
        <w:t xml:space="preserve"> European Public Assessment Report (EPAR) for Buccolam (midazolam hydrochloride) oromucosal solution (</w:t>
      </w:r>
      <w:r w:rsidRPr="006C3A8E">
        <w:t>EMEA/H/C/002267</w:t>
      </w:r>
      <w:r>
        <w:t xml:space="preserve">); first published online September 2011. Available at: </w:t>
      </w:r>
      <w:hyperlink r:id="rId4" w:history="1">
        <w:r w:rsidRPr="006E1E11">
          <w:rPr>
            <w:rStyle w:val="Hyperlink"/>
          </w:rPr>
          <w:t>https://www.ema.europa.eu/en/documents/assessment-report/buccolam-epar-public-assessment-report_en.pdf</w:t>
        </w:r>
      </w:hyperlink>
    </w:p>
    <w:p w14:paraId="4163AED2" w14:textId="3CF310E8" w:rsidR="007D49DB" w:rsidRPr="00EA7CFD" w:rsidRDefault="007D49DB">
      <w:pPr>
        <w:pStyle w:val="FootnoteText"/>
        <w:rPr>
          <w:lang w:val="en-GB"/>
        </w:rPr>
      </w:pPr>
      <w:r>
        <w:t xml:space="preserve"> </w:t>
      </w:r>
    </w:p>
  </w:footnote>
  <w:footnote w:id="16">
    <w:p w14:paraId="569028E9" w14:textId="4FCC7622" w:rsidR="007D49DB" w:rsidRDefault="007D49DB" w:rsidP="00A554AC">
      <w:pPr>
        <w:pStyle w:val="FootnoteText"/>
        <w:rPr>
          <w:sz w:val="17"/>
          <w:szCs w:val="17"/>
        </w:rPr>
      </w:pPr>
      <w:r>
        <w:rPr>
          <w:rStyle w:val="FootnoteReference"/>
          <w:sz w:val="17"/>
          <w:szCs w:val="17"/>
        </w:rPr>
        <w:footnoteRef/>
      </w:r>
      <w:r>
        <w:rPr>
          <w:sz w:val="17"/>
          <w:szCs w:val="17"/>
        </w:rPr>
        <w:t xml:space="preserve"> The Royal Children’s Hospital Melbourne, Kids Health Information: Midazolam for Seizures</w:t>
      </w:r>
    </w:p>
  </w:footnote>
  <w:footnote w:id="17">
    <w:p w14:paraId="737E4690" w14:textId="71DCD56F" w:rsidR="007D49DB" w:rsidRDefault="007D49DB" w:rsidP="00A554AC">
      <w:pPr>
        <w:pStyle w:val="FootnoteText"/>
        <w:rPr>
          <w:sz w:val="17"/>
          <w:szCs w:val="17"/>
        </w:rPr>
      </w:pPr>
      <w:r>
        <w:rPr>
          <w:rStyle w:val="FootnoteReference"/>
          <w:sz w:val="17"/>
          <w:szCs w:val="17"/>
        </w:rPr>
        <w:footnoteRef/>
      </w:r>
      <w:r>
        <w:rPr>
          <w:sz w:val="17"/>
          <w:szCs w:val="17"/>
        </w:rPr>
        <w:t xml:space="preserve"> eTG 2020: Acute management of seizures.</w:t>
      </w:r>
    </w:p>
  </w:footnote>
  <w:footnote w:id="18">
    <w:p w14:paraId="4E65ECEF" w14:textId="77777777" w:rsidR="007D49DB" w:rsidRDefault="007D49DB" w:rsidP="00A554AC">
      <w:pPr>
        <w:pStyle w:val="FootnoteText"/>
        <w:rPr>
          <w:szCs w:val="18"/>
        </w:rPr>
      </w:pPr>
      <w:r>
        <w:rPr>
          <w:rStyle w:val="FootnoteReference"/>
          <w:sz w:val="17"/>
          <w:szCs w:val="17"/>
        </w:rPr>
        <w:footnoteRef/>
      </w:r>
      <w:r>
        <w:rPr>
          <w:sz w:val="17"/>
          <w:szCs w:val="17"/>
        </w:rPr>
        <w:t xml:space="preserve"> Queensland Ambulance Service: Drug Therapy Protocols: </w:t>
      </w:r>
      <w:r>
        <w:rPr>
          <w:rFonts w:eastAsia="MS Mincho"/>
          <w:color w:val="000000"/>
          <w:sz w:val="17"/>
          <w:szCs w:val="17"/>
        </w:rPr>
        <w:t>Midazolam (DTP MID 0320)</w:t>
      </w:r>
    </w:p>
  </w:footnote>
  <w:footnote w:id="19">
    <w:p w14:paraId="373F78F2" w14:textId="77777777" w:rsidR="007D49DB" w:rsidRPr="00B60E95" w:rsidRDefault="007D49DB" w:rsidP="00A554AC">
      <w:pPr>
        <w:pStyle w:val="FootnoteText"/>
        <w:rPr>
          <w:sz w:val="17"/>
          <w:szCs w:val="17"/>
        </w:rPr>
      </w:pPr>
      <w:r>
        <w:rPr>
          <w:rStyle w:val="FootnoteReference"/>
          <w:sz w:val="17"/>
          <w:szCs w:val="17"/>
        </w:rPr>
        <w:footnoteRef/>
      </w:r>
      <w:r>
        <w:rPr>
          <w:sz w:val="17"/>
          <w:szCs w:val="17"/>
        </w:rPr>
        <w:t xml:space="preserve"> Nottinghamshire Health Community Guideline for the use of Buccal Midazolam (5mg/ml and 10mg/ml) in patients </w:t>
      </w:r>
      <w:r w:rsidRPr="00B60E95">
        <w:rPr>
          <w:sz w:val="17"/>
          <w:szCs w:val="17"/>
        </w:rPr>
        <w:t>under paediatric care</w:t>
      </w:r>
    </w:p>
  </w:footnote>
  <w:footnote w:id="20">
    <w:p w14:paraId="435C0504" w14:textId="3BAAD132" w:rsidR="007D49DB" w:rsidRPr="00511B5F" w:rsidRDefault="007D49DB" w:rsidP="00511B5F">
      <w:pPr>
        <w:pStyle w:val="FootnoteText"/>
      </w:pPr>
      <w:r>
        <w:rPr>
          <w:rStyle w:val="FootnoteReference"/>
        </w:rPr>
        <w:footnoteRef/>
      </w:r>
      <w:r>
        <w:t xml:space="preserve"> Dimetapp Infant Drops - AUST R 59768; Dimetapp Colour Free Infant Drops - AUST R 59769; containing brompheniramine maleate 0.8 mg/mL, and phenylephrine Hydrochloride 1.0 mg/mL</w:t>
      </w:r>
    </w:p>
  </w:footnote>
  <w:footnote w:id="21">
    <w:p w14:paraId="190FB9E0" w14:textId="77777777" w:rsidR="007D49DB" w:rsidRPr="00B60E95" w:rsidRDefault="007D49DB" w:rsidP="00A554AC">
      <w:pPr>
        <w:pStyle w:val="FootnoteText"/>
        <w:rPr>
          <w:sz w:val="17"/>
          <w:szCs w:val="17"/>
        </w:rPr>
      </w:pPr>
      <w:r w:rsidRPr="00B60E95">
        <w:rPr>
          <w:rStyle w:val="FootnoteReference"/>
          <w:sz w:val="17"/>
          <w:szCs w:val="17"/>
        </w:rPr>
        <w:footnoteRef/>
      </w:r>
      <w:r w:rsidRPr="00B60E95">
        <w:rPr>
          <w:sz w:val="17"/>
          <w:szCs w:val="17"/>
        </w:rPr>
        <w:t xml:space="preserve"> Thackaberry, EA (2012) Non-clinical toxicological considerations for pharmaceutical salt selection. </w:t>
      </w:r>
      <w:r w:rsidRPr="00B60E95">
        <w:rPr>
          <w:i/>
          <w:sz w:val="17"/>
          <w:szCs w:val="17"/>
        </w:rPr>
        <w:t>Expert Opin. Drug Metab. Toxicol.</w:t>
      </w:r>
      <w:r w:rsidRPr="00B60E95">
        <w:rPr>
          <w:sz w:val="17"/>
          <w:szCs w:val="17"/>
        </w:rPr>
        <w:t xml:space="preserve"> </w:t>
      </w:r>
      <w:r w:rsidRPr="00B60E95">
        <w:rPr>
          <w:b/>
          <w:sz w:val="17"/>
          <w:szCs w:val="17"/>
        </w:rPr>
        <w:t>8</w:t>
      </w:r>
      <w:r w:rsidRPr="00B60E95">
        <w:rPr>
          <w:sz w:val="17"/>
          <w:szCs w:val="17"/>
        </w:rPr>
        <w:t>(11):1419-33.</w:t>
      </w:r>
    </w:p>
  </w:footnote>
  <w:footnote w:id="22">
    <w:p w14:paraId="3D16C2D5" w14:textId="219017D0" w:rsidR="007D49DB" w:rsidRPr="00B60E95" w:rsidRDefault="007D49DB">
      <w:pPr>
        <w:pStyle w:val="FootnoteText"/>
        <w:rPr>
          <w:rFonts w:asciiTheme="minorHAnsi" w:hAnsiTheme="minorHAnsi"/>
          <w:sz w:val="16"/>
          <w:szCs w:val="16"/>
        </w:rPr>
      </w:pPr>
      <w:r w:rsidRPr="00B60E95">
        <w:rPr>
          <w:rStyle w:val="FootnoteReference"/>
        </w:rPr>
        <w:footnoteRef/>
      </w:r>
      <w:r w:rsidRPr="00B60E95">
        <w:t xml:space="preserve"> </w:t>
      </w:r>
      <w:r w:rsidRPr="00B60E95">
        <w:rPr>
          <w:rFonts w:asciiTheme="minorHAnsi" w:hAnsiTheme="minorHAnsi"/>
          <w:color w:val="000000"/>
          <w:sz w:val="16"/>
          <w:szCs w:val="16"/>
        </w:rPr>
        <w:t xml:space="preserve">ICH Q3B (R2) Impurities in new drug products. </w:t>
      </w:r>
      <w:r w:rsidRPr="00B60E95">
        <w:rPr>
          <w:sz w:val="16"/>
          <w:szCs w:val="16"/>
        </w:rPr>
        <w:t>Note for guidance on impurities in new drug products CPMP/ICH/2738/99). https://www.ema.europa.eu/en/documents/scientific-guideline/ich-q-3-b-r2-impurities-new-drug-products-step-5_en.pdf</w:t>
      </w:r>
    </w:p>
  </w:footnote>
  <w:footnote w:id="23">
    <w:p w14:paraId="190C0C27" w14:textId="54DCE870" w:rsidR="007D49DB" w:rsidRPr="0017219B" w:rsidRDefault="007D49DB">
      <w:pPr>
        <w:pStyle w:val="FootnoteText"/>
        <w:rPr>
          <w:lang w:val="en-GB"/>
        </w:rPr>
      </w:pPr>
      <w:r>
        <w:rPr>
          <w:rStyle w:val="FootnoteReference"/>
        </w:rPr>
        <w:footnoteRef/>
      </w:r>
      <w:r>
        <w:t xml:space="preserve"> Product Information for </w:t>
      </w:r>
      <w:r w:rsidRPr="0017219B">
        <w:t>O</w:t>
      </w:r>
      <w:r>
        <w:t>rion diazepam</w:t>
      </w:r>
      <w:r w:rsidRPr="0017219B">
        <w:t xml:space="preserve"> 10</w:t>
      </w:r>
      <w:r>
        <w:t xml:space="preserve"> </w:t>
      </w:r>
      <w:r w:rsidRPr="0017219B">
        <w:t>mg/10</w:t>
      </w:r>
      <w:r>
        <w:t xml:space="preserve"> </w:t>
      </w:r>
      <w:r w:rsidRPr="0017219B">
        <w:t>mL oral liquid bottle</w:t>
      </w:r>
      <w:r>
        <w:t xml:space="preserve">, </w:t>
      </w:r>
      <w:r w:rsidRPr="0017219B">
        <w:t>Orion Laboratories Pty Ltd T/A Perrigo Australia</w:t>
      </w:r>
      <w:r>
        <w:t>. ARTG R </w:t>
      </w:r>
      <w:r w:rsidRPr="0017219B">
        <w:t>42852</w:t>
      </w:r>
    </w:p>
  </w:footnote>
  <w:footnote w:id="24">
    <w:p w14:paraId="1C48C11D" w14:textId="355A1A77" w:rsidR="007D49DB" w:rsidRPr="007E529A" w:rsidRDefault="007D49DB">
      <w:pPr>
        <w:pStyle w:val="FootnoteText"/>
        <w:rPr>
          <w:lang w:val="de-DE"/>
        </w:rPr>
      </w:pPr>
      <w:r>
        <w:rPr>
          <w:rStyle w:val="FootnoteReference"/>
        </w:rPr>
        <w:footnoteRef/>
      </w:r>
      <w:r>
        <w:t xml:space="preserve"> </w:t>
      </w:r>
      <w:r w:rsidRPr="00CD386E">
        <w:t>Reichard DW, Atkinson AJ, Hong SP, Burback BL, Corwin MJ, Johnson JD. Human safety and pharmacokinetic study of intramuscular midazolam administered by autoinjector. </w:t>
      </w:r>
      <w:r w:rsidRPr="007E529A">
        <w:rPr>
          <w:i/>
          <w:iCs/>
          <w:lang w:val="de-DE"/>
        </w:rPr>
        <w:t>J Clin Pharmacol</w:t>
      </w:r>
      <w:r w:rsidRPr="007E529A">
        <w:rPr>
          <w:lang w:val="de-DE"/>
        </w:rPr>
        <w:t>. 2010;50(10):1128-1135.</w:t>
      </w:r>
    </w:p>
  </w:footnote>
  <w:footnote w:id="25">
    <w:p w14:paraId="31EEEF7E" w14:textId="78BAA33B" w:rsidR="007D49DB" w:rsidRPr="006E6861" w:rsidRDefault="007D49DB">
      <w:pPr>
        <w:pStyle w:val="FootnoteText"/>
        <w:rPr>
          <w:lang w:val="en-GB"/>
        </w:rPr>
      </w:pPr>
      <w:r>
        <w:rPr>
          <w:rStyle w:val="FootnoteReference"/>
        </w:rPr>
        <w:footnoteRef/>
      </w:r>
      <w:r w:rsidRPr="007E529A">
        <w:rPr>
          <w:lang w:val="de-DE"/>
        </w:rPr>
        <w:t xml:space="preserve"> Silbergleit R, Durkalski V, Lowenstein D, et al. </w:t>
      </w:r>
      <w:r w:rsidRPr="006E6861">
        <w:t xml:space="preserve">Intramuscular versus intravenous therapy for prehospital status epilepticus. </w:t>
      </w:r>
      <w:r w:rsidRPr="006E6861">
        <w:rPr>
          <w:i/>
        </w:rPr>
        <w:t xml:space="preserve">N Engl J Med. </w:t>
      </w:r>
      <w:r w:rsidRPr="006E6861">
        <w:t>2012;366(7):591-600.</w:t>
      </w:r>
    </w:p>
  </w:footnote>
  <w:footnote w:id="26">
    <w:p w14:paraId="76950231" w14:textId="423A4304" w:rsidR="007D49DB" w:rsidRDefault="007D49DB">
      <w:pPr>
        <w:pStyle w:val="FootnoteText"/>
      </w:pPr>
      <w:r>
        <w:rPr>
          <w:rStyle w:val="FootnoteReference"/>
        </w:rPr>
        <w:footnoteRef/>
      </w:r>
      <w:r>
        <w:t xml:space="preserve"> Schwagmeier R, Alincic S and Striebel HW. Midazolam pharmacokinetics following intravenous and buccal administration. Br. J. Clin. Pharmacol. 1998; 46:203-206</w:t>
      </w:r>
    </w:p>
  </w:footnote>
  <w:footnote w:id="27">
    <w:p w14:paraId="4618CF3C" w14:textId="77777777" w:rsidR="007D49DB" w:rsidRDefault="007D49DB" w:rsidP="00511914">
      <w:pPr>
        <w:pStyle w:val="FootnoteText"/>
        <w:rPr>
          <w:lang w:val="en-US"/>
        </w:rPr>
      </w:pPr>
      <w:r w:rsidRPr="00F91755">
        <w:rPr>
          <w:rStyle w:val="FootnoteReference"/>
        </w:rPr>
        <w:footnoteRef/>
      </w:r>
      <w:r w:rsidRPr="00F91755">
        <w:t xml:space="preserve"> </w:t>
      </w:r>
      <w:r w:rsidRPr="00545FE1">
        <w:t xml:space="preserve">This was described both as R2 and r2 (Neither the </w:t>
      </w:r>
      <w:r>
        <w:t xml:space="preserve">sponsor-supplied </w:t>
      </w:r>
      <w:r w:rsidRPr="00545FE1">
        <w:t xml:space="preserve">report nor the </w:t>
      </w:r>
      <w:r>
        <w:t xml:space="preserve">sponsor’s </w:t>
      </w:r>
      <w:r w:rsidRPr="00545FE1">
        <w:t>Clinical Overview contained a list of abbreviations)</w:t>
      </w:r>
      <w:r>
        <w:t>.</w:t>
      </w:r>
    </w:p>
  </w:footnote>
  <w:footnote w:id="28">
    <w:p w14:paraId="0A47E1A2" w14:textId="3929EA76" w:rsidR="007D49DB" w:rsidRDefault="007D49DB" w:rsidP="00F03845">
      <w:pPr>
        <w:spacing w:before="0" w:after="0"/>
      </w:pPr>
      <w:r>
        <w:rPr>
          <w:rStyle w:val="FootnoteReference"/>
        </w:rPr>
        <w:footnoteRef/>
      </w:r>
      <w:r>
        <w:t xml:space="preserve"> </w:t>
      </w:r>
      <w:r w:rsidRPr="004740CE">
        <w:rPr>
          <w:sz w:val="18"/>
        </w:rPr>
        <w:t xml:space="preserve">Scott RC, Besag FM, Boyd SG, Berry D and Neville BG. Buccal absorption of midazolam: pharmacokinetics and EEG pharmacodynamics. </w:t>
      </w:r>
      <w:r w:rsidRPr="004740CE">
        <w:rPr>
          <w:i/>
          <w:sz w:val="18"/>
        </w:rPr>
        <w:t>Epilepsia</w:t>
      </w:r>
      <w:r w:rsidRPr="004740CE">
        <w:rPr>
          <w:sz w:val="18"/>
        </w:rPr>
        <w:t>. 1998; 39(3):290-294.</w:t>
      </w:r>
    </w:p>
  </w:footnote>
  <w:footnote w:id="29">
    <w:p w14:paraId="67355914" w14:textId="4B6B8E32" w:rsidR="007D49DB" w:rsidRPr="000F1F9C" w:rsidRDefault="007D49DB" w:rsidP="000F1F9C">
      <w:pPr>
        <w:pStyle w:val="FootnoteText"/>
        <w:rPr>
          <w:szCs w:val="18"/>
        </w:rPr>
      </w:pPr>
      <w:r w:rsidRPr="000F1F9C">
        <w:rPr>
          <w:rStyle w:val="FootnoteReference"/>
          <w:szCs w:val="18"/>
        </w:rPr>
        <w:footnoteRef/>
      </w:r>
      <w:r w:rsidRPr="000F1F9C">
        <w:rPr>
          <w:szCs w:val="18"/>
        </w:rPr>
        <w:t xml:space="preserve"> Glauser et al</w:t>
      </w:r>
      <w:r>
        <w:rPr>
          <w:szCs w:val="18"/>
        </w:rPr>
        <w:t>.</w:t>
      </w:r>
      <w:r w:rsidRPr="000F1F9C">
        <w:rPr>
          <w:szCs w:val="18"/>
        </w:rPr>
        <w:t xml:space="preserve"> Evidence-Based Guideline: Treatment of Convulsive Status Epilepticus in Children and Adults: Report of the Guideline Committee of the American Epilepsy Society </w:t>
      </w:r>
      <w:r w:rsidRPr="00385F7F">
        <w:rPr>
          <w:i/>
          <w:szCs w:val="18"/>
        </w:rPr>
        <w:t>Epilepsy Currents,</w:t>
      </w:r>
      <w:r w:rsidRPr="000F1F9C">
        <w:rPr>
          <w:szCs w:val="18"/>
        </w:rPr>
        <w:t xml:space="preserve"> Vol. 16, No. 1 (January/February) 2016 pp. 48–61</w:t>
      </w:r>
    </w:p>
  </w:footnote>
  <w:footnote w:id="30">
    <w:p w14:paraId="0017E490" w14:textId="3FF4F06C" w:rsidR="007D49DB" w:rsidRPr="000F1F9C" w:rsidRDefault="007D49DB" w:rsidP="000F1F9C">
      <w:pPr>
        <w:pStyle w:val="Bullet1"/>
        <w:numPr>
          <w:ilvl w:val="0"/>
          <w:numId w:val="0"/>
        </w:numPr>
        <w:spacing w:before="0"/>
        <w:rPr>
          <w:sz w:val="18"/>
          <w:szCs w:val="18"/>
        </w:rPr>
      </w:pPr>
      <w:r w:rsidRPr="000F1F9C">
        <w:rPr>
          <w:rStyle w:val="FootnoteReference"/>
          <w:rFonts w:eastAsia="Cambria"/>
          <w:kern w:val="0"/>
          <w:sz w:val="18"/>
          <w:szCs w:val="18"/>
          <w:lang w:eastAsia="en-US"/>
        </w:rPr>
        <w:footnoteRef/>
      </w:r>
      <w:r w:rsidRPr="000F1F9C">
        <w:rPr>
          <w:sz w:val="18"/>
          <w:szCs w:val="18"/>
        </w:rPr>
        <w:t>McTague et al</w:t>
      </w:r>
      <w:r>
        <w:rPr>
          <w:sz w:val="18"/>
          <w:szCs w:val="18"/>
        </w:rPr>
        <w:t>,</w:t>
      </w:r>
      <w:r w:rsidRPr="000F1F9C">
        <w:rPr>
          <w:sz w:val="18"/>
          <w:szCs w:val="18"/>
        </w:rPr>
        <w:t xml:space="preserve"> 2018 Drug management for acute tonic-clonic convulsions including convulsive status epilepticus in children (</w:t>
      </w:r>
      <w:r w:rsidRPr="00385F7F">
        <w:rPr>
          <w:i/>
          <w:sz w:val="18"/>
          <w:szCs w:val="18"/>
        </w:rPr>
        <w:t>Cochrane Review</w:t>
      </w:r>
      <w:r>
        <w:rPr>
          <w:sz w:val="18"/>
          <w:szCs w:val="18"/>
        </w:rPr>
        <w:t>, 2018</w:t>
      </w:r>
      <w:r w:rsidRPr="000F1F9C">
        <w:rPr>
          <w:sz w:val="18"/>
          <w:szCs w:val="18"/>
        </w:rPr>
        <w:t>)</w:t>
      </w:r>
    </w:p>
  </w:footnote>
  <w:footnote w:id="31">
    <w:p w14:paraId="1D76F302" w14:textId="3FDA1452" w:rsidR="007D49DB" w:rsidRPr="00E95E60" w:rsidRDefault="007D49DB" w:rsidP="00E95E60">
      <w:pPr>
        <w:pStyle w:val="Bullet1"/>
        <w:numPr>
          <w:ilvl w:val="0"/>
          <w:numId w:val="0"/>
        </w:numPr>
        <w:spacing w:before="0"/>
        <w:rPr>
          <w:sz w:val="18"/>
          <w:szCs w:val="18"/>
        </w:rPr>
      </w:pPr>
      <w:r>
        <w:rPr>
          <w:rStyle w:val="FootnoteReference"/>
        </w:rPr>
        <w:footnoteRef/>
      </w:r>
      <w:r>
        <w:t xml:space="preserve"> </w:t>
      </w:r>
      <w:r w:rsidRPr="00E95E60">
        <w:rPr>
          <w:sz w:val="18"/>
          <w:szCs w:val="18"/>
        </w:rPr>
        <w:t>Brigo F, Nardone R, Tezzon F, Trinka E</w:t>
      </w:r>
      <w:r>
        <w:rPr>
          <w:sz w:val="18"/>
          <w:szCs w:val="18"/>
        </w:rPr>
        <w:t xml:space="preserve">. </w:t>
      </w:r>
      <w:r w:rsidRPr="00E95E60">
        <w:rPr>
          <w:sz w:val="18"/>
          <w:szCs w:val="18"/>
        </w:rPr>
        <w:t>Non-intravenous midazolam versus intravenous or rectal diazepam for the treatment of early status epilepticus: A syste</w:t>
      </w:r>
      <w:r>
        <w:rPr>
          <w:sz w:val="18"/>
          <w:szCs w:val="18"/>
        </w:rPr>
        <w:t>matic review with meta-analysis</w:t>
      </w:r>
      <w:r w:rsidRPr="00E95E60">
        <w:rPr>
          <w:sz w:val="18"/>
          <w:szCs w:val="18"/>
        </w:rPr>
        <w:t xml:space="preserve">. </w:t>
      </w:r>
      <w:r w:rsidRPr="00385F7F">
        <w:rPr>
          <w:i/>
          <w:sz w:val="18"/>
          <w:szCs w:val="18"/>
        </w:rPr>
        <w:t>Epilepsy Behav.</w:t>
      </w:r>
      <w:r w:rsidRPr="00E95E60">
        <w:rPr>
          <w:sz w:val="18"/>
          <w:szCs w:val="18"/>
        </w:rPr>
        <w:t xml:space="preserve"> (2015), 49: 325-336</w:t>
      </w:r>
    </w:p>
  </w:footnote>
  <w:footnote w:id="32">
    <w:p w14:paraId="3825A92C" w14:textId="69C901A1" w:rsidR="007D49DB" w:rsidRDefault="007D49DB" w:rsidP="00AB568B">
      <w:pPr>
        <w:pStyle w:val="FootnoteText"/>
      </w:pPr>
      <w:r>
        <w:rPr>
          <w:rStyle w:val="FootnoteReference"/>
        </w:rPr>
        <w:footnoteRef/>
      </w:r>
      <w:r>
        <w:t xml:space="preserve"> On 7 April 2017, the same sponsor made a submission (submission PM-2017-00392-1-1) for approval of the same product (midazolam maleate, 10 mg/mL oromucosal solation, prefilled syringe) under the tradename Epistatus. This submission was withdrawn on 18 September 2018 by the sponsor prior to a regulatory decision being made by the TGA. The indication proposed in this submission was as follows:</w:t>
      </w:r>
    </w:p>
    <w:p w14:paraId="763114A5" w14:textId="5A45F419" w:rsidR="007D49DB" w:rsidRPr="00AB568B" w:rsidRDefault="007D49DB" w:rsidP="00AB568B">
      <w:pPr>
        <w:pStyle w:val="FootnoteText"/>
      </w:pPr>
      <w:r w:rsidRPr="00AB568B">
        <w:rPr>
          <w:i/>
        </w:rPr>
        <w:t>‘Epistatus is indicated for the treatment of prolonged, acute, convulsive seizures in children and adolescents aged 10 to less than 18 years. Epistatus must only be used by parents / caregivers where the patient has been diagnosed to have epilepsy</w:t>
      </w:r>
      <w:r>
        <w:t>.’</w:t>
      </w:r>
    </w:p>
  </w:footnote>
  <w:footnote w:id="33">
    <w:p w14:paraId="4F2E69AC" w14:textId="67A742BC" w:rsidR="007D49DB" w:rsidRDefault="007D49DB" w:rsidP="000F1F9C">
      <w:pPr>
        <w:pStyle w:val="FootnoteText"/>
      </w:pPr>
      <w:r w:rsidRPr="000F1F9C">
        <w:rPr>
          <w:rStyle w:val="FootnoteReference"/>
          <w:szCs w:val="18"/>
        </w:rPr>
        <w:footnoteRef/>
      </w:r>
      <w:r w:rsidRPr="000F1F9C">
        <w:rPr>
          <w:szCs w:val="18"/>
        </w:rPr>
        <w:t xml:space="preserve"> </w:t>
      </w:r>
      <w:r>
        <w:t xml:space="preserve">Sudhir Datar. </w:t>
      </w:r>
      <w:r w:rsidRPr="000F1F9C">
        <w:rPr>
          <w:szCs w:val="18"/>
        </w:rPr>
        <w:t>New Developments in Refractory Status</w:t>
      </w:r>
      <w:r>
        <w:t xml:space="preserve"> </w:t>
      </w:r>
      <w:r w:rsidRPr="00386A5D">
        <w:t xml:space="preserve">Epilepticus. </w:t>
      </w:r>
      <w:r w:rsidRPr="00385F7F">
        <w:rPr>
          <w:i/>
        </w:rPr>
        <w:t>Neurol Clin</w:t>
      </w:r>
      <w:r w:rsidRPr="00386A5D">
        <w:t xml:space="preserve"> 35 (2017) 751–760.</w:t>
      </w:r>
    </w:p>
  </w:footnote>
  <w:footnote w:id="34">
    <w:p w14:paraId="56910860" w14:textId="7A0053B3" w:rsidR="007D49DB" w:rsidRPr="00385F7F" w:rsidRDefault="007D49DB">
      <w:pPr>
        <w:pStyle w:val="FootnoteText"/>
        <w:rPr>
          <w:lang w:val="en-GB"/>
        </w:rPr>
      </w:pPr>
      <w:r>
        <w:rPr>
          <w:rStyle w:val="FootnoteReference"/>
        </w:rPr>
        <w:footnoteRef/>
      </w:r>
      <w:r>
        <w:t xml:space="preserve"> </w:t>
      </w:r>
      <w:r w:rsidRPr="00385F7F">
        <w:t xml:space="preserve">Talukdar B, Chakrabarty B. Efficacy of buccal midazolam compared to intravenous diazepam in controlling convulsions in children: a randomised controlled trial. </w:t>
      </w:r>
      <w:r w:rsidRPr="00A12C97">
        <w:rPr>
          <w:i/>
        </w:rPr>
        <w:t xml:space="preserve">Brain Dev. </w:t>
      </w:r>
      <w:r w:rsidRPr="00385F7F">
        <w:t>2009; 31(10)744-9</w:t>
      </w:r>
      <w:r>
        <w:t>.</w:t>
      </w:r>
    </w:p>
  </w:footnote>
  <w:footnote w:id="35">
    <w:p w14:paraId="34F04EBC" w14:textId="15917BFE" w:rsidR="007D49DB" w:rsidRPr="006E08BB" w:rsidRDefault="007D49DB">
      <w:pPr>
        <w:pStyle w:val="FootnoteText"/>
        <w:rPr>
          <w:lang w:val="en-GB"/>
        </w:rPr>
      </w:pPr>
      <w:r>
        <w:rPr>
          <w:rStyle w:val="FootnoteReference"/>
        </w:rPr>
        <w:footnoteRef/>
      </w:r>
      <w:r>
        <w:t xml:space="preserve"> </w:t>
      </w:r>
      <w:r w:rsidRPr="006E08BB">
        <w:t>Tonekaboni S., Shamsabadi FM, Anvari S, Mazrooei A, and Ghofrani M. A comparison of buccal midazolam and intravenous diazepam for the acute treatment of seizures in children. Iran J Pediatr 2012; 22(3):303-308.</w:t>
      </w:r>
    </w:p>
  </w:footnote>
  <w:footnote w:id="36">
    <w:p w14:paraId="312FECCB" w14:textId="77777777" w:rsidR="007D49DB" w:rsidRPr="000E3975" w:rsidRDefault="007D49DB" w:rsidP="000E3975">
      <w:pPr>
        <w:pStyle w:val="FootnoteText"/>
      </w:pPr>
      <w:r>
        <w:rPr>
          <w:rStyle w:val="FootnoteReference"/>
        </w:rPr>
        <w:footnoteRef/>
      </w:r>
      <w:r>
        <w:t xml:space="preserve"> </w:t>
      </w:r>
      <w:r w:rsidRPr="000E3975">
        <w:t xml:space="preserve">Ashrafi MR, Khosroshahi N, Karimi P, et al. Efficacy and usability of buccal midazolam in controlling acute prolonged convulsive seizures in children. </w:t>
      </w:r>
      <w:r w:rsidRPr="000E3975">
        <w:rPr>
          <w:i/>
        </w:rPr>
        <w:t>Eur J Paediatric Neurol.</w:t>
      </w:r>
      <w:r w:rsidRPr="000E3975">
        <w:t xml:space="preserve"> 2010.</w:t>
      </w:r>
    </w:p>
    <w:p w14:paraId="1701FAEE" w14:textId="39FCCA54" w:rsidR="007D49DB" w:rsidRPr="000E3975" w:rsidRDefault="007D49DB">
      <w:pPr>
        <w:pStyle w:val="FootnoteText"/>
        <w:rPr>
          <w:lang w:val="en-GB"/>
        </w:rPr>
      </w:pPr>
    </w:p>
  </w:footnote>
  <w:footnote w:id="37">
    <w:p w14:paraId="028486F4" w14:textId="004CD69D" w:rsidR="007D49DB" w:rsidRPr="000E3975" w:rsidRDefault="007D49DB">
      <w:pPr>
        <w:pStyle w:val="FootnoteText"/>
      </w:pPr>
      <w:r>
        <w:rPr>
          <w:rStyle w:val="FootnoteReference"/>
        </w:rPr>
        <w:footnoteRef/>
      </w:r>
      <w:r w:rsidRPr="007E529A">
        <w:rPr>
          <w:lang w:val="fr-FR"/>
        </w:rPr>
        <w:t xml:space="preserve"> McIntyre J, Robertson S, Norris E, et al. </w:t>
      </w:r>
      <w:r w:rsidRPr="000E3975">
        <w:t xml:space="preserve">Safety and efficacy of buccal midazolam versus rectal diazepam for emergency treatment of seizures in children: a randomised controlled. </w:t>
      </w:r>
      <w:r w:rsidRPr="000E3975">
        <w:rPr>
          <w:i/>
        </w:rPr>
        <w:t>Lancet</w:t>
      </w:r>
      <w:r w:rsidRPr="000E3975">
        <w:t xml:space="preserve"> 2005; 366 (9481):205-210.</w:t>
      </w:r>
    </w:p>
  </w:footnote>
  <w:footnote w:id="38">
    <w:p w14:paraId="224DD1B5" w14:textId="06FFE0A8" w:rsidR="007D49DB" w:rsidRPr="00F717C7" w:rsidRDefault="007D49DB">
      <w:pPr>
        <w:pStyle w:val="FootnoteText"/>
        <w:rPr>
          <w:lang w:val="en-GB"/>
        </w:rPr>
      </w:pPr>
      <w:r>
        <w:rPr>
          <w:rStyle w:val="FootnoteReference"/>
        </w:rPr>
        <w:footnoteRef/>
      </w:r>
      <w:r>
        <w:t xml:space="preserve"> </w:t>
      </w:r>
      <w:r w:rsidRPr="00F717C7">
        <w:t>Scott RC, Besag FM and Neville BG. Buccal midazolam and rectal diazepam for treatment of prolonged seizures in childhood and adolescence: a randomised trial. Lancet. 1999; 35 (9153)623-626.</w:t>
      </w:r>
    </w:p>
  </w:footnote>
  <w:footnote w:id="39">
    <w:p w14:paraId="0B7701C3" w14:textId="52F6B885" w:rsidR="007D49DB" w:rsidRPr="007E529A" w:rsidRDefault="007D49DB">
      <w:pPr>
        <w:pStyle w:val="FootnoteText"/>
        <w:rPr>
          <w:lang w:val="it-IT"/>
        </w:rPr>
      </w:pPr>
      <w:r>
        <w:rPr>
          <w:rStyle w:val="FootnoteReference"/>
        </w:rPr>
        <w:footnoteRef/>
      </w:r>
      <w:r>
        <w:t xml:space="preserve"> </w:t>
      </w:r>
      <w:r w:rsidRPr="008E5B38">
        <w:t xml:space="preserve">Baysun S, Aydin OF, Atmaca E et.al. Comparison of buccal midazolam and rectal diazepam for the acute treatment of seizures. </w:t>
      </w:r>
      <w:r w:rsidRPr="007E529A">
        <w:rPr>
          <w:lang w:val="it-IT"/>
        </w:rPr>
        <w:t>A Clin Pediatr. (Plila). 2005; 44 (9):771-776.</w:t>
      </w:r>
    </w:p>
  </w:footnote>
  <w:footnote w:id="40">
    <w:p w14:paraId="7784DF27" w14:textId="72B60D01" w:rsidR="007D49DB" w:rsidRPr="00D63F17" w:rsidRDefault="007D49DB">
      <w:pPr>
        <w:pStyle w:val="FootnoteText"/>
        <w:rPr>
          <w:lang w:val="en-GB"/>
        </w:rPr>
      </w:pPr>
      <w:r>
        <w:rPr>
          <w:rStyle w:val="FootnoteReference"/>
        </w:rPr>
        <w:footnoteRef/>
      </w:r>
      <w:r w:rsidRPr="007E529A">
        <w:rPr>
          <w:lang w:val="it-IT"/>
        </w:rPr>
        <w:t xml:space="preserve"> Kutlu NO, Dogrul M, Yakinci C et al. </w:t>
      </w:r>
      <w:r w:rsidRPr="00D63F17">
        <w:t>Buccal midazolam for treatment of prolonged seizures in children. Brain Dev. 2003; 25 (4):275-278.</w:t>
      </w:r>
    </w:p>
  </w:footnote>
  <w:footnote w:id="41">
    <w:p w14:paraId="515C50FE" w14:textId="0B66D88B" w:rsidR="007D49DB" w:rsidRPr="009B1BB7" w:rsidRDefault="007D49DB">
      <w:pPr>
        <w:pStyle w:val="FootnoteText"/>
        <w:rPr>
          <w:lang w:val="en-GB"/>
        </w:rPr>
      </w:pPr>
      <w:r>
        <w:rPr>
          <w:rStyle w:val="FootnoteReference"/>
        </w:rPr>
        <w:footnoteRef/>
      </w:r>
      <w:r>
        <w:t xml:space="preserve"> </w:t>
      </w:r>
      <w:r w:rsidRPr="009B1BB7">
        <w:t>Frelih J, Zupancic N, Kolenc J, Rogelj M and Neubauer D. Buccal midazolam use for acute treatment of seizures. Paediatr Croat 2007; 51(Supl 1):149-151.</w:t>
      </w:r>
    </w:p>
  </w:footnote>
  <w:footnote w:id="42">
    <w:p w14:paraId="6D062EE7" w14:textId="3D3C09EE" w:rsidR="007D49DB" w:rsidRPr="008359CE" w:rsidRDefault="007D49DB">
      <w:pPr>
        <w:pStyle w:val="FootnoteText"/>
        <w:rPr>
          <w:lang w:val="en-GB"/>
        </w:rPr>
      </w:pPr>
      <w:r>
        <w:rPr>
          <w:rStyle w:val="FootnoteReference"/>
        </w:rPr>
        <w:footnoteRef/>
      </w:r>
      <w:r>
        <w:t xml:space="preserve"> </w:t>
      </w:r>
      <w:r w:rsidRPr="008359CE">
        <w:t xml:space="preserve">Wilson MT, Macleod S and O’Regan. M. E. Nasal/buccal midazolam use in the community. </w:t>
      </w:r>
      <w:r w:rsidRPr="008359CE">
        <w:rPr>
          <w:i/>
        </w:rPr>
        <w:t>Arch. Dis. Child.</w:t>
      </w:r>
      <w:r w:rsidRPr="008359CE">
        <w:t xml:space="preserve"> 2004; 89:50-51*</w:t>
      </w:r>
    </w:p>
  </w:footnote>
  <w:footnote w:id="43">
    <w:p w14:paraId="0E91A7F5" w14:textId="0E4ED296" w:rsidR="007D49DB" w:rsidRPr="00D63F17" w:rsidRDefault="007D49DB">
      <w:pPr>
        <w:pStyle w:val="FootnoteText"/>
        <w:rPr>
          <w:lang w:val="en-GB"/>
        </w:rPr>
      </w:pPr>
      <w:r>
        <w:rPr>
          <w:rStyle w:val="FootnoteReference"/>
        </w:rPr>
        <w:footnoteRef/>
      </w:r>
      <w:r>
        <w:t xml:space="preserve"> </w:t>
      </w:r>
      <w:r w:rsidRPr="00D63F17">
        <w:t>Muchohi S, Kokwaro G, Ogutu B, Edwards G, Ward S and Newton C. Pharmacokinetics and clinical efficacy of midazolam in children with severe malaria and convulsions. British Journal of Clinical Pharmacology, 2008; 66(4):529-538.</w:t>
      </w:r>
    </w:p>
  </w:footnote>
  <w:footnote w:id="44">
    <w:p w14:paraId="08A9BB0B" w14:textId="7E0074B2" w:rsidR="007D49DB" w:rsidRPr="00D63F17" w:rsidRDefault="007D49DB">
      <w:pPr>
        <w:pStyle w:val="FootnoteText"/>
        <w:rPr>
          <w:lang w:val="en-GB"/>
        </w:rPr>
      </w:pPr>
      <w:r>
        <w:rPr>
          <w:rStyle w:val="FootnoteReference"/>
        </w:rPr>
        <w:footnoteRef/>
      </w:r>
      <w:r>
        <w:t xml:space="preserve"> </w:t>
      </w:r>
      <w:r w:rsidRPr="00D63F17">
        <w:t>Ahmed R. Low-dose buccal midazolam for aborting seizures in children. J Pediatr Neurol 2007; 5:291-293.</w:t>
      </w:r>
    </w:p>
  </w:footnote>
  <w:footnote w:id="45">
    <w:p w14:paraId="0933FCC7" w14:textId="3C356C4E" w:rsidR="007D49DB" w:rsidRPr="0072466B" w:rsidRDefault="007D49DB">
      <w:pPr>
        <w:pStyle w:val="FootnoteText"/>
        <w:rPr>
          <w:lang w:val="en-GB"/>
        </w:rPr>
      </w:pPr>
      <w:r>
        <w:rPr>
          <w:rStyle w:val="FootnoteReference"/>
        </w:rPr>
        <w:footnoteRef/>
      </w:r>
      <w:r>
        <w:t xml:space="preserve"> </w:t>
      </w:r>
      <w:r w:rsidRPr="0072466B">
        <w:t xml:space="preserve">Mpimbaza A, Ndeeza G, Staedke S, et al. Comparison of buccal midazolam with rectal diazepam in the treatment of prolonged seizures in Ugandan Children: A randomised clinical trial. </w:t>
      </w:r>
      <w:r w:rsidRPr="0072466B">
        <w:rPr>
          <w:i/>
        </w:rPr>
        <w:t>Paediatrics</w:t>
      </w:r>
      <w:r w:rsidRPr="0072466B">
        <w:t>, 2008; 121:e58-e64.</w:t>
      </w:r>
    </w:p>
  </w:footnote>
  <w:footnote w:id="46">
    <w:p w14:paraId="2691A8A5" w14:textId="161CD10E" w:rsidR="007D49DB" w:rsidRPr="0072466B" w:rsidRDefault="007D49DB">
      <w:pPr>
        <w:pStyle w:val="FootnoteText"/>
        <w:rPr>
          <w:lang w:val="en-GB"/>
        </w:rPr>
      </w:pPr>
      <w:r>
        <w:rPr>
          <w:rStyle w:val="FootnoteReference"/>
        </w:rPr>
        <w:footnoteRef/>
      </w:r>
      <w:r>
        <w:t xml:space="preserve"> </w:t>
      </w:r>
      <w:r w:rsidRPr="0072466B">
        <w:t>Connolly et al. Exploring carer perceptions of training In out-of-hospital use of buccal midazolam for emergency management of seizures (2008-2012) Journal of Paediatrics and Child Health 51 (2015) 704-707</w:t>
      </w:r>
    </w:p>
  </w:footnote>
  <w:footnote w:id="47">
    <w:p w14:paraId="3ED278CC" w14:textId="7FD1CEAA" w:rsidR="007D49DB" w:rsidRPr="0072466B" w:rsidRDefault="007D49DB">
      <w:pPr>
        <w:pStyle w:val="FootnoteText"/>
        <w:rPr>
          <w:lang w:val="en-GB"/>
        </w:rPr>
      </w:pPr>
      <w:r>
        <w:rPr>
          <w:rStyle w:val="FootnoteReference"/>
        </w:rPr>
        <w:footnoteRef/>
      </w:r>
      <w:r>
        <w:t xml:space="preserve"> </w:t>
      </w:r>
      <w:r w:rsidRPr="00A2652D">
        <w:t xml:space="preserve">Moretti et al. Buccal Midazolam Compared With Rectal Diazepam Reduces Seizure Duration in Children in the Outpatient Setting. </w:t>
      </w:r>
      <w:r w:rsidRPr="00A2652D">
        <w:rPr>
          <w:i/>
        </w:rPr>
        <w:t>Paediatric Emergency Care</w:t>
      </w:r>
      <w:r w:rsidRPr="00A2652D">
        <w:t xml:space="preserve"> Volume 35, Number 11, November 2019 p760-764</w:t>
      </w:r>
    </w:p>
  </w:footnote>
  <w:footnote w:id="48">
    <w:p w14:paraId="5C797580" w14:textId="556EFB54" w:rsidR="007D49DB" w:rsidRPr="007C7F17" w:rsidRDefault="007D49DB">
      <w:pPr>
        <w:pStyle w:val="FootnoteText"/>
        <w:rPr>
          <w:lang w:val="en-GB"/>
        </w:rPr>
      </w:pPr>
      <w:r>
        <w:rPr>
          <w:rStyle w:val="FootnoteReference"/>
        </w:rPr>
        <w:footnoteRef/>
      </w:r>
      <w:r>
        <w:t xml:space="preserve"> </w:t>
      </w:r>
      <w:r>
        <w:rPr>
          <w:lang w:val="en-GB"/>
        </w:rPr>
        <w:t>Buccolam is a midazolam hydrochloride oromucosal solution not registered in Australia.</w:t>
      </w:r>
    </w:p>
  </w:footnote>
  <w:footnote w:id="49">
    <w:p w14:paraId="0C4E864D" w14:textId="3546D9E8" w:rsidR="007D49DB" w:rsidRPr="00A2652D" w:rsidRDefault="007D49DB">
      <w:pPr>
        <w:pStyle w:val="FootnoteText"/>
        <w:rPr>
          <w:lang w:val="en-GB"/>
        </w:rPr>
      </w:pPr>
      <w:r>
        <w:rPr>
          <w:rStyle w:val="FootnoteReference"/>
        </w:rPr>
        <w:footnoteRef/>
      </w:r>
      <w:r>
        <w:t xml:space="preserve"> </w:t>
      </w:r>
      <w:r w:rsidRPr="00A2652D">
        <w:t>Klimach VJ. The community use of rescue medication for prolonged epileptic seizures in children. Seizure 18 (2009) 343–346</w:t>
      </w:r>
    </w:p>
  </w:footnote>
  <w:footnote w:id="50">
    <w:p w14:paraId="74F5376A" w14:textId="1EFD14A9" w:rsidR="007D49DB" w:rsidRPr="00FC4E4D" w:rsidRDefault="007D49DB">
      <w:pPr>
        <w:pStyle w:val="FootnoteText"/>
        <w:rPr>
          <w:lang w:val="en-GB"/>
        </w:rPr>
      </w:pPr>
      <w:r>
        <w:rPr>
          <w:rStyle w:val="FootnoteReference"/>
        </w:rPr>
        <w:footnoteRef/>
      </w:r>
      <w:r>
        <w:t xml:space="preserve"> </w:t>
      </w:r>
      <w:r w:rsidRPr="00FC4E4D">
        <w:t xml:space="preserve">Khan. Carers' express positive views on the acceptability, efficacy and safety of buccal midazolam for paediatric status epilepticus. </w:t>
      </w:r>
      <w:r w:rsidRPr="00FC4E4D">
        <w:rPr>
          <w:i/>
        </w:rPr>
        <w:t>Acta Pædiatrica</w:t>
      </w:r>
      <w:r w:rsidRPr="00FC4E4D">
        <w:t xml:space="preserve"> 2014 Apr;103(4):e165-8.</w:t>
      </w:r>
    </w:p>
  </w:footnote>
  <w:footnote w:id="51">
    <w:p w14:paraId="01BE5774" w14:textId="1BF91B23" w:rsidR="007D49DB" w:rsidRPr="00FC4E4D" w:rsidRDefault="007D49DB">
      <w:pPr>
        <w:pStyle w:val="FootnoteText"/>
        <w:rPr>
          <w:lang w:val="en-GB"/>
        </w:rPr>
      </w:pPr>
      <w:r>
        <w:rPr>
          <w:rStyle w:val="FootnoteReference"/>
        </w:rPr>
        <w:footnoteRef/>
      </w:r>
      <w:r>
        <w:t xml:space="preserve"> </w:t>
      </w:r>
      <w:r w:rsidRPr="00FC4E4D">
        <w:t xml:space="preserve">R Silbergleit, V Durkalski, D Lowenstein, R Conwit, A Pancioli, Y Palesch, and W Barsan. Intramuscular versus Intravenous Therapy for Prehospital Status Epilepticus. </w:t>
      </w:r>
      <w:r w:rsidRPr="00FC4E4D">
        <w:rPr>
          <w:i/>
        </w:rPr>
        <w:t>N Engl J Med</w:t>
      </w:r>
      <w:r w:rsidRPr="00FC4E4D">
        <w:t xml:space="preserve"> 366;7 February 16, 2012, 591</w:t>
      </w:r>
      <w:r>
        <w:t>.</w:t>
      </w:r>
    </w:p>
  </w:footnote>
  <w:footnote w:id="52">
    <w:p w14:paraId="658A156F" w14:textId="423A4EC9" w:rsidR="007D49DB" w:rsidRPr="00E805C1" w:rsidRDefault="007D49DB">
      <w:pPr>
        <w:pStyle w:val="FootnoteText"/>
        <w:rPr>
          <w:lang w:val="en-GB"/>
        </w:rPr>
      </w:pPr>
      <w:r>
        <w:rPr>
          <w:rStyle w:val="FootnoteReference"/>
        </w:rPr>
        <w:footnoteRef/>
      </w:r>
      <w:r>
        <w:t xml:space="preserve"> </w:t>
      </w:r>
      <w:r w:rsidRPr="00E805C1">
        <w:t>Nakken K and Lossius M. Buccal midazolam or rectal diazepam for treatment of residential adult patients with serial seizures or status epilepticus. Acta Neurol Scand: 2011; 124:99-103</w:t>
      </w:r>
      <w:r>
        <w:t>.</w:t>
      </w:r>
    </w:p>
  </w:footnote>
  <w:footnote w:id="53">
    <w:p w14:paraId="568C1CC4" w14:textId="2F057F97" w:rsidR="007D49DB" w:rsidRPr="008E5B38" w:rsidRDefault="007D49DB">
      <w:pPr>
        <w:pStyle w:val="FootnoteText"/>
        <w:rPr>
          <w:lang w:val="en-GB"/>
        </w:rPr>
      </w:pPr>
      <w:r>
        <w:rPr>
          <w:rStyle w:val="FootnoteReference"/>
        </w:rPr>
        <w:footnoteRef/>
      </w:r>
      <w:r>
        <w:t xml:space="preserve"> </w:t>
      </w:r>
      <w:r w:rsidRPr="008E5B38">
        <w:t>McTague A, Martland T, Appleton R. Drug management for acute tonic-clonic convulsions including convulsive status epilepticus in children. Cochrane Database of Systematic Reviews 2018, Issue 1. Art. No.: CD001905.</w:t>
      </w:r>
    </w:p>
  </w:footnote>
  <w:footnote w:id="54">
    <w:p w14:paraId="5E79C370" w14:textId="220F69E3" w:rsidR="007D49DB" w:rsidRPr="000C1D42" w:rsidRDefault="007D49DB">
      <w:pPr>
        <w:pStyle w:val="FootnoteText"/>
        <w:rPr>
          <w:lang w:val="en-GB"/>
        </w:rPr>
      </w:pPr>
      <w:r>
        <w:rPr>
          <w:rStyle w:val="FootnoteReference"/>
        </w:rPr>
        <w:footnoteRef/>
      </w:r>
      <w:r>
        <w:t xml:space="preserve"> </w:t>
      </w:r>
      <w:r w:rsidRPr="000C1D42">
        <w:t xml:space="preserve">Brigo F, Nardone R, Tezzon F, Trinka E. Non-intravenous midazolam versus intravenous or rectal diazepam for the treatment of early status epilepticus: A systematic review with meta-analysis. </w:t>
      </w:r>
      <w:r w:rsidRPr="000C1D42">
        <w:rPr>
          <w:i/>
        </w:rPr>
        <w:t>Epilepsy Behav.</w:t>
      </w:r>
      <w:r w:rsidRPr="000C1D42">
        <w:t xml:space="preserve"> (2015), 49: 325-336</w:t>
      </w:r>
    </w:p>
  </w:footnote>
  <w:footnote w:id="55">
    <w:p w14:paraId="27446F4C" w14:textId="7027E2FB" w:rsidR="007D49DB" w:rsidRPr="00E66FA1" w:rsidRDefault="007D49DB">
      <w:pPr>
        <w:pStyle w:val="FootnoteText"/>
      </w:pPr>
      <w:r>
        <w:rPr>
          <w:rStyle w:val="FootnoteReference"/>
        </w:rPr>
        <w:footnoteRef/>
      </w:r>
      <w:r>
        <w:t xml:space="preserve"> </w:t>
      </w:r>
      <w:r w:rsidRPr="00E66FA1">
        <w:t xml:space="preserve">Brigo F, Nardone R, Tezzon F, Trinka E. A Common Reference-Based Indirect Comparison Meta-Analysis of Buccal versus Intranasal Midazolam for Early Status Epilepticus. Brigo F, Nardone R, Tezzon F, Trinka E. </w:t>
      </w:r>
      <w:r w:rsidRPr="00E66FA1">
        <w:rPr>
          <w:i/>
        </w:rPr>
        <w:t>CNS Drugs</w:t>
      </w:r>
      <w:r w:rsidRPr="00E66FA1">
        <w:t xml:space="preserve"> 2015; 29(9):741-57.</w:t>
      </w:r>
    </w:p>
  </w:footnote>
  <w:footnote w:id="56">
    <w:p w14:paraId="11707042" w14:textId="1B44AD9C" w:rsidR="007D49DB" w:rsidRPr="00E66FA1" w:rsidRDefault="007D49DB">
      <w:pPr>
        <w:pStyle w:val="FootnoteText"/>
        <w:rPr>
          <w:lang w:val="en-GB"/>
        </w:rPr>
      </w:pPr>
      <w:r>
        <w:rPr>
          <w:rStyle w:val="FootnoteReference"/>
        </w:rPr>
        <w:footnoteRef/>
      </w:r>
      <w:r>
        <w:t xml:space="preserve"> </w:t>
      </w:r>
      <w:r w:rsidRPr="00E66FA1">
        <w:t xml:space="preserve">Doshi D. Controlling Seizures in Children: Diazepam or Midazolam? Systematic Review. </w:t>
      </w:r>
      <w:r w:rsidRPr="00E66FA1">
        <w:rPr>
          <w:i/>
        </w:rPr>
        <w:t>Hong Kong Journal of Emergency Medicine</w:t>
      </w:r>
      <w:r w:rsidRPr="00E66FA1">
        <w:t>. 2010;17(2):196-204.</w:t>
      </w:r>
    </w:p>
  </w:footnote>
  <w:footnote w:id="57">
    <w:p w14:paraId="4C605042" w14:textId="77777777" w:rsidR="007D49DB" w:rsidRDefault="007D49DB" w:rsidP="00E805C1">
      <w:pPr>
        <w:pStyle w:val="FootnoteText"/>
      </w:pPr>
      <w:r>
        <w:rPr>
          <w:rStyle w:val="FootnoteReference"/>
        </w:rPr>
        <w:footnoteRef/>
      </w:r>
      <w:r>
        <w:t xml:space="preserve"> Glauser et al Evidence-Based Guideline: Treatment of Convulsive Status Epilepticus in Children and Adults: Report of the Guideline Committee of the American Epilepsy Society.</w:t>
      </w:r>
      <w:r w:rsidRPr="00E66FA1">
        <w:rPr>
          <w:i/>
        </w:rPr>
        <w:t xml:space="preserve"> Epilepsy Currents, </w:t>
      </w:r>
      <w:r>
        <w:t>Vol. 16, No. 1 (January/February) 2016 pp. 48–6</w:t>
      </w:r>
    </w:p>
  </w:footnote>
  <w:footnote w:id="58">
    <w:p w14:paraId="7ECE72E1" w14:textId="40DA1B2E" w:rsidR="007D49DB" w:rsidRPr="00E805C1" w:rsidRDefault="007D49DB">
      <w:pPr>
        <w:pStyle w:val="FootnoteText"/>
        <w:rPr>
          <w:lang w:val="en-GB"/>
        </w:rPr>
      </w:pPr>
      <w:r>
        <w:rPr>
          <w:rStyle w:val="FootnoteReference"/>
        </w:rPr>
        <w:footnoteRef/>
      </w:r>
      <w:r>
        <w:t xml:space="preserve"> </w:t>
      </w:r>
      <w:r w:rsidRPr="00E805C1">
        <w:t xml:space="preserve">Haut et al. Benzodiazepine use in seizure emergencies: A systematic review. </w:t>
      </w:r>
      <w:r w:rsidRPr="00E805C1">
        <w:rPr>
          <w:i/>
        </w:rPr>
        <w:t>Epilepsy &amp; Behaviour</w:t>
      </w:r>
      <w:r w:rsidRPr="00E805C1">
        <w:t xml:space="preserve"> 63 (2016) 109-117</w:t>
      </w:r>
    </w:p>
  </w:footnote>
  <w:footnote w:id="59">
    <w:p w14:paraId="29E7D7EA" w14:textId="5D63B8B2" w:rsidR="007D49DB" w:rsidRPr="009109F0" w:rsidRDefault="007D49DB">
      <w:pPr>
        <w:pStyle w:val="FootnoteText"/>
      </w:pPr>
      <w:r>
        <w:rPr>
          <w:rStyle w:val="FootnoteReference"/>
        </w:rPr>
        <w:footnoteRef/>
      </w:r>
      <w:r>
        <w:t xml:space="preserve"> </w:t>
      </w:r>
      <w:r w:rsidRPr="00E805C1">
        <w:t xml:space="preserve">Jain et al. Efficacy and safety of anti-epileptic drugs in patients with active convulsive seizures when no IV access is available: Systematic review and meta-analysis. </w:t>
      </w:r>
      <w:r w:rsidRPr="00E805C1">
        <w:rPr>
          <w:i/>
        </w:rPr>
        <w:t>Epilepsy Research</w:t>
      </w:r>
      <w:r>
        <w:t xml:space="preserve"> 122 (2016) 47-55.</w:t>
      </w:r>
    </w:p>
  </w:footnote>
  <w:footnote w:id="60">
    <w:p w14:paraId="20737870" w14:textId="77777777" w:rsidR="007D49DB" w:rsidRDefault="007D49DB" w:rsidP="00A554AC">
      <w:pPr>
        <w:pStyle w:val="FootnoteText"/>
      </w:pPr>
    </w:p>
  </w:footnote>
  <w:footnote w:id="61">
    <w:p w14:paraId="08E021E1" w14:textId="32B824B2" w:rsidR="007D49DB" w:rsidRDefault="007D49DB" w:rsidP="00A554AC">
      <w:pPr>
        <w:pStyle w:val="FootnoteText"/>
        <w:rPr>
          <w:lang w:val="en-US"/>
        </w:rPr>
      </w:pPr>
      <w:r>
        <w:rPr>
          <w:rStyle w:val="FootnoteReference"/>
        </w:rPr>
        <w:footnoteRef/>
      </w:r>
      <w:r>
        <w:t xml:space="preserve"> 32 patients on buccal midazolam</w:t>
      </w:r>
    </w:p>
  </w:footnote>
  <w:footnote w:id="62">
    <w:p w14:paraId="19806944" w14:textId="5D6482C0" w:rsidR="007D49DB" w:rsidRDefault="007D49DB" w:rsidP="00A554AC">
      <w:pPr>
        <w:pStyle w:val="FootnoteText"/>
        <w:rPr>
          <w:lang w:val="en-US"/>
        </w:rPr>
      </w:pPr>
      <w:r>
        <w:rPr>
          <w:rStyle w:val="FootnoteReference"/>
        </w:rPr>
        <w:footnoteRef/>
      </w:r>
      <w:r>
        <w:t xml:space="preserve"> 60 patients on buccal midazolam</w:t>
      </w:r>
    </w:p>
  </w:footnote>
  <w:footnote w:id="63">
    <w:p w14:paraId="7983E4E9" w14:textId="47C09873" w:rsidR="007D49DB" w:rsidRPr="000C1206" w:rsidRDefault="007D49DB">
      <w:pPr>
        <w:pStyle w:val="FootnoteText"/>
        <w:rPr>
          <w:lang w:val="en-GB"/>
        </w:rPr>
      </w:pPr>
      <w:r>
        <w:rPr>
          <w:rStyle w:val="FootnoteReference"/>
        </w:rPr>
        <w:footnoteRef/>
      </w:r>
      <w:r>
        <w:t xml:space="preserve"> Submitted as part of dossier; no long available online at the time this submission was evaluated.</w:t>
      </w:r>
    </w:p>
  </w:footnote>
  <w:footnote w:id="64">
    <w:p w14:paraId="2CC895CA" w14:textId="77777777" w:rsidR="007D49DB" w:rsidRDefault="007D49DB" w:rsidP="00093926">
      <w:pPr>
        <w:pStyle w:val="FootnoteText"/>
      </w:pPr>
      <w:r>
        <w:rPr>
          <w:rStyle w:val="FootnoteReference"/>
        </w:rPr>
        <w:footnoteRef/>
      </w:r>
      <w:r>
        <w:t xml:space="preserve"> On 7 April 2017, the same sponsor made a submission (submission PM-2017-00392-1-1) for approval of the same product (midazolam maleate, 10 mg/mL oromucosal soluation, prefilled syringe) under the tradename Epistatus. This submission was withdrawn on 18 September 2018 by the sponsor prior to a regulatory decision being made by the TGA. The indication proposed in this submission was as follows:</w:t>
      </w:r>
    </w:p>
    <w:p w14:paraId="262724CD" w14:textId="77777777" w:rsidR="007D49DB" w:rsidRDefault="007D49DB" w:rsidP="00093926">
      <w:pPr>
        <w:pStyle w:val="FootnoteText"/>
      </w:pPr>
      <w:r>
        <w:t>‘Epistatus is indicated for the treatment of prolonged, acute, convulsive seizures in children and adolescents aged 10 to less than 18 years.</w:t>
      </w:r>
    </w:p>
    <w:p w14:paraId="0C8B6905" w14:textId="46BB8BB6" w:rsidR="007D49DB" w:rsidRPr="00093926" w:rsidRDefault="007D49DB" w:rsidP="00093926">
      <w:pPr>
        <w:pStyle w:val="FootnoteText"/>
        <w:rPr>
          <w:lang w:val="en-GB"/>
        </w:rPr>
      </w:pPr>
      <w:r>
        <w:t>Epistatus must only be used by parents / caregivers where the patient has been diagnosed to have epilepsy.’</w:t>
      </w:r>
    </w:p>
  </w:footnote>
  <w:footnote w:id="65">
    <w:p w14:paraId="42531D46" w14:textId="77777777" w:rsidR="007D49DB" w:rsidRDefault="007D49DB" w:rsidP="007D53B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0996D7BB" w14:textId="77777777" w:rsidR="007D49DB" w:rsidRDefault="007D49DB" w:rsidP="007D53B6">
      <w:pPr>
        <w:pStyle w:val="FootnoteText"/>
      </w:pPr>
      <w:r w:rsidRPr="007D53B6">
        <w:rPr>
          <w:i/>
        </w:rPr>
        <w:t>Routine pharmacovigilance</w:t>
      </w:r>
      <w:r>
        <w:t xml:space="preserve"> practices involve the following activities:</w:t>
      </w:r>
    </w:p>
    <w:p w14:paraId="7ADED77A" w14:textId="77777777" w:rsidR="007D49DB" w:rsidRDefault="007D49DB" w:rsidP="00DC6F2E">
      <w:pPr>
        <w:pStyle w:val="FootnoteText"/>
        <w:numPr>
          <w:ilvl w:val="0"/>
          <w:numId w:val="5"/>
        </w:numPr>
        <w:ind w:left="284" w:hanging="284"/>
      </w:pPr>
      <w:r>
        <w:t>All suspected adverse reactions that are reported to the personnel of the company are collected and collated in an accessible manner;</w:t>
      </w:r>
    </w:p>
    <w:p w14:paraId="51FD6C83" w14:textId="77777777" w:rsidR="007D49DB" w:rsidRDefault="007D49DB" w:rsidP="00DC6F2E">
      <w:pPr>
        <w:pStyle w:val="FootnoteText"/>
        <w:numPr>
          <w:ilvl w:val="0"/>
          <w:numId w:val="5"/>
        </w:numPr>
        <w:ind w:left="284" w:hanging="284"/>
      </w:pPr>
      <w:r>
        <w:t>Reporting to regulatory authorities;</w:t>
      </w:r>
    </w:p>
    <w:p w14:paraId="0238CDE9" w14:textId="77777777" w:rsidR="007D49DB" w:rsidRDefault="007D49DB" w:rsidP="00DC6F2E">
      <w:pPr>
        <w:pStyle w:val="FootnoteText"/>
        <w:numPr>
          <w:ilvl w:val="0"/>
          <w:numId w:val="5"/>
        </w:numPr>
        <w:ind w:left="284" w:hanging="284"/>
      </w:pPr>
      <w:r>
        <w:t>Continuous monitoring of the safety profiles of approved products including signal detection and updating of labelling;</w:t>
      </w:r>
    </w:p>
    <w:p w14:paraId="584021D5" w14:textId="77777777" w:rsidR="007D49DB" w:rsidRDefault="007D49DB" w:rsidP="00DC6F2E">
      <w:pPr>
        <w:pStyle w:val="FootnoteText"/>
        <w:numPr>
          <w:ilvl w:val="0"/>
          <w:numId w:val="5"/>
        </w:numPr>
        <w:ind w:left="284" w:hanging="284"/>
      </w:pPr>
      <w:r>
        <w:t>Submission of PSURs;</w:t>
      </w:r>
    </w:p>
    <w:p w14:paraId="2F5EDF72" w14:textId="77777777" w:rsidR="007D49DB" w:rsidRDefault="007D49DB" w:rsidP="00DC6F2E">
      <w:pPr>
        <w:pStyle w:val="FootnoteText"/>
        <w:numPr>
          <w:ilvl w:val="0"/>
          <w:numId w:val="5"/>
        </w:numPr>
        <w:ind w:left="284" w:hanging="284"/>
      </w:pPr>
      <w:r>
        <w:t>Meeting other local regulatory agency requirements.</w:t>
      </w:r>
    </w:p>
  </w:footnote>
  <w:footnote w:id="66">
    <w:p w14:paraId="3FD7EE3F" w14:textId="02AEC88E" w:rsidR="007D49DB" w:rsidRPr="00EC1F7E" w:rsidRDefault="007D49DB">
      <w:pPr>
        <w:pStyle w:val="FootnoteText"/>
        <w:rPr>
          <w:lang w:val="en-GB"/>
        </w:rPr>
      </w:pPr>
      <w:r>
        <w:rPr>
          <w:rStyle w:val="FootnoteReference"/>
        </w:rPr>
        <w:footnoteRef/>
      </w:r>
      <w:r>
        <w:t xml:space="preserve"> DBL Diazepam 10 mg/2 mL injection USP ampoule, Pfizer Australia Pty Ltd. ARTG R 115049; indicated for: </w:t>
      </w:r>
      <w:r>
        <w:br/>
      </w:r>
      <w:r w:rsidRPr="00C12A66">
        <w:rPr>
          <w:i/>
        </w:rPr>
        <w:t>Intravenous diazepam is useful in controlling status epilepticus</w:t>
      </w:r>
      <w:r>
        <w:rPr>
          <w:i/>
        </w:rPr>
        <w:t>.</w:t>
      </w:r>
    </w:p>
  </w:footnote>
  <w:footnote w:id="67">
    <w:p w14:paraId="239481B9" w14:textId="73F8E187" w:rsidR="007D49DB" w:rsidRPr="00EC1F7E" w:rsidRDefault="007D49DB">
      <w:pPr>
        <w:pStyle w:val="FootnoteText"/>
        <w:rPr>
          <w:lang w:val="en-GB"/>
        </w:rPr>
      </w:pPr>
      <w:r>
        <w:rPr>
          <w:rStyle w:val="FootnoteReference"/>
        </w:rPr>
        <w:footnoteRef/>
      </w:r>
      <w:r>
        <w:t xml:space="preserve"> Hynovel midazolam (as hydrochloride) injection ampoule 5 mg/1 mL, 5 mg/5 mL. 15 mg/3 mL, Pharmaco Australia Ltd. ARTG R </w:t>
      </w:r>
      <w:r w:rsidRPr="00EC1F7E">
        <w:t>13726</w:t>
      </w:r>
      <w:r>
        <w:t>, 13727, 13779.</w:t>
      </w:r>
    </w:p>
  </w:footnote>
  <w:footnote w:id="68">
    <w:p w14:paraId="7F1E2C7F" w14:textId="77777777" w:rsidR="007D49DB" w:rsidRPr="00456765" w:rsidRDefault="007D49DB" w:rsidP="00FB369D">
      <w:pPr>
        <w:pStyle w:val="FootnoteText"/>
        <w:rPr>
          <w:lang w:val="en-US"/>
        </w:rPr>
      </w:pPr>
      <w:r>
        <w:rPr>
          <w:rStyle w:val="FootnoteReference"/>
        </w:rPr>
        <w:footnoteRef/>
      </w:r>
      <w:r>
        <w:t xml:space="preserve"> </w:t>
      </w:r>
      <w:r w:rsidRPr="00FB369D">
        <w:t xml:space="preserve">The ACM provides independent medical and scientific advice to the Minister for Health and the TGA on issues relating to the safety, quality and efficacy of medicines supplied in Australia including issues relating to pre market and post-market functions for medicines. Further information can be found here: </w:t>
      </w:r>
      <w:hyperlink r:id="rId5" w:history="1">
        <w:r w:rsidRPr="0004151A">
          <w:rPr>
            <w:rStyle w:val="Hyperlink"/>
          </w:rPr>
          <w:t>https://www.tga.gov.au/committee/advisory-committee-medicines-acm</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30842" w14:textId="77777777" w:rsidR="007D49DB" w:rsidRDefault="007D49DB"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10E7A" w14:textId="77777777" w:rsidR="007D49DB" w:rsidRDefault="007D49DB">
    <w:pPr>
      <w:rPr>
        <w:noProof/>
        <w:lang w:eastAsia="en-AU"/>
      </w:rPr>
    </w:pPr>
    <w:r w:rsidRPr="00347824">
      <w:rPr>
        <w:noProof/>
        <w:lang w:val="en-GB" w:eastAsia="en-GB"/>
      </w:rPr>
      <w:drawing>
        <wp:anchor distT="0" distB="0" distL="114300" distR="114300" simplePos="0" relativeHeight="251659264" behindDoc="1" locked="0" layoutInCell="1" allowOverlap="1" wp14:anchorId="7B74F73E" wp14:editId="513DF025">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16850DC1" w14:textId="77777777" w:rsidR="007D49DB" w:rsidRDefault="007D49DB" w:rsidP="00593AD1">
    <w:pPr>
      <w:pStyle w:val="HeaderNoLi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37C51" w14:textId="77777777" w:rsidR="007D49DB" w:rsidRDefault="007D49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2FCD3" w14:textId="77777777" w:rsidR="007D49DB" w:rsidRDefault="007D49DB">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29CA4" w14:textId="77777777" w:rsidR="007D49DB" w:rsidRDefault="007D49DB">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953AC" w14:textId="77777777" w:rsidR="007D49DB" w:rsidRDefault="007D49D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D36C8" w14:textId="77777777" w:rsidR="007D49DB" w:rsidRDefault="007D49DB"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C510D" w14:textId="77777777" w:rsidR="007D49DB" w:rsidRDefault="007D49DB" w:rsidP="006E08B3">
    <w:r>
      <w:t>Therapeutic Goods Administration</w:t>
    </w:r>
  </w:p>
  <w:p w14:paraId="3F9E2375" w14:textId="77777777" w:rsidR="007D49DB" w:rsidRDefault="007D49DB"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2F21B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E9108CD"/>
    <w:multiLevelType w:val="hybridMultilevel"/>
    <w:tmpl w:val="8002634C"/>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053F11"/>
    <w:multiLevelType w:val="multilevel"/>
    <w:tmpl w:val="575CEDBE"/>
    <w:styleLink w:val="NumberBullet"/>
    <w:lvl w:ilvl="0">
      <w:start w:val="1"/>
      <w:numFmt w:val="decimal"/>
      <w:pStyle w:val="Numberbullet0"/>
      <w:lvlText w:val="%1."/>
      <w:lvlJc w:val="left"/>
      <w:pPr>
        <w:ind w:left="850" w:hanging="425"/>
      </w:pPr>
      <w:rPr>
        <w:rFonts w:ascii="Cambria" w:hAnsi="Cambria" w:hint="default"/>
      </w:rPr>
    </w:lvl>
    <w:lvl w:ilvl="1">
      <w:start w:val="1"/>
      <w:numFmt w:val="lowerLetter"/>
      <w:pStyle w:val="Numberbullet2"/>
      <w:lvlText w:val="%2."/>
      <w:lvlJc w:val="left"/>
      <w:pPr>
        <w:ind w:left="1276" w:hanging="426"/>
      </w:pPr>
      <w:rPr>
        <w:rFonts w:hint="default"/>
      </w:rPr>
    </w:lvl>
    <w:lvl w:ilvl="2">
      <w:start w:val="1"/>
      <w:numFmt w:val="lowerRoman"/>
      <w:pStyle w:val="Numberbullet3"/>
      <w:lvlText w:val="%3."/>
      <w:lvlJc w:val="left"/>
      <w:pPr>
        <w:ind w:left="1701" w:hanging="425"/>
      </w:pPr>
      <w:rPr>
        <w:rFonts w:hint="default"/>
      </w:rPr>
    </w:lvl>
    <w:lvl w:ilvl="3">
      <w:start w:val="1"/>
      <w:numFmt w:val="none"/>
      <w:lvlText w:val=""/>
      <w:lvlJc w:val="left"/>
      <w:pPr>
        <w:ind w:left="1701" w:hanging="425"/>
      </w:pPr>
      <w:rPr>
        <w:rFonts w:hint="default"/>
      </w:rPr>
    </w:lvl>
    <w:lvl w:ilvl="4">
      <w:start w:val="1"/>
      <w:numFmt w:val="none"/>
      <w:lvlText w:val=""/>
      <w:lvlJc w:val="left"/>
      <w:pPr>
        <w:ind w:left="1701" w:hanging="425"/>
      </w:pPr>
      <w:rPr>
        <w:rFonts w:hint="default"/>
      </w:rPr>
    </w:lvl>
    <w:lvl w:ilvl="5">
      <w:start w:val="1"/>
      <w:numFmt w:val="none"/>
      <w:lvlText w:val=""/>
      <w:lvlJc w:val="left"/>
      <w:pPr>
        <w:ind w:left="1701" w:hanging="425"/>
      </w:pPr>
      <w:rPr>
        <w:rFonts w:hint="default"/>
      </w:rPr>
    </w:lvl>
    <w:lvl w:ilvl="6">
      <w:start w:val="1"/>
      <w:numFmt w:val="none"/>
      <w:lvlText w:val="%7"/>
      <w:lvlJc w:val="left"/>
      <w:pPr>
        <w:ind w:left="1701" w:hanging="425"/>
      </w:pPr>
      <w:rPr>
        <w:rFonts w:hint="default"/>
      </w:rPr>
    </w:lvl>
    <w:lvl w:ilvl="7">
      <w:start w:val="1"/>
      <w:numFmt w:val="none"/>
      <w:lvlText w:val=""/>
      <w:lvlJc w:val="left"/>
      <w:pPr>
        <w:ind w:left="1701" w:hanging="425"/>
      </w:pPr>
      <w:rPr>
        <w:rFonts w:hint="default"/>
      </w:rPr>
    </w:lvl>
    <w:lvl w:ilvl="8">
      <w:start w:val="1"/>
      <w:numFmt w:val="none"/>
      <w:lvlText w:val=""/>
      <w:lvlJc w:val="left"/>
      <w:pPr>
        <w:ind w:left="1701" w:hanging="425"/>
      </w:pPr>
      <w:rPr>
        <w:rFonts w:hint="default"/>
      </w:rPr>
    </w:lvl>
  </w:abstractNum>
  <w:abstractNum w:abstractNumId="3" w15:restartNumberingAfterBreak="0">
    <w:nsid w:val="168F13E9"/>
    <w:multiLevelType w:val="multilevel"/>
    <w:tmpl w:val="7C4875C6"/>
    <w:styleLink w:val="ListBullets"/>
    <w:lvl w:ilvl="0">
      <w:start w:val="1"/>
      <w:numFmt w:val="bullet"/>
      <w:pStyle w:val="ListBullet"/>
      <w:lvlText w:val="•"/>
      <w:lvlJc w:val="left"/>
      <w:pPr>
        <w:ind w:left="360" w:hanging="360"/>
      </w:pPr>
      <w:rPr>
        <w:rFonts w:ascii="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B5F4071"/>
    <w:multiLevelType w:val="hybridMultilevel"/>
    <w:tmpl w:val="E626C67C"/>
    <w:lvl w:ilvl="0" w:tplc="7B1C7300">
      <w:start w:val="1"/>
      <w:numFmt w:val="bullet"/>
      <w:lvlText w:val="-"/>
      <w:lvlJc w:val="left"/>
      <w:pPr>
        <w:ind w:left="1440" w:hanging="360"/>
      </w:pPr>
      <w:rPr>
        <w:rFonts w:ascii="Verdana" w:hAnsi="Verdana"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5" w15:restartNumberingAfterBreak="0">
    <w:nsid w:val="3066740A"/>
    <w:multiLevelType w:val="hybridMultilevel"/>
    <w:tmpl w:val="32A09876"/>
    <w:lvl w:ilvl="0" w:tplc="7CCAF100">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6" w15:restartNumberingAfterBreak="0">
    <w:nsid w:val="38292AD4"/>
    <w:multiLevelType w:val="multilevel"/>
    <w:tmpl w:val="7110D424"/>
    <w:styleLink w:val="Headings"/>
    <w:lvl w:ilvl="0">
      <w:start w:val="1"/>
      <w:numFmt w:val="decimal"/>
      <w:suff w:val="space"/>
      <w:lvlText w:val="%1."/>
      <w:lvlJc w:val="left"/>
      <w:pPr>
        <w:ind w:left="357" w:hanging="357"/>
      </w:pPr>
      <w:rPr>
        <w:rFonts w:asciiTheme="majorHAnsi" w:hAnsiTheme="majorHAnsi" w:cs="Times New Roman" w:hint="default"/>
      </w:rPr>
    </w:lvl>
    <w:lvl w:ilvl="1">
      <w:start w:val="1"/>
      <w:numFmt w:val="decimal"/>
      <w:suff w:val="space"/>
      <w:lvlText w:val="%1.%2."/>
      <w:lvlJc w:val="left"/>
      <w:pPr>
        <w:ind w:left="357" w:hanging="357"/>
      </w:pPr>
      <w:rPr>
        <w:rFonts w:asciiTheme="majorHAnsi" w:hAnsiTheme="majorHAnsi" w:cs="Times New Roman" w:hint="default"/>
      </w:rPr>
    </w:lvl>
    <w:lvl w:ilvl="2">
      <w:start w:val="1"/>
      <w:numFmt w:val="decimal"/>
      <w:suff w:val="space"/>
      <w:lvlText w:val="%1.%2.%3."/>
      <w:lvlJc w:val="left"/>
      <w:pPr>
        <w:ind w:left="357" w:hanging="357"/>
      </w:pPr>
      <w:rPr>
        <w:rFonts w:asciiTheme="majorHAnsi" w:hAnsiTheme="majorHAnsi" w:cs="Times New Roman" w:hint="default"/>
      </w:rPr>
    </w:lvl>
    <w:lvl w:ilvl="3">
      <w:start w:val="1"/>
      <w:numFmt w:val="decimal"/>
      <w:suff w:val="space"/>
      <w:lvlText w:val="%1.%2.%3.%4."/>
      <w:lvlJc w:val="left"/>
      <w:pPr>
        <w:ind w:left="357" w:hanging="357"/>
      </w:pPr>
      <w:rPr>
        <w:rFonts w:asciiTheme="majorHAnsi" w:hAnsiTheme="majorHAnsi" w:cs="Times New Roman" w:hint="default"/>
      </w:rPr>
    </w:lvl>
    <w:lvl w:ilvl="4">
      <w:start w:val="1"/>
      <w:numFmt w:val="lowerLetter"/>
      <w:lvlText w:val="(%5)"/>
      <w:lvlJc w:val="left"/>
      <w:pPr>
        <w:ind w:left="357" w:hanging="357"/>
      </w:pPr>
    </w:lvl>
    <w:lvl w:ilvl="5">
      <w:start w:val="1"/>
      <w:numFmt w:val="lowerRoman"/>
      <w:lvlText w:val="(%6)"/>
      <w:lvlJc w:val="left"/>
      <w:pPr>
        <w:ind w:left="357" w:hanging="357"/>
      </w:pPr>
    </w:lvl>
    <w:lvl w:ilvl="6">
      <w:start w:val="1"/>
      <w:numFmt w:val="decimal"/>
      <w:lvlText w:val="%7."/>
      <w:lvlJc w:val="left"/>
      <w:pPr>
        <w:ind w:left="357" w:hanging="357"/>
      </w:pPr>
    </w:lvl>
    <w:lvl w:ilvl="7">
      <w:start w:val="1"/>
      <w:numFmt w:val="lowerLetter"/>
      <w:lvlText w:val="%8."/>
      <w:lvlJc w:val="left"/>
      <w:pPr>
        <w:ind w:left="357" w:hanging="357"/>
      </w:pPr>
    </w:lvl>
    <w:lvl w:ilvl="8">
      <w:start w:val="1"/>
      <w:numFmt w:val="lowerRoman"/>
      <w:lvlText w:val="%9."/>
      <w:lvlJc w:val="left"/>
      <w:pPr>
        <w:ind w:left="357" w:hanging="357"/>
      </w:pPr>
    </w:lvl>
  </w:abstractNum>
  <w:abstractNum w:abstractNumId="7" w15:restartNumberingAfterBreak="0">
    <w:nsid w:val="3AC02909"/>
    <w:multiLevelType w:val="hybridMultilevel"/>
    <w:tmpl w:val="288AAC3A"/>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8" w15:restartNumberingAfterBreak="0">
    <w:nsid w:val="4062247C"/>
    <w:multiLevelType w:val="multilevel"/>
    <w:tmpl w:val="6284B7C8"/>
    <w:styleLink w:val="Recommendations"/>
    <w:lvl w:ilvl="0">
      <w:start w:val="1"/>
      <w:numFmt w:val="decimal"/>
      <w:suff w:val="space"/>
      <w:lvlText w:val="Recommendation %1."/>
      <w:lvlJc w:val="left"/>
      <w:pPr>
        <w:ind w:left="360" w:hanging="360"/>
      </w:pPr>
      <w:rPr>
        <w:rFonts w:asciiTheme="majorHAnsi" w:hAnsiTheme="majorHAnsi" w:cs="Times New Roman" w:hint="default"/>
        <w:b w:val="0"/>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435E20A6"/>
    <w:multiLevelType w:val="hybridMultilevel"/>
    <w:tmpl w:val="8C0AF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Symbol"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Symbol"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6050F1F"/>
    <w:multiLevelType w:val="hybridMultilevel"/>
    <w:tmpl w:val="1AFEDA52"/>
    <w:lvl w:ilvl="0" w:tplc="7B1C7300">
      <w:start w:val="1"/>
      <w:numFmt w:val="bullet"/>
      <w:lvlText w:val="-"/>
      <w:lvlJc w:val="left"/>
      <w:pPr>
        <w:ind w:left="1440" w:hanging="360"/>
      </w:pPr>
      <w:rPr>
        <w:rFonts w:ascii="Verdana" w:hAnsi="Verdana"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3" w15:restartNumberingAfterBreak="0">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3"/>
  </w:num>
  <w:num w:numId="4">
    <w:abstractNumId w:val="2"/>
  </w:num>
  <w:num w:numId="5">
    <w:abstractNumId w:val="11"/>
  </w:num>
  <w:num w:numId="6">
    <w:abstractNumId w:val="9"/>
  </w:num>
  <w:num w:numId="7">
    <w:abstractNumId w:val="10"/>
  </w:num>
  <w:num w:numId="8">
    <w:abstractNumId w:val="7"/>
  </w:num>
  <w:num w:numId="9">
    <w:abstractNumId w:val="13"/>
  </w:num>
  <w:num w:numId="10">
    <w:abstractNumId w:val="5"/>
  </w:num>
  <w:num w:numId="11">
    <w:abstractNumId w:val="4"/>
  </w:num>
  <w:num w:numId="12">
    <w:abstractNumId w:val="12"/>
  </w:num>
  <w:num w:numId="13">
    <w:abstractNumId w:val="6"/>
  </w:num>
  <w:num w:numId="14">
    <w:abstractNumId w:val="8"/>
  </w:num>
  <w:num w:numId="15">
    <w:abstractNumId w:val="1"/>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4F21"/>
    <w:rsid w:val="00002031"/>
    <w:rsid w:val="00004734"/>
    <w:rsid w:val="00006B22"/>
    <w:rsid w:val="00006FAB"/>
    <w:rsid w:val="0001276A"/>
    <w:rsid w:val="000246AE"/>
    <w:rsid w:val="00025C67"/>
    <w:rsid w:val="00026FDA"/>
    <w:rsid w:val="000441D2"/>
    <w:rsid w:val="00044772"/>
    <w:rsid w:val="0004541C"/>
    <w:rsid w:val="000525A0"/>
    <w:rsid w:val="000539D8"/>
    <w:rsid w:val="00053CE7"/>
    <w:rsid w:val="0005559E"/>
    <w:rsid w:val="000604D6"/>
    <w:rsid w:val="0007287A"/>
    <w:rsid w:val="000734D8"/>
    <w:rsid w:val="00077775"/>
    <w:rsid w:val="000840D2"/>
    <w:rsid w:val="00090471"/>
    <w:rsid w:val="00093926"/>
    <w:rsid w:val="00094244"/>
    <w:rsid w:val="00096AA7"/>
    <w:rsid w:val="000A1F3B"/>
    <w:rsid w:val="000A37DE"/>
    <w:rsid w:val="000A3AED"/>
    <w:rsid w:val="000A5B6D"/>
    <w:rsid w:val="000A76F0"/>
    <w:rsid w:val="000B3532"/>
    <w:rsid w:val="000B3A75"/>
    <w:rsid w:val="000C00C2"/>
    <w:rsid w:val="000C1206"/>
    <w:rsid w:val="000C1D42"/>
    <w:rsid w:val="000C4F21"/>
    <w:rsid w:val="000C690F"/>
    <w:rsid w:val="000C7A58"/>
    <w:rsid w:val="000D1295"/>
    <w:rsid w:val="000D3219"/>
    <w:rsid w:val="000D391B"/>
    <w:rsid w:val="000D3D6D"/>
    <w:rsid w:val="000D4FC7"/>
    <w:rsid w:val="000E07EE"/>
    <w:rsid w:val="000E3975"/>
    <w:rsid w:val="000E6196"/>
    <w:rsid w:val="000F1F9C"/>
    <w:rsid w:val="000F24AD"/>
    <w:rsid w:val="000F4869"/>
    <w:rsid w:val="000F5B42"/>
    <w:rsid w:val="000F6E6F"/>
    <w:rsid w:val="0010601F"/>
    <w:rsid w:val="0010788A"/>
    <w:rsid w:val="00107A31"/>
    <w:rsid w:val="00110EA5"/>
    <w:rsid w:val="00112F56"/>
    <w:rsid w:val="001134A6"/>
    <w:rsid w:val="00122C2E"/>
    <w:rsid w:val="00124ACD"/>
    <w:rsid w:val="00125318"/>
    <w:rsid w:val="001305A2"/>
    <w:rsid w:val="00130680"/>
    <w:rsid w:val="00133238"/>
    <w:rsid w:val="00133A1B"/>
    <w:rsid w:val="0014197B"/>
    <w:rsid w:val="00141BE8"/>
    <w:rsid w:val="001447CD"/>
    <w:rsid w:val="001474D3"/>
    <w:rsid w:val="001516B1"/>
    <w:rsid w:val="00154EBB"/>
    <w:rsid w:val="00156316"/>
    <w:rsid w:val="00161181"/>
    <w:rsid w:val="00162D14"/>
    <w:rsid w:val="00163780"/>
    <w:rsid w:val="00164B55"/>
    <w:rsid w:val="00165389"/>
    <w:rsid w:val="0017219B"/>
    <w:rsid w:val="00173FF0"/>
    <w:rsid w:val="0017693F"/>
    <w:rsid w:val="0018110E"/>
    <w:rsid w:val="00181684"/>
    <w:rsid w:val="00183140"/>
    <w:rsid w:val="001843C6"/>
    <w:rsid w:val="001850E0"/>
    <w:rsid w:val="001A02D6"/>
    <w:rsid w:val="001A03AF"/>
    <w:rsid w:val="001A0BD5"/>
    <w:rsid w:val="001A2158"/>
    <w:rsid w:val="001A273F"/>
    <w:rsid w:val="001A525F"/>
    <w:rsid w:val="001A7899"/>
    <w:rsid w:val="001B09F9"/>
    <w:rsid w:val="001B19BA"/>
    <w:rsid w:val="001B5C90"/>
    <w:rsid w:val="001B6448"/>
    <w:rsid w:val="001C0449"/>
    <w:rsid w:val="001C0ADC"/>
    <w:rsid w:val="001C32CD"/>
    <w:rsid w:val="001C737A"/>
    <w:rsid w:val="001D0E0E"/>
    <w:rsid w:val="001D2984"/>
    <w:rsid w:val="001D5343"/>
    <w:rsid w:val="001D5AC9"/>
    <w:rsid w:val="001E07CF"/>
    <w:rsid w:val="001E59F1"/>
    <w:rsid w:val="001E5BBD"/>
    <w:rsid w:val="001F2CEE"/>
    <w:rsid w:val="001F3DA9"/>
    <w:rsid w:val="001F49EB"/>
    <w:rsid w:val="001F4FA7"/>
    <w:rsid w:val="001F6CBA"/>
    <w:rsid w:val="001F72AE"/>
    <w:rsid w:val="00201D4E"/>
    <w:rsid w:val="0020339B"/>
    <w:rsid w:val="00203539"/>
    <w:rsid w:val="002076C9"/>
    <w:rsid w:val="002130BE"/>
    <w:rsid w:val="00217E18"/>
    <w:rsid w:val="00220B8A"/>
    <w:rsid w:val="002257F3"/>
    <w:rsid w:val="00233456"/>
    <w:rsid w:val="002339A5"/>
    <w:rsid w:val="00240889"/>
    <w:rsid w:val="00240BB9"/>
    <w:rsid w:val="00250271"/>
    <w:rsid w:val="00250924"/>
    <w:rsid w:val="002513AE"/>
    <w:rsid w:val="00257848"/>
    <w:rsid w:val="002578E8"/>
    <w:rsid w:val="002608C6"/>
    <w:rsid w:val="002625F3"/>
    <w:rsid w:val="002707E6"/>
    <w:rsid w:val="0027084A"/>
    <w:rsid w:val="00275E83"/>
    <w:rsid w:val="00280265"/>
    <w:rsid w:val="00286434"/>
    <w:rsid w:val="00286C59"/>
    <w:rsid w:val="00286E33"/>
    <w:rsid w:val="00290919"/>
    <w:rsid w:val="00291957"/>
    <w:rsid w:val="002942D1"/>
    <w:rsid w:val="0029501A"/>
    <w:rsid w:val="002A3721"/>
    <w:rsid w:val="002A5927"/>
    <w:rsid w:val="002A66C5"/>
    <w:rsid w:val="002B1638"/>
    <w:rsid w:val="002B3624"/>
    <w:rsid w:val="002C60B4"/>
    <w:rsid w:val="002C70D3"/>
    <w:rsid w:val="002D0952"/>
    <w:rsid w:val="002D0ED9"/>
    <w:rsid w:val="002D2ECE"/>
    <w:rsid w:val="002E35DA"/>
    <w:rsid w:val="002E40B3"/>
    <w:rsid w:val="002E4C9A"/>
    <w:rsid w:val="002F11F8"/>
    <w:rsid w:val="002F3F56"/>
    <w:rsid w:val="002F44B5"/>
    <w:rsid w:val="002F5122"/>
    <w:rsid w:val="00300959"/>
    <w:rsid w:val="00303FAC"/>
    <w:rsid w:val="003063AA"/>
    <w:rsid w:val="003117BE"/>
    <w:rsid w:val="00311AC0"/>
    <w:rsid w:val="0031611E"/>
    <w:rsid w:val="003168A7"/>
    <w:rsid w:val="003176FC"/>
    <w:rsid w:val="00324E45"/>
    <w:rsid w:val="0032583B"/>
    <w:rsid w:val="00327883"/>
    <w:rsid w:val="003345C8"/>
    <w:rsid w:val="00335504"/>
    <w:rsid w:val="00340C18"/>
    <w:rsid w:val="003442FD"/>
    <w:rsid w:val="003447A7"/>
    <w:rsid w:val="00347824"/>
    <w:rsid w:val="00350567"/>
    <w:rsid w:val="003521E8"/>
    <w:rsid w:val="00370CE3"/>
    <w:rsid w:val="003728F3"/>
    <w:rsid w:val="003735BC"/>
    <w:rsid w:val="003746BB"/>
    <w:rsid w:val="0037496E"/>
    <w:rsid w:val="003803DF"/>
    <w:rsid w:val="00380FA4"/>
    <w:rsid w:val="00383221"/>
    <w:rsid w:val="00383369"/>
    <w:rsid w:val="003835DE"/>
    <w:rsid w:val="00385F7F"/>
    <w:rsid w:val="00386150"/>
    <w:rsid w:val="00386A5D"/>
    <w:rsid w:val="003874CE"/>
    <w:rsid w:val="00390900"/>
    <w:rsid w:val="00393145"/>
    <w:rsid w:val="003A3043"/>
    <w:rsid w:val="003A7CF5"/>
    <w:rsid w:val="003A7F6C"/>
    <w:rsid w:val="003B46DB"/>
    <w:rsid w:val="003B4D60"/>
    <w:rsid w:val="003B5865"/>
    <w:rsid w:val="003B7E39"/>
    <w:rsid w:val="003C58DC"/>
    <w:rsid w:val="003D1E62"/>
    <w:rsid w:val="003E0B99"/>
    <w:rsid w:val="003E2486"/>
    <w:rsid w:val="003E3208"/>
    <w:rsid w:val="003E32F0"/>
    <w:rsid w:val="003E69AC"/>
    <w:rsid w:val="003F0B04"/>
    <w:rsid w:val="00400248"/>
    <w:rsid w:val="0040134E"/>
    <w:rsid w:val="0041045A"/>
    <w:rsid w:val="00417C1D"/>
    <w:rsid w:val="004334C7"/>
    <w:rsid w:val="00440A2D"/>
    <w:rsid w:val="00441C3F"/>
    <w:rsid w:val="00441F25"/>
    <w:rsid w:val="00444D1A"/>
    <w:rsid w:val="00446B1D"/>
    <w:rsid w:val="004514D6"/>
    <w:rsid w:val="0045186A"/>
    <w:rsid w:val="00455B60"/>
    <w:rsid w:val="004564A7"/>
    <w:rsid w:val="00456765"/>
    <w:rsid w:val="00460022"/>
    <w:rsid w:val="00460036"/>
    <w:rsid w:val="004617BF"/>
    <w:rsid w:val="00463658"/>
    <w:rsid w:val="004637A0"/>
    <w:rsid w:val="004722CC"/>
    <w:rsid w:val="004740CE"/>
    <w:rsid w:val="004760CF"/>
    <w:rsid w:val="00477A66"/>
    <w:rsid w:val="00483BE0"/>
    <w:rsid w:val="00487773"/>
    <w:rsid w:val="00490483"/>
    <w:rsid w:val="00491D8C"/>
    <w:rsid w:val="004936E4"/>
    <w:rsid w:val="00494E60"/>
    <w:rsid w:val="00497487"/>
    <w:rsid w:val="004A2771"/>
    <w:rsid w:val="004A6189"/>
    <w:rsid w:val="004A7390"/>
    <w:rsid w:val="004B7262"/>
    <w:rsid w:val="004B7B76"/>
    <w:rsid w:val="004C211A"/>
    <w:rsid w:val="004C239D"/>
    <w:rsid w:val="004C2DCA"/>
    <w:rsid w:val="004C4FBE"/>
    <w:rsid w:val="004C61D2"/>
    <w:rsid w:val="004D1098"/>
    <w:rsid w:val="004D71BB"/>
    <w:rsid w:val="004F0C4A"/>
    <w:rsid w:val="004F0F38"/>
    <w:rsid w:val="004F298E"/>
    <w:rsid w:val="004F47D6"/>
    <w:rsid w:val="00500337"/>
    <w:rsid w:val="00501921"/>
    <w:rsid w:val="00505081"/>
    <w:rsid w:val="0051106D"/>
    <w:rsid w:val="00511914"/>
    <w:rsid w:val="00511B5F"/>
    <w:rsid w:val="00511B9E"/>
    <w:rsid w:val="00517B5C"/>
    <w:rsid w:val="00522270"/>
    <w:rsid w:val="005252B2"/>
    <w:rsid w:val="00530354"/>
    <w:rsid w:val="00534954"/>
    <w:rsid w:val="0053625B"/>
    <w:rsid w:val="005366EE"/>
    <w:rsid w:val="005434C6"/>
    <w:rsid w:val="00543B39"/>
    <w:rsid w:val="00545FE1"/>
    <w:rsid w:val="00546154"/>
    <w:rsid w:val="00550096"/>
    <w:rsid w:val="0055140B"/>
    <w:rsid w:val="00555280"/>
    <w:rsid w:val="00555B11"/>
    <w:rsid w:val="00555F5C"/>
    <w:rsid w:val="00557FF9"/>
    <w:rsid w:val="00562327"/>
    <w:rsid w:val="00566A1B"/>
    <w:rsid w:val="00567A0D"/>
    <w:rsid w:val="005711D5"/>
    <w:rsid w:val="00576378"/>
    <w:rsid w:val="00577130"/>
    <w:rsid w:val="00577945"/>
    <w:rsid w:val="00577E38"/>
    <w:rsid w:val="00585322"/>
    <w:rsid w:val="005857C6"/>
    <w:rsid w:val="00592F6E"/>
    <w:rsid w:val="00593AD1"/>
    <w:rsid w:val="005973A0"/>
    <w:rsid w:val="005A68B6"/>
    <w:rsid w:val="005B2FD4"/>
    <w:rsid w:val="005C077B"/>
    <w:rsid w:val="005C09BF"/>
    <w:rsid w:val="005C25EA"/>
    <w:rsid w:val="005C3108"/>
    <w:rsid w:val="005C5570"/>
    <w:rsid w:val="005C5B66"/>
    <w:rsid w:val="005C79A4"/>
    <w:rsid w:val="005D5442"/>
    <w:rsid w:val="00603F32"/>
    <w:rsid w:val="00605AD4"/>
    <w:rsid w:val="00605DCB"/>
    <w:rsid w:val="006136D7"/>
    <w:rsid w:val="00614A3D"/>
    <w:rsid w:val="00624C89"/>
    <w:rsid w:val="00625A6E"/>
    <w:rsid w:val="00630560"/>
    <w:rsid w:val="00630E35"/>
    <w:rsid w:val="00632398"/>
    <w:rsid w:val="00635407"/>
    <w:rsid w:val="006358F7"/>
    <w:rsid w:val="0063798F"/>
    <w:rsid w:val="00640FC3"/>
    <w:rsid w:val="00642020"/>
    <w:rsid w:val="006430EE"/>
    <w:rsid w:val="00650AE3"/>
    <w:rsid w:val="0065337B"/>
    <w:rsid w:val="0065419D"/>
    <w:rsid w:val="006603BC"/>
    <w:rsid w:val="006604D8"/>
    <w:rsid w:val="00664A5B"/>
    <w:rsid w:val="0066735C"/>
    <w:rsid w:val="006763D2"/>
    <w:rsid w:val="00680C08"/>
    <w:rsid w:val="00681130"/>
    <w:rsid w:val="006916A0"/>
    <w:rsid w:val="006931B1"/>
    <w:rsid w:val="006942EF"/>
    <w:rsid w:val="006A15C0"/>
    <w:rsid w:val="006A58A8"/>
    <w:rsid w:val="006B07CF"/>
    <w:rsid w:val="006B6861"/>
    <w:rsid w:val="006C3A8E"/>
    <w:rsid w:val="006C3E2A"/>
    <w:rsid w:val="006C642F"/>
    <w:rsid w:val="006C65D7"/>
    <w:rsid w:val="006C6DE0"/>
    <w:rsid w:val="006D03E5"/>
    <w:rsid w:val="006D5D3E"/>
    <w:rsid w:val="006D7829"/>
    <w:rsid w:val="006E08B3"/>
    <w:rsid w:val="006E08BB"/>
    <w:rsid w:val="006E2346"/>
    <w:rsid w:val="006E6861"/>
    <w:rsid w:val="006F17AC"/>
    <w:rsid w:val="006F25B8"/>
    <w:rsid w:val="006F572E"/>
    <w:rsid w:val="006F7504"/>
    <w:rsid w:val="007046D6"/>
    <w:rsid w:val="00705165"/>
    <w:rsid w:val="00705DB0"/>
    <w:rsid w:val="007101BD"/>
    <w:rsid w:val="007161B5"/>
    <w:rsid w:val="007210CB"/>
    <w:rsid w:val="00722B57"/>
    <w:rsid w:val="00722CED"/>
    <w:rsid w:val="0072466B"/>
    <w:rsid w:val="007279F8"/>
    <w:rsid w:val="00730F8A"/>
    <w:rsid w:val="00733A46"/>
    <w:rsid w:val="00735A8C"/>
    <w:rsid w:val="0074253D"/>
    <w:rsid w:val="00744121"/>
    <w:rsid w:val="0074429B"/>
    <w:rsid w:val="0074479F"/>
    <w:rsid w:val="00751601"/>
    <w:rsid w:val="007615BC"/>
    <w:rsid w:val="00762F05"/>
    <w:rsid w:val="007652FF"/>
    <w:rsid w:val="00767456"/>
    <w:rsid w:val="00770CAC"/>
    <w:rsid w:val="00770EF1"/>
    <w:rsid w:val="00773EF7"/>
    <w:rsid w:val="00774E1D"/>
    <w:rsid w:val="007762F9"/>
    <w:rsid w:val="007765D8"/>
    <w:rsid w:val="0077675A"/>
    <w:rsid w:val="00776A9B"/>
    <w:rsid w:val="00780355"/>
    <w:rsid w:val="007819FD"/>
    <w:rsid w:val="00782794"/>
    <w:rsid w:val="00785437"/>
    <w:rsid w:val="00785717"/>
    <w:rsid w:val="00785721"/>
    <w:rsid w:val="00793A59"/>
    <w:rsid w:val="00797408"/>
    <w:rsid w:val="007A46F5"/>
    <w:rsid w:val="007A6505"/>
    <w:rsid w:val="007A6D49"/>
    <w:rsid w:val="007B6132"/>
    <w:rsid w:val="007B6E9F"/>
    <w:rsid w:val="007C1216"/>
    <w:rsid w:val="007C1AF7"/>
    <w:rsid w:val="007C2E6A"/>
    <w:rsid w:val="007C3DC2"/>
    <w:rsid w:val="007C5FFC"/>
    <w:rsid w:val="007C6B9B"/>
    <w:rsid w:val="007C7F17"/>
    <w:rsid w:val="007D28E0"/>
    <w:rsid w:val="007D49DB"/>
    <w:rsid w:val="007D53B6"/>
    <w:rsid w:val="007E529A"/>
    <w:rsid w:val="00805D27"/>
    <w:rsid w:val="0080633E"/>
    <w:rsid w:val="00806DCB"/>
    <w:rsid w:val="00807B4B"/>
    <w:rsid w:val="00811EA0"/>
    <w:rsid w:val="00820805"/>
    <w:rsid w:val="00821776"/>
    <w:rsid w:val="0082483E"/>
    <w:rsid w:val="008320A4"/>
    <w:rsid w:val="0083211D"/>
    <w:rsid w:val="008321F5"/>
    <w:rsid w:val="00832369"/>
    <w:rsid w:val="00834660"/>
    <w:rsid w:val="008359CE"/>
    <w:rsid w:val="00836BC2"/>
    <w:rsid w:val="00840BB2"/>
    <w:rsid w:val="00841B10"/>
    <w:rsid w:val="00846737"/>
    <w:rsid w:val="0085156D"/>
    <w:rsid w:val="00852900"/>
    <w:rsid w:val="00852B28"/>
    <w:rsid w:val="0085641B"/>
    <w:rsid w:val="00857136"/>
    <w:rsid w:val="00857184"/>
    <w:rsid w:val="00857CCF"/>
    <w:rsid w:val="00871CD7"/>
    <w:rsid w:val="00875A6B"/>
    <w:rsid w:val="00881E3F"/>
    <w:rsid w:val="00885B11"/>
    <w:rsid w:val="00886D15"/>
    <w:rsid w:val="00887DD8"/>
    <w:rsid w:val="008918AA"/>
    <w:rsid w:val="00891BA9"/>
    <w:rsid w:val="00896018"/>
    <w:rsid w:val="008960DD"/>
    <w:rsid w:val="0089635C"/>
    <w:rsid w:val="008A2B9D"/>
    <w:rsid w:val="008A3D9F"/>
    <w:rsid w:val="008A5E0B"/>
    <w:rsid w:val="008A6D59"/>
    <w:rsid w:val="008B4B03"/>
    <w:rsid w:val="008B596F"/>
    <w:rsid w:val="008B5B38"/>
    <w:rsid w:val="008C159F"/>
    <w:rsid w:val="008C1623"/>
    <w:rsid w:val="008C1850"/>
    <w:rsid w:val="008C1BB5"/>
    <w:rsid w:val="008C3B5A"/>
    <w:rsid w:val="008C51A9"/>
    <w:rsid w:val="008E5B38"/>
    <w:rsid w:val="008E7846"/>
    <w:rsid w:val="008F02E5"/>
    <w:rsid w:val="008F1CCC"/>
    <w:rsid w:val="008F2967"/>
    <w:rsid w:val="008F59DB"/>
    <w:rsid w:val="008F6943"/>
    <w:rsid w:val="0090261C"/>
    <w:rsid w:val="00902A21"/>
    <w:rsid w:val="00906BBE"/>
    <w:rsid w:val="009109F0"/>
    <w:rsid w:val="00912CE4"/>
    <w:rsid w:val="0091523F"/>
    <w:rsid w:val="00920330"/>
    <w:rsid w:val="009219D7"/>
    <w:rsid w:val="00922D53"/>
    <w:rsid w:val="00923B70"/>
    <w:rsid w:val="00924482"/>
    <w:rsid w:val="00924547"/>
    <w:rsid w:val="00930237"/>
    <w:rsid w:val="00931463"/>
    <w:rsid w:val="00933D74"/>
    <w:rsid w:val="00937C17"/>
    <w:rsid w:val="00940A89"/>
    <w:rsid w:val="009418A8"/>
    <w:rsid w:val="00941F77"/>
    <w:rsid w:val="00946EA5"/>
    <w:rsid w:val="0095100C"/>
    <w:rsid w:val="0095575F"/>
    <w:rsid w:val="00960520"/>
    <w:rsid w:val="00963C08"/>
    <w:rsid w:val="009724AD"/>
    <w:rsid w:val="009752A5"/>
    <w:rsid w:val="00984468"/>
    <w:rsid w:val="0098585A"/>
    <w:rsid w:val="00986CB0"/>
    <w:rsid w:val="009919D1"/>
    <w:rsid w:val="00997BF5"/>
    <w:rsid w:val="009A4CED"/>
    <w:rsid w:val="009A690D"/>
    <w:rsid w:val="009B1BB7"/>
    <w:rsid w:val="009B1D12"/>
    <w:rsid w:val="009B26E3"/>
    <w:rsid w:val="009B416B"/>
    <w:rsid w:val="009C3BE5"/>
    <w:rsid w:val="009C4BD5"/>
    <w:rsid w:val="009C53D6"/>
    <w:rsid w:val="009C7014"/>
    <w:rsid w:val="009D42AE"/>
    <w:rsid w:val="009D7B77"/>
    <w:rsid w:val="009E0BB0"/>
    <w:rsid w:val="009E3FBB"/>
    <w:rsid w:val="009E7FCC"/>
    <w:rsid w:val="009F27C7"/>
    <w:rsid w:val="009F4E70"/>
    <w:rsid w:val="009F7353"/>
    <w:rsid w:val="00A04F85"/>
    <w:rsid w:val="00A05FA4"/>
    <w:rsid w:val="00A102E4"/>
    <w:rsid w:val="00A1219C"/>
    <w:rsid w:val="00A12C42"/>
    <w:rsid w:val="00A12C97"/>
    <w:rsid w:val="00A14DF7"/>
    <w:rsid w:val="00A226CB"/>
    <w:rsid w:val="00A22D57"/>
    <w:rsid w:val="00A2652D"/>
    <w:rsid w:val="00A273D4"/>
    <w:rsid w:val="00A3246D"/>
    <w:rsid w:val="00A36FA7"/>
    <w:rsid w:val="00A44DDB"/>
    <w:rsid w:val="00A475B7"/>
    <w:rsid w:val="00A47AF7"/>
    <w:rsid w:val="00A47C3E"/>
    <w:rsid w:val="00A50226"/>
    <w:rsid w:val="00A514E9"/>
    <w:rsid w:val="00A554AC"/>
    <w:rsid w:val="00A60BAD"/>
    <w:rsid w:val="00A67D26"/>
    <w:rsid w:val="00A70919"/>
    <w:rsid w:val="00A77F87"/>
    <w:rsid w:val="00A80B5B"/>
    <w:rsid w:val="00A8273C"/>
    <w:rsid w:val="00A839AE"/>
    <w:rsid w:val="00A84E36"/>
    <w:rsid w:val="00A9051C"/>
    <w:rsid w:val="00A924F7"/>
    <w:rsid w:val="00A964D1"/>
    <w:rsid w:val="00A97C73"/>
    <w:rsid w:val="00AA0ED0"/>
    <w:rsid w:val="00AA164F"/>
    <w:rsid w:val="00AA26A5"/>
    <w:rsid w:val="00AA33A8"/>
    <w:rsid w:val="00AA79CE"/>
    <w:rsid w:val="00AB0F6A"/>
    <w:rsid w:val="00AB11D3"/>
    <w:rsid w:val="00AB568B"/>
    <w:rsid w:val="00AB5AED"/>
    <w:rsid w:val="00AC2B40"/>
    <w:rsid w:val="00AC2BB2"/>
    <w:rsid w:val="00AC2C3C"/>
    <w:rsid w:val="00AC2D84"/>
    <w:rsid w:val="00AC512D"/>
    <w:rsid w:val="00AD0083"/>
    <w:rsid w:val="00AD2057"/>
    <w:rsid w:val="00AD3935"/>
    <w:rsid w:val="00AD63F6"/>
    <w:rsid w:val="00AD798D"/>
    <w:rsid w:val="00AE63BD"/>
    <w:rsid w:val="00AE65EB"/>
    <w:rsid w:val="00AE67A7"/>
    <w:rsid w:val="00AE71C1"/>
    <w:rsid w:val="00AF1D94"/>
    <w:rsid w:val="00AF60C5"/>
    <w:rsid w:val="00B009C6"/>
    <w:rsid w:val="00B01548"/>
    <w:rsid w:val="00B130C5"/>
    <w:rsid w:val="00B13EBD"/>
    <w:rsid w:val="00B21D29"/>
    <w:rsid w:val="00B23741"/>
    <w:rsid w:val="00B24C1E"/>
    <w:rsid w:val="00B25034"/>
    <w:rsid w:val="00B303AF"/>
    <w:rsid w:val="00B32579"/>
    <w:rsid w:val="00B33588"/>
    <w:rsid w:val="00B33863"/>
    <w:rsid w:val="00B37330"/>
    <w:rsid w:val="00B37D17"/>
    <w:rsid w:val="00B4173F"/>
    <w:rsid w:val="00B4175E"/>
    <w:rsid w:val="00B41C85"/>
    <w:rsid w:val="00B452CE"/>
    <w:rsid w:val="00B54C25"/>
    <w:rsid w:val="00B56A68"/>
    <w:rsid w:val="00B578DA"/>
    <w:rsid w:val="00B601F8"/>
    <w:rsid w:val="00B6092C"/>
    <w:rsid w:val="00B60E95"/>
    <w:rsid w:val="00B64BA5"/>
    <w:rsid w:val="00B67CAA"/>
    <w:rsid w:val="00B70468"/>
    <w:rsid w:val="00B70727"/>
    <w:rsid w:val="00B74B49"/>
    <w:rsid w:val="00B752A4"/>
    <w:rsid w:val="00B76B91"/>
    <w:rsid w:val="00B77E36"/>
    <w:rsid w:val="00B77EB1"/>
    <w:rsid w:val="00B811C6"/>
    <w:rsid w:val="00B855B0"/>
    <w:rsid w:val="00B906F6"/>
    <w:rsid w:val="00B92E08"/>
    <w:rsid w:val="00B934E5"/>
    <w:rsid w:val="00B94C3E"/>
    <w:rsid w:val="00BA6D19"/>
    <w:rsid w:val="00BB6562"/>
    <w:rsid w:val="00BC4022"/>
    <w:rsid w:val="00BC4DC3"/>
    <w:rsid w:val="00BC622A"/>
    <w:rsid w:val="00BD1F85"/>
    <w:rsid w:val="00BD2BAB"/>
    <w:rsid w:val="00BD336F"/>
    <w:rsid w:val="00BD40D2"/>
    <w:rsid w:val="00BE0A78"/>
    <w:rsid w:val="00BE79F0"/>
    <w:rsid w:val="00BF046D"/>
    <w:rsid w:val="00BF1190"/>
    <w:rsid w:val="00BF3774"/>
    <w:rsid w:val="00BF5D04"/>
    <w:rsid w:val="00C009AA"/>
    <w:rsid w:val="00C01EBB"/>
    <w:rsid w:val="00C0549F"/>
    <w:rsid w:val="00C07DA2"/>
    <w:rsid w:val="00C1164D"/>
    <w:rsid w:val="00C1178B"/>
    <w:rsid w:val="00C12A66"/>
    <w:rsid w:val="00C15CC4"/>
    <w:rsid w:val="00C16861"/>
    <w:rsid w:val="00C17E13"/>
    <w:rsid w:val="00C208A3"/>
    <w:rsid w:val="00C23ABD"/>
    <w:rsid w:val="00C346AB"/>
    <w:rsid w:val="00C404A6"/>
    <w:rsid w:val="00C40A36"/>
    <w:rsid w:val="00C44419"/>
    <w:rsid w:val="00C44DEB"/>
    <w:rsid w:val="00C44FB9"/>
    <w:rsid w:val="00C4503E"/>
    <w:rsid w:val="00C45E7B"/>
    <w:rsid w:val="00C471B1"/>
    <w:rsid w:val="00C50ABF"/>
    <w:rsid w:val="00C525A2"/>
    <w:rsid w:val="00C52E24"/>
    <w:rsid w:val="00C55C53"/>
    <w:rsid w:val="00C60B51"/>
    <w:rsid w:val="00C6316B"/>
    <w:rsid w:val="00C634A9"/>
    <w:rsid w:val="00C63D72"/>
    <w:rsid w:val="00C64586"/>
    <w:rsid w:val="00C70A36"/>
    <w:rsid w:val="00C70D53"/>
    <w:rsid w:val="00C7263D"/>
    <w:rsid w:val="00C73D0B"/>
    <w:rsid w:val="00C74F5C"/>
    <w:rsid w:val="00C75526"/>
    <w:rsid w:val="00C772FF"/>
    <w:rsid w:val="00C80137"/>
    <w:rsid w:val="00C801AF"/>
    <w:rsid w:val="00C80256"/>
    <w:rsid w:val="00C821CF"/>
    <w:rsid w:val="00C86B45"/>
    <w:rsid w:val="00C94CD4"/>
    <w:rsid w:val="00C94DA1"/>
    <w:rsid w:val="00C9747E"/>
    <w:rsid w:val="00CB4046"/>
    <w:rsid w:val="00CB6B00"/>
    <w:rsid w:val="00CB6BC0"/>
    <w:rsid w:val="00CB7F66"/>
    <w:rsid w:val="00CC1B7C"/>
    <w:rsid w:val="00CC3C15"/>
    <w:rsid w:val="00CC727F"/>
    <w:rsid w:val="00CD386E"/>
    <w:rsid w:val="00CE2D80"/>
    <w:rsid w:val="00CF15C3"/>
    <w:rsid w:val="00CF2B6F"/>
    <w:rsid w:val="00CF2F3E"/>
    <w:rsid w:val="00CF3DDC"/>
    <w:rsid w:val="00CF58B6"/>
    <w:rsid w:val="00CF5DAD"/>
    <w:rsid w:val="00D0062D"/>
    <w:rsid w:val="00D017ED"/>
    <w:rsid w:val="00D040D3"/>
    <w:rsid w:val="00D04C65"/>
    <w:rsid w:val="00D14C8B"/>
    <w:rsid w:val="00D153D8"/>
    <w:rsid w:val="00D15440"/>
    <w:rsid w:val="00D201D2"/>
    <w:rsid w:val="00D224FE"/>
    <w:rsid w:val="00D226CB"/>
    <w:rsid w:val="00D23139"/>
    <w:rsid w:val="00D3132D"/>
    <w:rsid w:val="00D3676C"/>
    <w:rsid w:val="00D415FF"/>
    <w:rsid w:val="00D425BB"/>
    <w:rsid w:val="00D447E8"/>
    <w:rsid w:val="00D453FA"/>
    <w:rsid w:val="00D457A6"/>
    <w:rsid w:val="00D50DDE"/>
    <w:rsid w:val="00D55F1A"/>
    <w:rsid w:val="00D560CD"/>
    <w:rsid w:val="00D6080C"/>
    <w:rsid w:val="00D62A9D"/>
    <w:rsid w:val="00D63F17"/>
    <w:rsid w:val="00D6493E"/>
    <w:rsid w:val="00D712CF"/>
    <w:rsid w:val="00D7195D"/>
    <w:rsid w:val="00D71E89"/>
    <w:rsid w:val="00D7301E"/>
    <w:rsid w:val="00D75EC9"/>
    <w:rsid w:val="00D75F0E"/>
    <w:rsid w:val="00D83AE1"/>
    <w:rsid w:val="00D855D4"/>
    <w:rsid w:val="00D86EDC"/>
    <w:rsid w:val="00D902C9"/>
    <w:rsid w:val="00D93466"/>
    <w:rsid w:val="00D939AE"/>
    <w:rsid w:val="00D96295"/>
    <w:rsid w:val="00D96405"/>
    <w:rsid w:val="00DA1124"/>
    <w:rsid w:val="00DA64CB"/>
    <w:rsid w:val="00DB06B8"/>
    <w:rsid w:val="00DB0968"/>
    <w:rsid w:val="00DB47DE"/>
    <w:rsid w:val="00DB6124"/>
    <w:rsid w:val="00DB750B"/>
    <w:rsid w:val="00DB75B7"/>
    <w:rsid w:val="00DC0A2F"/>
    <w:rsid w:val="00DC1144"/>
    <w:rsid w:val="00DC1948"/>
    <w:rsid w:val="00DC6E02"/>
    <w:rsid w:val="00DC6F2E"/>
    <w:rsid w:val="00DD28CD"/>
    <w:rsid w:val="00DD7657"/>
    <w:rsid w:val="00DE02AE"/>
    <w:rsid w:val="00DE222E"/>
    <w:rsid w:val="00DE39D1"/>
    <w:rsid w:val="00DE40DB"/>
    <w:rsid w:val="00DF1D7F"/>
    <w:rsid w:val="00DF2977"/>
    <w:rsid w:val="00DF4BE4"/>
    <w:rsid w:val="00E02382"/>
    <w:rsid w:val="00E02FB4"/>
    <w:rsid w:val="00E068EF"/>
    <w:rsid w:val="00E104F3"/>
    <w:rsid w:val="00E13FC7"/>
    <w:rsid w:val="00E17815"/>
    <w:rsid w:val="00E17CF3"/>
    <w:rsid w:val="00E20571"/>
    <w:rsid w:val="00E235F7"/>
    <w:rsid w:val="00E23659"/>
    <w:rsid w:val="00E239D4"/>
    <w:rsid w:val="00E26130"/>
    <w:rsid w:val="00E33D42"/>
    <w:rsid w:val="00E3457E"/>
    <w:rsid w:val="00E402E3"/>
    <w:rsid w:val="00E40B22"/>
    <w:rsid w:val="00E416AD"/>
    <w:rsid w:val="00E421CA"/>
    <w:rsid w:val="00E4368C"/>
    <w:rsid w:val="00E44ED1"/>
    <w:rsid w:val="00E45619"/>
    <w:rsid w:val="00E4588F"/>
    <w:rsid w:val="00E46DA3"/>
    <w:rsid w:val="00E50980"/>
    <w:rsid w:val="00E51AD8"/>
    <w:rsid w:val="00E51BB1"/>
    <w:rsid w:val="00E55CB0"/>
    <w:rsid w:val="00E624A5"/>
    <w:rsid w:val="00E64BA4"/>
    <w:rsid w:val="00E66FA1"/>
    <w:rsid w:val="00E706F8"/>
    <w:rsid w:val="00E71978"/>
    <w:rsid w:val="00E7344E"/>
    <w:rsid w:val="00E74366"/>
    <w:rsid w:val="00E80592"/>
    <w:rsid w:val="00E805C1"/>
    <w:rsid w:val="00E82665"/>
    <w:rsid w:val="00E87539"/>
    <w:rsid w:val="00E87AAB"/>
    <w:rsid w:val="00E87DFF"/>
    <w:rsid w:val="00E93B46"/>
    <w:rsid w:val="00E95CA7"/>
    <w:rsid w:val="00E95E60"/>
    <w:rsid w:val="00EA0922"/>
    <w:rsid w:val="00EA7CFD"/>
    <w:rsid w:val="00EB0798"/>
    <w:rsid w:val="00EB2061"/>
    <w:rsid w:val="00EB2958"/>
    <w:rsid w:val="00EB40AD"/>
    <w:rsid w:val="00EB586E"/>
    <w:rsid w:val="00EB5FC8"/>
    <w:rsid w:val="00EC1F7E"/>
    <w:rsid w:val="00EC463D"/>
    <w:rsid w:val="00EC6382"/>
    <w:rsid w:val="00EC7A85"/>
    <w:rsid w:val="00ED2922"/>
    <w:rsid w:val="00ED3CAD"/>
    <w:rsid w:val="00ED3DBE"/>
    <w:rsid w:val="00ED5A41"/>
    <w:rsid w:val="00EE1DE8"/>
    <w:rsid w:val="00EE27C2"/>
    <w:rsid w:val="00EE7C08"/>
    <w:rsid w:val="00EF4BAD"/>
    <w:rsid w:val="00EF59DC"/>
    <w:rsid w:val="00F00D38"/>
    <w:rsid w:val="00F033EC"/>
    <w:rsid w:val="00F03845"/>
    <w:rsid w:val="00F04F68"/>
    <w:rsid w:val="00F05356"/>
    <w:rsid w:val="00F0605A"/>
    <w:rsid w:val="00F112F6"/>
    <w:rsid w:val="00F1178C"/>
    <w:rsid w:val="00F12670"/>
    <w:rsid w:val="00F14B27"/>
    <w:rsid w:val="00F3148D"/>
    <w:rsid w:val="00F325C5"/>
    <w:rsid w:val="00F32FE0"/>
    <w:rsid w:val="00F35298"/>
    <w:rsid w:val="00F40DD6"/>
    <w:rsid w:val="00F47333"/>
    <w:rsid w:val="00F47E37"/>
    <w:rsid w:val="00F51C5A"/>
    <w:rsid w:val="00F53C07"/>
    <w:rsid w:val="00F53D31"/>
    <w:rsid w:val="00F54B65"/>
    <w:rsid w:val="00F54D8F"/>
    <w:rsid w:val="00F579F5"/>
    <w:rsid w:val="00F62CD3"/>
    <w:rsid w:val="00F63DBF"/>
    <w:rsid w:val="00F640B6"/>
    <w:rsid w:val="00F664CB"/>
    <w:rsid w:val="00F66DF2"/>
    <w:rsid w:val="00F71519"/>
    <w:rsid w:val="00F717C7"/>
    <w:rsid w:val="00F72748"/>
    <w:rsid w:val="00F76FAB"/>
    <w:rsid w:val="00F80E40"/>
    <w:rsid w:val="00F848D9"/>
    <w:rsid w:val="00F91755"/>
    <w:rsid w:val="00F97075"/>
    <w:rsid w:val="00FA5069"/>
    <w:rsid w:val="00FA5B82"/>
    <w:rsid w:val="00FA639E"/>
    <w:rsid w:val="00FB0363"/>
    <w:rsid w:val="00FB2975"/>
    <w:rsid w:val="00FB369D"/>
    <w:rsid w:val="00FC1FCA"/>
    <w:rsid w:val="00FC25E4"/>
    <w:rsid w:val="00FC38AC"/>
    <w:rsid w:val="00FC4E4D"/>
    <w:rsid w:val="00FC4EF7"/>
    <w:rsid w:val="00FD0824"/>
    <w:rsid w:val="00FD119B"/>
    <w:rsid w:val="00FD1634"/>
    <w:rsid w:val="00FD1EDC"/>
    <w:rsid w:val="00FD5B0F"/>
    <w:rsid w:val="00FE0237"/>
    <w:rsid w:val="00FE1DEE"/>
    <w:rsid w:val="00FF2126"/>
    <w:rsid w:val="00FF5755"/>
    <w:rsid w:val="00FF63D2"/>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75F683"/>
  <w15:docId w15:val="{1A4E9EB5-B400-467C-919C-A6B318FA4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942EF"/>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9"/>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9"/>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uiPriority w:val="9"/>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9"/>
    <w:qFormat/>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uiPriority w:val="9"/>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uiPriority w:val="99"/>
    <w:rsid w:val="00E45619"/>
    <w:pPr>
      <w:spacing w:before="0" w:after="0" w:line="280" w:lineRule="atLeast"/>
      <w:jc w:val="center"/>
    </w:pPr>
  </w:style>
  <w:style w:type="paragraph" w:customStyle="1" w:styleId="AxisLabel">
    <w:name w:val="Axis Label"/>
    <w:basedOn w:val="Normal"/>
    <w:uiPriority w:val="99"/>
    <w:qFormat/>
    <w:rsid w:val="00F3148D"/>
    <w:pPr>
      <w:spacing w:after="0" w:line="240" w:lineRule="auto"/>
    </w:pPr>
    <w:rPr>
      <w:rFonts w:ascii="Arial" w:hAnsi="Arial"/>
      <w:noProof/>
      <w:sz w:val="14"/>
      <w:lang w:eastAsia="en-AU"/>
    </w:rPr>
  </w:style>
  <w:style w:type="paragraph" w:customStyle="1" w:styleId="AxisTitle">
    <w:name w:val="Axis Title"/>
    <w:basedOn w:val="Normal"/>
    <w:uiPriority w:val="99"/>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uiPriority w:val="99"/>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uiPriority w:val="99"/>
    <w:rsid w:val="003D1E62"/>
    <w:pPr>
      <w:spacing w:after="0"/>
    </w:pPr>
    <w:rPr>
      <w:sz w:val="19"/>
    </w:rPr>
  </w:style>
  <w:style w:type="paragraph" w:customStyle="1" w:styleId="FigureTitle">
    <w:name w:val="Figure Title"/>
    <w:basedOn w:val="Normal"/>
    <w:uiPriority w:val="99"/>
    <w:qFormat/>
    <w:rsid w:val="001B5C90"/>
    <w:pPr>
      <w:keepNext/>
      <w:spacing w:line="220" w:lineRule="atLeast"/>
    </w:pPr>
    <w:rPr>
      <w:b/>
    </w:rPr>
  </w:style>
  <w:style w:type="character" w:customStyle="1" w:styleId="Heading4Char">
    <w:name w:val="Heading 4 Char"/>
    <w:basedOn w:val="DefaultParagraphFont"/>
    <w:link w:val="Heading4"/>
    <w:uiPriority w:val="9"/>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qFormat/>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uiPriority w:val="99"/>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uiPriority w:val="99"/>
    <w:qFormat/>
    <w:rsid w:val="00F3148D"/>
    <w:rPr>
      <w:sz w:val="14"/>
    </w:rPr>
  </w:style>
  <w:style w:type="paragraph" w:customStyle="1" w:styleId="LegalCopy">
    <w:name w:val="Legal Copy"/>
    <w:basedOn w:val="Footer"/>
    <w:uiPriority w:val="99"/>
    <w:qFormat/>
    <w:rsid w:val="00F3148D"/>
  </w:style>
  <w:style w:type="paragraph" w:customStyle="1" w:styleId="LegalSubheading">
    <w:name w:val="Legal Subheading"/>
    <w:basedOn w:val="Footer"/>
    <w:uiPriority w:val="99"/>
    <w:qFormat/>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F54D8F"/>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uiPriority w:val="99"/>
    <w:rsid w:val="00C74F5C"/>
    <w:pPr>
      <w:spacing w:before="240"/>
      <w:outlineLvl w:val="1"/>
    </w:pPr>
    <w:rPr>
      <w:rFonts w:ascii="Arial" w:hAnsi="Arial"/>
      <w:b/>
      <w:sz w:val="32"/>
    </w:rPr>
  </w:style>
  <w:style w:type="paragraph" w:customStyle="1" w:styleId="Notes">
    <w:name w:val="Notes"/>
    <w:basedOn w:val="Normal"/>
    <w:uiPriority w:val="99"/>
    <w:qFormat/>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uiPriority w:val="99"/>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uiPriority w:val="99"/>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uiPriority w:val="99"/>
    <w:qFormat/>
    <w:rsid w:val="002E40B3"/>
    <w:pPr>
      <w:keepNext/>
    </w:pPr>
    <w:rPr>
      <w:b/>
    </w:rPr>
  </w:style>
  <w:style w:type="paragraph" w:customStyle="1" w:styleId="TGASignoff">
    <w:name w:val="TGA Signoff"/>
    <w:basedOn w:val="Normal"/>
    <w:uiPriority w:val="99"/>
    <w:qFormat/>
    <w:rsid w:val="00F3148D"/>
    <w:pPr>
      <w:jc w:val="center"/>
    </w:pPr>
    <w:rPr>
      <w:rFonts w:ascii="Arial" w:hAnsi="Arial"/>
      <w:b/>
      <w:sz w:val="28"/>
    </w:rPr>
  </w:style>
  <w:style w:type="paragraph" w:styleId="Title">
    <w:name w:val="Title"/>
    <w:next w:val="Normal"/>
    <w:link w:val="TitleChar"/>
    <w:uiPriority w:val="10"/>
    <w:qFormat/>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UnresolvedMention1">
    <w:name w:val="Unresolved Mention1"/>
    <w:basedOn w:val="DefaultParagraphFont"/>
    <w:uiPriority w:val="99"/>
    <w:semiHidden/>
    <w:unhideWhenUsed/>
    <w:rsid w:val="00FB369D"/>
    <w:rPr>
      <w:color w:val="605E5C"/>
      <w:shd w:val="clear" w:color="auto" w:fill="E1DFDD"/>
    </w:rPr>
  </w:style>
  <w:style w:type="paragraph" w:styleId="NormalWeb">
    <w:name w:val="Normal (Web)"/>
    <w:basedOn w:val="Normal"/>
    <w:uiPriority w:val="99"/>
    <w:semiHidden/>
    <w:unhideWhenUsed/>
    <w:rsid w:val="00B64BA5"/>
    <w:pPr>
      <w:spacing w:before="100" w:beforeAutospacing="1" w:after="100" w:afterAutospacing="1" w:line="240" w:lineRule="auto"/>
    </w:pPr>
    <w:rPr>
      <w:rFonts w:ascii="Times New Roman" w:eastAsia="Times New Roman" w:hAnsi="Times New Roman"/>
      <w:sz w:val="24"/>
      <w:szCs w:val="24"/>
      <w:lang w:eastAsia="en-AU"/>
    </w:rPr>
  </w:style>
  <w:style w:type="paragraph" w:styleId="ListParagraph">
    <w:name w:val="List Paragraph"/>
    <w:basedOn w:val="Normal"/>
    <w:uiPriority w:val="34"/>
    <w:qFormat/>
    <w:rsid w:val="00B64BA5"/>
    <w:pPr>
      <w:adjustRightInd w:val="0"/>
      <w:snapToGrid w:val="0"/>
      <w:spacing w:before="180" w:after="180"/>
      <w:ind w:left="720"/>
      <w:contextualSpacing/>
    </w:pPr>
    <w:rPr>
      <w:rFonts w:eastAsia="MS Mincho"/>
      <w:szCs w:val="20"/>
      <w:lang w:eastAsia="ja-JP"/>
    </w:rPr>
  </w:style>
  <w:style w:type="character" w:customStyle="1" w:styleId="apple-converted-space">
    <w:name w:val="apple-converted-space"/>
    <w:basedOn w:val="DefaultParagraphFont"/>
    <w:rsid w:val="00B64BA5"/>
  </w:style>
  <w:style w:type="character" w:customStyle="1" w:styleId="StandardChar">
    <w:name w:val="Standard Char"/>
    <w:basedOn w:val="DefaultParagraphFont"/>
    <w:link w:val="Standard"/>
    <w:locked/>
    <w:rsid w:val="00A554AC"/>
    <w:rPr>
      <w:rFonts w:ascii="Cambria" w:eastAsia="Times New Roman" w:hAnsi="Cambria" w:cs="Times New Roman"/>
      <w:kern w:val="16"/>
      <w:sz w:val="23"/>
      <w:szCs w:val="24"/>
    </w:rPr>
  </w:style>
  <w:style w:type="paragraph" w:customStyle="1" w:styleId="Standard">
    <w:name w:val="Standard"/>
    <w:basedOn w:val="Normal"/>
    <w:link w:val="StandardChar"/>
    <w:qFormat/>
    <w:rsid w:val="00A554AC"/>
    <w:pPr>
      <w:snapToGrid w:val="0"/>
      <w:spacing w:before="0" w:after="220" w:line="252" w:lineRule="auto"/>
    </w:pPr>
    <w:rPr>
      <w:rFonts w:eastAsia="Times New Roman"/>
      <w:kern w:val="16"/>
      <w:sz w:val="23"/>
      <w:szCs w:val="24"/>
    </w:rPr>
  </w:style>
  <w:style w:type="paragraph" w:customStyle="1" w:styleId="Bulletpoint">
    <w:name w:val="Bullet point"/>
    <w:basedOn w:val="Standard"/>
    <w:uiPriority w:val="99"/>
    <w:rsid w:val="00A554AC"/>
    <w:pPr>
      <w:numPr>
        <w:numId w:val="7"/>
      </w:numPr>
      <w:tabs>
        <w:tab w:val="clear" w:pos="369"/>
        <w:tab w:val="left" w:pos="397"/>
        <w:tab w:val="num" w:pos="511"/>
      </w:tabs>
      <w:spacing w:after="180"/>
      <w:ind w:left="0" w:firstLine="0"/>
    </w:pPr>
    <w:rPr>
      <w:sz w:val="22"/>
    </w:rPr>
  </w:style>
  <w:style w:type="paragraph" w:customStyle="1" w:styleId="msonormal0">
    <w:name w:val="msonormal"/>
    <w:basedOn w:val="Normal"/>
    <w:uiPriority w:val="99"/>
    <w:rsid w:val="00A554AC"/>
    <w:pPr>
      <w:spacing w:before="100" w:beforeAutospacing="1" w:after="100" w:afterAutospacing="1" w:line="240" w:lineRule="auto"/>
    </w:pPr>
    <w:rPr>
      <w:rFonts w:ascii="Times New Roman" w:eastAsia="Times New Roman" w:hAnsi="Times New Roman"/>
      <w:sz w:val="24"/>
      <w:szCs w:val="24"/>
      <w:lang w:eastAsia="en-AU"/>
    </w:rPr>
  </w:style>
  <w:style w:type="paragraph" w:styleId="TOC4">
    <w:name w:val="toc 4"/>
    <w:basedOn w:val="Normal"/>
    <w:next w:val="Normal"/>
    <w:autoRedefine/>
    <w:uiPriority w:val="39"/>
    <w:semiHidden/>
    <w:unhideWhenUsed/>
    <w:rsid w:val="00A554AC"/>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semiHidden/>
    <w:unhideWhenUsed/>
    <w:rsid w:val="00A554AC"/>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semiHidden/>
    <w:unhideWhenUsed/>
    <w:rsid w:val="00A554AC"/>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semiHidden/>
    <w:unhideWhenUsed/>
    <w:rsid w:val="00A554AC"/>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semiHidden/>
    <w:unhideWhenUsed/>
    <w:rsid w:val="00A554AC"/>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semiHidden/>
    <w:unhideWhenUsed/>
    <w:rsid w:val="00A554AC"/>
    <w:pPr>
      <w:spacing w:before="0" w:after="100" w:line="276" w:lineRule="auto"/>
      <w:ind w:left="1760"/>
    </w:pPr>
    <w:rPr>
      <w:rFonts w:asciiTheme="minorHAnsi" w:eastAsiaTheme="minorEastAsia" w:hAnsiTheme="minorHAnsi" w:cstheme="minorBidi"/>
      <w:lang w:eastAsia="en-AU"/>
    </w:rPr>
  </w:style>
  <w:style w:type="paragraph" w:styleId="TableofFigures">
    <w:name w:val="table of figures"/>
    <w:basedOn w:val="Normal"/>
    <w:next w:val="Normal"/>
    <w:uiPriority w:val="99"/>
    <w:semiHidden/>
    <w:unhideWhenUsed/>
    <w:rsid w:val="00A554AC"/>
    <w:pPr>
      <w:spacing w:after="0" w:line="240" w:lineRule="auto"/>
    </w:pPr>
    <w:rPr>
      <w:rFonts w:eastAsiaTheme="minorHAnsi"/>
    </w:rPr>
  </w:style>
  <w:style w:type="paragraph" w:styleId="BodyText">
    <w:name w:val="Body Text"/>
    <w:basedOn w:val="Normal"/>
    <w:link w:val="BodyTextChar"/>
    <w:uiPriority w:val="1"/>
    <w:semiHidden/>
    <w:unhideWhenUsed/>
    <w:qFormat/>
    <w:rsid w:val="00A554AC"/>
    <w:pPr>
      <w:autoSpaceDE w:val="0"/>
      <w:autoSpaceDN w:val="0"/>
      <w:adjustRightInd w:val="0"/>
      <w:spacing w:before="0" w:after="0" w:line="258" w:lineRule="exact"/>
      <w:ind w:left="40"/>
    </w:pPr>
    <w:rPr>
      <w:rFonts w:ascii="Times New Roman" w:eastAsiaTheme="minorHAnsi" w:hAnsi="Times New Roman"/>
      <w:sz w:val="23"/>
      <w:szCs w:val="23"/>
    </w:rPr>
  </w:style>
  <w:style w:type="character" w:customStyle="1" w:styleId="BodyTextChar">
    <w:name w:val="Body Text Char"/>
    <w:basedOn w:val="DefaultParagraphFont"/>
    <w:link w:val="BodyText"/>
    <w:uiPriority w:val="1"/>
    <w:semiHidden/>
    <w:rsid w:val="00A554AC"/>
    <w:rPr>
      <w:rFonts w:ascii="Times New Roman" w:hAnsi="Times New Roman" w:cs="Times New Roman"/>
      <w:sz w:val="23"/>
      <w:szCs w:val="23"/>
    </w:rPr>
  </w:style>
  <w:style w:type="character" w:customStyle="1" w:styleId="TabletextChar">
    <w:name w:val="Table text Char"/>
    <w:basedOn w:val="StandardChar"/>
    <w:link w:val="Tabletext"/>
    <w:locked/>
    <w:rsid w:val="00A554AC"/>
    <w:rPr>
      <w:rFonts w:ascii="Cambria" w:eastAsia="Cambria" w:hAnsi="Cambria" w:cs="Times New Roman"/>
      <w:kern w:val="16"/>
      <w:sz w:val="19"/>
      <w:szCs w:val="24"/>
    </w:rPr>
  </w:style>
  <w:style w:type="paragraph" w:customStyle="1" w:styleId="FigureCaption">
    <w:name w:val="Figure Caption"/>
    <w:basedOn w:val="Normal"/>
    <w:uiPriority w:val="99"/>
    <w:qFormat/>
    <w:rsid w:val="00A554AC"/>
    <w:pPr>
      <w:adjustRightInd w:val="0"/>
      <w:snapToGrid w:val="0"/>
      <w:spacing w:before="180" w:after="180"/>
    </w:pPr>
    <w:rPr>
      <w:rFonts w:eastAsia="MS Mincho"/>
      <w:szCs w:val="20"/>
      <w:lang w:eastAsia="ja-JP"/>
    </w:rPr>
  </w:style>
  <w:style w:type="paragraph" w:customStyle="1" w:styleId="TableCaption">
    <w:name w:val="Table Caption"/>
    <w:basedOn w:val="FigureCaption"/>
    <w:uiPriority w:val="99"/>
    <w:qFormat/>
    <w:rsid w:val="00A554AC"/>
    <w:pPr>
      <w:spacing w:after="240"/>
    </w:pPr>
    <w:rPr>
      <w:sz w:val="17"/>
    </w:rPr>
  </w:style>
  <w:style w:type="paragraph" w:customStyle="1" w:styleId="Subject">
    <w:name w:val="Subject"/>
    <w:basedOn w:val="Normal"/>
    <w:uiPriority w:val="99"/>
    <w:qFormat/>
    <w:rsid w:val="00A554AC"/>
    <w:pPr>
      <w:adjustRightInd w:val="0"/>
      <w:snapToGrid w:val="0"/>
      <w:spacing w:before="180" w:after="180"/>
    </w:pPr>
    <w:rPr>
      <w:rFonts w:eastAsia="MS Mincho"/>
      <w:b/>
      <w:szCs w:val="20"/>
      <w:lang w:eastAsia="ja-JP"/>
    </w:rPr>
  </w:style>
  <w:style w:type="paragraph" w:customStyle="1" w:styleId="Addressee">
    <w:name w:val="Addressee"/>
    <w:basedOn w:val="Normal"/>
    <w:uiPriority w:val="99"/>
    <w:qFormat/>
    <w:rsid w:val="00A554AC"/>
    <w:pPr>
      <w:adjustRightInd w:val="0"/>
      <w:snapToGrid w:val="0"/>
      <w:spacing w:before="180" w:after="180"/>
    </w:pPr>
    <w:rPr>
      <w:rFonts w:eastAsia="MS Mincho"/>
      <w:szCs w:val="20"/>
      <w:lang w:eastAsia="ja-JP"/>
    </w:rPr>
  </w:style>
  <w:style w:type="paragraph" w:customStyle="1" w:styleId="BodyCopy">
    <w:name w:val="Body Copy"/>
    <w:basedOn w:val="Normal"/>
    <w:uiPriority w:val="99"/>
    <w:qFormat/>
    <w:rsid w:val="00A554AC"/>
    <w:pPr>
      <w:adjustRightInd w:val="0"/>
      <w:snapToGrid w:val="0"/>
      <w:spacing w:before="180" w:after="180"/>
    </w:pPr>
    <w:rPr>
      <w:rFonts w:eastAsia="MS Mincho"/>
      <w:szCs w:val="20"/>
      <w:lang w:eastAsia="ja-JP"/>
    </w:rPr>
  </w:style>
  <w:style w:type="paragraph" w:customStyle="1" w:styleId="PISubsection">
    <w:name w:val="PI Subsection"/>
    <w:basedOn w:val="Standard"/>
    <w:next w:val="Standard"/>
    <w:uiPriority w:val="99"/>
    <w:rsid w:val="00A554AC"/>
    <w:pPr>
      <w:keepNext/>
      <w:spacing w:after="120"/>
    </w:pPr>
    <w:rPr>
      <w:b/>
      <w:i/>
      <w:kern w:val="2"/>
      <w:sz w:val="22"/>
    </w:rPr>
  </w:style>
  <w:style w:type="character" w:customStyle="1" w:styleId="A-Head2Char">
    <w:name w:val="A-Head 2 Char"/>
    <w:basedOn w:val="DefaultParagraphFont"/>
    <w:link w:val="A-Head2"/>
    <w:locked/>
    <w:rsid w:val="00A554AC"/>
    <w:rPr>
      <w:rFonts w:ascii="Arial" w:eastAsia="Times New Roman" w:hAnsi="Arial" w:cs="Times New Roman"/>
      <w:b/>
      <w:sz w:val="32"/>
      <w:szCs w:val="20"/>
    </w:rPr>
  </w:style>
  <w:style w:type="paragraph" w:customStyle="1" w:styleId="A-Head2">
    <w:name w:val="A-Head 2"/>
    <w:basedOn w:val="Normal"/>
    <w:link w:val="A-Head2Char"/>
    <w:rsid w:val="00A554AC"/>
    <w:pPr>
      <w:tabs>
        <w:tab w:val="left" w:pos="1134"/>
      </w:tabs>
      <w:spacing w:before="240" w:after="60" w:line="240" w:lineRule="auto"/>
      <w:ind w:right="-108"/>
    </w:pPr>
    <w:rPr>
      <w:rFonts w:ascii="Arial" w:eastAsia="Times New Roman" w:hAnsi="Arial"/>
      <w:b/>
      <w:sz w:val="32"/>
      <w:szCs w:val="20"/>
    </w:rPr>
  </w:style>
  <w:style w:type="paragraph" w:customStyle="1" w:styleId="Bullet2">
    <w:name w:val="Bullet 2"/>
    <w:basedOn w:val="Normal"/>
    <w:rsid w:val="00A554AC"/>
    <w:pPr>
      <w:numPr>
        <w:numId w:val="8"/>
      </w:numPr>
      <w:spacing w:after="0" w:line="240" w:lineRule="auto"/>
    </w:pPr>
    <w:rPr>
      <w:rFonts w:eastAsia="Times New Roman"/>
      <w:kern w:val="24"/>
      <w:szCs w:val="24"/>
      <w:lang w:eastAsia="en-AU"/>
    </w:rPr>
  </w:style>
  <w:style w:type="character" w:customStyle="1" w:styleId="A-Head6Char">
    <w:name w:val="A-Head 6 Char"/>
    <w:basedOn w:val="DefaultParagraphFont"/>
    <w:link w:val="A-Head6"/>
    <w:uiPriority w:val="99"/>
    <w:locked/>
    <w:rsid w:val="00A554AC"/>
    <w:rPr>
      <w:rFonts w:ascii="Arial" w:eastAsia="Times New Roman" w:hAnsi="Arial" w:cs="Times New Roman"/>
      <w:b/>
      <w:szCs w:val="20"/>
    </w:rPr>
  </w:style>
  <w:style w:type="paragraph" w:customStyle="1" w:styleId="A-Head6">
    <w:name w:val="A-Head 6"/>
    <w:basedOn w:val="Normal"/>
    <w:link w:val="A-Head6Char"/>
    <w:uiPriority w:val="99"/>
    <w:rsid w:val="00A554AC"/>
    <w:pPr>
      <w:spacing w:before="60" w:after="0" w:line="240" w:lineRule="auto"/>
    </w:pPr>
    <w:rPr>
      <w:rFonts w:ascii="Arial" w:eastAsia="Times New Roman" w:hAnsi="Arial"/>
      <w:b/>
      <w:szCs w:val="20"/>
    </w:rPr>
  </w:style>
  <w:style w:type="paragraph" w:customStyle="1" w:styleId="TableHeading">
    <w:name w:val="Table Heading"/>
    <w:basedOn w:val="Normal"/>
    <w:uiPriority w:val="99"/>
    <w:rsid w:val="00A554AC"/>
    <w:pPr>
      <w:spacing w:line="240" w:lineRule="auto"/>
    </w:pPr>
    <w:rPr>
      <w:rFonts w:ascii="Calibri" w:eastAsia="Calibri" w:hAnsi="Calibri"/>
      <w:b/>
      <w:color w:val="FFFFFF"/>
      <w:sz w:val="20"/>
    </w:rPr>
  </w:style>
  <w:style w:type="paragraph" w:customStyle="1" w:styleId="Tabletitle0">
    <w:name w:val="Table title"/>
    <w:basedOn w:val="Normal"/>
    <w:next w:val="Normal"/>
    <w:uiPriority w:val="99"/>
    <w:rsid w:val="00A554AC"/>
    <w:pPr>
      <w:keepNext/>
      <w:spacing w:after="180" w:line="240" w:lineRule="auto"/>
      <w:outlineLvl w:val="4"/>
    </w:pPr>
    <w:rPr>
      <w:rFonts w:eastAsiaTheme="minorHAnsi" w:cstheme="minorBidi"/>
      <w:b/>
    </w:rPr>
  </w:style>
  <w:style w:type="paragraph" w:customStyle="1" w:styleId="Instructions1">
    <w:name w:val="Instructions 1"/>
    <w:basedOn w:val="Normal"/>
    <w:uiPriority w:val="99"/>
    <w:qFormat/>
    <w:rsid w:val="00A554AC"/>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uiPriority w:val="99"/>
    <w:rsid w:val="00A554AC"/>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uiPriority w:val="99"/>
    <w:qFormat/>
    <w:rsid w:val="00A554AC"/>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captionChar">
    <w:name w:val="caption Char"/>
    <w:basedOn w:val="DefaultParagraphFont"/>
    <w:link w:val="Caption1"/>
    <w:locked/>
    <w:rsid w:val="00A554AC"/>
    <w:rPr>
      <w:rFonts w:ascii="Cambria" w:eastAsia="Times New Roman" w:hAnsi="Cambria" w:cs="Times New Roman"/>
      <w:b/>
      <w:bCs/>
      <w:kern w:val="16"/>
      <w:lang w:eastAsia="en-AU"/>
    </w:rPr>
  </w:style>
  <w:style w:type="paragraph" w:customStyle="1" w:styleId="Caption1">
    <w:name w:val="Caption1"/>
    <w:basedOn w:val="Normal"/>
    <w:link w:val="captionChar"/>
    <w:qFormat/>
    <w:rsid w:val="00A554AC"/>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outlineLvl w:val="6"/>
    </w:pPr>
    <w:rPr>
      <w:rFonts w:eastAsia="Times New Roman"/>
      <w:b/>
      <w:bCs/>
      <w:kern w:val="16"/>
      <w:lang w:eastAsia="en-AU"/>
    </w:rPr>
  </w:style>
  <w:style w:type="paragraph" w:customStyle="1" w:styleId="Bullet1">
    <w:name w:val="Bullet 1"/>
    <w:basedOn w:val="Normal"/>
    <w:rsid w:val="00A554AC"/>
    <w:pPr>
      <w:numPr>
        <w:numId w:val="10"/>
      </w:numPr>
      <w:spacing w:after="0" w:line="240" w:lineRule="auto"/>
    </w:pPr>
    <w:rPr>
      <w:rFonts w:eastAsia="Times New Roman"/>
      <w:kern w:val="24"/>
      <w:lang w:eastAsia="en-AU"/>
    </w:rPr>
  </w:style>
  <w:style w:type="paragraph" w:customStyle="1" w:styleId="p">
    <w:name w:val="p"/>
    <w:basedOn w:val="Normal"/>
    <w:uiPriority w:val="99"/>
    <w:rsid w:val="00A554AC"/>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ABN">
    <w:name w:val="ABN"/>
    <w:basedOn w:val="DefaultParagraphFont"/>
    <w:uiPriority w:val="1"/>
    <w:qFormat/>
    <w:rsid w:val="00A554AC"/>
    <w:rPr>
      <w:rFonts w:ascii="Arial" w:hAnsi="Arial" w:cs="Arial" w:hint="default"/>
      <w:color w:val="002C47"/>
      <w:sz w:val="14"/>
    </w:rPr>
  </w:style>
  <w:style w:type="character" w:customStyle="1" w:styleId="keywords">
    <w:name w:val="keywords"/>
    <w:basedOn w:val="DefaultParagraphFont"/>
    <w:rsid w:val="00A554AC"/>
  </w:style>
  <w:style w:type="character" w:customStyle="1" w:styleId="element-invisible">
    <w:name w:val="element-invisible"/>
    <w:basedOn w:val="DefaultParagraphFont"/>
    <w:rsid w:val="00A554AC"/>
  </w:style>
  <w:style w:type="character" w:customStyle="1" w:styleId="mw-headline">
    <w:name w:val="mw-headline"/>
    <w:basedOn w:val="DefaultParagraphFont"/>
    <w:rsid w:val="00A554AC"/>
  </w:style>
  <w:style w:type="character" w:customStyle="1" w:styleId="charpartno">
    <w:name w:val="charpartno"/>
    <w:basedOn w:val="DefaultParagraphFont"/>
    <w:rsid w:val="00A554AC"/>
  </w:style>
  <w:style w:type="character" w:customStyle="1" w:styleId="charsectno">
    <w:name w:val="charsectno"/>
    <w:basedOn w:val="DefaultParagraphFont"/>
    <w:rsid w:val="00A554AC"/>
  </w:style>
  <w:style w:type="character" w:customStyle="1" w:styleId="simplehighlight">
    <w:name w:val="simplehighlight"/>
    <w:basedOn w:val="DefaultParagraphFont"/>
    <w:rsid w:val="00A554AC"/>
  </w:style>
  <w:style w:type="character" w:customStyle="1" w:styleId="publicationcontentepubdate">
    <w:name w:val="publicationcontentepubdate"/>
    <w:basedOn w:val="DefaultParagraphFont"/>
    <w:rsid w:val="00A554AC"/>
  </w:style>
  <w:style w:type="character" w:customStyle="1" w:styleId="current-selection">
    <w:name w:val="current-selection"/>
    <w:basedOn w:val="DefaultParagraphFont"/>
    <w:rsid w:val="00A554AC"/>
  </w:style>
  <w:style w:type="character" w:customStyle="1" w:styleId="a">
    <w:name w:val="_"/>
    <w:basedOn w:val="DefaultParagraphFont"/>
    <w:rsid w:val="00A554AC"/>
  </w:style>
  <w:style w:type="character" w:customStyle="1" w:styleId="ff6">
    <w:name w:val="ff6"/>
    <w:basedOn w:val="DefaultParagraphFont"/>
    <w:rsid w:val="00A554AC"/>
  </w:style>
  <w:style w:type="character" w:customStyle="1" w:styleId="period">
    <w:name w:val="period"/>
    <w:basedOn w:val="DefaultParagraphFont"/>
    <w:rsid w:val="00A554AC"/>
  </w:style>
  <w:style w:type="character" w:customStyle="1" w:styleId="cit">
    <w:name w:val="cit"/>
    <w:basedOn w:val="DefaultParagraphFont"/>
    <w:rsid w:val="00A554AC"/>
  </w:style>
  <w:style w:type="table" w:customStyle="1" w:styleId="TableTGA2">
    <w:name w:val="Table TGA 2"/>
    <w:basedOn w:val="TableNormal"/>
    <w:uiPriority w:val="99"/>
    <w:rsid w:val="00A554AC"/>
    <w:pPr>
      <w:spacing w:before="60" w:after="0" w:line="240" w:lineRule="auto"/>
    </w:pPr>
    <w:rPr>
      <w:rFonts w:ascii="Cambria" w:hAnsi="Cambria" w:cs="Times New Roman"/>
      <w:color w:val="000000"/>
      <w:szCs w:val="21"/>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pPr>
        <w:wordWrap/>
        <w:spacing w:beforeLines="0" w:before="100" w:beforeAutospacing="1" w:afterLines="0" w:after="100" w:afterAutospacing="1"/>
      </w:pPr>
      <w:rPr>
        <w:rFonts w:ascii="Cambria" w:hAnsi="Cambria" w:hint="default"/>
        <w:b/>
        <w:color w:val="FFFFFF"/>
        <w:sz w:val="22"/>
        <w:szCs w:val="22"/>
      </w:rPr>
      <w:tblPr/>
      <w:tcPr>
        <w:shd w:val="clear" w:color="auto" w:fill="000000"/>
      </w:tcPr>
    </w:tblStylePr>
    <w:tblStylePr w:type="lastRow">
      <w:rPr>
        <w:b w:val="0"/>
      </w:rPr>
    </w:tblStylePr>
  </w:style>
  <w:style w:type="character" w:styleId="Strong">
    <w:name w:val="Strong"/>
    <w:basedOn w:val="DefaultParagraphFont"/>
    <w:uiPriority w:val="22"/>
    <w:qFormat/>
    <w:rsid w:val="00A554AC"/>
    <w:rPr>
      <w:b/>
      <w:bCs/>
    </w:rPr>
  </w:style>
  <w:style w:type="numbering" w:customStyle="1" w:styleId="Headings">
    <w:name w:val="Headings"/>
    <w:uiPriority w:val="99"/>
    <w:rsid w:val="00A554AC"/>
    <w:pPr>
      <w:numPr>
        <w:numId w:val="13"/>
      </w:numPr>
    </w:pPr>
  </w:style>
  <w:style w:type="numbering" w:customStyle="1" w:styleId="Recommendations">
    <w:name w:val="Recommendations"/>
    <w:uiPriority w:val="99"/>
    <w:rsid w:val="00A554AC"/>
    <w:pPr>
      <w:numPr>
        <w:numId w:val="14"/>
      </w:numPr>
    </w:pPr>
  </w:style>
  <w:style w:type="paragraph" w:customStyle="1" w:styleId="Bulletlist">
    <w:name w:val="Bullet list"/>
    <w:basedOn w:val="Normal"/>
    <w:link w:val="BulletlistChar"/>
    <w:qFormat/>
    <w:rsid w:val="00AD63F6"/>
    <w:pPr>
      <w:numPr>
        <w:numId w:val="15"/>
      </w:numPr>
      <w:spacing w:before="0" w:after="180" w:line="252" w:lineRule="auto"/>
    </w:pPr>
    <w:rPr>
      <w:rFonts w:eastAsia="Times New Roman"/>
      <w:snapToGrid w:val="0"/>
      <w:kern w:val="2"/>
      <w:sz w:val="23"/>
    </w:rPr>
  </w:style>
  <w:style w:type="character" w:customStyle="1" w:styleId="BulletlistChar">
    <w:name w:val="Bullet list Char"/>
    <w:basedOn w:val="DefaultParagraphFont"/>
    <w:link w:val="Bulletlist"/>
    <w:rsid w:val="00AD63F6"/>
    <w:rPr>
      <w:rFonts w:ascii="Cambria" w:eastAsia="Times New Roman" w:hAnsi="Cambria" w:cs="Times New Roman"/>
      <w:snapToGrid w:val="0"/>
      <w:kern w:val="2"/>
      <w:sz w:val="23"/>
    </w:rPr>
  </w:style>
  <w:style w:type="character" w:styleId="Emphasis">
    <w:name w:val="Emphasis"/>
    <w:basedOn w:val="DefaultParagraphFont"/>
    <w:uiPriority w:val="20"/>
    <w:qFormat/>
    <w:rsid w:val="00FB0363"/>
    <w:rPr>
      <w:i/>
      <w:iCs/>
    </w:rPr>
  </w:style>
  <w:style w:type="character" w:customStyle="1" w:styleId="UnresolvedMention2">
    <w:name w:val="Unresolved Mention2"/>
    <w:basedOn w:val="DefaultParagraphFont"/>
    <w:uiPriority w:val="99"/>
    <w:semiHidden/>
    <w:unhideWhenUsed/>
    <w:rsid w:val="007827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22924">
      <w:bodyDiv w:val="1"/>
      <w:marLeft w:val="0"/>
      <w:marRight w:val="0"/>
      <w:marTop w:val="0"/>
      <w:marBottom w:val="0"/>
      <w:divBdr>
        <w:top w:val="none" w:sz="0" w:space="0" w:color="auto"/>
        <w:left w:val="none" w:sz="0" w:space="0" w:color="auto"/>
        <w:bottom w:val="none" w:sz="0" w:space="0" w:color="auto"/>
        <w:right w:val="none" w:sz="0" w:space="0" w:color="auto"/>
      </w:divBdr>
    </w:div>
    <w:div w:id="250894608">
      <w:bodyDiv w:val="1"/>
      <w:marLeft w:val="0"/>
      <w:marRight w:val="0"/>
      <w:marTop w:val="0"/>
      <w:marBottom w:val="0"/>
      <w:divBdr>
        <w:top w:val="none" w:sz="0" w:space="0" w:color="auto"/>
        <w:left w:val="none" w:sz="0" w:space="0" w:color="auto"/>
        <w:bottom w:val="none" w:sz="0" w:space="0" w:color="auto"/>
        <w:right w:val="none" w:sz="0" w:space="0" w:color="auto"/>
      </w:divBdr>
    </w:div>
    <w:div w:id="280764545">
      <w:bodyDiv w:val="1"/>
      <w:marLeft w:val="0"/>
      <w:marRight w:val="0"/>
      <w:marTop w:val="0"/>
      <w:marBottom w:val="0"/>
      <w:divBdr>
        <w:top w:val="none" w:sz="0" w:space="0" w:color="auto"/>
        <w:left w:val="none" w:sz="0" w:space="0" w:color="auto"/>
        <w:bottom w:val="none" w:sz="0" w:space="0" w:color="auto"/>
        <w:right w:val="none" w:sz="0" w:space="0" w:color="auto"/>
      </w:divBdr>
    </w:div>
    <w:div w:id="339238277">
      <w:bodyDiv w:val="1"/>
      <w:marLeft w:val="0"/>
      <w:marRight w:val="0"/>
      <w:marTop w:val="0"/>
      <w:marBottom w:val="0"/>
      <w:divBdr>
        <w:top w:val="none" w:sz="0" w:space="0" w:color="auto"/>
        <w:left w:val="none" w:sz="0" w:space="0" w:color="auto"/>
        <w:bottom w:val="none" w:sz="0" w:space="0" w:color="auto"/>
        <w:right w:val="none" w:sz="0" w:space="0" w:color="auto"/>
      </w:divBdr>
    </w:div>
    <w:div w:id="383145400">
      <w:bodyDiv w:val="1"/>
      <w:marLeft w:val="0"/>
      <w:marRight w:val="0"/>
      <w:marTop w:val="0"/>
      <w:marBottom w:val="0"/>
      <w:divBdr>
        <w:top w:val="none" w:sz="0" w:space="0" w:color="auto"/>
        <w:left w:val="none" w:sz="0" w:space="0" w:color="auto"/>
        <w:bottom w:val="none" w:sz="0" w:space="0" w:color="auto"/>
        <w:right w:val="none" w:sz="0" w:space="0" w:color="auto"/>
      </w:divBdr>
    </w:div>
    <w:div w:id="414133389">
      <w:bodyDiv w:val="1"/>
      <w:marLeft w:val="0"/>
      <w:marRight w:val="0"/>
      <w:marTop w:val="0"/>
      <w:marBottom w:val="0"/>
      <w:divBdr>
        <w:top w:val="none" w:sz="0" w:space="0" w:color="auto"/>
        <w:left w:val="none" w:sz="0" w:space="0" w:color="auto"/>
        <w:bottom w:val="none" w:sz="0" w:space="0" w:color="auto"/>
        <w:right w:val="none" w:sz="0" w:space="0" w:color="auto"/>
      </w:divBdr>
    </w:div>
    <w:div w:id="435641352">
      <w:bodyDiv w:val="1"/>
      <w:marLeft w:val="0"/>
      <w:marRight w:val="0"/>
      <w:marTop w:val="0"/>
      <w:marBottom w:val="0"/>
      <w:divBdr>
        <w:top w:val="none" w:sz="0" w:space="0" w:color="auto"/>
        <w:left w:val="none" w:sz="0" w:space="0" w:color="auto"/>
        <w:bottom w:val="none" w:sz="0" w:space="0" w:color="auto"/>
        <w:right w:val="none" w:sz="0" w:space="0" w:color="auto"/>
      </w:divBdr>
    </w:div>
    <w:div w:id="599030463">
      <w:bodyDiv w:val="1"/>
      <w:marLeft w:val="0"/>
      <w:marRight w:val="0"/>
      <w:marTop w:val="0"/>
      <w:marBottom w:val="0"/>
      <w:divBdr>
        <w:top w:val="none" w:sz="0" w:space="0" w:color="auto"/>
        <w:left w:val="none" w:sz="0" w:space="0" w:color="auto"/>
        <w:bottom w:val="none" w:sz="0" w:space="0" w:color="auto"/>
        <w:right w:val="none" w:sz="0" w:space="0" w:color="auto"/>
      </w:divBdr>
    </w:div>
    <w:div w:id="670373785">
      <w:bodyDiv w:val="1"/>
      <w:marLeft w:val="0"/>
      <w:marRight w:val="0"/>
      <w:marTop w:val="0"/>
      <w:marBottom w:val="0"/>
      <w:divBdr>
        <w:top w:val="none" w:sz="0" w:space="0" w:color="auto"/>
        <w:left w:val="none" w:sz="0" w:space="0" w:color="auto"/>
        <w:bottom w:val="none" w:sz="0" w:space="0" w:color="auto"/>
        <w:right w:val="none" w:sz="0" w:space="0" w:color="auto"/>
      </w:divBdr>
    </w:div>
    <w:div w:id="1048921547">
      <w:bodyDiv w:val="1"/>
      <w:marLeft w:val="0"/>
      <w:marRight w:val="0"/>
      <w:marTop w:val="0"/>
      <w:marBottom w:val="0"/>
      <w:divBdr>
        <w:top w:val="none" w:sz="0" w:space="0" w:color="auto"/>
        <w:left w:val="none" w:sz="0" w:space="0" w:color="auto"/>
        <w:bottom w:val="none" w:sz="0" w:space="0" w:color="auto"/>
        <w:right w:val="none" w:sz="0" w:space="0" w:color="auto"/>
      </w:divBdr>
    </w:div>
    <w:div w:id="1197304816">
      <w:bodyDiv w:val="1"/>
      <w:marLeft w:val="0"/>
      <w:marRight w:val="0"/>
      <w:marTop w:val="0"/>
      <w:marBottom w:val="0"/>
      <w:divBdr>
        <w:top w:val="none" w:sz="0" w:space="0" w:color="auto"/>
        <w:left w:val="none" w:sz="0" w:space="0" w:color="auto"/>
        <w:bottom w:val="none" w:sz="0" w:space="0" w:color="auto"/>
        <w:right w:val="none" w:sz="0" w:space="0" w:color="auto"/>
      </w:divBdr>
    </w:div>
    <w:div w:id="1256548208">
      <w:bodyDiv w:val="1"/>
      <w:marLeft w:val="0"/>
      <w:marRight w:val="0"/>
      <w:marTop w:val="0"/>
      <w:marBottom w:val="0"/>
      <w:divBdr>
        <w:top w:val="none" w:sz="0" w:space="0" w:color="auto"/>
        <w:left w:val="none" w:sz="0" w:space="0" w:color="auto"/>
        <w:bottom w:val="none" w:sz="0" w:space="0" w:color="auto"/>
        <w:right w:val="none" w:sz="0" w:space="0" w:color="auto"/>
      </w:divBdr>
    </w:div>
    <w:div w:id="1283653731">
      <w:bodyDiv w:val="1"/>
      <w:marLeft w:val="0"/>
      <w:marRight w:val="0"/>
      <w:marTop w:val="0"/>
      <w:marBottom w:val="0"/>
      <w:divBdr>
        <w:top w:val="none" w:sz="0" w:space="0" w:color="auto"/>
        <w:left w:val="none" w:sz="0" w:space="0" w:color="auto"/>
        <w:bottom w:val="none" w:sz="0" w:space="0" w:color="auto"/>
        <w:right w:val="none" w:sz="0" w:space="0" w:color="auto"/>
      </w:divBdr>
    </w:div>
    <w:div w:id="1338968014">
      <w:bodyDiv w:val="1"/>
      <w:marLeft w:val="0"/>
      <w:marRight w:val="0"/>
      <w:marTop w:val="0"/>
      <w:marBottom w:val="0"/>
      <w:divBdr>
        <w:top w:val="none" w:sz="0" w:space="0" w:color="auto"/>
        <w:left w:val="none" w:sz="0" w:space="0" w:color="auto"/>
        <w:bottom w:val="none" w:sz="0" w:space="0" w:color="auto"/>
        <w:right w:val="none" w:sz="0" w:space="0" w:color="auto"/>
      </w:divBdr>
    </w:div>
    <w:div w:id="1421220662">
      <w:bodyDiv w:val="1"/>
      <w:marLeft w:val="0"/>
      <w:marRight w:val="0"/>
      <w:marTop w:val="0"/>
      <w:marBottom w:val="0"/>
      <w:divBdr>
        <w:top w:val="none" w:sz="0" w:space="0" w:color="auto"/>
        <w:left w:val="none" w:sz="0" w:space="0" w:color="auto"/>
        <w:bottom w:val="none" w:sz="0" w:space="0" w:color="auto"/>
        <w:right w:val="none" w:sz="0" w:space="0" w:color="auto"/>
      </w:divBdr>
    </w:div>
    <w:div w:id="1428312564">
      <w:bodyDiv w:val="1"/>
      <w:marLeft w:val="0"/>
      <w:marRight w:val="0"/>
      <w:marTop w:val="0"/>
      <w:marBottom w:val="0"/>
      <w:divBdr>
        <w:top w:val="none" w:sz="0" w:space="0" w:color="auto"/>
        <w:left w:val="none" w:sz="0" w:space="0" w:color="auto"/>
        <w:bottom w:val="none" w:sz="0" w:space="0" w:color="auto"/>
        <w:right w:val="none" w:sz="0" w:space="0" w:color="auto"/>
      </w:divBdr>
    </w:div>
    <w:div w:id="1585525400">
      <w:bodyDiv w:val="1"/>
      <w:marLeft w:val="0"/>
      <w:marRight w:val="0"/>
      <w:marTop w:val="0"/>
      <w:marBottom w:val="0"/>
      <w:divBdr>
        <w:top w:val="none" w:sz="0" w:space="0" w:color="auto"/>
        <w:left w:val="none" w:sz="0" w:space="0" w:color="auto"/>
        <w:bottom w:val="none" w:sz="0" w:space="0" w:color="auto"/>
        <w:right w:val="none" w:sz="0" w:space="0" w:color="auto"/>
      </w:divBdr>
    </w:div>
    <w:div w:id="1588614978">
      <w:bodyDiv w:val="1"/>
      <w:marLeft w:val="0"/>
      <w:marRight w:val="0"/>
      <w:marTop w:val="0"/>
      <w:marBottom w:val="0"/>
      <w:divBdr>
        <w:top w:val="none" w:sz="0" w:space="0" w:color="auto"/>
        <w:left w:val="none" w:sz="0" w:space="0" w:color="auto"/>
        <w:bottom w:val="none" w:sz="0" w:space="0" w:color="auto"/>
        <w:right w:val="none" w:sz="0" w:space="0" w:color="auto"/>
      </w:divBdr>
    </w:div>
    <w:div w:id="1596474287">
      <w:bodyDiv w:val="1"/>
      <w:marLeft w:val="0"/>
      <w:marRight w:val="0"/>
      <w:marTop w:val="0"/>
      <w:marBottom w:val="0"/>
      <w:divBdr>
        <w:top w:val="none" w:sz="0" w:space="0" w:color="auto"/>
        <w:left w:val="none" w:sz="0" w:space="0" w:color="auto"/>
        <w:bottom w:val="none" w:sz="0" w:space="0" w:color="auto"/>
        <w:right w:val="none" w:sz="0" w:space="0" w:color="auto"/>
      </w:divBdr>
    </w:div>
    <w:div w:id="1692221392">
      <w:bodyDiv w:val="1"/>
      <w:marLeft w:val="0"/>
      <w:marRight w:val="0"/>
      <w:marTop w:val="0"/>
      <w:marBottom w:val="0"/>
      <w:divBdr>
        <w:top w:val="none" w:sz="0" w:space="0" w:color="auto"/>
        <w:left w:val="none" w:sz="0" w:space="0" w:color="auto"/>
        <w:bottom w:val="none" w:sz="0" w:space="0" w:color="auto"/>
        <w:right w:val="none" w:sz="0" w:space="0" w:color="auto"/>
      </w:divBdr>
    </w:div>
    <w:div w:id="1715424042">
      <w:bodyDiv w:val="1"/>
      <w:marLeft w:val="0"/>
      <w:marRight w:val="0"/>
      <w:marTop w:val="0"/>
      <w:marBottom w:val="0"/>
      <w:divBdr>
        <w:top w:val="none" w:sz="0" w:space="0" w:color="auto"/>
        <w:left w:val="none" w:sz="0" w:space="0" w:color="auto"/>
        <w:bottom w:val="none" w:sz="0" w:space="0" w:color="auto"/>
        <w:right w:val="none" w:sz="0" w:space="0" w:color="auto"/>
      </w:divBdr>
    </w:div>
    <w:div w:id="1733044263">
      <w:bodyDiv w:val="1"/>
      <w:marLeft w:val="0"/>
      <w:marRight w:val="0"/>
      <w:marTop w:val="0"/>
      <w:marBottom w:val="0"/>
      <w:divBdr>
        <w:top w:val="none" w:sz="0" w:space="0" w:color="auto"/>
        <w:left w:val="none" w:sz="0" w:space="0" w:color="auto"/>
        <w:bottom w:val="none" w:sz="0" w:space="0" w:color="auto"/>
        <w:right w:val="none" w:sz="0" w:space="0" w:color="auto"/>
      </w:divBdr>
    </w:div>
    <w:div w:id="1740058312">
      <w:bodyDiv w:val="1"/>
      <w:marLeft w:val="0"/>
      <w:marRight w:val="0"/>
      <w:marTop w:val="0"/>
      <w:marBottom w:val="0"/>
      <w:divBdr>
        <w:top w:val="none" w:sz="0" w:space="0" w:color="auto"/>
        <w:left w:val="none" w:sz="0" w:space="0" w:color="auto"/>
        <w:bottom w:val="none" w:sz="0" w:space="0" w:color="auto"/>
        <w:right w:val="none" w:sz="0" w:space="0" w:color="auto"/>
      </w:divBdr>
    </w:div>
    <w:div w:id="1763843084">
      <w:bodyDiv w:val="1"/>
      <w:marLeft w:val="0"/>
      <w:marRight w:val="0"/>
      <w:marTop w:val="0"/>
      <w:marBottom w:val="0"/>
      <w:divBdr>
        <w:top w:val="none" w:sz="0" w:space="0" w:color="auto"/>
        <w:left w:val="none" w:sz="0" w:space="0" w:color="auto"/>
        <w:bottom w:val="none" w:sz="0" w:space="0" w:color="auto"/>
        <w:right w:val="none" w:sz="0" w:space="0" w:color="auto"/>
      </w:divBdr>
    </w:div>
    <w:div w:id="1861628133">
      <w:bodyDiv w:val="1"/>
      <w:marLeft w:val="0"/>
      <w:marRight w:val="0"/>
      <w:marTop w:val="0"/>
      <w:marBottom w:val="0"/>
      <w:divBdr>
        <w:top w:val="none" w:sz="0" w:space="0" w:color="auto"/>
        <w:left w:val="none" w:sz="0" w:space="0" w:color="auto"/>
        <w:bottom w:val="none" w:sz="0" w:space="0" w:color="auto"/>
        <w:right w:val="none" w:sz="0" w:space="0" w:color="auto"/>
      </w:divBdr>
    </w:div>
    <w:div w:id="1934967906">
      <w:bodyDiv w:val="1"/>
      <w:marLeft w:val="0"/>
      <w:marRight w:val="0"/>
      <w:marTop w:val="0"/>
      <w:marBottom w:val="0"/>
      <w:divBdr>
        <w:top w:val="none" w:sz="0" w:space="0" w:color="auto"/>
        <w:left w:val="none" w:sz="0" w:space="0" w:color="auto"/>
        <w:bottom w:val="none" w:sz="0" w:space="0" w:color="auto"/>
        <w:right w:val="none" w:sz="0" w:space="0" w:color="auto"/>
      </w:divBdr>
    </w:div>
    <w:div w:id="1944412524">
      <w:bodyDiv w:val="1"/>
      <w:marLeft w:val="0"/>
      <w:marRight w:val="0"/>
      <w:marTop w:val="0"/>
      <w:marBottom w:val="0"/>
      <w:divBdr>
        <w:top w:val="none" w:sz="0" w:space="0" w:color="auto"/>
        <w:left w:val="none" w:sz="0" w:space="0" w:color="auto"/>
        <w:bottom w:val="none" w:sz="0" w:space="0" w:color="auto"/>
        <w:right w:val="none" w:sz="0" w:space="0" w:color="auto"/>
      </w:divBdr>
    </w:div>
    <w:div w:id="2051295551">
      <w:bodyDiv w:val="1"/>
      <w:marLeft w:val="0"/>
      <w:marRight w:val="0"/>
      <w:marTop w:val="0"/>
      <w:marBottom w:val="0"/>
      <w:divBdr>
        <w:top w:val="none" w:sz="0" w:space="0" w:color="auto"/>
        <w:left w:val="none" w:sz="0" w:space="0" w:color="auto"/>
        <w:bottom w:val="none" w:sz="0" w:space="0" w:color="auto"/>
        <w:right w:val="none" w:sz="0" w:space="0" w:color="auto"/>
      </w:divBdr>
    </w:div>
    <w:div w:id="208903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tga.gov.au/resources/resource/international-scientific-guidelines/international-scientific-guideline-ich-guideline-good-clinical-practice" TargetMode="External"/><Relationship Id="rId26" Type="http://schemas.openxmlformats.org/officeDocument/2006/relationships/image" Target="media/image5.png"/><Relationship Id="rId39" Type="http://schemas.openxmlformats.org/officeDocument/2006/relationships/image" Target="media/image17.png"/><Relationship Id="rId21" Type="http://schemas.openxmlformats.org/officeDocument/2006/relationships/hyperlink" Target="https://www.tga.gov.au/resources/resource/international-scientific-guidelines/international-scientific-guideline-concept-paper-extrapolation-efficacy-and-safety-medicine-development" TargetMode="External"/><Relationship Id="rId34" Type="http://schemas.openxmlformats.org/officeDocument/2006/relationships/image" Target="media/image13.png"/><Relationship Id="rId42" Type="http://schemas.openxmlformats.org/officeDocument/2006/relationships/image" Target="media/image20.png"/><Relationship Id="rId47" Type="http://schemas.openxmlformats.org/officeDocument/2006/relationships/header" Target="header3.xml"/><Relationship Id="rId50" Type="http://schemas.openxmlformats.org/officeDocument/2006/relationships/footer" Target="footer2.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tga.gov.au/resources/resource/international-scientific-guidelines/international-scientific-guideline-guideline-investigation-bioequivalence-0"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hyperlink" Target="https://www.tga.gov.au/product-information-pi" TargetMode="External"/><Relationship Id="rId59"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https://www.tga.gov.au/resources/resource/international-scientific-guidelines/international-guideline-guideline-clinical-investigation-medicinal-products-treatment-epileptic-disorders" TargetMode="External"/><Relationship Id="rId29"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tga.gov.au/publication/literature-based-submissions" TargetMode="External"/><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header" Target="header6.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tga.gov.au/resources/resource/international-scientific-guidelines/international-scientific-guideline-guideline-reporting-results-population-pharmacokinetic-analysis" TargetMode="External"/><Relationship Id="rId28" Type="http://schemas.openxmlformats.org/officeDocument/2006/relationships/image" Target="media/image7.png"/><Relationship Id="rId36" Type="http://schemas.microsoft.com/office/2007/relationships/hdphoto" Target="media/hdphoto2.wdp"/><Relationship Id="rId49" Type="http://schemas.openxmlformats.org/officeDocument/2006/relationships/header" Target="header5.xml"/><Relationship Id="rId57"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https://www.tga.gov.au/resources/resource/international-scientific-guidelines/international-scientific-guideline-guideline-role-pharmacokinetics-development-medicinal-products-paediatric-population" TargetMode="External"/><Relationship Id="rId31" Type="http://schemas.openxmlformats.org/officeDocument/2006/relationships/image" Target="media/image10.png"/><Relationship Id="rId44" Type="http://schemas.openxmlformats.org/officeDocument/2006/relationships/image" Target="media/image22.png"/><Relationship Id="rId52" Type="http://schemas.openxmlformats.org/officeDocument/2006/relationships/hyperlink" Target="https://www.tga.gov.au" TargetMode="Externa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yperlink" Target="https://www.tga.gov.au/product-information-pi" TargetMode="External"/><Relationship Id="rId22" Type="http://schemas.openxmlformats.org/officeDocument/2006/relationships/hyperlink" Target="https://www.tga.gov.au/resources/resource/international-scientific-guidelines/international-scientific-guideline-ich-topic-e-11-note-guidance-clinical-investigation-medicinal-products-paediatric-population"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header" Target="header4.xml"/><Relationship Id="rId56" Type="http://schemas.openxmlformats.org/officeDocument/2006/relationships/header" Target="header8.xml"/><Relationship Id="rId8" Type="http://schemas.openxmlformats.org/officeDocument/2006/relationships/hyperlink" Target="https://www.tga.gov.au" TargetMode="External"/><Relationship Id="rId51" Type="http://schemas.openxmlformats.org/officeDocument/2006/relationships/hyperlink" Target="mailto:info@tga.gov.au"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rch.org.au/kidsinfo/fact_sheets/Buccal_midazolam/" TargetMode="External"/><Relationship Id="rId2" Type="http://schemas.openxmlformats.org/officeDocument/2006/relationships/hyperlink" Target="https://www.rch.org.au/clinicalguide/guideline_index/Afebrile_seizures/" TargetMode="External"/><Relationship Id="rId1" Type="http://schemas.openxmlformats.org/officeDocument/2006/relationships/hyperlink" Target="https://www.schn.health.nsw.gov.au/_policies/pdf/2014-9103.pdf" TargetMode="External"/><Relationship Id="rId5" Type="http://schemas.openxmlformats.org/officeDocument/2006/relationships/hyperlink" Target="https://www.tga.gov.au/committee/advisory-committee-medicines-acm" TargetMode="External"/><Relationship Id="rId4" Type="http://schemas.openxmlformats.org/officeDocument/2006/relationships/hyperlink" Target="https://www.ema.europa.eu/en/documents/assessment-report/buccolam-epar-public-assessment-report_e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Roaming\Hewlett-Packard\HP%20TRIM\TEMP\HPTRIM.14132\D19-5975236%20%20AusPAR%20-%20template%20-%20streamlined.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356CF-948E-4A6D-9355-57EEE9B62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D19-5975236  AusPAR - template - streamlined.DOTX</Template>
  <TotalTime>0</TotalTime>
  <Pages>19</Pages>
  <Words>22275</Words>
  <Characters>124968</Characters>
  <Application>Microsoft Office Word</Application>
  <DocSecurity>0</DocSecurity>
  <Lines>2840</Lines>
  <Paragraphs>1566</Paragraphs>
  <ScaleCrop>false</ScaleCrop>
  <HeadingPairs>
    <vt:vector size="2" baseType="variant">
      <vt:variant>
        <vt:lpstr>Title</vt:lpstr>
      </vt:variant>
      <vt:variant>
        <vt:i4>1</vt:i4>
      </vt:variant>
    </vt:vector>
  </HeadingPairs>
  <TitlesOfParts>
    <vt:vector size="1" baseType="lpstr">
      <vt:lpstr>Australian public assessment report for Zyamis</vt:lpstr>
    </vt:vector>
  </TitlesOfParts>
  <Company>Department of Health and Aged Care Therapeutic Goods Administration</Company>
  <LinksUpToDate>false</LinksUpToDate>
  <CharactersWithSpaces>145677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Zyamis</dc:title>
  <dc:subject>prescription medicines</dc:subject>
  <dc:creator>Therapeutic Goods Administration</dc:creator>
  <cp:keywords/>
  <cp:lastModifiedBy>LACK, Janet</cp:lastModifiedBy>
  <cp:revision>2</cp:revision>
  <cp:lastPrinted>2019-08-14T04:30:00Z</cp:lastPrinted>
  <dcterms:created xsi:type="dcterms:W3CDTF">2023-05-02T00:09:00Z</dcterms:created>
  <dcterms:modified xsi:type="dcterms:W3CDTF">2023-05-02T00:09:00Z</dcterms:modified>
  <cp:category/>
</cp:coreProperties>
</file>