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2909BF" w14:paraId="0F4BDD46" w14:textId="77777777" w:rsidTr="00BF1190">
        <w:trPr>
          <w:trHeight w:val="1863"/>
        </w:trPr>
        <w:tc>
          <w:tcPr>
            <w:tcW w:w="3652" w:type="dxa"/>
            <w:tcBorders>
              <w:top w:val="nil"/>
              <w:left w:val="nil"/>
              <w:bottom w:val="nil"/>
              <w:right w:val="nil"/>
            </w:tcBorders>
          </w:tcPr>
          <w:p w14:paraId="6A16FF45" w14:textId="6A1EA03E" w:rsidR="008E7846" w:rsidRPr="002909BF" w:rsidRDefault="003577ED" w:rsidP="00F931CE">
            <w:pPr>
              <w:pStyle w:val="Date"/>
              <w:framePr w:hSpace="0" w:wrap="auto" w:vAnchor="margin" w:hAnchor="text" w:yAlign="inline"/>
              <w:suppressOverlap w:val="0"/>
            </w:pPr>
            <w:r>
              <w:t xml:space="preserve">April </w:t>
            </w:r>
            <w:r w:rsidR="004F7D09" w:rsidRPr="002909BF">
              <w:t>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2909BF" w14:paraId="4E49EA5D" w14:textId="77777777" w:rsidTr="0032583B">
        <w:trPr>
          <w:trHeight w:val="868"/>
        </w:trPr>
        <w:tc>
          <w:tcPr>
            <w:tcW w:w="9079" w:type="dxa"/>
          </w:tcPr>
          <w:p w14:paraId="6C748CC9" w14:textId="3A16B7D1" w:rsidR="0032583B" w:rsidRPr="002909BF" w:rsidRDefault="0032583B" w:rsidP="00F931CE">
            <w:pPr>
              <w:pStyle w:val="Title"/>
              <w:framePr w:hSpace="0" w:wrap="auto" w:vAnchor="margin" w:yAlign="inline"/>
            </w:pPr>
            <w:r w:rsidRPr="002909BF">
              <w:t>Australian Public Assessment Report for</w:t>
            </w:r>
            <w:r w:rsidR="00AF2313" w:rsidRPr="002909BF">
              <w:t xml:space="preserve"> </w:t>
            </w:r>
            <w:proofErr w:type="spellStart"/>
            <w:r w:rsidR="009F0559" w:rsidRPr="002909BF">
              <w:t>Verorab</w:t>
            </w:r>
            <w:proofErr w:type="spellEnd"/>
          </w:p>
        </w:tc>
      </w:tr>
      <w:tr w:rsidR="0032583B" w:rsidRPr="002909BF" w14:paraId="0D0D8FF9" w14:textId="77777777" w:rsidTr="0032583B">
        <w:tc>
          <w:tcPr>
            <w:tcW w:w="9079" w:type="dxa"/>
          </w:tcPr>
          <w:p w14:paraId="04B0C8A2" w14:textId="0D027A7B" w:rsidR="0032583B" w:rsidRPr="002909BF" w:rsidRDefault="00BB75D6" w:rsidP="00F931CE">
            <w:pPr>
              <w:pStyle w:val="Subtitle"/>
              <w:framePr w:hSpace="0" w:wrap="auto" w:vAnchor="margin" w:yAlign="inline"/>
            </w:pPr>
            <w:r w:rsidRPr="002909BF">
              <w:t>Active ingredient</w:t>
            </w:r>
            <w:r w:rsidR="0032583B" w:rsidRPr="002909BF">
              <w:t xml:space="preserve">: </w:t>
            </w:r>
            <w:r w:rsidR="00E272C3">
              <w:t>I</w:t>
            </w:r>
            <w:r w:rsidR="009F0559" w:rsidRPr="002909BF">
              <w:t>nactivated rabies virus</w:t>
            </w:r>
          </w:p>
        </w:tc>
      </w:tr>
      <w:tr w:rsidR="0032583B" w:rsidRPr="002909BF" w14:paraId="5DA9AD9D" w14:textId="77777777" w:rsidTr="0032583B">
        <w:trPr>
          <w:trHeight w:val="486"/>
        </w:trPr>
        <w:tc>
          <w:tcPr>
            <w:tcW w:w="9079" w:type="dxa"/>
          </w:tcPr>
          <w:p w14:paraId="5C5901DF" w14:textId="4F26D6BD" w:rsidR="0032583B" w:rsidRPr="002909BF" w:rsidRDefault="00460036" w:rsidP="009556D7">
            <w:pPr>
              <w:pStyle w:val="Subtitle"/>
              <w:framePr w:hSpace="0" w:wrap="auto" w:vAnchor="margin" w:yAlign="inline"/>
            </w:pPr>
            <w:r w:rsidRPr="002909BF">
              <w:t xml:space="preserve">Sponsor: </w:t>
            </w:r>
            <w:r w:rsidR="009F0559" w:rsidRPr="002909BF">
              <w:t>Sanofi-Aventis Australia Pty Ltd</w:t>
            </w:r>
          </w:p>
        </w:tc>
      </w:tr>
    </w:tbl>
    <w:p w14:paraId="51764590" w14:textId="77777777" w:rsidR="008E7846" w:rsidRPr="002909BF" w:rsidRDefault="008E7846" w:rsidP="0085156D">
      <w:r w:rsidRPr="002909BF">
        <w:br w:type="page"/>
      </w:r>
    </w:p>
    <w:p w14:paraId="415783DF" w14:textId="77777777" w:rsidR="008E7846" w:rsidRPr="002909BF" w:rsidRDefault="008E7846" w:rsidP="008E7846">
      <w:pPr>
        <w:pStyle w:val="NonTOCHeading2"/>
      </w:pPr>
      <w:r w:rsidRPr="002909BF">
        <w:lastRenderedPageBreak/>
        <w:t>About the Therapeutic Goods Administration (TGA)</w:t>
      </w:r>
    </w:p>
    <w:p w14:paraId="556AE4B1" w14:textId="77777777" w:rsidR="00AF2313" w:rsidRPr="002909BF" w:rsidRDefault="00AF2313" w:rsidP="00AF2313">
      <w:pPr>
        <w:pStyle w:val="ListBullet"/>
      </w:pPr>
      <w:r w:rsidRPr="002909BF">
        <w:t>The Therapeutic Goods Administration (TGA) is part of the Australian Government Department of Health and is responsible for regulating therapeutic goods, including medicines, medical devices, and biologicals.</w:t>
      </w:r>
    </w:p>
    <w:p w14:paraId="00D43C9C" w14:textId="77777777" w:rsidR="00AF2313" w:rsidRPr="002909BF" w:rsidRDefault="00AF2313" w:rsidP="00AF2313">
      <w:pPr>
        <w:pStyle w:val="ListBullet"/>
      </w:pPr>
      <w:r w:rsidRPr="002909BF">
        <w:t xml:space="preserve">The TGA administers the </w:t>
      </w:r>
      <w:r w:rsidRPr="002909BF">
        <w:rPr>
          <w:i/>
          <w:iCs/>
        </w:rPr>
        <w:t>Therapeutic Goods Act 1989</w:t>
      </w:r>
      <w:r w:rsidRPr="002909BF">
        <w:t xml:space="preserve"> (the Act), applying a risk management approach designed to ensure therapeutic goods supplied in Australia meet acceptable standards of quality, </w:t>
      </w:r>
      <w:r w:rsidR="00CC5044" w:rsidRPr="002909BF">
        <w:t>safety,</w:t>
      </w:r>
      <w:r w:rsidRPr="002909BF">
        <w:t xml:space="preserve"> and efficacy.</w:t>
      </w:r>
    </w:p>
    <w:p w14:paraId="6925EC22" w14:textId="77777777" w:rsidR="00AF2313" w:rsidRPr="002909BF" w:rsidRDefault="00AF2313" w:rsidP="00AF2313">
      <w:pPr>
        <w:pStyle w:val="ListBullet"/>
      </w:pPr>
      <w:r w:rsidRPr="002909BF">
        <w:t>The work of the TGA is based on applying scientific and clinical expertise to decision-making, to ensure that the benefits to the Australian public outweigh any risks associated with the use of therapeutic goods.</w:t>
      </w:r>
    </w:p>
    <w:p w14:paraId="6EE0CEC8" w14:textId="77777777" w:rsidR="00AF2313" w:rsidRPr="002909BF" w:rsidRDefault="00AF2313" w:rsidP="00AF2313">
      <w:pPr>
        <w:pStyle w:val="ListBullet"/>
      </w:pPr>
      <w:r w:rsidRPr="002909BF">
        <w:t>The TGA relies on the public, healthcare professionals and industry to report problems with therapeutic goods. The TGA investigates reports received to determine any necessary regulatory action.</w:t>
      </w:r>
    </w:p>
    <w:p w14:paraId="4169D2AE" w14:textId="23DDB4C1" w:rsidR="00AF2313" w:rsidRPr="002909BF" w:rsidRDefault="00AF2313" w:rsidP="00AF2313">
      <w:pPr>
        <w:pStyle w:val="ListBullet"/>
      </w:pPr>
      <w:r w:rsidRPr="002909BF">
        <w:t xml:space="preserve">To report a problem with a therapeutic good, please see the information on the </w:t>
      </w:r>
      <w:hyperlink r:id="rId8" w:history="1">
        <w:r w:rsidRPr="002909BF">
          <w:rPr>
            <w:rStyle w:val="Hyperlink"/>
          </w:rPr>
          <w:t>TGA website</w:t>
        </w:r>
      </w:hyperlink>
      <w:r w:rsidRPr="002909BF">
        <w:t>.</w:t>
      </w:r>
    </w:p>
    <w:p w14:paraId="13C43927" w14:textId="77777777" w:rsidR="008E7846" w:rsidRPr="002909BF" w:rsidRDefault="008E7846" w:rsidP="00875A6B">
      <w:pPr>
        <w:pStyle w:val="NonTOCHeading2"/>
      </w:pPr>
      <w:r w:rsidRPr="002909BF">
        <w:t xml:space="preserve">About </w:t>
      </w:r>
      <w:proofErr w:type="spellStart"/>
      <w:r w:rsidRPr="002909BF">
        <w:t>AusPARs</w:t>
      </w:r>
      <w:proofErr w:type="spellEnd"/>
    </w:p>
    <w:p w14:paraId="69D13BC5" w14:textId="0B6C1DBE" w:rsidR="00AF2313" w:rsidRPr="002909BF" w:rsidRDefault="00AF2313" w:rsidP="00AF2313">
      <w:pPr>
        <w:pStyle w:val="ListBullet"/>
      </w:pPr>
      <w:r w:rsidRPr="002909BF">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9" w:history="1">
        <w:r w:rsidRPr="002909BF">
          <w:rPr>
            <w:rStyle w:val="Hyperlink"/>
          </w:rPr>
          <w:t>Australian Public Assessment Report (AusPAR) guidance</w:t>
        </w:r>
      </w:hyperlink>
      <w:r w:rsidRPr="002909BF">
        <w:t>.</w:t>
      </w:r>
    </w:p>
    <w:p w14:paraId="1AEEF406" w14:textId="77777777" w:rsidR="00AF2313" w:rsidRPr="002909BF" w:rsidRDefault="00AF2313" w:rsidP="00AF2313">
      <w:pPr>
        <w:pStyle w:val="ListBullet"/>
      </w:pPr>
      <w:proofErr w:type="spellStart"/>
      <w:r w:rsidRPr="002909BF">
        <w:t>AusPARs</w:t>
      </w:r>
      <w:proofErr w:type="spellEnd"/>
      <w:r w:rsidRPr="002909BF">
        <w:t xml:space="preserve"> are prepared and published by the TGA.</w:t>
      </w:r>
    </w:p>
    <w:p w14:paraId="5C143C88" w14:textId="77777777" w:rsidR="00AF2313" w:rsidRPr="002909BF" w:rsidRDefault="00AF2313" w:rsidP="00AF2313">
      <w:pPr>
        <w:pStyle w:val="ListBullet"/>
      </w:pPr>
      <w:proofErr w:type="spellStart"/>
      <w:r w:rsidRPr="002909BF">
        <w:t>AusPARs</w:t>
      </w:r>
      <w:proofErr w:type="spellEnd"/>
      <w:r w:rsidRPr="002909BF">
        <w:t xml:space="preserve"> are static documents that provide information that relates to a submission at a particular point in time.</w:t>
      </w:r>
      <w:r w:rsidR="008110BC" w:rsidRPr="002909BF">
        <w:t xml:space="preserve"> The publication of an AusPAR is an important part of the transparency of the TGA’s decision-making process.</w:t>
      </w:r>
    </w:p>
    <w:p w14:paraId="0F6309A5" w14:textId="77777777" w:rsidR="00AF2313" w:rsidRPr="002909BF" w:rsidRDefault="00AF2313" w:rsidP="00AF2313">
      <w:pPr>
        <w:pStyle w:val="ListBullet"/>
      </w:pPr>
      <w:r w:rsidRPr="002909BF">
        <w:t>A new AusPAR may be provided to reflect changes to indications or major variations to a prescription medicine subject to evaluation by the TGA.</w:t>
      </w:r>
    </w:p>
    <w:p w14:paraId="6575C96B" w14:textId="77777777" w:rsidR="00924482" w:rsidRPr="002909BF" w:rsidRDefault="00924482" w:rsidP="00F54B65">
      <w:pPr>
        <w:pStyle w:val="LegalSubheading"/>
        <w:spacing w:before="3120"/>
      </w:pPr>
      <w:r w:rsidRPr="002909BF">
        <w:t>Copyright</w:t>
      </w:r>
    </w:p>
    <w:p w14:paraId="72BCFCD6" w14:textId="4DBDBC64" w:rsidR="00924482" w:rsidRPr="002909BF" w:rsidRDefault="00924482" w:rsidP="00924482">
      <w:pPr>
        <w:pStyle w:val="LegalCopy"/>
      </w:pPr>
      <w:r w:rsidRPr="002909BF">
        <w:rPr>
          <w:rFonts w:cs="Arial"/>
          <w:lang w:val="en-GB"/>
        </w:rPr>
        <w:t>© Commonwealth of Australia 20</w:t>
      </w:r>
      <w:r w:rsidR="00460036" w:rsidRPr="002909BF">
        <w:rPr>
          <w:rFonts w:cs="Arial"/>
          <w:lang w:val="en-GB"/>
        </w:rPr>
        <w:t>2</w:t>
      </w:r>
      <w:r w:rsidR="00A839B7" w:rsidRPr="002909BF">
        <w:rPr>
          <w:rFonts w:cs="Arial"/>
          <w:lang w:val="en-GB"/>
        </w:rPr>
        <w:t>3</w:t>
      </w:r>
      <w:r w:rsidRPr="002909BF">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909BF">
        <w:rPr>
          <w:rFonts w:cs="Arial"/>
          <w:i/>
          <w:lang w:val="en-GB"/>
        </w:rPr>
        <w:t>Copyright Act 1968</w:t>
      </w:r>
      <w:r w:rsidRPr="002909BF">
        <w:rPr>
          <w:rFonts w:cs="Arial"/>
          <w:lang w:val="en-GB"/>
        </w:rPr>
        <w:t xml:space="preserve"> or allowed by this copyright notice, all other rights are </w:t>
      </w:r>
      <w:r w:rsidR="00EB36D6" w:rsidRPr="002909BF">
        <w:rPr>
          <w:rFonts w:cs="Arial"/>
          <w:lang w:val="en-GB"/>
        </w:rPr>
        <w:t>reserved,</w:t>
      </w:r>
      <w:r w:rsidRPr="002909BF">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2909BF">
        <w:rPr>
          <w:rFonts w:cs="Arial"/>
          <w:lang w:val="en-GB"/>
        </w:rPr>
        <w:t>Woden</w:t>
      </w:r>
      <w:proofErr w:type="spellEnd"/>
      <w:r w:rsidRPr="002909BF">
        <w:rPr>
          <w:rFonts w:cs="Arial"/>
          <w:lang w:val="en-GB"/>
        </w:rPr>
        <w:t xml:space="preserve"> ACT 2606 or emailed to &lt;</w:t>
      </w:r>
      <w:hyperlink r:id="rId10" w:history="1">
        <w:r w:rsidRPr="002909BF">
          <w:rPr>
            <w:rStyle w:val="Hyperlink"/>
            <w:rFonts w:cs="Arial"/>
            <w:lang w:val="en-GB"/>
          </w:rPr>
          <w:t>tga.copyright@tga.gov.au</w:t>
        </w:r>
      </w:hyperlink>
      <w:r w:rsidRPr="002909BF">
        <w:rPr>
          <w:rFonts w:cs="Arial"/>
        </w:rPr>
        <w:t>&gt;.</w:t>
      </w:r>
    </w:p>
    <w:p w14:paraId="573C9E51" w14:textId="77777777" w:rsidR="00924482" w:rsidRPr="002909BF" w:rsidRDefault="00924482" w:rsidP="00924482">
      <w:pPr>
        <w:pStyle w:val="LegalCopy"/>
        <w:sectPr w:rsidR="00924482" w:rsidRPr="002909BF"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B927DF0" w14:textId="77777777" w:rsidR="0089635C" w:rsidRPr="002909BF" w:rsidRDefault="0089635C" w:rsidP="0010788A">
          <w:pPr>
            <w:pStyle w:val="Contents"/>
          </w:pPr>
          <w:r w:rsidRPr="002909BF">
            <w:t>Contents</w:t>
          </w:r>
        </w:p>
        <w:p w14:paraId="076AE3DB" w14:textId="5BCF065D" w:rsidR="00056FD1" w:rsidRDefault="00C525A2">
          <w:pPr>
            <w:pStyle w:val="TOC1"/>
            <w:rPr>
              <w:rFonts w:asciiTheme="minorHAnsi" w:eastAsiaTheme="minorEastAsia" w:hAnsiTheme="minorHAnsi" w:cstheme="minorBidi"/>
              <w:b w:val="0"/>
              <w:noProof/>
              <w:sz w:val="22"/>
              <w:lang w:eastAsia="en-AU"/>
            </w:rPr>
          </w:pPr>
          <w:r w:rsidRPr="002909BF">
            <w:fldChar w:fldCharType="begin"/>
          </w:r>
          <w:r w:rsidRPr="002909BF">
            <w:instrText xml:space="preserve"> TOC \h \z \t "Heading 2,1,Heading 3,2" </w:instrText>
          </w:r>
          <w:r w:rsidRPr="002909BF">
            <w:fldChar w:fldCharType="separate"/>
          </w:r>
          <w:hyperlink w:anchor="_Toc133493826" w:history="1">
            <w:r w:rsidR="00056FD1" w:rsidRPr="00993E08">
              <w:rPr>
                <w:rStyle w:val="Hyperlink"/>
                <w:noProof/>
              </w:rPr>
              <w:t>List of abbreviations</w:t>
            </w:r>
            <w:r w:rsidR="00056FD1">
              <w:rPr>
                <w:noProof/>
                <w:webHidden/>
              </w:rPr>
              <w:tab/>
            </w:r>
            <w:r w:rsidR="00056FD1">
              <w:rPr>
                <w:noProof/>
                <w:webHidden/>
              </w:rPr>
              <w:fldChar w:fldCharType="begin"/>
            </w:r>
            <w:r w:rsidR="00056FD1">
              <w:rPr>
                <w:noProof/>
                <w:webHidden/>
              </w:rPr>
              <w:instrText xml:space="preserve"> PAGEREF _Toc133493826 \h </w:instrText>
            </w:r>
            <w:r w:rsidR="00056FD1">
              <w:rPr>
                <w:noProof/>
                <w:webHidden/>
              </w:rPr>
            </w:r>
            <w:r w:rsidR="00056FD1">
              <w:rPr>
                <w:noProof/>
                <w:webHidden/>
              </w:rPr>
              <w:fldChar w:fldCharType="separate"/>
            </w:r>
            <w:r w:rsidR="001637C8">
              <w:rPr>
                <w:noProof/>
                <w:webHidden/>
              </w:rPr>
              <w:t>4</w:t>
            </w:r>
            <w:r w:rsidR="00056FD1">
              <w:rPr>
                <w:noProof/>
                <w:webHidden/>
              </w:rPr>
              <w:fldChar w:fldCharType="end"/>
            </w:r>
          </w:hyperlink>
        </w:p>
        <w:p w14:paraId="2AB40E52" w14:textId="1BCEBB36" w:rsidR="00056FD1" w:rsidRDefault="00410DA8">
          <w:pPr>
            <w:pStyle w:val="TOC1"/>
            <w:rPr>
              <w:rFonts w:asciiTheme="minorHAnsi" w:eastAsiaTheme="minorEastAsia" w:hAnsiTheme="minorHAnsi" w:cstheme="minorBidi"/>
              <w:b w:val="0"/>
              <w:noProof/>
              <w:sz w:val="22"/>
              <w:lang w:eastAsia="en-AU"/>
            </w:rPr>
          </w:pPr>
          <w:hyperlink w:anchor="_Toc133493827" w:history="1">
            <w:r w:rsidR="00056FD1" w:rsidRPr="00993E08">
              <w:rPr>
                <w:rStyle w:val="Hyperlink"/>
                <w:noProof/>
              </w:rPr>
              <w:t>Product submission</w:t>
            </w:r>
            <w:r w:rsidR="00056FD1">
              <w:rPr>
                <w:noProof/>
                <w:webHidden/>
              </w:rPr>
              <w:tab/>
            </w:r>
            <w:r w:rsidR="00056FD1">
              <w:rPr>
                <w:noProof/>
                <w:webHidden/>
              </w:rPr>
              <w:fldChar w:fldCharType="begin"/>
            </w:r>
            <w:r w:rsidR="00056FD1">
              <w:rPr>
                <w:noProof/>
                <w:webHidden/>
              </w:rPr>
              <w:instrText xml:space="preserve"> PAGEREF _Toc133493827 \h </w:instrText>
            </w:r>
            <w:r w:rsidR="00056FD1">
              <w:rPr>
                <w:noProof/>
                <w:webHidden/>
              </w:rPr>
            </w:r>
            <w:r w:rsidR="00056FD1">
              <w:rPr>
                <w:noProof/>
                <w:webHidden/>
              </w:rPr>
              <w:fldChar w:fldCharType="separate"/>
            </w:r>
            <w:r w:rsidR="001637C8">
              <w:rPr>
                <w:noProof/>
                <w:webHidden/>
              </w:rPr>
              <w:t>5</w:t>
            </w:r>
            <w:r w:rsidR="00056FD1">
              <w:rPr>
                <w:noProof/>
                <w:webHidden/>
              </w:rPr>
              <w:fldChar w:fldCharType="end"/>
            </w:r>
          </w:hyperlink>
        </w:p>
        <w:p w14:paraId="58961762" w14:textId="3996A531" w:rsidR="00056FD1" w:rsidRDefault="00410DA8">
          <w:pPr>
            <w:pStyle w:val="TOC2"/>
            <w:rPr>
              <w:rFonts w:asciiTheme="minorHAnsi" w:eastAsiaTheme="minorEastAsia" w:hAnsiTheme="minorHAnsi" w:cstheme="minorBidi"/>
              <w:b w:val="0"/>
              <w:noProof/>
              <w:sz w:val="22"/>
              <w:lang w:eastAsia="en-AU"/>
            </w:rPr>
          </w:pPr>
          <w:hyperlink w:anchor="_Toc133493828" w:history="1">
            <w:r w:rsidR="00056FD1" w:rsidRPr="00993E08">
              <w:rPr>
                <w:rStyle w:val="Hyperlink"/>
                <w:noProof/>
                <w:lang w:eastAsia="en-AU"/>
              </w:rPr>
              <w:t>Submission details</w:t>
            </w:r>
            <w:r w:rsidR="00056FD1">
              <w:rPr>
                <w:noProof/>
                <w:webHidden/>
              </w:rPr>
              <w:tab/>
            </w:r>
            <w:r w:rsidR="00056FD1">
              <w:rPr>
                <w:noProof/>
                <w:webHidden/>
              </w:rPr>
              <w:fldChar w:fldCharType="begin"/>
            </w:r>
            <w:r w:rsidR="00056FD1">
              <w:rPr>
                <w:noProof/>
                <w:webHidden/>
              </w:rPr>
              <w:instrText xml:space="preserve"> PAGEREF _Toc133493828 \h </w:instrText>
            </w:r>
            <w:r w:rsidR="00056FD1">
              <w:rPr>
                <w:noProof/>
                <w:webHidden/>
              </w:rPr>
            </w:r>
            <w:r w:rsidR="00056FD1">
              <w:rPr>
                <w:noProof/>
                <w:webHidden/>
              </w:rPr>
              <w:fldChar w:fldCharType="separate"/>
            </w:r>
            <w:r w:rsidR="001637C8">
              <w:rPr>
                <w:noProof/>
                <w:webHidden/>
              </w:rPr>
              <w:t>5</w:t>
            </w:r>
            <w:r w:rsidR="00056FD1">
              <w:rPr>
                <w:noProof/>
                <w:webHidden/>
              </w:rPr>
              <w:fldChar w:fldCharType="end"/>
            </w:r>
          </w:hyperlink>
        </w:p>
        <w:p w14:paraId="110C0244" w14:textId="3FCCB839" w:rsidR="00056FD1" w:rsidRDefault="00410DA8">
          <w:pPr>
            <w:pStyle w:val="TOC2"/>
            <w:rPr>
              <w:rFonts w:asciiTheme="minorHAnsi" w:eastAsiaTheme="minorEastAsia" w:hAnsiTheme="minorHAnsi" w:cstheme="minorBidi"/>
              <w:b w:val="0"/>
              <w:noProof/>
              <w:sz w:val="22"/>
              <w:lang w:eastAsia="en-AU"/>
            </w:rPr>
          </w:pPr>
          <w:hyperlink w:anchor="_Toc133493829" w:history="1">
            <w:r w:rsidR="00056FD1" w:rsidRPr="00993E08">
              <w:rPr>
                <w:rStyle w:val="Hyperlink"/>
                <w:noProof/>
              </w:rPr>
              <w:t>Product background</w:t>
            </w:r>
            <w:r w:rsidR="00056FD1">
              <w:rPr>
                <w:noProof/>
                <w:webHidden/>
              </w:rPr>
              <w:tab/>
            </w:r>
            <w:r w:rsidR="00056FD1">
              <w:rPr>
                <w:noProof/>
                <w:webHidden/>
              </w:rPr>
              <w:fldChar w:fldCharType="begin"/>
            </w:r>
            <w:r w:rsidR="00056FD1">
              <w:rPr>
                <w:noProof/>
                <w:webHidden/>
              </w:rPr>
              <w:instrText xml:space="preserve"> PAGEREF _Toc133493829 \h </w:instrText>
            </w:r>
            <w:r w:rsidR="00056FD1">
              <w:rPr>
                <w:noProof/>
                <w:webHidden/>
              </w:rPr>
            </w:r>
            <w:r w:rsidR="00056FD1">
              <w:rPr>
                <w:noProof/>
                <w:webHidden/>
              </w:rPr>
              <w:fldChar w:fldCharType="separate"/>
            </w:r>
            <w:r w:rsidR="001637C8">
              <w:rPr>
                <w:noProof/>
                <w:webHidden/>
              </w:rPr>
              <w:t>6</w:t>
            </w:r>
            <w:r w:rsidR="00056FD1">
              <w:rPr>
                <w:noProof/>
                <w:webHidden/>
              </w:rPr>
              <w:fldChar w:fldCharType="end"/>
            </w:r>
          </w:hyperlink>
        </w:p>
        <w:p w14:paraId="14BFA141" w14:textId="6E42C1EB" w:rsidR="00056FD1" w:rsidRDefault="00410DA8">
          <w:pPr>
            <w:pStyle w:val="TOC2"/>
            <w:rPr>
              <w:rFonts w:asciiTheme="minorHAnsi" w:eastAsiaTheme="minorEastAsia" w:hAnsiTheme="minorHAnsi" w:cstheme="minorBidi"/>
              <w:b w:val="0"/>
              <w:noProof/>
              <w:sz w:val="22"/>
              <w:lang w:eastAsia="en-AU"/>
            </w:rPr>
          </w:pPr>
          <w:hyperlink w:anchor="_Toc133493830" w:history="1">
            <w:r w:rsidR="00056FD1" w:rsidRPr="00993E08">
              <w:rPr>
                <w:rStyle w:val="Hyperlink"/>
                <w:noProof/>
              </w:rPr>
              <w:t>Regulatory status</w:t>
            </w:r>
            <w:r w:rsidR="00056FD1">
              <w:rPr>
                <w:noProof/>
                <w:webHidden/>
              </w:rPr>
              <w:tab/>
            </w:r>
            <w:r w:rsidR="00056FD1">
              <w:rPr>
                <w:noProof/>
                <w:webHidden/>
              </w:rPr>
              <w:fldChar w:fldCharType="begin"/>
            </w:r>
            <w:r w:rsidR="00056FD1">
              <w:rPr>
                <w:noProof/>
                <w:webHidden/>
              </w:rPr>
              <w:instrText xml:space="preserve"> PAGEREF _Toc133493830 \h </w:instrText>
            </w:r>
            <w:r w:rsidR="00056FD1">
              <w:rPr>
                <w:noProof/>
                <w:webHidden/>
              </w:rPr>
            </w:r>
            <w:r w:rsidR="00056FD1">
              <w:rPr>
                <w:noProof/>
                <w:webHidden/>
              </w:rPr>
              <w:fldChar w:fldCharType="separate"/>
            </w:r>
            <w:r w:rsidR="001637C8">
              <w:rPr>
                <w:noProof/>
                <w:webHidden/>
              </w:rPr>
              <w:t>9</w:t>
            </w:r>
            <w:r w:rsidR="00056FD1">
              <w:rPr>
                <w:noProof/>
                <w:webHidden/>
              </w:rPr>
              <w:fldChar w:fldCharType="end"/>
            </w:r>
          </w:hyperlink>
        </w:p>
        <w:p w14:paraId="1699F715" w14:textId="74D8E9DD" w:rsidR="00056FD1" w:rsidRDefault="00410DA8">
          <w:pPr>
            <w:pStyle w:val="TOC2"/>
            <w:rPr>
              <w:rFonts w:asciiTheme="minorHAnsi" w:eastAsiaTheme="minorEastAsia" w:hAnsiTheme="minorHAnsi" w:cstheme="minorBidi"/>
              <w:b w:val="0"/>
              <w:noProof/>
              <w:sz w:val="22"/>
              <w:lang w:eastAsia="en-AU"/>
            </w:rPr>
          </w:pPr>
          <w:hyperlink w:anchor="_Toc133493831" w:history="1">
            <w:r w:rsidR="00056FD1" w:rsidRPr="00993E08">
              <w:rPr>
                <w:rStyle w:val="Hyperlink"/>
                <w:noProof/>
              </w:rPr>
              <w:t>Product Information</w:t>
            </w:r>
            <w:r w:rsidR="00056FD1">
              <w:rPr>
                <w:noProof/>
                <w:webHidden/>
              </w:rPr>
              <w:tab/>
            </w:r>
            <w:r w:rsidR="00056FD1">
              <w:rPr>
                <w:noProof/>
                <w:webHidden/>
              </w:rPr>
              <w:fldChar w:fldCharType="begin"/>
            </w:r>
            <w:r w:rsidR="00056FD1">
              <w:rPr>
                <w:noProof/>
                <w:webHidden/>
              </w:rPr>
              <w:instrText xml:space="preserve"> PAGEREF _Toc133493831 \h </w:instrText>
            </w:r>
            <w:r w:rsidR="00056FD1">
              <w:rPr>
                <w:noProof/>
                <w:webHidden/>
              </w:rPr>
            </w:r>
            <w:r w:rsidR="00056FD1">
              <w:rPr>
                <w:noProof/>
                <w:webHidden/>
              </w:rPr>
              <w:fldChar w:fldCharType="separate"/>
            </w:r>
            <w:r w:rsidR="001637C8">
              <w:rPr>
                <w:noProof/>
                <w:webHidden/>
              </w:rPr>
              <w:t>10</w:t>
            </w:r>
            <w:r w:rsidR="00056FD1">
              <w:rPr>
                <w:noProof/>
                <w:webHidden/>
              </w:rPr>
              <w:fldChar w:fldCharType="end"/>
            </w:r>
          </w:hyperlink>
        </w:p>
        <w:p w14:paraId="2BA8AA83" w14:textId="27ADDA82" w:rsidR="00056FD1" w:rsidRDefault="00410DA8">
          <w:pPr>
            <w:pStyle w:val="TOC1"/>
            <w:rPr>
              <w:rFonts w:asciiTheme="minorHAnsi" w:eastAsiaTheme="minorEastAsia" w:hAnsiTheme="minorHAnsi" w:cstheme="minorBidi"/>
              <w:b w:val="0"/>
              <w:noProof/>
              <w:sz w:val="22"/>
              <w:lang w:eastAsia="en-AU"/>
            </w:rPr>
          </w:pPr>
          <w:hyperlink w:anchor="_Toc133493832" w:history="1">
            <w:r w:rsidR="00056FD1" w:rsidRPr="00993E08">
              <w:rPr>
                <w:rStyle w:val="Hyperlink"/>
                <w:noProof/>
              </w:rPr>
              <w:t>Registration timeline</w:t>
            </w:r>
            <w:r w:rsidR="00056FD1">
              <w:rPr>
                <w:noProof/>
                <w:webHidden/>
              </w:rPr>
              <w:tab/>
            </w:r>
            <w:r w:rsidR="00056FD1">
              <w:rPr>
                <w:noProof/>
                <w:webHidden/>
              </w:rPr>
              <w:fldChar w:fldCharType="begin"/>
            </w:r>
            <w:r w:rsidR="00056FD1">
              <w:rPr>
                <w:noProof/>
                <w:webHidden/>
              </w:rPr>
              <w:instrText xml:space="preserve"> PAGEREF _Toc133493832 \h </w:instrText>
            </w:r>
            <w:r w:rsidR="00056FD1">
              <w:rPr>
                <w:noProof/>
                <w:webHidden/>
              </w:rPr>
            </w:r>
            <w:r w:rsidR="00056FD1">
              <w:rPr>
                <w:noProof/>
                <w:webHidden/>
              </w:rPr>
              <w:fldChar w:fldCharType="separate"/>
            </w:r>
            <w:r w:rsidR="001637C8">
              <w:rPr>
                <w:noProof/>
                <w:webHidden/>
              </w:rPr>
              <w:t>11</w:t>
            </w:r>
            <w:r w:rsidR="00056FD1">
              <w:rPr>
                <w:noProof/>
                <w:webHidden/>
              </w:rPr>
              <w:fldChar w:fldCharType="end"/>
            </w:r>
          </w:hyperlink>
        </w:p>
        <w:p w14:paraId="00A21AD1" w14:textId="7F3F1F4D" w:rsidR="00056FD1" w:rsidRDefault="00410DA8">
          <w:pPr>
            <w:pStyle w:val="TOC1"/>
            <w:rPr>
              <w:rFonts w:asciiTheme="minorHAnsi" w:eastAsiaTheme="minorEastAsia" w:hAnsiTheme="minorHAnsi" w:cstheme="minorBidi"/>
              <w:b w:val="0"/>
              <w:noProof/>
              <w:sz w:val="22"/>
              <w:lang w:eastAsia="en-AU"/>
            </w:rPr>
          </w:pPr>
          <w:hyperlink w:anchor="_Toc133493833" w:history="1">
            <w:r w:rsidR="00056FD1" w:rsidRPr="00993E08">
              <w:rPr>
                <w:rStyle w:val="Hyperlink"/>
                <w:noProof/>
              </w:rPr>
              <w:t>Submission overview and risk/benefit assessment</w:t>
            </w:r>
            <w:r w:rsidR="00056FD1">
              <w:rPr>
                <w:noProof/>
                <w:webHidden/>
              </w:rPr>
              <w:tab/>
            </w:r>
            <w:r w:rsidR="00056FD1">
              <w:rPr>
                <w:noProof/>
                <w:webHidden/>
              </w:rPr>
              <w:fldChar w:fldCharType="begin"/>
            </w:r>
            <w:r w:rsidR="00056FD1">
              <w:rPr>
                <w:noProof/>
                <w:webHidden/>
              </w:rPr>
              <w:instrText xml:space="preserve"> PAGEREF _Toc133493833 \h </w:instrText>
            </w:r>
            <w:r w:rsidR="00056FD1">
              <w:rPr>
                <w:noProof/>
                <w:webHidden/>
              </w:rPr>
            </w:r>
            <w:r w:rsidR="00056FD1">
              <w:rPr>
                <w:noProof/>
                <w:webHidden/>
              </w:rPr>
              <w:fldChar w:fldCharType="separate"/>
            </w:r>
            <w:r w:rsidR="001637C8">
              <w:rPr>
                <w:noProof/>
                <w:webHidden/>
              </w:rPr>
              <w:t>11</w:t>
            </w:r>
            <w:r w:rsidR="00056FD1">
              <w:rPr>
                <w:noProof/>
                <w:webHidden/>
              </w:rPr>
              <w:fldChar w:fldCharType="end"/>
            </w:r>
          </w:hyperlink>
        </w:p>
        <w:p w14:paraId="65EB7261" w14:textId="042FB660" w:rsidR="00056FD1" w:rsidRDefault="00410DA8">
          <w:pPr>
            <w:pStyle w:val="TOC2"/>
            <w:rPr>
              <w:rFonts w:asciiTheme="minorHAnsi" w:eastAsiaTheme="minorEastAsia" w:hAnsiTheme="minorHAnsi" w:cstheme="minorBidi"/>
              <w:b w:val="0"/>
              <w:noProof/>
              <w:sz w:val="22"/>
              <w:lang w:eastAsia="en-AU"/>
            </w:rPr>
          </w:pPr>
          <w:hyperlink w:anchor="_Toc133493834" w:history="1">
            <w:r w:rsidR="00056FD1" w:rsidRPr="00993E08">
              <w:rPr>
                <w:rStyle w:val="Hyperlink"/>
                <w:noProof/>
              </w:rPr>
              <w:t>Quality</w:t>
            </w:r>
            <w:r w:rsidR="00056FD1">
              <w:rPr>
                <w:noProof/>
                <w:webHidden/>
              </w:rPr>
              <w:tab/>
            </w:r>
            <w:r w:rsidR="00056FD1">
              <w:rPr>
                <w:noProof/>
                <w:webHidden/>
              </w:rPr>
              <w:fldChar w:fldCharType="begin"/>
            </w:r>
            <w:r w:rsidR="00056FD1">
              <w:rPr>
                <w:noProof/>
                <w:webHidden/>
              </w:rPr>
              <w:instrText xml:space="preserve"> PAGEREF _Toc133493834 \h </w:instrText>
            </w:r>
            <w:r w:rsidR="00056FD1">
              <w:rPr>
                <w:noProof/>
                <w:webHidden/>
              </w:rPr>
            </w:r>
            <w:r w:rsidR="00056FD1">
              <w:rPr>
                <w:noProof/>
                <w:webHidden/>
              </w:rPr>
              <w:fldChar w:fldCharType="separate"/>
            </w:r>
            <w:r w:rsidR="001637C8">
              <w:rPr>
                <w:noProof/>
                <w:webHidden/>
              </w:rPr>
              <w:t>12</w:t>
            </w:r>
            <w:r w:rsidR="00056FD1">
              <w:rPr>
                <w:noProof/>
                <w:webHidden/>
              </w:rPr>
              <w:fldChar w:fldCharType="end"/>
            </w:r>
          </w:hyperlink>
        </w:p>
        <w:p w14:paraId="148FE4C2" w14:textId="1B1DF6A2" w:rsidR="00056FD1" w:rsidRDefault="00410DA8">
          <w:pPr>
            <w:pStyle w:val="TOC2"/>
            <w:rPr>
              <w:rFonts w:asciiTheme="minorHAnsi" w:eastAsiaTheme="minorEastAsia" w:hAnsiTheme="minorHAnsi" w:cstheme="minorBidi"/>
              <w:b w:val="0"/>
              <w:noProof/>
              <w:sz w:val="22"/>
              <w:lang w:eastAsia="en-AU"/>
            </w:rPr>
          </w:pPr>
          <w:hyperlink w:anchor="_Toc133493835" w:history="1">
            <w:r w:rsidR="00056FD1" w:rsidRPr="00993E08">
              <w:rPr>
                <w:rStyle w:val="Hyperlink"/>
                <w:noProof/>
              </w:rPr>
              <w:t>Nonclinical</w:t>
            </w:r>
            <w:r w:rsidR="00056FD1">
              <w:rPr>
                <w:noProof/>
                <w:webHidden/>
              </w:rPr>
              <w:tab/>
            </w:r>
            <w:r w:rsidR="00056FD1">
              <w:rPr>
                <w:noProof/>
                <w:webHidden/>
              </w:rPr>
              <w:fldChar w:fldCharType="begin"/>
            </w:r>
            <w:r w:rsidR="00056FD1">
              <w:rPr>
                <w:noProof/>
                <w:webHidden/>
              </w:rPr>
              <w:instrText xml:space="preserve"> PAGEREF _Toc133493835 \h </w:instrText>
            </w:r>
            <w:r w:rsidR="00056FD1">
              <w:rPr>
                <w:noProof/>
                <w:webHidden/>
              </w:rPr>
            </w:r>
            <w:r w:rsidR="00056FD1">
              <w:rPr>
                <w:noProof/>
                <w:webHidden/>
              </w:rPr>
              <w:fldChar w:fldCharType="separate"/>
            </w:r>
            <w:r w:rsidR="001637C8">
              <w:rPr>
                <w:noProof/>
                <w:webHidden/>
              </w:rPr>
              <w:t>13</w:t>
            </w:r>
            <w:r w:rsidR="00056FD1">
              <w:rPr>
                <w:noProof/>
                <w:webHidden/>
              </w:rPr>
              <w:fldChar w:fldCharType="end"/>
            </w:r>
          </w:hyperlink>
        </w:p>
        <w:p w14:paraId="6F47AC88" w14:textId="4B8FE743" w:rsidR="00056FD1" w:rsidRDefault="00410DA8">
          <w:pPr>
            <w:pStyle w:val="TOC2"/>
            <w:rPr>
              <w:rFonts w:asciiTheme="minorHAnsi" w:eastAsiaTheme="minorEastAsia" w:hAnsiTheme="minorHAnsi" w:cstheme="minorBidi"/>
              <w:b w:val="0"/>
              <w:noProof/>
              <w:sz w:val="22"/>
              <w:lang w:eastAsia="en-AU"/>
            </w:rPr>
          </w:pPr>
          <w:hyperlink w:anchor="_Toc133493836" w:history="1">
            <w:r w:rsidR="00056FD1" w:rsidRPr="00993E08">
              <w:rPr>
                <w:rStyle w:val="Hyperlink"/>
                <w:noProof/>
              </w:rPr>
              <w:t>Clinical</w:t>
            </w:r>
            <w:r w:rsidR="00056FD1">
              <w:rPr>
                <w:noProof/>
                <w:webHidden/>
              </w:rPr>
              <w:tab/>
            </w:r>
            <w:r w:rsidR="00056FD1">
              <w:rPr>
                <w:noProof/>
                <w:webHidden/>
              </w:rPr>
              <w:fldChar w:fldCharType="begin"/>
            </w:r>
            <w:r w:rsidR="00056FD1">
              <w:rPr>
                <w:noProof/>
                <w:webHidden/>
              </w:rPr>
              <w:instrText xml:space="preserve"> PAGEREF _Toc133493836 \h </w:instrText>
            </w:r>
            <w:r w:rsidR="00056FD1">
              <w:rPr>
                <w:noProof/>
                <w:webHidden/>
              </w:rPr>
            </w:r>
            <w:r w:rsidR="00056FD1">
              <w:rPr>
                <w:noProof/>
                <w:webHidden/>
              </w:rPr>
              <w:fldChar w:fldCharType="separate"/>
            </w:r>
            <w:r w:rsidR="001637C8">
              <w:rPr>
                <w:noProof/>
                <w:webHidden/>
              </w:rPr>
              <w:t>14</w:t>
            </w:r>
            <w:r w:rsidR="00056FD1">
              <w:rPr>
                <w:noProof/>
                <w:webHidden/>
              </w:rPr>
              <w:fldChar w:fldCharType="end"/>
            </w:r>
          </w:hyperlink>
        </w:p>
        <w:p w14:paraId="2BB2D73E" w14:textId="3DF4A70C" w:rsidR="00056FD1" w:rsidRDefault="00410DA8">
          <w:pPr>
            <w:pStyle w:val="TOC2"/>
            <w:rPr>
              <w:rFonts w:asciiTheme="minorHAnsi" w:eastAsiaTheme="minorEastAsia" w:hAnsiTheme="minorHAnsi" w:cstheme="minorBidi"/>
              <w:b w:val="0"/>
              <w:noProof/>
              <w:sz w:val="22"/>
              <w:lang w:eastAsia="en-AU"/>
            </w:rPr>
          </w:pPr>
          <w:hyperlink w:anchor="_Toc133493837" w:history="1">
            <w:r w:rsidR="00056FD1" w:rsidRPr="00993E08">
              <w:rPr>
                <w:rStyle w:val="Hyperlink"/>
                <w:noProof/>
                <w:lang w:eastAsia="en-AU"/>
              </w:rPr>
              <w:t>Risk management plan</w:t>
            </w:r>
            <w:r w:rsidR="00056FD1">
              <w:rPr>
                <w:noProof/>
                <w:webHidden/>
              </w:rPr>
              <w:tab/>
            </w:r>
            <w:r w:rsidR="00056FD1">
              <w:rPr>
                <w:noProof/>
                <w:webHidden/>
              </w:rPr>
              <w:fldChar w:fldCharType="begin"/>
            </w:r>
            <w:r w:rsidR="00056FD1">
              <w:rPr>
                <w:noProof/>
                <w:webHidden/>
              </w:rPr>
              <w:instrText xml:space="preserve"> PAGEREF _Toc133493837 \h </w:instrText>
            </w:r>
            <w:r w:rsidR="00056FD1">
              <w:rPr>
                <w:noProof/>
                <w:webHidden/>
              </w:rPr>
            </w:r>
            <w:r w:rsidR="00056FD1">
              <w:rPr>
                <w:noProof/>
                <w:webHidden/>
              </w:rPr>
              <w:fldChar w:fldCharType="separate"/>
            </w:r>
            <w:r w:rsidR="001637C8">
              <w:rPr>
                <w:noProof/>
                <w:webHidden/>
              </w:rPr>
              <w:t>34</w:t>
            </w:r>
            <w:r w:rsidR="00056FD1">
              <w:rPr>
                <w:noProof/>
                <w:webHidden/>
              </w:rPr>
              <w:fldChar w:fldCharType="end"/>
            </w:r>
          </w:hyperlink>
        </w:p>
        <w:p w14:paraId="06F8267D" w14:textId="37CFC543" w:rsidR="00056FD1" w:rsidRDefault="00410DA8">
          <w:pPr>
            <w:pStyle w:val="TOC2"/>
            <w:rPr>
              <w:rFonts w:asciiTheme="minorHAnsi" w:eastAsiaTheme="minorEastAsia" w:hAnsiTheme="minorHAnsi" w:cstheme="minorBidi"/>
              <w:b w:val="0"/>
              <w:noProof/>
              <w:sz w:val="22"/>
              <w:lang w:eastAsia="en-AU"/>
            </w:rPr>
          </w:pPr>
          <w:hyperlink w:anchor="_Toc133493838" w:history="1">
            <w:r w:rsidR="00056FD1" w:rsidRPr="00993E08">
              <w:rPr>
                <w:rStyle w:val="Hyperlink"/>
                <w:noProof/>
              </w:rPr>
              <w:t>Risk-benefit analysis</w:t>
            </w:r>
            <w:r w:rsidR="00056FD1">
              <w:rPr>
                <w:noProof/>
                <w:webHidden/>
              </w:rPr>
              <w:tab/>
            </w:r>
            <w:r w:rsidR="00056FD1">
              <w:rPr>
                <w:noProof/>
                <w:webHidden/>
              </w:rPr>
              <w:fldChar w:fldCharType="begin"/>
            </w:r>
            <w:r w:rsidR="00056FD1">
              <w:rPr>
                <w:noProof/>
                <w:webHidden/>
              </w:rPr>
              <w:instrText xml:space="preserve"> PAGEREF _Toc133493838 \h </w:instrText>
            </w:r>
            <w:r w:rsidR="00056FD1">
              <w:rPr>
                <w:noProof/>
                <w:webHidden/>
              </w:rPr>
            </w:r>
            <w:r w:rsidR="00056FD1">
              <w:rPr>
                <w:noProof/>
                <w:webHidden/>
              </w:rPr>
              <w:fldChar w:fldCharType="separate"/>
            </w:r>
            <w:r w:rsidR="001637C8">
              <w:rPr>
                <w:noProof/>
                <w:webHidden/>
              </w:rPr>
              <w:t>34</w:t>
            </w:r>
            <w:r w:rsidR="00056FD1">
              <w:rPr>
                <w:noProof/>
                <w:webHidden/>
              </w:rPr>
              <w:fldChar w:fldCharType="end"/>
            </w:r>
          </w:hyperlink>
        </w:p>
        <w:p w14:paraId="78E94F64" w14:textId="4A5791FC" w:rsidR="00056FD1" w:rsidRDefault="00410DA8">
          <w:pPr>
            <w:pStyle w:val="TOC1"/>
            <w:rPr>
              <w:rFonts w:asciiTheme="minorHAnsi" w:eastAsiaTheme="minorEastAsia" w:hAnsiTheme="minorHAnsi" w:cstheme="minorBidi"/>
              <w:b w:val="0"/>
              <w:noProof/>
              <w:sz w:val="22"/>
              <w:lang w:eastAsia="en-AU"/>
            </w:rPr>
          </w:pPr>
          <w:hyperlink w:anchor="_Toc133493839" w:history="1">
            <w:r w:rsidR="00056FD1" w:rsidRPr="00993E08">
              <w:rPr>
                <w:rStyle w:val="Hyperlink"/>
                <w:noProof/>
              </w:rPr>
              <w:t>Outcome</w:t>
            </w:r>
            <w:r w:rsidR="00056FD1">
              <w:rPr>
                <w:noProof/>
                <w:webHidden/>
              </w:rPr>
              <w:tab/>
            </w:r>
            <w:r w:rsidR="00056FD1">
              <w:rPr>
                <w:noProof/>
                <w:webHidden/>
              </w:rPr>
              <w:fldChar w:fldCharType="begin"/>
            </w:r>
            <w:r w:rsidR="00056FD1">
              <w:rPr>
                <w:noProof/>
                <w:webHidden/>
              </w:rPr>
              <w:instrText xml:space="preserve"> PAGEREF _Toc133493839 \h </w:instrText>
            </w:r>
            <w:r w:rsidR="00056FD1">
              <w:rPr>
                <w:noProof/>
                <w:webHidden/>
              </w:rPr>
            </w:r>
            <w:r w:rsidR="00056FD1">
              <w:rPr>
                <w:noProof/>
                <w:webHidden/>
              </w:rPr>
              <w:fldChar w:fldCharType="separate"/>
            </w:r>
            <w:r w:rsidR="001637C8">
              <w:rPr>
                <w:noProof/>
                <w:webHidden/>
              </w:rPr>
              <w:t>38</w:t>
            </w:r>
            <w:r w:rsidR="00056FD1">
              <w:rPr>
                <w:noProof/>
                <w:webHidden/>
              </w:rPr>
              <w:fldChar w:fldCharType="end"/>
            </w:r>
          </w:hyperlink>
        </w:p>
        <w:p w14:paraId="2997A232" w14:textId="6F9BC490" w:rsidR="00056FD1" w:rsidRDefault="00410DA8">
          <w:pPr>
            <w:pStyle w:val="TOC2"/>
            <w:rPr>
              <w:rFonts w:asciiTheme="minorHAnsi" w:eastAsiaTheme="minorEastAsia" w:hAnsiTheme="minorHAnsi" w:cstheme="minorBidi"/>
              <w:b w:val="0"/>
              <w:noProof/>
              <w:sz w:val="22"/>
              <w:lang w:eastAsia="en-AU"/>
            </w:rPr>
          </w:pPr>
          <w:hyperlink w:anchor="_Toc133493840" w:history="1">
            <w:r w:rsidR="00056FD1" w:rsidRPr="00993E08">
              <w:rPr>
                <w:rStyle w:val="Hyperlink"/>
                <w:noProof/>
              </w:rPr>
              <w:t>Specific conditions of registration applying to these goods</w:t>
            </w:r>
            <w:r w:rsidR="00056FD1">
              <w:rPr>
                <w:noProof/>
                <w:webHidden/>
              </w:rPr>
              <w:tab/>
            </w:r>
            <w:r w:rsidR="00056FD1">
              <w:rPr>
                <w:noProof/>
                <w:webHidden/>
              </w:rPr>
              <w:fldChar w:fldCharType="begin"/>
            </w:r>
            <w:r w:rsidR="00056FD1">
              <w:rPr>
                <w:noProof/>
                <w:webHidden/>
              </w:rPr>
              <w:instrText xml:space="preserve"> PAGEREF _Toc133493840 \h </w:instrText>
            </w:r>
            <w:r w:rsidR="00056FD1">
              <w:rPr>
                <w:noProof/>
                <w:webHidden/>
              </w:rPr>
            </w:r>
            <w:r w:rsidR="00056FD1">
              <w:rPr>
                <w:noProof/>
                <w:webHidden/>
              </w:rPr>
              <w:fldChar w:fldCharType="separate"/>
            </w:r>
            <w:r w:rsidR="001637C8">
              <w:rPr>
                <w:noProof/>
                <w:webHidden/>
              </w:rPr>
              <w:t>38</w:t>
            </w:r>
            <w:r w:rsidR="00056FD1">
              <w:rPr>
                <w:noProof/>
                <w:webHidden/>
              </w:rPr>
              <w:fldChar w:fldCharType="end"/>
            </w:r>
          </w:hyperlink>
        </w:p>
        <w:p w14:paraId="39361D2C" w14:textId="53F0401A" w:rsidR="00056FD1" w:rsidRDefault="00410DA8">
          <w:pPr>
            <w:pStyle w:val="TOC1"/>
            <w:rPr>
              <w:rFonts w:asciiTheme="minorHAnsi" w:eastAsiaTheme="minorEastAsia" w:hAnsiTheme="minorHAnsi" w:cstheme="minorBidi"/>
              <w:b w:val="0"/>
              <w:noProof/>
              <w:sz w:val="22"/>
              <w:lang w:eastAsia="en-AU"/>
            </w:rPr>
          </w:pPr>
          <w:hyperlink w:anchor="_Toc133493841" w:history="1">
            <w:r w:rsidR="00056FD1" w:rsidRPr="00993E08">
              <w:rPr>
                <w:rStyle w:val="Hyperlink"/>
                <w:noProof/>
              </w:rPr>
              <w:t>Attachment 1. Product Information</w:t>
            </w:r>
            <w:r w:rsidR="00056FD1">
              <w:rPr>
                <w:noProof/>
                <w:webHidden/>
              </w:rPr>
              <w:tab/>
            </w:r>
            <w:r w:rsidR="00056FD1">
              <w:rPr>
                <w:noProof/>
                <w:webHidden/>
              </w:rPr>
              <w:fldChar w:fldCharType="begin"/>
            </w:r>
            <w:r w:rsidR="00056FD1">
              <w:rPr>
                <w:noProof/>
                <w:webHidden/>
              </w:rPr>
              <w:instrText xml:space="preserve"> PAGEREF _Toc133493841 \h </w:instrText>
            </w:r>
            <w:r w:rsidR="00056FD1">
              <w:rPr>
                <w:noProof/>
                <w:webHidden/>
              </w:rPr>
            </w:r>
            <w:r w:rsidR="00056FD1">
              <w:rPr>
                <w:noProof/>
                <w:webHidden/>
              </w:rPr>
              <w:fldChar w:fldCharType="separate"/>
            </w:r>
            <w:r w:rsidR="001637C8">
              <w:rPr>
                <w:noProof/>
                <w:webHidden/>
              </w:rPr>
              <w:t>40</w:t>
            </w:r>
            <w:r w:rsidR="00056FD1">
              <w:rPr>
                <w:noProof/>
                <w:webHidden/>
              </w:rPr>
              <w:fldChar w:fldCharType="end"/>
            </w:r>
          </w:hyperlink>
        </w:p>
        <w:p w14:paraId="01BBB075" w14:textId="6C0A05FC" w:rsidR="003A7F6C" w:rsidRPr="002909BF" w:rsidRDefault="00C525A2" w:rsidP="00EB36D6">
          <w:r w:rsidRPr="002909BF">
            <w:fldChar w:fldCharType="end"/>
          </w:r>
        </w:p>
      </w:sdtContent>
    </w:sdt>
    <w:bookmarkStart w:id="2" w:name="_Toc314842482" w:displacedByCustomXml="prev"/>
    <w:p w14:paraId="186D2FBB" w14:textId="77777777" w:rsidR="00FD119B" w:rsidRPr="002909BF" w:rsidRDefault="00FD119B">
      <w:pPr>
        <w:spacing w:before="0" w:after="200" w:line="0" w:lineRule="auto"/>
      </w:pPr>
      <w:r w:rsidRPr="002909BF">
        <w:br w:type="page"/>
      </w:r>
    </w:p>
    <w:p w14:paraId="2FCCC765" w14:textId="77777777" w:rsidR="00AF2313" w:rsidRPr="002909BF" w:rsidRDefault="00AF2313" w:rsidP="00AF2313">
      <w:pPr>
        <w:pStyle w:val="Heading2"/>
      </w:pPr>
      <w:bookmarkStart w:id="3" w:name="_Toc98931917"/>
      <w:bookmarkStart w:id="4" w:name="_Toc133493826"/>
      <w:r w:rsidRPr="002909BF">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rsidRPr="002909BF" w14:paraId="6BA08C19"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73198696" w14:textId="77777777" w:rsidR="00AF2313" w:rsidRPr="002909BF" w:rsidRDefault="00AF2313">
            <w:pPr>
              <w:rPr>
                <w:color w:val="FFFFFF"/>
              </w:rPr>
            </w:pPr>
            <w:r w:rsidRPr="002909BF">
              <w:t>Abbreviation</w:t>
            </w:r>
          </w:p>
        </w:tc>
        <w:tc>
          <w:tcPr>
            <w:tcW w:w="3282" w:type="pct"/>
            <w:hideMark/>
          </w:tcPr>
          <w:p w14:paraId="354D2566" w14:textId="77777777" w:rsidR="00AF2313" w:rsidRPr="002909BF" w:rsidRDefault="00AF2313">
            <w:r w:rsidRPr="002909BF">
              <w:t>Meaning</w:t>
            </w:r>
          </w:p>
        </w:tc>
      </w:tr>
      <w:tr w:rsidR="00DE4789" w:rsidRPr="002909BF" w14:paraId="2E9F31BA" w14:textId="77777777" w:rsidTr="00DE4789">
        <w:trPr>
          <w:cantSplit/>
        </w:trPr>
        <w:tc>
          <w:tcPr>
            <w:tcW w:w="1013" w:type="pct"/>
            <w:tcBorders>
              <w:top w:val="single" w:sz="8" w:space="0" w:color="002C47"/>
              <w:left w:val="single" w:sz="8" w:space="0" w:color="002C47"/>
              <w:bottom w:val="single" w:sz="8" w:space="0" w:color="002C47"/>
              <w:right w:val="single" w:sz="8" w:space="0" w:color="002C47"/>
            </w:tcBorders>
          </w:tcPr>
          <w:p w14:paraId="092B9751" w14:textId="037EC269" w:rsidR="00DE4789" w:rsidRPr="002909BF" w:rsidRDefault="00DE4789" w:rsidP="00DE4789">
            <w:r>
              <w:t>ACV</w:t>
            </w:r>
          </w:p>
        </w:tc>
        <w:tc>
          <w:tcPr>
            <w:tcW w:w="3987" w:type="pct"/>
            <w:gridSpan w:val="2"/>
            <w:tcBorders>
              <w:top w:val="single" w:sz="8" w:space="0" w:color="002C47"/>
              <w:left w:val="single" w:sz="8" w:space="0" w:color="002C47"/>
              <w:bottom w:val="single" w:sz="8" w:space="0" w:color="002C47"/>
              <w:right w:val="single" w:sz="8" w:space="0" w:color="002C47"/>
            </w:tcBorders>
          </w:tcPr>
          <w:p w14:paraId="6858B832" w14:textId="30F4E653" w:rsidR="00DE4789" w:rsidRPr="002909BF" w:rsidRDefault="00DE4789" w:rsidP="00DE4789">
            <w:r>
              <w:t>Advisory Committee on Vaccines</w:t>
            </w:r>
          </w:p>
        </w:tc>
      </w:tr>
      <w:tr w:rsidR="00DE4789" w:rsidRPr="002909BF" w14:paraId="0578284A" w14:textId="77777777" w:rsidTr="00DE4789">
        <w:trPr>
          <w:cantSplit/>
        </w:trPr>
        <w:tc>
          <w:tcPr>
            <w:tcW w:w="1013" w:type="pct"/>
            <w:tcBorders>
              <w:top w:val="single" w:sz="8" w:space="0" w:color="002C47"/>
              <w:left w:val="single" w:sz="8" w:space="0" w:color="002C47"/>
              <w:bottom w:val="single" w:sz="8" w:space="0" w:color="002C47"/>
              <w:right w:val="single" w:sz="8" w:space="0" w:color="002C47"/>
            </w:tcBorders>
          </w:tcPr>
          <w:p w14:paraId="2C438510" w14:textId="3E34D020" w:rsidR="00DE4789" w:rsidRPr="002909BF" w:rsidRDefault="00DE4789" w:rsidP="00DE4789">
            <w:r>
              <w:t>ARTG</w:t>
            </w:r>
          </w:p>
        </w:tc>
        <w:tc>
          <w:tcPr>
            <w:tcW w:w="3987" w:type="pct"/>
            <w:gridSpan w:val="2"/>
            <w:tcBorders>
              <w:top w:val="single" w:sz="8" w:space="0" w:color="002C47"/>
              <w:left w:val="single" w:sz="8" w:space="0" w:color="002C47"/>
              <w:bottom w:val="single" w:sz="8" w:space="0" w:color="002C47"/>
              <w:right w:val="single" w:sz="8" w:space="0" w:color="002C47"/>
            </w:tcBorders>
          </w:tcPr>
          <w:p w14:paraId="35547E25" w14:textId="0B212A87" w:rsidR="00DE4789" w:rsidRPr="002909BF" w:rsidRDefault="00DE4789" w:rsidP="00DE4789">
            <w:r>
              <w:t>Australian Register of Therapeutic Goods</w:t>
            </w:r>
          </w:p>
        </w:tc>
      </w:tr>
      <w:tr w:rsidR="00DE4789" w:rsidRPr="002909BF" w14:paraId="5BC1CBF8" w14:textId="77777777" w:rsidTr="00DE4789">
        <w:trPr>
          <w:cantSplit/>
        </w:trPr>
        <w:tc>
          <w:tcPr>
            <w:tcW w:w="1013" w:type="pct"/>
            <w:tcBorders>
              <w:top w:val="single" w:sz="8" w:space="0" w:color="002C47"/>
              <w:left w:val="single" w:sz="8" w:space="0" w:color="002C47"/>
              <w:bottom w:val="single" w:sz="8" w:space="0" w:color="002C47"/>
              <w:right w:val="single" w:sz="8" w:space="0" w:color="002C47"/>
            </w:tcBorders>
          </w:tcPr>
          <w:p w14:paraId="6DAE4000" w14:textId="12693AC9" w:rsidR="00DE4789" w:rsidRPr="002909BF" w:rsidRDefault="00DE4789" w:rsidP="00DE4789">
            <w:r>
              <w:t>ASA</w:t>
            </w:r>
          </w:p>
        </w:tc>
        <w:tc>
          <w:tcPr>
            <w:tcW w:w="3987" w:type="pct"/>
            <w:gridSpan w:val="2"/>
            <w:tcBorders>
              <w:top w:val="single" w:sz="8" w:space="0" w:color="002C47"/>
              <w:left w:val="single" w:sz="8" w:space="0" w:color="002C47"/>
              <w:bottom w:val="single" w:sz="8" w:space="0" w:color="002C47"/>
              <w:right w:val="single" w:sz="8" w:space="0" w:color="002C47"/>
            </w:tcBorders>
          </w:tcPr>
          <w:p w14:paraId="50DA24C7" w14:textId="6A00FE45" w:rsidR="00DE4789" w:rsidRPr="002909BF" w:rsidRDefault="00DE4789" w:rsidP="00DE4789">
            <w:r>
              <w:t>Australia specific annex</w:t>
            </w:r>
          </w:p>
        </w:tc>
      </w:tr>
      <w:tr w:rsidR="00DE4789" w:rsidRPr="002909BF" w14:paraId="7C300C4C" w14:textId="77777777" w:rsidTr="00DE4789">
        <w:trPr>
          <w:cantSplit/>
        </w:trPr>
        <w:tc>
          <w:tcPr>
            <w:tcW w:w="1013" w:type="pct"/>
            <w:tcBorders>
              <w:top w:val="single" w:sz="8" w:space="0" w:color="002C47"/>
              <w:left w:val="single" w:sz="8" w:space="0" w:color="002C47"/>
              <w:bottom w:val="single" w:sz="8" w:space="0" w:color="002C47"/>
              <w:right w:val="single" w:sz="8" w:space="0" w:color="002C47"/>
            </w:tcBorders>
          </w:tcPr>
          <w:p w14:paraId="34BAD597" w14:textId="43278152" w:rsidR="00DE4789" w:rsidRPr="002909BF" w:rsidRDefault="00DE4789" w:rsidP="00DE4789">
            <w:r w:rsidRPr="007D4DF7">
              <w:t>CI</w:t>
            </w:r>
          </w:p>
        </w:tc>
        <w:tc>
          <w:tcPr>
            <w:tcW w:w="3987" w:type="pct"/>
            <w:gridSpan w:val="2"/>
            <w:tcBorders>
              <w:top w:val="single" w:sz="8" w:space="0" w:color="002C47"/>
              <w:left w:val="single" w:sz="8" w:space="0" w:color="002C47"/>
              <w:bottom w:val="single" w:sz="8" w:space="0" w:color="002C47"/>
              <w:right w:val="single" w:sz="8" w:space="0" w:color="002C47"/>
            </w:tcBorders>
          </w:tcPr>
          <w:p w14:paraId="7EA0DC4A" w14:textId="4FAECE2A" w:rsidR="00DE4789" w:rsidRPr="002909BF" w:rsidRDefault="003248B0" w:rsidP="00DE4789">
            <w:r w:rsidRPr="007D4DF7">
              <w:t xml:space="preserve">Confidence </w:t>
            </w:r>
            <w:r w:rsidR="00DE4789" w:rsidRPr="007D4DF7">
              <w:t>interval</w:t>
            </w:r>
          </w:p>
        </w:tc>
      </w:tr>
      <w:tr w:rsidR="00DE4789" w:rsidRPr="002909BF" w14:paraId="4AE2B79F" w14:textId="77777777" w:rsidTr="00DE4789">
        <w:trPr>
          <w:cantSplit/>
        </w:trPr>
        <w:tc>
          <w:tcPr>
            <w:tcW w:w="1013" w:type="pct"/>
            <w:tcBorders>
              <w:top w:val="single" w:sz="8" w:space="0" w:color="002C47"/>
              <w:left w:val="single" w:sz="8" w:space="0" w:color="002C47"/>
              <w:bottom w:val="single" w:sz="8" w:space="0" w:color="002C47"/>
              <w:right w:val="single" w:sz="8" w:space="0" w:color="002C47"/>
            </w:tcBorders>
          </w:tcPr>
          <w:p w14:paraId="5A54C4E8" w14:textId="51EDAFD5" w:rsidR="00DE4789" w:rsidRPr="002909BF" w:rsidRDefault="00DE4789" w:rsidP="00DE4789">
            <w:r w:rsidRPr="00087997">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0112D785" w14:textId="267F5A51" w:rsidR="00DE4789" w:rsidRPr="002909BF" w:rsidRDefault="00DE4789" w:rsidP="00DE4789">
            <w:r w:rsidRPr="00087997">
              <w:t>Consumer Medicines Information</w:t>
            </w:r>
          </w:p>
        </w:tc>
      </w:tr>
      <w:tr w:rsidR="003248B0" w:rsidRPr="002909BF" w14:paraId="55ECB66C" w14:textId="77777777" w:rsidTr="00DE4789">
        <w:trPr>
          <w:cantSplit/>
        </w:trPr>
        <w:tc>
          <w:tcPr>
            <w:tcW w:w="1013" w:type="pct"/>
            <w:tcBorders>
              <w:top w:val="single" w:sz="8" w:space="0" w:color="002C47"/>
              <w:left w:val="single" w:sz="8" w:space="0" w:color="002C47"/>
              <w:bottom w:val="single" w:sz="8" w:space="0" w:color="002C47"/>
              <w:right w:val="single" w:sz="8" w:space="0" w:color="002C47"/>
            </w:tcBorders>
          </w:tcPr>
          <w:p w14:paraId="601A8E42" w14:textId="2272646A" w:rsidR="003248B0" w:rsidRPr="00087997" w:rsidRDefault="003248B0" w:rsidP="00DE4789">
            <w:r w:rsidRPr="003248B0">
              <w:t>GMTR</w:t>
            </w:r>
          </w:p>
        </w:tc>
        <w:tc>
          <w:tcPr>
            <w:tcW w:w="3987" w:type="pct"/>
            <w:gridSpan w:val="2"/>
            <w:tcBorders>
              <w:top w:val="single" w:sz="8" w:space="0" w:color="002C47"/>
              <w:left w:val="single" w:sz="8" w:space="0" w:color="002C47"/>
              <w:bottom w:val="single" w:sz="8" w:space="0" w:color="002C47"/>
              <w:right w:val="single" w:sz="8" w:space="0" w:color="002C47"/>
            </w:tcBorders>
          </w:tcPr>
          <w:p w14:paraId="75D05F80" w14:textId="0A064AD4" w:rsidR="003248B0" w:rsidRPr="00087997" w:rsidRDefault="003248B0" w:rsidP="00DE4789">
            <w:r w:rsidRPr="003248B0">
              <w:t>Geometric mean titre ratio</w:t>
            </w:r>
          </w:p>
        </w:tc>
      </w:tr>
      <w:tr w:rsidR="00DE4789" w:rsidRPr="002909BF" w14:paraId="2D90B1DD" w14:textId="77777777" w:rsidTr="00DE4789">
        <w:trPr>
          <w:cantSplit/>
        </w:trPr>
        <w:tc>
          <w:tcPr>
            <w:tcW w:w="1013" w:type="pct"/>
            <w:tcBorders>
              <w:top w:val="single" w:sz="8" w:space="0" w:color="002C47"/>
              <w:left w:val="single" w:sz="8" w:space="0" w:color="002C47"/>
              <w:bottom w:val="single" w:sz="8" w:space="0" w:color="002C47"/>
              <w:right w:val="single" w:sz="8" w:space="0" w:color="002C47"/>
            </w:tcBorders>
          </w:tcPr>
          <w:p w14:paraId="76AB3257" w14:textId="7EB8AA64" w:rsidR="00DE4789" w:rsidRPr="002909BF" w:rsidRDefault="00DE4789" w:rsidP="00DE4789">
            <w:r>
              <w:t>DLP</w:t>
            </w:r>
          </w:p>
        </w:tc>
        <w:tc>
          <w:tcPr>
            <w:tcW w:w="3987" w:type="pct"/>
            <w:gridSpan w:val="2"/>
            <w:tcBorders>
              <w:top w:val="single" w:sz="8" w:space="0" w:color="002C47"/>
              <w:left w:val="single" w:sz="8" w:space="0" w:color="002C47"/>
              <w:bottom w:val="single" w:sz="8" w:space="0" w:color="002C47"/>
              <w:right w:val="single" w:sz="8" w:space="0" w:color="002C47"/>
            </w:tcBorders>
          </w:tcPr>
          <w:p w14:paraId="20B72845" w14:textId="0D6DBDC9" w:rsidR="00DE4789" w:rsidRPr="002909BF" w:rsidRDefault="00DE4789" w:rsidP="00DE4789">
            <w:r>
              <w:t>Data lock point</w:t>
            </w:r>
          </w:p>
        </w:tc>
      </w:tr>
      <w:tr w:rsidR="00DE4789" w:rsidRPr="002909BF" w14:paraId="5BA8A512" w14:textId="77777777" w:rsidTr="00DE4789">
        <w:trPr>
          <w:cantSplit/>
        </w:trPr>
        <w:tc>
          <w:tcPr>
            <w:tcW w:w="1013" w:type="pct"/>
            <w:tcBorders>
              <w:top w:val="single" w:sz="8" w:space="0" w:color="002C47"/>
              <w:left w:val="single" w:sz="8" w:space="0" w:color="002C47"/>
              <w:bottom w:val="single" w:sz="8" w:space="0" w:color="002C47"/>
              <w:right w:val="single" w:sz="8" w:space="0" w:color="002C47"/>
            </w:tcBorders>
          </w:tcPr>
          <w:p w14:paraId="23043A1D" w14:textId="46167A72" w:rsidR="00DE4789" w:rsidRPr="002909BF" w:rsidRDefault="00DE4789" w:rsidP="00DE4789">
            <w:r w:rsidRPr="00087997">
              <w:t>EU</w:t>
            </w:r>
          </w:p>
        </w:tc>
        <w:tc>
          <w:tcPr>
            <w:tcW w:w="3987" w:type="pct"/>
            <w:gridSpan w:val="2"/>
            <w:tcBorders>
              <w:top w:val="single" w:sz="8" w:space="0" w:color="002C47"/>
              <w:left w:val="single" w:sz="8" w:space="0" w:color="002C47"/>
              <w:bottom w:val="single" w:sz="8" w:space="0" w:color="002C47"/>
              <w:right w:val="single" w:sz="8" w:space="0" w:color="002C47"/>
            </w:tcBorders>
          </w:tcPr>
          <w:p w14:paraId="7436214E" w14:textId="67644A9E" w:rsidR="00DE4789" w:rsidRPr="002909BF" w:rsidRDefault="00DE4789" w:rsidP="00DE4789">
            <w:r w:rsidRPr="00087997">
              <w:t>European Union</w:t>
            </w:r>
          </w:p>
        </w:tc>
      </w:tr>
      <w:tr w:rsidR="00DE4789" w:rsidRPr="002909BF" w14:paraId="50A7DC5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FD18791" w14:textId="0D8F7C1F" w:rsidR="00DE4789" w:rsidRPr="002909BF" w:rsidRDefault="00DE4789" w:rsidP="00DE4789">
            <w:pPr>
              <w:rPr>
                <w:color w:val="000000"/>
              </w:rPr>
            </w:pPr>
            <w:r w:rsidRPr="00D40B51">
              <w:t>GMP</w:t>
            </w:r>
          </w:p>
        </w:tc>
        <w:tc>
          <w:tcPr>
            <w:tcW w:w="3987" w:type="pct"/>
            <w:gridSpan w:val="2"/>
            <w:tcBorders>
              <w:top w:val="single" w:sz="8" w:space="0" w:color="002C47"/>
              <w:left w:val="single" w:sz="8" w:space="0" w:color="002C47"/>
              <w:bottom w:val="single" w:sz="8" w:space="0" w:color="002C47"/>
              <w:right w:val="single" w:sz="8" w:space="0" w:color="002C47"/>
            </w:tcBorders>
          </w:tcPr>
          <w:p w14:paraId="544AB252" w14:textId="1B370746" w:rsidR="00DE4789" w:rsidRPr="002909BF" w:rsidRDefault="00DE4789" w:rsidP="00DE4789">
            <w:pPr>
              <w:rPr>
                <w:color w:val="000000"/>
              </w:rPr>
            </w:pPr>
            <w:r w:rsidRPr="00D40B51">
              <w:t>Good Manufacturing Practice</w:t>
            </w:r>
            <w:r w:rsidR="00C216AC">
              <w:t>(s)</w:t>
            </w:r>
          </w:p>
        </w:tc>
      </w:tr>
      <w:tr w:rsidR="00DE4789" w:rsidRPr="002909BF" w14:paraId="103A6F7D"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52BBD1D0" w14:textId="1EF37338" w:rsidR="00DE4789" w:rsidRPr="002909BF" w:rsidRDefault="00DE4789" w:rsidP="00DE4789">
            <w:r w:rsidRPr="007D4DF7">
              <w:t>GMT</w:t>
            </w:r>
          </w:p>
        </w:tc>
        <w:tc>
          <w:tcPr>
            <w:tcW w:w="3987" w:type="pct"/>
            <w:gridSpan w:val="2"/>
            <w:tcBorders>
              <w:top w:val="single" w:sz="8" w:space="0" w:color="002C47"/>
              <w:left w:val="single" w:sz="8" w:space="0" w:color="002C47"/>
              <w:bottom w:val="single" w:sz="8" w:space="0" w:color="002C47"/>
              <w:right w:val="single" w:sz="8" w:space="0" w:color="002C47"/>
            </w:tcBorders>
          </w:tcPr>
          <w:p w14:paraId="0A6CEFDC" w14:textId="7C97E4E3" w:rsidR="00DE4789" w:rsidRPr="002909BF" w:rsidRDefault="00DE4789" w:rsidP="00DE4789">
            <w:r w:rsidRPr="007D4DF7">
              <w:t>Geometric mean titre</w:t>
            </w:r>
          </w:p>
        </w:tc>
      </w:tr>
      <w:tr w:rsidR="00DE4789" w:rsidRPr="002909BF" w14:paraId="3FD10B3E"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2CD3DA77" w14:textId="6A34C57C" w:rsidR="00DE4789" w:rsidRPr="002909BF" w:rsidRDefault="00DE4789" w:rsidP="00DE4789">
            <w:pPr>
              <w:rPr>
                <w:color w:val="000000"/>
              </w:rPr>
            </w:pPr>
            <w:r w:rsidRPr="00087997">
              <w:t>GVP</w:t>
            </w:r>
          </w:p>
        </w:tc>
        <w:tc>
          <w:tcPr>
            <w:tcW w:w="3987" w:type="pct"/>
            <w:gridSpan w:val="2"/>
            <w:tcBorders>
              <w:top w:val="single" w:sz="8" w:space="0" w:color="002C47"/>
              <w:left w:val="single" w:sz="8" w:space="0" w:color="002C47"/>
              <w:bottom w:val="single" w:sz="8" w:space="0" w:color="002C47"/>
              <w:right w:val="single" w:sz="8" w:space="0" w:color="002C47"/>
            </w:tcBorders>
          </w:tcPr>
          <w:p w14:paraId="5670C8B7" w14:textId="05890AFB" w:rsidR="00DE4789" w:rsidRPr="002909BF" w:rsidRDefault="00DE4789" w:rsidP="00DE4789">
            <w:r w:rsidRPr="00087997">
              <w:t>Good Pharmacovigilance Practices</w:t>
            </w:r>
          </w:p>
        </w:tc>
      </w:tr>
      <w:tr w:rsidR="00DE4789" w:rsidRPr="002909BF" w14:paraId="71CD8625"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6DFAF11E" w14:textId="74A0263C" w:rsidR="00DE4789" w:rsidRPr="00087997" w:rsidRDefault="00DE4789" w:rsidP="00DE4789">
            <w:r w:rsidRPr="00F11B58">
              <w:t>IU</w:t>
            </w:r>
          </w:p>
        </w:tc>
        <w:tc>
          <w:tcPr>
            <w:tcW w:w="3987" w:type="pct"/>
            <w:gridSpan w:val="2"/>
            <w:tcBorders>
              <w:top w:val="single" w:sz="8" w:space="0" w:color="002C47"/>
              <w:left w:val="single" w:sz="8" w:space="0" w:color="002C47"/>
              <w:bottom w:val="single" w:sz="8" w:space="0" w:color="002C47"/>
              <w:right w:val="single" w:sz="8" w:space="0" w:color="002C47"/>
            </w:tcBorders>
          </w:tcPr>
          <w:p w14:paraId="4F00EE94" w14:textId="3EE7C21C" w:rsidR="00DE4789" w:rsidRPr="00087997" w:rsidRDefault="00DE4789" w:rsidP="00DE4789">
            <w:r>
              <w:t>I</w:t>
            </w:r>
            <w:r w:rsidRPr="00F11B58">
              <w:t>nternational unit</w:t>
            </w:r>
            <w:r>
              <w:t>(</w:t>
            </w:r>
            <w:r w:rsidRPr="00F11B58">
              <w:t>s</w:t>
            </w:r>
            <w:r>
              <w:t>)</w:t>
            </w:r>
          </w:p>
        </w:tc>
      </w:tr>
      <w:tr w:rsidR="007D7576" w:rsidRPr="002909BF" w14:paraId="17E4E3E6"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0C563FF1" w14:textId="37E7807A" w:rsidR="007D7576" w:rsidRPr="00F11B58" w:rsidRDefault="007D7576" w:rsidP="00DE4789">
            <w:r w:rsidRPr="007D7576">
              <w:t>MedDRA</w:t>
            </w:r>
          </w:p>
        </w:tc>
        <w:tc>
          <w:tcPr>
            <w:tcW w:w="3987" w:type="pct"/>
            <w:gridSpan w:val="2"/>
            <w:tcBorders>
              <w:top w:val="single" w:sz="8" w:space="0" w:color="002C47"/>
              <w:left w:val="single" w:sz="8" w:space="0" w:color="002C47"/>
              <w:bottom w:val="single" w:sz="8" w:space="0" w:color="002C47"/>
              <w:right w:val="single" w:sz="8" w:space="0" w:color="002C47"/>
            </w:tcBorders>
          </w:tcPr>
          <w:p w14:paraId="63DFB30D" w14:textId="21A7D6B3" w:rsidR="007D7576" w:rsidRDefault="007D7576" w:rsidP="00DE4789">
            <w:r w:rsidRPr="007D7576">
              <w:t>Medical Dictionary for Regulatory Activities</w:t>
            </w:r>
          </w:p>
        </w:tc>
      </w:tr>
      <w:tr w:rsidR="00DE4789" w:rsidRPr="002909BF" w14:paraId="2DAA28BA"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070146BB" w14:textId="73E922C3" w:rsidR="00DE4789" w:rsidRPr="00F11B58" w:rsidRDefault="00DE4789" w:rsidP="00DE4789">
            <w:r w:rsidRPr="00087997">
              <w:t>OCABR</w:t>
            </w:r>
          </w:p>
        </w:tc>
        <w:tc>
          <w:tcPr>
            <w:tcW w:w="3987" w:type="pct"/>
            <w:gridSpan w:val="2"/>
            <w:tcBorders>
              <w:top w:val="single" w:sz="8" w:space="0" w:color="002C47"/>
              <w:left w:val="single" w:sz="8" w:space="0" w:color="002C47"/>
              <w:bottom w:val="single" w:sz="8" w:space="0" w:color="002C47"/>
              <w:right w:val="single" w:sz="8" w:space="0" w:color="002C47"/>
            </w:tcBorders>
          </w:tcPr>
          <w:p w14:paraId="57031E31" w14:textId="51E77FB6" w:rsidR="00DE4789" w:rsidRDefault="00DE4789" w:rsidP="00DE4789">
            <w:r w:rsidRPr="00087997">
              <w:t>Official Control Authority Batch Release (</w:t>
            </w:r>
            <w:r>
              <w:t>European Union</w:t>
            </w:r>
            <w:r w:rsidRPr="00087997">
              <w:t>)</w:t>
            </w:r>
          </w:p>
        </w:tc>
      </w:tr>
      <w:tr w:rsidR="00DE4789" w:rsidRPr="002909BF" w14:paraId="0CC693B3"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2C024865" w14:textId="391CEF74" w:rsidR="00DE4789" w:rsidRPr="00087997" w:rsidRDefault="00DE4789" w:rsidP="00DE4789">
            <w:r w:rsidRPr="00F11B58">
              <w:t>PEP</w:t>
            </w:r>
          </w:p>
        </w:tc>
        <w:tc>
          <w:tcPr>
            <w:tcW w:w="3987" w:type="pct"/>
            <w:gridSpan w:val="2"/>
            <w:tcBorders>
              <w:top w:val="single" w:sz="8" w:space="0" w:color="002C47"/>
              <w:left w:val="single" w:sz="8" w:space="0" w:color="002C47"/>
              <w:bottom w:val="single" w:sz="8" w:space="0" w:color="002C47"/>
              <w:right w:val="single" w:sz="8" w:space="0" w:color="002C47"/>
            </w:tcBorders>
          </w:tcPr>
          <w:p w14:paraId="6EA00AAD" w14:textId="261AFC2D" w:rsidR="00DE4789" w:rsidRPr="00087997" w:rsidRDefault="00DE4789" w:rsidP="00DE4789">
            <w:r w:rsidRPr="00F11B58">
              <w:t>Post-exposure prophylaxis</w:t>
            </w:r>
          </w:p>
        </w:tc>
      </w:tr>
      <w:tr w:rsidR="00DE4789" w:rsidRPr="002909BF" w14:paraId="4D4C61A4"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1976FBC3" w14:textId="064AA866" w:rsidR="00DE4789" w:rsidRPr="00F11B58" w:rsidRDefault="00DE4789" w:rsidP="00DE4789">
            <w:r w:rsidRPr="00831604">
              <w:t>PI</w:t>
            </w:r>
          </w:p>
        </w:tc>
        <w:tc>
          <w:tcPr>
            <w:tcW w:w="3987" w:type="pct"/>
            <w:gridSpan w:val="2"/>
            <w:tcBorders>
              <w:top w:val="single" w:sz="8" w:space="0" w:color="002C47"/>
              <w:left w:val="single" w:sz="8" w:space="0" w:color="002C47"/>
              <w:bottom w:val="single" w:sz="8" w:space="0" w:color="002C47"/>
              <w:right w:val="single" w:sz="8" w:space="0" w:color="002C47"/>
            </w:tcBorders>
          </w:tcPr>
          <w:p w14:paraId="04A51CBE" w14:textId="792B0008" w:rsidR="00DE4789" w:rsidRPr="00F11B58" w:rsidRDefault="00DE4789" w:rsidP="00DE4789">
            <w:r w:rsidRPr="00831604">
              <w:t>Product Information</w:t>
            </w:r>
          </w:p>
        </w:tc>
      </w:tr>
      <w:tr w:rsidR="00DE4789" w:rsidRPr="002909BF" w14:paraId="50095119"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25C985D6" w14:textId="10790553" w:rsidR="00DE4789" w:rsidRPr="00831604" w:rsidRDefault="00DE4789" w:rsidP="00DE4789">
            <w:r w:rsidRPr="00F11B58">
              <w:t>PrEP</w:t>
            </w:r>
          </w:p>
        </w:tc>
        <w:tc>
          <w:tcPr>
            <w:tcW w:w="3987" w:type="pct"/>
            <w:gridSpan w:val="2"/>
            <w:tcBorders>
              <w:top w:val="single" w:sz="8" w:space="0" w:color="002C47"/>
              <w:left w:val="single" w:sz="8" w:space="0" w:color="002C47"/>
              <w:bottom w:val="single" w:sz="8" w:space="0" w:color="002C47"/>
              <w:right w:val="single" w:sz="8" w:space="0" w:color="002C47"/>
            </w:tcBorders>
          </w:tcPr>
          <w:p w14:paraId="3F202A73" w14:textId="22FAD60E" w:rsidR="00DE4789" w:rsidRPr="00831604" w:rsidRDefault="00DE4789" w:rsidP="00C216AC">
            <w:r>
              <w:t>P</w:t>
            </w:r>
            <w:r w:rsidRPr="00F11B58">
              <w:t>re-exposure prophylaxis</w:t>
            </w:r>
          </w:p>
        </w:tc>
      </w:tr>
      <w:tr w:rsidR="00DE4789" w:rsidRPr="002909BF" w14:paraId="676A5B0E"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62FD5D6A" w14:textId="76341661" w:rsidR="00DE4789" w:rsidRPr="00F11B58" w:rsidRDefault="00DE4789" w:rsidP="00DE4789">
            <w:r w:rsidRPr="00087997">
              <w:t>PSUR</w:t>
            </w:r>
          </w:p>
        </w:tc>
        <w:tc>
          <w:tcPr>
            <w:tcW w:w="3987" w:type="pct"/>
            <w:gridSpan w:val="2"/>
            <w:tcBorders>
              <w:top w:val="single" w:sz="8" w:space="0" w:color="002C47"/>
              <w:left w:val="single" w:sz="8" w:space="0" w:color="002C47"/>
              <w:bottom w:val="single" w:sz="8" w:space="0" w:color="002C47"/>
              <w:right w:val="single" w:sz="8" w:space="0" w:color="002C47"/>
            </w:tcBorders>
          </w:tcPr>
          <w:p w14:paraId="2CF5A93D" w14:textId="474B6F77" w:rsidR="00DE4789" w:rsidRDefault="00DE4789" w:rsidP="00DE4789">
            <w:r>
              <w:t>P</w:t>
            </w:r>
            <w:r w:rsidRPr="00087997">
              <w:t>eriodic safety update report</w:t>
            </w:r>
          </w:p>
        </w:tc>
      </w:tr>
      <w:tr w:rsidR="00DE4789" w:rsidRPr="002909BF" w14:paraId="1C5D69E0"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797C51CF" w14:textId="46B36D86" w:rsidR="00DE4789" w:rsidRPr="00087997" w:rsidRDefault="00DE4789" w:rsidP="00DE4789">
            <w:r>
              <w:t>PVRV</w:t>
            </w:r>
          </w:p>
        </w:tc>
        <w:tc>
          <w:tcPr>
            <w:tcW w:w="3987" w:type="pct"/>
            <w:gridSpan w:val="2"/>
            <w:tcBorders>
              <w:top w:val="single" w:sz="8" w:space="0" w:color="002C47"/>
              <w:left w:val="single" w:sz="8" w:space="0" w:color="002C47"/>
              <w:bottom w:val="single" w:sz="8" w:space="0" w:color="002C47"/>
              <w:right w:val="single" w:sz="8" w:space="0" w:color="002C47"/>
            </w:tcBorders>
          </w:tcPr>
          <w:p w14:paraId="315B7327" w14:textId="1C98D490" w:rsidR="00DE4789" w:rsidRDefault="003248B0" w:rsidP="00DE4789">
            <w:r w:rsidRPr="0081430A">
              <w:t xml:space="preserve">Purified </w:t>
            </w:r>
            <w:r w:rsidR="00DE4789" w:rsidRPr="0081430A">
              <w:t>Vero cell rabies vaccine</w:t>
            </w:r>
          </w:p>
        </w:tc>
      </w:tr>
      <w:tr w:rsidR="00DE4789" w:rsidRPr="002909BF" w14:paraId="2532A640"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6573687F" w14:textId="2320BE0B" w:rsidR="00DE4789" w:rsidRDefault="00DE4789" w:rsidP="00DE4789">
            <w:r>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177CAE2D" w14:textId="3A2768D7" w:rsidR="00DE4789" w:rsidRPr="0081430A" w:rsidRDefault="00DE4789" w:rsidP="00DE4789">
            <w:r>
              <w:t>Risk management plan</w:t>
            </w:r>
          </w:p>
        </w:tc>
      </w:tr>
      <w:tr w:rsidR="00BB6B61" w:rsidRPr="002909BF" w14:paraId="4F82ADC5"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1BB7A00D" w14:textId="7F9DF81A" w:rsidR="00BB6B61" w:rsidRDefault="00BB6B61" w:rsidP="00DE4789">
            <w:r w:rsidRPr="00BB6B61">
              <w:t>SMQ</w:t>
            </w:r>
          </w:p>
        </w:tc>
        <w:tc>
          <w:tcPr>
            <w:tcW w:w="3987" w:type="pct"/>
            <w:gridSpan w:val="2"/>
            <w:tcBorders>
              <w:top w:val="single" w:sz="8" w:space="0" w:color="002C47"/>
              <w:left w:val="single" w:sz="8" w:space="0" w:color="002C47"/>
              <w:bottom w:val="single" w:sz="8" w:space="0" w:color="002C47"/>
              <w:right w:val="single" w:sz="8" w:space="0" w:color="002C47"/>
            </w:tcBorders>
          </w:tcPr>
          <w:p w14:paraId="6E83C0A7" w14:textId="24D3A9EF" w:rsidR="00BB6B61" w:rsidRDefault="00BB6B61" w:rsidP="00DE4789">
            <w:r w:rsidRPr="00BB6B61">
              <w:t>Standardised MedDRA Query</w:t>
            </w:r>
          </w:p>
        </w:tc>
      </w:tr>
      <w:tr w:rsidR="00DE4789" w:rsidRPr="002909BF" w14:paraId="1518EAD5"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3486CA4F" w14:textId="77F5BA84" w:rsidR="00DE4789" w:rsidRDefault="00DE4789" w:rsidP="00DE4789">
            <w:r>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320C189C" w14:textId="290146F0" w:rsidR="00DE4789" w:rsidRDefault="00DE4789" w:rsidP="00DE4789">
            <w:r>
              <w:t>Therapeutic Goods Administration</w:t>
            </w:r>
          </w:p>
        </w:tc>
      </w:tr>
      <w:tr w:rsidR="00AA1A08" w:rsidRPr="002909BF" w14:paraId="193E786D"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576C6120" w14:textId="5E6ADE73" w:rsidR="00AA1A08" w:rsidRDefault="00AA1A08" w:rsidP="00DE4789">
            <w:proofErr w:type="spellStart"/>
            <w:r w:rsidRPr="00AA1A08">
              <w:t>VRVg</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73D6F9EA" w14:textId="30F98C0E" w:rsidR="00AA1A08" w:rsidRDefault="00AA1A08" w:rsidP="00DE4789">
            <w:r>
              <w:t>S</w:t>
            </w:r>
            <w:r w:rsidRPr="00AA1A08">
              <w:t>erum free purified Vero rabies vaccine</w:t>
            </w:r>
          </w:p>
        </w:tc>
      </w:tr>
      <w:tr w:rsidR="00DE4789" w:rsidRPr="002909BF" w14:paraId="407D05BD" w14:textId="77777777" w:rsidTr="00401E59">
        <w:trPr>
          <w:cantSplit/>
        </w:trPr>
        <w:tc>
          <w:tcPr>
            <w:tcW w:w="1013" w:type="pct"/>
            <w:tcBorders>
              <w:top w:val="single" w:sz="8" w:space="0" w:color="002C47"/>
              <w:left w:val="single" w:sz="8" w:space="0" w:color="002C47"/>
              <w:bottom w:val="single" w:sz="8" w:space="0" w:color="002C47"/>
              <w:right w:val="single" w:sz="8" w:space="0" w:color="002C47"/>
            </w:tcBorders>
          </w:tcPr>
          <w:p w14:paraId="780E8134" w14:textId="1751F2A3" w:rsidR="00DE4789" w:rsidRDefault="00DE4789" w:rsidP="00DE4789">
            <w:r w:rsidRPr="00831604">
              <w:rPr>
                <w:color w:val="000000"/>
              </w:rPr>
              <w:t>WHO</w:t>
            </w:r>
          </w:p>
        </w:tc>
        <w:tc>
          <w:tcPr>
            <w:tcW w:w="3987" w:type="pct"/>
            <w:gridSpan w:val="2"/>
            <w:tcBorders>
              <w:top w:val="single" w:sz="8" w:space="0" w:color="002C47"/>
              <w:left w:val="single" w:sz="8" w:space="0" w:color="002C47"/>
              <w:bottom w:val="single" w:sz="8" w:space="0" w:color="002C47"/>
              <w:right w:val="single" w:sz="8" w:space="0" w:color="002C47"/>
            </w:tcBorders>
          </w:tcPr>
          <w:p w14:paraId="5F7FAF82" w14:textId="3DD61BED" w:rsidR="00DE4789" w:rsidRDefault="00DE4789" w:rsidP="00DE4789">
            <w:r w:rsidRPr="00831604">
              <w:rPr>
                <w:color w:val="000000"/>
              </w:rPr>
              <w:t>World Health Organization</w:t>
            </w:r>
          </w:p>
        </w:tc>
      </w:tr>
    </w:tbl>
    <w:p w14:paraId="51A91F8A" w14:textId="77777777" w:rsidR="00FD119B" w:rsidRPr="002909BF" w:rsidRDefault="00FD119B" w:rsidP="00FD119B">
      <w:pPr>
        <w:spacing w:before="0" w:after="200" w:line="0" w:lineRule="auto"/>
        <w:rPr>
          <w:b/>
          <w:i/>
          <w:sz w:val="24"/>
          <w:szCs w:val="24"/>
        </w:rPr>
      </w:pPr>
      <w:r w:rsidRPr="002909BF">
        <w:rPr>
          <w:b/>
          <w:i/>
          <w:sz w:val="24"/>
          <w:szCs w:val="24"/>
        </w:rPr>
        <w:br w:type="page"/>
      </w:r>
    </w:p>
    <w:p w14:paraId="6B8E9A13" w14:textId="77777777" w:rsidR="008E7846" w:rsidRPr="002909BF" w:rsidRDefault="009F2673" w:rsidP="008E7846">
      <w:pPr>
        <w:pStyle w:val="Heading2"/>
      </w:pPr>
      <w:bookmarkStart w:id="5" w:name="_Toc133493827"/>
      <w:r w:rsidRPr="002909BF">
        <w:lastRenderedPageBreak/>
        <w:t>Pr</w:t>
      </w:r>
      <w:r w:rsidR="008E7846" w:rsidRPr="002909BF">
        <w:t>oduct submission</w:t>
      </w:r>
      <w:bookmarkEnd w:id="5"/>
      <w:bookmarkEnd w:id="2"/>
      <w:bookmarkEnd w:id="0"/>
    </w:p>
    <w:p w14:paraId="66C0A9DF" w14:textId="77777777" w:rsidR="008E7846" w:rsidRPr="002909BF" w:rsidRDefault="008E7846" w:rsidP="009E5A87">
      <w:pPr>
        <w:pStyle w:val="Heading3"/>
        <w:rPr>
          <w:lang w:eastAsia="en-AU"/>
        </w:rPr>
      </w:pPr>
      <w:bookmarkStart w:id="6" w:name="_Toc247691502"/>
      <w:bookmarkStart w:id="7" w:name="_Toc314842483"/>
      <w:bookmarkStart w:id="8" w:name="_Toc133493828"/>
      <w:r w:rsidRPr="002909BF">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2909BF" w14:paraId="3313B239" w14:textId="77777777" w:rsidTr="0023120B">
        <w:tc>
          <w:tcPr>
            <w:tcW w:w="1577" w:type="pct"/>
          </w:tcPr>
          <w:p w14:paraId="0841C474" w14:textId="77777777" w:rsidR="009F2673" w:rsidRPr="002909BF" w:rsidRDefault="009F2673" w:rsidP="009E5A87">
            <w:pPr>
              <w:rPr>
                <w:i/>
              </w:rPr>
            </w:pPr>
            <w:r w:rsidRPr="002909BF">
              <w:rPr>
                <w:i/>
              </w:rPr>
              <w:t>Type of submission:</w:t>
            </w:r>
          </w:p>
        </w:tc>
        <w:tc>
          <w:tcPr>
            <w:tcW w:w="3423" w:type="pct"/>
          </w:tcPr>
          <w:p w14:paraId="5E1A53F4" w14:textId="3ED0DCC9" w:rsidR="009F2673" w:rsidRPr="002909BF" w:rsidRDefault="009F2673" w:rsidP="009E5A87">
            <w:r w:rsidRPr="002909BF">
              <w:t xml:space="preserve">New </w:t>
            </w:r>
            <w:r w:rsidR="00401E59" w:rsidRPr="002909BF">
              <w:t>biological</w:t>
            </w:r>
            <w:r w:rsidRPr="002909BF">
              <w:t xml:space="preserve"> entity</w:t>
            </w:r>
          </w:p>
        </w:tc>
      </w:tr>
      <w:tr w:rsidR="009F2673" w:rsidRPr="002909BF" w14:paraId="6CDD139C" w14:textId="77777777" w:rsidTr="0023120B">
        <w:tc>
          <w:tcPr>
            <w:tcW w:w="1577" w:type="pct"/>
          </w:tcPr>
          <w:p w14:paraId="15A914D8" w14:textId="0B1FAEE5" w:rsidR="009F2673" w:rsidRPr="002909BF" w:rsidRDefault="009F2673" w:rsidP="009E5A87">
            <w:pPr>
              <w:rPr>
                <w:i/>
              </w:rPr>
            </w:pPr>
            <w:r w:rsidRPr="002909BF">
              <w:rPr>
                <w:i/>
              </w:rPr>
              <w:t>Product name:</w:t>
            </w:r>
          </w:p>
        </w:tc>
        <w:tc>
          <w:tcPr>
            <w:tcW w:w="3423" w:type="pct"/>
          </w:tcPr>
          <w:p w14:paraId="129157AC" w14:textId="0DDF2853" w:rsidR="009F2673" w:rsidRPr="002909BF" w:rsidRDefault="009F0559" w:rsidP="009E5A87">
            <w:proofErr w:type="spellStart"/>
            <w:r w:rsidRPr="002909BF">
              <w:t>Verorab</w:t>
            </w:r>
            <w:proofErr w:type="spellEnd"/>
          </w:p>
        </w:tc>
      </w:tr>
      <w:tr w:rsidR="009F2673" w:rsidRPr="002909BF" w14:paraId="424330D5" w14:textId="77777777" w:rsidTr="0023120B">
        <w:tc>
          <w:tcPr>
            <w:tcW w:w="1577" w:type="pct"/>
          </w:tcPr>
          <w:p w14:paraId="7846355D" w14:textId="049544DC" w:rsidR="009F2673" w:rsidRPr="002909BF" w:rsidRDefault="009F2673" w:rsidP="009E5A87">
            <w:pPr>
              <w:rPr>
                <w:i/>
              </w:rPr>
            </w:pPr>
            <w:r w:rsidRPr="002909BF">
              <w:rPr>
                <w:i/>
              </w:rPr>
              <w:t>Active ingredient:</w:t>
            </w:r>
          </w:p>
        </w:tc>
        <w:tc>
          <w:tcPr>
            <w:tcW w:w="3423" w:type="pct"/>
          </w:tcPr>
          <w:p w14:paraId="387A2DFE" w14:textId="142B571C" w:rsidR="009F2673" w:rsidRPr="002909BF" w:rsidRDefault="009F0559" w:rsidP="009E5A87">
            <w:r w:rsidRPr="002909BF">
              <w:t>Inactivated rabies virus</w:t>
            </w:r>
          </w:p>
        </w:tc>
      </w:tr>
      <w:tr w:rsidR="009F2673" w:rsidRPr="002909BF" w14:paraId="3616C1B1" w14:textId="77777777" w:rsidTr="0023120B">
        <w:tc>
          <w:tcPr>
            <w:tcW w:w="1577" w:type="pct"/>
          </w:tcPr>
          <w:p w14:paraId="26B520C4" w14:textId="77777777" w:rsidR="009F2673" w:rsidRPr="002909BF" w:rsidRDefault="009F2673" w:rsidP="009E5A87">
            <w:pPr>
              <w:rPr>
                <w:i/>
              </w:rPr>
            </w:pPr>
            <w:r w:rsidRPr="002909BF">
              <w:rPr>
                <w:i/>
              </w:rPr>
              <w:t>Decision:</w:t>
            </w:r>
          </w:p>
        </w:tc>
        <w:tc>
          <w:tcPr>
            <w:tcW w:w="3423" w:type="pct"/>
          </w:tcPr>
          <w:p w14:paraId="0DB6BA53" w14:textId="20FCFB0E" w:rsidR="009F2673" w:rsidRPr="002909BF" w:rsidRDefault="009F2673" w:rsidP="009E5A87">
            <w:r w:rsidRPr="002909BF">
              <w:t>Approved</w:t>
            </w:r>
          </w:p>
        </w:tc>
      </w:tr>
      <w:tr w:rsidR="009F2673" w:rsidRPr="002909BF" w14:paraId="75360063" w14:textId="77777777" w:rsidTr="0023120B">
        <w:tc>
          <w:tcPr>
            <w:tcW w:w="1577" w:type="pct"/>
          </w:tcPr>
          <w:p w14:paraId="22117E57" w14:textId="77777777" w:rsidR="009F2673" w:rsidRPr="002909BF" w:rsidRDefault="009F2673" w:rsidP="009E5A87">
            <w:pPr>
              <w:rPr>
                <w:i/>
              </w:rPr>
            </w:pPr>
            <w:r w:rsidRPr="002909BF">
              <w:rPr>
                <w:i/>
              </w:rPr>
              <w:t>Date of decision:</w:t>
            </w:r>
          </w:p>
        </w:tc>
        <w:tc>
          <w:tcPr>
            <w:tcW w:w="3423" w:type="pct"/>
          </w:tcPr>
          <w:p w14:paraId="14289DAF" w14:textId="495E16BD" w:rsidR="009F2673" w:rsidRPr="002909BF" w:rsidRDefault="00401E59" w:rsidP="009E5A87">
            <w:r w:rsidRPr="002909BF">
              <w:t>6 October 2022</w:t>
            </w:r>
          </w:p>
        </w:tc>
      </w:tr>
      <w:tr w:rsidR="009F2673" w:rsidRPr="002909BF" w14:paraId="784F6DD5" w14:textId="77777777" w:rsidTr="0023120B">
        <w:tc>
          <w:tcPr>
            <w:tcW w:w="1577" w:type="pct"/>
          </w:tcPr>
          <w:p w14:paraId="33B9D08C" w14:textId="77777777" w:rsidR="009F2673" w:rsidRPr="002909BF" w:rsidRDefault="009F2673" w:rsidP="009E5A87">
            <w:pPr>
              <w:rPr>
                <w:i/>
              </w:rPr>
            </w:pPr>
            <w:r w:rsidRPr="002909BF">
              <w:rPr>
                <w:i/>
              </w:rPr>
              <w:t>Date of entry onto ARTG:</w:t>
            </w:r>
          </w:p>
        </w:tc>
        <w:tc>
          <w:tcPr>
            <w:tcW w:w="3423" w:type="pct"/>
          </w:tcPr>
          <w:p w14:paraId="7A826AFD" w14:textId="16367837" w:rsidR="009F2673" w:rsidRPr="002909BF" w:rsidRDefault="006C5E3F" w:rsidP="009E5A87">
            <w:r w:rsidRPr="002909BF">
              <w:t>17 October 2022</w:t>
            </w:r>
          </w:p>
        </w:tc>
      </w:tr>
      <w:tr w:rsidR="009F2673" w:rsidRPr="002909BF" w14:paraId="5C82E87B" w14:textId="77777777" w:rsidTr="0023120B">
        <w:tc>
          <w:tcPr>
            <w:tcW w:w="1577" w:type="pct"/>
          </w:tcPr>
          <w:p w14:paraId="1A358363" w14:textId="41A42DC5" w:rsidR="009F2673" w:rsidRPr="002909BF" w:rsidRDefault="009F2673" w:rsidP="009E5A87">
            <w:pPr>
              <w:rPr>
                <w:i/>
              </w:rPr>
            </w:pPr>
            <w:r w:rsidRPr="002909BF">
              <w:rPr>
                <w:i/>
              </w:rPr>
              <w:t>ARTG number:</w:t>
            </w:r>
          </w:p>
        </w:tc>
        <w:tc>
          <w:tcPr>
            <w:tcW w:w="3423" w:type="pct"/>
          </w:tcPr>
          <w:p w14:paraId="11FE1BF3" w14:textId="06AA3C59" w:rsidR="009F2673" w:rsidRPr="002909BF" w:rsidRDefault="009F0559" w:rsidP="009E5A87">
            <w:r w:rsidRPr="002909BF">
              <w:t>371727</w:t>
            </w:r>
          </w:p>
        </w:tc>
      </w:tr>
      <w:tr w:rsidR="009F2673" w:rsidRPr="002909BF" w14:paraId="67E59854" w14:textId="77777777" w:rsidTr="0023120B">
        <w:tc>
          <w:tcPr>
            <w:tcW w:w="1577" w:type="pct"/>
          </w:tcPr>
          <w:p w14:paraId="251DA129" w14:textId="4D60F7DF" w:rsidR="009F2673" w:rsidRPr="002909BF" w:rsidRDefault="001B1DA4" w:rsidP="009E5A87">
            <w:pPr>
              <w:rPr>
                <w:i/>
              </w:rPr>
            </w:pPr>
            <w:r w:rsidRPr="002909BF">
              <w:rPr>
                <w:rFonts w:ascii="Wingdings 3" w:hAnsi="Wingdings 3"/>
                <w:sz w:val="34"/>
                <w:szCs w:val="34"/>
                <w:lang w:eastAsia="en-AU"/>
              </w:rPr>
              <w:t></w:t>
            </w:r>
            <w:hyperlink r:id="rId14" w:history="1">
              <w:r w:rsidR="009F2673" w:rsidRPr="002909BF">
                <w:rPr>
                  <w:rStyle w:val="Hyperlink"/>
                  <w:i/>
                </w:rPr>
                <w:t>Black Triangle Scheme</w:t>
              </w:r>
            </w:hyperlink>
            <w:r w:rsidR="009F2673" w:rsidRPr="002909BF">
              <w:rPr>
                <w:i/>
              </w:rPr>
              <w:t>:</w:t>
            </w:r>
          </w:p>
        </w:tc>
        <w:tc>
          <w:tcPr>
            <w:tcW w:w="3423" w:type="pct"/>
          </w:tcPr>
          <w:p w14:paraId="7CBC59A3" w14:textId="43FE9928" w:rsidR="009F2673" w:rsidRPr="002909BF" w:rsidRDefault="009F2673" w:rsidP="009E5A87">
            <w:r w:rsidRPr="002909BF">
              <w:t>Yes</w:t>
            </w:r>
            <w:r w:rsidR="006C5E3F" w:rsidRPr="002909BF">
              <w:t>.</w:t>
            </w:r>
          </w:p>
          <w:p w14:paraId="75DAD9E2" w14:textId="2291D782" w:rsidR="009F2673" w:rsidRPr="002909BF" w:rsidRDefault="009F2673" w:rsidP="009E5A87">
            <w:r w:rsidRPr="002909BF">
              <w:t>This product will remain in the scheme for 5 years, starting on the date the product is first supplied in Australia</w:t>
            </w:r>
            <w:r w:rsidR="006C5E3F" w:rsidRPr="002909BF">
              <w:t>,</w:t>
            </w:r>
          </w:p>
        </w:tc>
      </w:tr>
      <w:tr w:rsidR="009F2673" w:rsidRPr="002909BF" w14:paraId="0DFE4D2C" w14:textId="77777777" w:rsidTr="0023120B">
        <w:tc>
          <w:tcPr>
            <w:tcW w:w="1577" w:type="pct"/>
          </w:tcPr>
          <w:p w14:paraId="6E11B7A3" w14:textId="77777777" w:rsidR="009F2673" w:rsidRPr="002909BF" w:rsidRDefault="009F2673" w:rsidP="009E5A87">
            <w:pPr>
              <w:rPr>
                <w:i/>
              </w:rPr>
            </w:pPr>
            <w:r w:rsidRPr="002909BF">
              <w:rPr>
                <w:i/>
              </w:rPr>
              <w:t>Sponsor’s name and address:</w:t>
            </w:r>
          </w:p>
        </w:tc>
        <w:tc>
          <w:tcPr>
            <w:tcW w:w="3423" w:type="pct"/>
          </w:tcPr>
          <w:p w14:paraId="24FA5F66" w14:textId="77777777" w:rsidR="009F2673" w:rsidRPr="002909BF" w:rsidRDefault="009F0559" w:rsidP="009E5A87">
            <w:r w:rsidRPr="002909BF">
              <w:t>Sanofi-Aventis Australia Pty Ltd</w:t>
            </w:r>
          </w:p>
          <w:p w14:paraId="6A4C4F54" w14:textId="77777777" w:rsidR="009F0559" w:rsidRPr="002909BF" w:rsidRDefault="009F0559" w:rsidP="009F0559">
            <w:r w:rsidRPr="002909BF">
              <w:t>12-24 Talavera Road</w:t>
            </w:r>
          </w:p>
          <w:p w14:paraId="38BEE259" w14:textId="0C8C26F4" w:rsidR="009F0559" w:rsidRPr="002909BF" w:rsidRDefault="009F0559" w:rsidP="009F0559">
            <w:r w:rsidRPr="002909BF">
              <w:t>Macquarie Park NSW 2113</w:t>
            </w:r>
          </w:p>
        </w:tc>
      </w:tr>
      <w:tr w:rsidR="009F2673" w:rsidRPr="002909BF" w14:paraId="7C4796A4" w14:textId="77777777" w:rsidTr="0023120B">
        <w:tc>
          <w:tcPr>
            <w:tcW w:w="1577" w:type="pct"/>
          </w:tcPr>
          <w:p w14:paraId="6FE3467B" w14:textId="47053416" w:rsidR="009F2673" w:rsidRPr="002909BF" w:rsidRDefault="009F2673" w:rsidP="009E5A87">
            <w:pPr>
              <w:rPr>
                <w:i/>
              </w:rPr>
            </w:pPr>
            <w:r w:rsidRPr="002909BF">
              <w:rPr>
                <w:i/>
              </w:rPr>
              <w:t>Dose form:</w:t>
            </w:r>
          </w:p>
        </w:tc>
        <w:tc>
          <w:tcPr>
            <w:tcW w:w="3423" w:type="pct"/>
          </w:tcPr>
          <w:p w14:paraId="7D13D10B" w14:textId="53FF868C" w:rsidR="009F2673" w:rsidRPr="002909BF" w:rsidRDefault="002257FB" w:rsidP="009E5A87">
            <w:r w:rsidRPr="002909BF">
              <w:t>Powder and solvent for suspension for injection</w:t>
            </w:r>
          </w:p>
        </w:tc>
      </w:tr>
      <w:tr w:rsidR="009F2673" w:rsidRPr="002909BF" w14:paraId="6B9BA6AF" w14:textId="77777777" w:rsidTr="0023120B">
        <w:tc>
          <w:tcPr>
            <w:tcW w:w="1577" w:type="pct"/>
          </w:tcPr>
          <w:p w14:paraId="616B1753" w14:textId="14CD7958" w:rsidR="009F2673" w:rsidRPr="002909BF" w:rsidRDefault="009F2673" w:rsidP="009E5A87">
            <w:pPr>
              <w:rPr>
                <w:i/>
              </w:rPr>
            </w:pPr>
            <w:r w:rsidRPr="002909BF">
              <w:rPr>
                <w:i/>
              </w:rPr>
              <w:t>Strength:</w:t>
            </w:r>
          </w:p>
        </w:tc>
        <w:tc>
          <w:tcPr>
            <w:tcW w:w="3423" w:type="pct"/>
          </w:tcPr>
          <w:p w14:paraId="646AADD5" w14:textId="02F66142" w:rsidR="009F2673" w:rsidRPr="002909BF" w:rsidRDefault="00E05BF3" w:rsidP="009E5A87">
            <w:r w:rsidRPr="002909BF">
              <w:t>3.25 international units of rabies antigen</w:t>
            </w:r>
          </w:p>
        </w:tc>
      </w:tr>
      <w:tr w:rsidR="009F2673" w:rsidRPr="002909BF" w14:paraId="00AD597B" w14:textId="77777777" w:rsidTr="0023120B">
        <w:tc>
          <w:tcPr>
            <w:tcW w:w="1577" w:type="pct"/>
          </w:tcPr>
          <w:p w14:paraId="4D566D67" w14:textId="5AD268B6" w:rsidR="009F2673" w:rsidRPr="002909BF" w:rsidRDefault="009F2673" w:rsidP="009E5A87">
            <w:pPr>
              <w:rPr>
                <w:i/>
              </w:rPr>
            </w:pPr>
            <w:r w:rsidRPr="002909BF">
              <w:rPr>
                <w:i/>
              </w:rPr>
              <w:t>Container:</w:t>
            </w:r>
          </w:p>
        </w:tc>
        <w:tc>
          <w:tcPr>
            <w:tcW w:w="3423" w:type="pct"/>
          </w:tcPr>
          <w:p w14:paraId="07AFDC91" w14:textId="79A36D3A" w:rsidR="009F2673" w:rsidRPr="002909BF" w:rsidRDefault="00E05BF3" w:rsidP="00E05BF3">
            <w:r w:rsidRPr="002909BF">
              <w:t>Vial with diluent pre-filled syringe with attached needle</w:t>
            </w:r>
          </w:p>
        </w:tc>
      </w:tr>
      <w:tr w:rsidR="009F2673" w:rsidRPr="002909BF" w14:paraId="4C74B00A" w14:textId="77777777" w:rsidTr="0023120B">
        <w:tc>
          <w:tcPr>
            <w:tcW w:w="1577" w:type="pct"/>
          </w:tcPr>
          <w:p w14:paraId="154E7D02" w14:textId="5138442A" w:rsidR="009F2673" w:rsidRPr="002909BF" w:rsidRDefault="009F2673" w:rsidP="009E5A87">
            <w:pPr>
              <w:rPr>
                <w:i/>
              </w:rPr>
            </w:pPr>
            <w:r w:rsidRPr="002909BF">
              <w:rPr>
                <w:i/>
              </w:rPr>
              <w:t>Pack sizes:</w:t>
            </w:r>
          </w:p>
        </w:tc>
        <w:tc>
          <w:tcPr>
            <w:tcW w:w="3423" w:type="pct"/>
          </w:tcPr>
          <w:p w14:paraId="7F1E677A" w14:textId="4418136A" w:rsidR="009F2673" w:rsidRPr="002909BF" w:rsidRDefault="00E05BF3" w:rsidP="009E5A87">
            <w:r w:rsidRPr="002909BF">
              <w:t>1 and 10</w:t>
            </w:r>
          </w:p>
        </w:tc>
      </w:tr>
      <w:tr w:rsidR="009F2673" w:rsidRPr="002909BF" w14:paraId="0C347AA1" w14:textId="77777777" w:rsidTr="0023120B">
        <w:tc>
          <w:tcPr>
            <w:tcW w:w="1577" w:type="pct"/>
          </w:tcPr>
          <w:p w14:paraId="3392437B" w14:textId="77777777" w:rsidR="009F2673" w:rsidRPr="002909BF" w:rsidRDefault="009F2673" w:rsidP="009E5A87">
            <w:pPr>
              <w:rPr>
                <w:i/>
              </w:rPr>
            </w:pPr>
            <w:r w:rsidRPr="002909BF">
              <w:rPr>
                <w:i/>
              </w:rPr>
              <w:t>Approved therapeutic use:</w:t>
            </w:r>
          </w:p>
        </w:tc>
        <w:tc>
          <w:tcPr>
            <w:tcW w:w="3423" w:type="pct"/>
          </w:tcPr>
          <w:p w14:paraId="1359B7FF" w14:textId="77777777" w:rsidR="009F0559" w:rsidRPr="002909BF" w:rsidRDefault="009F0559" w:rsidP="009F0559">
            <w:pPr>
              <w:rPr>
                <w:i/>
                <w:iCs/>
              </w:rPr>
            </w:pPr>
            <w:proofErr w:type="spellStart"/>
            <w:r w:rsidRPr="002909BF">
              <w:rPr>
                <w:i/>
                <w:iCs/>
              </w:rPr>
              <w:t>Verorab</w:t>
            </w:r>
            <w:proofErr w:type="spellEnd"/>
            <w:r w:rsidRPr="002909BF">
              <w:rPr>
                <w:i/>
                <w:iCs/>
              </w:rPr>
              <w:t xml:space="preserve"> is indicated for pre-exposure prophylaxis against rabies.</w:t>
            </w:r>
          </w:p>
          <w:p w14:paraId="73F4687B" w14:textId="77777777" w:rsidR="009F0559" w:rsidRPr="002909BF" w:rsidRDefault="009F0559" w:rsidP="009F0559">
            <w:pPr>
              <w:rPr>
                <w:i/>
                <w:iCs/>
              </w:rPr>
            </w:pPr>
            <w:proofErr w:type="spellStart"/>
            <w:r w:rsidRPr="002909BF">
              <w:rPr>
                <w:i/>
                <w:iCs/>
              </w:rPr>
              <w:t>Verorab</w:t>
            </w:r>
            <w:proofErr w:type="spellEnd"/>
            <w:r w:rsidRPr="002909BF">
              <w:rPr>
                <w:i/>
                <w:iCs/>
              </w:rPr>
              <w:t xml:space="preserve"> is indicated for post-exposure prophylaxis against rabies.</w:t>
            </w:r>
          </w:p>
          <w:p w14:paraId="0D3382FA" w14:textId="02593564" w:rsidR="009F2673" w:rsidRPr="002909BF" w:rsidRDefault="009F0559" w:rsidP="009F0559">
            <w:proofErr w:type="spellStart"/>
            <w:r w:rsidRPr="002909BF">
              <w:rPr>
                <w:i/>
                <w:iCs/>
              </w:rPr>
              <w:t>Verorab</w:t>
            </w:r>
            <w:proofErr w:type="spellEnd"/>
            <w:r w:rsidRPr="002909BF">
              <w:rPr>
                <w:i/>
                <w:iCs/>
              </w:rPr>
              <w:t xml:space="preserve"> should be used in accordance with official local recommendations.</w:t>
            </w:r>
          </w:p>
        </w:tc>
      </w:tr>
      <w:tr w:rsidR="009F2673" w:rsidRPr="002909BF" w14:paraId="1307ED83" w14:textId="77777777" w:rsidTr="0023120B">
        <w:tc>
          <w:tcPr>
            <w:tcW w:w="1577" w:type="pct"/>
          </w:tcPr>
          <w:p w14:paraId="545122BE" w14:textId="631DAA12" w:rsidR="009F2673" w:rsidRPr="002909BF" w:rsidRDefault="009F2673" w:rsidP="009E5A87">
            <w:pPr>
              <w:rPr>
                <w:i/>
              </w:rPr>
            </w:pPr>
            <w:r w:rsidRPr="002909BF">
              <w:rPr>
                <w:i/>
              </w:rPr>
              <w:t>Routes of administration:</w:t>
            </w:r>
          </w:p>
        </w:tc>
        <w:tc>
          <w:tcPr>
            <w:tcW w:w="3423" w:type="pct"/>
          </w:tcPr>
          <w:p w14:paraId="47AEABF7" w14:textId="1B3B2521" w:rsidR="009F2673" w:rsidRPr="002909BF" w:rsidRDefault="0075406F" w:rsidP="009E5A87">
            <w:r w:rsidRPr="002909BF">
              <w:t>Intramuscular and i</w:t>
            </w:r>
            <w:r w:rsidR="00E05BF3" w:rsidRPr="002909BF">
              <w:t>ntradermal</w:t>
            </w:r>
          </w:p>
        </w:tc>
      </w:tr>
      <w:tr w:rsidR="009F2673" w:rsidRPr="002909BF" w14:paraId="376F26BA" w14:textId="77777777" w:rsidTr="0023120B">
        <w:tc>
          <w:tcPr>
            <w:tcW w:w="1577" w:type="pct"/>
          </w:tcPr>
          <w:p w14:paraId="322F78B5" w14:textId="77777777" w:rsidR="009F2673" w:rsidRPr="002909BF" w:rsidRDefault="009F2673" w:rsidP="009E5A87">
            <w:pPr>
              <w:rPr>
                <w:i/>
              </w:rPr>
            </w:pPr>
            <w:r w:rsidRPr="002909BF">
              <w:rPr>
                <w:i/>
              </w:rPr>
              <w:t>Dosage:</w:t>
            </w:r>
          </w:p>
        </w:tc>
        <w:tc>
          <w:tcPr>
            <w:tcW w:w="3423" w:type="pct"/>
          </w:tcPr>
          <w:p w14:paraId="669ABED4" w14:textId="4437535B" w:rsidR="00401E59" w:rsidRPr="002909BF" w:rsidRDefault="00401E59" w:rsidP="00F36E4E">
            <w:r w:rsidRPr="002909BF">
              <w:t>The dose and dosing schedule is identical for adults and paediatric population. The vaccine is administered by intramuscular injection, in the deltoid area for adults and children or the anterolateral area of the thigh muscle in infants and toddlers.</w:t>
            </w:r>
          </w:p>
          <w:p w14:paraId="428F0D1C" w14:textId="0BD6FBF4" w:rsidR="00401E59" w:rsidRPr="002909BF" w:rsidRDefault="00401E59" w:rsidP="00F36E4E">
            <w:r w:rsidRPr="002909BF">
              <w:t xml:space="preserve">Once the vaccine is reconstituted with 0.5 mL of solvent, one intramuscular dose consists of 0.5 mL of reconstituted </w:t>
            </w:r>
            <w:r w:rsidRPr="002909BF">
              <w:lastRenderedPageBreak/>
              <w:t>vaccine and one intradermal dose consists of 0.1 mL of reconstituted vaccine per injection site.</w:t>
            </w:r>
          </w:p>
          <w:p w14:paraId="1767D233" w14:textId="306610B7" w:rsidR="008C2D90" w:rsidRPr="002909BF" w:rsidRDefault="00F36E4E" w:rsidP="00F36E4E">
            <w:r w:rsidRPr="002909BF">
              <w:t xml:space="preserve">The dosage </w:t>
            </w:r>
            <w:r w:rsidR="00001E37" w:rsidRPr="002909BF">
              <w:t>depends</w:t>
            </w:r>
            <w:r w:rsidRPr="002909BF">
              <w:t xml:space="preserve"> on multiple factors, including </w:t>
            </w:r>
            <w:r w:rsidR="00001E37" w:rsidRPr="002909BF">
              <w:t xml:space="preserve">the route of administration, category of exposure, patient immune status, animal status for rabies and </w:t>
            </w:r>
            <w:r w:rsidR="008C2D90" w:rsidRPr="002909BF">
              <w:t xml:space="preserve">if it is </w:t>
            </w:r>
            <w:r w:rsidR="00E62A43" w:rsidRPr="002909BF">
              <w:t xml:space="preserve">used as </w:t>
            </w:r>
            <w:r w:rsidR="008C2D90" w:rsidRPr="002909BF">
              <w:t xml:space="preserve">a pre- or post-exposure </w:t>
            </w:r>
            <w:r w:rsidR="00001E37" w:rsidRPr="002909BF">
              <w:t>prophylaxis</w:t>
            </w:r>
            <w:r w:rsidR="008C2D90" w:rsidRPr="002909BF">
              <w:t xml:space="preserve"> treatment.</w:t>
            </w:r>
          </w:p>
          <w:p w14:paraId="3CA3DE60" w14:textId="77777777" w:rsidR="0038054B" w:rsidRPr="002909BF" w:rsidRDefault="0038054B" w:rsidP="0038054B">
            <w:r w:rsidRPr="002909BF">
              <w:t>For dosing in immunocompromised individuals refer to Section 4.2.2 Special Populations of the Product Information.</w:t>
            </w:r>
          </w:p>
          <w:p w14:paraId="601241B2" w14:textId="04891F32" w:rsidR="009F2673" w:rsidRPr="002909BF" w:rsidRDefault="009F2673" w:rsidP="00F36E4E">
            <w:r w:rsidRPr="002909BF">
              <w:t>For further information regarding dosage, refer to the Product Information</w:t>
            </w:r>
            <w:r w:rsidR="0038054B" w:rsidRPr="002909BF">
              <w:t xml:space="preserve"> and the current Australian Immunisation Handbook.</w:t>
            </w:r>
          </w:p>
        </w:tc>
      </w:tr>
      <w:tr w:rsidR="009F2673" w:rsidRPr="002909BF" w14:paraId="3A7701A0" w14:textId="77777777" w:rsidTr="0023120B">
        <w:tc>
          <w:tcPr>
            <w:tcW w:w="1577" w:type="pct"/>
          </w:tcPr>
          <w:p w14:paraId="3E2D77F9" w14:textId="77777777" w:rsidR="009F2673" w:rsidRPr="002909BF" w:rsidRDefault="009F2673" w:rsidP="009E5A87">
            <w:pPr>
              <w:rPr>
                <w:i/>
              </w:rPr>
            </w:pPr>
            <w:r w:rsidRPr="002909BF">
              <w:rPr>
                <w:i/>
              </w:rPr>
              <w:lastRenderedPageBreak/>
              <w:t>Pregnancy category:</w:t>
            </w:r>
          </w:p>
        </w:tc>
        <w:tc>
          <w:tcPr>
            <w:tcW w:w="3423" w:type="pct"/>
          </w:tcPr>
          <w:p w14:paraId="52009564" w14:textId="2F66E25F" w:rsidR="00401E59" w:rsidRPr="002909BF" w:rsidRDefault="00401E59" w:rsidP="00401E59">
            <w:r w:rsidRPr="002909BF">
              <w:t>B2</w:t>
            </w:r>
          </w:p>
          <w:p w14:paraId="7F4954CD" w14:textId="77777777" w:rsidR="00401E59" w:rsidRPr="002909BF" w:rsidRDefault="00401E59" w:rsidP="00401E59">
            <w:r w:rsidRPr="002909BF">
              <w:t>Drugs which have been taken by only a limited number of pregnant women and women of childbearing age, without an increase in the frequency of malformation or other direct or indirect harmful effects on the human fetus having been observed.</w:t>
            </w:r>
          </w:p>
          <w:p w14:paraId="106A29CE" w14:textId="35FE1575" w:rsidR="00401E59" w:rsidRPr="002909BF" w:rsidRDefault="00401E59" w:rsidP="00401E59">
            <w:r w:rsidRPr="002909BF">
              <w:t>Studies in animals are inadequate or may be lacking, but available data show no evidence of an increased occurrence of fetal damage.</w:t>
            </w:r>
          </w:p>
          <w:p w14:paraId="3B4E0087" w14:textId="1B3DDD7E" w:rsidR="009F2673" w:rsidRPr="002909BF" w:rsidRDefault="009F2673" w:rsidP="00401E59">
            <w:r w:rsidRPr="002909BF">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2863504" w14:textId="77777777" w:rsidR="008E7846" w:rsidRPr="002909BF" w:rsidRDefault="008E7846" w:rsidP="008E7846">
      <w:pPr>
        <w:pStyle w:val="Heading3"/>
      </w:pPr>
      <w:bookmarkStart w:id="9" w:name="_Toc247691503"/>
      <w:bookmarkStart w:id="10" w:name="_Toc314842484"/>
      <w:bookmarkStart w:id="11" w:name="_Toc133493829"/>
      <w:r w:rsidRPr="002909BF">
        <w:t>Product background</w:t>
      </w:r>
      <w:bookmarkEnd w:id="9"/>
      <w:bookmarkEnd w:id="10"/>
      <w:bookmarkEnd w:id="11"/>
    </w:p>
    <w:p w14:paraId="71AC7E6A" w14:textId="769EEECD" w:rsidR="009F2673" w:rsidRPr="002909BF" w:rsidRDefault="009F2673" w:rsidP="009F2673">
      <w:r w:rsidRPr="002909BF">
        <w:t xml:space="preserve">This AusPAR describes the </w:t>
      </w:r>
      <w:r w:rsidR="001E359E" w:rsidRPr="002909BF">
        <w:t>submission</w:t>
      </w:r>
      <w:r w:rsidRPr="002909BF">
        <w:t xml:space="preserve"> by </w:t>
      </w:r>
      <w:r w:rsidR="009F0559" w:rsidRPr="002909BF">
        <w:t>Sanofi-Aventis Australia Pty Ltd</w:t>
      </w:r>
      <w:r w:rsidRPr="002909BF">
        <w:t xml:space="preserve"> (the sponsor) to register </w:t>
      </w:r>
      <w:proofErr w:type="spellStart"/>
      <w:r w:rsidR="009F0559" w:rsidRPr="002909BF">
        <w:t>Verorab</w:t>
      </w:r>
      <w:proofErr w:type="spellEnd"/>
      <w:r w:rsidR="009F0559" w:rsidRPr="002909BF">
        <w:t xml:space="preserve"> </w:t>
      </w:r>
      <w:r w:rsidRPr="002909BF">
        <w:t>(</w:t>
      </w:r>
      <w:r w:rsidR="009F0559" w:rsidRPr="002909BF">
        <w:t>inactivated rabies virus</w:t>
      </w:r>
      <w:r w:rsidRPr="002909BF">
        <w:t xml:space="preserve">) </w:t>
      </w:r>
      <w:r w:rsidR="002257FB" w:rsidRPr="002909BF">
        <w:t xml:space="preserve">3.25 international units </w:t>
      </w:r>
      <w:r w:rsidR="00980F3B" w:rsidRPr="002909BF">
        <w:t xml:space="preserve">(IU) </w:t>
      </w:r>
      <w:r w:rsidR="002257FB" w:rsidRPr="002909BF">
        <w:t>of rabies antigen</w:t>
      </w:r>
      <w:r w:rsidRPr="002909BF">
        <w:t xml:space="preserve">, </w:t>
      </w:r>
      <w:proofErr w:type="gramStart"/>
      <w:r w:rsidR="002257FB" w:rsidRPr="002909BF">
        <w:t>powder</w:t>
      </w:r>
      <w:proofErr w:type="gramEnd"/>
      <w:r w:rsidR="002257FB" w:rsidRPr="002909BF">
        <w:t xml:space="preserve"> and solvent for suspension for injection</w:t>
      </w:r>
      <w:r w:rsidR="0023120B" w:rsidRPr="002909BF">
        <w:t>, vial with diluent prefilled syringe with attached needle</w:t>
      </w:r>
      <w:r w:rsidRPr="002909BF">
        <w:t xml:space="preserve"> for the following proposed indication:</w:t>
      </w:r>
    </w:p>
    <w:p w14:paraId="5A7F17B1" w14:textId="484505C7" w:rsidR="00AE5BBD" w:rsidRPr="002909BF" w:rsidRDefault="00AE5BBD" w:rsidP="00AE5BBD">
      <w:pPr>
        <w:ind w:left="720"/>
        <w:rPr>
          <w:i/>
          <w:iCs/>
        </w:rPr>
      </w:pPr>
      <w:proofErr w:type="spellStart"/>
      <w:r w:rsidRPr="002909BF">
        <w:rPr>
          <w:i/>
          <w:iCs/>
        </w:rPr>
        <w:t>Verorab</w:t>
      </w:r>
      <w:proofErr w:type="spellEnd"/>
      <w:r w:rsidRPr="002909BF">
        <w:rPr>
          <w:i/>
          <w:iCs/>
        </w:rPr>
        <w:t xml:space="preserve"> is indicated for pre-exposure and post-exposure prophylaxis against rabies in all age groups.</w:t>
      </w:r>
    </w:p>
    <w:p w14:paraId="58BCD883" w14:textId="1AFB769E" w:rsidR="00AE5BBD" w:rsidRPr="002909BF" w:rsidRDefault="00AE5BBD" w:rsidP="00AE5BBD">
      <w:pPr>
        <w:ind w:left="720"/>
        <w:rPr>
          <w:i/>
          <w:iCs/>
        </w:rPr>
      </w:pPr>
      <w:proofErr w:type="spellStart"/>
      <w:r w:rsidRPr="002909BF">
        <w:rPr>
          <w:i/>
          <w:iCs/>
        </w:rPr>
        <w:t>Verorab</w:t>
      </w:r>
      <w:proofErr w:type="spellEnd"/>
      <w:r w:rsidRPr="002909BF">
        <w:rPr>
          <w:i/>
          <w:iCs/>
        </w:rPr>
        <w:t xml:space="preserve"> should be used in accordance with official local recommendations.</w:t>
      </w:r>
    </w:p>
    <w:p w14:paraId="76016FBB" w14:textId="5FCAF30D" w:rsidR="00AE5BBD" w:rsidRPr="002909BF" w:rsidRDefault="00AE5BBD" w:rsidP="00AE5BBD">
      <w:pPr>
        <w:ind w:left="720"/>
        <w:rPr>
          <w:i/>
          <w:iCs/>
        </w:rPr>
      </w:pPr>
      <w:r w:rsidRPr="002909BF">
        <w:rPr>
          <w:i/>
          <w:iCs/>
        </w:rPr>
        <w:t>Generally, pre-exposure prophylaxis should be offered to people at high risk of exposure such as those working in rabies diagnostic or research laboratories, veterinarians, animal handlers potentially exposed to rabid animals, as well as other people (especially children) living in or traveling to high-risk areas.</w:t>
      </w:r>
    </w:p>
    <w:p w14:paraId="1DEE0BE8" w14:textId="4103E08D" w:rsidR="007F15C6" w:rsidRDefault="007F15C6" w:rsidP="001F3D6A">
      <w:pPr>
        <w:pStyle w:val="Heading4"/>
      </w:pPr>
      <w:bookmarkStart w:id="12" w:name="_Toc314842485"/>
      <w:bookmarkStart w:id="13" w:name="_Toc247691504"/>
      <w:r>
        <w:lastRenderedPageBreak/>
        <w:t>Rabies disease</w:t>
      </w:r>
    </w:p>
    <w:p w14:paraId="26AB5660" w14:textId="778037A9" w:rsidR="00AB386E" w:rsidRDefault="00A0166B" w:rsidP="00A0166B">
      <w:r w:rsidRPr="002909BF">
        <w:t xml:space="preserve">Rabies is a zoonotic disease </w:t>
      </w:r>
      <w:r w:rsidR="00576821">
        <w:t xml:space="preserve">classically </w:t>
      </w:r>
      <w:r w:rsidRPr="002909BF">
        <w:t>caused by infection with rabies virus</w:t>
      </w:r>
      <w:r w:rsidR="006E21D7">
        <w:t xml:space="preserve"> </w:t>
      </w:r>
      <w:r w:rsidR="0030043C">
        <w:t>(</w:t>
      </w:r>
      <w:r w:rsidR="001F3D6A" w:rsidRPr="001A0678">
        <w:t xml:space="preserve">rabies </w:t>
      </w:r>
      <w:r w:rsidR="0030043C" w:rsidRPr="001A0678">
        <w:t>l</w:t>
      </w:r>
      <w:r w:rsidR="006E4785" w:rsidRPr="001A0678">
        <w:t>yssavirus</w:t>
      </w:r>
      <w:r w:rsidR="0030043C">
        <w:t>)</w:t>
      </w:r>
      <w:r w:rsidR="00576821">
        <w:t>;</w:t>
      </w:r>
      <w:r w:rsidR="006E4785" w:rsidRPr="001F3D6A">
        <w:rPr>
          <w:rStyle w:val="FootnoteReference"/>
        </w:rPr>
        <w:footnoteReference w:id="1"/>
      </w:r>
      <w:r w:rsidR="00576821">
        <w:t xml:space="preserve"> however rabies-like disease may be caused </w:t>
      </w:r>
      <w:r w:rsidR="008854A4">
        <w:t>by other known</w:t>
      </w:r>
      <w:r w:rsidR="00576821">
        <w:t xml:space="preserve"> lyssavir</w:t>
      </w:r>
      <w:r w:rsidR="008854A4">
        <w:t>uses. The clinical disease caused by the rabies virus and by other lyssaviruses appears to be indistinguishable</w:t>
      </w:r>
      <w:bookmarkStart w:id="14" w:name="_Ref130810489"/>
      <w:r w:rsidR="008854A4">
        <w:t>.</w:t>
      </w:r>
      <w:bookmarkStart w:id="15" w:name="_Ref130813493"/>
      <w:r w:rsidR="008854A4">
        <w:rPr>
          <w:rStyle w:val="FootnoteReference"/>
        </w:rPr>
        <w:footnoteReference w:id="2"/>
      </w:r>
      <w:bookmarkEnd w:id="14"/>
      <w:bookmarkEnd w:id="15"/>
      <w:r w:rsidR="008854A4">
        <w:t xml:space="preserve"> In the Australian context and for the purposes of this submission and AusPAR, rabies disease describes the disease caused by </w:t>
      </w:r>
      <w:r w:rsidR="00A762D7">
        <w:t xml:space="preserve">infection by </w:t>
      </w:r>
      <w:r w:rsidR="008854A4">
        <w:t xml:space="preserve">rabies </w:t>
      </w:r>
      <w:r w:rsidR="002D7897" w:rsidRPr="001F3D6A">
        <w:t xml:space="preserve">lyssavirus </w:t>
      </w:r>
      <w:r w:rsidR="008854A4" w:rsidRPr="001F3D6A">
        <w:t>or</w:t>
      </w:r>
      <w:r w:rsidR="008854A4">
        <w:t xml:space="preserve"> other known lyssaviruses including Australian bat lyssavirus;</w:t>
      </w:r>
      <w:r w:rsidR="008854A4" w:rsidRPr="001F3D6A">
        <w:rPr>
          <w:vertAlign w:val="superscript"/>
        </w:rPr>
        <w:fldChar w:fldCharType="begin"/>
      </w:r>
      <w:r w:rsidR="008854A4" w:rsidRPr="001F3D6A">
        <w:rPr>
          <w:vertAlign w:val="superscript"/>
        </w:rPr>
        <w:instrText xml:space="preserve"> NOTEREF _Ref130810489 \h </w:instrText>
      </w:r>
      <w:r w:rsidR="008854A4">
        <w:rPr>
          <w:vertAlign w:val="superscript"/>
        </w:rPr>
        <w:instrText xml:space="preserve"> \* MERGEFORMAT </w:instrText>
      </w:r>
      <w:r w:rsidR="008854A4" w:rsidRPr="001F3D6A">
        <w:rPr>
          <w:vertAlign w:val="superscript"/>
        </w:rPr>
      </w:r>
      <w:r w:rsidR="008854A4" w:rsidRPr="001F3D6A">
        <w:rPr>
          <w:vertAlign w:val="superscript"/>
        </w:rPr>
        <w:fldChar w:fldCharType="separate"/>
      </w:r>
      <w:r w:rsidR="00056FD1">
        <w:rPr>
          <w:vertAlign w:val="superscript"/>
        </w:rPr>
        <w:t>2</w:t>
      </w:r>
      <w:r w:rsidR="008854A4" w:rsidRPr="001F3D6A">
        <w:rPr>
          <w:vertAlign w:val="superscript"/>
        </w:rPr>
        <w:fldChar w:fldCharType="end"/>
      </w:r>
      <w:r w:rsidR="008854A4">
        <w:rPr>
          <w:vertAlign w:val="superscript"/>
        </w:rPr>
        <w:t xml:space="preserve"> </w:t>
      </w:r>
      <w:r w:rsidR="008854A4">
        <w:t>indeed, the Australian National Handbook states: ‘t</w:t>
      </w:r>
      <w:r w:rsidR="008854A4" w:rsidRPr="002A12E7">
        <w:t>he term ‘rabies’ refers to disease caused by any of the known lyssavirus species</w:t>
      </w:r>
      <w:r w:rsidR="008854A4">
        <w:t>’</w:t>
      </w:r>
      <w:r w:rsidR="008854A4" w:rsidRPr="002A12E7">
        <w:t>.</w:t>
      </w:r>
      <w:bookmarkStart w:id="16" w:name="_Ref130813497"/>
      <w:r w:rsidR="008854A4">
        <w:rPr>
          <w:rStyle w:val="FootnoteReference"/>
        </w:rPr>
        <w:footnoteReference w:id="3"/>
      </w:r>
      <w:bookmarkEnd w:id="16"/>
    </w:p>
    <w:p w14:paraId="29A0B1F4" w14:textId="113064F8" w:rsidR="00AB386E" w:rsidRDefault="00AB386E">
      <w:r>
        <w:t xml:space="preserve">Rabies disease is a disease predominantly affecting the central nervous system. </w:t>
      </w:r>
      <w:r w:rsidR="00572CA6">
        <w:t>After a variable incubation period with a prodromal phase of generalised non-specific symptoms, i</w:t>
      </w:r>
      <w:r>
        <w:t>t presents</w:t>
      </w:r>
      <w:r w:rsidRPr="002909BF">
        <w:t xml:space="preserve"> as an acut</w:t>
      </w:r>
      <w:r>
        <w:t xml:space="preserve">e, progressive encephalomyelitis. Without vaccination or </w:t>
      </w:r>
      <w:r w:rsidR="00291F51">
        <w:t xml:space="preserve">prompt treatment, </w:t>
      </w:r>
      <w:r w:rsidR="00572CA6">
        <w:t>rabies disease is</w:t>
      </w:r>
      <w:r w:rsidR="00572CA6" w:rsidRPr="002909BF">
        <w:t xml:space="preserve"> almost always fatal once symptoms occur</w:t>
      </w:r>
      <w:r w:rsidR="00572CA6">
        <w:t xml:space="preserve"> once clinical</w:t>
      </w:r>
      <w:r>
        <w:t xml:space="preserve"> symptoms appear.</w:t>
      </w:r>
      <w:bookmarkStart w:id="17" w:name="_Ref130801918"/>
      <w:r>
        <w:rPr>
          <w:rStyle w:val="FootnoteReference"/>
        </w:rPr>
        <w:footnoteReference w:id="4"/>
      </w:r>
      <w:bookmarkEnd w:id="17"/>
    </w:p>
    <w:p w14:paraId="40B7B19B" w14:textId="5F0BED7E" w:rsidR="008854A4" w:rsidRPr="003577ED" w:rsidRDefault="008854A4" w:rsidP="001F3D6A">
      <w:pPr>
        <w:pStyle w:val="Heading5"/>
      </w:pPr>
      <w:r>
        <w:t>Rabies virus</w:t>
      </w:r>
    </w:p>
    <w:p w14:paraId="6AF7955C" w14:textId="2C3DE5A0" w:rsidR="00572CA6" w:rsidRDefault="00291F51" w:rsidP="00572CA6">
      <w:r>
        <w:t xml:space="preserve">Classical rabies disease </w:t>
      </w:r>
      <w:r w:rsidR="00572CA6">
        <w:t>describes rabies disease</w:t>
      </w:r>
      <w:r>
        <w:t xml:space="preserve"> </w:t>
      </w:r>
      <w:r w:rsidR="00572CA6">
        <w:t>resulting from</w:t>
      </w:r>
      <w:r>
        <w:t xml:space="preserve"> rabies lyssavirus</w:t>
      </w:r>
      <w:r w:rsidR="00572CA6">
        <w:t xml:space="preserve"> infection</w:t>
      </w:r>
      <w:r>
        <w:t xml:space="preserve">. </w:t>
      </w:r>
      <w:r w:rsidR="00572CA6">
        <w:t>R</w:t>
      </w:r>
      <w:r w:rsidR="00AB386E">
        <w:t xml:space="preserve">abies </w:t>
      </w:r>
      <w:r w:rsidR="00474E2C" w:rsidRPr="002909BF">
        <w:t>lyssavirus is transmitted by the virus-laden saliva of an infected animal introduced via a bite or scratch, or by contamination of mucous membranes or broken skin.</w:t>
      </w:r>
      <w:bookmarkStart w:id="18" w:name="_Ref133492041"/>
      <w:r w:rsidR="00474E2C" w:rsidRPr="002909BF">
        <w:rPr>
          <w:rStyle w:val="FootnoteReference"/>
        </w:rPr>
        <w:footnoteReference w:id="5"/>
      </w:r>
      <w:bookmarkEnd w:id="18"/>
      <w:r w:rsidR="00474E2C" w:rsidRPr="002909BF">
        <w:t xml:space="preserve"> </w:t>
      </w:r>
      <w:r w:rsidR="00370310">
        <w:t>In up to 99% of cases, dog bites from domestic dogs are responsible for transmission</w:t>
      </w:r>
      <w:r w:rsidR="00474E2C">
        <w:t xml:space="preserve"> of rabies virus to humans.</w:t>
      </w:r>
      <w:r w:rsidR="00370310">
        <w:t xml:space="preserve"> </w:t>
      </w:r>
      <w:r w:rsidR="00474E2C" w:rsidRPr="002909BF">
        <w:t xml:space="preserve">Rabies virus does not </w:t>
      </w:r>
      <w:r w:rsidR="00474E2C">
        <w:t xml:space="preserve">presently </w:t>
      </w:r>
      <w:r w:rsidR="00474E2C" w:rsidRPr="002909BF">
        <w:t>occur in land dwelling animals in Australia</w:t>
      </w:r>
      <w:r w:rsidR="00474E2C">
        <w:t xml:space="preserve"> </w:t>
      </w:r>
      <w:r w:rsidR="00BF166F">
        <w:t>is</w:t>
      </w:r>
      <w:r w:rsidR="00370310">
        <w:t xml:space="preserve"> declared </w:t>
      </w:r>
      <w:r w:rsidR="00BF166F">
        <w:t xml:space="preserve">as being </w:t>
      </w:r>
      <w:r w:rsidR="00370310">
        <w:t xml:space="preserve">free of </w:t>
      </w:r>
      <w:r w:rsidR="00576821">
        <w:t>rabies virus</w:t>
      </w:r>
      <w:r w:rsidR="00572CA6">
        <w:t xml:space="preserve"> or ‘terrestrial rabies’</w:t>
      </w:r>
      <w:r w:rsidR="00370310">
        <w:t>.</w:t>
      </w:r>
      <w:r w:rsidR="00BF166F" w:rsidRPr="001F3D6A">
        <w:rPr>
          <w:vertAlign w:val="superscript"/>
        </w:rPr>
        <w:fldChar w:fldCharType="begin"/>
      </w:r>
      <w:r w:rsidR="00BF166F" w:rsidRPr="001F3D6A">
        <w:rPr>
          <w:vertAlign w:val="superscript"/>
        </w:rPr>
        <w:instrText xml:space="preserve"> NOTEREF _Ref130801918 \h </w:instrText>
      </w:r>
      <w:r w:rsidR="00BF166F">
        <w:rPr>
          <w:vertAlign w:val="superscript"/>
        </w:rPr>
        <w:instrText xml:space="preserve"> \* MERGEFORMAT </w:instrText>
      </w:r>
      <w:r w:rsidR="00BF166F" w:rsidRPr="001F3D6A">
        <w:rPr>
          <w:vertAlign w:val="superscript"/>
        </w:rPr>
      </w:r>
      <w:r w:rsidR="00BF166F" w:rsidRPr="001F3D6A">
        <w:rPr>
          <w:vertAlign w:val="superscript"/>
        </w:rPr>
        <w:fldChar w:fldCharType="separate"/>
      </w:r>
      <w:r w:rsidR="00056FD1">
        <w:rPr>
          <w:vertAlign w:val="superscript"/>
        </w:rPr>
        <w:t>4</w:t>
      </w:r>
      <w:r w:rsidR="00BF166F" w:rsidRPr="001F3D6A">
        <w:rPr>
          <w:vertAlign w:val="superscript"/>
        </w:rPr>
        <w:fldChar w:fldCharType="end"/>
      </w:r>
      <w:r w:rsidR="00BF166F" w:rsidRPr="001F3D6A">
        <w:rPr>
          <w:vertAlign w:val="superscript"/>
        </w:rPr>
        <w:t>,</w:t>
      </w:r>
      <w:bookmarkStart w:id="19" w:name="_Ref130804572"/>
      <w:r w:rsidR="00370310" w:rsidRPr="00BF166F">
        <w:rPr>
          <w:rStyle w:val="FootnoteReference"/>
        </w:rPr>
        <w:footnoteReference w:id="6"/>
      </w:r>
      <w:bookmarkEnd w:id="19"/>
    </w:p>
    <w:p w14:paraId="1E9610E8" w14:textId="1FBAFDCF" w:rsidR="00370310" w:rsidRPr="001F3D6A" w:rsidRDefault="00572CA6" w:rsidP="00A0166B">
      <w:r w:rsidRPr="002909BF">
        <w:t xml:space="preserve">Aside from endemic </w:t>
      </w:r>
      <w:r>
        <w:t xml:space="preserve">rabies </w:t>
      </w:r>
      <w:r w:rsidRPr="002909BF">
        <w:t xml:space="preserve">lyssavirus, </w:t>
      </w:r>
      <w:r>
        <w:t>two</w:t>
      </w:r>
      <w:r w:rsidRPr="002909BF">
        <w:t xml:space="preserve"> imported human cases of rabies have been reported in Australia, in people </w:t>
      </w:r>
      <w:r>
        <w:t>traveling from</w:t>
      </w:r>
      <w:r w:rsidRPr="002909BF">
        <w:t xml:space="preserve"> enzootic areas</w:t>
      </w:r>
      <w:r>
        <w:t xml:space="preserve"> (or areas </w:t>
      </w:r>
      <w:r w:rsidR="001B523E">
        <w:t xml:space="preserve">of the World </w:t>
      </w:r>
      <w:r>
        <w:t>where rabies lyssavirus exists in animals)</w:t>
      </w:r>
      <w:r w:rsidRPr="002909BF">
        <w:t>. Rabies lyssavirus is enzootic in Asia (including Southeast Asia where large numbers of Australians travel), Africa, North and South America and parts of Europe.</w:t>
      </w:r>
      <w:r w:rsidRPr="00BC1D61">
        <w:rPr>
          <w:vertAlign w:val="superscript"/>
        </w:rPr>
        <w:fldChar w:fldCharType="begin"/>
      </w:r>
      <w:r w:rsidRPr="00BC1D61">
        <w:rPr>
          <w:vertAlign w:val="superscript"/>
        </w:rPr>
        <w:instrText xml:space="preserve"> NOTEREF _Ref130801918 \h </w:instrText>
      </w:r>
      <w:r>
        <w:rPr>
          <w:vertAlign w:val="superscript"/>
        </w:rPr>
        <w:instrText xml:space="preserve"> \* MERGEFORMAT </w:instrText>
      </w:r>
      <w:r w:rsidRPr="00BC1D61">
        <w:rPr>
          <w:vertAlign w:val="superscript"/>
        </w:rPr>
      </w:r>
      <w:r w:rsidRPr="00BC1D61">
        <w:rPr>
          <w:vertAlign w:val="superscript"/>
        </w:rPr>
        <w:fldChar w:fldCharType="separate"/>
      </w:r>
      <w:r w:rsidR="00056FD1">
        <w:rPr>
          <w:vertAlign w:val="superscript"/>
        </w:rPr>
        <w:t>4</w:t>
      </w:r>
      <w:r w:rsidRPr="00BC1D61">
        <w:rPr>
          <w:vertAlign w:val="superscript"/>
        </w:rPr>
        <w:fldChar w:fldCharType="end"/>
      </w:r>
      <w:r w:rsidRPr="00BC1D61">
        <w:rPr>
          <w:vertAlign w:val="superscript"/>
        </w:rPr>
        <w:t>,</w:t>
      </w:r>
      <w:r w:rsidRPr="00BC1D61">
        <w:rPr>
          <w:vertAlign w:val="superscript"/>
        </w:rPr>
        <w:fldChar w:fldCharType="begin"/>
      </w:r>
      <w:r w:rsidRPr="00BC1D61">
        <w:rPr>
          <w:vertAlign w:val="superscript"/>
        </w:rPr>
        <w:instrText xml:space="preserve"> NOTEREF _Ref130804572 \h </w:instrText>
      </w:r>
      <w:r>
        <w:rPr>
          <w:vertAlign w:val="superscript"/>
        </w:rPr>
        <w:instrText xml:space="preserve"> \* MERGEFORMAT </w:instrText>
      </w:r>
      <w:r w:rsidRPr="00BC1D61">
        <w:rPr>
          <w:vertAlign w:val="superscript"/>
        </w:rPr>
      </w:r>
      <w:r w:rsidRPr="00BC1D61">
        <w:rPr>
          <w:vertAlign w:val="superscript"/>
        </w:rPr>
        <w:fldChar w:fldCharType="separate"/>
      </w:r>
      <w:r w:rsidR="00056FD1">
        <w:rPr>
          <w:vertAlign w:val="superscript"/>
        </w:rPr>
        <w:t>6</w:t>
      </w:r>
      <w:r w:rsidRPr="00BC1D61">
        <w:rPr>
          <w:vertAlign w:val="superscript"/>
        </w:rPr>
        <w:fldChar w:fldCharType="end"/>
      </w:r>
    </w:p>
    <w:p w14:paraId="7A174FD9" w14:textId="62C8424B" w:rsidR="00AB386E" w:rsidRDefault="00AB386E" w:rsidP="001F3D6A">
      <w:pPr>
        <w:pStyle w:val="Heading5"/>
      </w:pPr>
      <w:r>
        <w:t>Australian bat lyssavirus</w:t>
      </w:r>
    </w:p>
    <w:p w14:paraId="4D1CD4C1" w14:textId="7B92B924" w:rsidR="00725DE0" w:rsidRDefault="00BF166F" w:rsidP="00A0166B">
      <w:r>
        <w:t xml:space="preserve">Besides </w:t>
      </w:r>
      <w:r w:rsidR="001B523E">
        <w:t xml:space="preserve">classical </w:t>
      </w:r>
      <w:r>
        <w:t xml:space="preserve">rabies lyssavirus, other </w:t>
      </w:r>
      <w:r w:rsidR="001B523E">
        <w:t xml:space="preserve">very closely related </w:t>
      </w:r>
      <w:r>
        <w:t xml:space="preserve">viruses from the same Lyssavirus genus </w:t>
      </w:r>
      <w:r w:rsidR="001608D4">
        <w:t>cause r</w:t>
      </w:r>
      <w:r>
        <w:t>abies disease.</w:t>
      </w:r>
      <w:r w:rsidR="001B523E" w:rsidRPr="003577ED">
        <w:rPr>
          <w:vertAlign w:val="superscript"/>
        </w:rPr>
        <w:fldChar w:fldCharType="begin"/>
      </w:r>
      <w:r w:rsidR="001B523E" w:rsidRPr="003577ED">
        <w:rPr>
          <w:vertAlign w:val="superscript"/>
        </w:rPr>
        <w:instrText xml:space="preserve"> NOTEREF _Ref130813493 \h </w:instrText>
      </w:r>
      <w:r w:rsidR="001B523E">
        <w:rPr>
          <w:vertAlign w:val="superscript"/>
        </w:rPr>
        <w:instrText xml:space="preserve"> \* MERGEFORMAT </w:instrText>
      </w:r>
      <w:r w:rsidR="001B523E" w:rsidRPr="003577ED">
        <w:rPr>
          <w:vertAlign w:val="superscript"/>
        </w:rPr>
      </w:r>
      <w:r w:rsidR="001B523E" w:rsidRPr="003577ED">
        <w:rPr>
          <w:vertAlign w:val="superscript"/>
        </w:rPr>
        <w:fldChar w:fldCharType="separate"/>
      </w:r>
      <w:r w:rsidR="00056FD1">
        <w:rPr>
          <w:vertAlign w:val="superscript"/>
        </w:rPr>
        <w:t>2</w:t>
      </w:r>
      <w:r w:rsidR="001B523E" w:rsidRPr="003577ED">
        <w:rPr>
          <w:vertAlign w:val="superscript"/>
        </w:rPr>
        <w:fldChar w:fldCharType="end"/>
      </w:r>
      <w:r w:rsidR="001B523E" w:rsidRPr="003577ED">
        <w:rPr>
          <w:vertAlign w:val="superscript"/>
        </w:rPr>
        <w:t>,</w:t>
      </w:r>
      <w:r w:rsidR="001B523E" w:rsidRPr="003577ED">
        <w:rPr>
          <w:vertAlign w:val="superscript"/>
        </w:rPr>
        <w:fldChar w:fldCharType="begin"/>
      </w:r>
      <w:r w:rsidR="001B523E" w:rsidRPr="003577ED">
        <w:rPr>
          <w:vertAlign w:val="superscript"/>
        </w:rPr>
        <w:instrText xml:space="preserve"> NOTEREF _Ref130813497 \h </w:instrText>
      </w:r>
      <w:r w:rsidR="001B523E">
        <w:rPr>
          <w:vertAlign w:val="superscript"/>
        </w:rPr>
        <w:instrText xml:space="preserve"> \* MERGEFORMAT </w:instrText>
      </w:r>
      <w:r w:rsidR="001B523E" w:rsidRPr="003577ED">
        <w:rPr>
          <w:vertAlign w:val="superscript"/>
        </w:rPr>
      </w:r>
      <w:r w:rsidR="001B523E" w:rsidRPr="003577ED">
        <w:rPr>
          <w:vertAlign w:val="superscript"/>
        </w:rPr>
        <w:fldChar w:fldCharType="separate"/>
      </w:r>
      <w:r w:rsidR="00056FD1">
        <w:rPr>
          <w:vertAlign w:val="superscript"/>
        </w:rPr>
        <w:t>3</w:t>
      </w:r>
      <w:r w:rsidR="001B523E" w:rsidRPr="003577ED">
        <w:rPr>
          <w:vertAlign w:val="superscript"/>
        </w:rPr>
        <w:fldChar w:fldCharType="end"/>
      </w:r>
      <w:r>
        <w:t xml:space="preserve"> </w:t>
      </w:r>
      <w:r w:rsidR="00474E2C">
        <w:t xml:space="preserve">Another lyssavirus, </w:t>
      </w:r>
      <w:r w:rsidR="00474E2C" w:rsidRPr="002909BF">
        <w:t>Australian bat lyssavirus</w:t>
      </w:r>
      <w:r w:rsidR="00474E2C">
        <w:t>,</w:t>
      </w:r>
      <w:r w:rsidR="00474E2C" w:rsidRPr="002909BF">
        <w:t xml:space="preserve"> occur</w:t>
      </w:r>
      <w:r w:rsidR="0008332E">
        <w:t>s</w:t>
      </w:r>
      <w:r w:rsidR="00474E2C" w:rsidRPr="002909BF">
        <w:t xml:space="preserve"> in bats in Australia and can be transmitted from bats to humans and to other animals.</w:t>
      </w:r>
      <w:r w:rsidR="00F03DBF" w:rsidRPr="00F03DBF">
        <w:rPr>
          <w:vertAlign w:val="superscript"/>
        </w:rPr>
        <w:fldChar w:fldCharType="begin"/>
      </w:r>
      <w:r w:rsidR="00F03DBF" w:rsidRPr="00F03DBF">
        <w:rPr>
          <w:vertAlign w:val="superscript"/>
        </w:rPr>
        <w:instrText xml:space="preserve"> NOTEREF _Ref130813493 \h </w:instrText>
      </w:r>
      <w:r w:rsidR="00F03DBF">
        <w:rPr>
          <w:vertAlign w:val="superscript"/>
        </w:rPr>
        <w:instrText xml:space="preserve"> \* MERGEFORMAT </w:instrText>
      </w:r>
      <w:r w:rsidR="00F03DBF" w:rsidRPr="00F03DBF">
        <w:rPr>
          <w:vertAlign w:val="superscript"/>
        </w:rPr>
      </w:r>
      <w:r w:rsidR="00F03DBF" w:rsidRPr="00F03DBF">
        <w:rPr>
          <w:vertAlign w:val="superscript"/>
        </w:rPr>
        <w:fldChar w:fldCharType="separate"/>
      </w:r>
      <w:r w:rsidR="00056FD1">
        <w:rPr>
          <w:vertAlign w:val="superscript"/>
        </w:rPr>
        <w:t>2</w:t>
      </w:r>
      <w:r w:rsidR="00F03DBF" w:rsidRPr="00F03DBF">
        <w:rPr>
          <w:vertAlign w:val="superscript"/>
        </w:rPr>
        <w:fldChar w:fldCharType="end"/>
      </w:r>
      <w:r w:rsidR="00474E2C" w:rsidRPr="002909BF">
        <w:t xml:space="preserve"> To date, virological and/or serological evidence of Australian bat lyssavirus infection has been found in all four species of flying foxes found in Australia, and at least seven genera of Australian insectivorous bats.</w:t>
      </w:r>
      <w:r w:rsidR="005D2CC1" w:rsidRPr="005D2CC1">
        <w:rPr>
          <w:vertAlign w:val="superscript"/>
        </w:rPr>
        <w:fldChar w:fldCharType="begin"/>
      </w:r>
      <w:r w:rsidR="005D2CC1" w:rsidRPr="005D2CC1">
        <w:rPr>
          <w:vertAlign w:val="superscript"/>
        </w:rPr>
        <w:instrText xml:space="preserve"> NOTEREF _Ref133492041 \h </w:instrText>
      </w:r>
      <w:r w:rsidR="005D2CC1" w:rsidRPr="005D2CC1">
        <w:rPr>
          <w:vertAlign w:val="superscript"/>
        </w:rPr>
      </w:r>
      <w:r w:rsidR="005D2CC1" w:rsidRPr="005D2CC1">
        <w:rPr>
          <w:vertAlign w:val="superscript"/>
        </w:rPr>
        <w:fldChar w:fldCharType="separate"/>
      </w:r>
      <w:r w:rsidR="00056FD1">
        <w:rPr>
          <w:vertAlign w:val="superscript"/>
        </w:rPr>
        <w:t>5</w:t>
      </w:r>
      <w:r w:rsidR="005D2CC1" w:rsidRPr="005D2CC1">
        <w:rPr>
          <w:vertAlign w:val="superscript"/>
        </w:rPr>
        <w:fldChar w:fldCharType="end"/>
      </w:r>
      <w:r w:rsidR="00474E2C" w:rsidRPr="002909BF">
        <w:t xml:space="preserve"> </w:t>
      </w:r>
      <w:r w:rsidR="0008332E" w:rsidRPr="002909BF">
        <w:t xml:space="preserve">Research indicates that Australian bat </w:t>
      </w:r>
      <w:r w:rsidR="0008332E" w:rsidRPr="002909BF">
        <w:lastRenderedPageBreak/>
        <w:t>lyssavirus is present in less than 1% of all free living bats, however it is more common in sick, injured or orphaned bats, with up to one third of sick or injured bats with signs of central nervous system disease being infected with Australian bat lyssavirus.</w:t>
      </w:r>
      <w:r w:rsidR="0008332E" w:rsidRPr="002909BF">
        <w:rPr>
          <w:rStyle w:val="FootnoteReference"/>
        </w:rPr>
        <w:footnoteReference w:id="7"/>
      </w:r>
      <w:r w:rsidR="0008332E">
        <w:t xml:space="preserve"> </w:t>
      </w:r>
      <w:r w:rsidR="00725DE0">
        <w:t>Only 3 known cases have been documented in humans.</w:t>
      </w:r>
      <w:r w:rsidR="00EE5285">
        <w:rPr>
          <w:rStyle w:val="FootnoteReference"/>
        </w:rPr>
        <w:footnoteReference w:id="8"/>
      </w:r>
      <w:r w:rsidR="00474E2C">
        <w:rPr>
          <w:vertAlign w:val="superscript"/>
        </w:rPr>
        <w:t>,</w:t>
      </w:r>
      <w:r w:rsidR="00474E2C">
        <w:rPr>
          <w:rStyle w:val="FootnoteReference"/>
        </w:rPr>
        <w:footnoteReference w:id="9"/>
      </w:r>
      <w:r w:rsidR="00474E2C">
        <w:rPr>
          <w:vertAlign w:val="superscript"/>
        </w:rPr>
        <w:t>,</w:t>
      </w:r>
      <w:r w:rsidR="00474E2C">
        <w:rPr>
          <w:rStyle w:val="FootnoteReference"/>
        </w:rPr>
        <w:footnoteReference w:id="10"/>
      </w:r>
      <w:r w:rsidR="00725DE0">
        <w:t xml:space="preserve"> All 3 cases were fatal and occurred in people who had been scratched or bitten by bats.</w:t>
      </w:r>
    </w:p>
    <w:p w14:paraId="013CAFC7" w14:textId="613ADDFA" w:rsidR="001A0678" w:rsidRDefault="001A0678" w:rsidP="001F3D6A">
      <w:pPr>
        <w:pStyle w:val="Heading4"/>
      </w:pPr>
      <w:r>
        <w:t>Risk factors</w:t>
      </w:r>
    </w:p>
    <w:p w14:paraId="3096EEBF" w14:textId="7CDCD59F" w:rsidR="00A0166B" w:rsidRPr="002909BF" w:rsidRDefault="006D1F61" w:rsidP="00A0166B">
      <w:r w:rsidRPr="002909BF">
        <w:t>The r</w:t>
      </w:r>
      <w:r w:rsidR="00A0166B" w:rsidRPr="002909BF">
        <w:t>isk groups for exposure</w:t>
      </w:r>
      <w:r w:rsidRPr="002909BF">
        <w:t xml:space="preserve"> include p</w:t>
      </w:r>
      <w:r w:rsidR="00A0166B" w:rsidRPr="002909BF">
        <w:t>eople who handle bats in Australia or overseas</w:t>
      </w:r>
      <w:r w:rsidR="002D338D">
        <w:t>;</w:t>
      </w:r>
      <w:r w:rsidR="00A0166B" w:rsidRPr="002909BF">
        <w:t xml:space="preserve"> and </w:t>
      </w:r>
      <w:r w:rsidR="002D338D">
        <w:t>anyone</w:t>
      </w:r>
      <w:r w:rsidR="002D338D" w:rsidRPr="002909BF">
        <w:t xml:space="preserve"> </w:t>
      </w:r>
      <w:r w:rsidR="00A0166B" w:rsidRPr="002909BF">
        <w:t>who come</w:t>
      </w:r>
      <w:r w:rsidR="002D338D">
        <w:t>s</w:t>
      </w:r>
      <w:r w:rsidR="00A0166B" w:rsidRPr="002909BF">
        <w:t xml:space="preserve"> into contact with wild or domestic land</w:t>
      </w:r>
      <w:r w:rsidR="009B7DC3" w:rsidRPr="002909BF">
        <w:t xml:space="preserve"> </w:t>
      </w:r>
      <w:r w:rsidR="00A0166B" w:rsidRPr="002909BF">
        <w:t>dwelling mammals (especially dogs, cats</w:t>
      </w:r>
      <w:r w:rsidRPr="002909BF">
        <w:t xml:space="preserve"> and</w:t>
      </w:r>
      <w:r w:rsidR="00A0166B" w:rsidRPr="002909BF">
        <w:t xml:space="preserve"> monkeys) in a country where there is a rabies virus risk, are at increased risk.</w:t>
      </w:r>
      <w:r w:rsidR="005D2CC1" w:rsidRPr="005D2CC1">
        <w:rPr>
          <w:vertAlign w:val="superscript"/>
        </w:rPr>
        <w:fldChar w:fldCharType="begin"/>
      </w:r>
      <w:r w:rsidR="005D2CC1" w:rsidRPr="005D2CC1">
        <w:rPr>
          <w:vertAlign w:val="superscript"/>
        </w:rPr>
        <w:instrText xml:space="preserve"> NOTEREF _Ref130813493 \h </w:instrText>
      </w:r>
      <w:r w:rsidR="005D2CC1">
        <w:rPr>
          <w:vertAlign w:val="superscript"/>
        </w:rPr>
        <w:instrText xml:space="preserve"> \* MERGEFORMAT </w:instrText>
      </w:r>
      <w:r w:rsidR="005D2CC1" w:rsidRPr="005D2CC1">
        <w:rPr>
          <w:vertAlign w:val="superscript"/>
        </w:rPr>
      </w:r>
      <w:r w:rsidR="005D2CC1" w:rsidRPr="005D2CC1">
        <w:rPr>
          <w:vertAlign w:val="superscript"/>
        </w:rPr>
        <w:fldChar w:fldCharType="separate"/>
      </w:r>
      <w:r w:rsidR="00056FD1">
        <w:rPr>
          <w:vertAlign w:val="superscript"/>
        </w:rPr>
        <w:t>2</w:t>
      </w:r>
      <w:r w:rsidR="005D2CC1" w:rsidRPr="005D2CC1">
        <w:rPr>
          <w:vertAlign w:val="superscript"/>
        </w:rPr>
        <w:fldChar w:fldCharType="end"/>
      </w:r>
      <w:r w:rsidR="00A0166B" w:rsidRPr="002909BF">
        <w:t xml:space="preserve"> Children are considered at higher risk for exposure to rabies because they may be more likely to approach animals and are less likely to report licks, bites or scratches. Children may be more likely to be bitten on the face which carries a higher risk of infection. The risk of infection after the bite of a rabid animal can range from less than 1% to </w:t>
      </w:r>
      <w:r w:rsidRPr="002909BF">
        <w:t xml:space="preserve">more than </w:t>
      </w:r>
      <w:r w:rsidR="00A0166B" w:rsidRPr="002909BF">
        <w:t>80%, related to the viral load, severity of bite, nerve density in the area of the bite, proximity of the bite to the central nervous system, vaccination status and immunocompetence.</w:t>
      </w:r>
      <w:r w:rsidR="005D2CC1" w:rsidRPr="005D2CC1">
        <w:rPr>
          <w:vertAlign w:val="superscript"/>
        </w:rPr>
        <w:fldChar w:fldCharType="begin"/>
      </w:r>
      <w:r w:rsidR="005D2CC1" w:rsidRPr="005D2CC1">
        <w:rPr>
          <w:vertAlign w:val="superscript"/>
        </w:rPr>
        <w:instrText xml:space="preserve"> NOTEREF _Ref133492041 \h </w:instrText>
      </w:r>
      <w:r w:rsidR="005D2CC1">
        <w:rPr>
          <w:vertAlign w:val="superscript"/>
        </w:rPr>
        <w:instrText xml:space="preserve"> \* MERGEFORMAT </w:instrText>
      </w:r>
      <w:r w:rsidR="005D2CC1" w:rsidRPr="005D2CC1">
        <w:rPr>
          <w:vertAlign w:val="superscript"/>
        </w:rPr>
      </w:r>
      <w:r w:rsidR="005D2CC1" w:rsidRPr="005D2CC1">
        <w:rPr>
          <w:vertAlign w:val="superscript"/>
        </w:rPr>
        <w:fldChar w:fldCharType="separate"/>
      </w:r>
      <w:r w:rsidR="00056FD1">
        <w:rPr>
          <w:vertAlign w:val="superscript"/>
        </w:rPr>
        <w:t>5</w:t>
      </w:r>
      <w:r w:rsidR="005D2CC1" w:rsidRPr="005D2CC1">
        <w:rPr>
          <w:vertAlign w:val="superscript"/>
        </w:rPr>
        <w:fldChar w:fldCharType="end"/>
      </w:r>
    </w:p>
    <w:p w14:paraId="096129B4" w14:textId="66890BCC" w:rsidR="001A0678" w:rsidRDefault="001A0678" w:rsidP="001F3D6A">
      <w:pPr>
        <w:pStyle w:val="Heading4"/>
      </w:pPr>
      <w:r>
        <w:t>Clinical features</w:t>
      </w:r>
    </w:p>
    <w:p w14:paraId="4595C9CA" w14:textId="0A4952F9" w:rsidR="00A0166B" w:rsidRPr="002909BF" w:rsidRDefault="00A0166B" w:rsidP="00A0166B">
      <w:r w:rsidRPr="002909BF">
        <w:t>Clinical stages of rabies can progress from incubation period (days to years) to prodrome state (0</w:t>
      </w:r>
      <w:r w:rsidR="006D1F61" w:rsidRPr="002909BF">
        <w:t xml:space="preserve"> to </w:t>
      </w:r>
      <w:r w:rsidRPr="002909BF">
        <w:t>10 days) to acute neurologic period (2</w:t>
      </w:r>
      <w:r w:rsidR="006D1F61" w:rsidRPr="002909BF">
        <w:t xml:space="preserve"> to </w:t>
      </w:r>
      <w:r w:rsidRPr="002909BF">
        <w:t>7 days) to coma (5</w:t>
      </w:r>
      <w:r w:rsidR="006D1F61" w:rsidRPr="002909BF">
        <w:t xml:space="preserve"> to </w:t>
      </w:r>
      <w:r w:rsidRPr="002909BF">
        <w:t>14 days) to death.</w:t>
      </w:r>
      <w:bookmarkStart w:id="20" w:name="_Ref128138275"/>
      <w:r w:rsidR="009722DC" w:rsidRPr="002909BF">
        <w:rPr>
          <w:rStyle w:val="FootnoteReference"/>
        </w:rPr>
        <w:footnoteReference w:id="11"/>
      </w:r>
      <w:bookmarkEnd w:id="20"/>
      <w:r w:rsidRPr="002909BF">
        <w:t xml:space="preserve"> The incubation period is typically 2</w:t>
      </w:r>
      <w:r w:rsidR="006D1F61" w:rsidRPr="002909BF">
        <w:t xml:space="preserve"> to </w:t>
      </w:r>
      <w:r w:rsidRPr="002909BF">
        <w:t xml:space="preserve">3 months but may vary from a few days to years. Wounds close to the </w:t>
      </w:r>
      <w:r w:rsidR="006D1F61" w:rsidRPr="002909BF">
        <w:t xml:space="preserve">central nervous system </w:t>
      </w:r>
      <w:r w:rsidRPr="002909BF">
        <w:t>or to richly innervated areas (</w:t>
      </w:r>
      <w:r w:rsidR="0075406F" w:rsidRPr="002909BF">
        <w:t>for example,</w:t>
      </w:r>
      <w:r w:rsidRPr="002909BF">
        <w:t xml:space="preserve"> fingers), and wounds with large viral inoculation carry increased infection risk and may result in a shorter incubation period.</w:t>
      </w:r>
      <w:bookmarkStart w:id="21" w:name="_Ref128138131"/>
      <w:r w:rsidR="009722DC" w:rsidRPr="002909BF">
        <w:rPr>
          <w:rStyle w:val="FootnoteReference"/>
        </w:rPr>
        <w:footnoteReference w:id="12"/>
      </w:r>
      <w:bookmarkEnd w:id="21"/>
      <w:r w:rsidR="009722DC" w:rsidRPr="002909BF">
        <w:rPr>
          <w:vertAlign w:val="superscript"/>
        </w:rPr>
        <w:t>,</w:t>
      </w:r>
      <w:bookmarkStart w:id="22" w:name="_Ref128138234"/>
      <w:r w:rsidR="009722DC" w:rsidRPr="002909BF">
        <w:rPr>
          <w:rStyle w:val="FootnoteReference"/>
        </w:rPr>
        <w:footnoteReference w:id="13"/>
      </w:r>
      <w:bookmarkEnd w:id="22"/>
      <w:r w:rsidRPr="002909BF">
        <w:t xml:space="preserve"> As the virus spreads to the </w:t>
      </w:r>
      <w:r w:rsidR="006D1F61" w:rsidRPr="002909BF">
        <w:t>central nervous system</w:t>
      </w:r>
      <w:r w:rsidRPr="002909BF">
        <w:t>, progressive and fatal inflammation of the brain and spinal cord develops.</w:t>
      </w:r>
      <w:r w:rsidR="009722DC" w:rsidRPr="002909BF">
        <w:rPr>
          <w:vertAlign w:val="superscript"/>
        </w:rPr>
        <w:fldChar w:fldCharType="begin"/>
      </w:r>
      <w:r w:rsidR="009722DC" w:rsidRPr="002909BF">
        <w:rPr>
          <w:vertAlign w:val="superscript"/>
        </w:rPr>
        <w:instrText xml:space="preserve"> NOTEREF _Ref128138131 \h  \* MERGEFORMAT </w:instrText>
      </w:r>
      <w:r w:rsidR="009722DC" w:rsidRPr="002909BF">
        <w:rPr>
          <w:vertAlign w:val="superscript"/>
        </w:rPr>
      </w:r>
      <w:r w:rsidR="009722DC" w:rsidRPr="002909BF">
        <w:rPr>
          <w:vertAlign w:val="superscript"/>
        </w:rPr>
        <w:fldChar w:fldCharType="separate"/>
      </w:r>
      <w:r w:rsidR="00056FD1">
        <w:rPr>
          <w:vertAlign w:val="superscript"/>
        </w:rPr>
        <w:t>12</w:t>
      </w:r>
      <w:r w:rsidR="009722DC" w:rsidRPr="002909BF">
        <w:rPr>
          <w:vertAlign w:val="superscript"/>
        </w:rPr>
        <w:fldChar w:fldCharType="end"/>
      </w:r>
      <w:r w:rsidRPr="002909BF">
        <w:t xml:space="preserve"> In furious rabies, prodromal symptoms may precede sensorineural dysfunction, which deteriorates into hyperactivity, excitable behaviour, hydrophobia and sometimes aerophobia. Death from cardiorespiratory arrest occurs after a few days.</w:t>
      </w:r>
      <w:r w:rsidR="009722DC" w:rsidRPr="002909BF">
        <w:rPr>
          <w:vertAlign w:val="superscript"/>
        </w:rPr>
        <w:fldChar w:fldCharType="begin"/>
      </w:r>
      <w:r w:rsidR="009722DC" w:rsidRPr="002909BF">
        <w:rPr>
          <w:vertAlign w:val="superscript"/>
        </w:rPr>
        <w:instrText xml:space="preserve"> NOTEREF _Ref128138131 \h  \* MERGEFORMAT </w:instrText>
      </w:r>
      <w:r w:rsidR="009722DC" w:rsidRPr="002909BF">
        <w:rPr>
          <w:vertAlign w:val="superscript"/>
        </w:rPr>
      </w:r>
      <w:r w:rsidR="009722DC" w:rsidRPr="002909BF">
        <w:rPr>
          <w:vertAlign w:val="superscript"/>
        </w:rPr>
        <w:fldChar w:fldCharType="separate"/>
      </w:r>
      <w:r w:rsidR="00056FD1">
        <w:rPr>
          <w:vertAlign w:val="superscript"/>
        </w:rPr>
        <w:t>12</w:t>
      </w:r>
      <w:r w:rsidR="009722DC" w:rsidRPr="002909BF">
        <w:rPr>
          <w:vertAlign w:val="superscript"/>
        </w:rPr>
        <w:fldChar w:fldCharType="end"/>
      </w:r>
      <w:r w:rsidR="009722DC" w:rsidRPr="002909BF">
        <w:rPr>
          <w:vertAlign w:val="superscript"/>
        </w:rPr>
        <w:t>,</w:t>
      </w:r>
      <w:r w:rsidR="009722DC" w:rsidRPr="002909BF">
        <w:rPr>
          <w:vertAlign w:val="superscript"/>
        </w:rPr>
        <w:fldChar w:fldCharType="begin"/>
      </w:r>
      <w:r w:rsidR="009722DC" w:rsidRPr="002909BF">
        <w:rPr>
          <w:vertAlign w:val="superscript"/>
        </w:rPr>
        <w:instrText xml:space="preserve"> NOTEREF _Ref128138234 \h </w:instrText>
      </w:r>
      <w:r w:rsidR="002909BF">
        <w:rPr>
          <w:vertAlign w:val="superscript"/>
        </w:rPr>
        <w:instrText xml:space="preserve"> \* MERGEFORMAT </w:instrText>
      </w:r>
      <w:r w:rsidR="009722DC" w:rsidRPr="002909BF">
        <w:rPr>
          <w:vertAlign w:val="superscript"/>
        </w:rPr>
      </w:r>
      <w:r w:rsidR="009722DC" w:rsidRPr="002909BF">
        <w:rPr>
          <w:vertAlign w:val="superscript"/>
        </w:rPr>
        <w:fldChar w:fldCharType="separate"/>
      </w:r>
      <w:r w:rsidR="00056FD1">
        <w:rPr>
          <w:vertAlign w:val="superscript"/>
        </w:rPr>
        <w:t>13</w:t>
      </w:r>
      <w:r w:rsidR="009722DC" w:rsidRPr="002909BF">
        <w:rPr>
          <w:vertAlign w:val="superscript"/>
        </w:rPr>
        <w:fldChar w:fldCharType="end"/>
      </w:r>
      <w:r w:rsidRPr="002909BF">
        <w:t xml:space="preserve"> In contrast, paralytic rabies runs a longer course than the furious form. Muscle paralysis begins at the wound site, a coma slowly develops, and eventually death occurs. This accounts for about 20% of human cases worldwide.</w:t>
      </w:r>
      <w:r w:rsidR="009722DC" w:rsidRPr="002909BF">
        <w:rPr>
          <w:vertAlign w:val="superscript"/>
        </w:rPr>
        <w:fldChar w:fldCharType="begin"/>
      </w:r>
      <w:r w:rsidR="009722DC" w:rsidRPr="002909BF">
        <w:rPr>
          <w:vertAlign w:val="superscript"/>
        </w:rPr>
        <w:instrText xml:space="preserve"> NOTEREF _Ref128138131 \h  \* MERGEFORMAT </w:instrText>
      </w:r>
      <w:r w:rsidR="009722DC" w:rsidRPr="002909BF">
        <w:rPr>
          <w:vertAlign w:val="superscript"/>
        </w:rPr>
      </w:r>
      <w:r w:rsidR="009722DC" w:rsidRPr="002909BF">
        <w:rPr>
          <w:vertAlign w:val="superscript"/>
        </w:rPr>
        <w:fldChar w:fldCharType="separate"/>
      </w:r>
      <w:r w:rsidR="00056FD1">
        <w:rPr>
          <w:vertAlign w:val="superscript"/>
        </w:rPr>
        <w:t>12</w:t>
      </w:r>
      <w:r w:rsidR="009722DC" w:rsidRPr="002909BF">
        <w:rPr>
          <w:vertAlign w:val="superscript"/>
        </w:rPr>
        <w:fldChar w:fldCharType="end"/>
      </w:r>
    </w:p>
    <w:p w14:paraId="27BCB24D" w14:textId="0CF72E74" w:rsidR="007F15C6" w:rsidRDefault="007F15C6" w:rsidP="001F3D6A">
      <w:pPr>
        <w:pStyle w:val="Heading4"/>
      </w:pPr>
      <w:r>
        <w:t>Prevention and treatment</w:t>
      </w:r>
    </w:p>
    <w:p w14:paraId="19DD414F" w14:textId="4DB7E6AD" w:rsidR="00A0166B" w:rsidRPr="002909BF" w:rsidRDefault="00A0166B" w:rsidP="00A0166B">
      <w:r w:rsidRPr="002909BF">
        <w:t xml:space="preserve">Rabies can be prevented by avoidance of viral exposure and initiation of prompt medical intervention when </w:t>
      </w:r>
      <w:r w:rsidR="002D338D">
        <w:t xml:space="preserve">potential </w:t>
      </w:r>
      <w:r w:rsidRPr="002909BF">
        <w:t>exposure does occur.</w:t>
      </w:r>
      <w:r w:rsidR="009722DC" w:rsidRPr="002909BF">
        <w:rPr>
          <w:vertAlign w:val="superscript"/>
        </w:rPr>
        <w:fldChar w:fldCharType="begin"/>
      </w:r>
      <w:r w:rsidR="009722DC" w:rsidRPr="002909BF">
        <w:rPr>
          <w:vertAlign w:val="superscript"/>
        </w:rPr>
        <w:instrText xml:space="preserve"> NOTEREF _Ref128138275 \h  \* MERGEFORMAT </w:instrText>
      </w:r>
      <w:r w:rsidR="009722DC" w:rsidRPr="002909BF">
        <w:rPr>
          <w:vertAlign w:val="superscript"/>
        </w:rPr>
      </w:r>
      <w:r w:rsidR="009722DC" w:rsidRPr="002909BF">
        <w:rPr>
          <w:vertAlign w:val="superscript"/>
        </w:rPr>
        <w:fldChar w:fldCharType="separate"/>
      </w:r>
      <w:r w:rsidR="00056FD1">
        <w:rPr>
          <w:vertAlign w:val="superscript"/>
        </w:rPr>
        <w:t>11</w:t>
      </w:r>
      <w:r w:rsidR="009722DC" w:rsidRPr="002909BF">
        <w:rPr>
          <w:vertAlign w:val="superscript"/>
        </w:rPr>
        <w:fldChar w:fldCharType="end"/>
      </w:r>
      <w:r w:rsidR="009722DC" w:rsidRPr="002909BF">
        <w:rPr>
          <w:vertAlign w:val="superscript"/>
        </w:rPr>
        <w:t>,</w:t>
      </w:r>
      <w:r w:rsidR="009722DC" w:rsidRPr="002909BF">
        <w:rPr>
          <w:rStyle w:val="FootnoteReference"/>
        </w:rPr>
        <w:footnoteReference w:id="14"/>
      </w:r>
      <w:r w:rsidRPr="002909BF">
        <w:t xml:space="preserve"> The Australian Immunisation </w:t>
      </w:r>
      <w:r w:rsidRPr="002909BF">
        <w:lastRenderedPageBreak/>
        <w:t xml:space="preserve">Handbook recommends </w:t>
      </w:r>
      <w:r w:rsidR="008350EB" w:rsidRPr="002909BF">
        <w:t>post-exposure prophylaxis (PEP)</w:t>
      </w:r>
      <w:r w:rsidR="00155062" w:rsidRPr="002909BF">
        <w:t xml:space="preserve"> </w:t>
      </w:r>
      <w:r w:rsidRPr="002909BF">
        <w:t xml:space="preserve">for rabies with wound management and rabies vaccine following potential exposures to rabies virus, with the addition of human rabies immunoglobulin in non-immune persons after potential </w:t>
      </w:r>
      <w:r w:rsidR="006D1F61" w:rsidRPr="002909BF">
        <w:t>C</w:t>
      </w:r>
      <w:r w:rsidRPr="002909BF">
        <w:t>ategory 3 exposures to lyssaviruses from a terrestrial animal in a rabie</w:t>
      </w:r>
      <w:r w:rsidR="006D1F61" w:rsidRPr="002909BF">
        <w:t xml:space="preserve">s </w:t>
      </w:r>
      <w:r w:rsidRPr="002909BF">
        <w:t xml:space="preserve">enzootic area, and </w:t>
      </w:r>
      <w:r w:rsidR="006D1F61" w:rsidRPr="002909BF">
        <w:t xml:space="preserve">Category </w:t>
      </w:r>
      <w:r w:rsidRPr="002909BF">
        <w:t xml:space="preserve">2 or 2 exposures to lyssavirus from bats in Australia or overseas. Category 2 exposure is defined as nibbling of uncovered skin, minor </w:t>
      </w:r>
      <w:proofErr w:type="gramStart"/>
      <w:r w:rsidRPr="002909BF">
        <w:t>scratches</w:t>
      </w:r>
      <w:proofErr w:type="gramEnd"/>
      <w:r w:rsidRPr="002909BF">
        <w:t xml:space="preserve"> or abrasions without bleeding. Category 3 exposure is defined as single or multiple transdermal bites or scratches, contamination of mucous membrane or broken skin with saliva from animal licks, or exposure due to direct contact with bats. Current rabies vaccines available in Australia include </w:t>
      </w:r>
      <w:proofErr w:type="spellStart"/>
      <w:r w:rsidRPr="002909BF">
        <w:t>Merieux</w:t>
      </w:r>
      <w:proofErr w:type="spellEnd"/>
      <w:r w:rsidRPr="002909BF">
        <w:t xml:space="preserve"> Inactivated Rabies Vaccine</w:t>
      </w:r>
      <w:r w:rsidR="0058269D" w:rsidRPr="002909BF">
        <w:t>;</w:t>
      </w:r>
      <w:r w:rsidR="0058269D" w:rsidRPr="002909BF">
        <w:rPr>
          <w:rStyle w:val="FootnoteReference"/>
        </w:rPr>
        <w:footnoteReference w:id="15"/>
      </w:r>
      <w:r w:rsidRPr="002909BF">
        <w:t xml:space="preserve"> and Rabipur </w:t>
      </w:r>
      <w:r w:rsidR="0058269D" w:rsidRPr="002909BF">
        <w:t>inactivated rabies virus vaccine</w:t>
      </w:r>
      <w:r w:rsidRPr="002909BF">
        <w:t>.</w:t>
      </w:r>
      <w:r w:rsidR="0058269D" w:rsidRPr="002909BF">
        <w:rPr>
          <w:rStyle w:val="FootnoteReference"/>
        </w:rPr>
        <w:footnoteReference w:id="16"/>
      </w:r>
      <w:r w:rsidR="0058269D" w:rsidRPr="002909BF">
        <w:rPr>
          <w:vertAlign w:val="superscript"/>
        </w:rPr>
        <w:t>,</w:t>
      </w:r>
      <w:bookmarkStart w:id="23" w:name="_Ref130559414"/>
      <w:r w:rsidR="009722DC" w:rsidRPr="002909BF">
        <w:rPr>
          <w:rStyle w:val="FootnoteReference"/>
        </w:rPr>
        <w:footnoteReference w:id="17"/>
      </w:r>
      <w:bookmarkEnd w:id="23"/>
    </w:p>
    <w:p w14:paraId="7E9A58FB" w14:textId="1C0F69EB" w:rsidR="00AE5BBD" w:rsidRPr="002909BF" w:rsidRDefault="00AE5BBD" w:rsidP="00A0166B">
      <w:r w:rsidRPr="002909BF">
        <w:t xml:space="preserve">In Australia, pre-exposure prophylaxis (PrEP) with a rabies vaccine is usually only administered to individuals at high risk for being exposed to rabies. The Australian Immunisation Handbook or </w:t>
      </w:r>
      <w:r w:rsidR="00172645" w:rsidRPr="002909BF">
        <w:t>World Health Organization (</w:t>
      </w:r>
      <w:r w:rsidRPr="002909BF">
        <w:t>WHO</w:t>
      </w:r>
      <w:r w:rsidR="00172645" w:rsidRPr="002909BF">
        <w:t>)</w:t>
      </w:r>
      <w:r w:rsidRPr="002909BF">
        <w:t xml:space="preserve"> guideline regimens are typically used.</w:t>
      </w:r>
      <w:r w:rsidR="007F15C6" w:rsidRPr="005C7A39">
        <w:rPr>
          <w:vertAlign w:val="superscript"/>
        </w:rPr>
        <w:fldChar w:fldCharType="begin"/>
      </w:r>
      <w:r w:rsidR="007F15C6" w:rsidRPr="005C7A39">
        <w:rPr>
          <w:vertAlign w:val="superscript"/>
        </w:rPr>
        <w:instrText xml:space="preserve"> NOTEREF _Ref130559414 \h </w:instrText>
      </w:r>
      <w:r w:rsidR="007F15C6">
        <w:rPr>
          <w:vertAlign w:val="superscript"/>
        </w:rPr>
        <w:instrText xml:space="preserve"> \* MERGEFORMAT </w:instrText>
      </w:r>
      <w:r w:rsidR="007F15C6" w:rsidRPr="005C7A39">
        <w:rPr>
          <w:vertAlign w:val="superscript"/>
        </w:rPr>
      </w:r>
      <w:r w:rsidR="007F15C6" w:rsidRPr="005C7A39">
        <w:rPr>
          <w:vertAlign w:val="superscript"/>
        </w:rPr>
        <w:fldChar w:fldCharType="separate"/>
      </w:r>
      <w:r w:rsidR="00056FD1">
        <w:rPr>
          <w:vertAlign w:val="superscript"/>
        </w:rPr>
        <w:t>17</w:t>
      </w:r>
      <w:r w:rsidR="007F15C6" w:rsidRPr="005C7A39">
        <w:rPr>
          <w:vertAlign w:val="superscript"/>
        </w:rPr>
        <w:fldChar w:fldCharType="end"/>
      </w:r>
      <w:r w:rsidRPr="002909BF">
        <w:t xml:space="preserve"> This may be a three or two dose regimen, either intramuscular or intradermal. A booster vaccine may be warranted if neutralising antibodies decline below protective levels.</w:t>
      </w:r>
      <w:r w:rsidR="00155062" w:rsidRPr="002909BF">
        <w:t xml:space="preserve"> </w:t>
      </w:r>
      <w:r w:rsidRPr="002909BF">
        <w:t xml:space="preserve">Post-exposure prophylaxis involves wound care, supportive treatment, and specifically rabies vaccine with or without </w:t>
      </w:r>
      <w:r w:rsidR="007775A5" w:rsidRPr="002909BF">
        <w:t>rabies immunoglobulin</w:t>
      </w:r>
      <w:r w:rsidRPr="002909BF">
        <w:t>.</w:t>
      </w:r>
    </w:p>
    <w:p w14:paraId="23C5880F" w14:textId="53468591" w:rsidR="00A0166B" w:rsidRDefault="00A0166B" w:rsidP="00A0166B">
      <w:r w:rsidRPr="002909BF">
        <w:t>Without effective intervention, including the combined approach of passive immunisation with rabies immunoglobulin, and simultaneous rabies vaccination, the infection is universally fatal, with an appalling death experienced by the individual.</w:t>
      </w:r>
    </w:p>
    <w:p w14:paraId="537EFCD1" w14:textId="57183334" w:rsidR="001B523E" w:rsidRPr="002909BF" w:rsidRDefault="001B523E" w:rsidP="00A0166B">
      <w:r>
        <w:t xml:space="preserve">The </w:t>
      </w:r>
      <w:r w:rsidRPr="001F3D6A">
        <w:t>Australian Immunisation Handbook</w:t>
      </w:r>
      <w:r>
        <w:t xml:space="preserve"> has further information on rabies </w:t>
      </w:r>
      <w:r w:rsidR="00A762D7">
        <w:t>virus and other lyssavirus infection, including recommendations on post-exposure and pre-exposure prophylaxis.</w:t>
      </w:r>
      <w:r w:rsidR="00F03DBF" w:rsidRPr="00F03DBF">
        <w:rPr>
          <w:vertAlign w:val="superscript"/>
        </w:rPr>
        <w:fldChar w:fldCharType="begin"/>
      </w:r>
      <w:r w:rsidR="00F03DBF" w:rsidRPr="00F03DBF">
        <w:rPr>
          <w:vertAlign w:val="superscript"/>
        </w:rPr>
        <w:instrText xml:space="preserve"> NOTEREF _Ref130559414 \h </w:instrText>
      </w:r>
      <w:r w:rsidR="00F03DBF">
        <w:rPr>
          <w:vertAlign w:val="superscript"/>
        </w:rPr>
        <w:instrText xml:space="preserve"> \* MERGEFORMAT </w:instrText>
      </w:r>
      <w:r w:rsidR="00F03DBF" w:rsidRPr="00F03DBF">
        <w:rPr>
          <w:vertAlign w:val="superscript"/>
        </w:rPr>
      </w:r>
      <w:r w:rsidR="00F03DBF" w:rsidRPr="00F03DBF">
        <w:rPr>
          <w:vertAlign w:val="superscript"/>
        </w:rPr>
        <w:fldChar w:fldCharType="separate"/>
      </w:r>
      <w:r w:rsidR="00056FD1">
        <w:rPr>
          <w:vertAlign w:val="superscript"/>
        </w:rPr>
        <w:t>17</w:t>
      </w:r>
      <w:r w:rsidR="00F03DBF" w:rsidRPr="00F03DBF">
        <w:rPr>
          <w:vertAlign w:val="superscript"/>
        </w:rPr>
        <w:fldChar w:fldCharType="end"/>
      </w:r>
    </w:p>
    <w:p w14:paraId="33D20BBF" w14:textId="5FA12E95" w:rsidR="007F15C6" w:rsidRDefault="007F15C6" w:rsidP="003577ED">
      <w:pPr>
        <w:pStyle w:val="Heading4"/>
      </w:pPr>
      <w:proofErr w:type="spellStart"/>
      <w:r>
        <w:t>Verorab</w:t>
      </w:r>
      <w:proofErr w:type="spellEnd"/>
    </w:p>
    <w:p w14:paraId="059A567E" w14:textId="2C14BFC1" w:rsidR="00AE5BBD" w:rsidRPr="002909BF" w:rsidRDefault="00AE5BBD" w:rsidP="00A0166B">
      <w:proofErr w:type="spellStart"/>
      <w:r w:rsidRPr="002909BF">
        <w:t>Verorab</w:t>
      </w:r>
      <w:proofErr w:type="spellEnd"/>
      <w:r w:rsidRPr="002909BF">
        <w:t xml:space="preserve"> is a sterile stable </w:t>
      </w:r>
      <w:proofErr w:type="gramStart"/>
      <w:r w:rsidRPr="002909BF">
        <w:t>freeze</w:t>
      </w:r>
      <w:r w:rsidR="00155062" w:rsidRPr="002909BF">
        <w:t xml:space="preserve"> </w:t>
      </w:r>
      <w:r w:rsidRPr="002909BF">
        <w:t>dried</w:t>
      </w:r>
      <w:proofErr w:type="gramEnd"/>
      <w:r w:rsidRPr="002909BF">
        <w:t xml:space="preserve"> solution of purified and inactivated rabies virus. It is cultured on Vero cell, inactivated with </w:t>
      </w:r>
      <w:r w:rsidR="00155062" w:rsidRPr="002909BF">
        <w:t>b</w:t>
      </w:r>
      <w:r w:rsidRPr="002909BF">
        <w:t>eta-</w:t>
      </w:r>
      <w:proofErr w:type="gramStart"/>
      <w:r w:rsidRPr="002909BF">
        <w:t>propiolactone</w:t>
      </w:r>
      <w:proofErr w:type="gramEnd"/>
      <w:r w:rsidRPr="002909BF">
        <w:t xml:space="preserve"> and purified by ultracentrifugation.</w:t>
      </w:r>
      <w:r w:rsidR="007274BB" w:rsidRPr="007274BB">
        <w:t xml:space="preserve"> One dose of </w:t>
      </w:r>
      <w:proofErr w:type="spellStart"/>
      <w:r w:rsidR="00D560F2" w:rsidRPr="002909BF">
        <w:t>Verorab</w:t>
      </w:r>
      <w:proofErr w:type="spellEnd"/>
      <w:r w:rsidR="00D560F2" w:rsidRPr="002909BF">
        <w:t xml:space="preserve"> </w:t>
      </w:r>
      <w:r w:rsidR="007274BB" w:rsidRPr="007274BB">
        <w:t xml:space="preserve">vaccine contains 3.25 </w:t>
      </w:r>
      <w:r w:rsidR="002C5498">
        <w:t>international units (</w:t>
      </w:r>
      <w:r w:rsidR="007274BB" w:rsidRPr="007274BB">
        <w:t>IU</w:t>
      </w:r>
      <w:r w:rsidR="002C5498">
        <w:t>)</w:t>
      </w:r>
      <w:r w:rsidR="007274BB" w:rsidRPr="007274BB">
        <w:t xml:space="preserve"> of rabies antigen (</w:t>
      </w:r>
      <w:r w:rsidR="007274BB" w:rsidRPr="007274BB">
        <w:rPr>
          <w:i/>
          <w:iCs/>
        </w:rPr>
        <w:t xml:space="preserve">in vitro </w:t>
      </w:r>
      <w:r w:rsidR="007274BB" w:rsidRPr="007274BB">
        <w:t xml:space="preserve">potency measured using G protein content by </w:t>
      </w:r>
      <w:r w:rsidR="002E1736">
        <w:t>e</w:t>
      </w:r>
      <w:r w:rsidR="002E1736" w:rsidRPr="002E1736">
        <w:t>nzyme-linked immunosorbent assay</w:t>
      </w:r>
      <w:r w:rsidR="007274BB" w:rsidRPr="007274BB">
        <w:t xml:space="preserve">) corresponds to ≥ 2.5 IU by </w:t>
      </w:r>
      <w:r w:rsidR="002E1736" w:rsidRPr="002E1736">
        <w:t>National Institutes of Health</w:t>
      </w:r>
      <w:r w:rsidR="007274BB" w:rsidRPr="007274BB">
        <w:t xml:space="preserve"> test</w:t>
      </w:r>
      <w:r w:rsidRPr="002909BF">
        <w:t>.</w:t>
      </w:r>
    </w:p>
    <w:p w14:paraId="6BE0DAC0" w14:textId="77777777" w:rsidR="008E7846" w:rsidRPr="002909BF" w:rsidRDefault="00386150" w:rsidP="008E7846">
      <w:pPr>
        <w:pStyle w:val="Heading3"/>
      </w:pPr>
      <w:bookmarkStart w:id="24" w:name="_Toc133493830"/>
      <w:r w:rsidRPr="002909BF">
        <w:t>Regulatory s</w:t>
      </w:r>
      <w:r w:rsidR="008E7846" w:rsidRPr="002909BF">
        <w:t>tatus</w:t>
      </w:r>
      <w:bookmarkEnd w:id="12"/>
      <w:bookmarkEnd w:id="13"/>
      <w:bookmarkEnd w:id="24"/>
    </w:p>
    <w:p w14:paraId="2C34E97E" w14:textId="039E76AD" w:rsidR="00332715" w:rsidRPr="002909BF" w:rsidRDefault="00332715" w:rsidP="00332715">
      <w:bookmarkStart w:id="25" w:name="_Toc247691505"/>
      <w:bookmarkStart w:id="26" w:name="_Toc314842486"/>
      <w:r w:rsidRPr="002909BF">
        <w:t>This product is considered a new biological entity</w:t>
      </w:r>
      <w:r w:rsidR="00AE5BBD" w:rsidRPr="002909BF">
        <w:t xml:space="preserve"> </w:t>
      </w:r>
      <w:r w:rsidRPr="002909BF">
        <w:t>for Australian regulatory purposes.</w:t>
      </w:r>
    </w:p>
    <w:p w14:paraId="0B18E0DC" w14:textId="5B1D5D31" w:rsidR="00332715" w:rsidRPr="002909BF" w:rsidRDefault="00332715" w:rsidP="00332715">
      <w:r w:rsidRPr="002909BF">
        <w:t xml:space="preserve">At the time the TGA considered this </w:t>
      </w:r>
      <w:r w:rsidR="00BB0B78" w:rsidRPr="002909BF">
        <w:t>submission</w:t>
      </w:r>
      <w:r w:rsidRPr="002909BF">
        <w:t xml:space="preserve">, a similar </w:t>
      </w:r>
      <w:r w:rsidR="00BB0B78" w:rsidRPr="002909BF">
        <w:t>submission</w:t>
      </w:r>
      <w:r w:rsidRPr="002909BF">
        <w:t xml:space="preserve"> had been approved in </w:t>
      </w:r>
      <w:r w:rsidR="00E30C2B" w:rsidRPr="002909BF">
        <w:t>France on 28 May 1985. S</w:t>
      </w:r>
      <w:r w:rsidRPr="002909BF">
        <w:t xml:space="preserve">imilar </w:t>
      </w:r>
      <w:r w:rsidR="00BB0B78" w:rsidRPr="002909BF">
        <w:t>submission</w:t>
      </w:r>
      <w:r w:rsidR="00E30C2B" w:rsidRPr="002909BF">
        <w:t>s were</w:t>
      </w:r>
      <w:r w:rsidRPr="002909BF">
        <w:t xml:space="preserve"> under consideration in </w:t>
      </w:r>
      <w:r w:rsidR="00E30C2B" w:rsidRPr="002909BF">
        <w:t>New Zealand</w:t>
      </w:r>
      <w:r w:rsidRPr="002909BF">
        <w:t xml:space="preserve"> (submitted on </w:t>
      </w:r>
      <w:r w:rsidR="00E30C2B" w:rsidRPr="002909BF">
        <w:t>28 September 2021</w:t>
      </w:r>
      <w:r w:rsidRPr="002909BF">
        <w:t>)</w:t>
      </w:r>
      <w:r w:rsidR="00E30C2B" w:rsidRPr="002909BF">
        <w:t xml:space="preserve"> and Switzerland (submitted on 1 October</w:t>
      </w:r>
      <w:r w:rsidR="00155062" w:rsidRPr="002909BF">
        <w:t xml:space="preserve"> </w:t>
      </w:r>
      <w:r w:rsidR="00E30C2B" w:rsidRPr="002909BF">
        <w:t>2021).</w:t>
      </w:r>
    </w:p>
    <w:p w14:paraId="75C95C0D" w14:textId="77777777" w:rsidR="00332715" w:rsidRPr="002909BF" w:rsidRDefault="0072292E" w:rsidP="00332715">
      <w:r w:rsidRPr="002909BF">
        <w:t xml:space="preserve">The following table </w:t>
      </w:r>
      <w:r w:rsidR="00332715" w:rsidRPr="002909BF">
        <w:t xml:space="preserve">summarises these </w:t>
      </w:r>
      <w:r w:rsidR="00BB0B78" w:rsidRPr="002909BF">
        <w:t>submissions</w:t>
      </w:r>
      <w:r w:rsidR="00332715" w:rsidRPr="002909BF">
        <w:t xml:space="preserve"> and provides the indications where approved.</w:t>
      </w:r>
    </w:p>
    <w:p w14:paraId="48DD5BED" w14:textId="0B8962EB" w:rsidR="00324E45" w:rsidRPr="002909BF" w:rsidRDefault="00324E45" w:rsidP="00324E45">
      <w:pPr>
        <w:pStyle w:val="TableTitle"/>
      </w:pPr>
      <w:bookmarkStart w:id="27" w:name="_Ref99705479"/>
      <w:r w:rsidRPr="002909BF">
        <w:lastRenderedPageBreak/>
        <w:t xml:space="preserve">Table </w:t>
      </w:r>
      <w:fldSimple w:instr=" SEQ Table \* ARABIC ">
        <w:r w:rsidR="00056FD1">
          <w:rPr>
            <w:noProof/>
          </w:rPr>
          <w:t>1</w:t>
        </w:r>
      </w:fldSimple>
      <w:bookmarkEnd w:id="27"/>
      <w:r w:rsidRPr="002909BF">
        <w:t>: International regulatory status</w:t>
      </w:r>
    </w:p>
    <w:tbl>
      <w:tblPr>
        <w:tblStyle w:val="TableTGAblue"/>
        <w:tblW w:w="8815" w:type="dxa"/>
        <w:tblLayout w:type="fixed"/>
        <w:tblLook w:val="04A0" w:firstRow="1" w:lastRow="0" w:firstColumn="1" w:lastColumn="0" w:noHBand="0" w:noVBand="1"/>
      </w:tblPr>
      <w:tblGrid>
        <w:gridCol w:w="1435"/>
        <w:gridCol w:w="1620"/>
        <w:gridCol w:w="1530"/>
        <w:gridCol w:w="4230"/>
      </w:tblGrid>
      <w:tr w:rsidR="00006FAB" w:rsidRPr="002909BF" w14:paraId="294C1976" w14:textId="77777777" w:rsidTr="003577ED">
        <w:trPr>
          <w:cnfStyle w:val="100000000000" w:firstRow="1" w:lastRow="0" w:firstColumn="0" w:lastColumn="0" w:oddVBand="0" w:evenVBand="0" w:oddHBand="0" w:evenHBand="0" w:firstRowFirstColumn="0" w:firstRowLastColumn="0" w:lastRowFirstColumn="0" w:lastRowLastColumn="0"/>
        </w:trPr>
        <w:tc>
          <w:tcPr>
            <w:tcW w:w="1435" w:type="dxa"/>
            <w:tcBorders>
              <w:top w:val="single" w:sz="4" w:space="0" w:color="auto"/>
              <w:left w:val="single" w:sz="4" w:space="0" w:color="auto"/>
              <w:bottom w:val="single" w:sz="4" w:space="0" w:color="auto"/>
              <w:right w:val="single" w:sz="4" w:space="0" w:color="auto"/>
            </w:tcBorders>
          </w:tcPr>
          <w:p w14:paraId="6F1C8104" w14:textId="77777777" w:rsidR="00006FAB" w:rsidRPr="002909BF" w:rsidRDefault="00006FAB" w:rsidP="00006FAB">
            <w:pPr>
              <w:ind w:left="0" w:right="0"/>
            </w:pPr>
            <w:r w:rsidRPr="002909BF">
              <w:t>Region</w:t>
            </w:r>
          </w:p>
        </w:tc>
        <w:tc>
          <w:tcPr>
            <w:tcW w:w="1620" w:type="dxa"/>
            <w:tcBorders>
              <w:top w:val="single" w:sz="4" w:space="0" w:color="auto"/>
              <w:left w:val="single" w:sz="4" w:space="0" w:color="auto"/>
              <w:bottom w:val="single" w:sz="4" w:space="0" w:color="auto"/>
              <w:right w:val="single" w:sz="4" w:space="0" w:color="auto"/>
            </w:tcBorders>
          </w:tcPr>
          <w:p w14:paraId="338E6233" w14:textId="77777777" w:rsidR="00006FAB" w:rsidRPr="002909BF" w:rsidRDefault="00006FAB" w:rsidP="00006FAB">
            <w:pPr>
              <w:ind w:left="0" w:right="0"/>
            </w:pPr>
            <w:r w:rsidRPr="002909BF">
              <w:t>Submission date</w:t>
            </w:r>
          </w:p>
        </w:tc>
        <w:tc>
          <w:tcPr>
            <w:tcW w:w="1530" w:type="dxa"/>
            <w:tcBorders>
              <w:top w:val="single" w:sz="4" w:space="0" w:color="auto"/>
              <w:left w:val="single" w:sz="4" w:space="0" w:color="auto"/>
              <w:bottom w:val="single" w:sz="4" w:space="0" w:color="auto"/>
              <w:right w:val="single" w:sz="4" w:space="0" w:color="auto"/>
            </w:tcBorders>
          </w:tcPr>
          <w:p w14:paraId="785A2028" w14:textId="77777777" w:rsidR="00006FAB" w:rsidRPr="002909BF" w:rsidRDefault="00006FAB" w:rsidP="00006FAB">
            <w:pPr>
              <w:ind w:left="0" w:right="0"/>
            </w:pPr>
            <w:r w:rsidRPr="002909BF">
              <w:t>Status</w:t>
            </w:r>
          </w:p>
        </w:tc>
        <w:tc>
          <w:tcPr>
            <w:tcW w:w="4230" w:type="dxa"/>
            <w:tcBorders>
              <w:top w:val="single" w:sz="4" w:space="0" w:color="auto"/>
              <w:left w:val="single" w:sz="4" w:space="0" w:color="auto"/>
              <w:bottom w:val="single" w:sz="4" w:space="0" w:color="auto"/>
              <w:right w:val="single" w:sz="4" w:space="0" w:color="auto"/>
            </w:tcBorders>
          </w:tcPr>
          <w:p w14:paraId="3490925F" w14:textId="77777777" w:rsidR="00006FAB" w:rsidRPr="002909BF" w:rsidRDefault="00006FAB" w:rsidP="00006FAB">
            <w:pPr>
              <w:ind w:left="0" w:right="0"/>
            </w:pPr>
            <w:r w:rsidRPr="002909BF">
              <w:t>Approved indications</w:t>
            </w:r>
          </w:p>
        </w:tc>
      </w:tr>
      <w:tr w:rsidR="00006FAB" w:rsidRPr="002909BF" w14:paraId="5303F4EE" w14:textId="77777777" w:rsidTr="003577ED">
        <w:tc>
          <w:tcPr>
            <w:tcW w:w="1435" w:type="dxa"/>
            <w:tcBorders>
              <w:top w:val="single" w:sz="4" w:space="0" w:color="auto"/>
            </w:tcBorders>
          </w:tcPr>
          <w:p w14:paraId="67797A43" w14:textId="0C873E87" w:rsidR="00006FAB" w:rsidRPr="002909BF" w:rsidRDefault="00E30C2B">
            <w:pPr>
              <w:ind w:left="0" w:right="0"/>
            </w:pPr>
            <w:r w:rsidRPr="002909BF">
              <w:t>France</w:t>
            </w:r>
          </w:p>
        </w:tc>
        <w:tc>
          <w:tcPr>
            <w:tcW w:w="1620" w:type="dxa"/>
            <w:tcBorders>
              <w:top w:val="single" w:sz="4" w:space="0" w:color="auto"/>
            </w:tcBorders>
          </w:tcPr>
          <w:p w14:paraId="3A545799" w14:textId="14600316" w:rsidR="00006FAB" w:rsidRPr="002909BF" w:rsidRDefault="00E30C2B">
            <w:pPr>
              <w:ind w:left="0" w:right="0"/>
            </w:pPr>
            <w:r w:rsidRPr="002909BF">
              <w:t>28 May 1985</w:t>
            </w:r>
          </w:p>
        </w:tc>
        <w:tc>
          <w:tcPr>
            <w:tcW w:w="1530" w:type="dxa"/>
            <w:tcBorders>
              <w:top w:val="single" w:sz="4" w:space="0" w:color="auto"/>
            </w:tcBorders>
          </w:tcPr>
          <w:p w14:paraId="50B15AB4" w14:textId="6386FB2E" w:rsidR="00006FAB" w:rsidRPr="002909BF" w:rsidRDefault="00006FAB">
            <w:pPr>
              <w:ind w:left="0" w:right="0"/>
            </w:pPr>
            <w:r w:rsidRPr="002909BF">
              <w:t>Approved on</w:t>
            </w:r>
            <w:r w:rsidR="007274BB">
              <w:t xml:space="preserve"> 28</w:t>
            </w:r>
            <w:r w:rsidR="002C5498">
              <w:t> </w:t>
            </w:r>
            <w:r w:rsidR="007274BB">
              <w:t>May</w:t>
            </w:r>
            <w:r w:rsidR="002C5498">
              <w:t> </w:t>
            </w:r>
            <w:r w:rsidR="007274BB">
              <w:t>1985</w:t>
            </w:r>
          </w:p>
        </w:tc>
        <w:tc>
          <w:tcPr>
            <w:tcW w:w="4230" w:type="dxa"/>
            <w:tcBorders>
              <w:top w:val="single" w:sz="4" w:space="0" w:color="auto"/>
            </w:tcBorders>
          </w:tcPr>
          <w:p w14:paraId="464D9C55" w14:textId="6939FA1D" w:rsidR="007274BB" w:rsidRPr="003577ED" w:rsidRDefault="007274BB" w:rsidP="003577ED">
            <w:pPr>
              <w:ind w:left="0" w:right="0"/>
              <w:rPr>
                <w:i/>
                <w:iCs/>
                <w:lang w:val="en-GB"/>
              </w:rPr>
            </w:pPr>
            <w:proofErr w:type="spellStart"/>
            <w:r w:rsidRPr="003577ED">
              <w:rPr>
                <w:i/>
                <w:iCs/>
                <w:lang w:val="en-GB"/>
              </w:rPr>
              <w:t>Vaccin</w:t>
            </w:r>
            <w:proofErr w:type="spellEnd"/>
            <w:r w:rsidRPr="003577ED">
              <w:rPr>
                <w:i/>
                <w:iCs/>
                <w:lang w:val="en-GB"/>
              </w:rPr>
              <w:t xml:space="preserve"> </w:t>
            </w:r>
            <w:proofErr w:type="spellStart"/>
            <w:r w:rsidRPr="003577ED">
              <w:rPr>
                <w:i/>
                <w:iCs/>
                <w:lang w:val="en-GB"/>
              </w:rPr>
              <w:t>Rabique</w:t>
            </w:r>
            <w:proofErr w:type="spellEnd"/>
            <w:r w:rsidRPr="003577ED">
              <w:rPr>
                <w:i/>
                <w:iCs/>
                <w:lang w:val="en-GB"/>
              </w:rPr>
              <w:t xml:space="preserve"> Pasteur is indicated for pre-exposure and post-exposure prophylaxis of rabies in all age groups (see sections 4.2 and 5.1).</w:t>
            </w:r>
          </w:p>
          <w:p w14:paraId="21DC29A4" w14:textId="77777777" w:rsidR="007274BB" w:rsidRPr="003577ED" w:rsidRDefault="007274BB" w:rsidP="003577ED">
            <w:pPr>
              <w:ind w:left="0" w:right="0"/>
              <w:rPr>
                <w:i/>
                <w:iCs/>
                <w:lang w:val="en-GB"/>
              </w:rPr>
            </w:pPr>
            <w:proofErr w:type="spellStart"/>
            <w:r w:rsidRPr="003577ED">
              <w:rPr>
                <w:i/>
                <w:iCs/>
                <w:lang w:val="en-GB"/>
              </w:rPr>
              <w:t>Vaccin</w:t>
            </w:r>
            <w:proofErr w:type="spellEnd"/>
            <w:r w:rsidRPr="003577ED">
              <w:rPr>
                <w:i/>
                <w:iCs/>
                <w:lang w:val="en-GB"/>
              </w:rPr>
              <w:t xml:space="preserve"> </w:t>
            </w:r>
            <w:proofErr w:type="spellStart"/>
            <w:r w:rsidRPr="003577ED">
              <w:rPr>
                <w:i/>
                <w:iCs/>
                <w:lang w:val="en-GB"/>
              </w:rPr>
              <w:t>Rabique</w:t>
            </w:r>
            <w:proofErr w:type="spellEnd"/>
            <w:r w:rsidRPr="003577ED">
              <w:rPr>
                <w:i/>
                <w:iCs/>
                <w:lang w:val="en-GB"/>
              </w:rPr>
              <w:t xml:space="preserve"> Pasteur should be used according to official recommendations.</w:t>
            </w:r>
          </w:p>
          <w:p w14:paraId="389257C2" w14:textId="77777777" w:rsidR="007274BB" w:rsidRPr="003577ED" w:rsidRDefault="007274BB" w:rsidP="003577ED">
            <w:pPr>
              <w:ind w:left="0" w:right="0"/>
              <w:rPr>
                <w:i/>
                <w:iCs/>
                <w:lang w:val="en-GB"/>
              </w:rPr>
            </w:pPr>
            <w:r w:rsidRPr="003577ED">
              <w:rPr>
                <w:i/>
                <w:iCs/>
                <w:lang w:val="en-GB"/>
              </w:rPr>
              <w:t>Pre-exposure prophylaxis should be offered to subjects at high risk of contamination by the rabies virus.</w:t>
            </w:r>
          </w:p>
          <w:p w14:paraId="0DC55F66" w14:textId="77777777" w:rsidR="007274BB" w:rsidRPr="003577ED" w:rsidRDefault="007274BB" w:rsidP="003577ED">
            <w:pPr>
              <w:ind w:left="0" w:right="0"/>
              <w:rPr>
                <w:i/>
                <w:iCs/>
                <w:lang w:val="en-GB"/>
              </w:rPr>
            </w:pPr>
            <w:r w:rsidRPr="003577ED">
              <w:rPr>
                <w:i/>
                <w:iCs/>
                <w:lang w:val="en-GB"/>
              </w:rPr>
              <w:t>All those at permanent risk, such as the personnel of diagnostic, research or production laboratories working on the rabies virus, should be vaccinated.</w:t>
            </w:r>
          </w:p>
          <w:p w14:paraId="03B7571E" w14:textId="77777777" w:rsidR="007274BB" w:rsidRPr="003577ED" w:rsidRDefault="007274BB" w:rsidP="003577ED">
            <w:pPr>
              <w:ind w:left="0" w:right="0"/>
              <w:rPr>
                <w:i/>
                <w:iCs/>
                <w:lang w:val="en-GB"/>
              </w:rPr>
            </w:pPr>
            <w:r w:rsidRPr="003577ED">
              <w:rPr>
                <w:i/>
                <w:iCs/>
                <w:lang w:val="en-GB"/>
              </w:rPr>
              <w:t>Vaccination is also recommended for the following categories:</w:t>
            </w:r>
          </w:p>
          <w:p w14:paraId="2B95C788" w14:textId="01AB716F" w:rsidR="007274BB" w:rsidRPr="003577ED" w:rsidRDefault="007274BB" w:rsidP="003577ED">
            <w:pPr>
              <w:pStyle w:val="ListBullet"/>
              <w:rPr>
                <w:i/>
                <w:iCs/>
              </w:rPr>
            </w:pPr>
            <w:proofErr w:type="spellStart"/>
            <w:r w:rsidRPr="003577ED">
              <w:rPr>
                <w:i/>
                <w:iCs/>
              </w:rPr>
              <w:t>chiropterologists</w:t>
            </w:r>
            <w:proofErr w:type="spellEnd"/>
            <w:r w:rsidRPr="003577ED">
              <w:rPr>
                <w:i/>
                <w:iCs/>
              </w:rPr>
              <w:t xml:space="preserve"> and people regularly exposed to the bat rabies virus.</w:t>
            </w:r>
          </w:p>
          <w:p w14:paraId="2C1477A3" w14:textId="292B5564" w:rsidR="007274BB" w:rsidRPr="003577ED" w:rsidRDefault="007274BB" w:rsidP="003577ED">
            <w:pPr>
              <w:pStyle w:val="ListBullet"/>
              <w:rPr>
                <w:i/>
                <w:iCs/>
              </w:rPr>
            </w:pPr>
            <w:r w:rsidRPr="003577ED">
              <w:rPr>
                <w:i/>
                <w:iCs/>
              </w:rPr>
              <w:t>exposed professionals (veterinary personnel, laboratory personnel handling equipment that is contaminated or likely to be contaminated, slaughterhouse butchers, pound personnel, naturalists, taxidermists, gamekeepers, forest rangers, slaughterhouse personnel).</w:t>
            </w:r>
          </w:p>
          <w:p w14:paraId="283E69C7" w14:textId="4D8D8568" w:rsidR="007274BB" w:rsidRPr="003577ED" w:rsidRDefault="007274BB" w:rsidP="003577ED">
            <w:pPr>
              <w:pStyle w:val="ListBullet"/>
              <w:rPr>
                <w:i/>
                <w:iCs/>
              </w:rPr>
            </w:pPr>
            <w:r w:rsidRPr="003577ED">
              <w:rPr>
                <w:i/>
                <w:iCs/>
              </w:rPr>
              <w:t>adults and children living in or travelling to enzootic areas.</w:t>
            </w:r>
          </w:p>
          <w:p w14:paraId="3EF1883A" w14:textId="55D67B72" w:rsidR="00006FAB" w:rsidRPr="003577ED" w:rsidRDefault="007274BB">
            <w:pPr>
              <w:ind w:left="0" w:right="0"/>
              <w:rPr>
                <w:i/>
                <w:iCs/>
                <w:lang w:val="en-GB"/>
              </w:rPr>
            </w:pPr>
            <w:r w:rsidRPr="003577ED">
              <w:rPr>
                <w:i/>
                <w:iCs/>
                <w:lang w:val="en-GB"/>
              </w:rPr>
              <w:t>Booster doses are determined based on the risk of exposure and on serological tests in accordance with official recommendations.</w:t>
            </w:r>
          </w:p>
        </w:tc>
      </w:tr>
      <w:tr w:rsidR="00006FAB" w:rsidRPr="002909BF" w14:paraId="048E0131" w14:textId="77777777" w:rsidTr="003577ED">
        <w:tc>
          <w:tcPr>
            <w:tcW w:w="1435" w:type="dxa"/>
          </w:tcPr>
          <w:p w14:paraId="59D842D3" w14:textId="0F27CEC7" w:rsidR="00006FAB" w:rsidRPr="002909BF" w:rsidRDefault="00E30C2B">
            <w:pPr>
              <w:ind w:left="0" w:right="0"/>
            </w:pPr>
            <w:r w:rsidRPr="002909BF">
              <w:t>New Zealand</w:t>
            </w:r>
          </w:p>
        </w:tc>
        <w:tc>
          <w:tcPr>
            <w:tcW w:w="1620" w:type="dxa"/>
          </w:tcPr>
          <w:p w14:paraId="588875DD" w14:textId="035D4526" w:rsidR="00006FAB" w:rsidRPr="002909BF" w:rsidRDefault="00E30C2B">
            <w:pPr>
              <w:ind w:left="0" w:right="0"/>
            </w:pPr>
            <w:r w:rsidRPr="002909BF">
              <w:t>28 September 2021</w:t>
            </w:r>
          </w:p>
        </w:tc>
        <w:tc>
          <w:tcPr>
            <w:tcW w:w="1530" w:type="dxa"/>
          </w:tcPr>
          <w:p w14:paraId="061E77A1" w14:textId="77777777" w:rsidR="00006FAB" w:rsidRPr="002909BF" w:rsidRDefault="00006FAB">
            <w:pPr>
              <w:ind w:left="0" w:right="0"/>
            </w:pPr>
            <w:r w:rsidRPr="002909BF">
              <w:t>Under consideration</w:t>
            </w:r>
          </w:p>
        </w:tc>
        <w:tc>
          <w:tcPr>
            <w:tcW w:w="4230" w:type="dxa"/>
          </w:tcPr>
          <w:p w14:paraId="59E014E2" w14:textId="77777777" w:rsidR="00006FAB" w:rsidRPr="002909BF" w:rsidRDefault="00006FAB">
            <w:pPr>
              <w:ind w:left="0" w:right="0"/>
            </w:pPr>
            <w:r w:rsidRPr="002909BF">
              <w:t>Under consideration</w:t>
            </w:r>
          </w:p>
        </w:tc>
      </w:tr>
      <w:tr w:rsidR="00E30C2B" w:rsidRPr="002909BF" w14:paraId="2D909585" w14:textId="77777777" w:rsidTr="003577ED">
        <w:tc>
          <w:tcPr>
            <w:tcW w:w="1435" w:type="dxa"/>
          </w:tcPr>
          <w:p w14:paraId="52946E87" w14:textId="073D11F9" w:rsidR="00E30C2B" w:rsidRPr="002909BF" w:rsidRDefault="00E30C2B" w:rsidP="003577ED">
            <w:pPr>
              <w:ind w:left="0" w:right="0"/>
            </w:pPr>
            <w:r w:rsidRPr="002909BF">
              <w:t>Switzerland</w:t>
            </w:r>
          </w:p>
        </w:tc>
        <w:tc>
          <w:tcPr>
            <w:tcW w:w="1620" w:type="dxa"/>
          </w:tcPr>
          <w:p w14:paraId="23611DEA" w14:textId="2BECE198" w:rsidR="00E30C2B" w:rsidRPr="002909BF" w:rsidRDefault="00E30C2B" w:rsidP="003577ED">
            <w:pPr>
              <w:ind w:left="0" w:right="0"/>
            </w:pPr>
            <w:r w:rsidRPr="002909BF">
              <w:t>1 October 2021</w:t>
            </w:r>
          </w:p>
        </w:tc>
        <w:tc>
          <w:tcPr>
            <w:tcW w:w="1530" w:type="dxa"/>
          </w:tcPr>
          <w:p w14:paraId="5FC570EC" w14:textId="7D625EC6" w:rsidR="00E30C2B" w:rsidRPr="002909BF" w:rsidRDefault="00E30C2B" w:rsidP="003577ED">
            <w:pPr>
              <w:ind w:left="0" w:right="0"/>
            </w:pPr>
            <w:r w:rsidRPr="002909BF">
              <w:t>Under consideration</w:t>
            </w:r>
          </w:p>
        </w:tc>
        <w:tc>
          <w:tcPr>
            <w:tcW w:w="4230" w:type="dxa"/>
          </w:tcPr>
          <w:p w14:paraId="348A028C" w14:textId="41DAD73A" w:rsidR="00E30C2B" w:rsidRPr="002909BF" w:rsidRDefault="00E30C2B" w:rsidP="003577ED">
            <w:pPr>
              <w:ind w:left="0" w:right="0"/>
            </w:pPr>
            <w:r w:rsidRPr="002909BF">
              <w:t>Under consideration</w:t>
            </w:r>
          </w:p>
        </w:tc>
      </w:tr>
    </w:tbl>
    <w:p w14:paraId="56D0552B" w14:textId="77777777" w:rsidR="008E7846" w:rsidRPr="002909BF" w:rsidRDefault="008E7846" w:rsidP="00940A89">
      <w:pPr>
        <w:pStyle w:val="Heading3"/>
      </w:pPr>
      <w:bookmarkStart w:id="28" w:name="_Toc133493831"/>
      <w:r w:rsidRPr="002909BF">
        <w:t>Product Information</w:t>
      </w:r>
      <w:bookmarkEnd w:id="25"/>
      <w:bookmarkEnd w:id="26"/>
      <w:bookmarkEnd w:id="28"/>
    </w:p>
    <w:p w14:paraId="11603E72" w14:textId="30A498EE" w:rsidR="00332715" w:rsidRPr="002909BF" w:rsidRDefault="00332715" w:rsidP="00332715">
      <w:bookmarkStart w:id="29" w:name="_Toc504480011"/>
      <w:bookmarkStart w:id="30" w:name="_Toc247691506"/>
      <w:bookmarkStart w:id="31" w:name="_Toc314842487"/>
      <w:r w:rsidRPr="002909BF">
        <w:t xml:space="preserve">The Product Information (PI) approved with the submission which is described in this AusPAR can be found as Attachment 1. For the most recent PI, please refer to the TGA </w:t>
      </w:r>
      <w:hyperlink r:id="rId15" w:history="1">
        <w:r w:rsidRPr="002909BF">
          <w:rPr>
            <w:rStyle w:val="Hyperlink"/>
          </w:rPr>
          <w:t>PI/CMI search facility</w:t>
        </w:r>
        <w:r w:rsidRPr="002909BF">
          <w:rPr>
            <w:rStyle w:val="Hyperlink"/>
            <w:color w:val="auto"/>
            <w:u w:val="none"/>
          </w:rPr>
          <w:t>.</w:t>
        </w:r>
      </w:hyperlink>
    </w:p>
    <w:p w14:paraId="5737D948" w14:textId="5A5E6633" w:rsidR="00500337" w:rsidRPr="002909BF" w:rsidRDefault="00500337" w:rsidP="00500337">
      <w:pPr>
        <w:pStyle w:val="Heading2"/>
      </w:pPr>
      <w:bookmarkStart w:id="32" w:name="_Toc133493832"/>
      <w:r w:rsidRPr="002909BF">
        <w:lastRenderedPageBreak/>
        <w:t>Registration timeline</w:t>
      </w:r>
      <w:bookmarkEnd w:id="29"/>
      <w:bookmarkEnd w:id="32"/>
    </w:p>
    <w:p w14:paraId="14977A92" w14:textId="77777777" w:rsidR="0074163C" w:rsidRPr="002909BF" w:rsidRDefault="0074163C" w:rsidP="0074163C">
      <w:r w:rsidRPr="002909BF">
        <w:t xml:space="preserve">The following table captures the key steps and dates for this </w:t>
      </w:r>
      <w:r w:rsidR="00804D99" w:rsidRPr="002909BF">
        <w:t>submission</w:t>
      </w:r>
      <w:r w:rsidRPr="002909BF">
        <w:t>.</w:t>
      </w:r>
    </w:p>
    <w:p w14:paraId="743E5AA1" w14:textId="581989BF" w:rsidR="0074163C" w:rsidRPr="002909BF" w:rsidRDefault="0074163C" w:rsidP="0074163C">
      <w:pPr>
        <w:pStyle w:val="TableTitle"/>
      </w:pPr>
      <w:r w:rsidRPr="002909BF">
        <w:t xml:space="preserve">Table </w:t>
      </w:r>
      <w:fldSimple w:instr=" SEQ Table \* ARABIC ">
        <w:r w:rsidR="00056FD1">
          <w:rPr>
            <w:noProof/>
          </w:rPr>
          <w:t>2</w:t>
        </w:r>
      </w:fldSimple>
      <w:r w:rsidRPr="002909BF">
        <w:t xml:space="preserve">: Timeline for Submission </w:t>
      </w:r>
      <w:r w:rsidR="00AE5BBD" w:rsidRPr="002909BF">
        <w:t>PM-2021-03191-1-2</w:t>
      </w:r>
    </w:p>
    <w:tbl>
      <w:tblPr>
        <w:tblStyle w:val="TableTGAblue"/>
        <w:tblW w:w="8815" w:type="dxa"/>
        <w:tblLook w:val="04A0" w:firstRow="1" w:lastRow="0" w:firstColumn="1" w:lastColumn="0" w:noHBand="0" w:noVBand="1"/>
      </w:tblPr>
      <w:tblGrid>
        <w:gridCol w:w="5035"/>
        <w:gridCol w:w="3780"/>
      </w:tblGrid>
      <w:tr w:rsidR="0074163C" w:rsidRPr="002909BF" w14:paraId="0EF14872" w14:textId="77777777" w:rsidTr="003577ED">
        <w:trPr>
          <w:cnfStyle w:val="100000000000" w:firstRow="1" w:lastRow="0" w:firstColumn="0" w:lastColumn="0" w:oddVBand="0" w:evenVBand="0" w:oddHBand="0" w:evenHBand="0" w:firstRowFirstColumn="0" w:firstRowLastColumn="0" w:lastRowFirstColumn="0" w:lastRowLastColumn="0"/>
        </w:trPr>
        <w:tc>
          <w:tcPr>
            <w:tcW w:w="5035" w:type="dxa"/>
            <w:tcBorders>
              <w:top w:val="single" w:sz="4" w:space="0" w:color="auto"/>
              <w:left w:val="single" w:sz="4" w:space="0" w:color="auto"/>
              <w:bottom w:val="single" w:sz="4" w:space="0" w:color="auto"/>
              <w:right w:val="single" w:sz="4" w:space="0" w:color="auto"/>
            </w:tcBorders>
          </w:tcPr>
          <w:p w14:paraId="6A1BCC77" w14:textId="77777777" w:rsidR="0074163C" w:rsidRPr="002909BF" w:rsidRDefault="0074163C" w:rsidP="009E5A87">
            <w:r w:rsidRPr="002909BF">
              <w:t>Description</w:t>
            </w:r>
          </w:p>
        </w:tc>
        <w:tc>
          <w:tcPr>
            <w:tcW w:w="3780" w:type="dxa"/>
            <w:tcBorders>
              <w:top w:val="single" w:sz="4" w:space="0" w:color="auto"/>
              <w:left w:val="single" w:sz="4" w:space="0" w:color="auto"/>
              <w:bottom w:val="single" w:sz="4" w:space="0" w:color="auto"/>
              <w:right w:val="single" w:sz="4" w:space="0" w:color="auto"/>
            </w:tcBorders>
          </w:tcPr>
          <w:p w14:paraId="477FDA94" w14:textId="77777777" w:rsidR="0074163C" w:rsidRPr="002909BF" w:rsidRDefault="0074163C" w:rsidP="009E5A87">
            <w:r w:rsidRPr="002909BF">
              <w:t>Date</w:t>
            </w:r>
          </w:p>
        </w:tc>
      </w:tr>
      <w:tr w:rsidR="002257FB" w:rsidRPr="002909BF" w14:paraId="61AB7BC6" w14:textId="77777777" w:rsidTr="003577ED">
        <w:tc>
          <w:tcPr>
            <w:tcW w:w="5035" w:type="dxa"/>
            <w:tcBorders>
              <w:top w:val="single" w:sz="4" w:space="0" w:color="auto"/>
            </w:tcBorders>
          </w:tcPr>
          <w:p w14:paraId="5974E75F" w14:textId="77777777" w:rsidR="002257FB" w:rsidRPr="002909BF" w:rsidRDefault="002257FB" w:rsidP="002257FB">
            <w:r w:rsidRPr="002909BF">
              <w:t>Submission dossier accepted and first round evaluation commenced</w:t>
            </w:r>
          </w:p>
        </w:tc>
        <w:tc>
          <w:tcPr>
            <w:tcW w:w="3780" w:type="dxa"/>
            <w:tcBorders>
              <w:top w:val="single" w:sz="4" w:space="0" w:color="auto"/>
            </w:tcBorders>
          </w:tcPr>
          <w:p w14:paraId="74DD1CEC" w14:textId="3450695A" w:rsidR="002257FB" w:rsidRPr="002909BF" w:rsidRDefault="00155062" w:rsidP="002257FB">
            <w:r w:rsidRPr="002909BF">
              <w:t>30 September 2021</w:t>
            </w:r>
          </w:p>
        </w:tc>
      </w:tr>
      <w:tr w:rsidR="002257FB" w:rsidRPr="002909BF" w14:paraId="20500AC0" w14:textId="77777777" w:rsidTr="003577ED">
        <w:tc>
          <w:tcPr>
            <w:tcW w:w="5035" w:type="dxa"/>
          </w:tcPr>
          <w:p w14:paraId="0AB84675" w14:textId="77777777" w:rsidR="002257FB" w:rsidRPr="002909BF" w:rsidRDefault="002257FB" w:rsidP="002257FB">
            <w:r w:rsidRPr="002909BF">
              <w:t>First round evaluation completed</w:t>
            </w:r>
          </w:p>
        </w:tc>
        <w:tc>
          <w:tcPr>
            <w:tcW w:w="3780" w:type="dxa"/>
          </w:tcPr>
          <w:p w14:paraId="5A739CB7" w14:textId="6817219A" w:rsidR="002257FB" w:rsidRPr="002909BF" w:rsidRDefault="002257FB" w:rsidP="002257FB">
            <w:r w:rsidRPr="002909BF">
              <w:t>16 May 2022</w:t>
            </w:r>
          </w:p>
        </w:tc>
      </w:tr>
      <w:tr w:rsidR="002257FB" w:rsidRPr="002909BF" w14:paraId="31D1294E" w14:textId="77777777" w:rsidTr="003577ED">
        <w:tc>
          <w:tcPr>
            <w:tcW w:w="5035" w:type="dxa"/>
          </w:tcPr>
          <w:p w14:paraId="39B91B4D" w14:textId="77777777" w:rsidR="002257FB" w:rsidRPr="002909BF" w:rsidRDefault="002257FB" w:rsidP="002257FB">
            <w:r w:rsidRPr="002909BF">
              <w:t>Sponsor provides responses on questions raised in first round evaluation</w:t>
            </w:r>
          </w:p>
        </w:tc>
        <w:tc>
          <w:tcPr>
            <w:tcW w:w="3780" w:type="dxa"/>
          </w:tcPr>
          <w:p w14:paraId="0D59319E" w14:textId="5A70F9FE" w:rsidR="002257FB" w:rsidRPr="002909BF" w:rsidRDefault="002257FB" w:rsidP="002257FB">
            <w:r w:rsidRPr="002909BF">
              <w:t>6 June 2022</w:t>
            </w:r>
          </w:p>
        </w:tc>
      </w:tr>
      <w:tr w:rsidR="002257FB" w:rsidRPr="002909BF" w14:paraId="418B049B" w14:textId="77777777" w:rsidTr="003577ED">
        <w:tc>
          <w:tcPr>
            <w:tcW w:w="5035" w:type="dxa"/>
          </w:tcPr>
          <w:p w14:paraId="402A63F0" w14:textId="77777777" w:rsidR="002257FB" w:rsidRPr="002909BF" w:rsidRDefault="002257FB" w:rsidP="002257FB">
            <w:r w:rsidRPr="002909BF">
              <w:t>Second round evaluation completed</w:t>
            </w:r>
          </w:p>
        </w:tc>
        <w:tc>
          <w:tcPr>
            <w:tcW w:w="3780" w:type="dxa"/>
          </w:tcPr>
          <w:p w14:paraId="3548B66B" w14:textId="3B337870" w:rsidR="002257FB" w:rsidRPr="002909BF" w:rsidRDefault="002257FB" w:rsidP="002257FB">
            <w:r w:rsidRPr="002909BF">
              <w:t>20 June 2022</w:t>
            </w:r>
          </w:p>
        </w:tc>
      </w:tr>
      <w:tr w:rsidR="002257FB" w:rsidRPr="002909BF" w14:paraId="7FF4B9B2" w14:textId="77777777" w:rsidTr="003577ED">
        <w:tc>
          <w:tcPr>
            <w:tcW w:w="5035" w:type="dxa"/>
          </w:tcPr>
          <w:p w14:paraId="0D3C9111" w14:textId="10BCD947" w:rsidR="002257FB" w:rsidRPr="002909BF" w:rsidRDefault="002257FB" w:rsidP="002257FB">
            <w:r w:rsidRPr="002909BF">
              <w:t>Delegate’s Overall benefit-risk assessment and request for Advisory Committee advice</w:t>
            </w:r>
          </w:p>
        </w:tc>
        <w:tc>
          <w:tcPr>
            <w:tcW w:w="3780" w:type="dxa"/>
          </w:tcPr>
          <w:p w14:paraId="6795FC16" w14:textId="40A0417F" w:rsidR="002257FB" w:rsidRPr="002909BF" w:rsidRDefault="002257FB" w:rsidP="002257FB">
            <w:r w:rsidRPr="002909BF">
              <w:t>7 July 2022</w:t>
            </w:r>
          </w:p>
        </w:tc>
      </w:tr>
      <w:tr w:rsidR="002257FB" w:rsidRPr="002909BF" w14:paraId="69C1E1EB" w14:textId="77777777" w:rsidTr="003577ED">
        <w:tc>
          <w:tcPr>
            <w:tcW w:w="5035" w:type="dxa"/>
          </w:tcPr>
          <w:p w14:paraId="6A84DC78" w14:textId="77777777" w:rsidR="002257FB" w:rsidRPr="002909BF" w:rsidRDefault="002257FB" w:rsidP="002257FB">
            <w:r w:rsidRPr="002909BF">
              <w:t>Sponsor’s pre-Advisory Committee response</w:t>
            </w:r>
          </w:p>
        </w:tc>
        <w:tc>
          <w:tcPr>
            <w:tcW w:w="3780" w:type="dxa"/>
          </w:tcPr>
          <w:p w14:paraId="060ADCB6" w14:textId="5EFD72B0" w:rsidR="002257FB" w:rsidRPr="002909BF" w:rsidRDefault="002257FB" w:rsidP="002257FB">
            <w:r w:rsidRPr="002909BF">
              <w:t>19 July 2022</w:t>
            </w:r>
          </w:p>
        </w:tc>
      </w:tr>
      <w:tr w:rsidR="002257FB" w:rsidRPr="002909BF" w14:paraId="1D021DA3" w14:textId="77777777" w:rsidTr="003577ED">
        <w:tc>
          <w:tcPr>
            <w:tcW w:w="5035" w:type="dxa"/>
          </w:tcPr>
          <w:p w14:paraId="4E04F03A" w14:textId="77777777" w:rsidR="002257FB" w:rsidRPr="002909BF" w:rsidRDefault="002257FB" w:rsidP="002257FB">
            <w:r w:rsidRPr="002909BF">
              <w:t>Advisory Committee meeting</w:t>
            </w:r>
          </w:p>
        </w:tc>
        <w:tc>
          <w:tcPr>
            <w:tcW w:w="3780" w:type="dxa"/>
          </w:tcPr>
          <w:p w14:paraId="2E80C494" w14:textId="3C25A3B4" w:rsidR="002257FB" w:rsidRPr="002909BF" w:rsidRDefault="002257FB" w:rsidP="002257FB">
            <w:r w:rsidRPr="002909BF">
              <w:t>3 August 2022</w:t>
            </w:r>
          </w:p>
        </w:tc>
      </w:tr>
      <w:tr w:rsidR="002257FB" w:rsidRPr="002909BF" w14:paraId="634D2C98" w14:textId="77777777" w:rsidTr="003577ED">
        <w:tc>
          <w:tcPr>
            <w:tcW w:w="5035" w:type="dxa"/>
          </w:tcPr>
          <w:p w14:paraId="7537AEB5" w14:textId="77777777" w:rsidR="002257FB" w:rsidRPr="002909BF" w:rsidRDefault="002257FB" w:rsidP="002257FB">
            <w:r w:rsidRPr="002909BF">
              <w:t>Registration decision (Outcome)</w:t>
            </w:r>
          </w:p>
        </w:tc>
        <w:tc>
          <w:tcPr>
            <w:tcW w:w="3780" w:type="dxa"/>
          </w:tcPr>
          <w:p w14:paraId="7436544E" w14:textId="0B05FB19" w:rsidR="002257FB" w:rsidRPr="002909BF" w:rsidRDefault="002257FB" w:rsidP="002257FB">
            <w:r w:rsidRPr="002909BF">
              <w:t>6 October 2022</w:t>
            </w:r>
          </w:p>
        </w:tc>
      </w:tr>
      <w:tr w:rsidR="002257FB" w:rsidRPr="002909BF" w14:paraId="6E2646B1" w14:textId="77777777" w:rsidTr="003577ED">
        <w:tc>
          <w:tcPr>
            <w:tcW w:w="5035" w:type="dxa"/>
          </w:tcPr>
          <w:p w14:paraId="22B4B197" w14:textId="77777777" w:rsidR="002257FB" w:rsidRPr="002909BF" w:rsidRDefault="002257FB" w:rsidP="002257FB">
            <w:r w:rsidRPr="002909BF">
              <w:t>Completion of administrative activities and registration on the ARTG</w:t>
            </w:r>
          </w:p>
        </w:tc>
        <w:tc>
          <w:tcPr>
            <w:tcW w:w="3780" w:type="dxa"/>
          </w:tcPr>
          <w:p w14:paraId="090DB6B0" w14:textId="7F7EA53A" w:rsidR="002257FB" w:rsidRPr="002909BF" w:rsidRDefault="002257FB" w:rsidP="002257FB">
            <w:r w:rsidRPr="002909BF">
              <w:t>17 October 2022</w:t>
            </w:r>
          </w:p>
        </w:tc>
      </w:tr>
      <w:tr w:rsidR="002257FB" w:rsidRPr="002909BF" w14:paraId="2E93BC00" w14:textId="77777777" w:rsidTr="003577ED">
        <w:tc>
          <w:tcPr>
            <w:tcW w:w="5035" w:type="dxa"/>
          </w:tcPr>
          <w:p w14:paraId="4D72DC73" w14:textId="77777777" w:rsidR="002257FB" w:rsidRPr="002909BF" w:rsidRDefault="002257FB" w:rsidP="002257FB">
            <w:r w:rsidRPr="002909BF">
              <w:t>Number of working days from submission dossier acceptance to registration decision*</w:t>
            </w:r>
          </w:p>
        </w:tc>
        <w:tc>
          <w:tcPr>
            <w:tcW w:w="3780" w:type="dxa"/>
          </w:tcPr>
          <w:p w14:paraId="4A801433" w14:textId="38959649" w:rsidR="002257FB" w:rsidRPr="002909BF" w:rsidRDefault="002257FB" w:rsidP="002257FB">
            <w:r w:rsidRPr="002909BF">
              <w:t>210</w:t>
            </w:r>
          </w:p>
        </w:tc>
      </w:tr>
    </w:tbl>
    <w:p w14:paraId="74A00CCF" w14:textId="77777777" w:rsidR="0074163C" w:rsidRPr="002909BF" w:rsidRDefault="0074163C" w:rsidP="0074163C">
      <w:pPr>
        <w:pStyle w:val="TableDescription"/>
      </w:pPr>
      <w:r w:rsidRPr="002909BF">
        <w:t xml:space="preserve">*Statutory timeframe for standard </w:t>
      </w:r>
      <w:r w:rsidR="00BB0B78" w:rsidRPr="002909BF">
        <w:t>submission</w:t>
      </w:r>
      <w:r w:rsidRPr="002909BF">
        <w:t>s is 255 working days</w:t>
      </w:r>
    </w:p>
    <w:p w14:paraId="7578BF45" w14:textId="77777777" w:rsidR="008E7846" w:rsidRPr="002909BF" w:rsidRDefault="00006FAB" w:rsidP="008E7846">
      <w:pPr>
        <w:pStyle w:val="Heading2"/>
      </w:pPr>
      <w:bookmarkStart w:id="33" w:name="_Toc196046504"/>
      <w:bookmarkStart w:id="34" w:name="_Toc247691527"/>
      <w:bookmarkStart w:id="35" w:name="_Toc314842510"/>
      <w:bookmarkStart w:id="36" w:name="_Toc133493833"/>
      <w:bookmarkStart w:id="37" w:name="_Toc163441390"/>
      <w:bookmarkEnd w:id="30"/>
      <w:bookmarkEnd w:id="31"/>
      <w:bookmarkEnd w:id="1"/>
      <w:r w:rsidRPr="002909BF">
        <w:t xml:space="preserve">Submission overview </w:t>
      </w:r>
      <w:r w:rsidR="008E7846" w:rsidRPr="002909BF">
        <w:t>and risk/benefit assessment</w:t>
      </w:r>
      <w:bookmarkEnd w:id="33"/>
      <w:bookmarkEnd w:id="34"/>
      <w:bookmarkEnd w:id="35"/>
      <w:bookmarkEnd w:id="36"/>
    </w:p>
    <w:p w14:paraId="344EAD28" w14:textId="619F4FE1" w:rsidR="005A79F5" w:rsidRDefault="005A79F5" w:rsidP="0074163C">
      <w:pPr>
        <w:pStyle w:val="Instructions"/>
        <w:rPr>
          <w:i w:val="0"/>
          <w:color w:val="auto"/>
        </w:rPr>
      </w:pPr>
      <w:bookmarkStart w:id="38" w:name="_Toc247691528"/>
      <w:bookmarkStart w:id="39" w:name="_Toc314842511"/>
      <w:r w:rsidRPr="002909BF">
        <w:rPr>
          <w:i w:val="0"/>
          <w:color w:val="auto"/>
        </w:rPr>
        <w:t>A summary of the TGA’s assessment for this submission is provided below.</w:t>
      </w:r>
    </w:p>
    <w:p w14:paraId="3D0A3621" w14:textId="3C31EFC2" w:rsidR="0074163C" w:rsidRDefault="007D7576" w:rsidP="007D7576">
      <w:r w:rsidRPr="007D7576">
        <w:t>Relevant guidelines or guidance documents referred to by the Delegate are listed below:</w:t>
      </w:r>
    </w:p>
    <w:p w14:paraId="560B5E48" w14:textId="66C658E6" w:rsidR="00EB6459" w:rsidRPr="00EB6459" w:rsidRDefault="00EB6459" w:rsidP="00816E1C">
      <w:pPr>
        <w:pStyle w:val="ListBullet"/>
      </w:pPr>
      <w:r w:rsidRPr="00EB6459">
        <w:t xml:space="preserve">European Medicines Evaluation Agency (EMEA), Committee for Medicinal Products for Human Use (CHMP) </w:t>
      </w:r>
      <w:hyperlink r:id="rId16" w:history="1">
        <w:r w:rsidR="00816E1C">
          <w:rPr>
            <w:rStyle w:val="Hyperlink"/>
          </w:rPr>
          <w:t xml:space="preserve">Note for Guidance </w:t>
        </w:r>
        <w:r w:rsidRPr="00816E1C">
          <w:rPr>
            <w:rStyle w:val="Hyperlink"/>
          </w:rPr>
          <w:t>on Clinical Evaluation of New Vaccines</w:t>
        </w:r>
      </w:hyperlink>
      <w:r w:rsidRPr="00EB6459">
        <w:t>, EMEA/CHMP/VWP/164653/2005, 18 October 2006.</w:t>
      </w:r>
      <w:r w:rsidR="003577ED">
        <w:t xml:space="preserve"> </w:t>
      </w:r>
      <w:r w:rsidR="00816E1C">
        <w:t xml:space="preserve">Effective </w:t>
      </w:r>
      <w:r w:rsidR="00816E1C" w:rsidRPr="00816E1C">
        <w:t>date</w:t>
      </w:r>
      <w:r w:rsidR="00816E1C">
        <w:t xml:space="preserve"> in Australia</w:t>
      </w:r>
      <w:r w:rsidR="00816E1C" w:rsidRPr="00816E1C">
        <w:t>: 6</w:t>
      </w:r>
      <w:r w:rsidR="003577ED">
        <w:t> </w:t>
      </w:r>
      <w:r w:rsidR="00816E1C" w:rsidRPr="00816E1C">
        <w:t>Jan</w:t>
      </w:r>
      <w:r w:rsidR="00816E1C">
        <w:t>uary</w:t>
      </w:r>
      <w:r w:rsidR="00816E1C" w:rsidRPr="00816E1C">
        <w:t xml:space="preserve"> 2009</w:t>
      </w:r>
      <w:r w:rsidR="00816E1C">
        <w:t>.</w:t>
      </w:r>
    </w:p>
    <w:p w14:paraId="6AB6D7B7" w14:textId="624D5AB3" w:rsidR="00185AA0" w:rsidRPr="00EB6459" w:rsidRDefault="00185AA0" w:rsidP="00816E1C">
      <w:pPr>
        <w:pStyle w:val="ListBullet"/>
      </w:pPr>
      <w:r w:rsidRPr="00EB6459">
        <w:t xml:space="preserve">European Medicines Evaluation Agency (EMEA), Committee for Proprietary Medicinal Products (CPMP), </w:t>
      </w:r>
      <w:hyperlink r:id="rId17" w:history="1">
        <w:r w:rsidRPr="00816E1C">
          <w:rPr>
            <w:rStyle w:val="Hyperlink"/>
          </w:rPr>
          <w:t>Note for Guidance on Virus Validation Studies: the Design, Contribution and Interpretation of Studies Validating the Inactivation and Removal of Virus</w:t>
        </w:r>
      </w:hyperlink>
      <w:r w:rsidRPr="00EB6459">
        <w:t>, CPMP/BWP/268/95, 14 February 1996.</w:t>
      </w:r>
      <w:r w:rsidR="003577ED">
        <w:t xml:space="preserve"> </w:t>
      </w:r>
      <w:r w:rsidR="00816E1C">
        <w:t xml:space="preserve">Effective date in Australia: </w:t>
      </w:r>
      <w:r w:rsidR="00816E1C" w:rsidRPr="00816E1C">
        <w:t>1</w:t>
      </w:r>
      <w:r w:rsidR="003577ED">
        <w:t> </w:t>
      </w:r>
      <w:r w:rsidR="00816E1C" w:rsidRPr="00816E1C">
        <w:t>Aug</w:t>
      </w:r>
      <w:r w:rsidR="00816E1C">
        <w:t>ust</w:t>
      </w:r>
      <w:r w:rsidR="003577ED">
        <w:t> </w:t>
      </w:r>
      <w:r w:rsidR="00816E1C" w:rsidRPr="00816E1C">
        <w:t>1997</w:t>
      </w:r>
      <w:r w:rsidR="00816E1C">
        <w:t>.</w:t>
      </w:r>
    </w:p>
    <w:p w14:paraId="3C1D3A81" w14:textId="4C9D7B7D" w:rsidR="00185AA0" w:rsidRPr="00EB6459" w:rsidRDefault="00185AA0" w:rsidP="00EB6459">
      <w:pPr>
        <w:pStyle w:val="ListBullet"/>
      </w:pPr>
      <w:r w:rsidRPr="00EB6459">
        <w:t xml:space="preserve">International Conference on Harmonisation of Technical Requirements for Registration of Pharmaceuticals for Human Use (ICH) </w:t>
      </w:r>
      <w:hyperlink r:id="rId18" w:history="1">
        <w:r w:rsidRPr="00816E1C">
          <w:rPr>
            <w:rStyle w:val="Hyperlink"/>
          </w:rPr>
          <w:t>Viral Safety Evaluation of Biotechnology Products Derived from Cell Lines of Human or Animal Origin</w:t>
        </w:r>
      </w:hyperlink>
      <w:r w:rsidRPr="00EB6459">
        <w:t xml:space="preserve"> Q5A(R1), Step</w:t>
      </w:r>
      <w:r w:rsidR="007D7576">
        <w:t> </w:t>
      </w:r>
      <w:r w:rsidRPr="00EB6459">
        <w:t>4, 23 September 1999.</w:t>
      </w:r>
      <w:r w:rsidR="003577ED">
        <w:t xml:space="preserve"> </w:t>
      </w:r>
      <w:r w:rsidR="00816E1C">
        <w:t>Effective date in Australia: 1 May 2000.</w:t>
      </w:r>
    </w:p>
    <w:p w14:paraId="52F5DABA" w14:textId="77777777" w:rsidR="008E7846" w:rsidRPr="002909BF" w:rsidRDefault="008E7846" w:rsidP="008E7846">
      <w:pPr>
        <w:pStyle w:val="Heading3"/>
      </w:pPr>
      <w:bookmarkStart w:id="40" w:name="_Toc133493834"/>
      <w:r w:rsidRPr="002909BF">
        <w:lastRenderedPageBreak/>
        <w:t>Quality</w:t>
      </w:r>
      <w:bookmarkEnd w:id="38"/>
      <w:bookmarkEnd w:id="39"/>
      <w:bookmarkEnd w:id="40"/>
    </w:p>
    <w:p w14:paraId="72C5BA08" w14:textId="69A8178A" w:rsidR="00AB6E15" w:rsidRPr="002909BF" w:rsidRDefault="002D1A84" w:rsidP="00A32817">
      <w:proofErr w:type="spellStart"/>
      <w:r w:rsidRPr="002909BF">
        <w:t>Verorab</w:t>
      </w:r>
      <w:proofErr w:type="spellEnd"/>
      <w:r w:rsidRPr="002909BF">
        <w:t xml:space="preserve"> is a </w:t>
      </w:r>
      <w:r w:rsidR="00AB6E15" w:rsidRPr="002909BF">
        <w:t xml:space="preserve">sterile </w:t>
      </w:r>
      <w:r w:rsidRPr="002909BF">
        <w:t>freeze dried</w:t>
      </w:r>
      <w:r w:rsidR="00AB6E15" w:rsidRPr="002909BF">
        <w:t xml:space="preserve"> </w:t>
      </w:r>
      <w:r w:rsidRPr="002909BF">
        <w:t>inactivated purified</w:t>
      </w:r>
      <w:r w:rsidR="00AB6E15" w:rsidRPr="002909BF">
        <w:t xml:space="preserve"> vaccine to be supplied as a powder for injection with diluent prefilled syringe with</w:t>
      </w:r>
      <w:r w:rsidR="00D513EE" w:rsidRPr="002909BF">
        <w:t xml:space="preserve"> </w:t>
      </w:r>
      <w:r w:rsidR="00AB6E15" w:rsidRPr="002909BF">
        <w:t xml:space="preserve">attached needle. The powder </w:t>
      </w:r>
      <w:r w:rsidRPr="002909BF">
        <w:t>is a white homogeneous pellet</w:t>
      </w:r>
      <w:r w:rsidR="00D513EE" w:rsidRPr="002909BF">
        <w:t>,</w:t>
      </w:r>
      <w:r w:rsidR="00AB6E15" w:rsidRPr="002909BF">
        <w:t xml:space="preserve"> and the </w:t>
      </w:r>
      <w:r w:rsidR="00D513EE" w:rsidRPr="002909BF">
        <w:t>solvent</w:t>
      </w:r>
      <w:r w:rsidR="00AB6E15" w:rsidRPr="002909BF">
        <w:t xml:space="preserve"> is a clear and colourless solution</w:t>
      </w:r>
      <w:r w:rsidRPr="002909BF">
        <w:t xml:space="preserve">. Each dose is reconstituted using sterile 0.4% sodium chloride to obtain a 0.5 mL </w:t>
      </w:r>
      <w:r w:rsidR="00AB6E15" w:rsidRPr="002909BF">
        <w:t xml:space="preserve">nominal </w:t>
      </w:r>
      <w:r w:rsidRPr="002909BF">
        <w:t>dose, containing at least 3.25 international units (IU) of rabies antigen. After dissolution, the product is limpid and homogeneous.</w:t>
      </w:r>
    </w:p>
    <w:p w14:paraId="4BF7EABC" w14:textId="6C1606DA" w:rsidR="00272280" w:rsidRPr="002909BF" w:rsidRDefault="00272280" w:rsidP="00E251B9">
      <w:r w:rsidRPr="002909BF">
        <w:t xml:space="preserve">The </w:t>
      </w:r>
      <w:r w:rsidR="00A32817" w:rsidRPr="002909BF">
        <w:t>drug substance</w:t>
      </w:r>
      <w:r w:rsidRPr="002909BF">
        <w:t xml:space="preserve"> is purified, inactivated rabies virus from strain PM/WI38</w:t>
      </w:r>
      <w:r w:rsidR="00A32817" w:rsidRPr="002909BF">
        <w:t> </w:t>
      </w:r>
      <w:r w:rsidRPr="002909BF">
        <w:t>1503-3M cultured on Vero cells.</w:t>
      </w:r>
    </w:p>
    <w:p w14:paraId="00F508D0" w14:textId="3D35550C" w:rsidR="00272280" w:rsidRPr="002909BF" w:rsidRDefault="00272280" w:rsidP="00E251B9">
      <w:r w:rsidRPr="002909BF">
        <w:t xml:space="preserve">The lyophilised </w:t>
      </w:r>
      <w:r w:rsidR="00A32817" w:rsidRPr="002909BF">
        <w:t>drug product</w:t>
      </w:r>
      <w:r w:rsidRPr="002909BF">
        <w:t xml:space="preserve"> is formulated from </w:t>
      </w:r>
      <w:r w:rsidR="00A32817" w:rsidRPr="002909BF">
        <w:t xml:space="preserve">drug substance </w:t>
      </w:r>
      <w:r w:rsidRPr="002909BF">
        <w:t>in a diluent containing maltose,</w:t>
      </w:r>
      <w:r w:rsidR="00330D10" w:rsidRPr="002909BF">
        <w:t xml:space="preserve"> 20%</w:t>
      </w:r>
      <w:r w:rsidRPr="002909BF">
        <w:t xml:space="preserve"> albumin solution, Basal Medium Eagle</w:t>
      </w:r>
      <w:r w:rsidR="007F3338">
        <w:t xml:space="preserve"> (a </w:t>
      </w:r>
      <w:r w:rsidR="007F3338" w:rsidRPr="007F3338">
        <w:t xml:space="preserve">synthetic basal medium for </w:t>
      </w:r>
      <w:r w:rsidR="007F3338">
        <w:t>cell culture)</w:t>
      </w:r>
      <w:r w:rsidRPr="002909BF">
        <w:t xml:space="preserve"> and water for injections.</w:t>
      </w:r>
    </w:p>
    <w:p w14:paraId="12507E80" w14:textId="12DBBE3D" w:rsidR="00272280" w:rsidRPr="002909BF" w:rsidRDefault="00E251B9" w:rsidP="00E251B9">
      <w:r w:rsidRPr="002909BF">
        <w:t xml:space="preserve">The recommended shelf life for the drug product is </w:t>
      </w:r>
      <w:r w:rsidR="00272280" w:rsidRPr="002909BF">
        <w:t>36 months</w:t>
      </w:r>
      <w:r w:rsidRPr="002909BF">
        <w:t xml:space="preserve"> at </w:t>
      </w:r>
      <w:r w:rsidR="00272280" w:rsidRPr="002909BF">
        <w:t xml:space="preserve">2°C </w:t>
      </w:r>
      <w:r w:rsidRPr="002909BF">
        <w:t xml:space="preserve">to </w:t>
      </w:r>
      <w:r w:rsidR="00272280" w:rsidRPr="002909BF">
        <w:t>8°C</w:t>
      </w:r>
      <w:r w:rsidR="001842DE" w:rsidRPr="002909BF">
        <w:t xml:space="preserve">. </w:t>
      </w:r>
      <w:r w:rsidR="00330D10" w:rsidRPr="002909BF">
        <w:t>The drug product should be protected from light and freezing should be avoided</w:t>
      </w:r>
      <w:r w:rsidR="00272280" w:rsidRPr="002909BF">
        <w:t>.</w:t>
      </w:r>
    </w:p>
    <w:p w14:paraId="66CA7703" w14:textId="514AC45D" w:rsidR="00D513EE" w:rsidRPr="002909BF" w:rsidRDefault="00D513EE" w:rsidP="00D513EE">
      <w:r w:rsidRPr="002909BF">
        <w:t xml:space="preserve">Two routes of vaccine administration are proposed and currently recommended by </w:t>
      </w:r>
      <w:r w:rsidR="00330D10" w:rsidRPr="002909BF">
        <w:t xml:space="preserve">the </w:t>
      </w:r>
      <w:r w:rsidR="00172645" w:rsidRPr="002909BF">
        <w:t>World Health Organization (WHO)</w:t>
      </w:r>
      <w:r w:rsidRPr="002909BF">
        <w:t>: intramuscular and intradermal. After reconstitution, one intramuscular dose consists of 0.5 mL of reconstituted vaccine and one intradermal dose consists of 0.1 mL of reconstituted vaccine per injection site.</w:t>
      </w:r>
    </w:p>
    <w:p w14:paraId="428B8A2F" w14:textId="4762697F" w:rsidR="00272280" w:rsidRPr="002909BF" w:rsidRDefault="00272280" w:rsidP="00E251B9">
      <w:r w:rsidRPr="002909BF">
        <w:t xml:space="preserve">The </w:t>
      </w:r>
      <w:r w:rsidR="001842DE" w:rsidRPr="002909BF">
        <w:t>sponsor</w:t>
      </w:r>
      <w:r w:rsidRPr="002909BF">
        <w:t xml:space="preserve"> has provided adequate information to ensure the product’s quality for registration. It is recommended that the following product is suitable for approval </w:t>
      </w:r>
      <w:proofErr w:type="gramStart"/>
      <w:r w:rsidRPr="002909BF">
        <w:t>with regard to</w:t>
      </w:r>
      <w:proofErr w:type="gramEnd"/>
      <w:r w:rsidRPr="002909BF">
        <w:t xml:space="preserve"> manufacturing quality, however there are specific conditions for approval.</w:t>
      </w:r>
    </w:p>
    <w:p w14:paraId="7E40F800" w14:textId="77777777" w:rsidR="00272280" w:rsidRPr="002909BF" w:rsidRDefault="00272280" w:rsidP="00272280">
      <w:pPr>
        <w:pStyle w:val="Heading4"/>
      </w:pPr>
      <w:r w:rsidRPr="002909BF">
        <w:t>Proposed conditions of registration</w:t>
      </w:r>
    </w:p>
    <w:p w14:paraId="7AD76C6E" w14:textId="56D602B6" w:rsidR="00272280" w:rsidRPr="002909BF" w:rsidRDefault="00272280" w:rsidP="00272280">
      <w:pPr>
        <w:pStyle w:val="ListBullet"/>
      </w:pPr>
      <w:r w:rsidRPr="002909BF">
        <w:t xml:space="preserve">Post-approval </w:t>
      </w:r>
      <w:r w:rsidR="001842DE" w:rsidRPr="002909BF">
        <w:t>commitment - viral safety</w:t>
      </w:r>
    </w:p>
    <w:p w14:paraId="3567B5B1" w14:textId="302B148C" w:rsidR="00272280" w:rsidRPr="002909BF" w:rsidRDefault="00421243" w:rsidP="00272280">
      <w:pPr>
        <w:pStyle w:val="ListBullet"/>
        <w:numPr>
          <w:ilvl w:val="0"/>
          <w:numId w:val="0"/>
        </w:numPr>
        <w:ind w:left="360"/>
      </w:pPr>
      <w:r w:rsidRPr="002909BF">
        <w:t>[</w:t>
      </w:r>
      <w:r w:rsidR="00BA5401" w:rsidRPr="002909BF">
        <w:t>T</w:t>
      </w:r>
      <w:r w:rsidRPr="002909BF">
        <w:t>he sponsor]</w:t>
      </w:r>
      <w:r w:rsidR="00272280" w:rsidRPr="002909BF">
        <w:t xml:space="preserve"> must:</w:t>
      </w:r>
    </w:p>
    <w:p w14:paraId="66B21958" w14:textId="4857FD1B" w:rsidR="00272280" w:rsidRPr="002909BF" w:rsidRDefault="00272280" w:rsidP="00272280">
      <w:pPr>
        <w:pStyle w:val="ListBullet2"/>
      </w:pPr>
      <w:r w:rsidRPr="002909BF">
        <w:t xml:space="preserve">As agreed by the </w:t>
      </w:r>
      <w:r w:rsidR="001842DE" w:rsidRPr="002909BF">
        <w:t>sponsor</w:t>
      </w:r>
      <w:r w:rsidRPr="002909BF">
        <w:t>, the details of the manufacturing processing and purification steps with viral clearance capacity, or any validation studies using model viruses according to Section 6.1.1 of ICH Q5A (R1) and CPMP/BWP/268/95 must be provided by the end of 2023.</w:t>
      </w:r>
      <w:r w:rsidR="00B505D4" w:rsidRPr="002909BF">
        <w:rPr>
          <w:rStyle w:val="FootnoteReference"/>
        </w:rPr>
        <w:footnoteReference w:id="18"/>
      </w:r>
      <w:r w:rsidR="00185AA0" w:rsidRPr="003577ED">
        <w:rPr>
          <w:vertAlign w:val="superscript"/>
        </w:rPr>
        <w:t>,</w:t>
      </w:r>
      <w:r w:rsidR="00185AA0">
        <w:rPr>
          <w:rStyle w:val="FootnoteReference"/>
        </w:rPr>
        <w:footnoteReference w:id="19"/>
      </w:r>
    </w:p>
    <w:p w14:paraId="59834133" w14:textId="72FDC39E" w:rsidR="00272280" w:rsidRPr="002909BF" w:rsidRDefault="00272280" w:rsidP="00272280">
      <w:pPr>
        <w:pStyle w:val="ListBullet2"/>
      </w:pPr>
      <w:r w:rsidRPr="002909BF">
        <w:t xml:space="preserve">The </w:t>
      </w:r>
      <w:r w:rsidR="001842DE" w:rsidRPr="002909BF">
        <w:t>sponsor</w:t>
      </w:r>
      <w:r w:rsidRPr="002909BF">
        <w:t xml:space="preserve"> should provide the original testing reports of the viral clearance studies</w:t>
      </w:r>
      <w:r w:rsidR="00382C04">
        <w:t xml:space="preserve"> using new and aged resin</w:t>
      </w:r>
      <w:r w:rsidRPr="002909BF">
        <w:t xml:space="preserve"> to demonstrate that any potential viral contamination has been managed to an acceptable level. The results must demonstrate that new and end-of-life aged resin log reduction factors are comparable for model viruses under the manufacturing conditions of </w:t>
      </w:r>
      <w:proofErr w:type="spellStart"/>
      <w:r w:rsidR="00AF0371" w:rsidRPr="002909BF">
        <w:t>Verorab</w:t>
      </w:r>
      <w:proofErr w:type="spellEnd"/>
      <w:r w:rsidRPr="002909BF">
        <w:t>.</w:t>
      </w:r>
    </w:p>
    <w:p w14:paraId="1B692183" w14:textId="557C7634" w:rsidR="00272280" w:rsidRPr="002909BF" w:rsidRDefault="00272280" w:rsidP="00272280">
      <w:pPr>
        <w:pStyle w:val="ListBullet"/>
      </w:pPr>
      <w:r w:rsidRPr="002909BF">
        <w:t xml:space="preserve">Post-approval commitment </w:t>
      </w:r>
      <w:r w:rsidR="005F306A" w:rsidRPr="002909BF">
        <w:t>-</w:t>
      </w:r>
      <w:r w:rsidRPr="002909BF">
        <w:t xml:space="preserve"> </w:t>
      </w:r>
      <w:r w:rsidR="001842DE" w:rsidRPr="002909BF">
        <w:t>stability</w:t>
      </w:r>
    </w:p>
    <w:p w14:paraId="12489797" w14:textId="753754D9" w:rsidR="00272280" w:rsidRPr="002909BF" w:rsidRDefault="00272280" w:rsidP="00272280">
      <w:pPr>
        <w:pStyle w:val="ListBullet"/>
        <w:numPr>
          <w:ilvl w:val="0"/>
          <w:numId w:val="0"/>
        </w:numPr>
        <w:ind w:left="360"/>
      </w:pPr>
      <w:r w:rsidRPr="002909BF">
        <w:t xml:space="preserve">Additional data relating to the ongoing stability study for the </w:t>
      </w:r>
      <w:r w:rsidR="001842DE" w:rsidRPr="002909BF">
        <w:t xml:space="preserve">concentrated bulk </w:t>
      </w:r>
      <w:r w:rsidRPr="002909BF">
        <w:t>drug substance will be submitted for Study 2: stability study to support the change of container closure system from polypropylene vials to high density polyethylene vials up to 48 months, when available.</w:t>
      </w:r>
    </w:p>
    <w:p w14:paraId="4C9DE4B9" w14:textId="77777777" w:rsidR="008E7846" w:rsidRPr="002909BF" w:rsidRDefault="008E7846" w:rsidP="008E7846">
      <w:pPr>
        <w:pStyle w:val="Heading3"/>
      </w:pPr>
      <w:bookmarkStart w:id="41" w:name="_Toc314842512"/>
      <w:bookmarkStart w:id="42" w:name="_Toc133493835"/>
      <w:r w:rsidRPr="002909BF">
        <w:lastRenderedPageBreak/>
        <w:t>Nonclinical</w:t>
      </w:r>
      <w:bookmarkEnd w:id="41"/>
      <w:bookmarkEnd w:id="42"/>
    </w:p>
    <w:p w14:paraId="6E0918C7" w14:textId="632D7807" w:rsidR="00272280" w:rsidRPr="002909BF" w:rsidRDefault="00272280" w:rsidP="00272280">
      <w:r w:rsidRPr="002909BF">
        <w:t xml:space="preserve">The submitted </w:t>
      </w:r>
      <w:r w:rsidR="00BA5401" w:rsidRPr="002909BF">
        <w:t xml:space="preserve">nonclinical </w:t>
      </w:r>
      <w:r w:rsidRPr="002909BF">
        <w:t>dossier was limited to non</w:t>
      </w:r>
      <w:r w:rsidR="00B83C06" w:rsidRPr="002909BF">
        <w:t>-</w:t>
      </w:r>
      <w:r w:rsidR="00B505D4" w:rsidRPr="002909BF">
        <w:t>Good Laboratory Practice;</w:t>
      </w:r>
      <w:r w:rsidR="00B505D4" w:rsidRPr="002909BF">
        <w:rPr>
          <w:rStyle w:val="FootnoteReference"/>
        </w:rPr>
        <w:footnoteReference w:id="20"/>
      </w:r>
      <w:r w:rsidR="00B505D4" w:rsidRPr="002909BF">
        <w:t xml:space="preserve"> </w:t>
      </w:r>
      <w:r w:rsidRPr="002909BF">
        <w:t xml:space="preserve">compliant </w:t>
      </w:r>
      <w:r w:rsidR="00D40749">
        <w:t xml:space="preserve">studies </w:t>
      </w:r>
      <w:r w:rsidRPr="002909BF">
        <w:t xml:space="preserve">(conducted in the early 1980’s) </w:t>
      </w:r>
      <w:r w:rsidR="00D40749">
        <w:t xml:space="preserve">of </w:t>
      </w:r>
      <w:r w:rsidRPr="002909BF">
        <w:t>acute and repeat</w:t>
      </w:r>
      <w:r w:rsidR="009B7DC3" w:rsidRPr="002909BF">
        <w:t xml:space="preserve"> </w:t>
      </w:r>
      <w:r w:rsidRPr="002909BF">
        <w:t xml:space="preserve">dose toxicity, hypersensitivity and general safety studies, and potency test of the batch used in the nonclinical studies. In accordance with the </w:t>
      </w:r>
      <w:r w:rsidR="001842DE" w:rsidRPr="002909BF">
        <w:t>sponsor</w:t>
      </w:r>
      <w:r w:rsidRPr="002909BF">
        <w:t>, the submitted nonclinical data was identical to the dossier submitted to the French regulatory authority at the time of registration application.</w:t>
      </w:r>
    </w:p>
    <w:p w14:paraId="6E088D91" w14:textId="3F3718CF" w:rsidR="00272280" w:rsidRPr="002909BF" w:rsidRDefault="00272280" w:rsidP="00272280">
      <w:r w:rsidRPr="002909BF">
        <w:t>No immunogenicity study was submitted. However, a</w:t>
      </w:r>
      <w:r w:rsidR="00B611DF">
        <w:t xml:space="preserve"> French National Institute of Health and Medical Research</w:t>
      </w:r>
      <w:bookmarkStart w:id="43" w:name="_Ref130562767"/>
      <w:r w:rsidR="00B611DF">
        <w:rPr>
          <w:rStyle w:val="FootnoteReference"/>
        </w:rPr>
        <w:footnoteReference w:id="21"/>
      </w:r>
      <w:bookmarkEnd w:id="43"/>
      <w:r w:rsidRPr="002909BF">
        <w:t xml:space="preserve"> potency test in mice for batch release demonstrated that two doses of </w:t>
      </w:r>
      <w:proofErr w:type="spellStart"/>
      <w:r w:rsidR="00AF0371" w:rsidRPr="002909BF">
        <w:t>Verorab</w:t>
      </w:r>
      <w:proofErr w:type="spellEnd"/>
      <w:r w:rsidRPr="002909BF">
        <w:t xml:space="preserve"> provided protection against an intracerebral rabies virus challenge 2</w:t>
      </w:r>
      <w:r w:rsidR="00B611DF">
        <w:t> </w:t>
      </w:r>
      <w:r w:rsidRPr="002909BF">
        <w:t xml:space="preserve">weeks after the </w:t>
      </w:r>
      <w:r w:rsidR="00964D47" w:rsidRPr="002909BF">
        <w:t xml:space="preserve">first </w:t>
      </w:r>
      <w:r w:rsidRPr="002909BF">
        <w:t>dose (2 doses in total with a dosing interval of one week).</w:t>
      </w:r>
    </w:p>
    <w:p w14:paraId="592BD681" w14:textId="77777777" w:rsidR="00272280" w:rsidRPr="002909BF" w:rsidRDefault="00272280" w:rsidP="00272280">
      <w:r w:rsidRPr="002909BF">
        <w:t xml:space="preserve">No nonclinical safety pharmacology studies were submitted, and this is acceptable, since no systemic effects suggestive of physiological effects on cardiovascular, </w:t>
      </w:r>
      <w:proofErr w:type="gramStart"/>
      <w:r w:rsidRPr="002909BF">
        <w:t>respiratory</w:t>
      </w:r>
      <w:proofErr w:type="gramEnd"/>
      <w:r w:rsidRPr="002909BF">
        <w:t xml:space="preserve"> and central nervous system were observed in the toxicity studies.</w:t>
      </w:r>
    </w:p>
    <w:p w14:paraId="01D1032F" w14:textId="69355432" w:rsidR="00272280" w:rsidRPr="002909BF" w:rsidRDefault="00272280" w:rsidP="00272280">
      <w:r w:rsidRPr="002909BF">
        <w:t>No acute toxicity was seen in mice and rats (via subcutaneous and intravenous route) and cynomolgus monkeys (</w:t>
      </w:r>
      <w:r w:rsidR="009A0559" w:rsidRPr="002909BF">
        <w:t xml:space="preserve">intravenous </w:t>
      </w:r>
      <w:r w:rsidRPr="002909BF">
        <w:t>route). Dosing for this study was adequate, where dose in mice, rats and monkeys were multiples of (2000</w:t>
      </w:r>
      <w:r w:rsidR="005478E2" w:rsidRPr="002909BF">
        <w:t xml:space="preserve"> to </w:t>
      </w:r>
      <w:r w:rsidRPr="002909BF">
        <w:t xml:space="preserve">5000 times) of intended </w:t>
      </w:r>
      <w:r w:rsidR="009A0559" w:rsidRPr="002909BF">
        <w:t>intramuscular</w:t>
      </w:r>
      <w:r w:rsidRPr="002909BF">
        <w:t xml:space="preserve"> dose in 50 kg humans.</w:t>
      </w:r>
    </w:p>
    <w:p w14:paraId="4A73E044" w14:textId="124E5D68" w:rsidR="00272280" w:rsidRPr="002909BF" w:rsidRDefault="00272280" w:rsidP="00272280">
      <w:r w:rsidRPr="002909BF">
        <w:t xml:space="preserve">Repeated administration of </w:t>
      </w:r>
      <w:proofErr w:type="spellStart"/>
      <w:r w:rsidR="00AF0371" w:rsidRPr="002909BF">
        <w:t>Verorab</w:t>
      </w:r>
      <w:proofErr w:type="spellEnd"/>
      <w:r w:rsidRPr="002909BF">
        <w:t xml:space="preserve"> via the </w:t>
      </w:r>
      <w:r w:rsidR="009A0559" w:rsidRPr="002909BF">
        <w:t>subcutaneous</w:t>
      </w:r>
      <w:r w:rsidRPr="002909BF">
        <w:t xml:space="preserve"> route to rats and monkeys for 3</w:t>
      </w:r>
      <w:r w:rsidR="005478E2" w:rsidRPr="002909BF">
        <w:t> </w:t>
      </w:r>
      <w:r w:rsidRPr="002909BF">
        <w:t xml:space="preserve">months did not induce systemic toxic effects in rats at doses 400 times the </w:t>
      </w:r>
      <w:r w:rsidR="009A0559" w:rsidRPr="002909BF">
        <w:t>intramuscular</w:t>
      </w:r>
      <w:r w:rsidRPr="002909BF">
        <w:t xml:space="preserve"> human dose in adults and 80 times the </w:t>
      </w:r>
      <w:r w:rsidR="009A0559" w:rsidRPr="002909BF">
        <w:t>intramuscular</w:t>
      </w:r>
      <w:r w:rsidRPr="002909BF">
        <w:t xml:space="preserve"> dose in children (50 and 10 kg body weight, respectively) and monkeys at </w:t>
      </w:r>
      <w:r w:rsidR="005478E2" w:rsidRPr="002909BF">
        <w:t xml:space="preserve">approximately </w:t>
      </w:r>
      <w:r w:rsidRPr="002909BF">
        <w:t xml:space="preserve">80 times the adult dose and </w:t>
      </w:r>
      <w:r w:rsidR="005478E2" w:rsidRPr="002909BF">
        <w:t xml:space="preserve">approximately </w:t>
      </w:r>
      <w:r w:rsidRPr="002909BF">
        <w:t>16 times the dose in children. Treatment</w:t>
      </w:r>
      <w:r w:rsidR="005478E2" w:rsidRPr="002909BF">
        <w:t xml:space="preserve"> </w:t>
      </w:r>
      <w:r w:rsidRPr="002909BF">
        <w:t xml:space="preserve">related findings were limited to a slight increase of serum α-2 and β-globulin in rats, and </w:t>
      </w:r>
      <w:r w:rsidR="009A0559" w:rsidRPr="002909BF">
        <w:t>subcutaneous</w:t>
      </w:r>
      <w:r w:rsidRPr="002909BF">
        <w:t xml:space="preserve"> induration and inflammatory cell infiltration at the injection site in monkeys. However, the group size of the monkey study (2</w:t>
      </w:r>
      <w:r w:rsidR="005478E2" w:rsidRPr="002909BF">
        <w:t xml:space="preserve"> per sex per </w:t>
      </w:r>
      <w:r w:rsidRPr="002909BF">
        <w:t>group) was small, and only limited number of tissues were assessed.</w:t>
      </w:r>
    </w:p>
    <w:p w14:paraId="5A6F6167" w14:textId="376A781B" w:rsidR="00272280" w:rsidRPr="002909BF" w:rsidRDefault="00272280" w:rsidP="00272280">
      <w:r w:rsidRPr="002909BF">
        <w:t xml:space="preserve">Guinea pigs sensitised with an </w:t>
      </w:r>
      <w:r w:rsidR="009A0559" w:rsidRPr="002909BF">
        <w:t>intradermal</w:t>
      </w:r>
      <w:r w:rsidRPr="002909BF">
        <w:t xml:space="preserve"> injection of </w:t>
      </w:r>
      <w:proofErr w:type="spellStart"/>
      <w:r w:rsidR="00AF0371" w:rsidRPr="002909BF">
        <w:t>Verorab</w:t>
      </w:r>
      <w:proofErr w:type="spellEnd"/>
      <w:r w:rsidRPr="002909BF">
        <w:t xml:space="preserve"> had immediate hypersensitisation (anaphylactic shock) when challenged with </w:t>
      </w:r>
      <w:proofErr w:type="spellStart"/>
      <w:r w:rsidR="00AF0371" w:rsidRPr="002909BF">
        <w:t>Verorab</w:t>
      </w:r>
      <w:proofErr w:type="spellEnd"/>
      <w:r w:rsidRPr="002909BF">
        <w:t xml:space="preserve"> by intracardiac route. However, no sensitisation was observed in animals pre-treated by </w:t>
      </w:r>
      <w:r w:rsidR="009A0559" w:rsidRPr="002909BF">
        <w:t>intradermal</w:t>
      </w:r>
      <w:r w:rsidRPr="002909BF">
        <w:t xml:space="preserve"> injection of </w:t>
      </w:r>
      <w:proofErr w:type="spellStart"/>
      <w:r w:rsidR="00AF0371" w:rsidRPr="002909BF">
        <w:t>Verorab</w:t>
      </w:r>
      <w:proofErr w:type="spellEnd"/>
      <w:r w:rsidRPr="002909BF">
        <w:t xml:space="preserve"> and challenged by </w:t>
      </w:r>
      <w:r w:rsidR="009A0559" w:rsidRPr="002909BF">
        <w:t>intradermal</w:t>
      </w:r>
      <w:r w:rsidRPr="002909BF">
        <w:t xml:space="preserve"> injection of </w:t>
      </w:r>
      <w:proofErr w:type="spellStart"/>
      <w:r w:rsidR="00AF0371" w:rsidRPr="002909BF">
        <w:t>Verorab</w:t>
      </w:r>
      <w:proofErr w:type="spellEnd"/>
      <w:r w:rsidRPr="002909BF">
        <w:t xml:space="preserve">, suggesting a low risk of delayed sensitisation in humans. </w:t>
      </w:r>
      <w:proofErr w:type="spellStart"/>
      <w:r w:rsidR="00AF0371" w:rsidRPr="002909BF">
        <w:t>Verorab</w:t>
      </w:r>
      <w:proofErr w:type="spellEnd"/>
      <w:r w:rsidRPr="002909BF">
        <w:t xml:space="preserve"> may contain traces of bovine serum, hence potential hypersensitivity in humans vaccinated with </w:t>
      </w:r>
      <w:proofErr w:type="spellStart"/>
      <w:r w:rsidR="00AF0371" w:rsidRPr="002909BF">
        <w:t>Verorab</w:t>
      </w:r>
      <w:proofErr w:type="spellEnd"/>
      <w:r w:rsidRPr="002909BF">
        <w:t xml:space="preserve"> is not excluded.</w:t>
      </w:r>
    </w:p>
    <w:p w14:paraId="7DF88EF2" w14:textId="3E72BF7E" w:rsidR="00272280" w:rsidRPr="002909BF" w:rsidRDefault="00272280" w:rsidP="00272280">
      <w:r w:rsidRPr="002909BF">
        <w:t>No reproductive toxicity studies were submitted, and the reproductive organs were not examined in the toxicity studies. Therefore, the potential risks in pregnant women and postnatal development effects are unknown.</w:t>
      </w:r>
    </w:p>
    <w:p w14:paraId="4390D4A6" w14:textId="77777777" w:rsidR="00272280" w:rsidRPr="002909BF" w:rsidRDefault="00272280" w:rsidP="00272280">
      <w:pPr>
        <w:pStyle w:val="Heading4"/>
      </w:pPr>
      <w:r w:rsidRPr="002909BF">
        <w:t>Nonclinical conclusions and recommendations</w:t>
      </w:r>
    </w:p>
    <w:p w14:paraId="263AAC2A" w14:textId="1712F1B7" w:rsidR="00272280" w:rsidRPr="002909BF" w:rsidRDefault="00272280" w:rsidP="00272280">
      <w:r w:rsidRPr="002909BF">
        <w:t xml:space="preserve">The product was developed in the early 1980’s. </w:t>
      </w:r>
      <w:r w:rsidR="005478E2" w:rsidRPr="002909BF">
        <w:t>The n</w:t>
      </w:r>
      <w:r w:rsidRPr="002909BF">
        <w:t>onclinical data are insufficient for assessing the immunogenicity and safety of the vaccine.</w:t>
      </w:r>
    </w:p>
    <w:p w14:paraId="33EB8227" w14:textId="5721F169" w:rsidR="00272280" w:rsidRPr="002909BF" w:rsidRDefault="00272280" w:rsidP="00272280">
      <w:r w:rsidRPr="002909BF">
        <w:t xml:space="preserve">The vaccine protected mice from rabies virus challenge in </w:t>
      </w:r>
      <w:r w:rsidR="005478E2" w:rsidRPr="002909BF">
        <w:t>National Institute of Health</w:t>
      </w:r>
      <w:r w:rsidR="00B611DF">
        <w:t xml:space="preserve"> and Medical Research</w:t>
      </w:r>
      <w:r w:rsidRPr="002909BF">
        <w:t xml:space="preserve"> test</w:t>
      </w:r>
      <w:r w:rsidR="00B611DF">
        <w:t>ing</w:t>
      </w:r>
      <w:r w:rsidRPr="002909BF">
        <w:t>.</w:t>
      </w:r>
      <w:r w:rsidR="00B611DF" w:rsidRPr="00F03DBF">
        <w:rPr>
          <w:vertAlign w:val="superscript"/>
        </w:rPr>
        <w:fldChar w:fldCharType="begin"/>
      </w:r>
      <w:r w:rsidR="00B611DF" w:rsidRPr="00F03DBF">
        <w:rPr>
          <w:vertAlign w:val="superscript"/>
        </w:rPr>
        <w:instrText xml:space="preserve"> NOTEREF _Ref130562767 \h </w:instrText>
      </w:r>
      <w:r w:rsidR="00B611DF">
        <w:rPr>
          <w:vertAlign w:val="superscript"/>
        </w:rPr>
        <w:instrText xml:space="preserve"> \* MERGEFORMAT </w:instrText>
      </w:r>
      <w:r w:rsidR="00B611DF" w:rsidRPr="00F03DBF">
        <w:rPr>
          <w:vertAlign w:val="superscript"/>
        </w:rPr>
      </w:r>
      <w:r w:rsidR="00B611DF" w:rsidRPr="00F03DBF">
        <w:rPr>
          <w:vertAlign w:val="superscript"/>
        </w:rPr>
        <w:fldChar w:fldCharType="separate"/>
      </w:r>
      <w:r w:rsidR="00056FD1">
        <w:rPr>
          <w:vertAlign w:val="superscript"/>
        </w:rPr>
        <w:t>21</w:t>
      </w:r>
      <w:r w:rsidR="00B611DF" w:rsidRPr="00F03DBF">
        <w:rPr>
          <w:vertAlign w:val="superscript"/>
        </w:rPr>
        <w:fldChar w:fldCharType="end"/>
      </w:r>
      <w:r w:rsidRPr="002909BF">
        <w:t xml:space="preserve"> There were no nonclinical data on neutralising antibodies.</w:t>
      </w:r>
    </w:p>
    <w:p w14:paraId="6CECE32A" w14:textId="53291B3D" w:rsidR="00272280" w:rsidRPr="002909BF" w:rsidRDefault="00272280" w:rsidP="00272280">
      <w:r w:rsidRPr="002909BF">
        <w:t>Limited single dose and repeat dose toxicity studies raised no safety concerns.</w:t>
      </w:r>
    </w:p>
    <w:p w14:paraId="56D3A9A8" w14:textId="30506C0D" w:rsidR="00272280" w:rsidRPr="002909BF" w:rsidRDefault="00272280" w:rsidP="00272280">
      <w:r w:rsidRPr="002909BF">
        <w:lastRenderedPageBreak/>
        <w:t>There are no nonclinical reproductive toxicity data</w:t>
      </w:r>
      <w:r w:rsidR="007523AB" w:rsidRPr="002909BF">
        <w:t>, n</w:t>
      </w:r>
      <w:r w:rsidRPr="002909BF">
        <w:t>or were reproductive toxicity studies in animals for the currently approved inactivated whole rabies virus vaccines. The proposed Pregnancy Category B2</w:t>
      </w:r>
      <w:r w:rsidR="00B505D4" w:rsidRPr="002909BF">
        <w:t>;</w:t>
      </w:r>
      <w:r w:rsidR="00B505D4" w:rsidRPr="002909BF">
        <w:rPr>
          <w:rStyle w:val="FootnoteReference"/>
        </w:rPr>
        <w:footnoteReference w:id="22"/>
      </w:r>
      <w:r w:rsidRPr="002909BF">
        <w:t xml:space="preserve"> is appropriate.</w:t>
      </w:r>
    </w:p>
    <w:p w14:paraId="11208559" w14:textId="127B71C7" w:rsidR="00272280" w:rsidRPr="002909BF" w:rsidRDefault="00272280" w:rsidP="00272280">
      <w:r w:rsidRPr="002909BF">
        <w:t>Nonclinical data are insufficient to support registration of the vaccine. However, given the long history of clinical use, the absence of adequate nonclinical data should not preclude approval of the vaccine provided efficacy</w:t>
      </w:r>
      <w:r w:rsidR="007523AB" w:rsidRPr="002909BF">
        <w:t xml:space="preserve">, </w:t>
      </w:r>
      <w:r w:rsidRPr="002909BF">
        <w:t>immunogenicity and safety are demonstrated by clinical data.</w:t>
      </w:r>
    </w:p>
    <w:p w14:paraId="4718C05B" w14:textId="48312237" w:rsidR="00272280" w:rsidRPr="002909BF" w:rsidRDefault="00272280" w:rsidP="00272280">
      <w:r w:rsidRPr="002909BF">
        <w:t>The draft Product Information is acceptable from a nonclinical perspective.</w:t>
      </w:r>
    </w:p>
    <w:p w14:paraId="78532F17" w14:textId="77777777" w:rsidR="008E7846" w:rsidRPr="002909BF" w:rsidRDefault="008E7846" w:rsidP="008E7846">
      <w:pPr>
        <w:pStyle w:val="Heading3"/>
      </w:pPr>
      <w:bookmarkStart w:id="44" w:name="_Toc247691530"/>
      <w:bookmarkStart w:id="45" w:name="_Toc314842513"/>
      <w:bookmarkStart w:id="46" w:name="_Toc133493836"/>
      <w:r w:rsidRPr="002909BF">
        <w:t>Clinical</w:t>
      </w:r>
      <w:bookmarkEnd w:id="44"/>
      <w:bookmarkEnd w:id="45"/>
      <w:bookmarkEnd w:id="46"/>
    </w:p>
    <w:p w14:paraId="53CE5EEC" w14:textId="77777777" w:rsidR="0074163C" w:rsidRPr="002909BF" w:rsidRDefault="0074163C" w:rsidP="0074163C">
      <w:pPr>
        <w:pStyle w:val="Heading4"/>
      </w:pPr>
      <w:bookmarkStart w:id="47" w:name="_Toc98931928"/>
      <w:r w:rsidRPr="002909BF">
        <w:t>Summary of clinical studies</w:t>
      </w:r>
      <w:bookmarkEnd w:id="47"/>
    </w:p>
    <w:p w14:paraId="2F1C5D0D" w14:textId="77777777" w:rsidR="0074163C" w:rsidRPr="002909BF" w:rsidRDefault="0074163C" w:rsidP="0074163C">
      <w:r w:rsidRPr="002909BF">
        <w:t>The clinical dossier consisted of</w:t>
      </w:r>
      <w:r w:rsidR="00EB36D6" w:rsidRPr="002909BF">
        <w:t>:</w:t>
      </w:r>
    </w:p>
    <w:p w14:paraId="07BC0DA7" w14:textId="5D2C47FD" w:rsidR="0039611D" w:rsidRPr="006B2312" w:rsidRDefault="0039611D" w:rsidP="006B2312">
      <w:pPr>
        <w:pStyle w:val="ListBullet"/>
      </w:pPr>
      <w:r w:rsidRPr="006B2312">
        <w:t xml:space="preserve">Immunogenicity </w:t>
      </w:r>
      <w:r w:rsidR="000B1A33" w:rsidRPr="006B2312">
        <w:t xml:space="preserve">pre-exposure prophylaxis </w:t>
      </w:r>
      <w:r w:rsidRPr="006B2312">
        <w:t>studies</w:t>
      </w:r>
    </w:p>
    <w:p w14:paraId="12A21BD8" w14:textId="1D15011B" w:rsidR="00FE7AFF" w:rsidRDefault="0039611D" w:rsidP="00C216AC">
      <w:pPr>
        <w:pStyle w:val="ListBullet2"/>
      </w:pPr>
      <w:r w:rsidRPr="002909BF">
        <w:t>Study 1 intramuscular</w:t>
      </w:r>
      <w:r w:rsidR="003A5613">
        <w:t xml:space="preserve"> or </w:t>
      </w:r>
      <w:r w:rsidRPr="002909BF">
        <w:t>subcutaneou</w:t>
      </w:r>
      <w:r w:rsidR="006B2312">
        <w:t>s</w:t>
      </w:r>
      <w:r w:rsidR="00FE7AFF">
        <w:t xml:space="preserve"> injection</w:t>
      </w:r>
    </w:p>
    <w:p w14:paraId="27240FBC" w14:textId="78092A21" w:rsidR="006B2312" w:rsidRDefault="0039611D" w:rsidP="00C216AC">
      <w:pPr>
        <w:pStyle w:val="ListBullet2"/>
      </w:pPr>
      <w:r w:rsidRPr="002909BF">
        <w:t>Study 5 intramuscular booster</w:t>
      </w:r>
      <w:r w:rsidR="003A5613">
        <w:t xml:space="preserve"> injection</w:t>
      </w:r>
    </w:p>
    <w:p w14:paraId="2C3C9F89" w14:textId="215CE33F" w:rsidR="0039611D" w:rsidRPr="002909BF" w:rsidRDefault="0039611D" w:rsidP="006B2312">
      <w:pPr>
        <w:pStyle w:val="ListBullet2"/>
      </w:pPr>
      <w:r w:rsidRPr="002909BF">
        <w:t>Study 6 intramuscular</w:t>
      </w:r>
      <w:r w:rsidR="003A5613">
        <w:t xml:space="preserve"> injection with</w:t>
      </w:r>
      <w:r w:rsidRPr="002909BF">
        <w:t xml:space="preserve"> booster</w:t>
      </w:r>
      <w:r w:rsidR="003A5613">
        <w:t xml:space="preserve"> injection at one year or ten years</w:t>
      </w:r>
    </w:p>
    <w:p w14:paraId="2CC10CA2" w14:textId="7AAD236F" w:rsidR="0039611D" w:rsidRPr="002909BF" w:rsidRDefault="0039611D" w:rsidP="006B2312">
      <w:pPr>
        <w:pStyle w:val="ListBullet2"/>
      </w:pPr>
      <w:r w:rsidRPr="002909BF">
        <w:t>Study 7 intramuscular</w:t>
      </w:r>
      <w:r w:rsidR="003A5613">
        <w:t xml:space="preserve"> injection with</w:t>
      </w:r>
      <w:r w:rsidRPr="002909BF">
        <w:t xml:space="preserve"> booster</w:t>
      </w:r>
      <w:r w:rsidR="003A5613">
        <w:t xml:space="preserve"> injection at 3 years</w:t>
      </w:r>
    </w:p>
    <w:p w14:paraId="050E6FBB" w14:textId="1CB81DD1" w:rsidR="0039611D" w:rsidRPr="002909BF" w:rsidRDefault="0039611D" w:rsidP="006B2312">
      <w:pPr>
        <w:pStyle w:val="ListBullet2"/>
      </w:pPr>
      <w:r w:rsidRPr="002909BF">
        <w:t>Study 13 intramuscular</w:t>
      </w:r>
      <w:r w:rsidR="003A5613">
        <w:t xml:space="preserve"> injection</w:t>
      </w:r>
    </w:p>
    <w:p w14:paraId="15E11A59" w14:textId="410DECBD" w:rsidR="0039611D" w:rsidRPr="002909BF" w:rsidRDefault="0039611D" w:rsidP="006B2312">
      <w:pPr>
        <w:pStyle w:val="ListBullet2"/>
      </w:pPr>
      <w:r w:rsidRPr="002909BF">
        <w:t>Study 14 intramuscular</w:t>
      </w:r>
      <w:r w:rsidR="003A5613">
        <w:t xml:space="preserve"> injection</w:t>
      </w:r>
    </w:p>
    <w:p w14:paraId="77BC91C2" w14:textId="50B4DE38" w:rsidR="0039611D" w:rsidRPr="002909BF" w:rsidRDefault="0039611D" w:rsidP="006B2312">
      <w:pPr>
        <w:pStyle w:val="ListBullet2"/>
      </w:pPr>
      <w:r w:rsidRPr="002909BF">
        <w:t xml:space="preserve">Study 15 intramuscular </w:t>
      </w:r>
      <w:r w:rsidR="003A5613">
        <w:t>injection with</w:t>
      </w:r>
      <w:r w:rsidRPr="002909BF">
        <w:t xml:space="preserve"> </w:t>
      </w:r>
      <w:proofErr w:type="spellStart"/>
      <w:r w:rsidRPr="002909BF">
        <w:t>Typhim</w:t>
      </w:r>
      <w:proofErr w:type="spellEnd"/>
      <w:r w:rsidR="00FE7AFF">
        <w:t xml:space="preserve"> V</w:t>
      </w:r>
      <w:r w:rsidR="00081C55">
        <w:t>I</w:t>
      </w:r>
      <w:r w:rsidR="00FE7AFF">
        <w:t xml:space="preserve"> vaccine;</w:t>
      </w:r>
      <w:r w:rsidR="00FE7AFF">
        <w:rPr>
          <w:rStyle w:val="FootnoteReference"/>
        </w:rPr>
        <w:footnoteReference w:id="23"/>
      </w:r>
    </w:p>
    <w:p w14:paraId="1830BFFB" w14:textId="797FB9DC" w:rsidR="0039611D" w:rsidRPr="002909BF" w:rsidRDefault="0039611D" w:rsidP="006B2312">
      <w:pPr>
        <w:pStyle w:val="ListBullet2"/>
      </w:pPr>
      <w:r w:rsidRPr="002909BF">
        <w:t>Study 16 intramuscular</w:t>
      </w:r>
      <w:r w:rsidR="003A5613">
        <w:t xml:space="preserve"> or </w:t>
      </w:r>
      <w:r w:rsidRPr="002909BF">
        <w:t>intradermal</w:t>
      </w:r>
      <w:r w:rsidR="003A5613">
        <w:t xml:space="preserve"> injection</w:t>
      </w:r>
    </w:p>
    <w:p w14:paraId="2141C771" w14:textId="6BE3AD63" w:rsidR="0039611D" w:rsidRPr="002909BF" w:rsidRDefault="0039611D" w:rsidP="006B2312">
      <w:pPr>
        <w:pStyle w:val="ListBullet2"/>
      </w:pPr>
      <w:r w:rsidRPr="002909BF">
        <w:t xml:space="preserve">Study 18 intramuscular </w:t>
      </w:r>
      <w:r w:rsidR="003A5613">
        <w:t xml:space="preserve">injection </w:t>
      </w:r>
      <w:r w:rsidRPr="002909BF">
        <w:t xml:space="preserve">with </w:t>
      </w:r>
      <w:r w:rsidR="003A5613" w:rsidRPr="003A5613">
        <w:t xml:space="preserve">diphtheria, tetanus, </w:t>
      </w:r>
      <w:proofErr w:type="gramStart"/>
      <w:r w:rsidR="003A5613" w:rsidRPr="003A5613">
        <w:t>pertussis</w:t>
      </w:r>
      <w:proofErr w:type="gramEnd"/>
      <w:r w:rsidR="003A5613" w:rsidRPr="003A5613">
        <w:t xml:space="preserve"> and polio vaccine</w:t>
      </w:r>
    </w:p>
    <w:p w14:paraId="738D09EC" w14:textId="62D5DCC9" w:rsidR="0039611D" w:rsidRPr="002909BF" w:rsidRDefault="0039611D" w:rsidP="006B2312">
      <w:pPr>
        <w:pStyle w:val="ListBullet2"/>
      </w:pPr>
      <w:r w:rsidRPr="002909BF">
        <w:t xml:space="preserve">Study 20 intramuscular </w:t>
      </w:r>
      <w:r w:rsidR="003A5613">
        <w:t xml:space="preserve">injection with </w:t>
      </w:r>
      <w:r w:rsidRPr="002909BF">
        <w:t>booster</w:t>
      </w:r>
      <w:r w:rsidR="003A5613">
        <w:t xml:space="preserve"> injection at one year</w:t>
      </w:r>
    </w:p>
    <w:p w14:paraId="04C294B4" w14:textId="044063C5" w:rsidR="0039611D" w:rsidRPr="002909BF" w:rsidRDefault="0039611D" w:rsidP="006B2312">
      <w:pPr>
        <w:pStyle w:val="ListBullet2"/>
      </w:pPr>
      <w:r w:rsidRPr="002909BF">
        <w:t>Study 21 intramuscular</w:t>
      </w:r>
      <w:r w:rsidR="003A5613">
        <w:t xml:space="preserve"> or </w:t>
      </w:r>
      <w:r w:rsidRPr="002909BF">
        <w:t xml:space="preserve">intradermal </w:t>
      </w:r>
      <w:r w:rsidR="003A5613">
        <w:t>injection with</w:t>
      </w:r>
      <w:r w:rsidRPr="002909BF">
        <w:t xml:space="preserve"> </w:t>
      </w:r>
      <w:r w:rsidR="003A5613" w:rsidRPr="003A5613">
        <w:t xml:space="preserve">diphtheria, tetanus, </w:t>
      </w:r>
      <w:proofErr w:type="gramStart"/>
      <w:r w:rsidR="003A5613" w:rsidRPr="003A5613">
        <w:t>pertussis</w:t>
      </w:r>
      <w:proofErr w:type="gramEnd"/>
      <w:r w:rsidR="003A5613" w:rsidRPr="003A5613">
        <w:t xml:space="preserve"> and polio vaccine</w:t>
      </w:r>
      <w:r w:rsidR="003A5613">
        <w:t>, with booster injection at one year and five years</w:t>
      </w:r>
    </w:p>
    <w:p w14:paraId="37CF7B82" w14:textId="0017A7E9" w:rsidR="0039611D" w:rsidRPr="002909BF" w:rsidRDefault="0039611D" w:rsidP="006B2312">
      <w:pPr>
        <w:pStyle w:val="ListBullet2"/>
      </w:pPr>
      <w:r w:rsidRPr="002909BF">
        <w:t>Study 27 subcutaneous</w:t>
      </w:r>
      <w:r w:rsidR="003A5613">
        <w:t xml:space="preserve"> injection</w:t>
      </w:r>
    </w:p>
    <w:p w14:paraId="2DC1F3F5" w14:textId="57E21D43" w:rsidR="0039611D" w:rsidRPr="002909BF" w:rsidRDefault="0039611D" w:rsidP="006B2312">
      <w:pPr>
        <w:pStyle w:val="ListBullet2"/>
      </w:pPr>
      <w:r w:rsidRPr="002909BF">
        <w:t xml:space="preserve">Study 30 intramuscular </w:t>
      </w:r>
      <w:r w:rsidR="003A5613">
        <w:t>injection with booster injection at one year</w:t>
      </w:r>
    </w:p>
    <w:p w14:paraId="04B8CDA8" w14:textId="1105B1D3" w:rsidR="0039611D" w:rsidRPr="002909BF" w:rsidRDefault="0039611D" w:rsidP="006B2312">
      <w:pPr>
        <w:pStyle w:val="ListBullet2"/>
      </w:pPr>
      <w:r w:rsidRPr="002909BF">
        <w:t>Study 36</w:t>
      </w:r>
      <w:r w:rsidR="00D83BC0">
        <w:t xml:space="preserve"> (</w:t>
      </w:r>
      <w:r w:rsidR="003A5613" w:rsidRPr="003A5613">
        <w:t>pivotal study</w:t>
      </w:r>
      <w:r w:rsidR="003A5613">
        <w:t xml:space="preserve">, also known as the </w:t>
      </w:r>
      <w:r w:rsidR="00D83BC0" w:rsidRPr="00D83BC0">
        <w:t>VRV01</w:t>
      </w:r>
      <w:r w:rsidR="00D83BC0">
        <w:t xml:space="preserve"> trial)</w:t>
      </w:r>
      <w:r w:rsidRPr="002909BF">
        <w:t xml:space="preserve"> intramuscular</w:t>
      </w:r>
      <w:r w:rsidR="003A5613">
        <w:t xml:space="preserve"> injection with booster at one year</w:t>
      </w:r>
    </w:p>
    <w:p w14:paraId="40B65CBB" w14:textId="21FA84A3" w:rsidR="0039611D" w:rsidRPr="002909BF" w:rsidRDefault="0039611D" w:rsidP="006B2312">
      <w:pPr>
        <w:pStyle w:val="ListBullet2"/>
      </w:pPr>
      <w:r w:rsidRPr="002909BF">
        <w:t xml:space="preserve">Study 41 subcutaneous </w:t>
      </w:r>
      <w:r w:rsidR="003A5613">
        <w:t>injection</w:t>
      </w:r>
    </w:p>
    <w:p w14:paraId="2F103C57" w14:textId="2782E620" w:rsidR="0039611D" w:rsidRPr="002909BF" w:rsidRDefault="0039611D" w:rsidP="003A5613">
      <w:pPr>
        <w:pStyle w:val="ListBullet"/>
        <w:rPr>
          <w:lang w:eastAsia="ja-JP"/>
        </w:rPr>
      </w:pPr>
      <w:r w:rsidRPr="002909BF">
        <w:rPr>
          <w:lang w:eastAsia="ja-JP"/>
        </w:rPr>
        <w:t xml:space="preserve">Immunogenicity </w:t>
      </w:r>
      <w:bookmarkStart w:id="48" w:name="_Hlk128572170"/>
      <w:r w:rsidR="008350EB" w:rsidRPr="002909BF">
        <w:rPr>
          <w:lang w:eastAsia="ja-JP"/>
        </w:rPr>
        <w:t>post-exposure prophylaxis</w:t>
      </w:r>
      <w:r w:rsidRPr="002909BF">
        <w:rPr>
          <w:lang w:eastAsia="ja-JP"/>
        </w:rPr>
        <w:t xml:space="preserve"> </w:t>
      </w:r>
      <w:bookmarkEnd w:id="48"/>
      <w:r w:rsidRPr="002909BF">
        <w:rPr>
          <w:lang w:eastAsia="ja-JP"/>
        </w:rPr>
        <w:t>studies</w:t>
      </w:r>
    </w:p>
    <w:p w14:paraId="1CE7973F" w14:textId="542B70BE" w:rsidR="0039611D" w:rsidRPr="002909BF" w:rsidRDefault="0039611D" w:rsidP="003A5613">
      <w:pPr>
        <w:pStyle w:val="ListBullet2"/>
      </w:pPr>
      <w:r w:rsidRPr="002909BF">
        <w:t>Study 2 intramuscular</w:t>
      </w:r>
      <w:r w:rsidR="003A5613">
        <w:t xml:space="preserve"> or </w:t>
      </w:r>
      <w:r w:rsidRPr="002909BF">
        <w:t>subcutaneous</w:t>
      </w:r>
      <w:r w:rsidR="003A5613">
        <w:t xml:space="preserve"> injection</w:t>
      </w:r>
    </w:p>
    <w:p w14:paraId="7BA203DB" w14:textId="4FF8ADA7" w:rsidR="0039611D" w:rsidRPr="002909BF" w:rsidRDefault="0039611D" w:rsidP="003A5613">
      <w:pPr>
        <w:pStyle w:val="ListBullet2"/>
      </w:pPr>
      <w:r w:rsidRPr="002909BF">
        <w:t>Study 3 subcutaneous</w:t>
      </w:r>
      <w:r w:rsidR="003A5613">
        <w:t xml:space="preserve"> injection</w:t>
      </w:r>
    </w:p>
    <w:p w14:paraId="117ADCB3" w14:textId="703D1109" w:rsidR="0039611D" w:rsidRPr="002909BF" w:rsidRDefault="0039611D" w:rsidP="003A5613">
      <w:pPr>
        <w:pStyle w:val="ListBullet2"/>
      </w:pPr>
      <w:r w:rsidRPr="002909BF">
        <w:lastRenderedPageBreak/>
        <w:t xml:space="preserve">Study 10 intramuscular </w:t>
      </w:r>
      <w:r w:rsidR="003A5613">
        <w:t>injection with or without</w:t>
      </w:r>
      <w:r w:rsidRPr="002909BF">
        <w:t xml:space="preserve"> </w:t>
      </w:r>
      <w:r w:rsidR="003A5613" w:rsidRPr="003A5613">
        <w:t>human rabies immunoglobulin</w:t>
      </w:r>
      <w:r w:rsidR="003A5613">
        <w:t xml:space="preserve">, with </w:t>
      </w:r>
      <w:r w:rsidRPr="002909BF">
        <w:t xml:space="preserve">booster </w:t>
      </w:r>
      <w:r w:rsidR="003A5613">
        <w:t>injection at one year</w:t>
      </w:r>
      <w:r w:rsidR="003A5613" w:rsidRPr="002909BF">
        <w:t xml:space="preserve"> </w:t>
      </w:r>
      <w:r w:rsidRPr="002909BF">
        <w:t xml:space="preserve">(simulated </w:t>
      </w:r>
      <w:r w:rsidR="008350EB" w:rsidRPr="002909BF">
        <w:t>post-exposure prophylaxis</w:t>
      </w:r>
      <w:r w:rsidRPr="002909BF">
        <w:t>)</w:t>
      </w:r>
    </w:p>
    <w:p w14:paraId="3171877C" w14:textId="6B71E909" w:rsidR="0039611D" w:rsidRPr="002909BF" w:rsidRDefault="0039611D" w:rsidP="003A5613">
      <w:pPr>
        <w:pStyle w:val="ListBullet2"/>
      </w:pPr>
      <w:r w:rsidRPr="002909BF">
        <w:t xml:space="preserve">Study 19 intramuscular </w:t>
      </w:r>
      <w:r w:rsidR="003A5613">
        <w:t>injection with</w:t>
      </w:r>
      <w:r w:rsidRPr="002909BF">
        <w:t xml:space="preserve"> </w:t>
      </w:r>
      <w:r w:rsidR="003A5613" w:rsidRPr="003A5613">
        <w:t>equine rabies immunoglobulin</w:t>
      </w:r>
    </w:p>
    <w:p w14:paraId="6B676C52" w14:textId="10A71DC1" w:rsidR="0039611D" w:rsidRPr="002909BF" w:rsidRDefault="0039611D" w:rsidP="003A5613">
      <w:pPr>
        <w:pStyle w:val="ListBullet2"/>
      </w:pPr>
      <w:r w:rsidRPr="002909BF">
        <w:t>Study 22 intramuscular</w:t>
      </w:r>
      <w:r w:rsidR="003A5613">
        <w:t xml:space="preserve"> injection with</w:t>
      </w:r>
      <w:r w:rsidRPr="002909BF">
        <w:t xml:space="preserve"> </w:t>
      </w:r>
      <w:r w:rsidR="003A5613" w:rsidRPr="003A5613">
        <w:t>equine rabies immunoglobulin</w:t>
      </w:r>
    </w:p>
    <w:p w14:paraId="79B3828B" w14:textId="71C372B0" w:rsidR="0039611D" w:rsidRPr="002909BF" w:rsidRDefault="0039611D" w:rsidP="003A5613">
      <w:pPr>
        <w:pStyle w:val="ListBullet2"/>
      </w:pPr>
      <w:r w:rsidRPr="002909BF">
        <w:t xml:space="preserve">Study 23 intramuscular </w:t>
      </w:r>
      <w:r w:rsidR="003A5613">
        <w:t>injection with</w:t>
      </w:r>
      <w:r w:rsidRPr="002909BF">
        <w:t xml:space="preserve"> </w:t>
      </w:r>
      <w:r w:rsidR="003A5613" w:rsidRPr="003A5613">
        <w:t>equine rabies immunoglobulin</w:t>
      </w:r>
      <w:r w:rsidRPr="002909BF">
        <w:t xml:space="preserve"> or </w:t>
      </w:r>
      <w:r w:rsidR="003A5613" w:rsidRPr="003A5613">
        <w:t>human rabies immunoglobulin</w:t>
      </w:r>
    </w:p>
    <w:p w14:paraId="76A3F8F7" w14:textId="3FAEE3EC" w:rsidR="0039611D" w:rsidRPr="002909BF" w:rsidRDefault="0039611D" w:rsidP="003A5613">
      <w:pPr>
        <w:pStyle w:val="ListBullet2"/>
      </w:pPr>
      <w:r w:rsidRPr="002909BF">
        <w:t>Study 28 intradermal</w:t>
      </w:r>
      <w:r w:rsidR="003A5613">
        <w:t xml:space="preserve"> injection with</w:t>
      </w:r>
      <w:r w:rsidRPr="002909BF">
        <w:t xml:space="preserve"> </w:t>
      </w:r>
      <w:r w:rsidR="003A5613" w:rsidRPr="003A5613">
        <w:t>equine rabies immunoglobulin</w:t>
      </w:r>
    </w:p>
    <w:p w14:paraId="0B932048" w14:textId="48021E6C" w:rsidR="0039611D" w:rsidRPr="002909BF" w:rsidRDefault="0039611D" w:rsidP="003A5613">
      <w:pPr>
        <w:pStyle w:val="ListBullet2"/>
      </w:pPr>
      <w:r w:rsidRPr="002909BF">
        <w:t xml:space="preserve">Study 29 intradermal </w:t>
      </w:r>
      <w:r w:rsidR="003A5613">
        <w:t>injection with</w:t>
      </w:r>
      <w:r w:rsidRPr="002909BF">
        <w:t xml:space="preserve"> </w:t>
      </w:r>
      <w:r w:rsidR="007775A5" w:rsidRPr="002909BF">
        <w:t>rabies immunoglobulin</w:t>
      </w:r>
    </w:p>
    <w:p w14:paraId="264A2A12" w14:textId="52DAD059" w:rsidR="0039611D" w:rsidRPr="002909BF" w:rsidRDefault="0039611D" w:rsidP="003A5613">
      <w:pPr>
        <w:pStyle w:val="ListBullet2"/>
      </w:pPr>
      <w:r w:rsidRPr="002909BF">
        <w:t>Study 32 intramuscular</w:t>
      </w:r>
      <w:r w:rsidR="003A5613">
        <w:t xml:space="preserve"> or </w:t>
      </w:r>
      <w:r w:rsidRPr="002909BF">
        <w:t xml:space="preserve">intradermal </w:t>
      </w:r>
      <w:r w:rsidR="003A5613">
        <w:t>injection with</w:t>
      </w:r>
      <w:r w:rsidRPr="002909BF">
        <w:t xml:space="preserve"> </w:t>
      </w:r>
      <w:r w:rsidR="007C68BF" w:rsidRPr="002909BF">
        <w:t>purified equine rabies immunoglobulin</w:t>
      </w:r>
    </w:p>
    <w:p w14:paraId="063CCC0F" w14:textId="0323C662" w:rsidR="0039611D" w:rsidRPr="002909BF" w:rsidRDefault="0039611D" w:rsidP="003A5613">
      <w:pPr>
        <w:pStyle w:val="ListBullet2"/>
      </w:pPr>
      <w:r w:rsidRPr="002909BF">
        <w:t>Study 34 intramuscular</w:t>
      </w:r>
      <w:r w:rsidR="003A5613">
        <w:t xml:space="preserve"> or </w:t>
      </w:r>
      <w:r w:rsidRPr="002909BF">
        <w:t xml:space="preserve">intradermal </w:t>
      </w:r>
      <w:r w:rsidR="003A5613">
        <w:t>injection with</w:t>
      </w:r>
      <w:r w:rsidRPr="002909BF">
        <w:t xml:space="preserve"> </w:t>
      </w:r>
      <w:r w:rsidR="003A5613" w:rsidRPr="003A5613">
        <w:t>equine rabies immunoglobulin</w:t>
      </w:r>
    </w:p>
    <w:p w14:paraId="656D14EB" w14:textId="43F0D9B7" w:rsidR="0039611D" w:rsidRPr="002909BF" w:rsidRDefault="0039611D" w:rsidP="003A5613">
      <w:pPr>
        <w:pStyle w:val="ListBullet2"/>
      </w:pPr>
      <w:r w:rsidRPr="002909BF">
        <w:t xml:space="preserve">Study 35 intramuscular </w:t>
      </w:r>
      <w:r w:rsidR="003A5613">
        <w:t>injection with</w:t>
      </w:r>
      <w:r w:rsidRPr="002909BF">
        <w:t xml:space="preserve"> </w:t>
      </w:r>
      <w:r w:rsidR="007C68BF" w:rsidRPr="002909BF">
        <w:t>purified equine rabies immunoglobulin</w:t>
      </w:r>
    </w:p>
    <w:p w14:paraId="24C8616D" w14:textId="536DBB93" w:rsidR="0039611D" w:rsidRPr="002909BF" w:rsidRDefault="0039611D" w:rsidP="003A5613">
      <w:pPr>
        <w:pStyle w:val="ListBullet2"/>
      </w:pPr>
      <w:r w:rsidRPr="002909BF">
        <w:t>Study 37</w:t>
      </w:r>
      <w:r w:rsidR="00D83BC0">
        <w:t xml:space="preserve"> (</w:t>
      </w:r>
      <w:r w:rsidR="003A5613" w:rsidRPr="003A5613">
        <w:t>pivotal study</w:t>
      </w:r>
      <w:r w:rsidR="003A5613">
        <w:t xml:space="preserve">, also known as the </w:t>
      </w:r>
      <w:r w:rsidR="00D83BC0">
        <w:t>RAB40 trial)</w:t>
      </w:r>
      <w:r w:rsidRPr="002909BF">
        <w:t xml:space="preserve"> intradermal </w:t>
      </w:r>
      <w:r w:rsidR="003A5613">
        <w:t>injection with</w:t>
      </w:r>
      <w:r w:rsidRPr="002909BF">
        <w:t xml:space="preserve"> booster</w:t>
      </w:r>
      <w:r w:rsidR="003A5613">
        <w:t xml:space="preserve"> injection at 5 years</w:t>
      </w:r>
    </w:p>
    <w:p w14:paraId="364E5536" w14:textId="34BC1493" w:rsidR="0039611D" w:rsidRPr="002909BF" w:rsidRDefault="0039611D" w:rsidP="003A5613">
      <w:pPr>
        <w:pStyle w:val="ListBullet2"/>
      </w:pPr>
      <w:r w:rsidRPr="002909BF">
        <w:t xml:space="preserve">Study 38 </w:t>
      </w:r>
      <w:r w:rsidR="00C100B8" w:rsidRPr="00C100B8">
        <w:t>(</w:t>
      </w:r>
      <w:r w:rsidR="003A5613" w:rsidRPr="002909BF">
        <w:t>pivotal study</w:t>
      </w:r>
      <w:r w:rsidR="003A5613">
        <w:t xml:space="preserve">, also known as the </w:t>
      </w:r>
      <w:r w:rsidR="00C100B8" w:rsidRPr="00C100B8">
        <w:t xml:space="preserve">VRV08 trial) </w:t>
      </w:r>
      <w:r w:rsidRPr="002909BF">
        <w:t xml:space="preserve">intramuscular </w:t>
      </w:r>
      <w:r w:rsidR="0098357E">
        <w:t>injection</w:t>
      </w:r>
    </w:p>
    <w:p w14:paraId="7627BE73" w14:textId="352483C2" w:rsidR="0039611D" w:rsidRPr="002909BF" w:rsidRDefault="0039611D" w:rsidP="003A5613">
      <w:pPr>
        <w:pStyle w:val="ListBullet"/>
        <w:rPr>
          <w:lang w:eastAsia="ja-JP"/>
        </w:rPr>
      </w:pPr>
      <w:r w:rsidRPr="002909BF">
        <w:rPr>
          <w:lang w:eastAsia="ja-JP"/>
        </w:rPr>
        <w:t>Immunogenicity</w:t>
      </w:r>
      <w:r w:rsidR="000B1A33" w:rsidRPr="002909BF">
        <w:rPr>
          <w:lang w:eastAsia="ja-JP"/>
        </w:rPr>
        <w:t xml:space="preserve"> of</w:t>
      </w:r>
      <w:r w:rsidRPr="002909BF">
        <w:rPr>
          <w:lang w:eastAsia="ja-JP"/>
        </w:rPr>
        <w:t xml:space="preserve"> </w:t>
      </w:r>
      <w:r w:rsidR="000B1A33" w:rsidRPr="002909BF">
        <w:rPr>
          <w:lang w:eastAsia="ja-JP"/>
        </w:rPr>
        <w:t xml:space="preserve">pre- </w:t>
      </w:r>
      <w:r w:rsidRPr="002909BF">
        <w:rPr>
          <w:lang w:eastAsia="ja-JP"/>
        </w:rPr>
        <w:t xml:space="preserve">and </w:t>
      </w:r>
      <w:r w:rsidR="000B1A33" w:rsidRPr="002909BF">
        <w:rPr>
          <w:lang w:eastAsia="ja-JP"/>
        </w:rPr>
        <w:t xml:space="preserve">post-exposure prophylaxis </w:t>
      </w:r>
      <w:r w:rsidRPr="002909BF">
        <w:rPr>
          <w:lang w:eastAsia="ja-JP"/>
        </w:rPr>
        <w:t>studies</w:t>
      </w:r>
    </w:p>
    <w:p w14:paraId="6DC226B4" w14:textId="5D6DF503" w:rsidR="0039611D" w:rsidRPr="002909BF" w:rsidRDefault="0039611D" w:rsidP="003A5613">
      <w:pPr>
        <w:pStyle w:val="ListBullet2"/>
      </w:pPr>
      <w:r w:rsidRPr="002909BF">
        <w:t xml:space="preserve">Study 4 intramuscular </w:t>
      </w:r>
      <w:r w:rsidR="0098357E">
        <w:t xml:space="preserve">injection </w:t>
      </w:r>
      <w:r w:rsidRPr="002909BF">
        <w:t xml:space="preserve">(simulated </w:t>
      </w:r>
      <w:r w:rsidR="008350EB" w:rsidRPr="002909BF">
        <w:t>post-exposure prophylaxis</w:t>
      </w:r>
      <w:r w:rsidRPr="002909BF">
        <w:t>)</w:t>
      </w:r>
    </w:p>
    <w:p w14:paraId="4C53BB01" w14:textId="3A83B32A" w:rsidR="0039611D" w:rsidRPr="002909BF" w:rsidRDefault="0039611D" w:rsidP="003A5613">
      <w:pPr>
        <w:pStyle w:val="ListBullet2"/>
      </w:pPr>
      <w:r w:rsidRPr="002909BF">
        <w:t xml:space="preserve">Study 9 intramuscular </w:t>
      </w:r>
      <w:r w:rsidR="0098357E">
        <w:t xml:space="preserve">injection for </w:t>
      </w:r>
      <w:r w:rsidR="008350EB" w:rsidRPr="002909BF">
        <w:t>post-exposure prophylaxis</w:t>
      </w:r>
      <w:r w:rsidRPr="002909BF">
        <w:t xml:space="preserve"> without </w:t>
      </w:r>
      <w:r w:rsidR="007775A5" w:rsidRPr="002909BF">
        <w:t>rabies immunoglobulin</w:t>
      </w:r>
    </w:p>
    <w:p w14:paraId="4339F9B1" w14:textId="4F0E7107" w:rsidR="0039611D" w:rsidRPr="002909BF" w:rsidRDefault="0039611D" w:rsidP="003A5613">
      <w:pPr>
        <w:pStyle w:val="ListBullet2"/>
      </w:pPr>
      <w:r w:rsidRPr="002909BF">
        <w:t xml:space="preserve">Study 12 intramuscular </w:t>
      </w:r>
      <w:r w:rsidR="0098357E">
        <w:t xml:space="preserve">injection with </w:t>
      </w:r>
      <w:r w:rsidRPr="002909BF">
        <w:t>booster</w:t>
      </w:r>
      <w:r w:rsidR="0098357E">
        <w:t xml:space="preserve"> injection</w:t>
      </w:r>
    </w:p>
    <w:p w14:paraId="222CDD76" w14:textId="3FBD012D" w:rsidR="0039611D" w:rsidRPr="002909BF" w:rsidRDefault="0039611D" w:rsidP="003A5613">
      <w:pPr>
        <w:pStyle w:val="ListBullet2"/>
      </w:pPr>
      <w:r w:rsidRPr="002909BF">
        <w:t xml:space="preserve">Study VAJ00001 </w:t>
      </w:r>
      <w:r w:rsidR="0098357E">
        <w:t>(</w:t>
      </w:r>
      <w:r w:rsidR="0098357E" w:rsidRPr="0098357E">
        <w:t>pivotal study</w:t>
      </w:r>
      <w:r w:rsidR="0098357E">
        <w:t>)</w:t>
      </w:r>
      <w:r w:rsidR="0098357E" w:rsidRPr="0098357E">
        <w:t xml:space="preserve"> </w:t>
      </w:r>
      <w:r w:rsidRPr="002909BF">
        <w:t>intramuscular</w:t>
      </w:r>
      <w:r w:rsidR="0098357E">
        <w:t xml:space="preserve"> or </w:t>
      </w:r>
      <w:r w:rsidRPr="002909BF">
        <w:t xml:space="preserve">intradermal </w:t>
      </w:r>
      <w:r w:rsidR="0098357E">
        <w:t xml:space="preserve">injection </w:t>
      </w:r>
      <w:r w:rsidRPr="002909BF">
        <w:t xml:space="preserve">(simulated </w:t>
      </w:r>
      <w:r w:rsidR="008350EB" w:rsidRPr="002909BF">
        <w:t>post-exposure prophylaxis</w:t>
      </w:r>
      <w:r w:rsidRPr="002909BF">
        <w:t>)</w:t>
      </w:r>
    </w:p>
    <w:p w14:paraId="2E38A965" w14:textId="77777777" w:rsidR="0039611D" w:rsidRPr="002909BF" w:rsidRDefault="0039611D" w:rsidP="003A5613">
      <w:pPr>
        <w:pStyle w:val="ListBullet"/>
      </w:pPr>
      <w:r w:rsidRPr="002909BF">
        <w:t>Effectiveness studies</w:t>
      </w:r>
    </w:p>
    <w:p w14:paraId="4EC76401" w14:textId="4A23992E" w:rsidR="0039611D" w:rsidRPr="002909BF" w:rsidRDefault="0039611D" w:rsidP="003A5613">
      <w:pPr>
        <w:pStyle w:val="ListBullet2"/>
      </w:pPr>
      <w:r w:rsidRPr="002909BF">
        <w:t>Study 11 intramuscular</w:t>
      </w:r>
      <w:r w:rsidR="00FE7AFF">
        <w:t xml:space="preserve"> injection</w:t>
      </w:r>
      <w:r w:rsidR="0098357E">
        <w:t xml:space="preserve"> with or without</w:t>
      </w:r>
      <w:r w:rsidRPr="002909BF">
        <w:t xml:space="preserve"> </w:t>
      </w:r>
      <w:r w:rsidR="003A5613" w:rsidRPr="003A5613">
        <w:t>human rabies immunoglobulin</w:t>
      </w:r>
      <w:r w:rsidR="0098357E">
        <w:t xml:space="preserve"> (</w:t>
      </w:r>
      <w:r w:rsidR="0098357E" w:rsidRPr="002909BF">
        <w:t>post-exposure prophylaxis</w:t>
      </w:r>
      <w:r w:rsidR="0098357E">
        <w:t>)</w:t>
      </w:r>
    </w:p>
    <w:p w14:paraId="52544BCF" w14:textId="56EEFD37" w:rsidR="0039611D" w:rsidRPr="002909BF" w:rsidRDefault="0039611D" w:rsidP="003A5613">
      <w:pPr>
        <w:pStyle w:val="ListBullet2"/>
      </w:pPr>
      <w:r w:rsidRPr="002909BF">
        <w:t>Study 17 intramuscular or intradermal</w:t>
      </w:r>
      <w:r w:rsidR="00FE7AFF">
        <w:t xml:space="preserve"> injection</w:t>
      </w:r>
      <w:r w:rsidR="0098357E">
        <w:t xml:space="preserve"> with booster injection at 400 days (</w:t>
      </w:r>
      <w:r w:rsidR="0098357E" w:rsidRPr="0098357E">
        <w:t>pre-exposure prophylaxis</w:t>
      </w:r>
      <w:r w:rsidR="0098357E">
        <w:t>)</w:t>
      </w:r>
      <w:r w:rsidR="00FE7AFF">
        <w:t xml:space="preserve">; </w:t>
      </w:r>
      <w:r w:rsidRPr="002909BF">
        <w:t>intramuscular or intradermal</w:t>
      </w:r>
      <w:r w:rsidR="00FE7AFF">
        <w:t xml:space="preserve"> injection</w:t>
      </w:r>
      <w:r w:rsidR="0098357E">
        <w:t xml:space="preserve"> with or without</w:t>
      </w:r>
      <w:r w:rsidRPr="002909BF">
        <w:t xml:space="preserve"> </w:t>
      </w:r>
      <w:r w:rsidR="003A5613" w:rsidRPr="003A5613">
        <w:t>equine rabies immunoglobulin</w:t>
      </w:r>
      <w:r w:rsidRPr="002909BF">
        <w:t xml:space="preserve"> or </w:t>
      </w:r>
      <w:r w:rsidR="003A5613" w:rsidRPr="003A5613">
        <w:t>human rabies immunoglobulin</w:t>
      </w:r>
      <w:r w:rsidR="0098357E">
        <w:t xml:space="preserve"> (</w:t>
      </w:r>
      <w:r w:rsidR="0098357E" w:rsidRPr="002909BF">
        <w:t>post</w:t>
      </w:r>
      <w:r w:rsidR="00FE7AFF">
        <w:noBreakHyphen/>
      </w:r>
      <w:r w:rsidR="0098357E" w:rsidRPr="002909BF">
        <w:t>exposure prophylaxis</w:t>
      </w:r>
      <w:r w:rsidR="0098357E">
        <w:t>)</w:t>
      </w:r>
    </w:p>
    <w:p w14:paraId="06ED2F0D" w14:textId="099BDF3B" w:rsidR="0039611D" w:rsidRPr="002909BF" w:rsidRDefault="0039611D" w:rsidP="003A5613">
      <w:pPr>
        <w:pStyle w:val="ListBullet2"/>
      </w:pPr>
      <w:r w:rsidRPr="002909BF">
        <w:t xml:space="preserve">Study 31 intradermal </w:t>
      </w:r>
      <w:r w:rsidR="0098357E">
        <w:t>injection with</w:t>
      </w:r>
      <w:r w:rsidRPr="002909BF">
        <w:t xml:space="preserve"> </w:t>
      </w:r>
      <w:r w:rsidR="007C68BF" w:rsidRPr="002909BF">
        <w:t>purified equine rabies immunoglobulin</w:t>
      </w:r>
      <w:r w:rsidR="0098357E">
        <w:t xml:space="preserve"> (</w:t>
      </w:r>
      <w:r w:rsidR="0098357E" w:rsidRPr="002909BF">
        <w:t>post</w:t>
      </w:r>
      <w:r w:rsidR="00FE7AFF">
        <w:noBreakHyphen/>
      </w:r>
      <w:r w:rsidR="0098357E" w:rsidRPr="002909BF">
        <w:t>exposure prophylaxis</w:t>
      </w:r>
      <w:r w:rsidR="0098357E">
        <w:t>)</w:t>
      </w:r>
    </w:p>
    <w:p w14:paraId="5432B9F2" w14:textId="3CE389DC" w:rsidR="0039611D" w:rsidRPr="002909BF" w:rsidRDefault="0039611D" w:rsidP="003A5613">
      <w:pPr>
        <w:pStyle w:val="ListBullet2"/>
      </w:pPr>
      <w:r w:rsidRPr="002909BF">
        <w:t>Study 33 intramuscular</w:t>
      </w:r>
      <w:r w:rsidR="0098357E">
        <w:t xml:space="preserve"> or </w:t>
      </w:r>
      <w:r w:rsidRPr="002909BF">
        <w:t xml:space="preserve">intradermal </w:t>
      </w:r>
      <w:r w:rsidR="0098357E">
        <w:t>injection with or without</w:t>
      </w:r>
      <w:r w:rsidRPr="002909BF">
        <w:t xml:space="preserve"> </w:t>
      </w:r>
      <w:r w:rsidR="003A5613" w:rsidRPr="003A5613">
        <w:t>equine rabies immunoglobulin</w:t>
      </w:r>
      <w:r w:rsidRPr="002909BF">
        <w:t xml:space="preserve"> or </w:t>
      </w:r>
      <w:r w:rsidR="003A5613" w:rsidRPr="003A5613">
        <w:t>human rabies immunoglobulin</w:t>
      </w:r>
      <w:r w:rsidR="0098357E">
        <w:t xml:space="preserve"> (</w:t>
      </w:r>
      <w:r w:rsidR="0098357E" w:rsidRPr="002909BF">
        <w:t>post-exposure prophylaxis</w:t>
      </w:r>
      <w:r w:rsidR="0098357E">
        <w:t>)</w:t>
      </w:r>
    </w:p>
    <w:p w14:paraId="35E0979E" w14:textId="77777777" w:rsidR="00E251B9" w:rsidRPr="002909BF" w:rsidRDefault="00E251B9" w:rsidP="00E251B9">
      <w:pPr>
        <w:pStyle w:val="Heading4"/>
      </w:pPr>
      <w:r w:rsidRPr="002909BF">
        <w:t>Pharmacology</w:t>
      </w:r>
    </w:p>
    <w:p w14:paraId="0425586D" w14:textId="14420764" w:rsidR="00E251B9" w:rsidRPr="002909BF" w:rsidRDefault="00E251B9" w:rsidP="00E251B9">
      <w:r w:rsidRPr="002909BF">
        <w:t>Pharmacokinetic studies are usually not required for vaccines.</w:t>
      </w:r>
      <w:r w:rsidR="00B505D4" w:rsidRPr="002909BF">
        <w:rPr>
          <w:rStyle w:val="FootnoteReference"/>
        </w:rPr>
        <w:footnoteReference w:id="24"/>
      </w:r>
    </w:p>
    <w:p w14:paraId="27BE00C7" w14:textId="77777777" w:rsidR="00E251B9" w:rsidRPr="002909BF" w:rsidRDefault="00E251B9" w:rsidP="00E251B9">
      <w:pPr>
        <w:pStyle w:val="Heading4"/>
      </w:pPr>
      <w:r w:rsidRPr="002909BF">
        <w:lastRenderedPageBreak/>
        <w:t>Efficacy</w:t>
      </w:r>
    </w:p>
    <w:p w14:paraId="3F308818" w14:textId="1AED0197" w:rsidR="00E251B9" w:rsidRPr="002909BF" w:rsidRDefault="00E251B9" w:rsidP="00E251B9">
      <w:pPr>
        <w:pStyle w:val="Heading5"/>
      </w:pPr>
      <w:r w:rsidRPr="002909BF">
        <w:t>Study overview</w:t>
      </w:r>
    </w:p>
    <w:p w14:paraId="29D4BE3F" w14:textId="6802FC8A" w:rsidR="00E251B9" w:rsidRPr="002909BF" w:rsidRDefault="00E251B9" w:rsidP="003F0DC7">
      <w:r w:rsidRPr="002909BF">
        <w:t xml:space="preserve">An overview of vaccines used or referenced in the clinical studies is </w:t>
      </w:r>
      <w:r w:rsidR="00B94929" w:rsidRPr="002909BF">
        <w:t xml:space="preserve">shown in </w:t>
      </w:r>
      <w:r w:rsidRPr="002909BF">
        <w:fldChar w:fldCharType="begin"/>
      </w:r>
      <w:r w:rsidRPr="002909BF">
        <w:instrText xml:space="preserve"> REF _Ref108081887 \h  \* MERGEFORMAT </w:instrText>
      </w:r>
      <w:r w:rsidRPr="002909BF">
        <w:fldChar w:fldCharType="separate"/>
      </w:r>
      <w:r w:rsidR="00056FD1" w:rsidRPr="00F316C5">
        <w:t xml:space="preserve">Table </w:t>
      </w:r>
      <w:r w:rsidR="00056FD1">
        <w:t>3</w:t>
      </w:r>
      <w:r w:rsidRPr="002909BF">
        <w:fldChar w:fldCharType="end"/>
      </w:r>
      <w:r w:rsidRPr="002909BF">
        <w:t>.</w:t>
      </w:r>
    </w:p>
    <w:p w14:paraId="61935106" w14:textId="5E9266ED" w:rsidR="00E251B9" w:rsidRPr="00F316C5" w:rsidRDefault="00E251B9" w:rsidP="00F316C5">
      <w:pPr>
        <w:pStyle w:val="TableTitle"/>
      </w:pPr>
      <w:bookmarkStart w:id="49" w:name="_Ref108081887"/>
      <w:r w:rsidRPr="00F316C5">
        <w:t xml:space="preserve">Table </w:t>
      </w:r>
      <w:fldSimple w:instr=" SEQ Table \* ARABIC ">
        <w:r w:rsidR="00056FD1">
          <w:rPr>
            <w:noProof/>
          </w:rPr>
          <w:t>3</w:t>
        </w:r>
      </w:fldSimple>
      <w:bookmarkEnd w:id="49"/>
      <w:r w:rsidR="00B94929" w:rsidRPr="00F316C5">
        <w:t>:</w:t>
      </w:r>
      <w:r w:rsidRPr="00F316C5">
        <w:t xml:space="preserve"> Overview of vaccines used or referenced in the clinical studies</w:t>
      </w:r>
    </w:p>
    <w:p w14:paraId="64318147" w14:textId="1D463783" w:rsidR="00691988" w:rsidRPr="002909BF" w:rsidRDefault="00691988" w:rsidP="00F316C5">
      <w:r>
        <w:rPr>
          <w:noProof/>
          <w:lang w:val="en-GB" w:eastAsia="en-GB"/>
        </w:rPr>
        <w:drawing>
          <wp:inline distT="0" distB="0" distL="0" distR="0" wp14:anchorId="29CC5217" wp14:editId="7CF217F6">
            <wp:extent cx="5400040" cy="2732405"/>
            <wp:effectExtent l="0" t="0" r="0" b="0"/>
            <wp:docPr id="3" name="Picture 3" descr="Table 3: Overview of vaccines used or referenced in the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3: Overview of vaccines used or referenced in the clinical studies"/>
                    <pic:cNvPicPr/>
                  </pic:nvPicPr>
                  <pic:blipFill>
                    <a:blip r:embed="rId19"/>
                    <a:stretch>
                      <a:fillRect/>
                    </a:stretch>
                  </pic:blipFill>
                  <pic:spPr>
                    <a:xfrm>
                      <a:off x="0" y="0"/>
                      <a:ext cx="5400040" cy="2732405"/>
                    </a:xfrm>
                    <a:prstGeom prst="rect">
                      <a:avLst/>
                    </a:prstGeom>
                  </pic:spPr>
                </pic:pic>
              </a:graphicData>
            </a:graphic>
          </wp:inline>
        </w:drawing>
      </w:r>
    </w:p>
    <w:p w14:paraId="3FFFAE46" w14:textId="5007CC3E" w:rsidR="00B94929" w:rsidRPr="00F316C5" w:rsidRDefault="00B94929" w:rsidP="00F316C5">
      <w:pPr>
        <w:pStyle w:val="TableDescription"/>
      </w:pPr>
      <w:r w:rsidRPr="00F316C5">
        <w:t xml:space="preserve">Abbreviations: CPRV = chromatographically purified rabies vaccine; HDCV = human diploid cell vaccine; PVRV = purified Vero rabies vaccine; US = United States; </w:t>
      </w:r>
      <w:proofErr w:type="spellStart"/>
      <w:r w:rsidRPr="00F316C5">
        <w:t>VRVg</w:t>
      </w:r>
      <w:proofErr w:type="spellEnd"/>
      <w:r w:rsidRPr="00F316C5">
        <w:t xml:space="preserve"> = </w:t>
      </w:r>
      <w:r w:rsidR="00A703E8" w:rsidRPr="00F316C5">
        <w:t xml:space="preserve">serum free </w:t>
      </w:r>
      <w:r w:rsidRPr="00F316C5">
        <w:t>purified Vero rabies vaccine.</w:t>
      </w:r>
    </w:p>
    <w:p w14:paraId="7E58E1EC" w14:textId="05775371" w:rsidR="00B94929" w:rsidRPr="00F316C5" w:rsidRDefault="00B94929" w:rsidP="00F316C5">
      <w:pPr>
        <w:pStyle w:val="TableDescription"/>
      </w:pPr>
      <w:r w:rsidRPr="00F316C5">
        <w:t>* Biological license: 103931</w:t>
      </w:r>
    </w:p>
    <w:p w14:paraId="4AF7E87A" w14:textId="3B96093D" w:rsidR="00E251B9" w:rsidRPr="00D83BC0" w:rsidRDefault="00E251B9" w:rsidP="00C1787D">
      <w:pPr>
        <w:pStyle w:val="Heading5"/>
      </w:pPr>
      <w:bookmarkStart w:id="50" w:name="_Ref106783531"/>
      <w:r w:rsidRPr="00D83BC0">
        <w:t>Study 37</w:t>
      </w:r>
      <w:r w:rsidR="00D83BC0">
        <w:t xml:space="preserve"> (</w:t>
      </w:r>
      <w:r w:rsidR="00D83BC0" w:rsidRPr="00D83BC0">
        <w:t>RAB40 trial</w:t>
      </w:r>
      <w:r w:rsidR="00D83BC0">
        <w:t>)</w:t>
      </w:r>
      <w:r w:rsidR="009E481A" w:rsidRPr="00D83BC0">
        <w:t xml:space="preserve"> </w:t>
      </w:r>
      <w:r w:rsidRPr="00D83BC0">
        <w:t xml:space="preserve">using </w:t>
      </w:r>
      <w:r w:rsidR="00B505D4" w:rsidRPr="00D83BC0">
        <w:t xml:space="preserve">purified </w:t>
      </w:r>
      <w:r w:rsidR="009E481A" w:rsidRPr="00D83BC0">
        <w:t>V</w:t>
      </w:r>
      <w:r w:rsidR="00B505D4" w:rsidRPr="00D83BC0">
        <w:t xml:space="preserve">ero cell rabies vaccine </w:t>
      </w:r>
      <w:r w:rsidRPr="00D83BC0">
        <w:t xml:space="preserve">given </w:t>
      </w:r>
      <w:r w:rsidR="009A0559" w:rsidRPr="00D83BC0">
        <w:t>intradermal</w:t>
      </w:r>
      <w:r w:rsidR="009E481A" w:rsidRPr="00D83BC0">
        <w:t>ly</w:t>
      </w:r>
      <w:r w:rsidRPr="00D83BC0">
        <w:t xml:space="preserve"> for </w:t>
      </w:r>
      <w:r w:rsidR="000B1A33" w:rsidRPr="00D83BC0">
        <w:t xml:space="preserve">post-exposure prophylaxis </w:t>
      </w:r>
      <w:r w:rsidRPr="00D83BC0">
        <w:t xml:space="preserve">with </w:t>
      </w:r>
      <w:r w:rsidR="009E481A" w:rsidRPr="00D83BC0">
        <w:t>5-year</w:t>
      </w:r>
      <w:r w:rsidRPr="00D83BC0">
        <w:t xml:space="preserve"> booster</w:t>
      </w:r>
      <w:bookmarkEnd w:id="50"/>
    </w:p>
    <w:p w14:paraId="0DDA49E6" w14:textId="2D443A0E" w:rsidR="00E251B9" w:rsidRPr="002909BF" w:rsidRDefault="0099022E" w:rsidP="003F0DC7">
      <w:r w:rsidRPr="00D83BC0">
        <w:t>Study 37 (the RAB40 trial)</w:t>
      </w:r>
      <w:r w:rsidRPr="002909BF">
        <w:t xml:space="preserve"> is a </w:t>
      </w:r>
      <w:r w:rsidR="00E251B9" w:rsidRPr="002909BF">
        <w:t>Phase III, single</w:t>
      </w:r>
      <w:r w:rsidRPr="002909BF">
        <w:t xml:space="preserve"> </w:t>
      </w:r>
      <w:r w:rsidR="00E251B9" w:rsidRPr="002909BF">
        <w:t>centre, open</w:t>
      </w:r>
      <w:r w:rsidRPr="002909BF">
        <w:t xml:space="preserve"> </w:t>
      </w:r>
      <w:r w:rsidR="00E251B9" w:rsidRPr="002909BF">
        <w:t xml:space="preserve">label, randomised, controlled trial to evaluate </w:t>
      </w:r>
      <w:r w:rsidR="009A0559" w:rsidRPr="002909BF">
        <w:t>intradermal</w:t>
      </w:r>
      <w:r w:rsidR="00E251B9" w:rsidRPr="002909BF">
        <w:t xml:space="preserve"> </w:t>
      </w:r>
      <w:proofErr w:type="spellStart"/>
      <w:r w:rsidR="00E251B9" w:rsidRPr="002909BF">
        <w:t>Verorab</w:t>
      </w:r>
      <w:proofErr w:type="spellEnd"/>
      <w:r w:rsidR="00E251B9" w:rsidRPr="002909BF">
        <w:t xml:space="preserve"> </w:t>
      </w:r>
      <w:r w:rsidR="00172645" w:rsidRPr="002909BF">
        <w:t>post-exposure prophylaxis (</w:t>
      </w:r>
      <w:r w:rsidR="00E251B9" w:rsidRPr="002909BF">
        <w:t>PEP</w:t>
      </w:r>
      <w:r w:rsidR="00172645" w:rsidRPr="002909BF">
        <w:t>)</w:t>
      </w:r>
      <w:r w:rsidR="00E251B9" w:rsidRPr="002909BF">
        <w:t xml:space="preserve"> immunogenicity and safety after a one-week, 4</w:t>
      </w:r>
      <w:r w:rsidRPr="002909BF">
        <w:noBreakHyphen/>
      </w:r>
      <w:r w:rsidR="00E251B9" w:rsidRPr="002909BF">
        <w:t xml:space="preserve">site, </w:t>
      </w:r>
      <w:r w:rsidR="009A0559" w:rsidRPr="002909BF">
        <w:t>intradermal</w:t>
      </w:r>
      <w:r w:rsidR="00E251B9" w:rsidRPr="002909BF">
        <w:t xml:space="preserve"> PEP regimen (4-4-4-0-0) followed by a one visit, 4-site, </w:t>
      </w:r>
      <w:r w:rsidR="009A0559" w:rsidRPr="002909BF">
        <w:t>intradermal</w:t>
      </w:r>
      <w:r w:rsidR="00E251B9" w:rsidRPr="002909BF">
        <w:t xml:space="preserve"> booster at five years in 598 patients (</w:t>
      </w:r>
      <w:bookmarkStart w:id="51" w:name="_Hlk128575084"/>
      <w:r w:rsidR="00B524BF" w:rsidRPr="002909BF">
        <w:t>full analysis set</w:t>
      </w:r>
      <w:bookmarkEnd w:id="51"/>
      <w:r w:rsidR="00E251B9" w:rsidRPr="002909BF">
        <w:t>) aged 50</w:t>
      </w:r>
      <w:r w:rsidR="00B611DF">
        <w:t> </w:t>
      </w:r>
      <w:r w:rsidR="00E251B9" w:rsidRPr="002909BF">
        <w:t>years</w:t>
      </w:r>
      <w:r w:rsidR="00BF67B9" w:rsidRPr="002909BF">
        <w:t xml:space="preserve"> or younger</w:t>
      </w:r>
      <w:r w:rsidR="00E251B9" w:rsidRPr="002909BF">
        <w:t xml:space="preserve"> (actual range: 0</w:t>
      </w:r>
      <w:r w:rsidR="00BF67B9" w:rsidRPr="002909BF">
        <w:t xml:space="preserve"> to </w:t>
      </w:r>
      <w:r w:rsidR="00E251B9" w:rsidRPr="002909BF">
        <w:t>49</w:t>
      </w:r>
      <w:r w:rsidR="00BF67B9" w:rsidRPr="002909BF">
        <w:t xml:space="preserve"> years old)</w:t>
      </w:r>
      <w:r w:rsidR="00E251B9" w:rsidRPr="002909BF">
        <w:t xml:space="preserve">, with WHO </w:t>
      </w:r>
      <w:r w:rsidR="00BF67B9" w:rsidRPr="002909BF">
        <w:t>C</w:t>
      </w:r>
      <w:r w:rsidR="00E251B9" w:rsidRPr="002909BF">
        <w:t>ategory II or III exposure</w:t>
      </w:r>
      <w:r w:rsidR="00B611DF">
        <w:t>;</w:t>
      </w:r>
      <w:bookmarkStart w:id="52" w:name="_Ref130563444"/>
      <w:r w:rsidR="00B611DF">
        <w:rPr>
          <w:rStyle w:val="FootnoteReference"/>
        </w:rPr>
        <w:footnoteReference w:id="25"/>
      </w:r>
      <w:bookmarkEnd w:id="52"/>
      <w:r w:rsidR="00E251B9" w:rsidRPr="002909BF">
        <w:t xml:space="preserve"> within 48 hours prior.</w:t>
      </w:r>
    </w:p>
    <w:p w14:paraId="0A51BEB8" w14:textId="21576DBA" w:rsidR="00E251B9" w:rsidRPr="002909BF" w:rsidRDefault="00E251B9" w:rsidP="003F0DC7">
      <w:r w:rsidRPr="002909BF">
        <w:t>The study was conducted in the Philippines between 29 June 2012 and 14</w:t>
      </w:r>
      <w:r w:rsidR="00BF67B9" w:rsidRPr="002909BF">
        <w:t> </w:t>
      </w:r>
      <w:r w:rsidRPr="002909BF">
        <w:t>Nov</w:t>
      </w:r>
      <w:r w:rsidR="00BF67B9" w:rsidRPr="002909BF">
        <w:t>ember </w:t>
      </w:r>
      <w:r w:rsidRPr="002909BF">
        <w:t>2018.</w:t>
      </w:r>
    </w:p>
    <w:p w14:paraId="423C746F" w14:textId="77777777" w:rsidR="00C1787D" w:rsidRPr="002909BF" w:rsidRDefault="00E251B9" w:rsidP="00C1787D">
      <w:pPr>
        <w:pStyle w:val="Heading7"/>
        <w:rPr>
          <w:sz w:val="22"/>
          <w:szCs w:val="28"/>
        </w:rPr>
      </w:pPr>
      <w:r w:rsidRPr="002909BF">
        <w:rPr>
          <w:sz w:val="22"/>
          <w:szCs w:val="28"/>
        </w:rPr>
        <w:lastRenderedPageBreak/>
        <w:t>Primary objective</w:t>
      </w:r>
    </w:p>
    <w:p w14:paraId="7D0E5B3A" w14:textId="055A9BCD" w:rsidR="00E251B9" w:rsidRPr="002909BF" w:rsidRDefault="0039611D" w:rsidP="003F0DC7">
      <w:r w:rsidRPr="002909BF">
        <w:t>The primary objective of this study is t</w:t>
      </w:r>
      <w:r w:rsidR="00E251B9" w:rsidRPr="002909BF">
        <w:t xml:space="preserve">o demonstrate that PEP using the one-week, 4-site (4-4-4-0-0) </w:t>
      </w:r>
      <w:r w:rsidR="009A0559" w:rsidRPr="002909BF">
        <w:t>intradermal</w:t>
      </w:r>
      <w:r w:rsidR="00E251B9" w:rsidRPr="002909BF">
        <w:t xml:space="preserve"> vaccination regimen is not inferior to PEP using the updated </w:t>
      </w:r>
      <w:r w:rsidR="007C68BF" w:rsidRPr="002909BF">
        <w:t xml:space="preserve">Thai Red Cross </w:t>
      </w:r>
      <w:r w:rsidR="00E251B9" w:rsidRPr="002909BF">
        <w:t xml:space="preserve">(2-2-2-0-2) </w:t>
      </w:r>
      <w:r w:rsidR="009A0559" w:rsidRPr="002909BF">
        <w:t>intradermal</w:t>
      </w:r>
      <w:r w:rsidR="00E251B9" w:rsidRPr="002909BF">
        <w:t xml:space="preserve"> vaccination regimen in terms of seroconversion rate at </w:t>
      </w:r>
      <w:r w:rsidR="007C68BF" w:rsidRPr="002909BF">
        <w:t>Day </w:t>
      </w:r>
      <w:r w:rsidR="00E251B9" w:rsidRPr="002909BF">
        <w:t xml:space="preserve">14 (Group 1 </w:t>
      </w:r>
      <w:r w:rsidR="0075406F" w:rsidRPr="002909BF">
        <w:t>versus</w:t>
      </w:r>
      <w:r w:rsidR="00E251B9" w:rsidRPr="002909BF">
        <w:t xml:space="preserve"> Group 3, and Group 2 </w:t>
      </w:r>
      <w:r w:rsidR="0075406F" w:rsidRPr="002909BF">
        <w:t>versus</w:t>
      </w:r>
      <w:r w:rsidR="00E251B9" w:rsidRPr="002909BF">
        <w:t xml:space="preserve"> Group 3).</w:t>
      </w:r>
    </w:p>
    <w:p w14:paraId="16704672" w14:textId="77777777" w:rsidR="00C1787D" w:rsidRPr="002909BF" w:rsidRDefault="00E251B9" w:rsidP="00C1787D">
      <w:pPr>
        <w:pStyle w:val="Heading7"/>
        <w:rPr>
          <w:sz w:val="22"/>
          <w:szCs w:val="28"/>
        </w:rPr>
      </w:pPr>
      <w:r w:rsidRPr="002909BF">
        <w:rPr>
          <w:sz w:val="22"/>
          <w:szCs w:val="28"/>
        </w:rPr>
        <w:t>Product</w:t>
      </w:r>
    </w:p>
    <w:p w14:paraId="2ACEBDBA" w14:textId="2D73EAB4" w:rsidR="00E251B9" w:rsidRPr="002909BF" w:rsidRDefault="00E251B9" w:rsidP="003F0DC7">
      <w:r w:rsidRPr="002909BF">
        <w:t>The</w:t>
      </w:r>
      <w:r w:rsidR="00EB184F" w:rsidRPr="002909BF">
        <w:t xml:space="preserve"> </w:t>
      </w:r>
      <w:bookmarkStart w:id="53" w:name="_Hlk128575933"/>
      <w:r w:rsidR="00EB184F" w:rsidRPr="002909BF">
        <w:t>sponsor’s</w:t>
      </w:r>
      <w:bookmarkEnd w:id="53"/>
      <w:r w:rsidRPr="002909BF">
        <w:t xml:space="preserve"> </w:t>
      </w:r>
      <w:r w:rsidR="00B505D4" w:rsidRPr="002909BF">
        <w:t>purified Vero cell rabies vaccine (</w:t>
      </w:r>
      <w:r w:rsidRPr="002909BF">
        <w:t>PVRV</w:t>
      </w:r>
      <w:r w:rsidR="00B505D4" w:rsidRPr="002909BF">
        <w:t>)</w:t>
      </w:r>
      <w:r w:rsidRPr="002909BF">
        <w:t xml:space="preserve"> product </w:t>
      </w:r>
      <w:r w:rsidR="007C68BF" w:rsidRPr="002909BF">
        <w:t xml:space="preserve">contains 2.5 </w:t>
      </w:r>
      <w:r w:rsidR="00980F3B" w:rsidRPr="002909BF">
        <w:t xml:space="preserve">international units (IU) </w:t>
      </w:r>
      <w:r w:rsidR="007C68BF" w:rsidRPr="002909BF">
        <w:t xml:space="preserve">or more of inactivated rabies virus </w:t>
      </w:r>
      <w:r w:rsidRPr="002909BF">
        <w:t xml:space="preserve">(Wistar </w:t>
      </w:r>
      <w:r w:rsidR="007C68BF" w:rsidRPr="002909BF">
        <w:t xml:space="preserve">rabies </w:t>
      </w:r>
      <w:r w:rsidRPr="002909BF">
        <w:t>strain PM/WI38</w:t>
      </w:r>
      <w:r w:rsidR="007C68BF" w:rsidRPr="002909BF">
        <w:t> </w:t>
      </w:r>
      <w:r w:rsidRPr="002909BF">
        <w:t>1503</w:t>
      </w:r>
      <w:r w:rsidR="007C68BF" w:rsidRPr="002909BF">
        <w:noBreakHyphen/>
      </w:r>
      <w:r w:rsidRPr="002909BF">
        <w:t xml:space="preserve">3M) with a 0.1 </w:t>
      </w:r>
      <w:r w:rsidR="0008332E">
        <w:t>mL</w:t>
      </w:r>
      <w:r w:rsidRPr="002909BF">
        <w:t xml:space="preserve"> dose per </w:t>
      </w:r>
      <w:r w:rsidR="009A0559" w:rsidRPr="002909BF">
        <w:t>intradermal</w:t>
      </w:r>
      <w:r w:rsidRPr="002909BF">
        <w:t xml:space="preserve"> injection site.</w:t>
      </w:r>
    </w:p>
    <w:p w14:paraId="58515393" w14:textId="77777777" w:rsidR="00E251B9" w:rsidRPr="002909BF" w:rsidRDefault="00E251B9" w:rsidP="003F0DC7">
      <w:r w:rsidRPr="002909BF">
        <w:t>Patients exposed to a suspected rabid animal were allocated in a 1:1:1 ratio to one of the following:</w:t>
      </w:r>
    </w:p>
    <w:p w14:paraId="4300016C" w14:textId="5B55C665" w:rsidR="00E251B9" w:rsidRPr="002909BF" w:rsidRDefault="00E251B9" w:rsidP="003F0DC7">
      <w:pPr>
        <w:pStyle w:val="ListBullet"/>
      </w:pPr>
      <w:r w:rsidRPr="002909BF">
        <w:t>Group 1: patients with WHO Category II exposure received a one-week (4-4-4-0-0), 4</w:t>
      </w:r>
      <w:r w:rsidR="007C68BF" w:rsidRPr="002909BF">
        <w:noBreakHyphen/>
      </w:r>
      <w:r w:rsidRPr="002909BF">
        <w:t xml:space="preserve">site </w:t>
      </w:r>
      <w:r w:rsidR="009A0559" w:rsidRPr="002909BF">
        <w:t>intradermal</w:t>
      </w:r>
      <w:r w:rsidRPr="002909BF">
        <w:t xml:space="preserve"> vaccination regimen.</w:t>
      </w:r>
    </w:p>
    <w:p w14:paraId="72436FF6" w14:textId="7639C65F" w:rsidR="00E251B9" w:rsidRPr="002909BF" w:rsidRDefault="00E251B9" w:rsidP="003F0DC7">
      <w:pPr>
        <w:pStyle w:val="ListBullet"/>
      </w:pPr>
      <w:r w:rsidRPr="002909BF">
        <w:t>Group 2: patients with WHO Category III exposure received a one-week (4-4-4-0-0), 4</w:t>
      </w:r>
      <w:r w:rsidR="007C68BF" w:rsidRPr="002909BF">
        <w:noBreakHyphen/>
      </w:r>
      <w:r w:rsidRPr="002909BF">
        <w:t xml:space="preserve">site </w:t>
      </w:r>
      <w:r w:rsidR="009A0559" w:rsidRPr="002909BF">
        <w:t>intradermal</w:t>
      </w:r>
      <w:r w:rsidRPr="002909BF">
        <w:t xml:space="preserve"> vaccination regimen and </w:t>
      </w:r>
      <w:r w:rsidR="007C68BF" w:rsidRPr="002909BF">
        <w:t>purified equine rabies immunoglobulin</w:t>
      </w:r>
      <w:r w:rsidRPr="002909BF">
        <w:t xml:space="preserve"> </w:t>
      </w:r>
      <w:proofErr w:type="spellStart"/>
      <w:r w:rsidRPr="002909BF">
        <w:t>Favirab</w:t>
      </w:r>
      <w:proofErr w:type="spellEnd"/>
      <w:r w:rsidRPr="002909BF">
        <w:t>.</w:t>
      </w:r>
    </w:p>
    <w:p w14:paraId="202B2781" w14:textId="597754E5" w:rsidR="00E251B9" w:rsidRPr="002909BF" w:rsidRDefault="00E251B9" w:rsidP="003F0DC7">
      <w:pPr>
        <w:pStyle w:val="ListBullet"/>
      </w:pPr>
      <w:r w:rsidRPr="002909BF">
        <w:t xml:space="preserve">Group 3: patients with WHO Category III exposure received PEP, using the updated Thai Red Cross (2-2-2-0-2) </w:t>
      </w:r>
      <w:r w:rsidR="009A0559" w:rsidRPr="002909BF">
        <w:t>intradermal</w:t>
      </w:r>
      <w:r w:rsidRPr="002909BF">
        <w:t xml:space="preserve"> vaccination </w:t>
      </w:r>
      <w:proofErr w:type="gramStart"/>
      <w:r w:rsidRPr="002909BF">
        <w:t>regimen</w:t>
      </w:r>
      <w:proofErr w:type="gramEnd"/>
      <w:r w:rsidRPr="002909BF">
        <w:t xml:space="preserve"> and </w:t>
      </w:r>
      <w:r w:rsidR="007C68BF" w:rsidRPr="002909BF">
        <w:t>purified equine rabies immunoglobulin</w:t>
      </w:r>
      <w:r w:rsidRPr="002909BF">
        <w:t xml:space="preserve"> </w:t>
      </w:r>
      <w:proofErr w:type="spellStart"/>
      <w:r w:rsidRPr="002909BF">
        <w:t>Favirab</w:t>
      </w:r>
      <w:proofErr w:type="spellEnd"/>
      <w:r w:rsidRPr="002909BF">
        <w:t>.</w:t>
      </w:r>
    </w:p>
    <w:p w14:paraId="32975283" w14:textId="77AEABFB" w:rsidR="00E251B9" w:rsidRPr="002909BF" w:rsidRDefault="00E251B9" w:rsidP="003F0DC7">
      <w:pPr>
        <w:pStyle w:val="ListBullet"/>
      </w:pPr>
      <w:r w:rsidRPr="002909BF">
        <w:t>All groups received a single</w:t>
      </w:r>
      <w:r w:rsidR="009B7DC3" w:rsidRPr="002909BF">
        <w:t xml:space="preserve"> </w:t>
      </w:r>
      <w:r w:rsidRPr="002909BF">
        <w:t>visit, 4-site booster vaccination 5 years later.</w:t>
      </w:r>
    </w:p>
    <w:p w14:paraId="72452C7A" w14:textId="558B6993" w:rsidR="00E251B9" w:rsidRPr="002909BF" w:rsidRDefault="00E251B9" w:rsidP="003F0DC7">
      <w:r w:rsidRPr="002909BF">
        <w:t>Patients with WHO Category III exposure were randomised in Groups 2 and 3. Patients with WHO Category II exposure were automatically assigned to Group 1.</w:t>
      </w:r>
      <w:r w:rsidR="004E238E" w:rsidRPr="00F03DBF">
        <w:rPr>
          <w:vertAlign w:val="superscript"/>
        </w:rPr>
        <w:fldChar w:fldCharType="begin"/>
      </w:r>
      <w:r w:rsidR="004E238E" w:rsidRPr="00F03DBF">
        <w:rPr>
          <w:vertAlign w:val="superscript"/>
        </w:rPr>
        <w:instrText xml:space="preserve"> NOTEREF _Ref130563444 \h </w:instrText>
      </w:r>
      <w:r w:rsidR="004E238E">
        <w:rPr>
          <w:vertAlign w:val="superscript"/>
        </w:rPr>
        <w:instrText xml:space="preserve"> \* MERGEFORMAT </w:instrText>
      </w:r>
      <w:r w:rsidR="004E238E" w:rsidRPr="00F03DBF">
        <w:rPr>
          <w:vertAlign w:val="superscript"/>
        </w:rPr>
      </w:r>
      <w:r w:rsidR="004E238E" w:rsidRPr="00F03DBF">
        <w:rPr>
          <w:vertAlign w:val="superscript"/>
        </w:rPr>
        <w:fldChar w:fldCharType="separate"/>
      </w:r>
      <w:r w:rsidR="00056FD1">
        <w:rPr>
          <w:vertAlign w:val="superscript"/>
        </w:rPr>
        <w:t>25</w:t>
      </w:r>
      <w:r w:rsidR="004E238E" w:rsidRPr="00F03DBF">
        <w:rPr>
          <w:vertAlign w:val="superscript"/>
        </w:rPr>
        <w:fldChar w:fldCharType="end"/>
      </w:r>
    </w:p>
    <w:p w14:paraId="62C829B2" w14:textId="080F7CA0" w:rsidR="00E251B9" w:rsidRPr="002909BF" w:rsidRDefault="00B524BF" w:rsidP="003F0DC7">
      <w:r w:rsidRPr="002909BF">
        <w:t xml:space="preserve">Out of </w:t>
      </w:r>
      <w:r w:rsidR="001C7113" w:rsidRPr="002909BF">
        <w:t xml:space="preserve">the total </w:t>
      </w:r>
      <w:r w:rsidRPr="002909BF">
        <w:t xml:space="preserve">600 patients, 509 </w:t>
      </w:r>
      <w:r w:rsidR="00E251B9" w:rsidRPr="002909BF">
        <w:t>(84.8%) patients were enrolled</w:t>
      </w:r>
      <w:r w:rsidR="001C7113" w:rsidRPr="002909BF">
        <w:t xml:space="preserve"> and </w:t>
      </w:r>
      <w:r w:rsidR="00E251B9" w:rsidRPr="002909BF">
        <w:t xml:space="preserve">included in the </w:t>
      </w:r>
      <w:r w:rsidRPr="002909BF">
        <w:t>per</w:t>
      </w:r>
      <w:r w:rsidR="001C7113" w:rsidRPr="002909BF">
        <w:noBreakHyphen/>
      </w:r>
      <w:r w:rsidRPr="002909BF">
        <w:t>protocol</w:t>
      </w:r>
      <w:r w:rsidR="003248B0">
        <w:t>;</w:t>
      </w:r>
      <w:r w:rsidR="003248B0">
        <w:rPr>
          <w:rStyle w:val="FootnoteReference"/>
        </w:rPr>
        <w:footnoteReference w:id="26"/>
      </w:r>
      <w:r w:rsidRPr="002909BF">
        <w:t xml:space="preserve"> analysis set</w:t>
      </w:r>
      <w:r w:rsidR="00E251B9" w:rsidRPr="002909BF">
        <w:t xml:space="preserve"> with 90</w:t>
      </w:r>
      <w:r w:rsidR="007A3A23" w:rsidRPr="002909BF">
        <w:t> </w:t>
      </w:r>
      <w:r w:rsidR="00E251B9" w:rsidRPr="002909BF">
        <w:t>(15.0%) excluded, most often due to a missing valid test result.</w:t>
      </w:r>
    </w:p>
    <w:p w14:paraId="33F488BA" w14:textId="4C0D81BD" w:rsidR="00E251B9" w:rsidRPr="002909BF" w:rsidRDefault="00E251B9" w:rsidP="003F0DC7">
      <w:r w:rsidRPr="002909BF">
        <w:t>Non-inferiority would be demonstrated, if the null hypothesis were rejected at significance level of 2.5% (</w:t>
      </w:r>
      <w:r w:rsidR="007A3A23" w:rsidRPr="002909BF">
        <w:t>T</w:t>
      </w:r>
      <w:r w:rsidRPr="002909BF">
        <w:t>ype I error). Conclusion was based on the lower bound of the two</w:t>
      </w:r>
      <w:r w:rsidR="007A3A23" w:rsidRPr="002909BF">
        <w:noBreakHyphen/>
      </w:r>
      <w:r w:rsidRPr="002909BF">
        <w:t>sided 95%</w:t>
      </w:r>
      <w:r w:rsidR="007A3A23" w:rsidRPr="002909BF">
        <w:t> </w:t>
      </w:r>
      <w:r w:rsidR="001C7113" w:rsidRPr="002909BF">
        <w:t>confidence interval (</w:t>
      </w:r>
      <w:r w:rsidRPr="002909BF">
        <w:t>CI</w:t>
      </w:r>
      <w:r w:rsidR="001C7113" w:rsidRPr="002909BF">
        <w:t>)</w:t>
      </w:r>
      <w:r w:rsidRPr="002909BF">
        <w:t xml:space="preserve"> of the difference of anti-</w:t>
      </w:r>
      <w:bookmarkStart w:id="54" w:name="_Hlk128573243"/>
      <w:r w:rsidR="00620A3F" w:rsidRPr="002909BF">
        <w:t>rabies virus neutralising antibody</w:t>
      </w:r>
      <w:bookmarkEnd w:id="54"/>
      <w:r w:rsidRPr="002909BF">
        <w:t xml:space="preserve"> titre proportions at </w:t>
      </w:r>
      <w:r w:rsidR="007A3A23" w:rsidRPr="002909BF">
        <w:t>Day </w:t>
      </w:r>
      <w:r w:rsidRPr="002909BF">
        <w:t>14 (using Wilson score method without continuity correction).</w:t>
      </w:r>
    </w:p>
    <w:p w14:paraId="472E1319" w14:textId="77777777" w:rsidR="00E251B9" w:rsidRPr="002909BF" w:rsidRDefault="00E251B9" w:rsidP="00C1787D">
      <w:pPr>
        <w:pStyle w:val="Heading6"/>
      </w:pPr>
      <w:r w:rsidRPr="002909BF">
        <w:t>Magnitude of the treatment effect and its clinical significance</w:t>
      </w:r>
    </w:p>
    <w:p w14:paraId="4D9F8384" w14:textId="6B3ED663" w:rsidR="00E251B9" w:rsidRPr="002909BF" w:rsidRDefault="00E251B9" w:rsidP="003F0DC7">
      <w:r w:rsidRPr="002909BF">
        <w:t>Following vaccination, nearly all subjects showed anti-</w:t>
      </w:r>
      <w:r w:rsidR="00620A3F" w:rsidRPr="002909BF">
        <w:t>rabies virus neutralising antibody</w:t>
      </w:r>
      <w:r w:rsidRPr="002909BF">
        <w:t xml:space="preserve"> titres </w:t>
      </w:r>
      <w:r w:rsidR="007523AB" w:rsidRPr="002909BF">
        <w:t>of</w:t>
      </w:r>
      <w:r w:rsidRPr="002909BF">
        <w:t xml:space="preserve"> 0.5 IU/mL</w:t>
      </w:r>
      <w:r w:rsidR="007523AB" w:rsidRPr="002909BF">
        <w:t xml:space="preserve"> or higher</w:t>
      </w:r>
      <w:r w:rsidRPr="002909BF">
        <w:t>.</w:t>
      </w:r>
    </w:p>
    <w:p w14:paraId="7B854C32" w14:textId="18546153" w:rsidR="00E251B9" w:rsidRPr="002909BF" w:rsidRDefault="007523AB" w:rsidP="003F0DC7">
      <w:r w:rsidRPr="002909BF">
        <w:t>At Day 14, s</w:t>
      </w:r>
      <w:r w:rsidR="00E251B9" w:rsidRPr="002909BF">
        <w:t xml:space="preserve">eroconversion rates were 100% in Group 1, 99.4% in Group 2, and 98.8% in Group 3. </w:t>
      </w:r>
      <w:r w:rsidRPr="002909BF">
        <w:t xml:space="preserve">Three </w:t>
      </w:r>
      <w:r w:rsidR="00E251B9" w:rsidRPr="002909BF">
        <w:t>subjects did not reach the seroconversion threshold (</w:t>
      </w:r>
      <w:r w:rsidRPr="002909BF">
        <w:t>one</w:t>
      </w:r>
      <w:r w:rsidR="00E251B9" w:rsidRPr="002909BF">
        <w:t xml:space="preserve"> in Group 2 and </w:t>
      </w:r>
      <w:r w:rsidRPr="002909BF">
        <w:t>two</w:t>
      </w:r>
      <w:r w:rsidR="00E251B9" w:rsidRPr="002909BF">
        <w:t xml:space="preserve"> in Group 3). </w:t>
      </w:r>
      <w:r w:rsidR="001C7113" w:rsidRPr="002909BF">
        <w:t>Geometric mean titres (</w:t>
      </w:r>
      <w:r w:rsidR="00E251B9" w:rsidRPr="002909BF">
        <w:t>GMTs</w:t>
      </w:r>
      <w:r w:rsidR="001C7113" w:rsidRPr="002909BF">
        <w:t>)</w:t>
      </w:r>
      <w:r w:rsidR="00E251B9" w:rsidRPr="002909BF">
        <w:t xml:space="preserve"> increased from </w:t>
      </w:r>
      <w:r w:rsidR="0075406F" w:rsidRPr="002909BF">
        <w:t>Baseline</w:t>
      </w:r>
      <w:r w:rsidR="00E251B9" w:rsidRPr="002909BF">
        <w:t xml:space="preserve"> to values slightly higher in Group</w:t>
      </w:r>
      <w:r w:rsidRPr="002909BF">
        <w:t> </w:t>
      </w:r>
      <w:r w:rsidR="00E251B9" w:rsidRPr="002909BF">
        <w:t>1 (10.8</w:t>
      </w:r>
      <w:r w:rsidRPr="002909BF">
        <w:t> </w:t>
      </w:r>
      <w:r w:rsidR="00E251B9" w:rsidRPr="002909BF">
        <w:t>IU/mL) and Group 2 (9.77 IU/mL) than in Group 3 (5.89 IU/mL).</w:t>
      </w:r>
    </w:p>
    <w:p w14:paraId="43C913EC" w14:textId="54A005B0" w:rsidR="00E251B9" w:rsidRPr="002909BF" w:rsidRDefault="007523AB" w:rsidP="003F0DC7">
      <w:r w:rsidRPr="002909BF">
        <w:t>At Day 90, s</w:t>
      </w:r>
      <w:r w:rsidR="00E251B9" w:rsidRPr="002909BF">
        <w:t>eroconversion rates were 98.2% in Group 1, 94.9% in Group 2, and 98.2% in Group 3. GMTs decreased from D</w:t>
      </w:r>
      <w:r w:rsidR="007A3A23" w:rsidRPr="002909BF">
        <w:t xml:space="preserve">ay </w:t>
      </w:r>
      <w:r w:rsidR="00E251B9" w:rsidRPr="002909BF">
        <w:t>14 values to 3.16 IU/mL in Group 1, 1.76 IU/mL in Group 2, and 2.53 IU/mL in Group 3.</w:t>
      </w:r>
    </w:p>
    <w:p w14:paraId="140E2505" w14:textId="590522C0" w:rsidR="00E251B9" w:rsidRPr="002909BF" w:rsidRDefault="00E251B9" w:rsidP="003F0DC7">
      <w:r w:rsidRPr="002909BF">
        <w:t xml:space="preserve">The lower limits of the two-sided 95% CIs of the differences between seroconversion rates were above delta (-5%) for both comparisons, demonstrating the non-inferiority of the </w:t>
      </w:r>
      <w:r w:rsidR="007523AB" w:rsidRPr="002909BF">
        <w:t>‘</w:t>
      </w:r>
      <w:r w:rsidRPr="002909BF">
        <w:t>one-week 4-site</w:t>
      </w:r>
      <w:r w:rsidR="007523AB" w:rsidRPr="002909BF">
        <w:t>’</w:t>
      </w:r>
      <w:r w:rsidRPr="002909BF">
        <w:t xml:space="preserve"> </w:t>
      </w:r>
      <w:r w:rsidR="009A0559" w:rsidRPr="002909BF">
        <w:t>intradermal</w:t>
      </w:r>
      <w:r w:rsidRPr="002909BF">
        <w:t xml:space="preserve"> regimen </w:t>
      </w:r>
      <w:r w:rsidR="0075406F" w:rsidRPr="002909BF">
        <w:t>versus</w:t>
      </w:r>
      <w:r w:rsidRPr="002909BF">
        <w:t xml:space="preserve"> the </w:t>
      </w:r>
      <w:r w:rsidR="007523AB" w:rsidRPr="002909BF">
        <w:t>‘</w:t>
      </w:r>
      <w:r w:rsidRPr="002909BF">
        <w:t xml:space="preserve">updated 2-site </w:t>
      </w:r>
      <w:r w:rsidR="007C68BF" w:rsidRPr="002909BF">
        <w:t>Thai Red Cross</w:t>
      </w:r>
      <w:r w:rsidR="007523AB" w:rsidRPr="002909BF">
        <w:t>’</w:t>
      </w:r>
      <w:r w:rsidRPr="002909BF">
        <w:t xml:space="preserve"> schedule in both </w:t>
      </w:r>
      <w:r w:rsidR="00B524BF" w:rsidRPr="002909BF">
        <w:t>full analysis set</w:t>
      </w:r>
      <w:r w:rsidRPr="002909BF">
        <w:t xml:space="preserve"> and </w:t>
      </w:r>
      <w:r w:rsidR="00B524BF" w:rsidRPr="002909BF">
        <w:t>per-protocol analysis set</w:t>
      </w:r>
      <w:r w:rsidRPr="002909BF">
        <w:t xml:space="preserve"> (</w:t>
      </w:r>
      <w:r w:rsidR="00E65094" w:rsidRPr="002909BF">
        <w:t xml:space="preserve">see </w:t>
      </w:r>
      <w:r w:rsidRPr="002909BF">
        <w:fldChar w:fldCharType="begin"/>
      </w:r>
      <w:r w:rsidRPr="002909BF">
        <w:instrText xml:space="preserve"> REF _Ref106351856 \h  \* MERGEFORMAT </w:instrText>
      </w:r>
      <w:r w:rsidRPr="002909BF">
        <w:fldChar w:fldCharType="separate"/>
      </w:r>
      <w:r w:rsidR="00056FD1" w:rsidRPr="002909BF">
        <w:t xml:space="preserve">Table </w:t>
      </w:r>
      <w:r w:rsidR="00056FD1">
        <w:t>4</w:t>
      </w:r>
      <w:r w:rsidRPr="002909BF">
        <w:fldChar w:fldCharType="end"/>
      </w:r>
      <w:r w:rsidR="00E65094" w:rsidRPr="002909BF">
        <w:t xml:space="preserve"> below</w:t>
      </w:r>
      <w:r w:rsidRPr="002909BF">
        <w:t>).</w:t>
      </w:r>
    </w:p>
    <w:p w14:paraId="7DAEF3F3" w14:textId="420213B2" w:rsidR="00E251B9" w:rsidRDefault="00E251B9" w:rsidP="00F316C5">
      <w:pPr>
        <w:pStyle w:val="TableTitle"/>
      </w:pPr>
      <w:bookmarkStart w:id="55" w:name="_Ref106351856"/>
      <w:r w:rsidRPr="002909BF">
        <w:lastRenderedPageBreak/>
        <w:t xml:space="preserve">Table </w:t>
      </w:r>
      <w:fldSimple w:instr=" SEQ Table \* ARABIC ">
        <w:r w:rsidR="00056FD1">
          <w:rPr>
            <w:noProof/>
          </w:rPr>
          <w:t>4</w:t>
        </w:r>
      </w:fldSimple>
      <w:bookmarkEnd w:id="55"/>
      <w:r w:rsidR="00E65094" w:rsidRPr="002909BF">
        <w:t>:</w:t>
      </w:r>
      <w:r w:rsidRPr="002909BF">
        <w:t xml:space="preserve"> Study 37</w:t>
      </w:r>
      <w:r w:rsidR="00D83BC0">
        <w:t xml:space="preserve"> (RAB40 trial)</w:t>
      </w:r>
      <w:r w:rsidRPr="002909BF">
        <w:t xml:space="preserve"> </w:t>
      </w:r>
      <w:proofErr w:type="gramStart"/>
      <w:r w:rsidRPr="002909BF">
        <w:t>Non-inferiority</w:t>
      </w:r>
      <w:proofErr w:type="gramEnd"/>
      <w:r w:rsidRPr="002909BF">
        <w:t xml:space="preserve"> test - </w:t>
      </w:r>
      <w:r w:rsidR="00C0147D">
        <w:t>p</w:t>
      </w:r>
      <w:r w:rsidRPr="002909BF">
        <w:t>roportion of subjects with anti</w:t>
      </w:r>
      <w:r w:rsidR="00C0147D">
        <w:noBreakHyphen/>
      </w:r>
      <w:r w:rsidR="00620A3F" w:rsidRPr="002909BF">
        <w:t>rabies virus neutralising antibody</w:t>
      </w:r>
      <w:r w:rsidRPr="002909BF">
        <w:t xml:space="preserve"> titre </w:t>
      </w:r>
      <w:r w:rsidR="00C10917" w:rsidRPr="002909BF">
        <w:t xml:space="preserve">of </w:t>
      </w:r>
      <w:r w:rsidRPr="002909BF">
        <w:t xml:space="preserve">0.5 IU/mL </w:t>
      </w:r>
      <w:r w:rsidR="00C10917" w:rsidRPr="002909BF">
        <w:t xml:space="preserve">or higher </w:t>
      </w:r>
      <w:r w:rsidRPr="002909BF">
        <w:t xml:space="preserve">at </w:t>
      </w:r>
      <w:r w:rsidR="007A3A23" w:rsidRPr="002909BF">
        <w:t>Day</w:t>
      </w:r>
      <w:r w:rsidR="00B02A93">
        <w:t> </w:t>
      </w:r>
      <w:r w:rsidR="007A3A23" w:rsidRPr="002909BF">
        <w:t>14</w:t>
      </w:r>
      <w:r w:rsidRPr="002909BF">
        <w:t xml:space="preserve"> according to </w:t>
      </w:r>
      <w:r w:rsidR="00C0147D">
        <w:t xml:space="preserve">the </w:t>
      </w:r>
      <w:r w:rsidRPr="002909BF">
        <w:t xml:space="preserve">group - </w:t>
      </w:r>
      <w:r w:rsidR="00620A3F" w:rsidRPr="002909BF">
        <w:t>rapid fluorescent focus inhibition test</w:t>
      </w:r>
      <w:r w:rsidR="00C0147D">
        <w:t xml:space="preserve"> (</w:t>
      </w:r>
      <w:r w:rsidR="00C0147D" w:rsidRPr="002909BF">
        <w:t>per</w:t>
      </w:r>
      <w:r w:rsidR="00B02A93">
        <w:noBreakHyphen/>
      </w:r>
      <w:r w:rsidR="00C0147D" w:rsidRPr="002909BF">
        <w:t>protocol analysis set</w:t>
      </w:r>
      <w:r w:rsidR="00C0147D">
        <w:t>)</w:t>
      </w:r>
    </w:p>
    <w:p w14:paraId="33DCA755" w14:textId="13177407" w:rsidR="00C0147D" w:rsidRDefault="00C0147D" w:rsidP="00B02A93">
      <w:r>
        <w:rPr>
          <w:noProof/>
          <w:lang w:val="en-GB" w:eastAsia="en-GB"/>
        </w:rPr>
        <w:drawing>
          <wp:inline distT="0" distB="0" distL="0" distR="0" wp14:anchorId="0C78CA70" wp14:editId="7285E520">
            <wp:extent cx="5398079" cy="1172424"/>
            <wp:effectExtent l="0" t="0" r="0" b="8890"/>
            <wp:docPr id="2" name="Picture 2" descr="Table 4: Study 37 (RAB40 trial) Non-inferiority test - proportion of subjects with anti rabies virus neutralising antibody titre of 0.5 IU/mL or higher at Day 14 according to the group - rapid fluorescent focus inhibition test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4: Study 37 (RAB40 trial) Non-inferiority test - proportion of subjects with anti rabies virus neutralising antibody titre of 0.5 IU/mL or higher at Day 14 according to the group - rapid fluorescent focus inhibition test (per protocol analysis set)"/>
                    <pic:cNvPicPr/>
                  </pic:nvPicPr>
                  <pic:blipFill>
                    <a:blip r:embed="rId20"/>
                    <a:stretch>
                      <a:fillRect/>
                    </a:stretch>
                  </pic:blipFill>
                  <pic:spPr>
                    <a:xfrm>
                      <a:off x="0" y="0"/>
                      <a:ext cx="5421924" cy="1177603"/>
                    </a:xfrm>
                    <a:prstGeom prst="rect">
                      <a:avLst/>
                    </a:prstGeom>
                  </pic:spPr>
                </pic:pic>
              </a:graphicData>
            </a:graphic>
          </wp:inline>
        </w:drawing>
      </w:r>
    </w:p>
    <w:p w14:paraId="01A0168B" w14:textId="0FBE7D7A" w:rsidR="00776E04" w:rsidRPr="00B02A93" w:rsidRDefault="00776E04" w:rsidP="00B02A93">
      <w:pPr>
        <w:pStyle w:val="TableDescription"/>
      </w:pPr>
      <w:r w:rsidRPr="00B02A93">
        <w:t>Abbreviations: CI = confidence interval; M = number of subjects with available data for the relevant endpoint; n = number of subjects experiencing the endpoint; vs = versus.</w:t>
      </w:r>
    </w:p>
    <w:p w14:paraId="46D4B2CB" w14:textId="77777777" w:rsidR="00776E04" w:rsidRPr="00B02A93" w:rsidRDefault="00C0147D" w:rsidP="00B02A93">
      <w:pPr>
        <w:pStyle w:val="TableDescription"/>
      </w:pPr>
      <w:r w:rsidRPr="00B02A93">
        <w:t>* Non-inferiority concluded if the limit of the two-sided 95% CI of the difference was above delta.</w:t>
      </w:r>
    </w:p>
    <w:p w14:paraId="2ECE6585" w14:textId="321BF25A" w:rsidR="00C0147D" w:rsidRPr="00B02A93" w:rsidRDefault="00C0147D" w:rsidP="00B02A93">
      <w:pPr>
        <w:pStyle w:val="TableDescription"/>
      </w:pPr>
      <w:r w:rsidRPr="00B02A93">
        <w:rPr>
          <w:rFonts w:hint="eastAsia"/>
        </w:rPr>
        <w:t>†</w:t>
      </w:r>
      <w:r w:rsidRPr="00B02A93">
        <w:t xml:space="preserve"> Global conclusion: primary objective</w:t>
      </w:r>
      <w:r w:rsidR="00776E04" w:rsidRPr="00B02A93">
        <w:t xml:space="preserve"> </w:t>
      </w:r>
      <w:r w:rsidRPr="00B02A93">
        <w:t>demonstrated if the non-inferiority demonstrated for both scenario: between Group 1 (investigational regimen) and Group 3 (reference regimen)</w:t>
      </w:r>
      <w:r w:rsidR="00776E04" w:rsidRPr="00B02A93">
        <w:t xml:space="preserve"> </w:t>
      </w:r>
      <w:r w:rsidRPr="00B02A93">
        <w:t>and between Group</w:t>
      </w:r>
      <w:r w:rsidR="00776E04" w:rsidRPr="00B02A93">
        <w:t> </w:t>
      </w:r>
      <w:r w:rsidRPr="00B02A93">
        <w:t>2 (investigational regimen) and Group 3 (reference regimen).</w:t>
      </w:r>
    </w:p>
    <w:p w14:paraId="3F196A65" w14:textId="344EF685" w:rsidR="00C0147D" w:rsidRPr="00B02A93" w:rsidRDefault="00C0147D" w:rsidP="00B02A93">
      <w:pPr>
        <w:pStyle w:val="TableDescription"/>
      </w:pPr>
      <w:r w:rsidRPr="00B02A93">
        <w:t xml:space="preserve">Group 1: </w:t>
      </w:r>
      <w:r w:rsidR="00776E04" w:rsidRPr="00B02A93">
        <w:t>World Health Organization (</w:t>
      </w:r>
      <w:r w:rsidRPr="00B02A93">
        <w:t>WHO</w:t>
      </w:r>
      <w:r w:rsidR="00776E04" w:rsidRPr="00B02A93">
        <w:t>)</w:t>
      </w:r>
      <w:r w:rsidRPr="00B02A93">
        <w:t xml:space="preserve"> Category II exposure, </w:t>
      </w:r>
      <w:r w:rsidR="00776E04" w:rsidRPr="00B02A93">
        <w:t xml:space="preserve">post-exposure prophylaxis </w:t>
      </w:r>
      <w:r w:rsidRPr="00B02A93">
        <w:t>one</w:t>
      </w:r>
      <w:r w:rsidR="00776E04" w:rsidRPr="00B02A93">
        <w:noBreakHyphen/>
      </w:r>
      <w:r w:rsidRPr="00B02A93">
        <w:t xml:space="preserve">week, 4-site (4-4-4-0-0) </w:t>
      </w:r>
      <w:r w:rsidR="00776E04" w:rsidRPr="00B02A93">
        <w:t xml:space="preserve">intradermal </w:t>
      </w:r>
      <w:r w:rsidRPr="00B02A93">
        <w:t>regimen</w:t>
      </w:r>
    </w:p>
    <w:p w14:paraId="4D137EAE" w14:textId="1CE75FFB" w:rsidR="00C0147D" w:rsidRPr="00B02A93" w:rsidRDefault="00C0147D" w:rsidP="00B02A93">
      <w:pPr>
        <w:pStyle w:val="TableDescription"/>
      </w:pPr>
      <w:r w:rsidRPr="00B02A93">
        <w:t xml:space="preserve">Group 2: WHO Category III exposure, </w:t>
      </w:r>
      <w:r w:rsidR="00776E04" w:rsidRPr="00B02A93">
        <w:t xml:space="preserve">post-exposure prophylaxis </w:t>
      </w:r>
      <w:r w:rsidRPr="00B02A93">
        <w:t xml:space="preserve">one-week, 4-site (4-4-4-0-0) </w:t>
      </w:r>
      <w:r w:rsidR="00776E04" w:rsidRPr="00B02A93">
        <w:t xml:space="preserve">intradermal </w:t>
      </w:r>
      <w:r w:rsidRPr="00B02A93">
        <w:t xml:space="preserve">regimen </w:t>
      </w:r>
      <w:r w:rsidR="00776E04" w:rsidRPr="00B02A93">
        <w:t>plus</w:t>
      </w:r>
      <w:r w:rsidRPr="00B02A93">
        <w:t xml:space="preserve"> </w:t>
      </w:r>
      <w:r w:rsidR="00776E04" w:rsidRPr="00B02A93">
        <w:t xml:space="preserve">purified equine rabies immunoglobulin </w:t>
      </w:r>
      <w:proofErr w:type="spellStart"/>
      <w:r w:rsidRPr="00B02A93">
        <w:t>Favirab</w:t>
      </w:r>
      <w:proofErr w:type="spellEnd"/>
    </w:p>
    <w:p w14:paraId="7FEFB8D1" w14:textId="5A97EF5B" w:rsidR="00C0147D" w:rsidRPr="00B02A93" w:rsidRDefault="00C0147D" w:rsidP="00B02A93">
      <w:pPr>
        <w:pStyle w:val="TableDescription"/>
      </w:pPr>
      <w:r w:rsidRPr="00B02A93">
        <w:t xml:space="preserve">Group 3: WHO Category III exposure, </w:t>
      </w:r>
      <w:r w:rsidR="00776E04" w:rsidRPr="00B02A93">
        <w:t xml:space="preserve">post-exposure prophylaxis </w:t>
      </w:r>
      <w:r w:rsidRPr="00B02A93">
        <w:t xml:space="preserve">updated 2-site </w:t>
      </w:r>
      <w:r w:rsidR="00776E04" w:rsidRPr="00B02A93">
        <w:t xml:space="preserve">Thai Red Cross </w:t>
      </w:r>
      <w:r w:rsidRPr="00B02A93">
        <w:t xml:space="preserve">(2-2-2-0-2) </w:t>
      </w:r>
      <w:r w:rsidR="00776E04" w:rsidRPr="00B02A93">
        <w:t xml:space="preserve">intradermal </w:t>
      </w:r>
      <w:r w:rsidRPr="00B02A93">
        <w:t xml:space="preserve">regimen </w:t>
      </w:r>
      <w:r w:rsidR="00776E04" w:rsidRPr="00B02A93">
        <w:t>plus</w:t>
      </w:r>
      <w:r w:rsidRPr="00B02A93">
        <w:t xml:space="preserve"> </w:t>
      </w:r>
      <w:r w:rsidR="00776E04" w:rsidRPr="00B02A93">
        <w:t xml:space="preserve">purified equine rabies immunoglobulin </w:t>
      </w:r>
      <w:proofErr w:type="spellStart"/>
      <w:r w:rsidRPr="00B02A93">
        <w:t>Favirab</w:t>
      </w:r>
      <w:proofErr w:type="spellEnd"/>
    </w:p>
    <w:p w14:paraId="3BD1A7E4" w14:textId="0A9467FE" w:rsidR="00E251B9" w:rsidRPr="00B02A93" w:rsidRDefault="00C0147D" w:rsidP="00B02A93">
      <w:pPr>
        <w:pStyle w:val="TableDescription"/>
      </w:pPr>
      <w:r w:rsidRPr="00B02A93">
        <w:t xml:space="preserve">All groups received a 4-site </w:t>
      </w:r>
      <w:r w:rsidR="00776E04" w:rsidRPr="00B02A93">
        <w:t xml:space="preserve">intradermal </w:t>
      </w:r>
      <w:r w:rsidRPr="00B02A93">
        <w:t xml:space="preserve">booster vaccination at </w:t>
      </w:r>
      <w:r w:rsidR="00776E04" w:rsidRPr="00B02A93">
        <w:t>Year 5</w:t>
      </w:r>
      <w:r w:rsidRPr="00B02A93">
        <w:t>.</w:t>
      </w:r>
    </w:p>
    <w:p w14:paraId="1899AAD9" w14:textId="77777777" w:rsidR="00C1787D" w:rsidRPr="002909BF" w:rsidRDefault="00E251B9" w:rsidP="00C1787D">
      <w:pPr>
        <w:pStyle w:val="Heading7"/>
        <w:rPr>
          <w:sz w:val="22"/>
          <w:szCs w:val="28"/>
        </w:rPr>
      </w:pPr>
      <w:r w:rsidRPr="002909BF">
        <w:rPr>
          <w:sz w:val="22"/>
          <w:szCs w:val="28"/>
        </w:rPr>
        <w:t>Descriptive analysis of antibody persistence</w:t>
      </w:r>
    </w:p>
    <w:p w14:paraId="4C13A350" w14:textId="52FFB708" w:rsidR="00E251B9" w:rsidRPr="002909BF" w:rsidRDefault="00E251B9" w:rsidP="003F0DC7">
      <w:r w:rsidRPr="002909BF">
        <w:t>Rates of subjects showing anti-</w:t>
      </w:r>
      <w:r w:rsidR="00620A3F" w:rsidRPr="002909BF">
        <w:t>rabies virus neutralising antibody</w:t>
      </w:r>
      <w:r w:rsidRPr="002909BF">
        <w:t xml:space="preserve"> titres </w:t>
      </w:r>
      <w:r w:rsidR="003248B0">
        <w:t xml:space="preserve">of </w:t>
      </w:r>
      <w:r w:rsidRPr="002909BF">
        <w:t>0.5</w:t>
      </w:r>
      <w:r w:rsidR="002909BF" w:rsidRPr="002909BF">
        <w:t> </w:t>
      </w:r>
      <w:r w:rsidRPr="002909BF">
        <w:t>IU/</w:t>
      </w:r>
      <w:r w:rsidR="0008332E">
        <w:t>mL</w:t>
      </w:r>
      <w:r w:rsidRPr="002909BF">
        <w:t xml:space="preserve"> </w:t>
      </w:r>
      <w:r w:rsidR="003248B0">
        <w:t xml:space="preserve">or higher </w:t>
      </w:r>
      <w:r w:rsidRPr="002909BF">
        <w:t>remained globally stable from Y</w:t>
      </w:r>
      <w:r w:rsidR="003248B0">
        <w:t xml:space="preserve">ear </w:t>
      </w:r>
      <w:r w:rsidRPr="002909BF">
        <w:t>1 to 5 with higher rates in Group 1 (95.7%</w:t>
      </w:r>
      <w:r w:rsidR="00C10917" w:rsidRPr="002909BF">
        <w:t xml:space="preserve"> or higher</w:t>
      </w:r>
      <w:r w:rsidRPr="002909BF">
        <w:t>), intermediate in Group 2 (80.1%</w:t>
      </w:r>
      <w:r w:rsidR="00C10917" w:rsidRPr="002909BF">
        <w:t xml:space="preserve"> or higher</w:t>
      </w:r>
      <w:r w:rsidRPr="002909BF">
        <w:t>) and lower in Group 3 (from 79.8% on Y</w:t>
      </w:r>
      <w:r w:rsidR="003248B0">
        <w:t xml:space="preserve">ear </w:t>
      </w:r>
      <w:r w:rsidRPr="002909BF">
        <w:t>1 to 60.0% on Y</w:t>
      </w:r>
      <w:r w:rsidR="003248B0">
        <w:t xml:space="preserve">ear </w:t>
      </w:r>
      <w:r w:rsidRPr="002909BF">
        <w:t>4).</w:t>
      </w:r>
    </w:p>
    <w:p w14:paraId="7CB511D3" w14:textId="3910738A" w:rsidR="00E251B9" w:rsidRPr="002909BF" w:rsidRDefault="00E251B9" w:rsidP="003F0DC7">
      <w:r w:rsidRPr="002909BF">
        <w:t>Five years after the last dose of the Primary Vaccination Phase (Y</w:t>
      </w:r>
      <w:r w:rsidR="003248B0">
        <w:t xml:space="preserve">ear </w:t>
      </w:r>
      <w:r w:rsidRPr="002909BF">
        <w:t>5) and before the booster vaccination, the percentage showing anti-</w:t>
      </w:r>
      <w:r w:rsidR="00620A3F" w:rsidRPr="002909BF">
        <w:t>rabies virus neutralising antibody</w:t>
      </w:r>
      <w:r w:rsidRPr="002909BF">
        <w:t xml:space="preserve"> titres remaining 0.5 IU/</w:t>
      </w:r>
      <w:r w:rsidR="0008332E">
        <w:t>mL</w:t>
      </w:r>
      <w:r w:rsidRPr="002909BF">
        <w:t xml:space="preserve"> </w:t>
      </w:r>
      <w:r w:rsidR="00C10917" w:rsidRPr="002909BF">
        <w:t xml:space="preserve">or higher </w:t>
      </w:r>
      <w:r w:rsidRPr="002909BF">
        <w:t>were 97.6% (Group 1), 84.8% (Group 2), and 64.1% (Group 3) (</w:t>
      </w:r>
      <w:r w:rsidR="009B7DC3" w:rsidRPr="002909BF">
        <w:t xml:space="preserve">see </w:t>
      </w:r>
      <w:r w:rsidR="00B02A93">
        <w:fldChar w:fldCharType="begin"/>
      </w:r>
      <w:r w:rsidR="00B02A93">
        <w:instrText xml:space="preserve"> REF _Ref108082175 \h </w:instrText>
      </w:r>
      <w:r w:rsidR="00B02A93">
        <w:fldChar w:fldCharType="separate"/>
      </w:r>
      <w:r w:rsidR="00056FD1">
        <w:t xml:space="preserve">Figure </w:t>
      </w:r>
      <w:r w:rsidR="00056FD1">
        <w:rPr>
          <w:noProof/>
        </w:rPr>
        <w:t>1</w:t>
      </w:r>
      <w:r w:rsidR="00B02A93">
        <w:fldChar w:fldCharType="end"/>
      </w:r>
      <w:r w:rsidR="009B7DC3" w:rsidRPr="002909BF">
        <w:t xml:space="preserve"> below</w:t>
      </w:r>
      <w:r w:rsidRPr="002909BF">
        <w:t>).</w:t>
      </w:r>
    </w:p>
    <w:p w14:paraId="61071CDF" w14:textId="43E81EF2" w:rsidR="00E251B9" w:rsidRPr="002909BF" w:rsidRDefault="00E251B9" w:rsidP="003F0DC7">
      <w:r w:rsidRPr="002909BF">
        <w:t xml:space="preserve">Overall, a trend to a slight decrease of GMTs and </w:t>
      </w:r>
      <w:r w:rsidR="003248B0" w:rsidRPr="003248B0">
        <w:t>geometric mean titre ratio</w:t>
      </w:r>
      <w:r w:rsidR="003248B0">
        <w:t>s (</w:t>
      </w:r>
      <w:r w:rsidRPr="002909BF">
        <w:t>GMTRs</w:t>
      </w:r>
      <w:r w:rsidR="003248B0">
        <w:t>)</w:t>
      </w:r>
      <w:r w:rsidRPr="002909BF">
        <w:t xml:space="preserve"> was observed over the persistence period in Groups 1 and 2 while the decrease was more pronounced in Group</w:t>
      </w:r>
      <w:r w:rsidR="009B7DC3" w:rsidRPr="002909BF">
        <w:t> </w:t>
      </w:r>
      <w:r w:rsidRPr="002909BF">
        <w:t>3.</w:t>
      </w:r>
    </w:p>
    <w:p w14:paraId="2F1DE149" w14:textId="1D635470" w:rsidR="00E251B9" w:rsidRDefault="00B02A93" w:rsidP="00B02A93">
      <w:pPr>
        <w:pStyle w:val="FigureTitle"/>
      </w:pPr>
      <w:bookmarkStart w:id="56" w:name="_Ref108082175"/>
      <w:r>
        <w:lastRenderedPageBreak/>
        <w:t xml:space="preserve">Figure </w:t>
      </w:r>
      <w:fldSimple w:instr=" SEQ Figure \* ARABIC ">
        <w:r w:rsidR="00056FD1">
          <w:rPr>
            <w:noProof/>
          </w:rPr>
          <w:t>1</w:t>
        </w:r>
      </w:fldSimple>
      <w:bookmarkEnd w:id="56"/>
      <w:r w:rsidR="009B7DC3" w:rsidRPr="002909BF">
        <w:t>:</w:t>
      </w:r>
      <w:r w:rsidR="00E251B9" w:rsidRPr="002909BF">
        <w:t xml:space="preserve"> Study 37 </w:t>
      </w:r>
      <w:r w:rsidR="00D83BC0">
        <w:t xml:space="preserve">(RAB40 trial) </w:t>
      </w:r>
      <w:r w:rsidR="00E251B9" w:rsidRPr="002909BF">
        <w:t xml:space="preserve">Seroconversion rate from </w:t>
      </w:r>
      <w:r w:rsidR="007A3A23" w:rsidRPr="002909BF">
        <w:t>Day 14</w:t>
      </w:r>
      <w:r w:rsidR="00E251B9" w:rsidRPr="002909BF">
        <w:t xml:space="preserve"> to Y</w:t>
      </w:r>
      <w:r w:rsidR="003248B0">
        <w:t xml:space="preserve">ear </w:t>
      </w:r>
      <w:r w:rsidR="00E251B9" w:rsidRPr="002909BF">
        <w:t xml:space="preserve">5 </w:t>
      </w:r>
      <w:r>
        <w:t>and</w:t>
      </w:r>
      <w:r w:rsidR="00E251B9" w:rsidRPr="002909BF">
        <w:t xml:space="preserve"> 11</w:t>
      </w:r>
      <w:r>
        <w:t> </w:t>
      </w:r>
      <w:r w:rsidR="00E251B9" w:rsidRPr="002909BF">
        <w:t xml:space="preserve">days </w:t>
      </w:r>
      <w:r w:rsidR="00D22C5A" w:rsidRPr="002909BF">
        <w:t>(full analysis set)</w:t>
      </w:r>
    </w:p>
    <w:p w14:paraId="16C27ECF" w14:textId="7ED99186" w:rsidR="00D22C5A" w:rsidRPr="002909BF" w:rsidRDefault="00D22C5A" w:rsidP="00B02A93">
      <w:r>
        <w:rPr>
          <w:noProof/>
          <w:lang w:val="en-GB" w:eastAsia="en-GB"/>
        </w:rPr>
        <w:drawing>
          <wp:inline distT="0" distB="0" distL="0" distR="0" wp14:anchorId="7BB0AC39" wp14:editId="5381CD82">
            <wp:extent cx="5400040" cy="2056765"/>
            <wp:effectExtent l="0" t="0" r="0" b="635"/>
            <wp:docPr id="5" name="Picture 5" descr="Figure 1: Study 37 (RAB40 trial) Seroconversion rate from Day 14 to Year 5 and 11 day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Study 37 (RAB40 trial) Seroconversion rate from Day 14 to Year 5 and 11 days (full analysis set)"/>
                    <pic:cNvPicPr/>
                  </pic:nvPicPr>
                  <pic:blipFill>
                    <a:blip r:embed="rId21"/>
                    <a:stretch>
                      <a:fillRect/>
                    </a:stretch>
                  </pic:blipFill>
                  <pic:spPr>
                    <a:xfrm>
                      <a:off x="0" y="0"/>
                      <a:ext cx="5400040" cy="2056765"/>
                    </a:xfrm>
                    <a:prstGeom prst="rect">
                      <a:avLst/>
                    </a:prstGeom>
                  </pic:spPr>
                </pic:pic>
              </a:graphicData>
            </a:graphic>
          </wp:inline>
        </w:drawing>
      </w:r>
    </w:p>
    <w:p w14:paraId="7FFCD128" w14:textId="6368DC3C" w:rsidR="00D22C5A" w:rsidRPr="002909BF" w:rsidRDefault="00D22C5A" w:rsidP="00B02A93">
      <w:pPr>
        <w:pStyle w:val="FigureDescription"/>
      </w:pPr>
      <w:r>
        <w:t xml:space="preserve">Abbreviations: D =Day; RVNA = </w:t>
      </w:r>
      <w:r w:rsidRPr="00D22C5A">
        <w:t>rabies virus neutrali</w:t>
      </w:r>
      <w:r w:rsidR="00B02A93">
        <w:t>s</w:t>
      </w:r>
      <w:r w:rsidRPr="00D22C5A">
        <w:t>ing antibody</w:t>
      </w:r>
      <w:r>
        <w:t>; N = number of subjects; n = number of subjects;</w:t>
      </w:r>
      <w:r w:rsidRPr="00D22C5A">
        <w:t xml:space="preserve"> </w:t>
      </w:r>
      <w:r>
        <w:t>Y = Year.</w:t>
      </w:r>
    </w:p>
    <w:p w14:paraId="1CC0489F" w14:textId="315D76D4" w:rsidR="00C1787D" w:rsidRPr="002909BF" w:rsidRDefault="00E251B9" w:rsidP="00C1787D">
      <w:pPr>
        <w:pStyle w:val="Heading7"/>
        <w:rPr>
          <w:sz w:val="22"/>
          <w:szCs w:val="28"/>
        </w:rPr>
      </w:pPr>
      <w:r w:rsidRPr="002909BF">
        <w:rPr>
          <w:sz w:val="22"/>
          <w:szCs w:val="28"/>
        </w:rPr>
        <w:t xml:space="preserve">Single visit </w:t>
      </w:r>
      <w:r w:rsidR="009A0559" w:rsidRPr="002909BF">
        <w:rPr>
          <w:sz w:val="22"/>
          <w:szCs w:val="28"/>
        </w:rPr>
        <w:t>intradermal</w:t>
      </w:r>
      <w:r w:rsidRPr="002909BF">
        <w:rPr>
          <w:sz w:val="22"/>
          <w:szCs w:val="28"/>
        </w:rPr>
        <w:t xml:space="preserve"> booster results</w:t>
      </w:r>
    </w:p>
    <w:p w14:paraId="34EEAA07" w14:textId="064BD544" w:rsidR="00E251B9" w:rsidRPr="002909BF" w:rsidRDefault="009B7DC3" w:rsidP="003F0DC7">
      <w:r w:rsidRPr="002909BF">
        <w:t>A</w:t>
      </w:r>
      <w:r w:rsidR="00E251B9" w:rsidRPr="002909BF">
        <w:t>ll patients in all 3 groups (100%) had anti-</w:t>
      </w:r>
      <w:r w:rsidR="00620A3F" w:rsidRPr="002909BF">
        <w:t>rabies virus neutralising antibody</w:t>
      </w:r>
      <w:r w:rsidR="00E251B9" w:rsidRPr="002909BF">
        <w:t xml:space="preserve"> titres of 0.5</w:t>
      </w:r>
      <w:r w:rsidR="003248B0">
        <w:t> </w:t>
      </w:r>
      <w:r w:rsidR="00E251B9" w:rsidRPr="002909BF">
        <w:t>IU/</w:t>
      </w:r>
      <w:r w:rsidR="0008332E">
        <w:t>mL</w:t>
      </w:r>
      <w:r w:rsidRPr="002909BF">
        <w:t xml:space="preserve"> </w:t>
      </w:r>
      <w:r w:rsidR="00C10917" w:rsidRPr="002909BF">
        <w:t xml:space="preserve">or higher at </w:t>
      </w:r>
      <w:r w:rsidRPr="002909BF">
        <w:t>11 days after the booster (Y</w:t>
      </w:r>
      <w:r w:rsidR="003248B0">
        <w:t xml:space="preserve">ear </w:t>
      </w:r>
      <w:r w:rsidRPr="002909BF">
        <w:t>5</w:t>
      </w:r>
      <w:r w:rsidR="003248B0">
        <w:t xml:space="preserve"> plus </w:t>
      </w:r>
      <w:r w:rsidRPr="002909BF">
        <w:t>11</w:t>
      </w:r>
      <w:r w:rsidR="003248B0">
        <w:t xml:space="preserve"> days</w:t>
      </w:r>
      <w:r w:rsidRPr="002909BF">
        <w:t>)</w:t>
      </w:r>
      <w:r w:rsidR="00E251B9" w:rsidRPr="002909BF">
        <w:t>.</w:t>
      </w:r>
    </w:p>
    <w:p w14:paraId="43B65860" w14:textId="6BF18F93" w:rsidR="00E251B9" w:rsidRPr="002909BF" w:rsidRDefault="00E251B9" w:rsidP="00C1787D">
      <w:pPr>
        <w:pStyle w:val="Heading5"/>
      </w:pPr>
      <w:bookmarkStart w:id="57" w:name="_Ref106783569"/>
      <w:r w:rsidRPr="002909BF">
        <w:t>Study 38</w:t>
      </w:r>
      <w:r w:rsidR="00C100B8" w:rsidRPr="00C100B8">
        <w:t xml:space="preserve"> </w:t>
      </w:r>
      <w:r w:rsidR="00C100B8">
        <w:t>(</w:t>
      </w:r>
      <w:r w:rsidR="00C100B8" w:rsidRPr="00C100B8">
        <w:t>VRV08 trial</w:t>
      </w:r>
      <w:r w:rsidR="00C100B8">
        <w:t xml:space="preserve">) </w:t>
      </w:r>
      <w:r w:rsidRPr="002909BF">
        <w:t xml:space="preserve">using </w:t>
      </w:r>
      <w:r w:rsidR="00A703E8" w:rsidRPr="00A703E8">
        <w:t xml:space="preserve">serum free purified Vero rabies vaccine </w:t>
      </w:r>
      <w:r w:rsidRPr="002909BF">
        <w:t xml:space="preserve">or </w:t>
      </w:r>
      <w:r w:rsidR="000B1A33" w:rsidRPr="002909BF">
        <w:t xml:space="preserve">purified </w:t>
      </w:r>
      <w:r w:rsidR="009E481A">
        <w:t>V</w:t>
      </w:r>
      <w:r w:rsidR="000B1A33" w:rsidRPr="002909BF">
        <w:t>ero</w:t>
      </w:r>
      <w:r w:rsidR="009E481A">
        <w:t xml:space="preserve"> </w:t>
      </w:r>
      <w:r w:rsidR="000B1A33" w:rsidRPr="002909BF">
        <w:t xml:space="preserve">cell rabies vaccine </w:t>
      </w:r>
      <w:r w:rsidRPr="002909BF">
        <w:t xml:space="preserve">given </w:t>
      </w:r>
      <w:r w:rsidR="009A0559" w:rsidRPr="002909BF">
        <w:t>intramuscular</w:t>
      </w:r>
      <w:r w:rsidR="009E481A">
        <w:t>ly</w:t>
      </w:r>
      <w:r w:rsidRPr="002909BF">
        <w:t xml:space="preserve"> for </w:t>
      </w:r>
      <w:r w:rsidR="000B1A33" w:rsidRPr="002909BF">
        <w:t>post</w:t>
      </w:r>
      <w:r w:rsidR="009E481A">
        <w:noBreakHyphen/>
      </w:r>
      <w:r w:rsidR="000B1A33" w:rsidRPr="002909BF">
        <w:t>exposure prophylaxis</w:t>
      </w:r>
      <w:bookmarkEnd w:id="57"/>
    </w:p>
    <w:p w14:paraId="6F4C0B55" w14:textId="4F198003" w:rsidR="00E251B9" w:rsidRPr="002909BF" w:rsidRDefault="009B7DC3" w:rsidP="003F0DC7">
      <w:r w:rsidRPr="002909BF">
        <w:t xml:space="preserve">Study 38 (the VRV08 trial) is a </w:t>
      </w:r>
      <w:r w:rsidR="00E251B9" w:rsidRPr="002909BF">
        <w:t>Phase III, single</w:t>
      </w:r>
      <w:r w:rsidRPr="002909BF">
        <w:t xml:space="preserve"> </w:t>
      </w:r>
      <w:r w:rsidR="00E251B9" w:rsidRPr="002909BF">
        <w:t>centre, observer</w:t>
      </w:r>
      <w:r w:rsidRPr="002909BF">
        <w:t xml:space="preserve"> </w:t>
      </w:r>
      <w:r w:rsidR="00E251B9" w:rsidRPr="002909BF">
        <w:t xml:space="preserve">blind, randomised, controlled non-inferiority trial to compare the immunogenicity of </w:t>
      </w:r>
      <w:r w:rsidR="009A0559" w:rsidRPr="002909BF">
        <w:t>intramuscular</w:t>
      </w:r>
      <w:r w:rsidR="00E251B9" w:rsidRPr="002909BF">
        <w:t xml:space="preserve"> </w:t>
      </w:r>
      <w:r w:rsidR="00A703E8" w:rsidRPr="00A703E8">
        <w:t xml:space="preserve">serum free purified Vero rabies vaccine </w:t>
      </w:r>
      <w:r w:rsidR="00A703E8">
        <w:t>(</w:t>
      </w:r>
      <w:proofErr w:type="spellStart"/>
      <w:r w:rsidR="00E251B9" w:rsidRPr="002909BF">
        <w:t>VRVg</w:t>
      </w:r>
      <w:proofErr w:type="spellEnd"/>
      <w:r w:rsidR="00A703E8">
        <w:t>)</w:t>
      </w:r>
      <w:r w:rsidR="00E251B9" w:rsidRPr="002909BF">
        <w:t xml:space="preserve"> PEP to </w:t>
      </w:r>
      <w:r w:rsidR="009A0559" w:rsidRPr="002909BF">
        <w:t>intramuscular</w:t>
      </w:r>
      <w:r w:rsidR="00E251B9" w:rsidRPr="002909BF">
        <w:t xml:space="preserve"> PVRV PEP in 816 patients (randomised) aged 10</w:t>
      </w:r>
      <w:r w:rsidRPr="002909BF">
        <w:t xml:space="preserve"> to </w:t>
      </w:r>
      <w:r w:rsidR="00E251B9" w:rsidRPr="002909BF">
        <w:t>17</w:t>
      </w:r>
      <w:r w:rsidRPr="002909BF">
        <w:t xml:space="preserve"> years old</w:t>
      </w:r>
      <w:r w:rsidR="00E251B9" w:rsidRPr="002909BF">
        <w:t>, or aged 18</w:t>
      </w:r>
      <w:r w:rsidR="007A3A23" w:rsidRPr="002909BF">
        <w:t xml:space="preserve"> years</w:t>
      </w:r>
      <w:r w:rsidR="00E251B9" w:rsidRPr="002909BF">
        <w:t xml:space="preserve"> </w:t>
      </w:r>
      <w:r w:rsidR="00561784" w:rsidRPr="002909BF">
        <w:t xml:space="preserve">old </w:t>
      </w:r>
      <w:r w:rsidR="00E251B9" w:rsidRPr="002909BF">
        <w:t>post exposure to a rabid animal (Categories I, II, or III).</w:t>
      </w:r>
    </w:p>
    <w:p w14:paraId="535BAD52" w14:textId="77777777" w:rsidR="00E251B9" w:rsidRPr="002909BF" w:rsidRDefault="00E251B9" w:rsidP="003F0DC7">
      <w:r w:rsidRPr="002909BF">
        <w:t>The study was conducted in China between 17 April 2011 and 10 March 2012.</w:t>
      </w:r>
    </w:p>
    <w:p w14:paraId="1C8AE820" w14:textId="77777777" w:rsidR="00C1787D" w:rsidRPr="002909BF" w:rsidRDefault="00E251B9" w:rsidP="00C1787D">
      <w:pPr>
        <w:pStyle w:val="Heading7"/>
        <w:rPr>
          <w:sz w:val="22"/>
          <w:szCs w:val="28"/>
        </w:rPr>
      </w:pPr>
      <w:r w:rsidRPr="002909BF">
        <w:rPr>
          <w:sz w:val="22"/>
          <w:szCs w:val="28"/>
        </w:rPr>
        <w:t>Primary objective</w:t>
      </w:r>
    </w:p>
    <w:p w14:paraId="7F14FCED" w14:textId="2EC1F1F1" w:rsidR="00E251B9" w:rsidRPr="002909BF" w:rsidRDefault="005F0EFF" w:rsidP="003F0DC7">
      <w:r w:rsidRPr="002909BF">
        <w:t>The primary objective of this study is t</w:t>
      </w:r>
      <w:r w:rsidR="00E251B9" w:rsidRPr="002909BF">
        <w:t xml:space="preserve">o demonstrate that </w:t>
      </w:r>
      <w:proofErr w:type="spellStart"/>
      <w:r w:rsidR="00E251B9" w:rsidRPr="002909BF">
        <w:t>VRVg</w:t>
      </w:r>
      <w:proofErr w:type="spellEnd"/>
      <w:r w:rsidR="00E251B9" w:rsidRPr="002909BF">
        <w:t xml:space="preserve"> is at least as immunogenic as the reference vaccine, </w:t>
      </w:r>
      <w:proofErr w:type="spellStart"/>
      <w:r w:rsidR="00E251B9" w:rsidRPr="002909BF">
        <w:t>Verorab</w:t>
      </w:r>
      <w:proofErr w:type="spellEnd"/>
      <w:r w:rsidR="00E251B9" w:rsidRPr="002909BF">
        <w:t xml:space="preserve"> vaccine, in terms of proportion of subjects with a rabies virus neutralising antibody titre </w:t>
      </w:r>
      <w:r w:rsidR="00C9786A" w:rsidRPr="002909BF">
        <w:t xml:space="preserve">of </w:t>
      </w:r>
      <w:r w:rsidR="00E251B9" w:rsidRPr="002909BF">
        <w:t>0.5 IU/mL</w:t>
      </w:r>
      <w:r w:rsidR="00C10917" w:rsidRPr="002909BF">
        <w:t xml:space="preserve"> or higher</w:t>
      </w:r>
      <w:r w:rsidR="00E251B9" w:rsidRPr="002909BF">
        <w:t xml:space="preserve"> at </w:t>
      </w:r>
      <w:r w:rsidR="007A3A23" w:rsidRPr="002909BF">
        <w:t>Day 14</w:t>
      </w:r>
      <w:r w:rsidR="00E251B9" w:rsidRPr="002909BF">
        <w:t xml:space="preserve"> in subjects aged 10 to 17 years </w:t>
      </w:r>
      <w:r w:rsidR="00561784" w:rsidRPr="002909BF">
        <w:t xml:space="preserve">old </w:t>
      </w:r>
      <w:r w:rsidR="00E251B9" w:rsidRPr="002909BF">
        <w:t xml:space="preserve">and 18 years and </w:t>
      </w:r>
      <w:r w:rsidR="00E146DE" w:rsidRPr="002909BF">
        <w:t>older</w:t>
      </w:r>
      <w:r w:rsidR="00E251B9" w:rsidRPr="002909BF">
        <w:t>.</w:t>
      </w:r>
    </w:p>
    <w:p w14:paraId="46316F2F" w14:textId="77777777" w:rsidR="00C1787D" w:rsidRPr="002909BF" w:rsidRDefault="00E251B9" w:rsidP="00C1787D">
      <w:pPr>
        <w:pStyle w:val="Heading7"/>
        <w:rPr>
          <w:sz w:val="22"/>
          <w:szCs w:val="28"/>
        </w:rPr>
      </w:pPr>
      <w:r w:rsidRPr="002909BF">
        <w:rPr>
          <w:sz w:val="22"/>
          <w:szCs w:val="28"/>
        </w:rPr>
        <w:t>Primary endpoint</w:t>
      </w:r>
    </w:p>
    <w:p w14:paraId="6337FDA4" w14:textId="26413C0A" w:rsidR="00E251B9" w:rsidRPr="002909BF" w:rsidRDefault="00E251B9" w:rsidP="003F0DC7">
      <w:r w:rsidRPr="002909BF">
        <w:t xml:space="preserve">Day 14 (before the </w:t>
      </w:r>
      <w:r w:rsidR="00C9786A" w:rsidRPr="002909BF">
        <w:t>fourth</w:t>
      </w:r>
      <w:r w:rsidRPr="002909BF">
        <w:t xml:space="preserve"> injection) proportion of subjects with </w:t>
      </w:r>
      <w:proofErr w:type="gramStart"/>
      <w:r w:rsidRPr="002909BF">
        <w:t>an</w:t>
      </w:r>
      <w:proofErr w:type="gramEnd"/>
      <w:r w:rsidRPr="002909BF">
        <w:t xml:space="preserve"> </w:t>
      </w:r>
      <w:r w:rsidR="00620A3F" w:rsidRPr="002909BF">
        <w:t>rabies virus neutralising antibody</w:t>
      </w:r>
      <w:r w:rsidRPr="002909BF">
        <w:t xml:space="preserve"> titre </w:t>
      </w:r>
      <w:r w:rsidR="00C10917" w:rsidRPr="002909BF">
        <w:t xml:space="preserve">of </w:t>
      </w:r>
      <w:r w:rsidRPr="002909BF">
        <w:t>0.5 IU/</w:t>
      </w:r>
      <w:r w:rsidR="0008332E">
        <w:t>mL</w:t>
      </w:r>
      <w:r w:rsidRPr="002909BF">
        <w:t xml:space="preserve"> </w:t>
      </w:r>
      <w:r w:rsidR="00C10917" w:rsidRPr="002909BF">
        <w:t xml:space="preserve">or higher </w:t>
      </w:r>
      <w:r w:rsidRPr="002909BF">
        <w:t xml:space="preserve">by </w:t>
      </w:r>
      <w:r w:rsidR="00620A3F" w:rsidRPr="002909BF">
        <w:t>rapid fluorescent focus inhibition test</w:t>
      </w:r>
      <w:r w:rsidRPr="002909BF">
        <w:t>.</w:t>
      </w:r>
    </w:p>
    <w:p w14:paraId="2613BBFC" w14:textId="77777777" w:rsidR="00C1787D" w:rsidRPr="002909BF" w:rsidRDefault="00E251B9" w:rsidP="00C1787D">
      <w:pPr>
        <w:pStyle w:val="Heading7"/>
        <w:rPr>
          <w:sz w:val="22"/>
          <w:szCs w:val="28"/>
        </w:rPr>
      </w:pPr>
      <w:r w:rsidRPr="002909BF">
        <w:rPr>
          <w:sz w:val="22"/>
          <w:szCs w:val="28"/>
        </w:rPr>
        <w:t>Products</w:t>
      </w:r>
    </w:p>
    <w:p w14:paraId="760A6BFE" w14:textId="1A547A18" w:rsidR="00E251B9" w:rsidRPr="002909BF" w:rsidRDefault="00E251B9" w:rsidP="003F0DC7">
      <w:r w:rsidRPr="002909BF">
        <w:t xml:space="preserve">Patients exposed to a suspected rabid animal were allocated in a 2:1 ratio to one of the following vaccines with the Wistar Pitman Moore rabies strain WI38-1503-3M using </w:t>
      </w:r>
      <w:r w:rsidR="00C9786A" w:rsidRPr="002909BF">
        <w:t>one</w:t>
      </w:r>
      <w:r w:rsidRPr="002909BF">
        <w:t xml:space="preserve"> dose of 0.5 mL to be injected via the </w:t>
      </w:r>
      <w:r w:rsidR="009A0559" w:rsidRPr="002909BF">
        <w:t>intramuscular</w:t>
      </w:r>
      <w:r w:rsidRPr="002909BF">
        <w:t xml:space="preserve"> route in a 5-dose schedule (</w:t>
      </w:r>
      <w:r w:rsidR="00C9786A" w:rsidRPr="002909BF">
        <w:t xml:space="preserve">at </w:t>
      </w:r>
      <w:r w:rsidRPr="002909BF">
        <w:t>D</w:t>
      </w:r>
      <w:r w:rsidR="00C9786A" w:rsidRPr="002909BF">
        <w:t>ays </w:t>
      </w:r>
      <w:r w:rsidRPr="002909BF">
        <w:t xml:space="preserve">0, 3, 7, </w:t>
      </w:r>
      <w:r w:rsidR="007A3A23" w:rsidRPr="002909BF">
        <w:t>14</w:t>
      </w:r>
      <w:r w:rsidRPr="002909BF">
        <w:t xml:space="preserve"> and </w:t>
      </w:r>
      <w:bookmarkStart w:id="58" w:name="_Hlk128486632"/>
      <w:r w:rsidRPr="002909BF">
        <w:t>28</w:t>
      </w:r>
      <w:bookmarkEnd w:id="58"/>
      <w:r w:rsidRPr="002909BF">
        <w:t>):</w:t>
      </w:r>
    </w:p>
    <w:p w14:paraId="08DDF34D" w14:textId="13E45D3E" w:rsidR="00E251B9" w:rsidRPr="002909BF" w:rsidRDefault="00EB184F" w:rsidP="003F0DC7">
      <w:pPr>
        <w:pStyle w:val="ListBullet"/>
      </w:pPr>
      <w:r w:rsidRPr="002909BF">
        <w:t xml:space="preserve">sponsor’s </w:t>
      </w:r>
      <w:proofErr w:type="spellStart"/>
      <w:r w:rsidR="00E251B9" w:rsidRPr="002909BF">
        <w:t>VRVg</w:t>
      </w:r>
      <w:proofErr w:type="spellEnd"/>
      <w:r w:rsidR="00C10917" w:rsidRPr="002909BF">
        <w:t xml:space="preserve"> </w:t>
      </w:r>
      <w:r w:rsidR="00E251B9" w:rsidRPr="002909BF">
        <w:t>2.5 IU</w:t>
      </w:r>
      <w:r w:rsidR="00C10917" w:rsidRPr="002909BF">
        <w:t xml:space="preserve"> or higher</w:t>
      </w:r>
    </w:p>
    <w:p w14:paraId="45CB868C" w14:textId="0CF87A49" w:rsidR="00E251B9" w:rsidRPr="002909BF" w:rsidRDefault="00EB184F" w:rsidP="003F0DC7">
      <w:pPr>
        <w:pStyle w:val="ListBullet"/>
      </w:pPr>
      <w:r w:rsidRPr="002909BF">
        <w:t xml:space="preserve">sponsor’s </w:t>
      </w:r>
      <w:r w:rsidR="00E251B9" w:rsidRPr="002909BF">
        <w:t>PVRV (</w:t>
      </w:r>
      <w:proofErr w:type="spellStart"/>
      <w:r w:rsidR="00E251B9" w:rsidRPr="002909BF">
        <w:t>Verorab</w:t>
      </w:r>
      <w:proofErr w:type="spellEnd"/>
      <w:r w:rsidR="00E251B9" w:rsidRPr="002909BF">
        <w:t>) 2.5 IU</w:t>
      </w:r>
      <w:r w:rsidR="00C10917" w:rsidRPr="002909BF">
        <w:t xml:space="preserve"> or higher</w:t>
      </w:r>
    </w:p>
    <w:p w14:paraId="2BF57DD4" w14:textId="491542FC" w:rsidR="00E251B9" w:rsidRPr="002909BF" w:rsidRDefault="00C9786A" w:rsidP="003F0DC7">
      <w:r w:rsidRPr="002909BF">
        <w:t xml:space="preserve">There were </w:t>
      </w:r>
      <w:r w:rsidR="00E251B9" w:rsidRPr="002909BF">
        <w:t>816 patients randomised</w:t>
      </w:r>
      <w:r w:rsidRPr="002909BF">
        <w:t>. Of these,</w:t>
      </w:r>
      <w:r w:rsidR="00E251B9" w:rsidRPr="002909BF">
        <w:t xml:space="preserve"> 544 </w:t>
      </w:r>
      <w:r w:rsidR="005F42BB" w:rsidRPr="002909BF">
        <w:t xml:space="preserve">are in the </w:t>
      </w:r>
      <w:proofErr w:type="spellStart"/>
      <w:r w:rsidR="00E251B9" w:rsidRPr="002909BF">
        <w:t>VRVg</w:t>
      </w:r>
      <w:proofErr w:type="spellEnd"/>
      <w:r w:rsidR="00E251B9" w:rsidRPr="002909BF">
        <w:t xml:space="preserve"> </w:t>
      </w:r>
      <w:r w:rsidR="005F42BB" w:rsidRPr="002909BF">
        <w:t xml:space="preserve">group </w:t>
      </w:r>
      <w:r w:rsidR="00E251B9" w:rsidRPr="002909BF">
        <w:t xml:space="preserve">and 272 </w:t>
      </w:r>
      <w:r w:rsidR="005F42BB" w:rsidRPr="002909BF">
        <w:t>in</w:t>
      </w:r>
      <w:r w:rsidR="00E251B9" w:rsidRPr="002909BF">
        <w:t xml:space="preserve"> </w:t>
      </w:r>
      <w:r w:rsidR="005F42BB" w:rsidRPr="002909BF">
        <w:t xml:space="preserve">the </w:t>
      </w:r>
      <w:r w:rsidR="00E251B9" w:rsidRPr="002909BF">
        <w:t>PVRV</w:t>
      </w:r>
      <w:r w:rsidR="005F42BB" w:rsidRPr="002909BF">
        <w:t xml:space="preserve"> group</w:t>
      </w:r>
      <w:r w:rsidR="00E251B9" w:rsidRPr="002909BF">
        <w:t>. In the two age groups, the mean age was similar</w:t>
      </w:r>
      <w:r w:rsidR="005F42BB" w:rsidRPr="002909BF">
        <w:t>, which are</w:t>
      </w:r>
      <w:r w:rsidR="00E251B9" w:rsidRPr="002909BF">
        <w:t xml:space="preserve"> 12.8</w:t>
      </w:r>
      <w:r w:rsidR="005F42BB" w:rsidRPr="002909BF">
        <w:t xml:space="preserve"> years old</w:t>
      </w:r>
      <w:r w:rsidR="00E251B9" w:rsidRPr="002909BF">
        <w:t xml:space="preserve"> </w:t>
      </w:r>
      <w:r w:rsidR="005F42BB" w:rsidRPr="002909BF">
        <w:t xml:space="preserve">for the </w:t>
      </w:r>
      <w:proofErr w:type="spellStart"/>
      <w:r w:rsidR="00E251B9" w:rsidRPr="002909BF">
        <w:t>VRVg</w:t>
      </w:r>
      <w:proofErr w:type="spellEnd"/>
      <w:r w:rsidR="005F42BB" w:rsidRPr="002909BF">
        <w:t xml:space="preserve"> group </w:t>
      </w:r>
      <w:r w:rsidR="0075406F" w:rsidRPr="002909BF">
        <w:t>versus</w:t>
      </w:r>
      <w:r w:rsidR="00E251B9" w:rsidRPr="002909BF">
        <w:t xml:space="preserve"> 12.5</w:t>
      </w:r>
      <w:r w:rsidR="005F42BB" w:rsidRPr="002909BF">
        <w:t xml:space="preserve"> years old for the </w:t>
      </w:r>
      <w:r w:rsidR="00E251B9" w:rsidRPr="002909BF">
        <w:t>PVRV</w:t>
      </w:r>
      <w:r w:rsidR="005F42BB" w:rsidRPr="002909BF">
        <w:t xml:space="preserve"> group</w:t>
      </w:r>
      <w:r w:rsidR="00E251B9" w:rsidRPr="002909BF">
        <w:t xml:space="preserve"> for patients aged 10 to 17</w:t>
      </w:r>
      <w:r w:rsidR="005F42BB" w:rsidRPr="002909BF">
        <w:t xml:space="preserve"> years</w:t>
      </w:r>
      <w:r w:rsidR="00561784" w:rsidRPr="002909BF">
        <w:t xml:space="preserve"> </w:t>
      </w:r>
      <w:r w:rsidR="00561784" w:rsidRPr="002909BF">
        <w:lastRenderedPageBreak/>
        <w:t>old</w:t>
      </w:r>
      <w:r w:rsidR="00E251B9" w:rsidRPr="002909BF">
        <w:t xml:space="preserve">; </w:t>
      </w:r>
      <w:r w:rsidR="005F42BB" w:rsidRPr="002909BF">
        <w:t xml:space="preserve">and </w:t>
      </w:r>
      <w:r w:rsidR="00E251B9" w:rsidRPr="002909BF">
        <w:t>43.5</w:t>
      </w:r>
      <w:r w:rsidR="005F42BB" w:rsidRPr="002909BF">
        <w:t xml:space="preserve"> years old</w:t>
      </w:r>
      <w:r w:rsidR="00E251B9" w:rsidRPr="002909BF">
        <w:t xml:space="preserve"> </w:t>
      </w:r>
      <w:r w:rsidR="005F42BB" w:rsidRPr="002909BF">
        <w:t xml:space="preserve">for the </w:t>
      </w:r>
      <w:proofErr w:type="spellStart"/>
      <w:r w:rsidR="00E251B9" w:rsidRPr="002909BF">
        <w:t>VRVg</w:t>
      </w:r>
      <w:proofErr w:type="spellEnd"/>
      <w:r w:rsidR="005F42BB" w:rsidRPr="002909BF">
        <w:t xml:space="preserve"> group</w:t>
      </w:r>
      <w:r w:rsidR="00E251B9" w:rsidRPr="002909BF">
        <w:t xml:space="preserve"> and 44.0</w:t>
      </w:r>
      <w:r w:rsidR="005F42BB" w:rsidRPr="002909BF">
        <w:t xml:space="preserve"> years old for the </w:t>
      </w:r>
      <w:r w:rsidR="00E251B9" w:rsidRPr="002909BF">
        <w:t>PVRV</w:t>
      </w:r>
      <w:r w:rsidR="005F42BB" w:rsidRPr="002909BF">
        <w:t xml:space="preserve"> group</w:t>
      </w:r>
      <w:r w:rsidR="00E251B9" w:rsidRPr="002909BF">
        <w:t xml:space="preserve"> for subjects aged </w:t>
      </w:r>
      <w:r w:rsidR="007A3A23" w:rsidRPr="002909BF">
        <w:t xml:space="preserve">18 years and </w:t>
      </w:r>
      <w:r w:rsidR="00E146DE" w:rsidRPr="002909BF">
        <w:t>older</w:t>
      </w:r>
      <w:r w:rsidR="00E251B9" w:rsidRPr="002909BF">
        <w:t>. All subjects were Asian.</w:t>
      </w:r>
    </w:p>
    <w:p w14:paraId="03E9071C" w14:textId="191C054C" w:rsidR="00E251B9" w:rsidRPr="002909BF" w:rsidRDefault="00E251B9" w:rsidP="003F0DC7">
      <w:r w:rsidRPr="002909BF">
        <w:t xml:space="preserve">Non-inferiority would be demonstrated in each age group if the lower limit of the 95% CI of the difference between the two proportions (proportion for </w:t>
      </w:r>
      <w:proofErr w:type="spellStart"/>
      <w:r w:rsidRPr="002909BF">
        <w:t>VRVg</w:t>
      </w:r>
      <w:proofErr w:type="spellEnd"/>
      <w:r w:rsidRPr="002909BF">
        <w:t xml:space="preserve"> minus the proportion for PVRV) at Day 14 were </w:t>
      </w:r>
      <w:r w:rsidR="005F42BB" w:rsidRPr="002909BF">
        <w:t>more than</w:t>
      </w:r>
      <w:r w:rsidRPr="002909BF">
        <w:t xml:space="preserve"> -5%.</w:t>
      </w:r>
    </w:p>
    <w:p w14:paraId="1DC26F87" w14:textId="77777777" w:rsidR="00E251B9" w:rsidRPr="002909BF" w:rsidRDefault="00E251B9" w:rsidP="00C1787D">
      <w:pPr>
        <w:pStyle w:val="Heading6"/>
      </w:pPr>
      <w:r w:rsidRPr="002909BF">
        <w:t>Magnitude of the treatment effect and its clinical significance</w:t>
      </w:r>
    </w:p>
    <w:p w14:paraId="473D43EB" w14:textId="5013D14C" w:rsidR="00E251B9" w:rsidRPr="002909BF" w:rsidRDefault="00E251B9" w:rsidP="003F0DC7">
      <w:r w:rsidRPr="002909BF">
        <w:t xml:space="preserve">At </w:t>
      </w:r>
      <w:r w:rsidR="007A3A23" w:rsidRPr="002909BF">
        <w:t>Day 14</w:t>
      </w:r>
      <w:r w:rsidR="005F42BB" w:rsidRPr="002909BF">
        <w:t xml:space="preserve"> (</w:t>
      </w:r>
      <w:r w:rsidRPr="002909BF">
        <w:t xml:space="preserve">before the </w:t>
      </w:r>
      <w:r w:rsidR="005F42BB" w:rsidRPr="002909BF">
        <w:t>fourth</w:t>
      </w:r>
      <w:r w:rsidRPr="002909BF">
        <w:t xml:space="preserve"> injection</w:t>
      </w:r>
      <w:r w:rsidR="005F42BB" w:rsidRPr="002909BF">
        <w:t>)</w:t>
      </w:r>
      <w:r w:rsidRPr="002909BF">
        <w:t>, all subjects aged 10 to 17</w:t>
      </w:r>
      <w:r w:rsidR="005F42BB" w:rsidRPr="002909BF">
        <w:t xml:space="preserve"> years</w:t>
      </w:r>
      <w:r w:rsidRPr="002909BF">
        <w:t xml:space="preserve"> </w:t>
      </w:r>
      <w:r w:rsidR="00561784" w:rsidRPr="002909BF">
        <w:t xml:space="preserve">old </w:t>
      </w:r>
      <w:r w:rsidRPr="002909BF">
        <w:t xml:space="preserve">had a </w:t>
      </w:r>
      <w:r w:rsidR="00620A3F" w:rsidRPr="002909BF">
        <w:t>rabies virus neutralising antibody</w:t>
      </w:r>
      <w:r w:rsidRPr="002909BF">
        <w:t xml:space="preserve"> titre </w:t>
      </w:r>
      <w:r w:rsidR="00C10917" w:rsidRPr="002909BF">
        <w:t xml:space="preserve">of </w:t>
      </w:r>
      <w:r w:rsidRPr="002909BF">
        <w:t>0.5</w:t>
      </w:r>
      <w:r w:rsidR="0008332E">
        <w:t xml:space="preserve"> </w:t>
      </w:r>
      <w:r w:rsidRPr="002909BF">
        <w:t>IU/</w:t>
      </w:r>
      <w:r w:rsidR="0008332E">
        <w:t>mL</w:t>
      </w:r>
      <w:r w:rsidR="00C10917" w:rsidRPr="002909BF">
        <w:t xml:space="preserve"> or higher</w:t>
      </w:r>
      <w:r w:rsidRPr="002909BF">
        <w:t xml:space="preserve">. In subjects aged </w:t>
      </w:r>
      <w:bookmarkStart w:id="59" w:name="_Hlk128486792"/>
      <w:r w:rsidRPr="002909BF">
        <w:t>18</w:t>
      </w:r>
      <w:r w:rsidR="007A3A23" w:rsidRPr="002909BF">
        <w:t xml:space="preserve"> years and </w:t>
      </w:r>
      <w:bookmarkEnd w:id="59"/>
      <w:r w:rsidR="00E146DE" w:rsidRPr="002909BF">
        <w:t>older</w:t>
      </w:r>
      <w:r w:rsidRPr="002909BF">
        <w:t xml:space="preserve">, all but 2 subjects, </w:t>
      </w:r>
      <w:r w:rsidR="005F42BB" w:rsidRPr="002909BF">
        <w:t>one</w:t>
      </w:r>
      <w:r w:rsidRPr="002909BF">
        <w:t xml:space="preserve"> in each vaccine group, had a </w:t>
      </w:r>
      <w:r w:rsidR="00620A3F" w:rsidRPr="002909BF">
        <w:t>rabies virus neutralising antibody</w:t>
      </w:r>
      <w:r w:rsidRPr="002909BF">
        <w:t xml:space="preserve"> titre </w:t>
      </w:r>
      <w:r w:rsidR="00C10917" w:rsidRPr="002909BF">
        <w:t xml:space="preserve">of </w:t>
      </w:r>
      <w:r w:rsidRPr="002909BF">
        <w:t>0.5 IU/</w:t>
      </w:r>
      <w:r w:rsidR="0008332E">
        <w:t>mL</w:t>
      </w:r>
      <w:r w:rsidR="00C10917" w:rsidRPr="002909BF">
        <w:t xml:space="preserve"> or higher</w:t>
      </w:r>
      <w:r w:rsidRPr="002909BF">
        <w:t xml:space="preserve">. In the </w:t>
      </w:r>
      <w:r w:rsidR="00B524BF" w:rsidRPr="002909BF">
        <w:t>per-protocol analysis set</w:t>
      </w:r>
      <w:r w:rsidRPr="002909BF">
        <w:t xml:space="preserve">, the non-inferiority of the immunogenicity of </w:t>
      </w:r>
      <w:proofErr w:type="spellStart"/>
      <w:r w:rsidRPr="002909BF">
        <w:t>VRVg</w:t>
      </w:r>
      <w:proofErr w:type="spellEnd"/>
      <w:r w:rsidRPr="002909BF">
        <w:t xml:space="preserve"> </w:t>
      </w:r>
      <w:r w:rsidR="0075406F" w:rsidRPr="002909BF">
        <w:t>versus</w:t>
      </w:r>
      <w:r w:rsidRPr="002909BF">
        <w:t xml:space="preserve"> that of PVRV (</w:t>
      </w:r>
      <w:proofErr w:type="spellStart"/>
      <w:r w:rsidRPr="002909BF">
        <w:t>Verorab</w:t>
      </w:r>
      <w:proofErr w:type="spellEnd"/>
      <w:r w:rsidRPr="002909BF">
        <w:t xml:space="preserve">) in terms of proportion of subjects with </w:t>
      </w:r>
      <w:proofErr w:type="gramStart"/>
      <w:r w:rsidRPr="002909BF">
        <w:t>an</w:t>
      </w:r>
      <w:proofErr w:type="gramEnd"/>
      <w:r w:rsidRPr="002909BF">
        <w:t xml:space="preserve"> </w:t>
      </w:r>
      <w:r w:rsidR="00620A3F" w:rsidRPr="002909BF">
        <w:t>rabies virus neutralising antibody</w:t>
      </w:r>
      <w:r w:rsidRPr="002909BF">
        <w:t xml:space="preserve"> titre </w:t>
      </w:r>
      <w:r w:rsidR="00C10917" w:rsidRPr="002909BF">
        <w:t>of</w:t>
      </w:r>
      <w:r w:rsidR="005F42BB" w:rsidRPr="002909BF">
        <w:t xml:space="preserve"> </w:t>
      </w:r>
      <w:r w:rsidRPr="002909BF">
        <w:t>0.5 IU/</w:t>
      </w:r>
      <w:r w:rsidR="0008332E">
        <w:t>mL</w:t>
      </w:r>
      <w:r w:rsidRPr="002909BF">
        <w:t xml:space="preserve"> </w:t>
      </w:r>
      <w:r w:rsidR="00C10917" w:rsidRPr="002909BF">
        <w:t xml:space="preserve">or higher </w:t>
      </w:r>
      <w:r w:rsidRPr="002909BF">
        <w:t>was demonstrated in both age groups (</w:t>
      </w:r>
      <w:r w:rsidR="005F42BB" w:rsidRPr="002909BF">
        <w:t xml:space="preserve">see </w:t>
      </w:r>
      <w:r w:rsidRPr="002909BF">
        <w:fldChar w:fldCharType="begin"/>
      </w:r>
      <w:r w:rsidRPr="002909BF">
        <w:instrText xml:space="preserve"> REF _Ref106371697 \h  \* MERGEFORMAT </w:instrText>
      </w:r>
      <w:r w:rsidRPr="002909BF">
        <w:fldChar w:fldCharType="separate"/>
      </w:r>
      <w:r w:rsidR="00056FD1" w:rsidRPr="002909BF">
        <w:t xml:space="preserve">Table </w:t>
      </w:r>
      <w:r w:rsidR="00056FD1">
        <w:t>5</w:t>
      </w:r>
      <w:r w:rsidRPr="002909BF">
        <w:fldChar w:fldCharType="end"/>
      </w:r>
      <w:r w:rsidR="005F42BB" w:rsidRPr="002909BF">
        <w:t xml:space="preserve"> below</w:t>
      </w:r>
      <w:r w:rsidRPr="002909BF">
        <w:t>).</w:t>
      </w:r>
    </w:p>
    <w:p w14:paraId="146358DA" w14:textId="7059C7EF" w:rsidR="00E251B9" w:rsidRDefault="00E251B9" w:rsidP="00B02A93">
      <w:pPr>
        <w:pStyle w:val="TableTitle"/>
      </w:pPr>
      <w:bookmarkStart w:id="60" w:name="_Ref106371697"/>
      <w:r w:rsidRPr="002909BF">
        <w:t xml:space="preserve">Table </w:t>
      </w:r>
      <w:fldSimple w:instr=" SEQ Table \* ARABIC ">
        <w:r w:rsidR="00056FD1">
          <w:rPr>
            <w:noProof/>
          </w:rPr>
          <w:t>5</w:t>
        </w:r>
      </w:fldSimple>
      <w:bookmarkEnd w:id="60"/>
      <w:r w:rsidR="007056E0">
        <w:t>:</w:t>
      </w:r>
      <w:r w:rsidRPr="002909BF">
        <w:t xml:space="preserve"> </w:t>
      </w:r>
      <w:r w:rsidR="00C100B8" w:rsidRPr="00C100B8">
        <w:t>Study 38 (VRV08 trial)</w:t>
      </w:r>
      <w:r w:rsidRPr="002909BF">
        <w:t xml:space="preserve"> Primary endpoint results</w:t>
      </w:r>
      <w:r w:rsidR="007056E0">
        <w:t xml:space="preserve"> -</w:t>
      </w:r>
      <w:r w:rsidRPr="002909BF">
        <w:t xml:space="preserve"> </w:t>
      </w:r>
      <w:r w:rsidR="007056E0" w:rsidRPr="002909BF">
        <w:t xml:space="preserve">proportions </w:t>
      </w:r>
      <w:r w:rsidRPr="002909BF">
        <w:t xml:space="preserve">of subjects with </w:t>
      </w:r>
      <w:r w:rsidR="00620A3F" w:rsidRPr="002909BF">
        <w:t>rabies virus neutralising antibody</w:t>
      </w:r>
      <w:r w:rsidRPr="002909BF">
        <w:t xml:space="preserve"> titre </w:t>
      </w:r>
      <w:r w:rsidR="00C10917" w:rsidRPr="002909BF">
        <w:t>of</w:t>
      </w:r>
      <w:r w:rsidRPr="002909BF">
        <w:t xml:space="preserve"> 0.5 IU/mL</w:t>
      </w:r>
      <w:r w:rsidR="00C10917" w:rsidRPr="002909BF">
        <w:t xml:space="preserve"> or higher</w:t>
      </w:r>
      <w:r w:rsidRPr="002909BF">
        <w:t xml:space="preserve"> at </w:t>
      </w:r>
      <w:r w:rsidR="007A3A23" w:rsidRPr="002909BF">
        <w:t>Day</w:t>
      </w:r>
      <w:r w:rsidR="00B02A93">
        <w:t> </w:t>
      </w:r>
      <w:r w:rsidR="007A3A23" w:rsidRPr="002909BF">
        <w:t>14</w:t>
      </w:r>
      <w:r w:rsidRPr="002909BF">
        <w:t xml:space="preserve"> according to vaccine group - </w:t>
      </w:r>
      <w:r w:rsidR="00620A3F" w:rsidRPr="002909BF">
        <w:t>rapid fluorescent focus inhibition test</w:t>
      </w:r>
      <w:r w:rsidRPr="002909BF">
        <w:t xml:space="preserve"> </w:t>
      </w:r>
      <w:r w:rsidR="009B7DC3" w:rsidRPr="002909BF">
        <w:t>(</w:t>
      </w:r>
      <w:r w:rsidR="007056E0" w:rsidRPr="002909BF">
        <w:t>per</w:t>
      </w:r>
      <w:r w:rsidR="00B02A93">
        <w:noBreakHyphen/>
      </w:r>
      <w:r w:rsidR="007056E0" w:rsidRPr="002909BF">
        <w:t>protocol analysis set)</w:t>
      </w:r>
    </w:p>
    <w:p w14:paraId="5C0873DA" w14:textId="4ACF4921" w:rsidR="00D22C5A" w:rsidRPr="002909BF" w:rsidRDefault="00D22C5A" w:rsidP="00B02A93">
      <w:r>
        <w:rPr>
          <w:noProof/>
          <w:lang w:val="en-GB" w:eastAsia="en-GB"/>
        </w:rPr>
        <w:drawing>
          <wp:inline distT="0" distB="0" distL="0" distR="0" wp14:anchorId="0D354F8F" wp14:editId="2B3C1F62">
            <wp:extent cx="5400040" cy="1668145"/>
            <wp:effectExtent l="0" t="0" r="0" b="8255"/>
            <wp:docPr id="8" name="Picture 8" descr="Table 5: Study 38 (VRV08 trial) Primary endpoint results - proportions of subjects with rabies virus neutralising antibody titre of 0.5 IU/mL or higher at Day 14 according to vaccine group - rapid fluorescent focus inhibition test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5: Study 38 (VRV08 trial) Primary endpoint results - proportions of subjects with rabies virus neutralising antibody titre of 0.5 IU/mL or higher at Day 14 according to vaccine group - rapid fluorescent focus inhibition test (per protocol analysis set)"/>
                    <pic:cNvPicPr/>
                  </pic:nvPicPr>
                  <pic:blipFill>
                    <a:blip r:embed="rId22"/>
                    <a:stretch>
                      <a:fillRect/>
                    </a:stretch>
                  </pic:blipFill>
                  <pic:spPr>
                    <a:xfrm>
                      <a:off x="0" y="0"/>
                      <a:ext cx="5400040" cy="1668145"/>
                    </a:xfrm>
                    <a:prstGeom prst="rect">
                      <a:avLst/>
                    </a:prstGeom>
                  </pic:spPr>
                </pic:pic>
              </a:graphicData>
            </a:graphic>
          </wp:inline>
        </w:drawing>
      </w:r>
    </w:p>
    <w:p w14:paraId="7293FB2C" w14:textId="61278AF8" w:rsidR="00D22C5A" w:rsidRPr="00B02A93" w:rsidRDefault="00D22C5A" w:rsidP="00B02A93">
      <w:pPr>
        <w:pStyle w:val="TableDescription"/>
      </w:pPr>
      <w:r w:rsidRPr="00B02A93">
        <w:t xml:space="preserve">Abbreviations: CI = confidence interval; D = Day; M= number of subjects with available data for the relevant endpoint; N = total number of subjects; n = number of subjects experiencing the endpoint; RVNA = rabies virus neutralising antibody; </w:t>
      </w:r>
      <w:proofErr w:type="spellStart"/>
      <w:r w:rsidRPr="00B02A93">
        <w:t>VRVg</w:t>
      </w:r>
      <w:proofErr w:type="spellEnd"/>
      <w:r w:rsidRPr="00B02A93">
        <w:t xml:space="preserve"> = serum free purified Vero rabies vaccine</w:t>
      </w:r>
    </w:p>
    <w:p w14:paraId="0C8FACAB" w14:textId="2E26FB6D" w:rsidR="00D22C5A" w:rsidRPr="00B02A93" w:rsidRDefault="00D22C5A" w:rsidP="00B02A93">
      <w:pPr>
        <w:pStyle w:val="TableDescription"/>
      </w:pPr>
      <w:r w:rsidRPr="00B02A93">
        <w:t xml:space="preserve">* Non-inferiority concluded if the low limit of the two-sided 95% CI of the difference </w:t>
      </w:r>
      <w:r w:rsidR="007056E0" w:rsidRPr="00B02A93">
        <w:t xml:space="preserve">serum free purified Vero rabies vaccine </w:t>
      </w:r>
      <w:proofErr w:type="spellStart"/>
      <w:r w:rsidRPr="00B02A93">
        <w:t>Verorab</w:t>
      </w:r>
      <w:proofErr w:type="spellEnd"/>
      <w:r w:rsidRPr="00B02A93">
        <w:t xml:space="preserve"> for proportion of subjects with </w:t>
      </w:r>
      <w:r w:rsidR="007056E0" w:rsidRPr="00B02A93">
        <w:t xml:space="preserve">rabies virus neutralising antibody </w:t>
      </w:r>
      <w:r w:rsidRPr="00B02A93">
        <w:t>tit</w:t>
      </w:r>
      <w:r w:rsidR="007056E0" w:rsidRPr="00B02A93">
        <w:t xml:space="preserve">re of </w:t>
      </w:r>
      <w:r w:rsidRPr="00B02A93">
        <w:t>0.5</w:t>
      </w:r>
      <w:r w:rsidR="007056E0" w:rsidRPr="00B02A93">
        <w:t> </w:t>
      </w:r>
      <w:r w:rsidRPr="00B02A93">
        <w:t>IU/mL</w:t>
      </w:r>
      <w:r w:rsidR="007056E0" w:rsidRPr="00B02A93">
        <w:t xml:space="preserve"> or higher</w:t>
      </w:r>
      <w:r w:rsidRPr="00B02A93">
        <w:t xml:space="preserve"> is </w:t>
      </w:r>
      <w:r w:rsidR="007056E0" w:rsidRPr="00B02A93">
        <w:t>more than</w:t>
      </w:r>
      <w:r w:rsidRPr="00B02A93">
        <w:t xml:space="preserve"> -5.0%</w:t>
      </w:r>
      <w:r w:rsidR="007056E0" w:rsidRPr="00B02A93">
        <w:t>.</w:t>
      </w:r>
    </w:p>
    <w:p w14:paraId="2DEE3B17" w14:textId="34E64CA1" w:rsidR="00E251B9" w:rsidRPr="002909BF" w:rsidRDefault="00E251B9" w:rsidP="00C1787D">
      <w:pPr>
        <w:pStyle w:val="Heading5"/>
      </w:pPr>
      <w:bookmarkStart w:id="61" w:name="_Ref106783616"/>
      <w:r w:rsidRPr="002909BF">
        <w:t>Study 36</w:t>
      </w:r>
      <w:r w:rsidR="00D83BC0">
        <w:t xml:space="preserve"> (</w:t>
      </w:r>
      <w:r w:rsidR="00D83BC0" w:rsidRPr="00D83BC0">
        <w:t>VRV01 trial</w:t>
      </w:r>
      <w:r w:rsidR="00D83BC0">
        <w:t>)</w:t>
      </w:r>
      <w:bookmarkStart w:id="62" w:name="_Hlk106644773"/>
      <w:r w:rsidR="009E481A">
        <w:t xml:space="preserve"> </w:t>
      </w:r>
      <w:r w:rsidRPr="002909BF">
        <w:t xml:space="preserve">using </w:t>
      </w:r>
      <w:r w:rsidR="00AA1A08" w:rsidRPr="00AA1A08">
        <w:t xml:space="preserve">serum free purified Vero rabies vaccine </w:t>
      </w:r>
      <w:r w:rsidRPr="002909BF">
        <w:t xml:space="preserve">or </w:t>
      </w:r>
      <w:r w:rsidR="00B505D4" w:rsidRPr="002909BF">
        <w:t xml:space="preserve">purified Vero cell rabies vaccine </w:t>
      </w:r>
      <w:r w:rsidRPr="002909BF">
        <w:t xml:space="preserve">given </w:t>
      </w:r>
      <w:r w:rsidR="009A0559" w:rsidRPr="002909BF">
        <w:t>intramuscular</w:t>
      </w:r>
      <w:r w:rsidRPr="002909BF">
        <w:t xml:space="preserve"> with </w:t>
      </w:r>
      <w:r w:rsidR="009E481A">
        <w:t>one-year</w:t>
      </w:r>
      <w:r w:rsidRPr="002909BF">
        <w:t xml:space="preserve"> booster for </w:t>
      </w:r>
      <w:r w:rsidR="00374F70" w:rsidRPr="002909BF">
        <w:t>pre-exposure prophylaxis</w:t>
      </w:r>
      <w:bookmarkEnd w:id="61"/>
    </w:p>
    <w:bookmarkEnd w:id="62"/>
    <w:p w14:paraId="4EBB832D" w14:textId="3638BE86" w:rsidR="00E251B9" w:rsidRPr="002909BF" w:rsidRDefault="005F42BB" w:rsidP="003F0DC7">
      <w:r w:rsidRPr="002909BF">
        <w:t xml:space="preserve">Study 36 (the VRV01 trial) is a </w:t>
      </w:r>
      <w:r w:rsidR="00E251B9" w:rsidRPr="002909BF">
        <w:t>Phase II, blind</w:t>
      </w:r>
      <w:r w:rsidR="009B7DC3" w:rsidRPr="002909BF">
        <w:t xml:space="preserve"> </w:t>
      </w:r>
      <w:r w:rsidR="00E251B9" w:rsidRPr="002909BF">
        <w:t xml:space="preserve">observed, controlled, randomised (2:1), multicentre (6 sites) study exploring the immunogenicity of the </w:t>
      </w:r>
      <w:proofErr w:type="spellStart"/>
      <w:r w:rsidR="00E251B9" w:rsidRPr="002909BF">
        <w:t>VRVg</w:t>
      </w:r>
      <w:proofErr w:type="spellEnd"/>
      <w:r w:rsidR="00E251B9" w:rsidRPr="002909BF">
        <w:t xml:space="preserve"> in comparison with PVRV in pre-exposure use in 384 (</w:t>
      </w:r>
      <w:r w:rsidR="00B524BF" w:rsidRPr="002909BF">
        <w:t>full analysis set</w:t>
      </w:r>
      <w:r w:rsidR="00E251B9" w:rsidRPr="002909BF">
        <w:t>) healthy adults aged 18</w:t>
      </w:r>
      <w:r w:rsidR="009B7DC3" w:rsidRPr="002909BF">
        <w:t xml:space="preserve"> to </w:t>
      </w:r>
      <w:r w:rsidR="00E251B9" w:rsidRPr="002909BF">
        <w:t>60</w:t>
      </w:r>
      <w:r w:rsidR="009B7DC3" w:rsidRPr="002909BF">
        <w:t xml:space="preserve"> years</w:t>
      </w:r>
      <w:r w:rsidR="00561784" w:rsidRPr="002909BF">
        <w:t xml:space="preserve"> old</w:t>
      </w:r>
      <w:r w:rsidR="00E251B9" w:rsidRPr="002909BF">
        <w:t>.</w:t>
      </w:r>
    </w:p>
    <w:p w14:paraId="0AA435DC" w14:textId="77777777" w:rsidR="00E251B9" w:rsidRPr="002909BF" w:rsidRDefault="00E251B9" w:rsidP="003F0DC7">
      <w:r w:rsidRPr="002909BF">
        <w:t>The study was conducted in the France between 20 July 2009 and 14 February 2011.</w:t>
      </w:r>
    </w:p>
    <w:p w14:paraId="62986EA8" w14:textId="77777777" w:rsidR="00C1787D" w:rsidRPr="002909BF" w:rsidRDefault="00E251B9" w:rsidP="00C1787D">
      <w:pPr>
        <w:pStyle w:val="Heading7"/>
        <w:rPr>
          <w:sz w:val="22"/>
          <w:szCs w:val="28"/>
        </w:rPr>
      </w:pPr>
      <w:r w:rsidRPr="002909BF">
        <w:rPr>
          <w:sz w:val="22"/>
          <w:szCs w:val="28"/>
        </w:rPr>
        <w:t>Primary objective</w:t>
      </w:r>
    </w:p>
    <w:p w14:paraId="58B2EA99" w14:textId="13232B76" w:rsidR="00E251B9" w:rsidRPr="002909BF" w:rsidRDefault="005F0EFF" w:rsidP="003F0DC7">
      <w:r w:rsidRPr="002909BF">
        <w:t>The primary objective of this study is t</w:t>
      </w:r>
      <w:r w:rsidR="00E251B9" w:rsidRPr="002909BF">
        <w:t xml:space="preserve">o demonstrate that </w:t>
      </w:r>
      <w:proofErr w:type="spellStart"/>
      <w:r w:rsidR="00E251B9" w:rsidRPr="002909BF">
        <w:t>VRVg</w:t>
      </w:r>
      <w:proofErr w:type="spellEnd"/>
      <w:r w:rsidR="00E251B9" w:rsidRPr="002909BF">
        <w:t xml:space="preserve"> is at least as immunogenic as the reference vaccine, </w:t>
      </w:r>
      <w:proofErr w:type="spellStart"/>
      <w:r w:rsidR="00E251B9" w:rsidRPr="002909BF">
        <w:t>Verorab</w:t>
      </w:r>
      <w:proofErr w:type="spellEnd"/>
      <w:r w:rsidR="00E251B9" w:rsidRPr="002909BF">
        <w:t xml:space="preserve"> PVRV, in terms of seroconversion rate at D</w:t>
      </w:r>
      <w:r w:rsidRPr="002909BF">
        <w:t xml:space="preserve">ay </w:t>
      </w:r>
      <w:r w:rsidR="00E251B9" w:rsidRPr="002909BF">
        <w:t xml:space="preserve">42, </w:t>
      </w:r>
      <w:r w:rsidR="0075406F" w:rsidRPr="002909BF">
        <w:t>that is,</w:t>
      </w:r>
      <w:r w:rsidR="00E251B9" w:rsidRPr="002909BF">
        <w:t xml:space="preserve"> 14 days after the last vaccination of primary vaccination series.</w:t>
      </w:r>
    </w:p>
    <w:p w14:paraId="4F64C3A0" w14:textId="77777777" w:rsidR="00C1787D" w:rsidRPr="002909BF" w:rsidRDefault="00E251B9" w:rsidP="00C1787D">
      <w:pPr>
        <w:pStyle w:val="Heading7"/>
        <w:rPr>
          <w:sz w:val="22"/>
          <w:szCs w:val="28"/>
        </w:rPr>
      </w:pPr>
      <w:r w:rsidRPr="002909BF">
        <w:rPr>
          <w:sz w:val="22"/>
          <w:szCs w:val="28"/>
        </w:rPr>
        <w:t>Primary endpoint</w:t>
      </w:r>
    </w:p>
    <w:p w14:paraId="62DED9D4" w14:textId="028CA83D" w:rsidR="00E251B9" w:rsidRPr="002909BF" w:rsidRDefault="00E251B9" w:rsidP="003F0DC7">
      <w:r w:rsidRPr="002909BF">
        <w:t>Seroconversion status at D</w:t>
      </w:r>
      <w:r w:rsidR="005F0EFF" w:rsidRPr="002909BF">
        <w:t xml:space="preserve">ay </w:t>
      </w:r>
      <w:r w:rsidRPr="002909BF">
        <w:t xml:space="preserve">42: </w:t>
      </w:r>
      <w:r w:rsidR="00620A3F" w:rsidRPr="002909BF">
        <w:t>rabies virus neutralising antibody</w:t>
      </w:r>
      <w:r w:rsidRPr="002909BF">
        <w:t xml:space="preserve"> titre</w:t>
      </w:r>
      <w:r w:rsidR="00C10917" w:rsidRPr="002909BF">
        <w:t xml:space="preserve"> of </w:t>
      </w:r>
      <w:r w:rsidRPr="002909BF">
        <w:t>0.5 IU/</w:t>
      </w:r>
      <w:r w:rsidR="0008332E">
        <w:t>mL</w:t>
      </w:r>
      <w:r w:rsidRPr="002909BF">
        <w:t xml:space="preserve"> </w:t>
      </w:r>
      <w:r w:rsidR="00C10917" w:rsidRPr="002909BF">
        <w:t xml:space="preserve">or higher </w:t>
      </w:r>
      <w:r w:rsidRPr="002909BF">
        <w:t xml:space="preserve">by </w:t>
      </w:r>
      <w:r w:rsidR="00620A3F" w:rsidRPr="002909BF">
        <w:t>rapid fluorescent focus inhibition test</w:t>
      </w:r>
      <w:r w:rsidRPr="002909BF">
        <w:t>.</w:t>
      </w:r>
    </w:p>
    <w:p w14:paraId="6494D68D" w14:textId="77777777" w:rsidR="00C1787D" w:rsidRPr="002909BF" w:rsidRDefault="00E251B9" w:rsidP="00C1787D">
      <w:pPr>
        <w:pStyle w:val="Heading7"/>
        <w:rPr>
          <w:sz w:val="22"/>
          <w:szCs w:val="28"/>
        </w:rPr>
      </w:pPr>
      <w:r w:rsidRPr="002909BF">
        <w:rPr>
          <w:sz w:val="22"/>
          <w:szCs w:val="28"/>
        </w:rPr>
        <w:lastRenderedPageBreak/>
        <w:t>Products</w:t>
      </w:r>
    </w:p>
    <w:p w14:paraId="1A578996" w14:textId="0FA16021" w:rsidR="00E251B9" w:rsidRPr="002909BF" w:rsidRDefault="00E251B9" w:rsidP="003F0DC7">
      <w:r w:rsidRPr="002909BF">
        <w:t xml:space="preserve">Patients were allocated in a 2:1 ratio to one of the following vaccines with the Wistar Pitman Moore rabies strain WI38-1503-3M using </w:t>
      </w:r>
      <w:r w:rsidR="005F0EFF" w:rsidRPr="002909BF">
        <w:t>one</w:t>
      </w:r>
      <w:r w:rsidRPr="002909BF">
        <w:t xml:space="preserve"> dose of 0.5 mL to be injected via the </w:t>
      </w:r>
      <w:r w:rsidR="009A0559" w:rsidRPr="002909BF">
        <w:t>intramuscular</w:t>
      </w:r>
      <w:r w:rsidRPr="002909BF">
        <w:t xml:space="preserve"> route in a 3-dose schedule (</w:t>
      </w:r>
      <w:r w:rsidR="005F0EFF" w:rsidRPr="002909BF">
        <w:t xml:space="preserve">at </w:t>
      </w:r>
      <w:r w:rsidRPr="002909BF">
        <w:t>D</w:t>
      </w:r>
      <w:r w:rsidR="007A3A23" w:rsidRPr="002909BF">
        <w:t>ay</w:t>
      </w:r>
      <w:r w:rsidR="005F0EFF" w:rsidRPr="002909BF">
        <w:t>s</w:t>
      </w:r>
      <w:r w:rsidR="007A3A23" w:rsidRPr="002909BF">
        <w:t xml:space="preserve"> </w:t>
      </w:r>
      <w:r w:rsidRPr="002909BF">
        <w:t xml:space="preserve">0, 7, and </w:t>
      </w:r>
      <w:r w:rsidR="007A3A23" w:rsidRPr="002909BF">
        <w:t>28</w:t>
      </w:r>
      <w:r w:rsidRPr="002909BF">
        <w:t>):</w:t>
      </w:r>
    </w:p>
    <w:p w14:paraId="2B4604BA" w14:textId="085C303D" w:rsidR="00E251B9" w:rsidRPr="002909BF" w:rsidRDefault="00EB184F" w:rsidP="003F0DC7">
      <w:pPr>
        <w:pStyle w:val="ListBullet"/>
      </w:pPr>
      <w:r w:rsidRPr="002909BF">
        <w:t xml:space="preserve">sponsor’s </w:t>
      </w:r>
      <w:proofErr w:type="spellStart"/>
      <w:r w:rsidR="00E251B9" w:rsidRPr="002909BF">
        <w:t>VRVg</w:t>
      </w:r>
      <w:proofErr w:type="spellEnd"/>
      <w:r w:rsidR="00E251B9" w:rsidRPr="002909BF">
        <w:t xml:space="preserve"> </w:t>
      </w:r>
      <w:r w:rsidR="00C10917" w:rsidRPr="002909BF">
        <w:t>is</w:t>
      </w:r>
      <w:r w:rsidR="00E251B9" w:rsidRPr="002909BF">
        <w:t xml:space="preserve"> 2.5 IU</w:t>
      </w:r>
      <w:r w:rsidR="00C10917" w:rsidRPr="002909BF">
        <w:t xml:space="preserve"> or higher</w:t>
      </w:r>
    </w:p>
    <w:p w14:paraId="3830271E" w14:textId="2B90C6D2" w:rsidR="00E251B9" w:rsidRPr="002909BF" w:rsidRDefault="00EB184F" w:rsidP="003F0DC7">
      <w:pPr>
        <w:pStyle w:val="ListBullet"/>
      </w:pPr>
      <w:r w:rsidRPr="002909BF">
        <w:t xml:space="preserve">sponsor’s </w:t>
      </w:r>
      <w:r w:rsidR="00E251B9" w:rsidRPr="002909BF">
        <w:t>PVRV (</w:t>
      </w:r>
      <w:proofErr w:type="spellStart"/>
      <w:r w:rsidR="00E251B9" w:rsidRPr="002909BF">
        <w:t>Verorab</w:t>
      </w:r>
      <w:proofErr w:type="spellEnd"/>
      <w:r w:rsidR="00E251B9" w:rsidRPr="002909BF">
        <w:t xml:space="preserve">) </w:t>
      </w:r>
      <w:r w:rsidR="00C10917" w:rsidRPr="002909BF">
        <w:t>is</w:t>
      </w:r>
      <w:r w:rsidR="00E251B9" w:rsidRPr="002909BF">
        <w:t xml:space="preserve"> 2.5 IU</w:t>
      </w:r>
      <w:r w:rsidR="00C10917" w:rsidRPr="002909BF">
        <w:t xml:space="preserve"> or higher</w:t>
      </w:r>
    </w:p>
    <w:p w14:paraId="2A5971AE" w14:textId="3A5FFF13" w:rsidR="00E251B9" w:rsidRPr="002909BF" w:rsidRDefault="00E251B9" w:rsidP="003F0DC7">
      <w:r w:rsidRPr="002909BF">
        <w:t>All subjects received 3 vaccinations for primary series (</w:t>
      </w:r>
      <w:r w:rsidR="005F0EFF" w:rsidRPr="002909BF">
        <w:t xml:space="preserve">at </w:t>
      </w:r>
      <w:r w:rsidRPr="002909BF">
        <w:t>D</w:t>
      </w:r>
      <w:r w:rsidR="007A3A23" w:rsidRPr="002909BF">
        <w:t>ay</w:t>
      </w:r>
      <w:r w:rsidR="005F0EFF" w:rsidRPr="002909BF">
        <w:t>s</w:t>
      </w:r>
      <w:r w:rsidR="007A3A23" w:rsidRPr="002909BF">
        <w:t xml:space="preserve"> </w:t>
      </w:r>
      <w:r w:rsidRPr="002909BF">
        <w:t>0, 7</w:t>
      </w:r>
      <w:r w:rsidR="005F0EFF" w:rsidRPr="002909BF">
        <w:t xml:space="preserve"> and </w:t>
      </w:r>
      <w:r w:rsidRPr="002909BF">
        <w:t xml:space="preserve">28), and a booster vaccination at 12 months after the first vaccination. Subjects randomised to </w:t>
      </w:r>
      <w:proofErr w:type="spellStart"/>
      <w:r w:rsidRPr="002909BF">
        <w:t>VRVg</w:t>
      </w:r>
      <w:proofErr w:type="spellEnd"/>
      <w:r w:rsidRPr="002909BF">
        <w:t xml:space="preserve"> for the primary series received </w:t>
      </w:r>
      <w:proofErr w:type="spellStart"/>
      <w:r w:rsidRPr="002909BF">
        <w:t>VRVg</w:t>
      </w:r>
      <w:proofErr w:type="spellEnd"/>
      <w:r w:rsidRPr="002909BF">
        <w:t xml:space="preserve"> for the booster vaccination, and subjects randomised in the </w:t>
      </w:r>
      <w:proofErr w:type="spellStart"/>
      <w:r w:rsidRPr="002909BF">
        <w:t>Verorab</w:t>
      </w:r>
      <w:proofErr w:type="spellEnd"/>
      <w:r w:rsidRPr="002909BF">
        <w:t xml:space="preserve"> PVRV group for the primary series were randomised to boosting with either </w:t>
      </w:r>
      <w:proofErr w:type="spellStart"/>
      <w:r w:rsidRPr="002909BF">
        <w:t>VRVg</w:t>
      </w:r>
      <w:proofErr w:type="spellEnd"/>
      <w:r w:rsidRPr="002909BF">
        <w:t xml:space="preserve"> or </w:t>
      </w:r>
      <w:proofErr w:type="spellStart"/>
      <w:r w:rsidRPr="002909BF">
        <w:t>Verorab</w:t>
      </w:r>
      <w:proofErr w:type="spellEnd"/>
      <w:r w:rsidRPr="002909BF">
        <w:t xml:space="preserve"> PVRV.</w:t>
      </w:r>
    </w:p>
    <w:p w14:paraId="446AFA80" w14:textId="7688ADB5" w:rsidR="00E251B9" w:rsidRPr="002909BF" w:rsidRDefault="005F0EFF" w:rsidP="003F0DC7">
      <w:r w:rsidRPr="002909BF">
        <w:t xml:space="preserve">There are </w:t>
      </w:r>
      <w:r w:rsidR="00E251B9" w:rsidRPr="002909BF">
        <w:t>385 subjects randomised in the study at V</w:t>
      </w:r>
      <w:r w:rsidR="007056E0">
        <w:t xml:space="preserve">isit </w:t>
      </w:r>
      <w:r w:rsidR="00E251B9" w:rsidRPr="002909BF">
        <w:t>01</w:t>
      </w:r>
      <w:r w:rsidRPr="002909BF">
        <w:t xml:space="preserve">. Of these, </w:t>
      </w:r>
      <w:r w:rsidR="00E251B9" w:rsidRPr="002909BF">
        <w:t xml:space="preserve">257 </w:t>
      </w:r>
      <w:r w:rsidRPr="002909BF">
        <w:t xml:space="preserve">are in </w:t>
      </w:r>
      <w:proofErr w:type="spellStart"/>
      <w:r w:rsidR="00E251B9" w:rsidRPr="002909BF">
        <w:t>VRVg</w:t>
      </w:r>
      <w:proofErr w:type="spellEnd"/>
      <w:r w:rsidR="00E251B9" w:rsidRPr="002909BF">
        <w:t xml:space="preserve"> </w:t>
      </w:r>
      <w:r w:rsidRPr="002909BF">
        <w:t xml:space="preserve">group </w:t>
      </w:r>
      <w:r w:rsidR="00E251B9" w:rsidRPr="002909BF">
        <w:t>and 128</w:t>
      </w:r>
      <w:r w:rsidRPr="002909BF">
        <w:t xml:space="preserve"> are in the </w:t>
      </w:r>
      <w:proofErr w:type="spellStart"/>
      <w:r w:rsidR="00E251B9" w:rsidRPr="002909BF">
        <w:t>Verorab</w:t>
      </w:r>
      <w:proofErr w:type="spellEnd"/>
      <w:r w:rsidR="00E251B9" w:rsidRPr="002909BF">
        <w:t xml:space="preserve"> PVRV</w:t>
      </w:r>
      <w:r w:rsidRPr="002909BF">
        <w:t xml:space="preserve"> group</w:t>
      </w:r>
      <w:r w:rsidR="00E251B9" w:rsidRPr="002909BF">
        <w:t xml:space="preserve">. Among the 384 subjects included in the </w:t>
      </w:r>
      <w:r w:rsidR="00B524BF" w:rsidRPr="002909BF">
        <w:t>full analysis set</w:t>
      </w:r>
      <w:r w:rsidR="00E251B9" w:rsidRPr="002909BF">
        <w:t xml:space="preserve"> at D</w:t>
      </w:r>
      <w:r w:rsidRPr="002909BF">
        <w:t>ay </w:t>
      </w:r>
      <w:r w:rsidR="00E251B9" w:rsidRPr="002909BF">
        <w:t>0, 377 (98.2%) were present at V</w:t>
      </w:r>
      <w:r w:rsidR="007056E0">
        <w:t xml:space="preserve">isit </w:t>
      </w:r>
      <w:r w:rsidR="00E251B9" w:rsidRPr="002909BF">
        <w:t>05</w:t>
      </w:r>
      <w:r w:rsidR="00D74DC5" w:rsidRPr="002909BF">
        <w:t xml:space="preserve"> (</w:t>
      </w:r>
      <w:r w:rsidR="0075406F" w:rsidRPr="002909BF">
        <w:t>that is,</w:t>
      </w:r>
      <w:r w:rsidR="00E251B9" w:rsidRPr="002909BF">
        <w:t xml:space="preserve"> 28 days after the third injection</w:t>
      </w:r>
      <w:r w:rsidR="00D74DC5" w:rsidRPr="002909BF">
        <w:t>)</w:t>
      </w:r>
      <w:r w:rsidR="00E251B9" w:rsidRPr="002909BF">
        <w:t>, and 347</w:t>
      </w:r>
      <w:r w:rsidRPr="002909BF">
        <w:t> </w:t>
      </w:r>
      <w:r w:rsidR="00E251B9" w:rsidRPr="002909BF">
        <w:t>subjects (90.7%) completed the follow-up post-primary series and the booster part of the study.</w:t>
      </w:r>
    </w:p>
    <w:p w14:paraId="5718D59E" w14:textId="6EB43D2E" w:rsidR="00E251B9" w:rsidRPr="002909BF" w:rsidRDefault="00E251B9" w:rsidP="003F0DC7">
      <w:r w:rsidRPr="002909BF">
        <w:t>In both groups, the average age of subjects was 39.0</w:t>
      </w:r>
      <w:r w:rsidR="00976CFF" w:rsidRPr="002909BF">
        <w:t xml:space="preserve"> years old</w:t>
      </w:r>
      <w:r w:rsidRPr="002909BF">
        <w:t xml:space="preserve">, and </w:t>
      </w:r>
      <w:r w:rsidR="00976CFF" w:rsidRPr="002909BF">
        <w:t xml:space="preserve">more than </w:t>
      </w:r>
      <w:r w:rsidRPr="002909BF">
        <w:t>91% of subjects were White with slightly more female than male subjects in both groups. Baseline characteristics were similar between groups. Similar baseline characteristics were observed in subjects who participated in the booster part of the study.</w:t>
      </w:r>
    </w:p>
    <w:p w14:paraId="6EC7F56C" w14:textId="098CD15D" w:rsidR="00E251B9" w:rsidRPr="002909BF" w:rsidRDefault="00E251B9" w:rsidP="003F0DC7">
      <w:r w:rsidRPr="002909BF">
        <w:t xml:space="preserve">Non-inferiority would be demonstrated if the lower limit of the 95% CI of the difference between the two proportions (proportion for </w:t>
      </w:r>
      <w:proofErr w:type="spellStart"/>
      <w:r w:rsidRPr="002909BF">
        <w:t>VRVg</w:t>
      </w:r>
      <w:proofErr w:type="spellEnd"/>
      <w:r w:rsidRPr="002909BF">
        <w:t xml:space="preserve"> minus the proportion for PVRV) at Day</w:t>
      </w:r>
      <w:r w:rsidR="00976CFF" w:rsidRPr="002909BF">
        <w:t> </w:t>
      </w:r>
      <w:r w:rsidRPr="002909BF">
        <w:t xml:space="preserve">42 were </w:t>
      </w:r>
      <w:r w:rsidR="00E146DE" w:rsidRPr="002909BF">
        <w:t>more than</w:t>
      </w:r>
      <w:r w:rsidRPr="002909BF">
        <w:t xml:space="preserve"> -5%.</w:t>
      </w:r>
    </w:p>
    <w:p w14:paraId="081F2713" w14:textId="77777777" w:rsidR="00E251B9" w:rsidRPr="002909BF" w:rsidRDefault="00E251B9" w:rsidP="00C1787D">
      <w:pPr>
        <w:pStyle w:val="Heading6"/>
      </w:pPr>
      <w:r w:rsidRPr="002909BF">
        <w:t>Magnitude of the treatment effect and its clinical significance</w:t>
      </w:r>
    </w:p>
    <w:p w14:paraId="2E2ABAAD" w14:textId="00BE29A5" w:rsidR="00E251B9" w:rsidRPr="002909BF" w:rsidRDefault="00E251B9" w:rsidP="003F0DC7">
      <w:r w:rsidRPr="002909BF">
        <w:t xml:space="preserve">All subjects in the </w:t>
      </w:r>
      <w:r w:rsidR="00B524BF" w:rsidRPr="002909BF">
        <w:t>per-protocol analysis set</w:t>
      </w:r>
      <w:r w:rsidRPr="002909BF">
        <w:t xml:space="preserve"> were naïve to rabies prior to vaccination. At D</w:t>
      </w:r>
      <w:r w:rsidR="00976CFF" w:rsidRPr="002909BF">
        <w:t xml:space="preserve">ay </w:t>
      </w:r>
      <w:r w:rsidRPr="002909BF">
        <w:t>42</w:t>
      </w:r>
      <w:r w:rsidR="00976CFF" w:rsidRPr="002909BF">
        <w:t xml:space="preserve"> (</w:t>
      </w:r>
      <w:r w:rsidR="0075406F" w:rsidRPr="002909BF">
        <w:t>that is,</w:t>
      </w:r>
      <w:r w:rsidRPr="002909BF">
        <w:t xml:space="preserve"> 14</w:t>
      </w:r>
      <w:r w:rsidR="00976CFF" w:rsidRPr="002909BF">
        <w:t> </w:t>
      </w:r>
      <w:r w:rsidRPr="002909BF">
        <w:t>days after the third vaccine injection</w:t>
      </w:r>
      <w:r w:rsidR="00976CFF" w:rsidRPr="002909BF">
        <w:t>)</w:t>
      </w:r>
      <w:r w:rsidRPr="002909BF">
        <w:t xml:space="preserve">, all but one subject in the </w:t>
      </w:r>
      <w:proofErr w:type="spellStart"/>
      <w:r w:rsidRPr="002909BF">
        <w:t>VRVg</w:t>
      </w:r>
      <w:proofErr w:type="spellEnd"/>
      <w:r w:rsidRPr="002909BF">
        <w:t xml:space="preserve"> group had a </w:t>
      </w:r>
      <w:r w:rsidR="00620A3F" w:rsidRPr="002909BF">
        <w:t>rabies virus neutralising antibody</w:t>
      </w:r>
      <w:r w:rsidRPr="002909BF">
        <w:t xml:space="preserve"> titre </w:t>
      </w:r>
      <w:r w:rsidR="00C10917" w:rsidRPr="002909BF">
        <w:t xml:space="preserve">of </w:t>
      </w:r>
      <w:r w:rsidRPr="002909BF">
        <w:t>0.5 IU/</w:t>
      </w:r>
      <w:r w:rsidR="0008332E">
        <w:t>mL</w:t>
      </w:r>
      <w:r w:rsidR="00C10917" w:rsidRPr="002909BF">
        <w:t xml:space="preserve"> or higher</w:t>
      </w:r>
      <w:r w:rsidRPr="002909BF">
        <w:t xml:space="preserve">. In the </w:t>
      </w:r>
      <w:r w:rsidR="00B524BF" w:rsidRPr="002909BF">
        <w:t>per</w:t>
      </w:r>
      <w:r w:rsidR="00B524BF" w:rsidRPr="002909BF">
        <w:noBreakHyphen/>
        <w:t>protocol analysis set</w:t>
      </w:r>
      <w:r w:rsidRPr="002909BF">
        <w:t xml:space="preserve">, the non-inferiority of the immunogenicity of </w:t>
      </w:r>
      <w:proofErr w:type="spellStart"/>
      <w:r w:rsidRPr="002909BF">
        <w:t>VRVg</w:t>
      </w:r>
      <w:proofErr w:type="spellEnd"/>
      <w:r w:rsidRPr="002909BF">
        <w:t xml:space="preserve"> </w:t>
      </w:r>
      <w:r w:rsidR="0075406F" w:rsidRPr="002909BF">
        <w:t>versus</w:t>
      </w:r>
      <w:r w:rsidRPr="002909BF">
        <w:t xml:space="preserve"> that of </w:t>
      </w:r>
      <w:proofErr w:type="spellStart"/>
      <w:r w:rsidRPr="002909BF">
        <w:t>Verorab</w:t>
      </w:r>
      <w:proofErr w:type="spellEnd"/>
      <w:r w:rsidRPr="002909BF">
        <w:t xml:space="preserve"> PVRV in terms of proportion of subjects with </w:t>
      </w:r>
      <w:proofErr w:type="gramStart"/>
      <w:r w:rsidRPr="002909BF">
        <w:t>an</w:t>
      </w:r>
      <w:proofErr w:type="gramEnd"/>
      <w:r w:rsidRPr="002909BF">
        <w:t xml:space="preserve"> </w:t>
      </w:r>
      <w:r w:rsidR="00620A3F" w:rsidRPr="002909BF">
        <w:t>rabies virus neutralising antibody</w:t>
      </w:r>
      <w:r w:rsidRPr="002909BF">
        <w:t xml:space="preserve"> titre </w:t>
      </w:r>
      <w:r w:rsidR="00C10917" w:rsidRPr="002909BF">
        <w:t xml:space="preserve">of </w:t>
      </w:r>
      <w:r w:rsidRPr="002909BF">
        <w:t>0.5</w:t>
      </w:r>
      <w:r w:rsidR="00976CFF" w:rsidRPr="002909BF">
        <w:t> </w:t>
      </w:r>
      <w:r w:rsidRPr="002909BF">
        <w:t>IU/</w:t>
      </w:r>
      <w:r w:rsidR="0008332E">
        <w:t>mL</w:t>
      </w:r>
      <w:r w:rsidRPr="002909BF">
        <w:t xml:space="preserve"> </w:t>
      </w:r>
      <w:r w:rsidR="00C10917" w:rsidRPr="002909BF">
        <w:t xml:space="preserve">or higher </w:t>
      </w:r>
      <w:r w:rsidRPr="002909BF">
        <w:t>was demonstrated (</w:t>
      </w:r>
      <w:r w:rsidR="00976CFF" w:rsidRPr="002909BF">
        <w:t xml:space="preserve">see </w:t>
      </w:r>
      <w:r w:rsidRPr="002909BF">
        <w:fldChar w:fldCharType="begin"/>
      </w:r>
      <w:r w:rsidRPr="002909BF">
        <w:instrText xml:space="preserve"> REF _Ref106374433 \h  \* MERGEFORMAT </w:instrText>
      </w:r>
      <w:r w:rsidRPr="002909BF">
        <w:fldChar w:fldCharType="separate"/>
      </w:r>
      <w:r w:rsidR="00056FD1" w:rsidRPr="002909BF">
        <w:t xml:space="preserve">Table </w:t>
      </w:r>
      <w:r w:rsidR="00056FD1">
        <w:t>6</w:t>
      </w:r>
      <w:r w:rsidRPr="002909BF">
        <w:fldChar w:fldCharType="end"/>
      </w:r>
      <w:r w:rsidR="00976CFF" w:rsidRPr="002909BF">
        <w:t xml:space="preserve"> below</w:t>
      </w:r>
      <w:r w:rsidRPr="002909BF">
        <w:t xml:space="preserve">). This conclusion was confirmed in the </w:t>
      </w:r>
      <w:r w:rsidR="00B524BF" w:rsidRPr="002909BF">
        <w:t>full analysis set</w:t>
      </w:r>
      <w:r w:rsidRPr="002909BF">
        <w:t>.</w:t>
      </w:r>
    </w:p>
    <w:p w14:paraId="38485038" w14:textId="239EBC3D" w:rsidR="00E251B9" w:rsidRDefault="00E251B9" w:rsidP="00B02A93">
      <w:pPr>
        <w:pStyle w:val="TableTitle"/>
      </w:pPr>
      <w:bookmarkStart w:id="63" w:name="_Ref106374433"/>
      <w:r w:rsidRPr="002909BF">
        <w:t xml:space="preserve">Table </w:t>
      </w:r>
      <w:fldSimple w:instr=" SEQ Table \* ARABIC ">
        <w:r w:rsidR="00056FD1">
          <w:rPr>
            <w:noProof/>
          </w:rPr>
          <w:t>6</w:t>
        </w:r>
      </w:fldSimple>
      <w:bookmarkEnd w:id="63"/>
      <w:r w:rsidR="00976CFF" w:rsidRPr="002909BF">
        <w:t>:</w:t>
      </w:r>
      <w:r w:rsidRPr="002909BF">
        <w:t xml:space="preserve"> Study 36</w:t>
      </w:r>
      <w:r w:rsidR="00D83BC0">
        <w:t xml:space="preserve"> (</w:t>
      </w:r>
      <w:r w:rsidR="00D83BC0" w:rsidRPr="00D83BC0">
        <w:t>VRV01</w:t>
      </w:r>
      <w:r w:rsidR="00D83BC0">
        <w:t xml:space="preserve"> trial)</w:t>
      </w:r>
      <w:r w:rsidRPr="002909BF">
        <w:t xml:space="preserve"> Primary endpoint results</w:t>
      </w:r>
      <w:r w:rsidR="0019042F">
        <w:t xml:space="preserve"> -</w:t>
      </w:r>
      <w:r w:rsidRPr="002909BF">
        <w:t xml:space="preserve"> </w:t>
      </w:r>
      <w:r w:rsidR="0019042F">
        <w:t>p</w:t>
      </w:r>
      <w:r w:rsidRPr="002909BF">
        <w:t xml:space="preserve">roportions of subjects with </w:t>
      </w:r>
      <w:r w:rsidR="00620A3F" w:rsidRPr="002909BF">
        <w:t>rabies virus neutralising antibody</w:t>
      </w:r>
      <w:r w:rsidRPr="002909BF">
        <w:t xml:space="preserve"> titre </w:t>
      </w:r>
      <w:r w:rsidR="00C10917" w:rsidRPr="002909BF">
        <w:t>of</w:t>
      </w:r>
      <w:r w:rsidRPr="002909BF">
        <w:t xml:space="preserve"> 0.5 IU/mL</w:t>
      </w:r>
      <w:r w:rsidR="00C10917" w:rsidRPr="002909BF">
        <w:t xml:space="preserve"> or higher</w:t>
      </w:r>
      <w:r w:rsidRPr="002909BF">
        <w:t xml:space="preserve"> at D</w:t>
      </w:r>
      <w:r w:rsidR="0019042F">
        <w:t>ay</w:t>
      </w:r>
      <w:r w:rsidR="00B02A93">
        <w:t> </w:t>
      </w:r>
      <w:r w:rsidRPr="002909BF">
        <w:t xml:space="preserve">42 according to vaccine group - </w:t>
      </w:r>
      <w:r w:rsidR="00620A3F" w:rsidRPr="002909BF">
        <w:t>rapid fluorescent focus inhibition test</w:t>
      </w:r>
      <w:r w:rsidRPr="002909BF">
        <w:t xml:space="preserve"> </w:t>
      </w:r>
      <w:r w:rsidR="009B7DC3" w:rsidRPr="002909BF">
        <w:t>(</w:t>
      </w:r>
      <w:r w:rsidR="0019042F" w:rsidRPr="002909BF">
        <w:t>per</w:t>
      </w:r>
      <w:r w:rsidR="00B02A93">
        <w:noBreakHyphen/>
      </w:r>
      <w:r w:rsidR="0019042F" w:rsidRPr="002909BF">
        <w:t>protocol analysis set</w:t>
      </w:r>
      <w:r w:rsidR="009B7DC3" w:rsidRPr="002909BF">
        <w:t>)</w:t>
      </w:r>
    </w:p>
    <w:p w14:paraId="1A3E3FED" w14:textId="469A4464" w:rsidR="0019042F" w:rsidRDefault="0019042F" w:rsidP="00B02A93">
      <w:r>
        <w:rPr>
          <w:noProof/>
          <w:lang w:val="en-GB" w:eastAsia="en-GB"/>
        </w:rPr>
        <w:drawing>
          <wp:inline distT="0" distB="0" distL="0" distR="0" wp14:anchorId="719E0936" wp14:editId="368F6F9A">
            <wp:extent cx="5400040" cy="1838325"/>
            <wp:effectExtent l="0" t="0" r="0" b="9525"/>
            <wp:docPr id="4" name="Picture 4" descr="Table 6: Study 36 (VRV01 trial) Primary endpoint results - proportions of subjects with rabies virus neutralising antibody titre of 0.5 IU/mL or higher at Day 42 according to vaccine group - rapid fluorescent focus inhibition test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6: Study 36 (VRV01 trial) Primary endpoint results - proportions of subjects with rabies virus neutralising antibody titre of 0.5 IU/mL or higher at Day 42 according to vaccine group - rapid fluorescent focus inhibition test (per protocol analysis set)"/>
                    <pic:cNvPicPr/>
                  </pic:nvPicPr>
                  <pic:blipFill>
                    <a:blip r:embed="rId23"/>
                    <a:stretch>
                      <a:fillRect/>
                    </a:stretch>
                  </pic:blipFill>
                  <pic:spPr>
                    <a:xfrm>
                      <a:off x="0" y="0"/>
                      <a:ext cx="5400040" cy="1838325"/>
                    </a:xfrm>
                    <a:prstGeom prst="rect">
                      <a:avLst/>
                    </a:prstGeom>
                  </pic:spPr>
                </pic:pic>
              </a:graphicData>
            </a:graphic>
          </wp:inline>
        </w:drawing>
      </w:r>
    </w:p>
    <w:p w14:paraId="781B4363" w14:textId="126B630E" w:rsidR="0019042F" w:rsidRPr="00B02A93" w:rsidRDefault="0019042F" w:rsidP="00B02A93">
      <w:pPr>
        <w:pStyle w:val="TableDescription"/>
      </w:pPr>
      <w:r w:rsidRPr="00B02A93">
        <w:t>Abbreviations: CI = confidence interval; D = Day; N = total number of subjects; n = number of subjects experiencing the endpoint; RVNA = rabies virus neutralising antibody</w:t>
      </w:r>
      <w:r w:rsidR="00B02A93">
        <w:t xml:space="preserve">; </w:t>
      </w:r>
      <w:proofErr w:type="spellStart"/>
      <w:r w:rsidR="00B02A93">
        <w:t>VRVg</w:t>
      </w:r>
      <w:proofErr w:type="spellEnd"/>
      <w:r w:rsidR="00B02A93">
        <w:t xml:space="preserve"> = </w:t>
      </w:r>
      <w:r w:rsidR="00B02A93" w:rsidRPr="00B02A93">
        <w:t>serum free purified Vero rabies vaccine</w:t>
      </w:r>
      <w:r w:rsidR="00B02A93">
        <w:t>.</w:t>
      </w:r>
    </w:p>
    <w:p w14:paraId="7388D7F0" w14:textId="3CC3CD4E" w:rsidR="0019042F" w:rsidRPr="00B02A93" w:rsidRDefault="0019042F" w:rsidP="00B02A93">
      <w:pPr>
        <w:pStyle w:val="TableDescription"/>
      </w:pPr>
      <w:r w:rsidRPr="00B02A93">
        <w:lastRenderedPageBreak/>
        <w:t>* Available with a valid result</w:t>
      </w:r>
    </w:p>
    <w:p w14:paraId="493A5839" w14:textId="3E15F4DC" w:rsidR="00E251B9" w:rsidRPr="00B02A93" w:rsidRDefault="0019042F" w:rsidP="00B02A93">
      <w:pPr>
        <w:pStyle w:val="TableDescription"/>
      </w:pPr>
      <w:r w:rsidRPr="00B02A93">
        <w:t xml:space="preserve">† </w:t>
      </w:r>
      <w:r w:rsidR="00B02A93">
        <w:t>N</w:t>
      </w:r>
      <w:r w:rsidRPr="00B02A93">
        <w:t xml:space="preserve">on-inferiority concluded if the low limit of the two-sided 95% CI of the difference </w:t>
      </w:r>
      <w:r w:rsidR="00B02A93" w:rsidRPr="00B02A93">
        <w:t xml:space="preserve">serum free purified Vero rabies vaccine </w:t>
      </w:r>
      <w:proofErr w:type="spellStart"/>
      <w:r w:rsidRPr="00B02A93">
        <w:t>Verorab</w:t>
      </w:r>
      <w:proofErr w:type="spellEnd"/>
      <w:r w:rsidRPr="00B02A93">
        <w:t xml:space="preserve"> for proportion of subjects with </w:t>
      </w:r>
      <w:r w:rsidR="00B02A93" w:rsidRPr="00B02A93">
        <w:t>rabies virus neutralising antibody titre</w:t>
      </w:r>
      <w:r w:rsidR="00B02A93">
        <w:t xml:space="preserve"> of </w:t>
      </w:r>
      <w:r w:rsidRPr="00B02A93">
        <w:t>0.5</w:t>
      </w:r>
      <w:r w:rsidR="00B02A93">
        <w:t> </w:t>
      </w:r>
      <w:r w:rsidRPr="00B02A93">
        <w:t xml:space="preserve">IU/mL </w:t>
      </w:r>
      <w:r w:rsidR="00B02A93">
        <w:t xml:space="preserve">or higher is more than </w:t>
      </w:r>
      <w:r w:rsidRPr="00B02A93">
        <w:t>-5.0%</w:t>
      </w:r>
      <w:r w:rsidR="00B02A93">
        <w:t>.</w:t>
      </w:r>
    </w:p>
    <w:p w14:paraId="7DC53A33" w14:textId="3738493C" w:rsidR="00C1787D" w:rsidRPr="002909BF" w:rsidRDefault="00E251B9" w:rsidP="00C1787D">
      <w:pPr>
        <w:pStyle w:val="Heading7"/>
        <w:rPr>
          <w:sz w:val="22"/>
          <w:szCs w:val="28"/>
          <w:lang w:eastAsia="ja-JP"/>
        </w:rPr>
      </w:pPr>
      <w:r w:rsidRPr="002909BF">
        <w:rPr>
          <w:sz w:val="22"/>
          <w:szCs w:val="28"/>
          <w:lang w:eastAsia="ja-JP"/>
        </w:rPr>
        <w:t xml:space="preserve">Antibody </w:t>
      </w:r>
      <w:r w:rsidR="009E481A" w:rsidRPr="002909BF">
        <w:rPr>
          <w:sz w:val="22"/>
          <w:szCs w:val="28"/>
          <w:lang w:eastAsia="ja-JP"/>
        </w:rPr>
        <w:t xml:space="preserve">persistence </w:t>
      </w:r>
      <w:r w:rsidRPr="002909BF">
        <w:rPr>
          <w:sz w:val="22"/>
          <w:szCs w:val="28"/>
          <w:lang w:eastAsia="ja-JP"/>
        </w:rPr>
        <w:t>6 and 12 months after the first injection</w:t>
      </w:r>
    </w:p>
    <w:p w14:paraId="5E57616A" w14:textId="5E3BF692" w:rsidR="00E251B9" w:rsidRPr="002909BF" w:rsidRDefault="00E251B9" w:rsidP="003F0DC7">
      <w:r w:rsidRPr="002909BF">
        <w:t xml:space="preserve">In the </w:t>
      </w:r>
      <w:r w:rsidR="00B524BF" w:rsidRPr="002909BF">
        <w:t>full analysis set</w:t>
      </w:r>
      <w:r w:rsidRPr="002909BF">
        <w:t xml:space="preserve">, at 6 months after the first vaccine injection, </w:t>
      </w:r>
      <w:r w:rsidR="00620A3F" w:rsidRPr="002909BF">
        <w:t>rabies virus neutralising antibody</w:t>
      </w:r>
      <w:r w:rsidRPr="002909BF">
        <w:t xml:space="preserve"> titres decreased in both vaccine groups to values close to 1</w:t>
      </w:r>
      <w:r w:rsidR="00976CFF" w:rsidRPr="002909BF">
        <w:t> </w:t>
      </w:r>
      <w:r w:rsidRPr="002909BF">
        <w:t>IU/</w:t>
      </w:r>
      <w:proofErr w:type="spellStart"/>
      <w:r w:rsidR="0008332E">
        <w:t>mL</w:t>
      </w:r>
      <w:r w:rsidRPr="002909BF">
        <w:t>.</w:t>
      </w:r>
      <w:proofErr w:type="spellEnd"/>
      <w:r w:rsidRPr="002909BF">
        <w:t xml:space="preserve"> The decrease in GMTs tended to be greater for </w:t>
      </w:r>
      <w:r w:rsidR="00976CFF" w:rsidRPr="002909BF">
        <w:t xml:space="preserve">the </w:t>
      </w:r>
      <w:proofErr w:type="spellStart"/>
      <w:r w:rsidRPr="002909BF">
        <w:t>VRVg</w:t>
      </w:r>
      <w:proofErr w:type="spellEnd"/>
      <w:r w:rsidRPr="002909BF">
        <w:t xml:space="preserve"> </w:t>
      </w:r>
      <w:r w:rsidR="00976CFF" w:rsidRPr="002909BF">
        <w:t xml:space="preserve">group </w:t>
      </w:r>
      <w:r w:rsidRPr="002909BF">
        <w:t xml:space="preserve">than in for </w:t>
      </w:r>
      <w:r w:rsidR="00976CFF" w:rsidRPr="002909BF">
        <w:t xml:space="preserve">the </w:t>
      </w:r>
      <w:proofErr w:type="spellStart"/>
      <w:r w:rsidRPr="002909BF">
        <w:t>Verorab</w:t>
      </w:r>
      <w:proofErr w:type="spellEnd"/>
      <w:r w:rsidRPr="002909BF">
        <w:t xml:space="preserve"> PVRV</w:t>
      </w:r>
      <w:r w:rsidR="00976CFF" w:rsidRPr="002909BF">
        <w:t xml:space="preserve"> group</w:t>
      </w:r>
      <w:r w:rsidRPr="002909BF">
        <w:t>. GMTs further decreased up to 12</w:t>
      </w:r>
      <w:r w:rsidR="00976CFF" w:rsidRPr="002909BF">
        <w:t> </w:t>
      </w:r>
      <w:r w:rsidRPr="002909BF">
        <w:t>months after the first vaccine injection and were lower than 1 IU/</w:t>
      </w:r>
      <w:r w:rsidR="0008332E">
        <w:t>mL</w:t>
      </w:r>
      <w:r w:rsidRPr="002909BF">
        <w:t xml:space="preserve"> in both groups before the booster vaccination. At least 90% of subjects still had detectable </w:t>
      </w:r>
      <w:r w:rsidR="00620A3F" w:rsidRPr="002909BF">
        <w:t>rabies virus neutralising antibody</w:t>
      </w:r>
      <w:r w:rsidRPr="002909BF">
        <w:t xml:space="preserve"> titres at 12</w:t>
      </w:r>
      <w:r w:rsidR="00976CFF" w:rsidRPr="002909BF">
        <w:t> </w:t>
      </w:r>
      <w:r w:rsidRPr="002909BF">
        <w:t>months (</w:t>
      </w:r>
      <w:r w:rsidR="00620A3F" w:rsidRPr="002909BF">
        <w:t>rabies virus neutralising antibody</w:t>
      </w:r>
      <w:r w:rsidRPr="002909BF">
        <w:t xml:space="preserve"> titres </w:t>
      </w:r>
      <w:r w:rsidR="00C10917" w:rsidRPr="002909BF">
        <w:t xml:space="preserve">of </w:t>
      </w:r>
      <w:r w:rsidRPr="002909BF">
        <w:t>0.5 IU/</w:t>
      </w:r>
      <w:r w:rsidR="0008332E">
        <w:t>mL</w:t>
      </w:r>
      <w:r w:rsidRPr="002909BF">
        <w:t xml:space="preserve"> </w:t>
      </w:r>
      <w:r w:rsidR="00C10917" w:rsidRPr="002909BF">
        <w:t xml:space="preserve">or higher </w:t>
      </w:r>
      <w:r w:rsidRPr="002909BF">
        <w:t xml:space="preserve">were present in 77.5% for </w:t>
      </w:r>
      <w:r w:rsidR="00976CFF" w:rsidRPr="002909BF">
        <w:t xml:space="preserve">the </w:t>
      </w:r>
      <w:proofErr w:type="spellStart"/>
      <w:r w:rsidRPr="002909BF">
        <w:t>VRVg</w:t>
      </w:r>
      <w:proofErr w:type="spellEnd"/>
      <w:r w:rsidRPr="002909BF">
        <w:t xml:space="preserve"> </w:t>
      </w:r>
      <w:r w:rsidR="00976CFF" w:rsidRPr="002909BF">
        <w:t xml:space="preserve">group </w:t>
      </w:r>
      <w:r w:rsidRPr="002909BF">
        <w:t xml:space="preserve">and 80.5% for </w:t>
      </w:r>
      <w:r w:rsidR="003820EF" w:rsidRPr="002909BF">
        <w:t xml:space="preserve">the </w:t>
      </w:r>
      <w:proofErr w:type="spellStart"/>
      <w:r w:rsidRPr="002909BF">
        <w:t>Verorab</w:t>
      </w:r>
      <w:proofErr w:type="spellEnd"/>
      <w:r w:rsidRPr="002909BF">
        <w:t xml:space="preserve"> PVRV</w:t>
      </w:r>
      <w:r w:rsidR="003820EF" w:rsidRPr="002909BF">
        <w:t xml:space="preserve"> group</w:t>
      </w:r>
      <w:r w:rsidRPr="002909BF">
        <w:t>).</w:t>
      </w:r>
    </w:p>
    <w:p w14:paraId="3C5C36D9" w14:textId="77777777" w:rsidR="00C1787D" w:rsidRPr="002909BF" w:rsidRDefault="00E251B9" w:rsidP="00C1787D">
      <w:pPr>
        <w:pStyle w:val="Heading7"/>
        <w:rPr>
          <w:sz w:val="22"/>
          <w:szCs w:val="28"/>
          <w:lang w:eastAsia="ja-JP"/>
        </w:rPr>
      </w:pPr>
      <w:r w:rsidRPr="002909BF">
        <w:rPr>
          <w:sz w:val="22"/>
          <w:szCs w:val="28"/>
          <w:lang w:eastAsia="ja-JP"/>
        </w:rPr>
        <w:t>Booster</w:t>
      </w:r>
    </w:p>
    <w:p w14:paraId="59411020" w14:textId="2BD27985" w:rsidR="00E251B9" w:rsidRPr="002909BF" w:rsidRDefault="00E251B9" w:rsidP="003F0DC7">
      <w:r w:rsidRPr="002909BF">
        <w:t xml:space="preserve">At 14 days after booster injection, all but </w:t>
      </w:r>
      <w:r w:rsidR="003820EF" w:rsidRPr="002909BF">
        <w:t>one</w:t>
      </w:r>
      <w:r w:rsidRPr="002909BF">
        <w:t xml:space="preserve"> subject included in the </w:t>
      </w:r>
      <w:proofErr w:type="spellStart"/>
      <w:r w:rsidRPr="002909BF">
        <w:t>VRVg</w:t>
      </w:r>
      <w:proofErr w:type="spellEnd"/>
      <w:r w:rsidRPr="002909BF">
        <w:t xml:space="preserve"> group had protective levels of </w:t>
      </w:r>
      <w:r w:rsidR="00620A3F" w:rsidRPr="002909BF">
        <w:t>rabies virus neutralising antibody</w:t>
      </w:r>
      <w:r w:rsidRPr="002909BF">
        <w:t xml:space="preserve"> titres. For </w:t>
      </w:r>
      <w:proofErr w:type="spellStart"/>
      <w:r w:rsidRPr="002909BF">
        <w:t>VRVg</w:t>
      </w:r>
      <w:proofErr w:type="spellEnd"/>
      <w:r w:rsidRPr="002909BF">
        <w:t>, GMTs increased to 27.1</w:t>
      </w:r>
      <w:r w:rsidR="003820EF" w:rsidRPr="002909BF">
        <w:t> </w:t>
      </w:r>
      <w:r w:rsidRPr="002909BF">
        <w:t>IU/</w:t>
      </w:r>
      <w:r w:rsidR="0008332E">
        <w:t>mL</w:t>
      </w:r>
      <w:r w:rsidRPr="002909BF">
        <w:t xml:space="preserve">, for </w:t>
      </w:r>
      <w:proofErr w:type="spellStart"/>
      <w:r w:rsidRPr="002909BF">
        <w:t>Verorab</w:t>
      </w:r>
      <w:proofErr w:type="spellEnd"/>
      <w:r w:rsidR="00AA1A08">
        <w:t xml:space="preserve"> </w:t>
      </w:r>
      <w:proofErr w:type="spellStart"/>
      <w:r w:rsidRPr="002909BF">
        <w:t>VRVg</w:t>
      </w:r>
      <w:proofErr w:type="spellEnd"/>
      <w:r w:rsidRPr="002909BF">
        <w:t xml:space="preserve"> GMTs increased to 28.4 IU/</w:t>
      </w:r>
      <w:r w:rsidR="0008332E">
        <w:t>mL</w:t>
      </w:r>
      <w:r w:rsidRPr="002909BF">
        <w:t xml:space="preserve"> and for </w:t>
      </w:r>
      <w:proofErr w:type="spellStart"/>
      <w:r w:rsidRPr="002909BF">
        <w:t>Verorab</w:t>
      </w:r>
      <w:proofErr w:type="spellEnd"/>
      <w:r w:rsidRPr="002909BF">
        <w:t>, GMTs increased to 22.5</w:t>
      </w:r>
      <w:r w:rsidR="003820EF" w:rsidRPr="002909BF">
        <w:t> </w:t>
      </w:r>
      <w:r w:rsidRPr="002909BF">
        <w:t>IU/</w:t>
      </w:r>
      <w:proofErr w:type="spellStart"/>
      <w:r w:rsidR="0008332E">
        <w:t>mL</w:t>
      </w:r>
      <w:r w:rsidRPr="002909BF">
        <w:t>.</w:t>
      </w:r>
      <w:proofErr w:type="spellEnd"/>
      <w:r w:rsidRPr="002909BF">
        <w:t xml:space="preserve"> Regardless of the vaccine received, a strong immune response to booster vaccination was observed.</w:t>
      </w:r>
    </w:p>
    <w:p w14:paraId="301475B1" w14:textId="7E48D027" w:rsidR="00E251B9" w:rsidRPr="002909BF" w:rsidRDefault="00E251B9" w:rsidP="00C1787D">
      <w:pPr>
        <w:pStyle w:val="Heading5"/>
      </w:pPr>
      <w:bookmarkStart w:id="64" w:name="_Hlk128491409"/>
      <w:bookmarkStart w:id="65" w:name="_Ref106783594"/>
      <w:r w:rsidRPr="002909BF">
        <w:t xml:space="preserve">Study VAJ00001 </w:t>
      </w:r>
      <w:bookmarkEnd w:id="64"/>
      <w:r w:rsidRPr="002909BF">
        <w:t xml:space="preserve">using </w:t>
      </w:r>
      <w:r w:rsidR="00EB184F" w:rsidRPr="002909BF">
        <w:t>sponsor’s</w:t>
      </w:r>
      <w:r w:rsidRPr="002909BF">
        <w:t xml:space="preserve"> </w:t>
      </w:r>
      <w:r w:rsidR="00B505D4" w:rsidRPr="002909BF">
        <w:t>purified Vero cell rabies vaccine</w:t>
      </w:r>
      <w:r w:rsidRPr="002909BF">
        <w:t xml:space="preserve"> given </w:t>
      </w:r>
      <w:r w:rsidR="009A0559" w:rsidRPr="002909BF">
        <w:t>intramuscular</w:t>
      </w:r>
      <w:r w:rsidR="009E481A">
        <w:t>ly</w:t>
      </w:r>
      <w:r w:rsidRPr="002909BF">
        <w:t xml:space="preserve"> or </w:t>
      </w:r>
      <w:r w:rsidR="009E481A" w:rsidRPr="002909BF">
        <w:t>intradermal</w:t>
      </w:r>
      <w:r w:rsidR="009E481A">
        <w:t>ly</w:t>
      </w:r>
      <w:r w:rsidRPr="002909BF">
        <w:t xml:space="preserve"> for </w:t>
      </w:r>
      <w:r w:rsidR="00374F70" w:rsidRPr="002909BF">
        <w:t xml:space="preserve">pre-exposure </w:t>
      </w:r>
      <w:r w:rsidRPr="002909BF">
        <w:t xml:space="preserve">and simulated </w:t>
      </w:r>
      <w:r w:rsidR="00172645" w:rsidRPr="002909BF">
        <w:t>post</w:t>
      </w:r>
      <w:r w:rsidR="002909BF" w:rsidRPr="002909BF">
        <w:noBreakHyphen/>
      </w:r>
      <w:r w:rsidR="00172645" w:rsidRPr="002909BF">
        <w:t>exposure prophylaxis</w:t>
      </w:r>
      <w:bookmarkEnd w:id="65"/>
    </w:p>
    <w:p w14:paraId="7239DFFA" w14:textId="5675DDA7" w:rsidR="00E251B9" w:rsidRPr="002909BF" w:rsidRDefault="003820EF" w:rsidP="003F0DC7">
      <w:r w:rsidRPr="002909BF">
        <w:t xml:space="preserve">Study VAJ00001 is a </w:t>
      </w:r>
      <w:r w:rsidR="00E251B9" w:rsidRPr="002909BF">
        <w:t>Phase III, multicentre, open</w:t>
      </w:r>
      <w:r w:rsidR="009B7DC3" w:rsidRPr="002909BF">
        <w:t xml:space="preserve"> </w:t>
      </w:r>
      <w:r w:rsidR="00E251B9" w:rsidRPr="002909BF">
        <w:t>label, randomised, controlled non</w:t>
      </w:r>
      <w:r w:rsidRPr="002909BF">
        <w:noBreakHyphen/>
      </w:r>
      <w:r w:rsidR="00E251B9" w:rsidRPr="002909BF">
        <w:t xml:space="preserve">inferiority trial to evaluate the immunogenicity and safety of </w:t>
      </w:r>
      <w:proofErr w:type="spellStart"/>
      <w:r w:rsidR="00E251B9" w:rsidRPr="002909BF">
        <w:t>Imovax</w:t>
      </w:r>
      <w:proofErr w:type="spellEnd"/>
      <w:r w:rsidR="00E251B9" w:rsidRPr="002909BF">
        <w:t xml:space="preserve"> and </w:t>
      </w:r>
      <w:proofErr w:type="spellStart"/>
      <w:r w:rsidR="00E251B9" w:rsidRPr="002909BF">
        <w:t>Verorab</w:t>
      </w:r>
      <w:proofErr w:type="spellEnd"/>
      <w:r w:rsidR="00E251B9" w:rsidRPr="002909BF">
        <w:t xml:space="preserve"> rabies vaccine in </w:t>
      </w:r>
      <w:r w:rsidR="00374F70" w:rsidRPr="002909BF">
        <w:t>pre-exposure prophylaxis (</w:t>
      </w:r>
      <w:r w:rsidR="00E251B9" w:rsidRPr="002909BF">
        <w:t>PrEP</w:t>
      </w:r>
      <w:r w:rsidR="00374F70" w:rsidRPr="002909BF">
        <w:t>)</w:t>
      </w:r>
      <w:r w:rsidR="00E251B9" w:rsidRPr="002909BF">
        <w:t xml:space="preserve"> and simulated (at one year) PEP regimens in 570 healthy patients aged 2</w:t>
      </w:r>
      <w:r w:rsidRPr="002909BF">
        <w:t xml:space="preserve"> </w:t>
      </w:r>
      <w:r w:rsidR="00E251B9" w:rsidRPr="002909BF">
        <w:t>y</w:t>
      </w:r>
      <w:r w:rsidRPr="002909BF">
        <w:t>ears</w:t>
      </w:r>
      <w:r w:rsidR="00561784" w:rsidRPr="002909BF">
        <w:t xml:space="preserve"> and older</w:t>
      </w:r>
      <w:r w:rsidR="00E251B9" w:rsidRPr="002909BF">
        <w:t>.</w:t>
      </w:r>
    </w:p>
    <w:p w14:paraId="31526F89" w14:textId="166A2AC8" w:rsidR="00E251B9" w:rsidRPr="002909BF" w:rsidRDefault="00E251B9" w:rsidP="003F0DC7">
      <w:r w:rsidRPr="002909BF">
        <w:t>The study was conducted in the Philippines (endemic rabies area) between 26</w:t>
      </w:r>
      <w:r w:rsidR="003820EF" w:rsidRPr="002909BF">
        <w:t> </w:t>
      </w:r>
      <w:r w:rsidRPr="002909BF">
        <w:t>Sep</w:t>
      </w:r>
      <w:r w:rsidR="003820EF" w:rsidRPr="002909BF">
        <w:t>tember </w:t>
      </w:r>
      <w:r w:rsidRPr="002909BF">
        <w:t>2018 and 8</w:t>
      </w:r>
      <w:r w:rsidR="003820EF" w:rsidRPr="002909BF">
        <w:t> </w:t>
      </w:r>
      <w:r w:rsidRPr="002909BF">
        <w:t>Apr</w:t>
      </w:r>
      <w:r w:rsidR="003820EF" w:rsidRPr="002909BF">
        <w:t>il </w:t>
      </w:r>
      <w:r w:rsidRPr="002909BF">
        <w:t>2020.</w:t>
      </w:r>
    </w:p>
    <w:p w14:paraId="428D9C08" w14:textId="52A895F2" w:rsidR="00E251B9" w:rsidRPr="002909BF" w:rsidRDefault="00E251B9" w:rsidP="003F0DC7">
      <w:r w:rsidRPr="002909BF">
        <w:t xml:space="preserve">Only the secondary objectives are relevant to </w:t>
      </w:r>
      <w:proofErr w:type="spellStart"/>
      <w:r w:rsidRPr="002909BF">
        <w:t>Verorab</w:t>
      </w:r>
      <w:proofErr w:type="spellEnd"/>
      <w:r w:rsidRPr="002909BF">
        <w:t xml:space="preserve">: </w:t>
      </w:r>
      <w:proofErr w:type="spellStart"/>
      <w:r w:rsidRPr="002909BF">
        <w:t>PrEP</w:t>
      </w:r>
      <w:proofErr w:type="spellEnd"/>
      <w:r w:rsidRPr="002909BF">
        <w:t xml:space="preserve"> immunogenicity (at </w:t>
      </w:r>
      <w:r w:rsidR="0075406F" w:rsidRPr="002909BF">
        <w:t>Baseline</w:t>
      </w:r>
      <w:r w:rsidRPr="002909BF">
        <w:t xml:space="preserve"> and 14</w:t>
      </w:r>
      <w:r w:rsidR="003820EF" w:rsidRPr="002909BF">
        <w:t xml:space="preserve"> days </w:t>
      </w:r>
      <w:r w:rsidRPr="002909BF">
        <w:t xml:space="preserve">after vaccination), antibody persistence (6 months and </w:t>
      </w:r>
      <w:r w:rsidR="003820EF" w:rsidRPr="002909BF">
        <w:t>one</w:t>
      </w:r>
      <w:r w:rsidRPr="002909BF">
        <w:t xml:space="preserve"> year after the last PrEP vaccination, and simulated PEP immunogenicity. Only descriptive analyses were conducted for the secondary results.</w:t>
      </w:r>
    </w:p>
    <w:p w14:paraId="0D594AFB" w14:textId="77777777" w:rsidR="00C1787D" w:rsidRPr="002909BF" w:rsidRDefault="00E251B9" w:rsidP="00C1787D">
      <w:pPr>
        <w:pStyle w:val="Heading7"/>
        <w:rPr>
          <w:sz w:val="22"/>
          <w:szCs w:val="28"/>
        </w:rPr>
      </w:pPr>
      <w:r w:rsidRPr="002909BF">
        <w:rPr>
          <w:sz w:val="22"/>
          <w:szCs w:val="28"/>
        </w:rPr>
        <w:t>Products</w:t>
      </w:r>
    </w:p>
    <w:p w14:paraId="4DA7C0C3" w14:textId="6B649948" w:rsidR="00E251B9" w:rsidRPr="002909BF" w:rsidRDefault="00E251B9" w:rsidP="003F0DC7">
      <w:r w:rsidRPr="002909BF">
        <w:t>Patients were allocated to one of the following vaccines with the Wistar Pitman Moore rabies strain WI38-1503-3M:</w:t>
      </w:r>
    </w:p>
    <w:p w14:paraId="379ADB39" w14:textId="02A58B2D" w:rsidR="00E251B9" w:rsidRPr="002909BF" w:rsidRDefault="00E251B9" w:rsidP="003F0DC7">
      <w:pPr>
        <w:pStyle w:val="ListBullet"/>
      </w:pPr>
      <w:proofErr w:type="spellStart"/>
      <w:r w:rsidRPr="002909BF">
        <w:t>Imovax</w:t>
      </w:r>
      <w:proofErr w:type="spellEnd"/>
      <w:r w:rsidRPr="002909BF">
        <w:t xml:space="preserve"> </w:t>
      </w:r>
      <w:r w:rsidR="00B524BF" w:rsidRPr="002909BF">
        <w:t>human diploid cell vaccine</w:t>
      </w:r>
    </w:p>
    <w:p w14:paraId="4AD8E024" w14:textId="52B8B60D" w:rsidR="00E251B9" w:rsidRPr="002909BF" w:rsidRDefault="00E251B9" w:rsidP="003F0DC7">
      <w:pPr>
        <w:pStyle w:val="ListBullet"/>
      </w:pPr>
      <w:proofErr w:type="spellStart"/>
      <w:r w:rsidRPr="002909BF">
        <w:t>Verorab</w:t>
      </w:r>
      <w:proofErr w:type="spellEnd"/>
      <w:r w:rsidRPr="002909BF">
        <w:t xml:space="preserve"> </w:t>
      </w:r>
      <w:r w:rsidR="00B505D4" w:rsidRPr="002909BF">
        <w:t>purified Vero cell rabies vaccine</w:t>
      </w:r>
    </w:p>
    <w:p w14:paraId="2D90A8A5" w14:textId="77777777" w:rsidR="00C1787D" w:rsidRPr="002909BF" w:rsidRDefault="00E251B9" w:rsidP="00C1787D">
      <w:pPr>
        <w:pStyle w:val="Heading7"/>
        <w:rPr>
          <w:sz w:val="22"/>
          <w:szCs w:val="28"/>
        </w:rPr>
      </w:pPr>
      <w:r w:rsidRPr="002909BF">
        <w:rPr>
          <w:sz w:val="22"/>
          <w:szCs w:val="28"/>
        </w:rPr>
        <w:t>Allocation</w:t>
      </w:r>
    </w:p>
    <w:p w14:paraId="7D1B9506" w14:textId="30E4E34A" w:rsidR="00E251B9" w:rsidRPr="002909BF" w:rsidRDefault="003820EF" w:rsidP="003F0DC7">
      <w:r w:rsidRPr="002909BF">
        <w:t xml:space="preserve">There are </w:t>
      </w:r>
      <w:r w:rsidR="00E251B9" w:rsidRPr="002909BF">
        <w:t>570 healthy subjects aged 2</w:t>
      </w:r>
      <w:r w:rsidRPr="002909BF">
        <w:t xml:space="preserve"> </w:t>
      </w:r>
      <w:r w:rsidR="00E251B9" w:rsidRPr="002909BF">
        <w:t>y</w:t>
      </w:r>
      <w:r w:rsidRPr="002909BF">
        <w:t>ears and older</w:t>
      </w:r>
      <w:r w:rsidR="00E251B9" w:rsidRPr="002909BF">
        <w:t xml:space="preserve"> randomised with an allocation ratio of </w:t>
      </w:r>
      <w:proofErr w:type="gramStart"/>
      <w:r w:rsidR="00E251B9" w:rsidRPr="002909BF">
        <w:t>6:3:2:2:2</w:t>
      </w:r>
      <w:proofErr w:type="gramEnd"/>
      <w:r w:rsidR="00E251B9" w:rsidRPr="002909BF">
        <w:t xml:space="preserve"> to 5 groups:</w:t>
      </w:r>
    </w:p>
    <w:p w14:paraId="2631001E" w14:textId="448CAE2B" w:rsidR="00E251B9" w:rsidRPr="002909BF" w:rsidRDefault="00E251B9" w:rsidP="003F0DC7">
      <w:pPr>
        <w:pStyle w:val="ListBullet"/>
      </w:pPr>
      <w:r w:rsidRPr="002909BF">
        <w:t>Group 1</w:t>
      </w:r>
      <w:r w:rsidR="00683800" w:rsidRPr="002909BF">
        <w:t xml:space="preserve"> received </w:t>
      </w:r>
      <w:r w:rsidR="003820EF" w:rsidRPr="002909BF">
        <w:t>one</w:t>
      </w:r>
      <w:r w:rsidRPr="002909BF">
        <w:t xml:space="preserve"> </w:t>
      </w:r>
      <w:r w:rsidR="009A0559" w:rsidRPr="002909BF">
        <w:t>intramuscular</w:t>
      </w:r>
      <w:r w:rsidRPr="002909BF">
        <w:t xml:space="preserve"> dose of </w:t>
      </w:r>
      <w:proofErr w:type="spellStart"/>
      <w:r w:rsidRPr="002909BF">
        <w:t>Imovax</w:t>
      </w:r>
      <w:proofErr w:type="spellEnd"/>
      <w:r w:rsidRPr="002909BF">
        <w:t xml:space="preserve"> </w:t>
      </w:r>
      <w:r w:rsidR="00B524BF" w:rsidRPr="002909BF">
        <w:t>human diploid cell vaccine</w:t>
      </w:r>
      <w:r w:rsidRPr="002909BF">
        <w:t xml:space="preserve"> (1.0</w:t>
      </w:r>
      <w:r w:rsidR="004E238E">
        <w:t> </w:t>
      </w:r>
      <w:r w:rsidRPr="002909BF">
        <w:t>m</w:t>
      </w:r>
      <w:r w:rsidR="004E238E">
        <w:t>L</w:t>
      </w:r>
      <w:r w:rsidRPr="002909BF">
        <w:t>) on D</w:t>
      </w:r>
      <w:r w:rsidR="003820EF" w:rsidRPr="002909BF">
        <w:t xml:space="preserve">ays </w:t>
      </w:r>
      <w:r w:rsidRPr="002909BF">
        <w:t xml:space="preserve">0 and 7 (short </w:t>
      </w:r>
      <w:r w:rsidR="00B524BF" w:rsidRPr="002909BF">
        <w:t>human diploid cell vaccine</w:t>
      </w:r>
      <w:r w:rsidRPr="002909BF">
        <w:t xml:space="preserve"> </w:t>
      </w:r>
      <w:r w:rsidR="009A0559" w:rsidRPr="002909BF">
        <w:t>intramuscular</w:t>
      </w:r>
      <w:r w:rsidRPr="002909BF">
        <w:t xml:space="preserve"> PrEP regimen)</w:t>
      </w:r>
    </w:p>
    <w:p w14:paraId="40DE38F8" w14:textId="51D0DF26" w:rsidR="00E251B9" w:rsidRPr="002909BF" w:rsidRDefault="00E251B9" w:rsidP="003F0DC7">
      <w:pPr>
        <w:pStyle w:val="ListBullet"/>
      </w:pPr>
      <w:r w:rsidRPr="002909BF">
        <w:t>Group 2</w:t>
      </w:r>
      <w:r w:rsidR="00683800" w:rsidRPr="002909BF">
        <w:t xml:space="preserve"> received </w:t>
      </w:r>
      <w:r w:rsidR="003820EF" w:rsidRPr="002909BF">
        <w:t>one</w:t>
      </w:r>
      <w:r w:rsidRPr="002909BF">
        <w:t xml:space="preserve"> </w:t>
      </w:r>
      <w:r w:rsidR="009A0559" w:rsidRPr="002909BF">
        <w:t>intramuscular</w:t>
      </w:r>
      <w:r w:rsidRPr="002909BF">
        <w:t xml:space="preserve"> dose of </w:t>
      </w:r>
      <w:proofErr w:type="spellStart"/>
      <w:r w:rsidRPr="002909BF">
        <w:t>Imovax</w:t>
      </w:r>
      <w:proofErr w:type="spellEnd"/>
      <w:r w:rsidRPr="002909BF">
        <w:t xml:space="preserve"> </w:t>
      </w:r>
      <w:r w:rsidR="00B524BF" w:rsidRPr="002909BF">
        <w:t>human diploid cell vaccine</w:t>
      </w:r>
      <w:r w:rsidRPr="002909BF">
        <w:t xml:space="preserve"> (1.0</w:t>
      </w:r>
      <w:r w:rsidR="004E238E">
        <w:t> </w:t>
      </w:r>
      <w:r w:rsidRPr="002909BF">
        <w:t>m</w:t>
      </w:r>
      <w:r w:rsidR="004E238E">
        <w:t>L</w:t>
      </w:r>
      <w:r w:rsidRPr="002909BF">
        <w:t>) on D</w:t>
      </w:r>
      <w:r w:rsidR="00683800" w:rsidRPr="002909BF">
        <w:t xml:space="preserve">ays </w:t>
      </w:r>
      <w:r w:rsidRPr="002909BF">
        <w:t>0, 7 and 21 (reference)</w:t>
      </w:r>
    </w:p>
    <w:p w14:paraId="283C532B" w14:textId="34D3E244" w:rsidR="00E251B9" w:rsidRPr="002909BF" w:rsidRDefault="00E251B9" w:rsidP="003F0DC7">
      <w:pPr>
        <w:pStyle w:val="ListBullet"/>
      </w:pPr>
      <w:r w:rsidRPr="002909BF">
        <w:lastRenderedPageBreak/>
        <w:t>Group 3</w:t>
      </w:r>
      <w:r w:rsidR="00683800" w:rsidRPr="002909BF">
        <w:t xml:space="preserve"> received </w:t>
      </w:r>
      <w:r w:rsidRPr="002909BF">
        <w:t xml:space="preserve">2 </w:t>
      </w:r>
      <w:r w:rsidR="009A0559" w:rsidRPr="002909BF">
        <w:t>intradermal</w:t>
      </w:r>
      <w:r w:rsidRPr="002909BF">
        <w:t xml:space="preserve"> doses of </w:t>
      </w:r>
      <w:proofErr w:type="spellStart"/>
      <w:r w:rsidRPr="002909BF">
        <w:t>Imovax</w:t>
      </w:r>
      <w:proofErr w:type="spellEnd"/>
      <w:r w:rsidRPr="002909BF">
        <w:t xml:space="preserve"> </w:t>
      </w:r>
      <w:r w:rsidR="00B524BF" w:rsidRPr="002909BF">
        <w:t>human diploid cell vaccine</w:t>
      </w:r>
      <w:r w:rsidRPr="002909BF">
        <w:t xml:space="preserve"> (2</w:t>
      </w:r>
      <w:r w:rsidR="004E238E">
        <w:t> </w:t>
      </w:r>
      <w:r w:rsidRPr="002909BF">
        <w:t>x</w:t>
      </w:r>
      <w:r w:rsidR="004E238E">
        <w:t> </w:t>
      </w:r>
      <w:r w:rsidRPr="002909BF">
        <w:t>0.1</w:t>
      </w:r>
      <w:r w:rsidR="004E238E">
        <w:t> </w:t>
      </w:r>
      <w:r w:rsidRPr="002909BF">
        <w:t>m</w:t>
      </w:r>
      <w:r w:rsidR="004E238E">
        <w:t>L</w:t>
      </w:r>
      <w:r w:rsidRPr="002909BF">
        <w:t>) on D</w:t>
      </w:r>
      <w:r w:rsidR="00683800" w:rsidRPr="002909BF">
        <w:t xml:space="preserve">ays </w:t>
      </w:r>
      <w:r w:rsidRPr="002909BF">
        <w:t xml:space="preserve">0 and 7 (short </w:t>
      </w:r>
      <w:r w:rsidR="00B524BF" w:rsidRPr="002909BF">
        <w:t>human diploid cell vaccine</w:t>
      </w:r>
      <w:r w:rsidRPr="002909BF">
        <w:t xml:space="preserve"> </w:t>
      </w:r>
      <w:r w:rsidR="009A0559" w:rsidRPr="002909BF">
        <w:t>intradermal</w:t>
      </w:r>
      <w:r w:rsidRPr="002909BF">
        <w:t xml:space="preserve"> PrEP regimen)</w:t>
      </w:r>
    </w:p>
    <w:p w14:paraId="2D4F60A1" w14:textId="3F9C0812" w:rsidR="00E251B9" w:rsidRPr="002909BF" w:rsidRDefault="00E251B9" w:rsidP="003F0DC7">
      <w:pPr>
        <w:pStyle w:val="ListBullet"/>
      </w:pPr>
      <w:r w:rsidRPr="002909BF">
        <w:t>Group 4</w:t>
      </w:r>
      <w:r w:rsidR="00683800" w:rsidRPr="002909BF">
        <w:t xml:space="preserve"> received one</w:t>
      </w:r>
      <w:r w:rsidRPr="002909BF">
        <w:t xml:space="preserve"> </w:t>
      </w:r>
      <w:r w:rsidR="009A0559" w:rsidRPr="002909BF">
        <w:t>intramuscular</w:t>
      </w:r>
      <w:r w:rsidRPr="002909BF">
        <w:t xml:space="preserve"> dose of </w:t>
      </w:r>
      <w:proofErr w:type="spellStart"/>
      <w:r w:rsidRPr="002909BF">
        <w:t>Verorab</w:t>
      </w:r>
      <w:proofErr w:type="spellEnd"/>
      <w:r w:rsidRPr="002909BF">
        <w:t xml:space="preserve"> PVRV (0.5 m</w:t>
      </w:r>
      <w:r w:rsidR="004E238E">
        <w:t>L</w:t>
      </w:r>
      <w:r w:rsidRPr="002909BF">
        <w:t>) on D</w:t>
      </w:r>
      <w:r w:rsidR="00683800" w:rsidRPr="002909BF">
        <w:t xml:space="preserve">ays </w:t>
      </w:r>
      <w:r w:rsidRPr="002909BF">
        <w:t xml:space="preserve">0 and 7 (short PVRV </w:t>
      </w:r>
      <w:r w:rsidR="009A0559" w:rsidRPr="002909BF">
        <w:t>intramuscular</w:t>
      </w:r>
      <w:r w:rsidRPr="002909BF">
        <w:t xml:space="preserve"> PrEP regimen)</w:t>
      </w:r>
    </w:p>
    <w:p w14:paraId="593AC951" w14:textId="5FEE6B4F" w:rsidR="00E251B9" w:rsidRPr="002909BF" w:rsidRDefault="00E251B9" w:rsidP="003F0DC7">
      <w:pPr>
        <w:pStyle w:val="ListBullet"/>
      </w:pPr>
      <w:r w:rsidRPr="002909BF">
        <w:t>Group 5</w:t>
      </w:r>
      <w:r w:rsidR="00683800" w:rsidRPr="002909BF">
        <w:t xml:space="preserve"> received </w:t>
      </w:r>
      <w:r w:rsidRPr="002909BF">
        <w:t xml:space="preserve">2 </w:t>
      </w:r>
      <w:r w:rsidR="009A0559" w:rsidRPr="002909BF">
        <w:t>intradermal</w:t>
      </w:r>
      <w:r w:rsidRPr="002909BF">
        <w:t xml:space="preserve"> doses of </w:t>
      </w:r>
      <w:proofErr w:type="spellStart"/>
      <w:r w:rsidRPr="002909BF">
        <w:t>Verorab</w:t>
      </w:r>
      <w:proofErr w:type="spellEnd"/>
      <w:r w:rsidRPr="002909BF">
        <w:t xml:space="preserve"> PVRV (2</w:t>
      </w:r>
      <w:r w:rsidR="00683800" w:rsidRPr="002909BF">
        <w:t xml:space="preserve"> times </w:t>
      </w:r>
      <w:r w:rsidRPr="002909BF">
        <w:t>0.1 m</w:t>
      </w:r>
      <w:r w:rsidR="004E238E">
        <w:t>L</w:t>
      </w:r>
      <w:r w:rsidRPr="002909BF">
        <w:t>) on D</w:t>
      </w:r>
      <w:r w:rsidR="00683800" w:rsidRPr="002909BF">
        <w:t xml:space="preserve">ays </w:t>
      </w:r>
      <w:r w:rsidRPr="002909BF">
        <w:t>0 and</w:t>
      </w:r>
      <w:r w:rsidR="00683800" w:rsidRPr="002909BF">
        <w:t> </w:t>
      </w:r>
      <w:r w:rsidRPr="002909BF">
        <w:t xml:space="preserve">7 (short PVRV </w:t>
      </w:r>
      <w:r w:rsidR="009A0559" w:rsidRPr="002909BF">
        <w:t>intradermal</w:t>
      </w:r>
      <w:r w:rsidRPr="002909BF">
        <w:t xml:space="preserve"> PrEP regimen)</w:t>
      </w:r>
    </w:p>
    <w:p w14:paraId="6F0CE145" w14:textId="2E688432" w:rsidR="00C1787D" w:rsidRPr="002909BF" w:rsidRDefault="00683800" w:rsidP="00C1787D">
      <w:pPr>
        <w:pStyle w:val="Heading7"/>
        <w:rPr>
          <w:sz w:val="22"/>
          <w:szCs w:val="28"/>
        </w:rPr>
      </w:pPr>
      <w:r w:rsidRPr="002909BF">
        <w:rPr>
          <w:sz w:val="22"/>
          <w:szCs w:val="28"/>
        </w:rPr>
        <w:t>I</w:t>
      </w:r>
      <w:r w:rsidR="009A0559" w:rsidRPr="002909BF">
        <w:rPr>
          <w:sz w:val="22"/>
          <w:szCs w:val="28"/>
        </w:rPr>
        <w:t>ntradermal</w:t>
      </w:r>
      <w:r w:rsidR="00E251B9" w:rsidRPr="002909BF">
        <w:rPr>
          <w:sz w:val="22"/>
          <w:szCs w:val="28"/>
        </w:rPr>
        <w:t xml:space="preserve"> dosing</w:t>
      </w:r>
    </w:p>
    <w:p w14:paraId="3F4A178B" w14:textId="5897AE8F" w:rsidR="00E251B9" w:rsidRPr="002909BF" w:rsidRDefault="00683800" w:rsidP="003F0DC7">
      <w:r w:rsidRPr="002909BF">
        <w:t xml:space="preserve">One </w:t>
      </w:r>
      <w:r w:rsidR="009A0559" w:rsidRPr="002909BF">
        <w:t>intradermal</w:t>
      </w:r>
      <w:r w:rsidR="00E251B9" w:rsidRPr="002909BF">
        <w:t xml:space="preserve"> dose </w:t>
      </w:r>
      <w:r w:rsidRPr="002909BF">
        <w:t xml:space="preserve">is </w:t>
      </w:r>
      <w:r w:rsidR="00E251B9" w:rsidRPr="002909BF">
        <w:t>0.1 m</w:t>
      </w:r>
      <w:r w:rsidR="004E238E">
        <w:t>L</w:t>
      </w:r>
      <w:r w:rsidR="00E251B9" w:rsidRPr="002909BF">
        <w:t xml:space="preserve">, </w:t>
      </w:r>
      <w:r w:rsidR="0075406F" w:rsidRPr="002909BF">
        <w:t>that is</w:t>
      </w:r>
      <w:r w:rsidR="00E251B9" w:rsidRPr="002909BF">
        <w:t xml:space="preserve">, </w:t>
      </w:r>
      <w:r w:rsidRPr="002909BF">
        <w:t xml:space="preserve">one tenth </w:t>
      </w:r>
      <w:r w:rsidR="00E251B9" w:rsidRPr="002909BF">
        <w:t xml:space="preserve">of the </w:t>
      </w:r>
      <w:r w:rsidR="009A0559" w:rsidRPr="002909BF">
        <w:t>intramuscular</w:t>
      </w:r>
      <w:r w:rsidR="00E251B9" w:rsidRPr="002909BF">
        <w:t xml:space="preserve"> dose for </w:t>
      </w:r>
      <w:r w:rsidR="00B524BF" w:rsidRPr="002909BF">
        <w:t>human diploid cell vaccine</w:t>
      </w:r>
      <w:r w:rsidR="00E251B9" w:rsidRPr="002909BF">
        <w:t xml:space="preserve">, and </w:t>
      </w:r>
      <w:r w:rsidRPr="002909BF">
        <w:t xml:space="preserve">one fifth </w:t>
      </w:r>
      <w:r w:rsidR="00E251B9" w:rsidRPr="002909BF">
        <w:t xml:space="preserve">of the </w:t>
      </w:r>
      <w:r w:rsidR="009A0559" w:rsidRPr="002909BF">
        <w:t>intramuscular</w:t>
      </w:r>
      <w:r w:rsidR="00E251B9" w:rsidRPr="002909BF">
        <w:t xml:space="preserve"> dose for PVRV</w:t>
      </w:r>
      <w:r w:rsidRPr="002909BF">
        <w:t>.</w:t>
      </w:r>
    </w:p>
    <w:p w14:paraId="187617A6" w14:textId="42549972" w:rsidR="00E251B9" w:rsidRPr="002909BF" w:rsidRDefault="00E251B9" w:rsidP="003F0DC7">
      <w:r w:rsidRPr="002909BF">
        <w:t>One year after the last PrEP injection (Y</w:t>
      </w:r>
      <w:r w:rsidR="003248B0">
        <w:t xml:space="preserve">ear </w:t>
      </w:r>
      <w:r w:rsidRPr="002909BF">
        <w:t>1), subjects received a simulated PEP regimen for pre-immunised individuals consisting of 2 doses administered 3 days apart:</w:t>
      </w:r>
    </w:p>
    <w:p w14:paraId="05760137" w14:textId="587ABDAC" w:rsidR="00E251B9" w:rsidRPr="002909BF" w:rsidRDefault="00E251B9" w:rsidP="003F0DC7">
      <w:pPr>
        <w:pStyle w:val="ListBullet"/>
      </w:pPr>
      <w:r w:rsidRPr="002909BF">
        <w:t xml:space="preserve">Groups 1 and 2 received </w:t>
      </w:r>
      <w:r w:rsidR="00683800" w:rsidRPr="002909BF">
        <w:t>one</w:t>
      </w:r>
      <w:r w:rsidRPr="002909BF">
        <w:t xml:space="preserve"> </w:t>
      </w:r>
      <w:r w:rsidR="009A0559" w:rsidRPr="002909BF">
        <w:t>intramuscular</w:t>
      </w:r>
      <w:r w:rsidRPr="002909BF">
        <w:t xml:space="preserve"> dose of </w:t>
      </w:r>
      <w:proofErr w:type="spellStart"/>
      <w:r w:rsidRPr="002909BF">
        <w:t>Imovax</w:t>
      </w:r>
      <w:proofErr w:type="spellEnd"/>
      <w:r w:rsidRPr="002909BF">
        <w:t xml:space="preserve"> </w:t>
      </w:r>
      <w:r w:rsidR="00B524BF" w:rsidRPr="002909BF">
        <w:t>human diploid cell vaccine</w:t>
      </w:r>
      <w:r w:rsidRPr="002909BF">
        <w:t xml:space="preserve"> on Y</w:t>
      </w:r>
      <w:r w:rsidR="003248B0">
        <w:t xml:space="preserve">ear </w:t>
      </w:r>
      <w:r w:rsidRPr="002909BF">
        <w:t>1 and Y</w:t>
      </w:r>
      <w:r w:rsidR="003248B0">
        <w:t xml:space="preserve">ear </w:t>
      </w:r>
      <w:r w:rsidRPr="002909BF">
        <w:t>1</w:t>
      </w:r>
      <w:r w:rsidR="003248B0">
        <w:t xml:space="preserve"> plus </w:t>
      </w:r>
      <w:r w:rsidRPr="002909BF">
        <w:t>3 days</w:t>
      </w:r>
    </w:p>
    <w:p w14:paraId="1B196084" w14:textId="1150E450" w:rsidR="00E251B9" w:rsidRPr="002909BF" w:rsidRDefault="00E251B9" w:rsidP="003F0DC7">
      <w:pPr>
        <w:pStyle w:val="ListBullet"/>
      </w:pPr>
      <w:r w:rsidRPr="002909BF">
        <w:t xml:space="preserve">Group 3 received </w:t>
      </w:r>
      <w:r w:rsidR="00683800" w:rsidRPr="002909BF">
        <w:t>one</w:t>
      </w:r>
      <w:r w:rsidRPr="002909BF">
        <w:t xml:space="preserve"> </w:t>
      </w:r>
      <w:r w:rsidR="009A0559" w:rsidRPr="002909BF">
        <w:t>intradermal</w:t>
      </w:r>
      <w:r w:rsidRPr="002909BF">
        <w:t xml:space="preserve"> dose of </w:t>
      </w:r>
      <w:proofErr w:type="spellStart"/>
      <w:r w:rsidRPr="002909BF">
        <w:t>Imovax</w:t>
      </w:r>
      <w:proofErr w:type="spellEnd"/>
      <w:r w:rsidRPr="002909BF">
        <w:t xml:space="preserve"> </w:t>
      </w:r>
      <w:r w:rsidR="00B524BF" w:rsidRPr="002909BF">
        <w:t>human diploid cell vaccine</w:t>
      </w:r>
      <w:r w:rsidRPr="002909BF">
        <w:t xml:space="preserve"> on Y</w:t>
      </w:r>
      <w:r w:rsidR="003248B0">
        <w:t>ear </w:t>
      </w:r>
      <w:r w:rsidRPr="002909BF">
        <w:t>1 and Y</w:t>
      </w:r>
      <w:r w:rsidR="003248B0">
        <w:t xml:space="preserve">ear </w:t>
      </w:r>
      <w:r w:rsidRPr="002909BF">
        <w:t>1</w:t>
      </w:r>
      <w:r w:rsidR="003248B0">
        <w:t xml:space="preserve"> plus </w:t>
      </w:r>
      <w:r w:rsidRPr="002909BF">
        <w:t>3 days</w:t>
      </w:r>
    </w:p>
    <w:p w14:paraId="37987102" w14:textId="010A720F" w:rsidR="00E251B9" w:rsidRPr="002909BF" w:rsidRDefault="00E251B9" w:rsidP="003F0DC7">
      <w:pPr>
        <w:pStyle w:val="ListBullet"/>
      </w:pPr>
      <w:r w:rsidRPr="002909BF">
        <w:t xml:space="preserve">Group 4 received </w:t>
      </w:r>
      <w:r w:rsidR="00683800" w:rsidRPr="002909BF">
        <w:t>one</w:t>
      </w:r>
      <w:r w:rsidRPr="002909BF">
        <w:t xml:space="preserve"> </w:t>
      </w:r>
      <w:r w:rsidR="009A0559" w:rsidRPr="002909BF">
        <w:t>intramuscular</w:t>
      </w:r>
      <w:r w:rsidRPr="002909BF">
        <w:t xml:space="preserve"> dose of </w:t>
      </w:r>
      <w:proofErr w:type="spellStart"/>
      <w:r w:rsidRPr="002909BF">
        <w:t>Verorab</w:t>
      </w:r>
      <w:proofErr w:type="spellEnd"/>
      <w:r w:rsidRPr="002909BF">
        <w:t xml:space="preserve"> PVRV on Y</w:t>
      </w:r>
      <w:r w:rsidR="003248B0">
        <w:t xml:space="preserve">ear </w:t>
      </w:r>
      <w:r w:rsidRPr="002909BF">
        <w:t>1 and Y</w:t>
      </w:r>
      <w:r w:rsidR="003248B0">
        <w:t xml:space="preserve">ear </w:t>
      </w:r>
      <w:r w:rsidRPr="002909BF">
        <w:t>1</w:t>
      </w:r>
      <w:r w:rsidR="003248B0">
        <w:t xml:space="preserve"> plus </w:t>
      </w:r>
      <w:r w:rsidRPr="002909BF">
        <w:t>3</w:t>
      </w:r>
      <w:r w:rsidR="003248B0">
        <w:t> </w:t>
      </w:r>
      <w:r w:rsidRPr="002909BF">
        <w:t>days</w:t>
      </w:r>
    </w:p>
    <w:p w14:paraId="6E343762" w14:textId="19D56290" w:rsidR="00E251B9" w:rsidRPr="002909BF" w:rsidRDefault="00E251B9" w:rsidP="003F0DC7">
      <w:pPr>
        <w:pStyle w:val="ListBullet"/>
      </w:pPr>
      <w:r w:rsidRPr="002909BF">
        <w:t xml:space="preserve">Group 5 received </w:t>
      </w:r>
      <w:r w:rsidR="00683800" w:rsidRPr="002909BF">
        <w:t>one</w:t>
      </w:r>
      <w:r w:rsidRPr="002909BF">
        <w:t xml:space="preserve"> </w:t>
      </w:r>
      <w:r w:rsidR="009A0559" w:rsidRPr="002909BF">
        <w:t>intradermal</w:t>
      </w:r>
      <w:r w:rsidRPr="002909BF">
        <w:t xml:space="preserve"> dose of </w:t>
      </w:r>
      <w:proofErr w:type="spellStart"/>
      <w:r w:rsidRPr="002909BF">
        <w:t>Verorab</w:t>
      </w:r>
      <w:proofErr w:type="spellEnd"/>
      <w:r w:rsidRPr="002909BF">
        <w:t xml:space="preserve"> PVRV on Y</w:t>
      </w:r>
      <w:r w:rsidR="003248B0">
        <w:t xml:space="preserve">ear </w:t>
      </w:r>
      <w:r w:rsidRPr="002909BF">
        <w:t>1 and Y</w:t>
      </w:r>
      <w:r w:rsidR="003248B0">
        <w:t xml:space="preserve">ear </w:t>
      </w:r>
      <w:r w:rsidRPr="002909BF">
        <w:t>1</w:t>
      </w:r>
      <w:r w:rsidR="003248B0">
        <w:t xml:space="preserve"> plus </w:t>
      </w:r>
      <w:r w:rsidRPr="002909BF">
        <w:t>3</w:t>
      </w:r>
      <w:r w:rsidR="003248B0">
        <w:t> </w:t>
      </w:r>
      <w:r w:rsidRPr="002909BF">
        <w:t>days</w:t>
      </w:r>
    </w:p>
    <w:p w14:paraId="643DACC0" w14:textId="67517B97" w:rsidR="00E251B9" w:rsidRPr="002909BF" w:rsidRDefault="00E251B9" w:rsidP="003F0DC7">
      <w:r w:rsidRPr="002909BF">
        <w:t xml:space="preserve">All the 570 randomised subjects were included in the PrEP </w:t>
      </w:r>
      <w:r w:rsidR="00B524BF" w:rsidRPr="002909BF">
        <w:t>full analysis set</w:t>
      </w:r>
      <w:r w:rsidRPr="002909BF">
        <w:t xml:space="preserve"> and in the PrEP </w:t>
      </w:r>
      <w:r w:rsidR="00B524BF" w:rsidRPr="002909BF">
        <w:t>safety analysis set</w:t>
      </w:r>
      <w:r w:rsidRPr="002909BF">
        <w:t xml:space="preserve">. </w:t>
      </w:r>
      <w:r w:rsidR="00683800" w:rsidRPr="002909BF">
        <w:t xml:space="preserve">There were </w:t>
      </w:r>
      <w:r w:rsidRPr="002909BF">
        <w:t xml:space="preserve">524 (91.9%) subjects included in the PrEP </w:t>
      </w:r>
      <w:r w:rsidR="00B524BF" w:rsidRPr="002909BF">
        <w:t>per-protocol analysis set</w:t>
      </w:r>
      <w:r w:rsidRPr="002909BF">
        <w:t xml:space="preserve">. The composition of PrEP </w:t>
      </w:r>
      <w:r w:rsidR="00B524BF" w:rsidRPr="002909BF">
        <w:t xml:space="preserve">full analysis </w:t>
      </w:r>
      <w:proofErr w:type="gramStart"/>
      <w:r w:rsidR="00B524BF" w:rsidRPr="002909BF">
        <w:t>set</w:t>
      </w:r>
      <w:proofErr w:type="gramEnd"/>
      <w:r w:rsidRPr="002909BF">
        <w:t xml:space="preserve"> and PrEP </w:t>
      </w:r>
      <w:r w:rsidR="00B524BF" w:rsidRPr="002909BF">
        <w:t>per-protocol analysis set</w:t>
      </w:r>
      <w:r w:rsidRPr="002909BF">
        <w:t xml:space="preserve"> used for immunogenicity assessments enabled to perform the non</w:t>
      </w:r>
      <w:r w:rsidR="00683800" w:rsidRPr="002909BF">
        <w:noBreakHyphen/>
      </w:r>
      <w:r w:rsidRPr="002909BF">
        <w:t>inferiority testing in the primary objective.</w:t>
      </w:r>
    </w:p>
    <w:p w14:paraId="2D192F39" w14:textId="4FCC994C" w:rsidR="00E251B9" w:rsidRPr="002909BF" w:rsidRDefault="00683800" w:rsidP="003F0DC7">
      <w:r w:rsidRPr="002909BF">
        <w:t xml:space="preserve">There were </w:t>
      </w:r>
      <w:r w:rsidR="00E251B9" w:rsidRPr="002909BF">
        <w:t xml:space="preserve">514 (90.2%) randomised subjects included in the simulated PEP </w:t>
      </w:r>
      <w:r w:rsidR="00B524BF" w:rsidRPr="002909BF">
        <w:t>full analysis set</w:t>
      </w:r>
      <w:r w:rsidR="00E251B9" w:rsidRPr="002909BF">
        <w:t xml:space="preserve"> and simulated PEP </w:t>
      </w:r>
      <w:r w:rsidR="00B524BF" w:rsidRPr="002909BF">
        <w:t>safety analysis set</w:t>
      </w:r>
      <w:r w:rsidR="00E251B9" w:rsidRPr="002909BF">
        <w:t xml:space="preserve">. </w:t>
      </w:r>
      <w:r w:rsidRPr="002909BF">
        <w:t xml:space="preserve">There were </w:t>
      </w:r>
      <w:r w:rsidR="00E251B9" w:rsidRPr="002909BF">
        <w:t xml:space="preserve">488 (85.6%) randomised subjects included in the simulated PEP </w:t>
      </w:r>
      <w:r w:rsidR="00B524BF" w:rsidRPr="002909BF">
        <w:t>per-protocol analysis set</w:t>
      </w:r>
      <w:r w:rsidR="00E251B9" w:rsidRPr="002909BF">
        <w:t>.</w:t>
      </w:r>
    </w:p>
    <w:p w14:paraId="3A355FA5" w14:textId="460637E4" w:rsidR="00E251B9" w:rsidRPr="002909BF" w:rsidRDefault="00E251B9" w:rsidP="003F0DC7">
      <w:r w:rsidRPr="002909BF">
        <w:t xml:space="preserve">The population </w:t>
      </w:r>
      <w:r w:rsidR="00B524BF" w:rsidRPr="002909BF">
        <w:t xml:space="preserve">consisted of 52.8% female subjects, which </w:t>
      </w:r>
      <w:r w:rsidRPr="002909BF">
        <w:t>was balanced for sex. The mean age at inclusion was 22.5</w:t>
      </w:r>
      <w:r w:rsidR="00683800" w:rsidRPr="002909BF">
        <w:t xml:space="preserve"> </w:t>
      </w:r>
      <w:r w:rsidRPr="002909BF">
        <w:t>y</w:t>
      </w:r>
      <w:r w:rsidR="00683800" w:rsidRPr="002909BF">
        <w:t>ears old</w:t>
      </w:r>
      <w:r w:rsidRPr="002909BF">
        <w:t xml:space="preserve"> (range</w:t>
      </w:r>
      <w:r w:rsidR="00683800" w:rsidRPr="002909BF">
        <w:t>d</w:t>
      </w:r>
      <w:r w:rsidRPr="002909BF">
        <w:t xml:space="preserve"> </w:t>
      </w:r>
      <w:r w:rsidR="00683800" w:rsidRPr="002909BF">
        <w:t xml:space="preserve">from </w:t>
      </w:r>
      <w:r w:rsidRPr="002909BF">
        <w:t>2.0</w:t>
      </w:r>
      <w:r w:rsidR="009B7DC3" w:rsidRPr="002909BF">
        <w:t xml:space="preserve"> to </w:t>
      </w:r>
      <w:r w:rsidRPr="002909BF">
        <w:t>59.0</w:t>
      </w:r>
      <w:r w:rsidR="009B7DC3" w:rsidRPr="002909BF">
        <w:t xml:space="preserve"> years old</w:t>
      </w:r>
      <w:r w:rsidRPr="002909BF">
        <w:t xml:space="preserve">). </w:t>
      </w:r>
      <w:proofErr w:type="gramStart"/>
      <w:r w:rsidRPr="002909BF">
        <w:t>The majority of</w:t>
      </w:r>
      <w:proofErr w:type="gramEnd"/>
      <w:r w:rsidRPr="002909BF">
        <w:t xml:space="preserve"> subjects (314</w:t>
      </w:r>
      <w:r w:rsidR="00683800" w:rsidRPr="002909BF">
        <w:t> (</w:t>
      </w:r>
      <w:r w:rsidRPr="002909BF">
        <w:t>55.1%</w:t>
      </w:r>
      <w:r w:rsidR="00683800" w:rsidRPr="002909BF">
        <w:t>)</w:t>
      </w:r>
      <w:r w:rsidRPr="002909BF">
        <w:t>) were aged 18 to 64</w:t>
      </w:r>
      <w:r w:rsidR="00683800" w:rsidRPr="002909BF">
        <w:t xml:space="preserve"> </w:t>
      </w:r>
      <w:r w:rsidRPr="002909BF">
        <w:t>y</w:t>
      </w:r>
      <w:r w:rsidR="00683800" w:rsidRPr="002909BF">
        <w:t>ears</w:t>
      </w:r>
      <w:r w:rsidR="00561784" w:rsidRPr="002909BF">
        <w:t xml:space="preserve"> old</w:t>
      </w:r>
      <w:r w:rsidRPr="002909BF">
        <w:t>. No elderly subjects were enrolled. Baseline demographics in each analysis set were similar in the PrEP and simulated PEP vaccination phases.</w:t>
      </w:r>
    </w:p>
    <w:p w14:paraId="2CA310CA" w14:textId="77777777" w:rsidR="00E251B9" w:rsidRPr="002909BF" w:rsidRDefault="00E251B9" w:rsidP="00C1787D">
      <w:pPr>
        <w:pStyle w:val="Heading6"/>
      </w:pPr>
      <w:r w:rsidRPr="002909BF">
        <w:t>Magnitude of the treatment effect and its clinical significance</w:t>
      </w:r>
    </w:p>
    <w:p w14:paraId="06C7D2AE" w14:textId="77777777" w:rsidR="00E251B9" w:rsidRPr="002909BF" w:rsidRDefault="00E251B9" w:rsidP="003F0DC7">
      <w:r w:rsidRPr="002909BF">
        <w:t xml:space="preserve">The primary objective was to evaluate non-inferiority between different </w:t>
      </w:r>
      <w:proofErr w:type="spellStart"/>
      <w:r w:rsidRPr="002909BF">
        <w:t>Imovax</w:t>
      </w:r>
      <w:proofErr w:type="spellEnd"/>
      <w:r w:rsidRPr="002909BF">
        <w:t xml:space="preserve"> regimens which was not demonstrated but is not relevant to </w:t>
      </w:r>
      <w:proofErr w:type="spellStart"/>
      <w:r w:rsidRPr="002909BF">
        <w:t>Verorab</w:t>
      </w:r>
      <w:proofErr w:type="spellEnd"/>
      <w:r w:rsidRPr="002909BF">
        <w:t xml:space="preserve">. The secondary objectives are relevant to </w:t>
      </w:r>
      <w:proofErr w:type="spellStart"/>
      <w:r w:rsidRPr="002909BF">
        <w:t>Verorab</w:t>
      </w:r>
      <w:proofErr w:type="spellEnd"/>
      <w:r w:rsidRPr="002909BF">
        <w:t xml:space="preserve"> (Groups 4 and 5).</w:t>
      </w:r>
    </w:p>
    <w:p w14:paraId="49B63A7B" w14:textId="0D3AB8CB" w:rsidR="00C1787D" w:rsidRPr="002909BF" w:rsidRDefault="00151564" w:rsidP="00C1787D">
      <w:pPr>
        <w:pStyle w:val="Heading7"/>
        <w:rPr>
          <w:rFonts w:eastAsia="TimesNewRomanPSMT"/>
          <w:sz w:val="22"/>
          <w:szCs w:val="28"/>
        </w:rPr>
      </w:pPr>
      <w:r w:rsidRPr="002909BF">
        <w:rPr>
          <w:rFonts w:eastAsia="TimesNewRoman"/>
          <w:sz w:val="22"/>
          <w:szCs w:val="28"/>
        </w:rPr>
        <w:t>I</w:t>
      </w:r>
      <w:r w:rsidR="00E251B9" w:rsidRPr="002909BF">
        <w:rPr>
          <w:rFonts w:eastAsia="TimesNewRoman"/>
          <w:sz w:val="22"/>
          <w:szCs w:val="28"/>
        </w:rPr>
        <w:t>mmunogenicity a</w:t>
      </w:r>
      <w:r w:rsidR="00E251B9" w:rsidRPr="002909BF">
        <w:rPr>
          <w:sz w:val="22"/>
          <w:szCs w:val="28"/>
        </w:rPr>
        <w:t>t 14 da</w:t>
      </w:r>
      <w:r w:rsidR="00E251B9" w:rsidRPr="002909BF">
        <w:rPr>
          <w:rFonts w:eastAsia="TimesNewRomanPSMT"/>
          <w:sz w:val="22"/>
          <w:szCs w:val="28"/>
        </w:rPr>
        <w:t xml:space="preserve">ys after the last </w:t>
      </w:r>
      <w:r w:rsidRPr="002909BF">
        <w:rPr>
          <w:rFonts w:eastAsia="TimesNewRomanPSMT"/>
          <w:sz w:val="22"/>
          <w:szCs w:val="28"/>
        </w:rPr>
        <w:t xml:space="preserve">pre-exposure prophylaxis </w:t>
      </w:r>
      <w:r w:rsidR="00E251B9" w:rsidRPr="002909BF">
        <w:rPr>
          <w:rFonts w:eastAsia="TimesNewRomanPSMT"/>
          <w:sz w:val="22"/>
          <w:szCs w:val="28"/>
        </w:rPr>
        <w:t>vaccination</w:t>
      </w:r>
    </w:p>
    <w:p w14:paraId="3E27DD49" w14:textId="4E107D43" w:rsidR="00E251B9" w:rsidRPr="002909BF" w:rsidRDefault="00683800" w:rsidP="003F0DC7">
      <w:r w:rsidRPr="002909BF">
        <w:t>N</w:t>
      </w:r>
      <w:r w:rsidR="00E251B9" w:rsidRPr="002909BF">
        <w:t xml:space="preserve">early all subjects showed </w:t>
      </w:r>
      <w:r w:rsidR="00620A3F" w:rsidRPr="002909BF">
        <w:t>rabies virus neutralising antibody</w:t>
      </w:r>
      <w:r w:rsidR="00E251B9" w:rsidRPr="002909BF">
        <w:t xml:space="preserve"> titres </w:t>
      </w:r>
      <w:r w:rsidR="00C10917" w:rsidRPr="002909BF">
        <w:t xml:space="preserve">of </w:t>
      </w:r>
      <w:r w:rsidR="00E251B9" w:rsidRPr="002909BF">
        <w:t>0.5 IU/</w:t>
      </w:r>
      <w:r w:rsidR="0008332E">
        <w:t>mL</w:t>
      </w:r>
      <w:r w:rsidR="00C10917" w:rsidRPr="002909BF">
        <w:t xml:space="preserve"> or higher</w:t>
      </w:r>
      <w:r w:rsidR="00E251B9" w:rsidRPr="002909BF">
        <w:t>, to the exception of 7 subjects in Group</w:t>
      </w:r>
      <w:r w:rsidRPr="002909BF">
        <w:t> </w:t>
      </w:r>
      <w:r w:rsidR="00E251B9" w:rsidRPr="002909BF">
        <w:t xml:space="preserve">1, </w:t>
      </w:r>
      <w:r w:rsidRPr="002909BF">
        <w:t>one</w:t>
      </w:r>
      <w:r w:rsidR="00E251B9" w:rsidRPr="002909BF">
        <w:t xml:space="preserve"> subject from each of Groups 3 and 4, and 2 subjects in Group 5</w:t>
      </w:r>
      <w:r w:rsidR="00C1787D" w:rsidRPr="002909BF">
        <w:t>:</w:t>
      </w:r>
    </w:p>
    <w:p w14:paraId="1A611276" w14:textId="658A8983" w:rsidR="00E251B9" w:rsidRPr="002909BF" w:rsidRDefault="00E251B9" w:rsidP="003F0DC7">
      <w:pPr>
        <w:pStyle w:val="ListBullet"/>
      </w:pPr>
      <w:r w:rsidRPr="002909BF">
        <w:t>The seroconversion rates were 96.7% (Group 1), 100% (Group 2), 98.6% (Groups</w:t>
      </w:r>
      <w:r w:rsidR="00683800" w:rsidRPr="002909BF">
        <w:t> </w:t>
      </w:r>
      <w:r w:rsidRPr="002909BF">
        <w:t>3 and 4) and 97.2% (Group 5).</w:t>
      </w:r>
    </w:p>
    <w:p w14:paraId="190E03A6" w14:textId="69A260F5" w:rsidR="00E251B9" w:rsidRPr="002909BF" w:rsidRDefault="001C7113" w:rsidP="003F0DC7">
      <w:pPr>
        <w:pStyle w:val="ListBullet"/>
      </w:pPr>
      <w:r w:rsidRPr="002909BF">
        <w:t xml:space="preserve">Geometric mean titres </w:t>
      </w:r>
      <w:r w:rsidR="00E251B9" w:rsidRPr="002909BF">
        <w:t>(IU/</w:t>
      </w:r>
      <w:r w:rsidR="0008332E">
        <w:t>mL</w:t>
      </w:r>
      <w:r w:rsidR="00E251B9" w:rsidRPr="002909BF">
        <w:t xml:space="preserve">) increased from </w:t>
      </w:r>
      <w:r w:rsidR="0075406F" w:rsidRPr="002909BF">
        <w:t>Baseline</w:t>
      </w:r>
      <w:r w:rsidR="00E251B9" w:rsidRPr="002909BF">
        <w:t xml:space="preserve"> in all groups to reach values from 3.18 in Group</w:t>
      </w:r>
      <w:r w:rsidR="00683800" w:rsidRPr="002909BF">
        <w:t> </w:t>
      </w:r>
      <w:r w:rsidR="00E251B9" w:rsidRPr="002909BF">
        <w:t xml:space="preserve">1 up to 12.6 in Group 2 at 14 days after the last PrEP vaccination. </w:t>
      </w:r>
      <w:r w:rsidR="00E251B9" w:rsidRPr="002909BF">
        <w:lastRenderedPageBreak/>
        <w:t xml:space="preserve">GMT was higher in Group 2 (reference </w:t>
      </w:r>
      <w:r w:rsidR="009A0559" w:rsidRPr="002909BF">
        <w:t>intramuscular</w:t>
      </w:r>
      <w:r w:rsidR="00E251B9" w:rsidRPr="002909BF">
        <w:t xml:space="preserve"> </w:t>
      </w:r>
      <w:r w:rsidR="00B524BF" w:rsidRPr="002909BF">
        <w:t>human diploid cell vaccine</w:t>
      </w:r>
      <w:r w:rsidR="00E251B9" w:rsidRPr="002909BF">
        <w:t xml:space="preserve"> regimen) than in all other Group.</w:t>
      </w:r>
    </w:p>
    <w:p w14:paraId="49AEB56C" w14:textId="0CA09F9A" w:rsidR="00E251B9" w:rsidRPr="002909BF" w:rsidRDefault="00E251B9" w:rsidP="003F0DC7">
      <w:pPr>
        <w:pStyle w:val="ListBullet"/>
      </w:pPr>
      <w:r w:rsidRPr="002909BF">
        <w:t>For Group</w:t>
      </w:r>
      <w:r w:rsidR="00683800" w:rsidRPr="002909BF">
        <w:t>s</w:t>
      </w:r>
      <w:r w:rsidRPr="002909BF">
        <w:t xml:space="preserve"> 1 and 3 (short </w:t>
      </w:r>
      <w:r w:rsidR="009A0559" w:rsidRPr="002909BF">
        <w:t>intramuscular</w:t>
      </w:r>
      <w:r w:rsidRPr="002909BF">
        <w:t xml:space="preserve"> and </w:t>
      </w:r>
      <w:r w:rsidR="009A0559" w:rsidRPr="002909BF">
        <w:t>intradermal</w:t>
      </w:r>
      <w:r w:rsidRPr="002909BF">
        <w:t xml:space="preserve"> </w:t>
      </w:r>
      <w:r w:rsidR="00B524BF" w:rsidRPr="002909BF">
        <w:t>human diploid cell vaccine</w:t>
      </w:r>
      <w:r w:rsidRPr="002909BF">
        <w:t xml:space="preserve"> regimens), GMTRs </w:t>
      </w:r>
      <w:r w:rsidR="0075406F" w:rsidRPr="002909BF">
        <w:t>versus</w:t>
      </w:r>
      <w:r w:rsidRPr="002909BF">
        <w:t xml:space="preserve"> </w:t>
      </w:r>
      <w:r w:rsidR="0075406F" w:rsidRPr="002909BF">
        <w:t>Baseline</w:t>
      </w:r>
      <w:r w:rsidRPr="002909BF">
        <w:t xml:space="preserve"> were close to 30. For Group</w:t>
      </w:r>
      <w:r w:rsidR="00683800" w:rsidRPr="002909BF">
        <w:t>s</w:t>
      </w:r>
      <w:r w:rsidRPr="002909BF">
        <w:t xml:space="preserve"> 4 and 5 (short </w:t>
      </w:r>
      <w:r w:rsidR="009A0559" w:rsidRPr="002909BF">
        <w:t>intramuscular</w:t>
      </w:r>
      <w:r w:rsidRPr="002909BF">
        <w:t xml:space="preserve"> and </w:t>
      </w:r>
      <w:r w:rsidR="009A0559" w:rsidRPr="002909BF">
        <w:t>intradermal</w:t>
      </w:r>
      <w:r w:rsidRPr="002909BF">
        <w:t xml:space="preserve"> </w:t>
      </w:r>
      <w:proofErr w:type="spellStart"/>
      <w:r w:rsidRPr="002909BF">
        <w:t>Verorab</w:t>
      </w:r>
      <w:proofErr w:type="spellEnd"/>
      <w:r w:rsidRPr="002909BF">
        <w:t xml:space="preserve"> PVRV regimens), GMTRs were equal to 44.9 and 59.2, respectively, while GMTR for Group 2 reached 115.</w:t>
      </w:r>
    </w:p>
    <w:p w14:paraId="4E72B9F7" w14:textId="668D3B6E" w:rsidR="00E251B9" w:rsidRPr="002909BF" w:rsidRDefault="00E251B9" w:rsidP="003F0DC7">
      <w:pPr>
        <w:pStyle w:val="ListBullet"/>
      </w:pPr>
      <w:r w:rsidRPr="002909BF">
        <w:t xml:space="preserve">Dataset analysis: </w:t>
      </w:r>
      <w:r w:rsidR="002909BF" w:rsidRPr="002909BF">
        <w:t>t</w:t>
      </w:r>
      <w:r w:rsidRPr="002909BF">
        <w:t xml:space="preserve">he immunogenicity results were similar in the PrEP </w:t>
      </w:r>
      <w:r w:rsidR="00B524BF" w:rsidRPr="002909BF">
        <w:t>full analysis set</w:t>
      </w:r>
      <w:r w:rsidRPr="002909BF">
        <w:t xml:space="preserve"> and in the PrEP </w:t>
      </w:r>
      <w:r w:rsidR="00B524BF" w:rsidRPr="002909BF">
        <w:t>per-protocol analysis set</w:t>
      </w:r>
      <w:r w:rsidRPr="002909BF">
        <w:t>.</w:t>
      </w:r>
    </w:p>
    <w:p w14:paraId="22550862" w14:textId="0A687875" w:rsidR="00E251B9" w:rsidRPr="002909BF" w:rsidRDefault="00E251B9" w:rsidP="003F0DC7">
      <w:pPr>
        <w:pStyle w:val="ListBullet"/>
      </w:pPr>
      <w:r w:rsidRPr="002909BF">
        <w:t>Age analysis: all subjects aged 2 to 17</w:t>
      </w:r>
      <w:r w:rsidR="00683800" w:rsidRPr="002909BF">
        <w:t xml:space="preserve"> </w:t>
      </w:r>
      <w:r w:rsidRPr="002909BF">
        <w:t>y</w:t>
      </w:r>
      <w:r w:rsidR="00683800" w:rsidRPr="002909BF">
        <w:t>ears</w:t>
      </w:r>
      <w:r w:rsidR="00561784" w:rsidRPr="002909BF">
        <w:t xml:space="preserve"> old </w:t>
      </w:r>
      <w:r w:rsidRPr="002909BF">
        <w:t>seroconverted in all 5 groups. In addition, GMTs tended to be higher in children than in adults.</w:t>
      </w:r>
    </w:p>
    <w:p w14:paraId="38DBAA61" w14:textId="6EEE5520" w:rsidR="00E251B9" w:rsidRPr="002909BF" w:rsidRDefault="00E251B9" w:rsidP="00C1787D">
      <w:pPr>
        <w:pStyle w:val="Heading7"/>
        <w:rPr>
          <w:sz w:val="22"/>
          <w:szCs w:val="28"/>
        </w:rPr>
      </w:pPr>
      <w:r w:rsidRPr="002909BF">
        <w:rPr>
          <w:sz w:val="22"/>
          <w:szCs w:val="28"/>
        </w:rPr>
        <w:t>Antibody persistence</w:t>
      </w:r>
    </w:p>
    <w:p w14:paraId="5E240CE0" w14:textId="156E8D3E" w:rsidR="00E251B9" w:rsidRPr="002909BF" w:rsidRDefault="00E251B9" w:rsidP="003F0DC7">
      <w:pPr>
        <w:pStyle w:val="ListBullet"/>
      </w:pPr>
      <w:r w:rsidRPr="002909BF">
        <w:t xml:space="preserve">At 6 months and </w:t>
      </w:r>
      <w:r w:rsidR="00CB7532" w:rsidRPr="002909BF">
        <w:t>one</w:t>
      </w:r>
      <w:r w:rsidRPr="002909BF">
        <w:t xml:space="preserve"> year after the last PrEP vaccination, the percentages of seropositive subjects (</w:t>
      </w:r>
      <w:r w:rsidR="00620A3F" w:rsidRPr="002909BF">
        <w:t>rabies virus neutralising antibody</w:t>
      </w:r>
      <w:r w:rsidRPr="002909BF">
        <w:t xml:space="preserve"> titres </w:t>
      </w:r>
      <w:r w:rsidR="00C10917" w:rsidRPr="002909BF">
        <w:t xml:space="preserve">of </w:t>
      </w:r>
      <w:r w:rsidRPr="002909BF">
        <w:t>0.2 IU/</w:t>
      </w:r>
      <w:r w:rsidR="0008332E">
        <w:t>mL</w:t>
      </w:r>
      <w:r w:rsidR="00C10917" w:rsidRPr="002909BF">
        <w:t xml:space="preserve"> or higher</w:t>
      </w:r>
      <w:r w:rsidRPr="002909BF">
        <w:t>) remained quite high, ranging from 71.8% to 89.0%.</w:t>
      </w:r>
    </w:p>
    <w:p w14:paraId="280ECBB6" w14:textId="4D2D4F20" w:rsidR="00E251B9" w:rsidRPr="002909BF" w:rsidRDefault="00E251B9" w:rsidP="003F0DC7">
      <w:pPr>
        <w:pStyle w:val="ListBullet"/>
      </w:pPr>
      <w:r w:rsidRPr="002909BF">
        <w:t>Seroconversion rates (</w:t>
      </w:r>
      <w:r w:rsidR="00620A3F" w:rsidRPr="002909BF">
        <w:t>rabies virus neutralising antibody</w:t>
      </w:r>
      <w:r w:rsidRPr="002909BF">
        <w:t xml:space="preserve"> titres </w:t>
      </w:r>
      <w:r w:rsidR="00C10917" w:rsidRPr="002909BF">
        <w:t xml:space="preserve">of </w:t>
      </w:r>
      <w:r w:rsidRPr="002909BF">
        <w:t>0.5 IU/</w:t>
      </w:r>
      <w:r w:rsidR="0008332E">
        <w:t>mL</w:t>
      </w:r>
      <w:r w:rsidR="00C10917" w:rsidRPr="002909BF">
        <w:t xml:space="preserve"> or higher</w:t>
      </w:r>
      <w:r w:rsidRPr="002909BF">
        <w:t>) after 6 months</w:t>
      </w:r>
      <w:r w:rsidR="00CB7532" w:rsidRPr="002909BF">
        <w:t xml:space="preserve"> were </w:t>
      </w:r>
      <w:r w:rsidRPr="002909BF">
        <w:t>rang</w:t>
      </w:r>
      <w:r w:rsidR="00CB7532" w:rsidRPr="002909BF">
        <w:t>ed</w:t>
      </w:r>
      <w:r w:rsidRPr="002909BF">
        <w:t xml:space="preserve"> from 45.2% in Group 3 to 65.2% in Group 5. GMTs decreased between 14 days and 6 months after last PrEP vaccination in all 5 Groups.</w:t>
      </w:r>
    </w:p>
    <w:p w14:paraId="5AA9D2E4" w14:textId="5E416307" w:rsidR="00E251B9" w:rsidRPr="002909BF" w:rsidRDefault="00E251B9" w:rsidP="003F0DC7">
      <w:pPr>
        <w:pStyle w:val="ListBullet"/>
      </w:pPr>
      <w:r w:rsidRPr="002909BF">
        <w:t>Seroconversion rates (</w:t>
      </w:r>
      <w:r w:rsidR="00620A3F" w:rsidRPr="002909BF">
        <w:t>rabies virus neutralising antibody</w:t>
      </w:r>
      <w:r w:rsidRPr="002909BF">
        <w:t xml:space="preserve"> titres </w:t>
      </w:r>
      <w:r w:rsidR="00C10917" w:rsidRPr="002909BF">
        <w:t xml:space="preserve">of </w:t>
      </w:r>
      <w:r w:rsidRPr="002909BF">
        <w:t>0.5 IU/</w:t>
      </w:r>
      <w:r w:rsidR="0008332E">
        <w:t>mL</w:t>
      </w:r>
      <w:r w:rsidR="00C10917" w:rsidRPr="002909BF">
        <w:t xml:space="preserve"> or higher</w:t>
      </w:r>
      <w:r w:rsidRPr="002909BF">
        <w:t xml:space="preserve">) after </w:t>
      </w:r>
      <w:r w:rsidR="00CB7532" w:rsidRPr="002909BF">
        <w:t xml:space="preserve">one </w:t>
      </w:r>
      <w:r w:rsidRPr="002909BF">
        <w:t>year</w:t>
      </w:r>
      <w:r w:rsidR="00CB7532" w:rsidRPr="002909BF">
        <w:t xml:space="preserve"> were ranged </w:t>
      </w:r>
      <w:r w:rsidRPr="002909BF">
        <w:t>from 57.8% in Group 1 to 77.8% in Group 5. GMTs were slightly higher than after 6 months, rang</w:t>
      </w:r>
      <w:r w:rsidR="00CB7532" w:rsidRPr="002909BF">
        <w:t>ed</w:t>
      </w:r>
      <w:r w:rsidRPr="002909BF">
        <w:t xml:space="preserve"> from 0.607 in Group 1 to 0.934 in Group</w:t>
      </w:r>
      <w:r w:rsidR="009E481A">
        <w:t> </w:t>
      </w:r>
      <w:r w:rsidRPr="002909BF">
        <w:t>5; they were similar in Group</w:t>
      </w:r>
      <w:r w:rsidR="00CB7532" w:rsidRPr="002909BF">
        <w:t>s </w:t>
      </w:r>
      <w:r w:rsidRPr="002909BF">
        <w:t>1, 2, and 3 (</w:t>
      </w:r>
      <w:r w:rsidR="00B524BF" w:rsidRPr="002909BF">
        <w:t>human diploid cell vaccine</w:t>
      </w:r>
      <w:r w:rsidRPr="002909BF">
        <w:t xml:space="preserve"> regimens) and in Groups 4 and 5 (PVRV regimens). GMTRs (D</w:t>
      </w:r>
      <w:r w:rsidR="00CB7532" w:rsidRPr="002909BF">
        <w:t>ay </w:t>
      </w:r>
      <w:r w:rsidRPr="002909BF">
        <w:t>180/D</w:t>
      </w:r>
      <w:r w:rsidR="00CB7532" w:rsidRPr="002909BF">
        <w:t>ay </w:t>
      </w:r>
      <w:r w:rsidRPr="002909BF">
        <w:t>35 and Y</w:t>
      </w:r>
      <w:r w:rsidR="003248B0">
        <w:t xml:space="preserve">ear </w:t>
      </w:r>
      <w:r w:rsidRPr="002909BF">
        <w:t>1/D</w:t>
      </w:r>
      <w:r w:rsidR="009E481A">
        <w:t xml:space="preserve">ay </w:t>
      </w:r>
      <w:r w:rsidRPr="002909BF">
        <w:t>35) in Group</w:t>
      </w:r>
      <w:r w:rsidR="009E481A">
        <w:t> </w:t>
      </w:r>
      <w:r w:rsidRPr="002909BF">
        <w:t>2 were lower than GMTRs (D</w:t>
      </w:r>
      <w:r w:rsidR="009E481A">
        <w:t xml:space="preserve">ay </w:t>
      </w:r>
      <w:r w:rsidRPr="002909BF">
        <w:t>180/D</w:t>
      </w:r>
      <w:r w:rsidR="009E481A">
        <w:t xml:space="preserve">ay </w:t>
      </w:r>
      <w:r w:rsidRPr="002909BF">
        <w:t>21 and Y</w:t>
      </w:r>
      <w:r w:rsidR="003248B0">
        <w:t xml:space="preserve">ear </w:t>
      </w:r>
      <w:r w:rsidRPr="002909BF">
        <w:t>1/D</w:t>
      </w:r>
      <w:r w:rsidR="009E481A">
        <w:t xml:space="preserve">ay </w:t>
      </w:r>
      <w:r w:rsidRPr="002909BF">
        <w:t>21, respectively) in all other Groups.</w:t>
      </w:r>
    </w:p>
    <w:p w14:paraId="400C637F" w14:textId="4F17E6BF" w:rsidR="00E251B9" w:rsidRPr="002909BF" w:rsidRDefault="00E251B9" w:rsidP="003F0DC7">
      <w:pPr>
        <w:pStyle w:val="ListBullet"/>
      </w:pPr>
      <w:r w:rsidRPr="002909BF">
        <w:t xml:space="preserve">Dataset analysis: Similar results were observed in the PrEP </w:t>
      </w:r>
      <w:r w:rsidR="00B524BF" w:rsidRPr="002909BF">
        <w:t>per-protocol analysis set</w:t>
      </w:r>
      <w:r w:rsidRPr="002909BF">
        <w:t>.</w:t>
      </w:r>
    </w:p>
    <w:p w14:paraId="7E9E8DBD" w14:textId="5F420349" w:rsidR="00E251B9" w:rsidRPr="002909BF" w:rsidRDefault="00E251B9" w:rsidP="00C1787D">
      <w:pPr>
        <w:pStyle w:val="Heading7"/>
        <w:rPr>
          <w:sz w:val="22"/>
          <w:szCs w:val="28"/>
        </w:rPr>
      </w:pPr>
      <w:r w:rsidRPr="002909BF">
        <w:rPr>
          <w:sz w:val="22"/>
          <w:szCs w:val="28"/>
        </w:rPr>
        <w:t xml:space="preserve">Immunogenicity of the simulated </w:t>
      </w:r>
      <w:r w:rsidR="00172645" w:rsidRPr="002909BF">
        <w:rPr>
          <w:sz w:val="22"/>
          <w:szCs w:val="28"/>
        </w:rPr>
        <w:t>post-exposure prophylaxis</w:t>
      </w:r>
      <w:r w:rsidRPr="002909BF">
        <w:rPr>
          <w:sz w:val="22"/>
          <w:szCs w:val="28"/>
        </w:rPr>
        <w:t xml:space="preserve"> regimen</w:t>
      </w:r>
    </w:p>
    <w:p w14:paraId="23B07550" w14:textId="0D80ECAC" w:rsidR="00E251B9" w:rsidRPr="002909BF" w:rsidRDefault="00E251B9" w:rsidP="003F0DC7">
      <w:pPr>
        <w:pStyle w:val="ListBullet"/>
      </w:pPr>
      <w:r w:rsidRPr="002909BF">
        <w:t>At 7 and 14 days after the first simulated PEP vaccination, all subjects but one in Group</w:t>
      </w:r>
      <w:r w:rsidR="00561784" w:rsidRPr="002909BF">
        <w:t> </w:t>
      </w:r>
      <w:r w:rsidRPr="002909BF">
        <w:t xml:space="preserve">5 (non-responder throughout) showed </w:t>
      </w:r>
      <w:r w:rsidR="00620A3F" w:rsidRPr="002909BF">
        <w:t>rabies virus neutralising antibody</w:t>
      </w:r>
      <w:r w:rsidRPr="002909BF">
        <w:t xml:space="preserve"> titres </w:t>
      </w:r>
      <w:r w:rsidR="00C10917" w:rsidRPr="002909BF">
        <w:t xml:space="preserve">of </w:t>
      </w:r>
      <w:r w:rsidRPr="002909BF">
        <w:t>0.5 IU/</w:t>
      </w:r>
      <w:r w:rsidR="0008332E">
        <w:t>mL</w:t>
      </w:r>
      <w:r w:rsidR="00C10917" w:rsidRPr="002909BF">
        <w:t xml:space="preserve"> or higher</w:t>
      </w:r>
      <w:r w:rsidRPr="002909BF">
        <w:t>.</w:t>
      </w:r>
    </w:p>
    <w:p w14:paraId="43913609" w14:textId="53E75DC7" w:rsidR="00E251B9" w:rsidRPr="002909BF" w:rsidRDefault="00E251B9" w:rsidP="003F0DC7">
      <w:pPr>
        <w:pStyle w:val="ListBullet"/>
      </w:pPr>
      <w:r w:rsidRPr="002909BF">
        <w:t xml:space="preserve">In all groups, </w:t>
      </w:r>
      <w:r w:rsidR="00561784" w:rsidRPr="002909BF">
        <w:t>antibody</w:t>
      </w:r>
      <w:r w:rsidRPr="002909BF">
        <w:t xml:space="preserve"> levels increased rapidly after the simulated PEP vaccination. The highest GMTRs (subject </w:t>
      </w:r>
      <w:r w:rsidR="00620A3F" w:rsidRPr="002909BF">
        <w:t>rabies virus neutralising antibody</w:t>
      </w:r>
      <w:r w:rsidRPr="002909BF">
        <w:t xml:space="preserve"> titres ratios 7 and 14 days after the first simulated PEP vaccination/</w:t>
      </w:r>
      <w:r w:rsidR="00423C44" w:rsidRPr="002909BF">
        <w:t>one year</w:t>
      </w:r>
      <w:r w:rsidRPr="002909BF">
        <w:t xml:space="preserve"> after the last PrEP vaccination) were observed in Groups</w:t>
      </w:r>
      <w:r w:rsidR="00561784" w:rsidRPr="002909BF">
        <w:t> </w:t>
      </w:r>
      <w:r w:rsidRPr="002909BF">
        <w:t xml:space="preserve">1 and 4 (short </w:t>
      </w:r>
      <w:r w:rsidR="009A0559" w:rsidRPr="002909BF">
        <w:t>intramuscular</w:t>
      </w:r>
      <w:r w:rsidRPr="002909BF">
        <w:t xml:space="preserve"> PrEP regimens): close to 60 at 7</w:t>
      </w:r>
      <w:r w:rsidR="002909BF" w:rsidRPr="002909BF">
        <w:t> </w:t>
      </w:r>
      <w:r w:rsidRPr="002909BF">
        <w:t>days and close to 135 at 14 days.</w:t>
      </w:r>
    </w:p>
    <w:p w14:paraId="34D2C50C" w14:textId="693BA51A" w:rsidR="00E251B9" w:rsidRPr="002909BF" w:rsidRDefault="00E251B9" w:rsidP="003F0DC7">
      <w:pPr>
        <w:pStyle w:val="ListBullet"/>
      </w:pPr>
      <w:r w:rsidRPr="002909BF">
        <w:t xml:space="preserve">Age analysis: </w:t>
      </w:r>
      <w:r w:rsidR="00423C44" w:rsidRPr="002909BF">
        <w:t>h</w:t>
      </w:r>
      <w:r w:rsidRPr="002909BF">
        <w:t>igher seroconversion rates were observed in the youngest subjects. Overall, GMTRs in the simulated PEP vaccination phase were similar in the different age classes. The highest Ab levels were reached in subjects aged 2 to 11</w:t>
      </w:r>
      <w:r w:rsidR="00561784" w:rsidRPr="002909BF">
        <w:t xml:space="preserve"> years</w:t>
      </w:r>
      <w:r w:rsidRPr="002909BF">
        <w:t xml:space="preserve"> from Group</w:t>
      </w:r>
      <w:r w:rsidR="00561784" w:rsidRPr="002909BF">
        <w:t> </w:t>
      </w:r>
      <w:r w:rsidRPr="002909BF">
        <w:t>4.</w:t>
      </w:r>
    </w:p>
    <w:p w14:paraId="14DE25AB" w14:textId="57C7ECDD" w:rsidR="00E251B9" w:rsidRPr="002909BF" w:rsidRDefault="00E251B9" w:rsidP="003F0DC7">
      <w:pPr>
        <w:pStyle w:val="ListBullet"/>
      </w:pPr>
      <w:r w:rsidRPr="002909BF">
        <w:t xml:space="preserve">Dataset analysis: </w:t>
      </w:r>
      <w:r w:rsidR="00423C44" w:rsidRPr="002909BF">
        <w:t>s</w:t>
      </w:r>
      <w:r w:rsidRPr="002909BF">
        <w:t xml:space="preserve">imilar results were observed in the simulated PEP </w:t>
      </w:r>
      <w:r w:rsidR="00B524BF" w:rsidRPr="002909BF">
        <w:t>per-protocol analysis set</w:t>
      </w:r>
      <w:r w:rsidRPr="002909BF">
        <w:t>.</w:t>
      </w:r>
    </w:p>
    <w:p w14:paraId="2957CF77" w14:textId="77777777" w:rsidR="00E251B9" w:rsidRPr="002909BF" w:rsidRDefault="00E251B9" w:rsidP="00C1787D">
      <w:pPr>
        <w:pStyle w:val="Heading5"/>
      </w:pPr>
      <w:r w:rsidRPr="002909BF">
        <w:t>Other efficacy studies</w:t>
      </w:r>
    </w:p>
    <w:p w14:paraId="5AA8ADAB" w14:textId="26042FE5" w:rsidR="004942CC" w:rsidRPr="002909BF" w:rsidRDefault="00E251B9" w:rsidP="003F0DC7">
      <w:r w:rsidRPr="002909BF">
        <w:t>Additional studies with an efficacy component were provided</w:t>
      </w:r>
      <w:r w:rsidR="00561784" w:rsidRPr="002909BF">
        <w:t xml:space="preserve"> by the sponsor</w:t>
      </w:r>
      <w:r w:rsidRPr="002909BF">
        <w:t xml:space="preserve"> and were generally consistent with the findings of the pivotal studies.</w:t>
      </w:r>
    </w:p>
    <w:p w14:paraId="38EBD826" w14:textId="77777777" w:rsidR="00E251B9" w:rsidRPr="002909BF" w:rsidRDefault="00E251B9" w:rsidP="00E251B9">
      <w:pPr>
        <w:pStyle w:val="Heading4"/>
      </w:pPr>
      <w:r w:rsidRPr="002909BF">
        <w:t>Safety</w:t>
      </w:r>
    </w:p>
    <w:p w14:paraId="4AD007FD" w14:textId="6AA6F163" w:rsidR="00E251B9" w:rsidRPr="002909BF" w:rsidRDefault="00E251B9" w:rsidP="003F0DC7">
      <w:r w:rsidRPr="002909BF">
        <w:t>Generally, the following terminology was used</w:t>
      </w:r>
      <w:r w:rsidR="004942CC">
        <w:t xml:space="preserve"> across studies</w:t>
      </w:r>
      <w:r w:rsidRPr="002909BF">
        <w:t>:</w:t>
      </w:r>
    </w:p>
    <w:p w14:paraId="29CF5B1D" w14:textId="102CE707" w:rsidR="00E251B9" w:rsidRPr="002909BF" w:rsidRDefault="00E251B9" w:rsidP="003F0DC7">
      <w:pPr>
        <w:pStyle w:val="ListBullet"/>
      </w:pPr>
      <w:r w:rsidRPr="002909BF">
        <w:lastRenderedPageBreak/>
        <w:t>Immediate events: defined as unsolicited systemic events (including for the integrated analysis) or unsolicited events (not for the integrated analysis) reported within the 30</w:t>
      </w:r>
      <w:r w:rsidR="00561784" w:rsidRPr="002909BF">
        <w:t> </w:t>
      </w:r>
      <w:r w:rsidRPr="002909BF">
        <w:t>minutes after vaccine injection.</w:t>
      </w:r>
    </w:p>
    <w:p w14:paraId="12E73816" w14:textId="57E5A5DA" w:rsidR="00E251B9" w:rsidRPr="002909BF" w:rsidRDefault="00E251B9" w:rsidP="003F0DC7">
      <w:pPr>
        <w:pStyle w:val="ListBullet"/>
      </w:pPr>
      <w:r w:rsidRPr="002909BF">
        <w:t xml:space="preserve">Solicited injection site reactions: injection site </w:t>
      </w:r>
      <w:bookmarkStart w:id="66" w:name="_Hlk128576592"/>
      <w:r w:rsidR="00A45291" w:rsidRPr="002909BF">
        <w:t>adverse event</w:t>
      </w:r>
      <w:bookmarkEnd w:id="66"/>
      <w:r w:rsidR="00A45291" w:rsidRPr="002909BF">
        <w:t>s</w:t>
      </w:r>
      <w:r w:rsidRPr="002909BF">
        <w:t xml:space="preserve"> in the integrated analysis in 0 to 7</w:t>
      </w:r>
      <w:r w:rsidR="00561784" w:rsidRPr="002909BF">
        <w:t> </w:t>
      </w:r>
      <w:r w:rsidRPr="002909BF">
        <w:t>days post-vaccination.</w:t>
      </w:r>
    </w:p>
    <w:p w14:paraId="4B5F6195" w14:textId="77777777" w:rsidR="00E251B9" w:rsidRPr="002909BF" w:rsidRDefault="00E251B9" w:rsidP="003F0DC7">
      <w:pPr>
        <w:pStyle w:val="ListBullet"/>
      </w:pPr>
      <w:r w:rsidRPr="002909BF">
        <w:t>Solicited systemic reactions: considered vaccine related, and in the integrated analysis stratified by age group.</w:t>
      </w:r>
    </w:p>
    <w:p w14:paraId="252F76CF" w14:textId="2BB80E25" w:rsidR="00E251B9" w:rsidRPr="002909BF" w:rsidRDefault="00E251B9" w:rsidP="003F0DC7">
      <w:pPr>
        <w:pStyle w:val="ListBullet"/>
      </w:pPr>
      <w:r w:rsidRPr="002909BF">
        <w:t xml:space="preserve">Unsolicited non-serious injection site </w:t>
      </w:r>
      <w:r w:rsidR="00A45291" w:rsidRPr="002909BF">
        <w:t>adverse event</w:t>
      </w:r>
      <w:r w:rsidRPr="002909BF">
        <w:t xml:space="preserve">s were considered as </w:t>
      </w:r>
      <w:r w:rsidR="00A45291" w:rsidRPr="002909BF">
        <w:t>adverse reactions</w:t>
      </w:r>
      <w:r w:rsidRPr="002909BF">
        <w:t xml:space="preserve">. For the integrated analysis, unsolicited </w:t>
      </w:r>
      <w:r w:rsidR="00A45291" w:rsidRPr="002909BF">
        <w:t>adverse event</w:t>
      </w:r>
      <w:r w:rsidRPr="002909BF">
        <w:t xml:space="preserve">s included immediate </w:t>
      </w:r>
      <w:r w:rsidR="00A45291" w:rsidRPr="002909BF">
        <w:t>adverse event</w:t>
      </w:r>
      <w:r w:rsidRPr="002909BF">
        <w:t>s</w:t>
      </w:r>
      <w:r w:rsidR="00A45291" w:rsidRPr="002909BF">
        <w:t xml:space="preserve"> or adverse </w:t>
      </w:r>
      <w:proofErr w:type="gramStart"/>
      <w:r w:rsidR="00A45291" w:rsidRPr="002909BF">
        <w:t>reaction</w:t>
      </w:r>
      <w:r w:rsidRPr="002909BF">
        <w:t>s, and</w:t>
      </w:r>
      <w:proofErr w:type="gramEnd"/>
      <w:r w:rsidRPr="002909BF">
        <w:t xml:space="preserve"> excluded solicited reactions that were reported between injections and up to 28 days after the last injection.</w:t>
      </w:r>
    </w:p>
    <w:p w14:paraId="28EDA955" w14:textId="77777777" w:rsidR="00E251B9" w:rsidRPr="002909BF" w:rsidRDefault="00E251B9" w:rsidP="00C1787D">
      <w:pPr>
        <w:pStyle w:val="Heading5"/>
      </w:pPr>
      <w:r w:rsidRPr="002909BF">
        <w:t>Exposure</w:t>
      </w:r>
    </w:p>
    <w:p w14:paraId="4085FC51" w14:textId="16CCBD9D" w:rsidR="00E251B9" w:rsidRPr="002909BF" w:rsidRDefault="00E251B9" w:rsidP="003F0DC7">
      <w:r w:rsidRPr="002909BF">
        <w:t xml:space="preserve">More than 200 million doses of </w:t>
      </w:r>
      <w:r w:rsidR="00EB184F" w:rsidRPr="002909BF">
        <w:t>sponsor’s</w:t>
      </w:r>
      <w:r w:rsidRPr="002909BF">
        <w:t xml:space="preserve"> PVRV vaccine have been administered worldwide. More than 13,000 individuals (aged 2</w:t>
      </w:r>
      <w:r w:rsidR="009B7DC3" w:rsidRPr="002909BF">
        <w:t xml:space="preserve"> to </w:t>
      </w:r>
      <w:r w:rsidRPr="002909BF">
        <w:t>98</w:t>
      </w:r>
      <w:r w:rsidR="009B7DC3" w:rsidRPr="002909BF">
        <w:t xml:space="preserve"> years old</w:t>
      </w:r>
      <w:r w:rsidRPr="002909BF">
        <w:t xml:space="preserve">) have been exposed to </w:t>
      </w:r>
      <w:r w:rsidR="00EB184F" w:rsidRPr="002909BF">
        <w:t>sponsor’s</w:t>
      </w:r>
      <w:r w:rsidRPr="002909BF">
        <w:t xml:space="preserve"> PVRV in numerous sponsor</w:t>
      </w:r>
      <w:r w:rsidR="00D83BC0">
        <w:t>’s</w:t>
      </w:r>
      <w:r w:rsidRPr="002909BF">
        <w:t xml:space="preserve"> studies, including 2344 subjects as PrEP and 11,126</w:t>
      </w:r>
      <w:r w:rsidR="00E146DE" w:rsidRPr="002909BF">
        <w:t> </w:t>
      </w:r>
      <w:r w:rsidRPr="002909BF">
        <w:t>subjects as PEP (</w:t>
      </w:r>
      <w:r w:rsidR="00561784" w:rsidRPr="002909BF">
        <w:t xml:space="preserve">see </w:t>
      </w:r>
      <w:r w:rsidRPr="002909BF">
        <w:fldChar w:fldCharType="begin"/>
      </w:r>
      <w:r w:rsidRPr="002909BF">
        <w:instrText xml:space="preserve"> REF _Ref107222720 \h </w:instrText>
      </w:r>
      <w:r w:rsidR="003F0DC7" w:rsidRPr="002909BF">
        <w:instrText xml:space="preserve"> \* MERGEFORMAT </w:instrText>
      </w:r>
      <w:r w:rsidRPr="002909BF">
        <w:fldChar w:fldCharType="separate"/>
      </w:r>
      <w:r w:rsidR="00056FD1" w:rsidRPr="002909BF">
        <w:t xml:space="preserve">Table </w:t>
      </w:r>
      <w:r w:rsidR="00056FD1">
        <w:t>7</w:t>
      </w:r>
      <w:r w:rsidRPr="002909BF">
        <w:fldChar w:fldCharType="end"/>
      </w:r>
      <w:r w:rsidR="00561784" w:rsidRPr="002909BF">
        <w:t xml:space="preserve"> below</w:t>
      </w:r>
      <w:r w:rsidRPr="002909BF">
        <w:t>).</w:t>
      </w:r>
    </w:p>
    <w:p w14:paraId="6F2D927A" w14:textId="3E25D85F" w:rsidR="00E251B9" w:rsidRPr="002909BF" w:rsidRDefault="00E251B9" w:rsidP="003F0DC7">
      <w:r w:rsidRPr="002909BF">
        <w:t>This included 1</w:t>
      </w:r>
      <w:r w:rsidR="00E146DE" w:rsidRPr="002909BF">
        <w:t>,</w:t>
      </w:r>
      <w:r w:rsidRPr="002909BF">
        <w:t xml:space="preserve">790 subjects who received a </w:t>
      </w:r>
      <w:r w:rsidR="00EB184F" w:rsidRPr="002909BF">
        <w:t>sponsor’s</w:t>
      </w:r>
      <w:r w:rsidRPr="002909BF">
        <w:t xml:space="preserve"> PVRV booster dose 1</w:t>
      </w:r>
      <w:r w:rsidR="009B7DC3" w:rsidRPr="002909BF">
        <w:t xml:space="preserve"> to </w:t>
      </w:r>
      <w:r w:rsidRPr="002909BF">
        <w:t xml:space="preserve">5 years after the primary </w:t>
      </w:r>
      <w:r w:rsidR="00EB184F" w:rsidRPr="002909BF">
        <w:t>sponsor’s</w:t>
      </w:r>
      <w:r w:rsidRPr="002909BF">
        <w:t xml:space="preserve"> PVRV immunisation, 202 subjects who received a </w:t>
      </w:r>
      <w:r w:rsidR="00EB184F" w:rsidRPr="002909BF">
        <w:t>sponsor’s</w:t>
      </w:r>
      <w:r w:rsidRPr="002909BF">
        <w:t xml:space="preserve"> PVRV booster after a different primary rabies vaccine, </w:t>
      </w:r>
      <w:r w:rsidR="00E146DE" w:rsidRPr="002909BF">
        <w:t xml:space="preserve">more than </w:t>
      </w:r>
      <w:r w:rsidRPr="002909BF">
        <w:t>1</w:t>
      </w:r>
      <w:r w:rsidR="005534D9" w:rsidRPr="002909BF">
        <w:t>,</w:t>
      </w:r>
      <w:r w:rsidRPr="002909BF">
        <w:t>000 children (</w:t>
      </w:r>
      <w:r w:rsidR="00E146DE" w:rsidRPr="002909BF">
        <w:t xml:space="preserve">under </w:t>
      </w:r>
      <w:r w:rsidRPr="002909BF">
        <w:t>18</w:t>
      </w:r>
      <w:r w:rsidR="00E146DE" w:rsidRPr="002909BF">
        <w:t xml:space="preserve"> years old</w:t>
      </w:r>
      <w:r w:rsidRPr="002909BF">
        <w:t>), and 150</w:t>
      </w:r>
      <w:r w:rsidR="005534D9" w:rsidRPr="002909BF">
        <w:t> </w:t>
      </w:r>
      <w:r w:rsidRPr="002909BF">
        <w:t>patients bitten by a confirmed rabid animal.</w:t>
      </w:r>
    </w:p>
    <w:p w14:paraId="42595778" w14:textId="4C8AB265" w:rsidR="00E251B9" w:rsidRPr="002909BF" w:rsidRDefault="00E251B9" w:rsidP="003F0DC7">
      <w:r w:rsidRPr="002909BF">
        <w:t xml:space="preserve">More than 10,000 individuals have been exposed to </w:t>
      </w:r>
      <w:proofErr w:type="spellStart"/>
      <w:r w:rsidRPr="002909BF">
        <w:t>Verorab</w:t>
      </w:r>
      <w:proofErr w:type="spellEnd"/>
      <w:r w:rsidRPr="002909BF">
        <w:t xml:space="preserve"> in studies not conducted by </w:t>
      </w:r>
      <w:r w:rsidR="00EB184F" w:rsidRPr="002909BF">
        <w:t>the sponsor</w:t>
      </w:r>
      <w:r w:rsidRPr="002909BF">
        <w:t>, including studies with use in pregnancy.</w:t>
      </w:r>
    </w:p>
    <w:p w14:paraId="787D67E3" w14:textId="75E14343" w:rsidR="00E251B9" w:rsidRDefault="00E251B9" w:rsidP="00B02A93">
      <w:pPr>
        <w:pStyle w:val="TableTitle"/>
      </w:pPr>
      <w:bookmarkStart w:id="67" w:name="_Ref107222720"/>
      <w:r w:rsidRPr="002909BF">
        <w:t xml:space="preserve">Table </w:t>
      </w:r>
      <w:fldSimple w:instr=" SEQ Table \* ARABIC ">
        <w:r w:rsidR="00056FD1">
          <w:rPr>
            <w:noProof/>
          </w:rPr>
          <w:t>7</w:t>
        </w:r>
      </w:fldSimple>
      <w:bookmarkEnd w:id="67"/>
      <w:r w:rsidR="00E272C3">
        <w:rPr>
          <w:noProof/>
        </w:rPr>
        <w:t>:</w:t>
      </w:r>
      <w:r w:rsidRPr="002909BF">
        <w:t xml:space="preserve"> Exposure by administration method</w:t>
      </w:r>
      <w:r w:rsidR="0019042F">
        <w:t xml:space="preserve"> or </w:t>
      </w:r>
      <w:r w:rsidRPr="002909BF">
        <w:t>dosing regimen</w:t>
      </w:r>
    </w:p>
    <w:p w14:paraId="379932C8" w14:textId="28809329" w:rsidR="0019042F" w:rsidRDefault="0019042F" w:rsidP="00B02A93">
      <w:r>
        <w:rPr>
          <w:noProof/>
          <w:lang w:val="en-GB" w:eastAsia="en-GB"/>
        </w:rPr>
        <w:drawing>
          <wp:inline distT="0" distB="0" distL="0" distR="0" wp14:anchorId="2558EBEA" wp14:editId="242CFCCC">
            <wp:extent cx="5400040" cy="2280285"/>
            <wp:effectExtent l="0" t="0" r="0" b="5715"/>
            <wp:docPr id="6" name="Picture 6" descr="Table 7: Exposure by administration method or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7: Exposure by administration method or dosing regimen"/>
                    <pic:cNvPicPr/>
                  </pic:nvPicPr>
                  <pic:blipFill>
                    <a:blip r:embed="rId24"/>
                    <a:stretch>
                      <a:fillRect/>
                    </a:stretch>
                  </pic:blipFill>
                  <pic:spPr>
                    <a:xfrm>
                      <a:off x="0" y="0"/>
                      <a:ext cx="5400040" cy="2280285"/>
                    </a:xfrm>
                    <a:prstGeom prst="rect">
                      <a:avLst/>
                    </a:prstGeom>
                  </pic:spPr>
                </pic:pic>
              </a:graphicData>
            </a:graphic>
          </wp:inline>
        </w:drawing>
      </w:r>
    </w:p>
    <w:p w14:paraId="77C340D9" w14:textId="42D8B1DE" w:rsidR="0019042F" w:rsidRPr="00B02A93" w:rsidRDefault="0019042F" w:rsidP="00B02A93">
      <w:pPr>
        <w:pStyle w:val="TableDescription"/>
      </w:pPr>
      <w:r w:rsidRPr="00B02A93">
        <w:t>Abbreviations: ID = intradermal; IM = intramuscular; n = number of subjects; PEP = post-exposure prophylaxis; PrEP = pre-exposure prophylaxis; TRC = Thai Red Cross.</w:t>
      </w:r>
    </w:p>
    <w:p w14:paraId="32DD901A" w14:textId="38657868" w:rsidR="0019042F" w:rsidRPr="00B02A93" w:rsidRDefault="0019042F" w:rsidP="00B02A93">
      <w:pPr>
        <w:pStyle w:val="TableDescription"/>
      </w:pPr>
      <w:r w:rsidRPr="00B02A93">
        <w:t>*Study included in the integrated analysis</w:t>
      </w:r>
    </w:p>
    <w:p w14:paraId="7E0772BC" w14:textId="1E50AB74" w:rsidR="00E251B9" w:rsidRPr="00B02A93" w:rsidRDefault="0019042F" w:rsidP="00B02A93">
      <w:pPr>
        <w:pStyle w:val="TableDescription"/>
      </w:pPr>
      <w:r w:rsidRPr="00B02A93">
        <w:rPr>
          <w:rFonts w:hint="eastAsia"/>
        </w:rPr>
        <w:t>†</w:t>
      </w:r>
      <w:r w:rsidRPr="00B02A93">
        <w:t>Including 1,790 subjects previously vaccinated with purified Vero cell rabies vaccine in sponsor’s clinical trial and 202 subjects who had previously received another rabies vaccine or had vaccination history out of the clinical trial settings.</w:t>
      </w:r>
    </w:p>
    <w:p w14:paraId="7EC99F7D" w14:textId="742C9F83" w:rsidR="00E251B9" w:rsidRPr="002909BF" w:rsidRDefault="00D83BC0" w:rsidP="003F0DC7">
      <w:r>
        <w:t xml:space="preserve">Study 37 (the </w:t>
      </w:r>
      <w:r w:rsidR="00E251B9" w:rsidRPr="002909BF">
        <w:t xml:space="preserve">RAB40 </w:t>
      </w:r>
      <w:r>
        <w:t>trial)</w:t>
      </w:r>
      <w:r w:rsidR="00E251B9" w:rsidRPr="002909BF">
        <w:t xml:space="preserve"> did not include a 6-month safety follow-up.</w:t>
      </w:r>
    </w:p>
    <w:p w14:paraId="03DFDB58" w14:textId="1382D968" w:rsidR="00C1787D" w:rsidRPr="002909BF" w:rsidRDefault="00E251B9" w:rsidP="003F0DC7">
      <w:pPr>
        <w:pStyle w:val="Heading7"/>
        <w:rPr>
          <w:sz w:val="22"/>
          <w:szCs w:val="28"/>
        </w:rPr>
      </w:pPr>
      <w:r w:rsidRPr="002909BF">
        <w:rPr>
          <w:sz w:val="22"/>
          <w:szCs w:val="28"/>
        </w:rPr>
        <w:t xml:space="preserve">Exposure in </w:t>
      </w:r>
      <w:r w:rsidR="007D7576">
        <w:rPr>
          <w:sz w:val="22"/>
          <w:szCs w:val="28"/>
        </w:rPr>
        <w:t xml:space="preserve">Study </w:t>
      </w:r>
      <w:r w:rsidRPr="002909BF">
        <w:rPr>
          <w:sz w:val="22"/>
          <w:szCs w:val="28"/>
        </w:rPr>
        <w:t>VAJ00001</w:t>
      </w:r>
    </w:p>
    <w:p w14:paraId="17F86EBB" w14:textId="68E3AD9D" w:rsidR="00E251B9" w:rsidRPr="002909BF" w:rsidRDefault="005534D9" w:rsidP="003F0DC7">
      <w:r w:rsidRPr="002909BF">
        <w:t xml:space="preserve">There were </w:t>
      </w:r>
      <w:r w:rsidR="00E251B9" w:rsidRPr="002909BF">
        <w:t>570 subjects in the PrEP group, and 514 subjects in the simulated PEP group.</w:t>
      </w:r>
    </w:p>
    <w:p w14:paraId="30BCBA33" w14:textId="77777777" w:rsidR="00E251B9" w:rsidRPr="002909BF" w:rsidRDefault="00E251B9" w:rsidP="00C1787D">
      <w:pPr>
        <w:pStyle w:val="Heading6"/>
      </w:pPr>
      <w:r w:rsidRPr="002909BF">
        <w:lastRenderedPageBreak/>
        <w:t>Adverse event/reaction overview</w:t>
      </w:r>
      <w:bookmarkStart w:id="68" w:name="_Ref36559577"/>
      <w:bookmarkStart w:id="69" w:name="_Toc490668352"/>
    </w:p>
    <w:p w14:paraId="5F7DAC3E" w14:textId="5F1B9727" w:rsidR="00C1787D" w:rsidRPr="002909BF" w:rsidRDefault="00E251B9" w:rsidP="00C1787D">
      <w:pPr>
        <w:pStyle w:val="Heading7"/>
        <w:rPr>
          <w:sz w:val="22"/>
          <w:szCs w:val="28"/>
          <w:lang w:eastAsia="ja-JP"/>
        </w:rPr>
      </w:pPr>
      <w:r w:rsidRPr="002909BF">
        <w:rPr>
          <w:sz w:val="22"/>
          <w:szCs w:val="28"/>
          <w:lang w:eastAsia="ja-JP"/>
        </w:rPr>
        <w:t xml:space="preserve">Integrated safety analysis </w:t>
      </w:r>
      <w:r w:rsidR="00FE7AFF">
        <w:rPr>
          <w:sz w:val="22"/>
          <w:szCs w:val="28"/>
          <w:lang w:eastAsia="ja-JP"/>
        </w:rPr>
        <w:t>of</w:t>
      </w:r>
      <w:r w:rsidR="00C100B8">
        <w:rPr>
          <w:sz w:val="22"/>
          <w:szCs w:val="28"/>
          <w:lang w:eastAsia="ja-JP"/>
        </w:rPr>
        <w:t xml:space="preserve"> pivotal </w:t>
      </w:r>
      <w:r w:rsidR="00C100B8" w:rsidRPr="00C100B8">
        <w:rPr>
          <w:sz w:val="22"/>
          <w:szCs w:val="28"/>
          <w:lang w:eastAsia="ja-JP"/>
        </w:rPr>
        <w:t>studies (Studies 36</w:t>
      </w:r>
      <w:r w:rsidR="00FE7AFF">
        <w:rPr>
          <w:sz w:val="22"/>
          <w:szCs w:val="28"/>
          <w:lang w:eastAsia="ja-JP"/>
        </w:rPr>
        <w:t xml:space="preserve">, </w:t>
      </w:r>
      <w:r w:rsidR="00C100B8" w:rsidRPr="00C100B8">
        <w:rPr>
          <w:sz w:val="22"/>
          <w:szCs w:val="28"/>
          <w:lang w:eastAsia="ja-JP"/>
        </w:rPr>
        <w:t>37 and 38)</w:t>
      </w:r>
    </w:p>
    <w:p w14:paraId="53400E31" w14:textId="0C8963A8" w:rsidR="00E251B9" w:rsidRPr="002909BF" w:rsidRDefault="00E251B9" w:rsidP="003F0DC7">
      <w:r w:rsidRPr="002909BF">
        <w:t xml:space="preserve">Few subjects experienced immediate unsolicited </w:t>
      </w:r>
      <w:r w:rsidR="00A45291" w:rsidRPr="002909BF">
        <w:t>adverse event</w:t>
      </w:r>
      <w:r w:rsidRPr="002909BF">
        <w:t xml:space="preserve">s (0.8%), immediate unsolicited </w:t>
      </w:r>
      <w:r w:rsidR="00A45291" w:rsidRPr="002909BF">
        <w:t>adverse reaction</w:t>
      </w:r>
      <w:r w:rsidRPr="002909BF">
        <w:t xml:space="preserve">s (0.2%), and </w:t>
      </w:r>
      <w:r w:rsidR="00A45291" w:rsidRPr="002909BF">
        <w:t>adverse event</w:t>
      </w:r>
      <w:r w:rsidRPr="002909BF">
        <w:t>s leading to study discontinuation (0.6%).</w:t>
      </w:r>
    </w:p>
    <w:p w14:paraId="5B6D5B92" w14:textId="6F20575E" w:rsidR="00E251B9" w:rsidRPr="002909BF" w:rsidRDefault="00E251B9" w:rsidP="003F0DC7">
      <w:r w:rsidRPr="002909BF">
        <w:t>Solicited reactions were reported by 82.4% (</w:t>
      </w:r>
      <w:r w:rsidR="00E146DE" w:rsidRPr="002909BF">
        <w:t xml:space="preserve">under </w:t>
      </w:r>
      <w:r w:rsidRPr="002909BF">
        <w:t>2</w:t>
      </w:r>
      <w:r w:rsidR="00E146DE" w:rsidRPr="002909BF">
        <w:t xml:space="preserve"> years old</w:t>
      </w:r>
      <w:r w:rsidRPr="002909BF">
        <w:t>; small sample at n</w:t>
      </w:r>
      <w:r w:rsidR="005534D9" w:rsidRPr="002909BF">
        <w:t> </w:t>
      </w:r>
      <w:r w:rsidRPr="002909BF">
        <w:t>=</w:t>
      </w:r>
      <w:r w:rsidR="005534D9" w:rsidRPr="002909BF">
        <w:t> </w:t>
      </w:r>
      <w:r w:rsidRPr="002909BF">
        <w:t>17), 75.4% (2</w:t>
      </w:r>
      <w:r w:rsidR="009B7DC3" w:rsidRPr="002909BF">
        <w:t xml:space="preserve"> to </w:t>
      </w:r>
      <w:r w:rsidRPr="002909BF">
        <w:t>11</w:t>
      </w:r>
      <w:r w:rsidR="009B7DC3" w:rsidRPr="002909BF">
        <w:t> </w:t>
      </w:r>
      <w:r w:rsidRPr="002909BF">
        <w:t>y</w:t>
      </w:r>
      <w:r w:rsidR="009B7DC3" w:rsidRPr="002909BF">
        <w:t>ears old</w:t>
      </w:r>
      <w:r w:rsidRPr="002909BF">
        <w:t>), 52.5% (12</w:t>
      </w:r>
      <w:r w:rsidR="00C9786A" w:rsidRPr="002909BF">
        <w:t xml:space="preserve"> to </w:t>
      </w:r>
      <w:r w:rsidRPr="002909BF">
        <w:t>17</w:t>
      </w:r>
      <w:r w:rsidR="00C9786A" w:rsidRPr="002909BF">
        <w:t xml:space="preserve"> </w:t>
      </w:r>
      <w:r w:rsidRPr="002909BF">
        <w:t>y</w:t>
      </w:r>
      <w:r w:rsidR="00C9786A" w:rsidRPr="002909BF">
        <w:t>ears old</w:t>
      </w:r>
      <w:r w:rsidRPr="002909BF">
        <w:t>), 61.7% (</w:t>
      </w:r>
      <w:r w:rsidR="007A3A23" w:rsidRPr="002909BF">
        <w:t xml:space="preserve">18 years and </w:t>
      </w:r>
      <w:r w:rsidR="00E146DE" w:rsidRPr="002909BF">
        <w:t>older</w:t>
      </w:r>
      <w:r w:rsidRPr="002909BF">
        <w:t>). Adverse reactions were generally of mild intensity and appeared within 3 days after vaccination. Most reactions resolved spontaneously within 1 to 3 days after onset. The most frequent systemic adverse reactions in all age groups were headache, malaise, and myalgia.</w:t>
      </w:r>
    </w:p>
    <w:p w14:paraId="0D5ECDDA" w14:textId="6E7DCBCB" w:rsidR="00E251B9" w:rsidRPr="002909BF" w:rsidRDefault="00E251B9" w:rsidP="003F0DC7">
      <w:r w:rsidRPr="002909BF">
        <w:t xml:space="preserve">Injection site pain was the most frequent injection site reaction for both routes of administration. Comparing </w:t>
      </w:r>
      <w:r w:rsidR="00E146DE" w:rsidRPr="002909BF">
        <w:t xml:space="preserve">under </w:t>
      </w:r>
      <w:r w:rsidRPr="002909BF">
        <w:t>18</w:t>
      </w:r>
      <w:r w:rsidR="00E146DE" w:rsidRPr="002909BF">
        <w:t xml:space="preserve"> </w:t>
      </w:r>
      <w:r w:rsidR="00FC0AB4" w:rsidRPr="002909BF">
        <w:t xml:space="preserve">years old group </w:t>
      </w:r>
      <w:r w:rsidRPr="002909BF">
        <w:t xml:space="preserve">and </w:t>
      </w:r>
      <w:r w:rsidR="007A3A23" w:rsidRPr="002909BF">
        <w:t xml:space="preserve">18 years and </w:t>
      </w:r>
      <w:r w:rsidR="00E146DE" w:rsidRPr="002909BF">
        <w:t>older</w:t>
      </w:r>
      <w:r w:rsidRPr="002909BF">
        <w:t xml:space="preserve"> group, the proportion of solicited injection site reactions was 60.9% </w:t>
      </w:r>
      <w:r w:rsidR="0075406F" w:rsidRPr="002909BF">
        <w:t>versus</w:t>
      </w:r>
      <w:r w:rsidRPr="002909BF">
        <w:t xml:space="preserve"> 47.6% (</w:t>
      </w:r>
      <w:r w:rsidR="0075406F" w:rsidRPr="002909BF">
        <w:t>that is,</w:t>
      </w:r>
      <w:r w:rsidRPr="002909BF">
        <w:t xml:space="preserve"> higher in paediatric and adolescent subjects). Injection site reactions (pain, erythema and swelling) were more frequent following </w:t>
      </w:r>
      <w:r w:rsidR="009A0559" w:rsidRPr="002909BF">
        <w:t>intradermal</w:t>
      </w:r>
      <w:r w:rsidRPr="002909BF">
        <w:t xml:space="preserve"> injection versus </w:t>
      </w:r>
      <w:r w:rsidR="009A0559" w:rsidRPr="002909BF">
        <w:t>intramuscular</w:t>
      </w:r>
      <w:r w:rsidRPr="002909BF">
        <w:t xml:space="preserve"> injection</w:t>
      </w:r>
      <w:r w:rsidR="00FC0AB4" w:rsidRPr="002909BF">
        <w:t>.</w:t>
      </w:r>
    </w:p>
    <w:p w14:paraId="090BE78F" w14:textId="3E313DCF" w:rsidR="00E251B9" w:rsidRDefault="00FC0AB4" w:rsidP="003F0DC7">
      <w:r w:rsidRPr="002909BF">
        <w:t xml:space="preserve">There were </w:t>
      </w:r>
      <w:r w:rsidR="00E251B9" w:rsidRPr="002909BF">
        <w:t xml:space="preserve">36.4% </w:t>
      </w:r>
      <w:r w:rsidRPr="002909BF">
        <w:t xml:space="preserve">of the participants </w:t>
      </w:r>
      <w:r w:rsidR="00E251B9" w:rsidRPr="002909BF">
        <w:t xml:space="preserve">experienced at least </w:t>
      </w:r>
      <w:r w:rsidRPr="002909BF">
        <w:t>one</w:t>
      </w:r>
      <w:r w:rsidR="00E251B9" w:rsidRPr="002909BF">
        <w:t xml:space="preserve"> unsolicited non</w:t>
      </w:r>
      <w:r w:rsidRPr="002909BF">
        <w:noBreakHyphen/>
      </w:r>
      <w:r w:rsidR="00E251B9" w:rsidRPr="002909BF">
        <w:t xml:space="preserve">serious systemic </w:t>
      </w:r>
      <w:r w:rsidR="00A45291" w:rsidRPr="002909BF">
        <w:t>adverse event</w:t>
      </w:r>
      <w:r w:rsidR="00E251B9" w:rsidRPr="002909BF">
        <w:t>. They were reported by 82.4% (</w:t>
      </w:r>
      <w:r w:rsidR="00E146DE" w:rsidRPr="002909BF">
        <w:t>under 2 years old</w:t>
      </w:r>
      <w:r w:rsidR="00E251B9" w:rsidRPr="002909BF">
        <w:t>; small sample at n</w:t>
      </w:r>
      <w:r w:rsidR="005534D9" w:rsidRPr="002909BF">
        <w:t> </w:t>
      </w:r>
      <w:r w:rsidR="00E251B9" w:rsidRPr="002909BF">
        <w:t>=</w:t>
      </w:r>
      <w:r w:rsidR="005534D9" w:rsidRPr="002909BF">
        <w:t> </w:t>
      </w:r>
      <w:r w:rsidR="00E251B9" w:rsidRPr="002909BF">
        <w:t>17), 47.5% (2</w:t>
      </w:r>
      <w:r w:rsidR="00C9786A" w:rsidRPr="002909BF">
        <w:t xml:space="preserve"> to </w:t>
      </w:r>
      <w:r w:rsidR="00E251B9" w:rsidRPr="002909BF">
        <w:t>11</w:t>
      </w:r>
      <w:r w:rsidR="00C9786A" w:rsidRPr="002909BF">
        <w:t xml:space="preserve"> </w:t>
      </w:r>
      <w:r w:rsidR="00E251B9" w:rsidRPr="002909BF">
        <w:t>y</w:t>
      </w:r>
      <w:r w:rsidR="00C9786A" w:rsidRPr="002909BF">
        <w:t>ears old</w:t>
      </w:r>
      <w:r w:rsidR="00E251B9" w:rsidRPr="002909BF">
        <w:t>), 21.3% (12</w:t>
      </w:r>
      <w:r w:rsidR="00C9786A" w:rsidRPr="002909BF">
        <w:t xml:space="preserve"> to </w:t>
      </w:r>
      <w:r w:rsidR="00E251B9" w:rsidRPr="002909BF">
        <w:t>17</w:t>
      </w:r>
      <w:r w:rsidR="005534D9" w:rsidRPr="002909BF">
        <w:t> </w:t>
      </w:r>
      <w:r w:rsidR="00E251B9" w:rsidRPr="002909BF">
        <w:t>y</w:t>
      </w:r>
      <w:r w:rsidR="00C9786A" w:rsidRPr="002909BF">
        <w:t>ears old</w:t>
      </w:r>
      <w:r w:rsidR="00E251B9" w:rsidRPr="002909BF">
        <w:t>)</w:t>
      </w:r>
      <w:r w:rsidRPr="002909BF">
        <w:t xml:space="preserve"> and</w:t>
      </w:r>
      <w:r w:rsidR="00E251B9" w:rsidRPr="002909BF">
        <w:t xml:space="preserve"> 32.8% (</w:t>
      </w:r>
      <w:r w:rsidR="007A3A23" w:rsidRPr="002909BF">
        <w:t xml:space="preserve">18 years and </w:t>
      </w:r>
      <w:r w:rsidR="00E146DE" w:rsidRPr="002909BF">
        <w:t>older</w:t>
      </w:r>
      <w:r w:rsidR="00E251B9" w:rsidRPr="002909BF">
        <w:t>).</w:t>
      </w:r>
    </w:p>
    <w:p w14:paraId="021D0CB0" w14:textId="79DB5DD4" w:rsidR="00DE70FF" w:rsidRDefault="00DE70FF" w:rsidP="003F0DC7">
      <w:r w:rsidRPr="00DE70FF">
        <w:t xml:space="preserve">A summary of solicited and unsolicited systemic and injection site reactions by system organ class and preferred term is provided in </w:t>
      </w:r>
      <w:r w:rsidR="00203F3B">
        <w:fldChar w:fldCharType="begin"/>
      </w:r>
      <w:r w:rsidR="00203F3B">
        <w:instrText xml:space="preserve"> REF _Ref108095836 \h </w:instrText>
      </w:r>
      <w:r w:rsidR="00203F3B">
        <w:fldChar w:fldCharType="separate"/>
      </w:r>
      <w:r w:rsidR="00056FD1" w:rsidRPr="00B02A93">
        <w:t xml:space="preserve">Table </w:t>
      </w:r>
      <w:r w:rsidR="00056FD1">
        <w:rPr>
          <w:noProof/>
        </w:rPr>
        <w:t>8</w:t>
      </w:r>
      <w:r w:rsidR="00203F3B">
        <w:fldChar w:fldCharType="end"/>
      </w:r>
      <w:r w:rsidR="00203F3B">
        <w:t xml:space="preserve"> below</w:t>
      </w:r>
      <w:r w:rsidRPr="00DE70FF">
        <w:t>.</w:t>
      </w:r>
    </w:p>
    <w:p w14:paraId="383DCE1E" w14:textId="3C98C6C3" w:rsidR="00203F3B" w:rsidRPr="00B02A93" w:rsidRDefault="00203F3B" w:rsidP="00B02A93">
      <w:pPr>
        <w:pStyle w:val="TableTitle"/>
      </w:pPr>
      <w:bookmarkStart w:id="70" w:name="_Ref108095836"/>
      <w:r w:rsidRPr="00B02A93">
        <w:lastRenderedPageBreak/>
        <w:t xml:space="preserve">Table </w:t>
      </w:r>
      <w:fldSimple w:instr=" SEQ Table \* ARABIC ">
        <w:r w:rsidR="00056FD1">
          <w:rPr>
            <w:noProof/>
          </w:rPr>
          <w:t>8</w:t>
        </w:r>
      </w:fldSimple>
      <w:bookmarkEnd w:id="70"/>
      <w:r w:rsidR="00911489" w:rsidRPr="00B02A93">
        <w:t>:</w:t>
      </w:r>
      <w:r w:rsidRPr="00B02A93">
        <w:t xml:space="preserve"> Solicited and unsolicited systemic and injection site </w:t>
      </w:r>
      <w:r w:rsidR="00911489" w:rsidRPr="00B02A93">
        <w:t>adverse reactions</w:t>
      </w:r>
      <w:r w:rsidRPr="00B02A93">
        <w:t xml:space="preserve"> (regardless of route of administration) up to 28 days after any </w:t>
      </w:r>
      <w:r w:rsidR="00911489" w:rsidRPr="00B02A93">
        <w:t xml:space="preserve">sponsor’s purified Vero cell rabies vaccine </w:t>
      </w:r>
      <w:r w:rsidRPr="00B02A93">
        <w:t xml:space="preserve">injection by </w:t>
      </w:r>
      <w:r w:rsidR="00911489" w:rsidRPr="00B02A93">
        <w:t xml:space="preserve">System Organ Class </w:t>
      </w:r>
      <w:r w:rsidRPr="00B02A93">
        <w:t xml:space="preserve">and </w:t>
      </w:r>
      <w:r w:rsidR="00911489" w:rsidRPr="00B02A93">
        <w:t>Preferred Term</w:t>
      </w:r>
    </w:p>
    <w:p w14:paraId="3BD93BCD" w14:textId="11A7AB53" w:rsidR="00911489" w:rsidRPr="00911489" w:rsidRDefault="00911489" w:rsidP="00B02A93">
      <w:pPr>
        <w:rPr>
          <w:lang w:eastAsia="ja-JP"/>
        </w:rPr>
      </w:pPr>
      <w:r>
        <w:rPr>
          <w:noProof/>
          <w:lang w:val="en-GB" w:eastAsia="en-GB"/>
        </w:rPr>
        <w:drawing>
          <wp:inline distT="0" distB="0" distL="0" distR="0" wp14:anchorId="1AF8165E" wp14:editId="7C3DDC77">
            <wp:extent cx="5393690" cy="7211695"/>
            <wp:effectExtent l="0" t="0" r="0" b="8255"/>
            <wp:docPr id="1" name="Picture 1" descr="Table 8: Solicited and unsolicited systemic and injection site adverse reactions (regardless of route of administration) up to 28 days after any sponsor’s purified Vero cell rabies vaccine injection by System Organ Class and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8: Solicited and unsolicited systemic and injection site adverse reactions (regardless of route of administration) up to 28 days after any sponsor’s purified Vero cell rabies vaccine injection by System Organ Class and Preferred Ter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3690" cy="7211695"/>
                    </a:xfrm>
                    <a:prstGeom prst="rect">
                      <a:avLst/>
                    </a:prstGeom>
                    <a:noFill/>
                    <a:ln>
                      <a:noFill/>
                    </a:ln>
                  </pic:spPr>
                </pic:pic>
              </a:graphicData>
            </a:graphic>
          </wp:inline>
        </w:drawing>
      </w:r>
    </w:p>
    <w:p w14:paraId="4A80A609" w14:textId="77777777" w:rsidR="00911489" w:rsidRPr="00B02A93" w:rsidRDefault="00911489" w:rsidP="00B02A93">
      <w:pPr>
        <w:pStyle w:val="TableDescription"/>
        <w:sectPr w:rsidR="00911489" w:rsidRPr="00B02A93" w:rsidSect="00B452CE">
          <w:headerReference w:type="even" r:id="rId26"/>
          <w:headerReference w:type="default" r:id="rId27"/>
          <w:headerReference w:type="first" r:id="rId28"/>
          <w:footerReference w:type="first" r:id="rId29"/>
          <w:pgSz w:w="11906" w:h="16838" w:code="9"/>
          <w:pgMar w:top="834" w:right="1701" w:bottom="1191" w:left="1701" w:header="907" w:footer="216" w:gutter="0"/>
          <w:cols w:space="708"/>
          <w:docGrid w:linePitch="360"/>
        </w:sectPr>
      </w:pPr>
      <w:r w:rsidRPr="00B02A93">
        <w:t>Abbreviations: AR = adverse reaction; CI = confidence interval; N = total number of subjects; n = number of subjects in the subgroup.</w:t>
      </w:r>
    </w:p>
    <w:p w14:paraId="725E0F45" w14:textId="2C946936" w:rsidR="00911489" w:rsidRPr="00E272C3" w:rsidRDefault="00E272C3" w:rsidP="00E272C3">
      <w:pPr>
        <w:pStyle w:val="TableTitle"/>
      </w:pPr>
      <w:r w:rsidRPr="00E272C3">
        <w:lastRenderedPageBreak/>
        <w:fldChar w:fldCharType="begin"/>
      </w:r>
      <w:r w:rsidRPr="00E272C3">
        <w:instrText xml:space="preserve"> REF _Ref108095836 \h </w:instrText>
      </w:r>
      <w:r>
        <w:instrText xml:space="preserve"> \* MERGEFORMAT </w:instrText>
      </w:r>
      <w:r w:rsidRPr="00E272C3">
        <w:fldChar w:fldCharType="separate"/>
      </w:r>
      <w:r w:rsidR="00056FD1" w:rsidRPr="00B02A93">
        <w:t xml:space="preserve">Table </w:t>
      </w:r>
      <w:r w:rsidR="00056FD1">
        <w:t>8</w:t>
      </w:r>
      <w:r w:rsidRPr="00E272C3">
        <w:fldChar w:fldCharType="end"/>
      </w:r>
      <w:r w:rsidR="00911489" w:rsidRPr="00E272C3">
        <w:t xml:space="preserve"> continued: Solicited and unsolicited systemic and injection site adverse reactions (regardless of route of administration) up to 28 days after any sponsor’s purified Vero cell rabies vaccine injection by System Organ Class and Preferred Term</w:t>
      </w:r>
    </w:p>
    <w:p w14:paraId="6373A7F6" w14:textId="5F8C9322" w:rsidR="00911489" w:rsidRDefault="00911489" w:rsidP="00B02A93">
      <w:r>
        <w:rPr>
          <w:noProof/>
          <w:lang w:val="en-GB" w:eastAsia="en-GB"/>
        </w:rPr>
        <w:drawing>
          <wp:inline distT="0" distB="0" distL="0" distR="0" wp14:anchorId="1E8E8663" wp14:editId="74D6CFFB">
            <wp:extent cx="5393690" cy="7211695"/>
            <wp:effectExtent l="0" t="0" r="0" b="8255"/>
            <wp:docPr id="9" name="Picture 9" descr="Table 8 continued: Solicited and unsolicited systemic and injection site adverse reactions (regardless of route of administration) up to 28 days after any sponsor’s purified Vero cell rabies vaccine injection by System Organ Class and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8 continued: Solicited and unsolicited systemic and injection site adverse reactions (regardless of route of administration) up to 28 days after any sponsor’s purified Vero cell rabies vaccine injection by System Organ Class and Preferred Ter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3690" cy="7211695"/>
                    </a:xfrm>
                    <a:prstGeom prst="rect">
                      <a:avLst/>
                    </a:prstGeom>
                    <a:noFill/>
                    <a:ln>
                      <a:noFill/>
                    </a:ln>
                  </pic:spPr>
                </pic:pic>
              </a:graphicData>
            </a:graphic>
          </wp:inline>
        </w:drawing>
      </w:r>
    </w:p>
    <w:p w14:paraId="2EF57045" w14:textId="45E0A6F4" w:rsidR="00911489" w:rsidRPr="002909BF" w:rsidRDefault="00911489" w:rsidP="00B02A93">
      <w:pPr>
        <w:pStyle w:val="TableDescription"/>
      </w:pPr>
      <w:r>
        <w:t>Abbreviations: AR = adverse reaction; CI = confidence interval; N = total number of subjects; n = number of subjects in the subgroup</w:t>
      </w:r>
      <w:r w:rsidR="00B02A93">
        <w:t>.</w:t>
      </w:r>
    </w:p>
    <w:p w14:paraId="3E6B0096" w14:textId="77777777" w:rsidR="00C1787D" w:rsidRPr="002909BF" w:rsidRDefault="00E251B9" w:rsidP="00C1787D">
      <w:pPr>
        <w:pStyle w:val="Heading7"/>
        <w:rPr>
          <w:sz w:val="22"/>
          <w:szCs w:val="28"/>
          <w:lang w:eastAsia="ja-JP"/>
        </w:rPr>
      </w:pPr>
      <w:r w:rsidRPr="002909BF">
        <w:rPr>
          <w:sz w:val="22"/>
          <w:szCs w:val="28"/>
          <w:lang w:eastAsia="ja-JP"/>
        </w:rPr>
        <w:lastRenderedPageBreak/>
        <w:t>Study VAJ0001</w:t>
      </w:r>
    </w:p>
    <w:p w14:paraId="45FE8FBE" w14:textId="2BF00D7C" w:rsidR="00E251B9" w:rsidRPr="002909BF" w:rsidRDefault="00E251B9" w:rsidP="003F0DC7">
      <w:r w:rsidRPr="002909BF">
        <w:t xml:space="preserve">Comparing the rates of injection site and systemic reactions in the </w:t>
      </w:r>
      <w:r w:rsidR="00EB184F" w:rsidRPr="002909BF">
        <w:t>sponsor’s</w:t>
      </w:r>
      <w:r w:rsidRPr="002909BF">
        <w:t xml:space="preserve"> PVRV groups to the integrated safety analysis data (pivotal studies), they were lower for all events, except for fever in children (</w:t>
      </w:r>
      <w:r w:rsidR="00FC0AB4" w:rsidRPr="002909BF">
        <w:t xml:space="preserve">with </w:t>
      </w:r>
      <w:r w:rsidRPr="002909BF">
        <w:t xml:space="preserve">similar rate: 9.9%), and injection site pain for the </w:t>
      </w:r>
      <w:r w:rsidR="009A0559" w:rsidRPr="002909BF">
        <w:t>intramuscular</w:t>
      </w:r>
      <w:r w:rsidRPr="002909BF">
        <w:t xml:space="preserve"> route (Group 4) in children reported more frequently (28% in </w:t>
      </w:r>
      <w:r w:rsidR="007D7576">
        <w:t>Study </w:t>
      </w:r>
      <w:r w:rsidRPr="002909BF">
        <w:t xml:space="preserve">VAJ00001 </w:t>
      </w:r>
      <w:r w:rsidR="0075406F" w:rsidRPr="002909BF">
        <w:t>versus</w:t>
      </w:r>
      <w:r w:rsidRPr="002909BF">
        <w:t xml:space="preserve"> 14% in the previous analysis). This was similar in the simulated PEP phase. Unsolicited </w:t>
      </w:r>
      <w:r w:rsidR="00A45291" w:rsidRPr="002909BF">
        <w:t>adverse reaction</w:t>
      </w:r>
      <w:r w:rsidRPr="002909BF">
        <w:t xml:space="preserve">s were all nonserious and included upper respiratory tract infection, and nasopharyngitis. No unsolicited </w:t>
      </w:r>
      <w:r w:rsidR="00A45291" w:rsidRPr="002909BF">
        <w:t>adverse reaction</w:t>
      </w:r>
      <w:r w:rsidRPr="002909BF">
        <w:t>s were reported in the simulated PEP phase.</w:t>
      </w:r>
    </w:p>
    <w:p w14:paraId="51DD3CF2" w14:textId="15E24AA7" w:rsidR="00E251B9" w:rsidRPr="002909BF" w:rsidRDefault="00A45291" w:rsidP="003F0DC7">
      <w:r w:rsidRPr="002909BF">
        <w:t>In o</w:t>
      </w:r>
      <w:r w:rsidR="00E251B9" w:rsidRPr="002909BF">
        <w:t xml:space="preserve">ther PrEP </w:t>
      </w:r>
      <w:r w:rsidR="009A0559" w:rsidRPr="002909BF">
        <w:t>intramuscular</w:t>
      </w:r>
      <w:r w:rsidR="00E251B9" w:rsidRPr="002909BF">
        <w:t xml:space="preserve"> studies</w:t>
      </w:r>
      <w:r w:rsidRPr="002909BF">
        <w:t>, i</w:t>
      </w:r>
      <w:r w:rsidR="00E251B9" w:rsidRPr="002909BF">
        <w:t>mmediate reactions were generally mild in intensity, and resolved quickly, usually without intervention. No severe</w:t>
      </w:r>
      <w:r w:rsidR="00CA1686" w:rsidRPr="002909BF">
        <w:t xml:space="preserve"> or </w:t>
      </w:r>
      <w:r w:rsidR="00E251B9" w:rsidRPr="002909BF">
        <w:t xml:space="preserve">Grade 3 immediate </w:t>
      </w:r>
      <w:r w:rsidRPr="002909BF">
        <w:t>adverse event</w:t>
      </w:r>
      <w:r w:rsidR="00E251B9" w:rsidRPr="002909BF">
        <w:t>s were reported.</w:t>
      </w:r>
    </w:p>
    <w:p w14:paraId="2F77F059" w14:textId="629710F4" w:rsidR="00E251B9" w:rsidRPr="002909BF" w:rsidRDefault="00E251B9" w:rsidP="003F0DC7">
      <w:r w:rsidRPr="002909BF">
        <w:t>The most frequently reported injection site reactions included pain (10%</w:t>
      </w:r>
      <w:r w:rsidR="00C10917" w:rsidRPr="002909BF">
        <w:t xml:space="preserve"> or more</w:t>
      </w:r>
      <w:r w:rsidRPr="002909BF">
        <w:t xml:space="preserve">), redness, induration, erythema, and itching. Injection site reactions tended to decrease with subsequent </w:t>
      </w:r>
      <w:r w:rsidR="009A0559" w:rsidRPr="002909BF">
        <w:t>intramuscular</w:t>
      </w:r>
      <w:r w:rsidRPr="002909BF">
        <w:t xml:space="preserve"> </w:t>
      </w:r>
      <w:r w:rsidR="00EB184F" w:rsidRPr="002909BF">
        <w:t>sponsor’s</w:t>
      </w:r>
      <w:r w:rsidRPr="002909BF">
        <w:t xml:space="preserve"> PVRV vaccinations.</w:t>
      </w:r>
    </w:p>
    <w:p w14:paraId="274C5768" w14:textId="0EFB8BCF" w:rsidR="00E251B9" w:rsidRPr="002909BF" w:rsidRDefault="00E251B9" w:rsidP="003F0DC7">
      <w:r w:rsidRPr="002909BF">
        <w:t>The most frequently reported solicited systemic reactions included insomnia (in infants</w:t>
      </w:r>
      <w:r w:rsidR="00CA1686" w:rsidRPr="002909BF">
        <w:t xml:space="preserve"> or </w:t>
      </w:r>
      <w:r w:rsidRPr="002909BF">
        <w:t xml:space="preserve">toddlers), fever, and headache, reported by 15% </w:t>
      </w:r>
      <w:r w:rsidR="00A85144" w:rsidRPr="002909BF">
        <w:t xml:space="preserve">or less </w:t>
      </w:r>
      <w:r w:rsidRPr="002909BF">
        <w:t>of subjects in any study. Other systemic reactions of fatigue, asthenia, nausea, vomiting, rash, influenza</w:t>
      </w:r>
      <w:r w:rsidR="00C9786A" w:rsidRPr="002909BF">
        <w:t xml:space="preserve"> </w:t>
      </w:r>
      <w:r w:rsidRPr="002909BF">
        <w:t xml:space="preserve">like symptoms, and arthralgia (in adults) were each reported in </w:t>
      </w:r>
      <w:r w:rsidR="00E146DE" w:rsidRPr="002909BF">
        <w:t xml:space="preserve">less than </w:t>
      </w:r>
      <w:r w:rsidRPr="002909BF">
        <w:t>10% of subjects. Most were mild</w:t>
      </w:r>
      <w:r w:rsidR="00CA1686" w:rsidRPr="002909BF">
        <w:t xml:space="preserve"> or </w:t>
      </w:r>
      <w:r w:rsidRPr="002909BF">
        <w:t>moderate and generally resolved quickly without treatment. Severe</w:t>
      </w:r>
      <w:r w:rsidR="00CA1686" w:rsidRPr="002909BF">
        <w:t xml:space="preserve"> or </w:t>
      </w:r>
      <w:r w:rsidRPr="002909BF">
        <w:t xml:space="preserve">Grade 3 solicited systemic reactions were infrequent and included fever, headache, </w:t>
      </w:r>
      <w:proofErr w:type="gramStart"/>
      <w:r w:rsidRPr="002909BF">
        <w:t>malaise</w:t>
      </w:r>
      <w:proofErr w:type="gramEnd"/>
      <w:r w:rsidRPr="002909BF">
        <w:t xml:space="preserve"> and myalgia.</w:t>
      </w:r>
    </w:p>
    <w:p w14:paraId="2F702C23" w14:textId="31C51E7F" w:rsidR="00C1787D" w:rsidRPr="002909BF" w:rsidRDefault="00E251B9" w:rsidP="00C1787D">
      <w:pPr>
        <w:pStyle w:val="Heading7"/>
        <w:rPr>
          <w:sz w:val="22"/>
          <w:szCs w:val="28"/>
          <w:lang w:eastAsia="ja-JP"/>
        </w:rPr>
      </w:pPr>
      <w:r w:rsidRPr="002909BF">
        <w:rPr>
          <w:sz w:val="22"/>
          <w:szCs w:val="28"/>
          <w:lang w:eastAsia="ja-JP"/>
        </w:rPr>
        <w:t xml:space="preserve">Other </w:t>
      </w:r>
      <w:r w:rsidR="00CA1686" w:rsidRPr="002909BF">
        <w:rPr>
          <w:sz w:val="22"/>
          <w:szCs w:val="28"/>
          <w:lang w:eastAsia="ja-JP"/>
        </w:rPr>
        <w:t xml:space="preserve">pre-exposure prophylaxis </w:t>
      </w:r>
      <w:r w:rsidR="009A0559" w:rsidRPr="002909BF">
        <w:rPr>
          <w:sz w:val="22"/>
          <w:szCs w:val="28"/>
          <w:lang w:eastAsia="ja-JP"/>
        </w:rPr>
        <w:t>intradermal</w:t>
      </w:r>
      <w:r w:rsidRPr="002909BF">
        <w:rPr>
          <w:sz w:val="22"/>
          <w:szCs w:val="28"/>
          <w:lang w:eastAsia="ja-JP"/>
        </w:rPr>
        <w:t xml:space="preserve"> studies</w:t>
      </w:r>
    </w:p>
    <w:p w14:paraId="36C1F8CA" w14:textId="4CD9084E" w:rsidR="00E251B9" w:rsidRPr="002909BF" w:rsidRDefault="00E251B9" w:rsidP="003F0DC7">
      <w:r w:rsidRPr="002909BF">
        <w:t>Immediate reactions were generally mild or moderate in intensity and resolved quickly, usually without intervention. No severe</w:t>
      </w:r>
      <w:r w:rsidR="00CA1686" w:rsidRPr="002909BF">
        <w:t xml:space="preserve"> or </w:t>
      </w:r>
      <w:r w:rsidRPr="002909BF">
        <w:t xml:space="preserve">Grade 3 immediate </w:t>
      </w:r>
      <w:r w:rsidR="00A45291" w:rsidRPr="002909BF">
        <w:t>adverse event</w:t>
      </w:r>
      <w:r w:rsidRPr="002909BF">
        <w:t xml:space="preserve">s were reported. Higher rates (primarily redness) were seen with </w:t>
      </w:r>
      <w:r w:rsidR="009A0559" w:rsidRPr="002909BF">
        <w:t>intradermal</w:t>
      </w:r>
      <w:r w:rsidRPr="002909BF">
        <w:t xml:space="preserve"> </w:t>
      </w:r>
      <w:r w:rsidR="00EB184F" w:rsidRPr="002909BF">
        <w:t>sponsor’s</w:t>
      </w:r>
      <w:r w:rsidRPr="002909BF">
        <w:t xml:space="preserve"> PVRV compared with </w:t>
      </w:r>
      <w:r w:rsidR="009A0559" w:rsidRPr="002909BF">
        <w:t>intramuscular</w:t>
      </w:r>
      <w:r w:rsidRPr="002909BF">
        <w:t xml:space="preserve"> </w:t>
      </w:r>
      <w:r w:rsidR="00EB184F" w:rsidRPr="002909BF">
        <w:t>sponsor’s</w:t>
      </w:r>
      <w:r w:rsidRPr="002909BF">
        <w:t xml:space="preserve"> PVRV.</w:t>
      </w:r>
    </w:p>
    <w:p w14:paraId="4A722636" w14:textId="00B30E10" w:rsidR="00E251B9" w:rsidRPr="002909BF" w:rsidRDefault="00E251B9" w:rsidP="003F0DC7">
      <w:r w:rsidRPr="002909BF">
        <w:t xml:space="preserve">The most frequently reported injection site reactions included induration, </w:t>
      </w:r>
      <w:proofErr w:type="gramStart"/>
      <w:r w:rsidRPr="002909BF">
        <w:t>pruritus</w:t>
      </w:r>
      <w:proofErr w:type="gramEnd"/>
      <w:r w:rsidRPr="002909BF">
        <w:t xml:space="preserve"> and redness. In a study that compared the incidence of </w:t>
      </w:r>
      <w:r w:rsidR="00A45291" w:rsidRPr="002909BF">
        <w:t>adverse event</w:t>
      </w:r>
      <w:r w:rsidRPr="002909BF">
        <w:t xml:space="preserve">s in </w:t>
      </w:r>
      <w:r w:rsidR="009A0559" w:rsidRPr="002909BF">
        <w:t>intradermal</w:t>
      </w:r>
      <w:r w:rsidRPr="002909BF">
        <w:t xml:space="preserve"> and </w:t>
      </w:r>
      <w:r w:rsidR="009A0559" w:rsidRPr="002909BF">
        <w:t>intramuscular</w:t>
      </w:r>
      <w:r w:rsidRPr="002909BF">
        <w:t xml:space="preserve"> PrEP and PEP, </w:t>
      </w:r>
      <w:r w:rsidR="00CA1686" w:rsidRPr="002909BF">
        <w:t>injection site</w:t>
      </w:r>
      <w:r w:rsidRPr="002909BF">
        <w:t xml:space="preserve"> pruritus, often associated with mild regional lymphadenopathy, was reported more often with </w:t>
      </w:r>
      <w:r w:rsidR="009A0559" w:rsidRPr="002909BF">
        <w:t>intradermal</w:t>
      </w:r>
      <w:r w:rsidRPr="002909BF">
        <w:t xml:space="preserve"> </w:t>
      </w:r>
      <w:r w:rsidR="00EB184F" w:rsidRPr="002909BF">
        <w:t>sponsor’s</w:t>
      </w:r>
      <w:r w:rsidRPr="002909BF">
        <w:t xml:space="preserve"> PVRV (23% of </w:t>
      </w:r>
      <w:r w:rsidR="009A0559" w:rsidRPr="002909BF">
        <w:t>intradermal</w:t>
      </w:r>
      <w:r w:rsidRPr="002909BF">
        <w:t xml:space="preserve"> </w:t>
      </w:r>
      <w:r w:rsidR="00EB184F" w:rsidRPr="002909BF">
        <w:t>sponsor’s</w:t>
      </w:r>
      <w:r w:rsidRPr="002909BF">
        <w:t xml:space="preserve"> PVRV subjects </w:t>
      </w:r>
      <w:r w:rsidR="0075406F" w:rsidRPr="002909BF">
        <w:t>versus</w:t>
      </w:r>
      <w:r w:rsidRPr="002909BF">
        <w:t xml:space="preserve"> 2.7% of </w:t>
      </w:r>
      <w:r w:rsidR="009A0559" w:rsidRPr="002909BF">
        <w:t>intramuscular</w:t>
      </w:r>
      <w:r w:rsidRPr="002909BF">
        <w:t xml:space="preserve"> </w:t>
      </w:r>
      <w:r w:rsidR="00EB184F" w:rsidRPr="002909BF">
        <w:t>sponsor’s</w:t>
      </w:r>
      <w:r w:rsidRPr="002909BF">
        <w:t xml:space="preserve"> PVRV subjects), indicating that </w:t>
      </w:r>
      <w:r w:rsidR="009A0559" w:rsidRPr="002909BF">
        <w:t>intradermal</w:t>
      </w:r>
      <w:r w:rsidRPr="002909BF">
        <w:t xml:space="preserve"> </w:t>
      </w:r>
      <w:r w:rsidR="00EB184F" w:rsidRPr="002909BF">
        <w:t>sponsor’s</w:t>
      </w:r>
      <w:r w:rsidRPr="002909BF">
        <w:t xml:space="preserve"> PVRV is more reactogenic than </w:t>
      </w:r>
      <w:r w:rsidR="009A0559" w:rsidRPr="002909BF">
        <w:t>intramuscular</w:t>
      </w:r>
      <w:r w:rsidRPr="002909BF">
        <w:t xml:space="preserve"> </w:t>
      </w:r>
      <w:r w:rsidR="00EB184F" w:rsidRPr="002909BF">
        <w:t>sponsor’s</w:t>
      </w:r>
      <w:r w:rsidRPr="002909BF">
        <w:t xml:space="preserve"> PVRV.</w:t>
      </w:r>
    </w:p>
    <w:p w14:paraId="1830D4BD" w14:textId="632ECF60" w:rsidR="00E251B9" w:rsidRPr="002909BF" w:rsidRDefault="00E251B9" w:rsidP="003F0DC7">
      <w:r w:rsidRPr="002909BF">
        <w:t>The most frequently reported solicited systemic reactions included fever, unusual crying (in infants</w:t>
      </w:r>
      <w:r w:rsidR="00CA1686" w:rsidRPr="002909BF">
        <w:t xml:space="preserve"> or </w:t>
      </w:r>
      <w:r w:rsidRPr="002909BF">
        <w:t>toddlers), irritability (in infants</w:t>
      </w:r>
      <w:r w:rsidR="00CA1686" w:rsidRPr="002909BF">
        <w:t xml:space="preserve"> or </w:t>
      </w:r>
      <w:r w:rsidRPr="002909BF">
        <w:t>toddlers), and insomnia (in infants</w:t>
      </w:r>
      <w:r w:rsidR="00CA1686" w:rsidRPr="002909BF">
        <w:t xml:space="preserve"> or </w:t>
      </w:r>
      <w:r w:rsidRPr="002909BF">
        <w:t>toddlers), particularly after the first injection (decreasing with subsequent injections). No severe</w:t>
      </w:r>
      <w:r w:rsidR="00CA1686" w:rsidRPr="002909BF">
        <w:t xml:space="preserve"> or </w:t>
      </w:r>
      <w:r w:rsidRPr="002909BF">
        <w:t>Grade 3 solicited systemic reactions were reported.</w:t>
      </w:r>
    </w:p>
    <w:p w14:paraId="245E1873" w14:textId="5AE0C44E" w:rsidR="00E251B9" w:rsidRPr="002909BF" w:rsidRDefault="00E251B9" w:rsidP="003F0DC7">
      <w:r w:rsidRPr="002909BF">
        <w:t>Other reactions included influenza</w:t>
      </w:r>
      <w:r w:rsidR="00C9786A" w:rsidRPr="002909BF">
        <w:t xml:space="preserve"> </w:t>
      </w:r>
      <w:r w:rsidRPr="002909BF">
        <w:t xml:space="preserve">like symptoms reported in </w:t>
      </w:r>
      <w:r w:rsidR="00E146DE" w:rsidRPr="002909BF">
        <w:t xml:space="preserve">less than </w:t>
      </w:r>
      <w:r w:rsidRPr="002909BF">
        <w:t xml:space="preserve">10% of subjects. Most of these reactions were mild or moderate in intensity and generally resolved quickly, usually without treatment. Non-serious unsolicited systemic </w:t>
      </w:r>
      <w:r w:rsidR="00A45291" w:rsidRPr="002909BF">
        <w:t>adverse event</w:t>
      </w:r>
      <w:r w:rsidRPr="002909BF">
        <w:t>s were reported infrequently.</w:t>
      </w:r>
    </w:p>
    <w:p w14:paraId="3A3541E6" w14:textId="3BCC8D7C" w:rsidR="00C1787D" w:rsidRPr="002909BF" w:rsidRDefault="00E251B9" w:rsidP="00C1787D">
      <w:pPr>
        <w:pStyle w:val="Heading7"/>
        <w:rPr>
          <w:sz w:val="22"/>
          <w:szCs w:val="28"/>
          <w:lang w:eastAsia="ja-JP"/>
        </w:rPr>
      </w:pPr>
      <w:r w:rsidRPr="002909BF">
        <w:rPr>
          <w:sz w:val="22"/>
          <w:szCs w:val="28"/>
          <w:lang w:eastAsia="ja-JP"/>
        </w:rPr>
        <w:t xml:space="preserve">Other </w:t>
      </w:r>
      <w:r w:rsidR="00CA1686" w:rsidRPr="002909BF">
        <w:rPr>
          <w:sz w:val="22"/>
          <w:szCs w:val="28"/>
          <w:lang w:eastAsia="ja-JP"/>
        </w:rPr>
        <w:t xml:space="preserve">post-exposure prophylaxis </w:t>
      </w:r>
      <w:r w:rsidR="009A0559" w:rsidRPr="002909BF">
        <w:rPr>
          <w:sz w:val="22"/>
          <w:szCs w:val="28"/>
          <w:lang w:eastAsia="ja-JP"/>
        </w:rPr>
        <w:t>intramuscular</w:t>
      </w:r>
      <w:r w:rsidRPr="002909BF">
        <w:rPr>
          <w:sz w:val="22"/>
          <w:szCs w:val="28"/>
          <w:lang w:eastAsia="ja-JP"/>
        </w:rPr>
        <w:t xml:space="preserve"> studies</w:t>
      </w:r>
    </w:p>
    <w:p w14:paraId="48DCB9AF" w14:textId="54B7A980" w:rsidR="00E251B9" w:rsidRPr="002909BF" w:rsidRDefault="00E251B9" w:rsidP="003F0DC7">
      <w:r w:rsidRPr="002909BF">
        <w:t xml:space="preserve">Immediate reactions were generally mild or moderate in intensity and resolved within </w:t>
      </w:r>
      <w:r w:rsidR="00CA1686" w:rsidRPr="002909BF">
        <w:t>one to two da</w:t>
      </w:r>
      <w:r w:rsidRPr="002909BF">
        <w:t>ys of onset.</w:t>
      </w:r>
    </w:p>
    <w:p w14:paraId="56CC5A78" w14:textId="38C97AA6" w:rsidR="00E251B9" w:rsidRPr="002909BF" w:rsidRDefault="00E251B9" w:rsidP="003F0DC7">
      <w:r w:rsidRPr="002909BF">
        <w:t>The most frequently reported injection site reactions included pain, redness, induration, erythema, and pruritus. Severe</w:t>
      </w:r>
      <w:r w:rsidR="00CA1686" w:rsidRPr="002909BF">
        <w:t xml:space="preserve"> or </w:t>
      </w:r>
      <w:r w:rsidRPr="002909BF">
        <w:t xml:space="preserve">Grade 3 </w:t>
      </w:r>
      <w:r w:rsidR="00CA1686" w:rsidRPr="002909BF">
        <w:t>injection site</w:t>
      </w:r>
      <w:r w:rsidRPr="002909BF">
        <w:t xml:space="preserve"> reactions were reported for </w:t>
      </w:r>
      <w:r w:rsidR="00E146DE" w:rsidRPr="002909BF">
        <w:t>less than</w:t>
      </w:r>
      <w:r w:rsidRPr="002909BF">
        <w:t xml:space="preserve"> 3.0% of </w:t>
      </w:r>
      <w:r w:rsidR="00EB184F" w:rsidRPr="002909BF">
        <w:t>sponsor’s</w:t>
      </w:r>
      <w:r w:rsidRPr="002909BF">
        <w:t xml:space="preserve"> PVRV</w:t>
      </w:r>
      <w:r w:rsidR="00C9786A" w:rsidRPr="002909BF">
        <w:t xml:space="preserve"> </w:t>
      </w:r>
      <w:r w:rsidRPr="002909BF">
        <w:t xml:space="preserve">treated subjects in any study and included pruritus, rash, and </w:t>
      </w:r>
      <w:r w:rsidR="00CA1686" w:rsidRPr="002909BF">
        <w:t>injection site</w:t>
      </w:r>
      <w:r w:rsidRPr="002909BF">
        <w:t xml:space="preserve"> pain.</w:t>
      </w:r>
    </w:p>
    <w:p w14:paraId="78B79D02" w14:textId="58AAE16F" w:rsidR="00E251B9" w:rsidRPr="002909BF" w:rsidRDefault="00E251B9" w:rsidP="003F0DC7">
      <w:r w:rsidRPr="002909BF">
        <w:lastRenderedPageBreak/>
        <w:t>The most frequently reported solicited systemic reaction was fever (range</w:t>
      </w:r>
      <w:r w:rsidR="00CA1686" w:rsidRPr="002909BF">
        <w:t>d</w:t>
      </w:r>
      <w:r w:rsidRPr="002909BF">
        <w:t xml:space="preserve"> </w:t>
      </w:r>
      <w:r w:rsidR="00CA1686" w:rsidRPr="002909BF">
        <w:t xml:space="preserve">approximately between </w:t>
      </w:r>
      <w:r w:rsidRPr="002909BF">
        <w:t>2%</w:t>
      </w:r>
      <w:r w:rsidR="00C9786A" w:rsidRPr="002909BF">
        <w:t xml:space="preserve"> to </w:t>
      </w:r>
      <w:r w:rsidRPr="002909BF">
        <w:t>23%). Other reactions included headache, weakness, influenza</w:t>
      </w:r>
      <w:r w:rsidR="00C9786A" w:rsidRPr="002909BF">
        <w:t xml:space="preserve"> </w:t>
      </w:r>
      <w:r w:rsidRPr="002909BF">
        <w:t>like symptoms, vertigo, and fatigue (all</w:t>
      </w:r>
      <w:r w:rsidR="00E146DE" w:rsidRPr="002909BF">
        <w:t xml:space="preserve"> less than</w:t>
      </w:r>
      <w:r w:rsidRPr="002909BF">
        <w:t xml:space="preserve"> 15% of subjects). Arthralgia was reported in 0.3%</w:t>
      </w:r>
      <w:r w:rsidR="00C9786A" w:rsidRPr="002909BF">
        <w:t xml:space="preserve"> to </w:t>
      </w:r>
      <w:r w:rsidRPr="002909BF">
        <w:t>6.3% of subjects. Most of these reactions were mild or moderate in intensity and generally resolved quickly. Severe</w:t>
      </w:r>
      <w:r w:rsidR="00CA1686" w:rsidRPr="002909BF">
        <w:t xml:space="preserve"> or </w:t>
      </w:r>
      <w:r w:rsidRPr="002909BF">
        <w:t xml:space="preserve">Grade 3 solicited systemic reactions were reported infrequently and included fever, pruritus, dyspnoea, oedema, and urticaria. The rates tended to decrease with subsequent </w:t>
      </w:r>
      <w:r w:rsidR="009A0559" w:rsidRPr="002909BF">
        <w:t>intramuscular</w:t>
      </w:r>
      <w:r w:rsidRPr="002909BF">
        <w:t xml:space="preserve"> </w:t>
      </w:r>
      <w:r w:rsidR="00EB184F" w:rsidRPr="002909BF">
        <w:t>sponsor’s</w:t>
      </w:r>
      <w:r w:rsidRPr="002909BF">
        <w:t xml:space="preserve"> PVRV vaccinations. Non-serious unsolicited systemic </w:t>
      </w:r>
      <w:r w:rsidR="00A45291" w:rsidRPr="002909BF">
        <w:t>adverse event</w:t>
      </w:r>
      <w:r w:rsidRPr="002909BF">
        <w:t>s were reported infrequently.</w:t>
      </w:r>
    </w:p>
    <w:p w14:paraId="04165946" w14:textId="564977BF" w:rsidR="00C1787D" w:rsidRPr="002909BF" w:rsidRDefault="00E251B9" w:rsidP="00C1787D">
      <w:pPr>
        <w:pStyle w:val="Heading7"/>
        <w:rPr>
          <w:sz w:val="22"/>
          <w:szCs w:val="28"/>
          <w:lang w:eastAsia="ja-JP"/>
        </w:rPr>
      </w:pPr>
      <w:r w:rsidRPr="002909BF">
        <w:rPr>
          <w:sz w:val="22"/>
          <w:szCs w:val="28"/>
          <w:lang w:eastAsia="ja-JP"/>
        </w:rPr>
        <w:t xml:space="preserve">Other </w:t>
      </w:r>
      <w:r w:rsidR="00CA1686" w:rsidRPr="002909BF">
        <w:rPr>
          <w:sz w:val="22"/>
          <w:szCs w:val="28"/>
          <w:lang w:eastAsia="ja-JP"/>
        </w:rPr>
        <w:t xml:space="preserve">post-exposure prophylaxis </w:t>
      </w:r>
      <w:r w:rsidR="009A0559" w:rsidRPr="002909BF">
        <w:rPr>
          <w:sz w:val="22"/>
          <w:szCs w:val="28"/>
          <w:lang w:eastAsia="ja-JP"/>
        </w:rPr>
        <w:t>intradermal</w:t>
      </w:r>
      <w:r w:rsidRPr="002909BF">
        <w:rPr>
          <w:sz w:val="22"/>
          <w:szCs w:val="28"/>
          <w:lang w:eastAsia="ja-JP"/>
        </w:rPr>
        <w:t xml:space="preserve"> studies</w:t>
      </w:r>
    </w:p>
    <w:p w14:paraId="370F59C0" w14:textId="151FDA14" w:rsidR="00E251B9" w:rsidRPr="002909BF" w:rsidRDefault="00E251B9" w:rsidP="003F0DC7">
      <w:r w:rsidRPr="002909BF">
        <w:t>Immediate reactions were generally mild in intensity and typically resolved within 7</w:t>
      </w:r>
      <w:r w:rsidR="00CA1686" w:rsidRPr="002909BF">
        <w:t> </w:t>
      </w:r>
      <w:r w:rsidRPr="002909BF">
        <w:t xml:space="preserve">days. The most frequently reported injection site reactions included pain, erythema, pruritus, and redness. In one study, 2 subjects each experienced </w:t>
      </w:r>
      <w:r w:rsidR="00CA1686" w:rsidRPr="002909BF">
        <w:t>one</w:t>
      </w:r>
      <w:r w:rsidRPr="002909BF">
        <w:t xml:space="preserve"> episode of severe erythema after the </w:t>
      </w:r>
      <w:r w:rsidR="00CA1686" w:rsidRPr="002909BF">
        <w:t>second</w:t>
      </w:r>
      <w:r w:rsidRPr="002909BF">
        <w:t xml:space="preserve"> vaccination administration. The rates </w:t>
      </w:r>
      <w:r w:rsidR="00CA1686" w:rsidRPr="002909BF">
        <w:t>injection site</w:t>
      </w:r>
      <w:r w:rsidRPr="002909BF">
        <w:t xml:space="preserve"> reactions tended to decrease with subsequent </w:t>
      </w:r>
      <w:r w:rsidR="009A0559" w:rsidRPr="002909BF">
        <w:t>intradermal</w:t>
      </w:r>
      <w:r w:rsidRPr="002909BF">
        <w:t xml:space="preserve"> </w:t>
      </w:r>
      <w:r w:rsidR="00EB184F" w:rsidRPr="002909BF">
        <w:t>sponsor’s</w:t>
      </w:r>
      <w:r w:rsidRPr="002909BF">
        <w:t xml:space="preserve"> PVRV vaccinations.</w:t>
      </w:r>
    </w:p>
    <w:p w14:paraId="62F2F6AF" w14:textId="659858DF" w:rsidR="00E251B9" w:rsidRPr="002909BF" w:rsidRDefault="00E251B9" w:rsidP="003F0DC7">
      <w:r w:rsidRPr="002909BF">
        <w:t>The most frequently reported solicited systemic reaction was fever (</w:t>
      </w:r>
      <w:r w:rsidR="00E146DE" w:rsidRPr="002909BF">
        <w:t xml:space="preserve">less than </w:t>
      </w:r>
      <w:r w:rsidRPr="002909BF">
        <w:t>10% of subjects). ‘Influenza</w:t>
      </w:r>
      <w:r w:rsidR="00C9786A" w:rsidRPr="002909BF">
        <w:t xml:space="preserve"> </w:t>
      </w:r>
      <w:r w:rsidRPr="002909BF">
        <w:t xml:space="preserve">like symptom’ reactions were reported in 0.6% of subjects. Most of these reactions were mild or moderate in intensity; only </w:t>
      </w:r>
      <w:r w:rsidR="00CA1686" w:rsidRPr="002909BF">
        <w:t xml:space="preserve">one </w:t>
      </w:r>
      <w:r w:rsidRPr="002909BF">
        <w:t>severe</w:t>
      </w:r>
      <w:r w:rsidR="00CA1686" w:rsidRPr="002909BF">
        <w:t xml:space="preserve"> or </w:t>
      </w:r>
      <w:r w:rsidRPr="002909BF">
        <w:t>Grade 3 solicited systemic reaction was reported (fever).</w:t>
      </w:r>
    </w:p>
    <w:p w14:paraId="1DEE92E9" w14:textId="46746962" w:rsidR="00E251B9" w:rsidRPr="002909BF" w:rsidRDefault="00E251B9" w:rsidP="003F0DC7">
      <w:r w:rsidRPr="002909BF">
        <w:t xml:space="preserve">Non-serious unsolicited systemic </w:t>
      </w:r>
      <w:r w:rsidR="00A45291" w:rsidRPr="002909BF">
        <w:t>adverse event</w:t>
      </w:r>
      <w:r w:rsidRPr="002909BF">
        <w:t xml:space="preserve">s were reported infrequently. In one study, an unsolicited </w:t>
      </w:r>
      <w:r w:rsidR="00A45291" w:rsidRPr="002909BF">
        <w:t>adverse event</w:t>
      </w:r>
      <w:r w:rsidRPr="002909BF">
        <w:t xml:space="preserve"> of coughing (rate not specified) was reported within 7 days or more after vaccination. In another study, the most frequently reported non-serious unsolicited </w:t>
      </w:r>
      <w:r w:rsidR="00A45291" w:rsidRPr="002909BF">
        <w:t>adverse event</w:t>
      </w:r>
      <w:r w:rsidRPr="002909BF">
        <w:t>s included coughing (9.6%), upper respiratory tract infection (8.0%) and rhinitis (3.2%). They were mild or moderate in intensity.</w:t>
      </w:r>
      <w:bookmarkEnd w:id="68"/>
      <w:bookmarkEnd w:id="69"/>
    </w:p>
    <w:p w14:paraId="6486A75E" w14:textId="77777777" w:rsidR="00E251B9" w:rsidRPr="002909BF" w:rsidRDefault="00E251B9" w:rsidP="00C1787D">
      <w:pPr>
        <w:pStyle w:val="Heading6"/>
      </w:pPr>
      <w:r w:rsidRPr="002909BF">
        <w:t>Deaths</w:t>
      </w:r>
    </w:p>
    <w:p w14:paraId="495BF3EF" w14:textId="0B7126B5" w:rsidR="00C1787D" w:rsidRPr="002909BF" w:rsidRDefault="00E251B9" w:rsidP="00C1787D">
      <w:pPr>
        <w:pStyle w:val="Heading7"/>
        <w:rPr>
          <w:sz w:val="22"/>
          <w:szCs w:val="28"/>
          <w:lang w:eastAsia="ja-JP"/>
        </w:rPr>
      </w:pPr>
      <w:r w:rsidRPr="002909BF">
        <w:rPr>
          <w:sz w:val="22"/>
          <w:szCs w:val="28"/>
          <w:lang w:eastAsia="ja-JP"/>
        </w:rPr>
        <w:t xml:space="preserve">Integrated safety analysis </w:t>
      </w:r>
      <w:r w:rsidR="00FE7AFF">
        <w:rPr>
          <w:sz w:val="22"/>
          <w:szCs w:val="28"/>
          <w:lang w:eastAsia="ja-JP"/>
        </w:rPr>
        <w:t>of</w:t>
      </w:r>
      <w:r w:rsidR="00C100B8">
        <w:rPr>
          <w:sz w:val="22"/>
          <w:szCs w:val="28"/>
          <w:lang w:eastAsia="ja-JP"/>
        </w:rPr>
        <w:t xml:space="preserve"> </w:t>
      </w:r>
      <w:r w:rsidRPr="002909BF">
        <w:rPr>
          <w:sz w:val="22"/>
          <w:szCs w:val="28"/>
          <w:lang w:eastAsia="ja-JP"/>
        </w:rPr>
        <w:t xml:space="preserve">pivotal studies </w:t>
      </w:r>
      <w:r w:rsidR="00C100B8">
        <w:rPr>
          <w:sz w:val="22"/>
          <w:szCs w:val="28"/>
          <w:lang w:eastAsia="ja-JP"/>
        </w:rPr>
        <w:t>(Studies 36,37 and 38</w:t>
      </w:r>
      <w:r w:rsidRPr="002909BF">
        <w:rPr>
          <w:sz w:val="22"/>
          <w:szCs w:val="28"/>
          <w:lang w:eastAsia="ja-JP"/>
        </w:rPr>
        <w:t>)</w:t>
      </w:r>
    </w:p>
    <w:p w14:paraId="1CCFC03B" w14:textId="249B48DB" w:rsidR="00E251B9" w:rsidRPr="002909BF" w:rsidRDefault="00E251B9" w:rsidP="003F0DC7">
      <w:r w:rsidRPr="002909BF">
        <w:t xml:space="preserve">Two deaths were reported in Study </w:t>
      </w:r>
      <w:r w:rsidR="00C100B8">
        <w:t xml:space="preserve">37 (the </w:t>
      </w:r>
      <w:r w:rsidRPr="002909BF">
        <w:t xml:space="preserve">RAB40 </w:t>
      </w:r>
      <w:r w:rsidR="00C100B8">
        <w:t xml:space="preserve">trial) </w:t>
      </w:r>
      <w:r w:rsidRPr="002909BF">
        <w:t>(during the yearly follow-up phase). Neither death was considered related to the study vaccine.</w:t>
      </w:r>
    </w:p>
    <w:p w14:paraId="1F6A5916" w14:textId="77777777" w:rsidR="00C1787D" w:rsidRPr="002909BF" w:rsidRDefault="00E251B9" w:rsidP="00C1787D">
      <w:pPr>
        <w:pStyle w:val="Heading7"/>
        <w:rPr>
          <w:sz w:val="22"/>
          <w:szCs w:val="28"/>
          <w:lang w:eastAsia="ja-JP"/>
        </w:rPr>
      </w:pPr>
      <w:r w:rsidRPr="002909BF">
        <w:rPr>
          <w:sz w:val="22"/>
          <w:szCs w:val="28"/>
          <w:lang w:eastAsia="ja-JP"/>
        </w:rPr>
        <w:t>Study VAJ0001</w:t>
      </w:r>
    </w:p>
    <w:p w14:paraId="690E4D4E" w14:textId="3A2EA4C9" w:rsidR="00E251B9" w:rsidRPr="002909BF" w:rsidRDefault="00E251B9" w:rsidP="003F0DC7">
      <w:r w:rsidRPr="002909BF">
        <w:t>No</w:t>
      </w:r>
      <w:r w:rsidR="00C9100E" w:rsidRPr="002909BF">
        <w:t xml:space="preserve"> deaths </w:t>
      </w:r>
      <w:r w:rsidR="00CA1686" w:rsidRPr="002909BF">
        <w:t xml:space="preserve">were </w:t>
      </w:r>
      <w:r w:rsidRPr="002909BF">
        <w:t xml:space="preserve">reported in the </w:t>
      </w:r>
      <w:r w:rsidR="00EB184F" w:rsidRPr="002909BF">
        <w:t>sponsor’s</w:t>
      </w:r>
      <w:r w:rsidRPr="002909BF">
        <w:t xml:space="preserve"> PVRV group.</w:t>
      </w:r>
    </w:p>
    <w:p w14:paraId="60738DB9" w14:textId="008608DF" w:rsidR="00C1787D" w:rsidRPr="002909BF" w:rsidRDefault="00E251B9" w:rsidP="00C1787D">
      <w:pPr>
        <w:pStyle w:val="Heading7"/>
        <w:rPr>
          <w:sz w:val="22"/>
          <w:szCs w:val="28"/>
          <w:lang w:eastAsia="ja-JP"/>
        </w:rPr>
      </w:pPr>
      <w:r w:rsidRPr="002909BF">
        <w:rPr>
          <w:sz w:val="22"/>
          <w:szCs w:val="28"/>
          <w:lang w:eastAsia="ja-JP"/>
        </w:rPr>
        <w:t xml:space="preserve">Other </w:t>
      </w:r>
      <w:r w:rsidR="00CA1686" w:rsidRPr="002909BF">
        <w:rPr>
          <w:sz w:val="22"/>
          <w:szCs w:val="28"/>
          <w:lang w:eastAsia="ja-JP"/>
        </w:rPr>
        <w:t xml:space="preserve">pre-exposure prophylaxis </w:t>
      </w:r>
      <w:r w:rsidR="009A0559" w:rsidRPr="002909BF">
        <w:rPr>
          <w:sz w:val="22"/>
          <w:szCs w:val="28"/>
          <w:lang w:eastAsia="ja-JP"/>
        </w:rPr>
        <w:t>intramuscular</w:t>
      </w:r>
      <w:r w:rsidRPr="002909BF">
        <w:rPr>
          <w:sz w:val="22"/>
          <w:szCs w:val="28"/>
          <w:lang w:eastAsia="ja-JP"/>
        </w:rPr>
        <w:t xml:space="preserve"> studies</w:t>
      </w:r>
    </w:p>
    <w:p w14:paraId="64B89A2D" w14:textId="006F356D" w:rsidR="00E251B9" w:rsidRPr="002909BF" w:rsidRDefault="00C9100E" w:rsidP="00E251B9">
      <w:pPr>
        <w:spacing w:line="240" w:lineRule="auto"/>
        <w:rPr>
          <w:lang w:eastAsia="ja-JP"/>
        </w:rPr>
      </w:pPr>
      <w:r w:rsidRPr="002909BF">
        <w:t xml:space="preserve">No deaths </w:t>
      </w:r>
      <w:r w:rsidRPr="002909BF">
        <w:rPr>
          <w:lang w:eastAsia="ja-JP"/>
        </w:rPr>
        <w:t xml:space="preserve">were </w:t>
      </w:r>
      <w:r w:rsidR="00E251B9" w:rsidRPr="002909BF">
        <w:rPr>
          <w:lang w:eastAsia="ja-JP"/>
        </w:rPr>
        <w:t>reported.</w:t>
      </w:r>
    </w:p>
    <w:p w14:paraId="0F73ADB8" w14:textId="6E6F434E" w:rsidR="00C1787D" w:rsidRPr="002909BF" w:rsidRDefault="00E251B9" w:rsidP="00C1787D">
      <w:pPr>
        <w:pStyle w:val="Heading7"/>
        <w:rPr>
          <w:sz w:val="22"/>
          <w:szCs w:val="28"/>
          <w:lang w:eastAsia="ja-JP"/>
        </w:rPr>
      </w:pPr>
      <w:r w:rsidRPr="002909BF">
        <w:rPr>
          <w:sz w:val="22"/>
          <w:szCs w:val="28"/>
          <w:lang w:eastAsia="ja-JP"/>
        </w:rPr>
        <w:t xml:space="preserve">Other </w:t>
      </w:r>
      <w:r w:rsidR="00CA1686" w:rsidRPr="002909BF">
        <w:rPr>
          <w:sz w:val="22"/>
          <w:szCs w:val="28"/>
          <w:lang w:eastAsia="ja-JP"/>
        </w:rPr>
        <w:t xml:space="preserve">pre-exposure prophylaxis </w:t>
      </w:r>
      <w:r w:rsidR="009A0559" w:rsidRPr="002909BF">
        <w:rPr>
          <w:sz w:val="22"/>
          <w:szCs w:val="28"/>
          <w:lang w:eastAsia="ja-JP"/>
        </w:rPr>
        <w:t>intradermal</w:t>
      </w:r>
      <w:r w:rsidRPr="002909BF">
        <w:rPr>
          <w:sz w:val="22"/>
          <w:szCs w:val="28"/>
          <w:lang w:eastAsia="ja-JP"/>
        </w:rPr>
        <w:t xml:space="preserve"> studies</w:t>
      </w:r>
    </w:p>
    <w:p w14:paraId="18FF9F52" w14:textId="4043EE00" w:rsidR="00E251B9" w:rsidRPr="002909BF" w:rsidRDefault="00C9100E" w:rsidP="00E251B9">
      <w:pPr>
        <w:spacing w:line="240" w:lineRule="auto"/>
        <w:rPr>
          <w:lang w:eastAsia="ja-JP"/>
        </w:rPr>
      </w:pPr>
      <w:r w:rsidRPr="002909BF">
        <w:t xml:space="preserve">No deaths </w:t>
      </w:r>
      <w:r w:rsidRPr="002909BF">
        <w:rPr>
          <w:lang w:eastAsia="ja-JP"/>
        </w:rPr>
        <w:t xml:space="preserve">were </w:t>
      </w:r>
      <w:r w:rsidR="00E251B9" w:rsidRPr="002909BF">
        <w:rPr>
          <w:lang w:eastAsia="ja-JP"/>
        </w:rPr>
        <w:t>reported.</w:t>
      </w:r>
    </w:p>
    <w:p w14:paraId="3C5B855D" w14:textId="3D0BD057" w:rsidR="00C1787D" w:rsidRPr="002909BF" w:rsidRDefault="00E251B9" w:rsidP="00C1787D">
      <w:pPr>
        <w:pStyle w:val="Heading7"/>
        <w:rPr>
          <w:sz w:val="22"/>
          <w:szCs w:val="28"/>
          <w:lang w:eastAsia="ja-JP"/>
        </w:rPr>
      </w:pPr>
      <w:r w:rsidRPr="002909BF">
        <w:rPr>
          <w:sz w:val="22"/>
          <w:szCs w:val="28"/>
          <w:lang w:eastAsia="ja-JP"/>
        </w:rPr>
        <w:t xml:space="preserve">Other </w:t>
      </w:r>
      <w:r w:rsidR="00C9100E" w:rsidRPr="002909BF">
        <w:rPr>
          <w:sz w:val="22"/>
          <w:szCs w:val="28"/>
          <w:lang w:eastAsia="ja-JP"/>
        </w:rPr>
        <w:t xml:space="preserve">post-exposure prophylaxis </w:t>
      </w:r>
      <w:r w:rsidR="009A0559" w:rsidRPr="002909BF">
        <w:rPr>
          <w:sz w:val="22"/>
          <w:szCs w:val="28"/>
          <w:lang w:eastAsia="ja-JP"/>
        </w:rPr>
        <w:t>intramuscular</w:t>
      </w:r>
      <w:r w:rsidRPr="002909BF">
        <w:rPr>
          <w:sz w:val="22"/>
          <w:szCs w:val="28"/>
          <w:lang w:eastAsia="ja-JP"/>
        </w:rPr>
        <w:t xml:space="preserve"> studies</w:t>
      </w:r>
    </w:p>
    <w:p w14:paraId="218FC0A4" w14:textId="288A9F77" w:rsidR="00E251B9" w:rsidRPr="002909BF" w:rsidRDefault="00C9100E" w:rsidP="00E251B9">
      <w:pPr>
        <w:spacing w:line="240" w:lineRule="auto"/>
        <w:rPr>
          <w:lang w:eastAsia="ja-JP"/>
        </w:rPr>
      </w:pPr>
      <w:r w:rsidRPr="002909BF">
        <w:rPr>
          <w:lang w:eastAsia="ja-JP"/>
        </w:rPr>
        <w:t>Two</w:t>
      </w:r>
      <w:r w:rsidR="00E251B9" w:rsidRPr="002909BF">
        <w:rPr>
          <w:lang w:eastAsia="ja-JP"/>
        </w:rPr>
        <w:t xml:space="preserve"> deaths were reported. Neither was considered as related to the vaccine.</w:t>
      </w:r>
    </w:p>
    <w:p w14:paraId="28CD9836" w14:textId="63B07B05" w:rsidR="00C1787D" w:rsidRPr="002909BF" w:rsidRDefault="00E251B9" w:rsidP="00C1787D">
      <w:pPr>
        <w:pStyle w:val="Heading7"/>
        <w:rPr>
          <w:sz w:val="22"/>
          <w:szCs w:val="28"/>
          <w:lang w:eastAsia="ja-JP"/>
        </w:rPr>
      </w:pPr>
      <w:r w:rsidRPr="002909BF">
        <w:rPr>
          <w:sz w:val="22"/>
          <w:szCs w:val="28"/>
          <w:lang w:eastAsia="ja-JP"/>
        </w:rPr>
        <w:t xml:space="preserve">Other </w:t>
      </w:r>
      <w:r w:rsidR="00C9100E" w:rsidRPr="002909BF">
        <w:rPr>
          <w:sz w:val="22"/>
          <w:szCs w:val="28"/>
          <w:lang w:eastAsia="ja-JP"/>
        </w:rPr>
        <w:t xml:space="preserve">post-exposure prophylaxis </w:t>
      </w:r>
      <w:r w:rsidR="009A0559" w:rsidRPr="002909BF">
        <w:rPr>
          <w:sz w:val="22"/>
          <w:szCs w:val="28"/>
          <w:lang w:eastAsia="ja-JP"/>
        </w:rPr>
        <w:t>intradermal</w:t>
      </w:r>
      <w:r w:rsidRPr="002909BF">
        <w:rPr>
          <w:sz w:val="22"/>
          <w:szCs w:val="28"/>
          <w:lang w:eastAsia="ja-JP"/>
        </w:rPr>
        <w:t xml:space="preserve"> studies</w:t>
      </w:r>
    </w:p>
    <w:p w14:paraId="22DE21BB" w14:textId="09AE1A85" w:rsidR="00E251B9" w:rsidRPr="002909BF" w:rsidRDefault="00E251B9" w:rsidP="00E251B9">
      <w:pPr>
        <w:spacing w:line="240" w:lineRule="auto"/>
        <w:rPr>
          <w:lang w:eastAsia="ja-JP"/>
        </w:rPr>
      </w:pPr>
      <w:r w:rsidRPr="002909BF">
        <w:rPr>
          <w:lang w:eastAsia="ja-JP"/>
        </w:rPr>
        <w:t xml:space="preserve">In one study, a </w:t>
      </w:r>
      <w:proofErr w:type="gramStart"/>
      <w:r w:rsidRPr="002909BF">
        <w:rPr>
          <w:lang w:eastAsia="ja-JP"/>
        </w:rPr>
        <w:t>6-year</w:t>
      </w:r>
      <w:r w:rsidR="00C9786A" w:rsidRPr="002909BF">
        <w:rPr>
          <w:lang w:eastAsia="ja-JP"/>
        </w:rPr>
        <w:t xml:space="preserve"> </w:t>
      </w:r>
      <w:r w:rsidRPr="002909BF">
        <w:rPr>
          <w:lang w:eastAsia="ja-JP"/>
        </w:rPr>
        <w:t>old</w:t>
      </w:r>
      <w:proofErr w:type="gramEnd"/>
      <w:r w:rsidRPr="002909BF">
        <w:rPr>
          <w:lang w:eastAsia="ja-JP"/>
        </w:rPr>
        <w:t xml:space="preserve"> male died due to rabies infection 28 days post-exposure. In another study, 2 deaths were reported during the yearly follow-up phase, which were considered unrelated to vaccine. In a safety survey of 7</w:t>
      </w:r>
      <w:r w:rsidR="00C9100E" w:rsidRPr="002909BF">
        <w:rPr>
          <w:lang w:eastAsia="ja-JP"/>
        </w:rPr>
        <w:t>,</w:t>
      </w:r>
      <w:r w:rsidRPr="002909BF">
        <w:rPr>
          <w:lang w:eastAsia="ja-JP"/>
        </w:rPr>
        <w:t xml:space="preserve">660 subjects, 16 deaths were reported, of which 14 were considered not related to rabies exposure or treatment. 7 were due to cardiac conditions, 2 due to gastrointestinal conditions, 2 due to stroke, and </w:t>
      </w:r>
      <w:r w:rsidR="00C9100E" w:rsidRPr="002909BF">
        <w:rPr>
          <w:lang w:eastAsia="ja-JP"/>
        </w:rPr>
        <w:t>one</w:t>
      </w:r>
      <w:r w:rsidRPr="002909BF">
        <w:rPr>
          <w:lang w:eastAsia="ja-JP"/>
        </w:rPr>
        <w:t xml:space="preserve"> case each of diabetes mellitus, tuberculosis, kidney failure and car accident. The time interval of the reported deaths varied between 35 days and 16 months (with a mean of 7.4</w:t>
      </w:r>
      <w:r w:rsidR="00C9100E" w:rsidRPr="002909BF">
        <w:rPr>
          <w:lang w:eastAsia="ja-JP"/>
        </w:rPr>
        <w:t> </w:t>
      </w:r>
      <w:r w:rsidRPr="002909BF">
        <w:rPr>
          <w:lang w:eastAsia="ja-JP"/>
        </w:rPr>
        <w:t>months) after the last vaccination.</w:t>
      </w:r>
    </w:p>
    <w:p w14:paraId="3EC0C7B8" w14:textId="77777777" w:rsidR="00E251B9" w:rsidRPr="002909BF" w:rsidRDefault="00E251B9" w:rsidP="00C1787D">
      <w:pPr>
        <w:pStyle w:val="Heading6"/>
      </w:pPr>
      <w:r w:rsidRPr="002909BF">
        <w:lastRenderedPageBreak/>
        <w:t>Serious adverse events</w:t>
      </w:r>
    </w:p>
    <w:p w14:paraId="618F5DC2" w14:textId="51720F18" w:rsidR="00C1787D" w:rsidRPr="002909BF" w:rsidRDefault="00E251B9" w:rsidP="00C1787D">
      <w:pPr>
        <w:pStyle w:val="Heading7"/>
        <w:rPr>
          <w:sz w:val="22"/>
          <w:szCs w:val="28"/>
          <w:lang w:eastAsia="ja-JP"/>
        </w:rPr>
      </w:pPr>
      <w:r w:rsidRPr="002909BF">
        <w:rPr>
          <w:sz w:val="22"/>
          <w:szCs w:val="28"/>
          <w:lang w:eastAsia="ja-JP"/>
        </w:rPr>
        <w:t xml:space="preserve">Integrated safety analysis </w:t>
      </w:r>
      <w:r w:rsidR="00FE7AFF">
        <w:rPr>
          <w:sz w:val="22"/>
          <w:szCs w:val="28"/>
          <w:lang w:eastAsia="ja-JP"/>
        </w:rPr>
        <w:t>of</w:t>
      </w:r>
      <w:r w:rsidR="00C100B8">
        <w:rPr>
          <w:sz w:val="22"/>
          <w:szCs w:val="28"/>
          <w:lang w:eastAsia="ja-JP"/>
        </w:rPr>
        <w:t xml:space="preserve"> </w:t>
      </w:r>
      <w:r w:rsidRPr="002909BF">
        <w:rPr>
          <w:sz w:val="22"/>
          <w:szCs w:val="28"/>
          <w:lang w:eastAsia="ja-JP"/>
        </w:rPr>
        <w:t xml:space="preserve">pivotal studies </w:t>
      </w:r>
      <w:r w:rsidR="00C100B8">
        <w:rPr>
          <w:sz w:val="22"/>
          <w:szCs w:val="28"/>
          <w:lang w:eastAsia="ja-JP"/>
        </w:rPr>
        <w:t>(</w:t>
      </w:r>
      <w:r w:rsidR="00C100B8" w:rsidRPr="00C100B8">
        <w:rPr>
          <w:sz w:val="22"/>
          <w:szCs w:val="28"/>
          <w:lang w:eastAsia="ja-JP"/>
        </w:rPr>
        <w:t>Stud</w:t>
      </w:r>
      <w:r w:rsidR="00C100B8">
        <w:rPr>
          <w:sz w:val="22"/>
          <w:szCs w:val="28"/>
          <w:lang w:eastAsia="ja-JP"/>
        </w:rPr>
        <w:t>ies</w:t>
      </w:r>
      <w:r w:rsidR="00C100B8" w:rsidRPr="00C100B8">
        <w:rPr>
          <w:sz w:val="22"/>
          <w:szCs w:val="28"/>
          <w:lang w:eastAsia="ja-JP"/>
        </w:rPr>
        <w:t xml:space="preserve"> 36</w:t>
      </w:r>
      <w:r w:rsidR="00C100B8">
        <w:rPr>
          <w:sz w:val="22"/>
          <w:szCs w:val="28"/>
          <w:lang w:eastAsia="ja-JP"/>
        </w:rPr>
        <w:t xml:space="preserve">, 37 and </w:t>
      </w:r>
      <w:r w:rsidR="00C100B8" w:rsidRPr="00C100B8">
        <w:rPr>
          <w:sz w:val="22"/>
          <w:szCs w:val="28"/>
          <w:lang w:eastAsia="ja-JP"/>
        </w:rPr>
        <w:t>38</w:t>
      </w:r>
      <w:r w:rsidR="00C100B8">
        <w:rPr>
          <w:sz w:val="22"/>
          <w:szCs w:val="28"/>
          <w:lang w:eastAsia="ja-JP"/>
        </w:rPr>
        <w:t>)</w:t>
      </w:r>
    </w:p>
    <w:p w14:paraId="04BAADF2" w14:textId="3B8450CF" w:rsidR="00E251B9" w:rsidRPr="002909BF" w:rsidRDefault="00C9100E" w:rsidP="00E251B9">
      <w:pPr>
        <w:spacing w:line="240" w:lineRule="auto"/>
        <w:rPr>
          <w:lang w:eastAsia="ja-JP"/>
        </w:rPr>
      </w:pPr>
      <w:r w:rsidRPr="002909BF">
        <w:rPr>
          <w:lang w:eastAsia="ja-JP"/>
        </w:rPr>
        <w:t xml:space="preserve">There were </w:t>
      </w:r>
      <w:r w:rsidR="00E251B9" w:rsidRPr="002909BF">
        <w:rPr>
          <w:lang w:eastAsia="ja-JP"/>
        </w:rPr>
        <w:t xml:space="preserve">2.3% of subjects in </w:t>
      </w:r>
      <w:r w:rsidR="00C100B8" w:rsidRPr="00C100B8">
        <w:rPr>
          <w:lang w:eastAsia="ja-JP"/>
        </w:rPr>
        <w:t>Study 36 (the VRV01 trial)</w:t>
      </w:r>
      <w:r w:rsidR="00E251B9" w:rsidRPr="002909BF">
        <w:rPr>
          <w:lang w:eastAsia="ja-JP"/>
        </w:rPr>
        <w:t xml:space="preserve"> and in </w:t>
      </w:r>
      <w:r w:rsidR="00C100B8" w:rsidRPr="00C100B8">
        <w:rPr>
          <w:lang w:eastAsia="ja-JP"/>
        </w:rPr>
        <w:t>Study 38 (the VRV08 trial)</w:t>
      </w:r>
      <w:r w:rsidR="00E251B9" w:rsidRPr="002909BF">
        <w:rPr>
          <w:lang w:eastAsia="ja-JP"/>
        </w:rPr>
        <w:t xml:space="preserve"> experienced a </w:t>
      </w:r>
      <w:r w:rsidR="00A45291" w:rsidRPr="002909BF">
        <w:rPr>
          <w:lang w:eastAsia="ja-JP"/>
        </w:rPr>
        <w:t xml:space="preserve">serious </w:t>
      </w:r>
      <w:r w:rsidR="00A45291" w:rsidRPr="002909BF">
        <w:t>adverse event</w:t>
      </w:r>
      <w:r w:rsidR="00E251B9" w:rsidRPr="002909BF">
        <w:rPr>
          <w:lang w:eastAsia="ja-JP"/>
        </w:rPr>
        <w:t xml:space="preserve"> up to 6 months after the last vaccination. A higher proportion (11.8%) in the </w:t>
      </w:r>
      <w:r w:rsidR="00E146DE" w:rsidRPr="002909BF">
        <w:rPr>
          <w:lang w:eastAsia="ja-JP"/>
        </w:rPr>
        <w:t xml:space="preserve">under </w:t>
      </w:r>
      <w:r w:rsidR="00E251B9" w:rsidRPr="002909BF">
        <w:rPr>
          <w:lang w:eastAsia="ja-JP"/>
        </w:rPr>
        <w:t>2</w:t>
      </w:r>
      <w:r w:rsidR="00E146DE" w:rsidRPr="002909BF">
        <w:rPr>
          <w:lang w:eastAsia="ja-JP"/>
        </w:rPr>
        <w:t xml:space="preserve"> years old</w:t>
      </w:r>
      <w:r w:rsidR="00E251B9" w:rsidRPr="002909BF">
        <w:rPr>
          <w:lang w:eastAsia="ja-JP"/>
        </w:rPr>
        <w:t xml:space="preserve"> group experienced </w:t>
      </w:r>
      <w:r w:rsidR="00A45291" w:rsidRPr="002909BF">
        <w:rPr>
          <w:lang w:eastAsia="ja-JP"/>
        </w:rPr>
        <w:t xml:space="preserve">serious </w:t>
      </w:r>
      <w:r w:rsidR="00A45291" w:rsidRPr="002909BF">
        <w:t>adverse event</w:t>
      </w:r>
      <w:r w:rsidR="00E251B9" w:rsidRPr="002909BF">
        <w:rPr>
          <w:lang w:eastAsia="ja-JP"/>
        </w:rPr>
        <w:t xml:space="preserve">s compared to the other age groups. One subject (0.2%) aged </w:t>
      </w:r>
      <w:r w:rsidR="007A3A23" w:rsidRPr="002909BF">
        <w:rPr>
          <w:lang w:eastAsia="ja-JP"/>
        </w:rPr>
        <w:t xml:space="preserve">18 years and </w:t>
      </w:r>
      <w:r w:rsidR="00E146DE" w:rsidRPr="002909BF">
        <w:rPr>
          <w:lang w:eastAsia="ja-JP"/>
        </w:rPr>
        <w:t>older</w:t>
      </w:r>
      <w:r w:rsidR="00E251B9" w:rsidRPr="002909BF">
        <w:rPr>
          <w:lang w:eastAsia="ja-JP"/>
        </w:rPr>
        <w:t xml:space="preserve"> experienced a related </w:t>
      </w:r>
      <w:r w:rsidR="00A45291" w:rsidRPr="002909BF">
        <w:rPr>
          <w:lang w:eastAsia="ja-JP"/>
        </w:rPr>
        <w:t xml:space="preserve">serious </w:t>
      </w:r>
      <w:r w:rsidR="00A45291" w:rsidRPr="002909BF">
        <w:t>adverse event</w:t>
      </w:r>
      <w:r w:rsidR="00E251B9" w:rsidRPr="002909BF">
        <w:rPr>
          <w:lang w:eastAsia="ja-JP"/>
        </w:rPr>
        <w:t xml:space="preserve"> (pulmonary embolism). No other </w:t>
      </w:r>
      <w:r w:rsidR="00A45291" w:rsidRPr="002909BF">
        <w:rPr>
          <w:lang w:eastAsia="ja-JP"/>
        </w:rPr>
        <w:t>serious adverse event</w:t>
      </w:r>
      <w:r w:rsidR="00E251B9" w:rsidRPr="002909BF">
        <w:rPr>
          <w:lang w:eastAsia="ja-JP"/>
        </w:rPr>
        <w:t>s were assessed to be vaccine related.</w:t>
      </w:r>
    </w:p>
    <w:p w14:paraId="282CB527" w14:textId="77777777" w:rsidR="00C1787D" w:rsidRPr="002909BF" w:rsidRDefault="00E251B9" w:rsidP="00C1787D">
      <w:pPr>
        <w:pStyle w:val="Heading7"/>
        <w:rPr>
          <w:sz w:val="22"/>
          <w:szCs w:val="28"/>
          <w:lang w:eastAsia="ja-JP"/>
        </w:rPr>
      </w:pPr>
      <w:r w:rsidRPr="002909BF">
        <w:rPr>
          <w:sz w:val="22"/>
          <w:szCs w:val="28"/>
          <w:lang w:eastAsia="ja-JP"/>
        </w:rPr>
        <w:t>Study VAJ0001</w:t>
      </w:r>
    </w:p>
    <w:p w14:paraId="08AFD710" w14:textId="01F203BD" w:rsidR="00E251B9" w:rsidRPr="002909BF" w:rsidRDefault="00C9100E" w:rsidP="00E251B9">
      <w:pPr>
        <w:spacing w:line="240" w:lineRule="auto"/>
        <w:rPr>
          <w:lang w:eastAsia="ja-JP"/>
        </w:rPr>
      </w:pPr>
      <w:r w:rsidRPr="002909BF">
        <w:rPr>
          <w:lang w:eastAsia="ja-JP"/>
        </w:rPr>
        <w:t xml:space="preserve">No serious adverse events were </w:t>
      </w:r>
      <w:r w:rsidR="00E251B9" w:rsidRPr="002909BF">
        <w:rPr>
          <w:lang w:eastAsia="ja-JP"/>
        </w:rPr>
        <w:t xml:space="preserve">reported in the </w:t>
      </w:r>
      <w:r w:rsidR="00EB184F" w:rsidRPr="002909BF">
        <w:rPr>
          <w:lang w:eastAsia="ja-JP"/>
        </w:rPr>
        <w:t>sponsor’s</w:t>
      </w:r>
      <w:r w:rsidR="00E251B9" w:rsidRPr="002909BF">
        <w:rPr>
          <w:lang w:eastAsia="ja-JP"/>
        </w:rPr>
        <w:t xml:space="preserve"> PVRV group.</w:t>
      </w:r>
    </w:p>
    <w:p w14:paraId="6BDD7722" w14:textId="0935DDD2" w:rsidR="00C1787D" w:rsidRPr="002909BF" w:rsidRDefault="00E251B9" w:rsidP="00C1787D">
      <w:pPr>
        <w:pStyle w:val="Heading7"/>
        <w:rPr>
          <w:sz w:val="22"/>
          <w:szCs w:val="28"/>
          <w:lang w:eastAsia="ja-JP"/>
        </w:rPr>
      </w:pPr>
      <w:r w:rsidRPr="002909BF">
        <w:rPr>
          <w:sz w:val="22"/>
          <w:szCs w:val="28"/>
          <w:lang w:eastAsia="ja-JP"/>
        </w:rPr>
        <w:t xml:space="preserve">Other </w:t>
      </w:r>
      <w:r w:rsidR="00C9100E" w:rsidRPr="002909BF">
        <w:rPr>
          <w:sz w:val="22"/>
          <w:szCs w:val="28"/>
          <w:lang w:eastAsia="ja-JP"/>
        </w:rPr>
        <w:t xml:space="preserve">pre-exposure prophylaxis </w:t>
      </w:r>
      <w:r w:rsidR="009A0559" w:rsidRPr="002909BF">
        <w:rPr>
          <w:sz w:val="22"/>
          <w:szCs w:val="28"/>
          <w:lang w:eastAsia="ja-JP"/>
        </w:rPr>
        <w:t>intramuscular</w:t>
      </w:r>
      <w:r w:rsidRPr="002909BF">
        <w:rPr>
          <w:sz w:val="22"/>
          <w:szCs w:val="28"/>
          <w:lang w:eastAsia="ja-JP"/>
        </w:rPr>
        <w:t xml:space="preserve"> studies</w:t>
      </w:r>
    </w:p>
    <w:p w14:paraId="5CDA327D" w14:textId="6FA88E13" w:rsidR="00E251B9" w:rsidRPr="002909BF" w:rsidRDefault="00C9100E" w:rsidP="00E251B9">
      <w:pPr>
        <w:spacing w:line="240" w:lineRule="auto"/>
        <w:rPr>
          <w:lang w:eastAsia="ja-JP"/>
        </w:rPr>
      </w:pPr>
      <w:r w:rsidRPr="002909BF">
        <w:rPr>
          <w:lang w:eastAsia="ja-JP"/>
        </w:rPr>
        <w:t>Serious adverse events</w:t>
      </w:r>
      <w:r w:rsidR="00E251B9" w:rsidRPr="002909BF">
        <w:rPr>
          <w:lang w:eastAsia="ja-JP"/>
        </w:rPr>
        <w:t xml:space="preserve"> were reported infrequently, and all were assessed as unrelated to </w:t>
      </w:r>
      <w:r w:rsidR="00EB184F" w:rsidRPr="002909BF">
        <w:rPr>
          <w:lang w:eastAsia="ja-JP"/>
        </w:rPr>
        <w:t>sponsor’s</w:t>
      </w:r>
      <w:r w:rsidR="00E251B9" w:rsidRPr="002909BF">
        <w:rPr>
          <w:lang w:eastAsia="ja-JP"/>
        </w:rPr>
        <w:t xml:space="preserve"> PVRV.</w:t>
      </w:r>
    </w:p>
    <w:p w14:paraId="08F611FF" w14:textId="393FF26D" w:rsidR="00C1787D" w:rsidRPr="002909BF" w:rsidRDefault="00E251B9" w:rsidP="00C1787D">
      <w:pPr>
        <w:pStyle w:val="Heading7"/>
        <w:rPr>
          <w:sz w:val="22"/>
          <w:szCs w:val="28"/>
          <w:lang w:eastAsia="ja-JP"/>
        </w:rPr>
      </w:pPr>
      <w:r w:rsidRPr="002909BF">
        <w:rPr>
          <w:sz w:val="22"/>
          <w:szCs w:val="28"/>
          <w:lang w:eastAsia="ja-JP"/>
        </w:rPr>
        <w:t xml:space="preserve">Other </w:t>
      </w:r>
      <w:r w:rsidR="00C9100E" w:rsidRPr="002909BF">
        <w:rPr>
          <w:sz w:val="22"/>
          <w:szCs w:val="28"/>
          <w:lang w:eastAsia="ja-JP"/>
        </w:rPr>
        <w:t xml:space="preserve">pre-exposure prophylaxis </w:t>
      </w:r>
      <w:r w:rsidR="009A0559" w:rsidRPr="002909BF">
        <w:rPr>
          <w:sz w:val="22"/>
          <w:szCs w:val="28"/>
          <w:lang w:eastAsia="ja-JP"/>
        </w:rPr>
        <w:t>intradermal</w:t>
      </w:r>
      <w:r w:rsidRPr="002909BF">
        <w:rPr>
          <w:sz w:val="22"/>
          <w:szCs w:val="28"/>
          <w:lang w:eastAsia="ja-JP"/>
        </w:rPr>
        <w:t xml:space="preserve"> studies</w:t>
      </w:r>
    </w:p>
    <w:p w14:paraId="39CFCFA9" w14:textId="0F94DD33" w:rsidR="00E251B9" w:rsidRPr="002909BF" w:rsidRDefault="00C9100E" w:rsidP="00E251B9">
      <w:pPr>
        <w:spacing w:line="240" w:lineRule="auto"/>
        <w:rPr>
          <w:lang w:eastAsia="ja-JP"/>
        </w:rPr>
      </w:pPr>
      <w:r w:rsidRPr="002909BF">
        <w:rPr>
          <w:lang w:eastAsia="ja-JP"/>
        </w:rPr>
        <w:t xml:space="preserve">No serious adverse events were </w:t>
      </w:r>
      <w:r w:rsidR="00E251B9" w:rsidRPr="002909BF">
        <w:rPr>
          <w:lang w:eastAsia="ja-JP"/>
        </w:rPr>
        <w:t>reported.</w:t>
      </w:r>
    </w:p>
    <w:p w14:paraId="1A2D0A36" w14:textId="434AA7AA" w:rsidR="00C1787D" w:rsidRPr="002909BF" w:rsidRDefault="00E251B9" w:rsidP="00C1787D">
      <w:pPr>
        <w:pStyle w:val="Heading7"/>
        <w:rPr>
          <w:sz w:val="22"/>
          <w:szCs w:val="28"/>
          <w:lang w:eastAsia="ja-JP"/>
        </w:rPr>
      </w:pPr>
      <w:r w:rsidRPr="002909BF">
        <w:rPr>
          <w:sz w:val="22"/>
          <w:szCs w:val="28"/>
          <w:lang w:eastAsia="ja-JP"/>
        </w:rPr>
        <w:t xml:space="preserve">Other </w:t>
      </w:r>
      <w:r w:rsidR="00C9100E" w:rsidRPr="002909BF">
        <w:rPr>
          <w:sz w:val="22"/>
          <w:szCs w:val="28"/>
          <w:lang w:eastAsia="ja-JP"/>
        </w:rPr>
        <w:t xml:space="preserve">post-exposure prophylaxis </w:t>
      </w:r>
      <w:r w:rsidR="009A0559" w:rsidRPr="002909BF">
        <w:rPr>
          <w:sz w:val="22"/>
          <w:szCs w:val="28"/>
          <w:lang w:eastAsia="ja-JP"/>
        </w:rPr>
        <w:t>intramuscular</w:t>
      </w:r>
      <w:r w:rsidRPr="002909BF">
        <w:rPr>
          <w:sz w:val="22"/>
          <w:szCs w:val="28"/>
          <w:lang w:eastAsia="ja-JP"/>
        </w:rPr>
        <w:t xml:space="preserve"> studies</w:t>
      </w:r>
    </w:p>
    <w:p w14:paraId="745E4F99" w14:textId="7D93F4A3" w:rsidR="00E251B9" w:rsidRPr="002909BF" w:rsidRDefault="00C9100E" w:rsidP="00E251B9">
      <w:pPr>
        <w:spacing w:line="240" w:lineRule="auto"/>
        <w:rPr>
          <w:lang w:eastAsia="ja-JP"/>
        </w:rPr>
      </w:pPr>
      <w:r w:rsidRPr="002909BF">
        <w:rPr>
          <w:lang w:eastAsia="ja-JP"/>
        </w:rPr>
        <w:t xml:space="preserve">No serious adverse events were </w:t>
      </w:r>
      <w:r w:rsidR="00E251B9" w:rsidRPr="002909BF">
        <w:rPr>
          <w:lang w:eastAsia="ja-JP"/>
        </w:rPr>
        <w:t>reported.</w:t>
      </w:r>
    </w:p>
    <w:p w14:paraId="0EE027A2" w14:textId="7BD235F8" w:rsidR="00C1787D" w:rsidRPr="002909BF" w:rsidRDefault="00E251B9" w:rsidP="00C1787D">
      <w:pPr>
        <w:pStyle w:val="Heading7"/>
        <w:rPr>
          <w:sz w:val="22"/>
          <w:szCs w:val="28"/>
          <w:lang w:eastAsia="ja-JP"/>
        </w:rPr>
      </w:pPr>
      <w:r w:rsidRPr="002909BF">
        <w:rPr>
          <w:sz w:val="22"/>
          <w:szCs w:val="28"/>
          <w:lang w:eastAsia="ja-JP"/>
        </w:rPr>
        <w:t xml:space="preserve">Other </w:t>
      </w:r>
      <w:r w:rsidR="00C9100E" w:rsidRPr="002909BF">
        <w:rPr>
          <w:sz w:val="22"/>
          <w:szCs w:val="28"/>
          <w:lang w:eastAsia="ja-JP"/>
        </w:rPr>
        <w:t xml:space="preserve">post-exposure prophylaxis </w:t>
      </w:r>
      <w:r w:rsidR="009A0559" w:rsidRPr="002909BF">
        <w:rPr>
          <w:sz w:val="22"/>
          <w:szCs w:val="28"/>
          <w:lang w:eastAsia="ja-JP"/>
        </w:rPr>
        <w:t>intradermal</w:t>
      </w:r>
      <w:r w:rsidRPr="002909BF">
        <w:rPr>
          <w:sz w:val="22"/>
          <w:szCs w:val="28"/>
          <w:lang w:eastAsia="ja-JP"/>
        </w:rPr>
        <w:t xml:space="preserve"> studies</w:t>
      </w:r>
    </w:p>
    <w:p w14:paraId="61208C2D" w14:textId="7EBBD51B" w:rsidR="00E251B9" w:rsidRPr="002909BF" w:rsidRDefault="00C9100E" w:rsidP="00E251B9">
      <w:pPr>
        <w:spacing w:line="240" w:lineRule="auto"/>
        <w:rPr>
          <w:lang w:eastAsia="ja-JP"/>
        </w:rPr>
      </w:pPr>
      <w:r w:rsidRPr="002909BF">
        <w:rPr>
          <w:lang w:eastAsia="ja-JP"/>
        </w:rPr>
        <w:t xml:space="preserve">Serious adverse events </w:t>
      </w:r>
      <w:r w:rsidR="00E251B9" w:rsidRPr="002909BF">
        <w:rPr>
          <w:lang w:eastAsia="ja-JP"/>
        </w:rPr>
        <w:t xml:space="preserve">were reported infrequently, and all were assessed as unrelated to </w:t>
      </w:r>
      <w:r w:rsidR="00EB184F" w:rsidRPr="002909BF">
        <w:rPr>
          <w:lang w:eastAsia="ja-JP"/>
        </w:rPr>
        <w:t>sponsor’s</w:t>
      </w:r>
      <w:r w:rsidR="00E251B9" w:rsidRPr="002909BF">
        <w:rPr>
          <w:lang w:eastAsia="ja-JP"/>
        </w:rPr>
        <w:t xml:space="preserve"> PVRV.</w:t>
      </w:r>
    </w:p>
    <w:p w14:paraId="38AE9442" w14:textId="77777777" w:rsidR="00E251B9" w:rsidRPr="002909BF" w:rsidRDefault="00E251B9" w:rsidP="00C1787D">
      <w:pPr>
        <w:pStyle w:val="Heading6"/>
      </w:pPr>
      <w:r w:rsidRPr="002909BF">
        <w:t>Discontinuations</w:t>
      </w:r>
    </w:p>
    <w:p w14:paraId="3B1A054D" w14:textId="3E52E96A" w:rsidR="00C1787D" w:rsidRPr="002909BF" w:rsidRDefault="00E251B9" w:rsidP="00C1787D">
      <w:pPr>
        <w:pStyle w:val="Heading7"/>
        <w:rPr>
          <w:sz w:val="22"/>
          <w:szCs w:val="28"/>
          <w:lang w:eastAsia="ja-JP"/>
        </w:rPr>
      </w:pPr>
      <w:r w:rsidRPr="002909BF">
        <w:rPr>
          <w:sz w:val="22"/>
          <w:szCs w:val="28"/>
          <w:lang w:eastAsia="ja-JP"/>
        </w:rPr>
        <w:t xml:space="preserve">Integrated safety analysis </w:t>
      </w:r>
      <w:r w:rsidR="00FE7AFF" w:rsidRPr="00FE7AFF">
        <w:rPr>
          <w:sz w:val="22"/>
          <w:szCs w:val="28"/>
          <w:lang w:eastAsia="ja-JP"/>
        </w:rPr>
        <w:t>of pivotal studies (Studies 36, 37 and 38)</w:t>
      </w:r>
    </w:p>
    <w:p w14:paraId="1C7A6FC3" w14:textId="3136363F" w:rsidR="00E251B9" w:rsidRPr="002909BF" w:rsidRDefault="00C9100E" w:rsidP="00E251B9">
      <w:pPr>
        <w:spacing w:line="240" w:lineRule="auto"/>
        <w:rPr>
          <w:lang w:eastAsia="ja-JP"/>
        </w:rPr>
      </w:pPr>
      <w:r w:rsidRPr="002909BF">
        <w:rPr>
          <w:lang w:eastAsia="ja-JP"/>
        </w:rPr>
        <w:t xml:space="preserve">There were </w:t>
      </w:r>
      <w:r w:rsidR="00E251B9" w:rsidRPr="002909BF">
        <w:rPr>
          <w:lang w:eastAsia="ja-JP"/>
        </w:rPr>
        <w:t xml:space="preserve">0.6% of all subjects experienced a non-serious </w:t>
      </w:r>
      <w:r w:rsidR="00A45291" w:rsidRPr="002909BF">
        <w:rPr>
          <w:lang w:eastAsia="ja-JP"/>
        </w:rPr>
        <w:t>adverse event</w:t>
      </w:r>
      <w:r w:rsidR="00E251B9" w:rsidRPr="002909BF">
        <w:rPr>
          <w:lang w:eastAsia="ja-JP"/>
        </w:rPr>
        <w:t xml:space="preserve"> that resulted in discontinuation from the study. </w:t>
      </w:r>
      <w:r w:rsidRPr="002909BF">
        <w:rPr>
          <w:lang w:eastAsia="ja-JP"/>
        </w:rPr>
        <w:t>Two</w:t>
      </w:r>
      <w:r w:rsidR="00E251B9" w:rsidRPr="002909BF">
        <w:rPr>
          <w:lang w:eastAsia="ja-JP"/>
        </w:rPr>
        <w:t xml:space="preserve"> subjects aged </w:t>
      </w:r>
      <w:r w:rsidR="004579B7">
        <w:rPr>
          <w:lang w:eastAsia="ja-JP"/>
        </w:rPr>
        <w:t xml:space="preserve">from </w:t>
      </w:r>
      <w:r w:rsidR="00E251B9" w:rsidRPr="002909BF">
        <w:rPr>
          <w:lang w:eastAsia="ja-JP"/>
        </w:rPr>
        <w:t>2</w:t>
      </w:r>
      <w:r w:rsidR="00C9786A" w:rsidRPr="002909BF">
        <w:rPr>
          <w:lang w:eastAsia="ja-JP"/>
        </w:rPr>
        <w:t xml:space="preserve"> to </w:t>
      </w:r>
      <w:r w:rsidR="00E251B9" w:rsidRPr="002909BF">
        <w:rPr>
          <w:lang w:eastAsia="ja-JP"/>
        </w:rPr>
        <w:t>11</w:t>
      </w:r>
      <w:r w:rsidR="00C9786A" w:rsidRPr="002909BF">
        <w:rPr>
          <w:lang w:eastAsia="ja-JP"/>
        </w:rPr>
        <w:t xml:space="preserve"> </w:t>
      </w:r>
      <w:r w:rsidR="00E251B9" w:rsidRPr="002909BF">
        <w:rPr>
          <w:lang w:eastAsia="ja-JP"/>
        </w:rPr>
        <w:t>y</w:t>
      </w:r>
      <w:r w:rsidR="00C9786A" w:rsidRPr="002909BF">
        <w:rPr>
          <w:lang w:eastAsia="ja-JP"/>
        </w:rPr>
        <w:t>ears old</w:t>
      </w:r>
      <w:r w:rsidR="00E251B9" w:rsidRPr="002909BF">
        <w:rPr>
          <w:lang w:eastAsia="ja-JP"/>
        </w:rPr>
        <w:t xml:space="preserve"> in Study</w:t>
      </w:r>
      <w:r w:rsidRPr="002909BF">
        <w:rPr>
          <w:lang w:eastAsia="ja-JP"/>
        </w:rPr>
        <w:t> </w:t>
      </w:r>
      <w:r w:rsidR="00E251B9" w:rsidRPr="002909BF">
        <w:rPr>
          <w:lang w:eastAsia="ja-JP"/>
        </w:rPr>
        <w:t>36 (</w:t>
      </w:r>
      <w:r w:rsidR="00D83BC0">
        <w:rPr>
          <w:lang w:eastAsia="ja-JP"/>
        </w:rPr>
        <w:t xml:space="preserve">the </w:t>
      </w:r>
      <w:r w:rsidR="00E251B9" w:rsidRPr="002909BF">
        <w:rPr>
          <w:lang w:eastAsia="ja-JP"/>
        </w:rPr>
        <w:t>VRV01</w:t>
      </w:r>
      <w:r w:rsidR="00D83BC0">
        <w:rPr>
          <w:lang w:eastAsia="ja-JP"/>
        </w:rPr>
        <w:t xml:space="preserve"> trial</w:t>
      </w:r>
      <w:r w:rsidR="00E251B9" w:rsidRPr="002909BF">
        <w:rPr>
          <w:lang w:eastAsia="ja-JP"/>
        </w:rPr>
        <w:t>) discontinued due to non</w:t>
      </w:r>
      <w:r w:rsidR="00C9786A" w:rsidRPr="002909BF">
        <w:rPr>
          <w:lang w:eastAsia="ja-JP"/>
        </w:rPr>
        <w:noBreakHyphen/>
      </w:r>
      <w:r w:rsidR="00E251B9" w:rsidRPr="002909BF">
        <w:rPr>
          <w:lang w:eastAsia="ja-JP"/>
        </w:rPr>
        <w:t xml:space="preserve">serious </w:t>
      </w:r>
      <w:r w:rsidR="00A45291" w:rsidRPr="002909BF">
        <w:rPr>
          <w:lang w:eastAsia="ja-JP"/>
        </w:rPr>
        <w:t>adverse event</w:t>
      </w:r>
      <w:r w:rsidR="00E251B9" w:rsidRPr="002909BF">
        <w:rPr>
          <w:lang w:eastAsia="ja-JP"/>
        </w:rPr>
        <w:t>s (Grade 2 urticaria and Grade</w:t>
      </w:r>
      <w:r w:rsidR="00D83BC0">
        <w:rPr>
          <w:lang w:eastAsia="ja-JP"/>
        </w:rPr>
        <w:t> </w:t>
      </w:r>
      <w:r w:rsidR="00E251B9" w:rsidRPr="002909BF">
        <w:rPr>
          <w:lang w:eastAsia="ja-JP"/>
        </w:rPr>
        <w:t>1 malaise).</w:t>
      </w:r>
    </w:p>
    <w:p w14:paraId="56271C40" w14:textId="77777777" w:rsidR="00C1787D" w:rsidRPr="002909BF" w:rsidRDefault="00E251B9" w:rsidP="00C1787D">
      <w:pPr>
        <w:pStyle w:val="Heading7"/>
        <w:rPr>
          <w:sz w:val="22"/>
          <w:szCs w:val="28"/>
          <w:lang w:eastAsia="ja-JP"/>
        </w:rPr>
      </w:pPr>
      <w:r w:rsidRPr="002909BF">
        <w:rPr>
          <w:sz w:val="22"/>
          <w:szCs w:val="28"/>
          <w:lang w:eastAsia="ja-JP"/>
        </w:rPr>
        <w:t>Study VAJ0001</w:t>
      </w:r>
    </w:p>
    <w:p w14:paraId="201E3FC4" w14:textId="14722D56" w:rsidR="00E251B9" w:rsidRPr="002909BF" w:rsidRDefault="00C9100E" w:rsidP="003F0DC7">
      <w:r w:rsidRPr="002909BF">
        <w:t xml:space="preserve">No discontinuations were </w:t>
      </w:r>
      <w:r w:rsidR="00E251B9" w:rsidRPr="002909BF">
        <w:t xml:space="preserve">reported in the </w:t>
      </w:r>
      <w:r w:rsidR="00EB184F" w:rsidRPr="002909BF">
        <w:t>sponsor’s</w:t>
      </w:r>
      <w:r w:rsidR="00E251B9" w:rsidRPr="002909BF">
        <w:t xml:space="preserve"> PVRV group.</w:t>
      </w:r>
    </w:p>
    <w:p w14:paraId="125B0112" w14:textId="1B8CE98A" w:rsidR="00C1787D" w:rsidRPr="002909BF" w:rsidRDefault="00E251B9" w:rsidP="00C1787D">
      <w:pPr>
        <w:pStyle w:val="Heading7"/>
        <w:rPr>
          <w:sz w:val="22"/>
          <w:szCs w:val="28"/>
          <w:lang w:eastAsia="ja-JP"/>
        </w:rPr>
      </w:pPr>
      <w:r w:rsidRPr="002909BF">
        <w:rPr>
          <w:sz w:val="22"/>
          <w:szCs w:val="28"/>
          <w:lang w:eastAsia="ja-JP"/>
        </w:rPr>
        <w:t xml:space="preserve">Other </w:t>
      </w:r>
      <w:r w:rsidR="00C9100E" w:rsidRPr="002909BF">
        <w:rPr>
          <w:sz w:val="22"/>
          <w:szCs w:val="28"/>
          <w:lang w:eastAsia="ja-JP"/>
        </w:rPr>
        <w:t xml:space="preserve">pre-exposure prophylaxis </w:t>
      </w:r>
      <w:r w:rsidR="009A0559" w:rsidRPr="002909BF">
        <w:rPr>
          <w:sz w:val="22"/>
          <w:szCs w:val="28"/>
          <w:lang w:eastAsia="ja-JP"/>
        </w:rPr>
        <w:t>intramuscular</w:t>
      </w:r>
      <w:r w:rsidRPr="002909BF">
        <w:rPr>
          <w:sz w:val="22"/>
          <w:szCs w:val="28"/>
          <w:lang w:eastAsia="ja-JP"/>
        </w:rPr>
        <w:t xml:space="preserve"> studies</w:t>
      </w:r>
    </w:p>
    <w:p w14:paraId="43811752" w14:textId="3B3C40C1" w:rsidR="00E251B9" w:rsidRPr="002909BF" w:rsidRDefault="00C9100E" w:rsidP="003F0DC7">
      <w:r w:rsidRPr="002909BF">
        <w:t xml:space="preserve">No discontinuations were </w:t>
      </w:r>
      <w:r w:rsidR="00E251B9" w:rsidRPr="002909BF">
        <w:t>reported.</w:t>
      </w:r>
    </w:p>
    <w:p w14:paraId="6E861A87" w14:textId="3A14ED4D" w:rsidR="00C1787D" w:rsidRPr="002909BF" w:rsidRDefault="00E251B9" w:rsidP="00C1787D">
      <w:pPr>
        <w:pStyle w:val="Heading7"/>
        <w:rPr>
          <w:sz w:val="22"/>
          <w:szCs w:val="28"/>
          <w:lang w:eastAsia="ja-JP"/>
        </w:rPr>
      </w:pPr>
      <w:r w:rsidRPr="002909BF">
        <w:rPr>
          <w:sz w:val="22"/>
          <w:szCs w:val="28"/>
          <w:lang w:eastAsia="ja-JP"/>
        </w:rPr>
        <w:t xml:space="preserve">Other </w:t>
      </w:r>
      <w:r w:rsidR="00C9100E" w:rsidRPr="002909BF">
        <w:rPr>
          <w:sz w:val="22"/>
          <w:szCs w:val="28"/>
          <w:lang w:eastAsia="ja-JP"/>
        </w:rPr>
        <w:t xml:space="preserve">pre-exposure prophylaxis </w:t>
      </w:r>
      <w:r w:rsidR="009A0559" w:rsidRPr="002909BF">
        <w:rPr>
          <w:sz w:val="22"/>
          <w:szCs w:val="28"/>
          <w:lang w:eastAsia="ja-JP"/>
        </w:rPr>
        <w:t>intradermal</w:t>
      </w:r>
      <w:r w:rsidRPr="002909BF">
        <w:rPr>
          <w:sz w:val="22"/>
          <w:szCs w:val="28"/>
          <w:lang w:eastAsia="ja-JP"/>
        </w:rPr>
        <w:t xml:space="preserve"> studies</w:t>
      </w:r>
    </w:p>
    <w:p w14:paraId="4A688BD1" w14:textId="6B9D02A1" w:rsidR="00E251B9" w:rsidRPr="002909BF" w:rsidRDefault="00C9100E" w:rsidP="003F0DC7">
      <w:r w:rsidRPr="002909BF">
        <w:t xml:space="preserve">No discontinuations were </w:t>
      </w:r>
      <w:r w:rsidR="00E251B9" w:rsidRPr="002909BF">
        <w:t>reported.</w:t>
      </w:r>
    </w:p>
    <w:p w14:paraId="467C3C7A" w14:textId="24EEDECF" w:rsidR="00C1787D" w:rsidRPr="002909BF" w:rsidRDefault="00E251B9" w:rsidP="00C1787D">
      <w:pPr>
        <w:pStyle w:val="Heading7"/>
        <w:rPr>
          <w:sz w:val="22"/>
          <w:szCs w:val="28"/>
          <w:lang w:eastAsia="ja-JP"/>
        </w:rPr>
      </w:pPr>
      <w:r w:rsidRPr="002909BF">
        <w:rPr>
          <w:sz w:val="22"/>
          <w:szCs w:val="28"/>
          <w:lang w:eastAsia="ja-JP"/>
        </w:rPr>
        <w:t xml:space="preserve">Other </w:t>
      </w:r>
      <w:r w:rsidR="00C9100E" w:rsidRPr="002909BF">
        <w:rPr>
          <w:sz w:val="22"/>
          <w:szCs w:val="28"/>
          <w:lang w:eastAsia="ja-JP"/>
        </w:rPr>
        <w:t xml:space="preserve">post-exposure prophylaxis </w:t>
      </w:r>
      <w:r w:rsidR="009A0559" w:rsidRPr="002909BF">
        <w:rPr>
          <w:sz w:val="22"/>
          <w:szCs w:val="28"/>
          <w:lang w:eastAsia="ja-JP"/>
        </w:rPr>
        <w:t>intramuscular</w:t>
      </w:r>
      <w:r w:rsidRPr="002909BF">
        <w:rPr>
          <w:sz w:val="22"/>
          <w:szCs w:val="28"/>
          <w:lang w:eastAsia="ja-JP"/>
        </w:rPr>
        <w:t xml:space="preserve"> studies</w:t>
      </w:r>
    </w:p>
    <w:p w14:paraId="27C8A167" w14:textId="5C2563AC" w:rsidR="00E251B9" w:rsidRPr="002909BF" w:rsidRDefault="00C9100E" w:rsidP="00E251B9">
      <w:pPr>
        <w:spacing w:line="240" w:lineRule="auto"/>
        <w:rPr>
          <w:lang w:eastAsia="ja-JP"/>
        </w:rPr>
      </w:pPr>
      <w:r w:rsidRPr="002909BF">
        <w:t xml:space="preserve">No discontinuations were </w:t>
      </w:r>
      <w:r w:rsidR="00E251B9" w:rsidRPr="002909BF">
        <w:rPr>
          <w:lang w:eastAsia="ja-JP"/>
        </w:rPr>
        <w:t>reported.</w:t>
      </w:r>
    </w:p>
    <w:p w14:paraId="07D2C5F6" w14:textId="32B0CC64" w:rsidR="00C1787D" w:rsidRPr="002909BF" w:rsidRDefault="00E251B9" w:rsidP="00C1787D">
      <w:pPr>
        <w:pStyle w:val="Heading7"/>
        <w:rPr>
          <w:sz w:val="22"/>
          <w:szCs w:val="28"/>
          <w:lang w:eastAsia="ja-JP"/>
        </w:rPr>
      </w:pPr>
      <w:r w:rsidRPr="002909BF">
        <w:rPr>
          <w:sz w:val="22"/>
          <w:szCs w:val="28"/>
          <w:lang w:eastAsia="ja-JP"/>
        </w:rPr>
        <w:t xml:space="preserve">Other </w:t>
      </w:r>
      <w:r w:rsidR="00C9100E" w:rsidRPr="002909BF">
        <w:rPr>
          <w:sz w:val="22"/>
          <w:szCs w:val="28"/>
          <w:lang w:eastAsia="ja-JP"/>
        </w:rPr>
        <w:t xml:space="preserve">post-exposure prophylaxis </w:t>
      </w:r>
      <w:r w:rsidR="009A0559" w:rsidRPr="002909BF">
        <w:rPr>
          <w:sz w:val="22"/>
          <w:szCs w:val="28"/>
          <w:lang w:eastAsia="ja-JP"/>
        </w:rPr>
        <w:t>intradermal</w:t>
      </w:r>
      <w:r w:rsidRPr="002909BF">
        <w:rPr>
          <w:sz w:val="22"/>
          <w:szCs w:val="28"/>
          <w:lang w:eastAsia="ja-JP"/>
        </w:rPr>
        <w:t xml:space="preserve"> studies</w:t>
      </w:r>
    </w:p>
    <w:p w14:paraId="56E4A30A" w14:textId="05363E13" w:rsidR="00E251B9" w:rsidRPr="002909BF" w:rsidRDefault="00C9100E" w:rsidP="00E251B9">
      <w:pPr>
        <w:spacing w:line="240" w:lineRule="auto"/>
        <w:rPr>
          <w:lang w:eastAsia="ja-JP"/>
        </w:rPr>
      </w:pPr>
      <w:r w:rsidRPr="002909BF">
        <w:t xml:space="preserve">No discontinuations were </w:t>
      </w:r>
      <w:r w:rsidR="00E251B9" w:rsidRPr="002909BF">
        <w:rPr>
          <w:lang w:eastAsia="ja-JP"/>
        </w:rPr>
        <w:t>reported.</w:t>
      </w:r>
    </w:p>
    <w:p w14:paraId="1C4FA06F" w14:textId="77777777" w:rsidR="00E251B9" w:rsidRPr="002909BF" w:rsidRDefault="00E251B9" w:rsidP="00C1787D">
      <w:pPr>
        <w:pStyle w:val="Heading6"/>
      </w:pPr>
      <w:r w:rsidRPr="002909BF">
        <w:t>Specific safety issues</w:t>
      </w:r>
    </w:p>
    <w:p w14:paraId="3F07155C" w14:textId="77777777" w:rsidR="003F0DC7" w:rsidRPr="002909BF" w:rsidRDefault="00E251B9" w:rsidP="003F0DC7">
      <w:pPr>
        <w:pStyle w:val="Heading7"/>
        <w:rPr>
          <w:sz w:val="22"/>
          <w:szCs w:val="28"/>
          <w:lang w:eastAsia="ja-JP"/>
        </w:rPr>
      </w:pPr>
      <w:r w:rsidRPr="002909BF">
        <w:rPr>
          <w:sz w:val="22"/>
          <w:szCs w:val="28"/>
          <w:lang w:eastAsia="ja-JP"/>
        </w:rPr>
        <w:t>Allergic reactions</w:t>
      </w:r>
    </w:p>
    <w:p w14:paraId="35CA8815" w14:textId="0CC5B70C" w:rsidR="00E251B9" w:rsidRPr="002909BF" w:rsidRDefault="00E251B9" w:rsidP="003F0DC7">
      <w:r w:rsidRPr="002909BF">
        <w:t xml:space="preserve">In the integrated analysis, only </w:t>
      </w:r>
      <w:r w:rsidR="00EE5E45" w:rsidRPr="002909BF">
        <w:t xml:space="preserve">one </w:t>
      </w:r>
      <w:r w:rsidRPr="002909BF">
        <w:t xml:space="preserve">case of serious allergic reaction (severe pruritus with skin rash) was reported from clinical trials involving </w:t>
      </w:r>
      <w:r w:rsidR="00E146DE" w:rsidRPr="002909BF">
        <w:t xml:space="preserve">more than </w:t>
      </w:r>
      <w:r w:rsidRPr="002909BF">
        <w:t>13</w:t>
      </w:r>
      <w:r w:rsidR="00E146DE" w:rsidRPr="002909BF">
        <w:t>,</w:t>
      </w:r>
      <w:r w:rsidRPr="002909BF">
        <w:t xml:space="preserve">000 subjects. This case </w:t>
      </w:r>
      <w:r w:rsidRPr="002909BF">
        <w:lastRenderedPageBreak/>
        <w:t>did not meet the Brighton Collaboration definition for anaphylaxis.</w:t>
      </w:r>
      <w:r w:rsidR="008D54AA">
        <w:rPr>
          <w:rStyle w:val="FootnoteReference"/>
        </w:rPr>
        <w:footnoteReference w:id="27"/>
      </w:r>
      <w:r w:rsidRPr="002909BF">
        <w:t xml:space="preserve"> However, other serious cases of allergic reactions, including cases of anaphylaxis and angioedema, have been reported from post-marketing surveillance. Overall, among 65 cases retrieved from Global Pharmacovigilance Database using </w:t>
      </w:r>
      <w:r w:rsidR="007D7576" w:rsidRPr="007D7576">
        <w:t>Standardised Medical Dictionary for Regulatory Activities (MedDRA)</w:t>
      </w:r>
      <w:r w:rsidR="007D7576">
        <w:rPr>
          <w:rStyle w:val="FootnoteReference"/>
        </w:rPr>
        <w:footnoteReference w:id="28"/>
      </w:r>
      <w:r w:rsidR="007D7576" w:rsidRPr="007D7576">
        <w:t xml:space="preserve"> Quer</w:t>
      </w:r>
      <w:r w:rsidR="007D7576">
        <w:t>y</w:t>
      </w:r>
      <w:r w:rsidR="007D7576" w:rsidRPr="007D7576">
        <w:t xml:space="preserve"> (SMQ)</w:t>
      </w:r>
      <w:r w:rsidR="007D7576">
        <w:rPr>
          <w:rStyle w:val="FootnoteReference"/>
        </w:rPr>
        <w:footnoteReference w:id="29"/>
      </w:r>
      <w:r w:rsidR="007D7576" w:rsidRPr="007D7576">
        <w:t xml:space="preserve"> </w:t>
      </w:r>
      <w:r w:rsidR="007D7576" w:rsidRPr="002909BF">
        <w:t xml:space="preserve">anaphylaxis </w:t>
      </w:r>
      <w:r w:rsidRPr="002909BF">
        <w:t xml:space="preserve">reaction (algorithmic) for cumulative period </w:t>
      </w:r>
      <w:r w:rsidR="003D419B" w:rsidRPr="002909BF">
        <w:t xml:space="preserve">from </w:t>
      </w:r>
      <w:r w:rsidRPr="002909BF">
        <w:t xml:space="preserve">1993 to 2019, there have been 35 cases meeting the Brighton collaboration definition of </w:t>
      </w:r>
      <w:r w:rsidR="003D419B" w:rsidRPr="002909BF">
        <w:t>a</w:t>
      </w:r>
      <w:r w:rsidRPr="002909BF">
        <w:t xml:space="preserve">naphylaxis, including 25 cases reported after </w:t>
      </w:r>
      <w:proofErr w:type="spellStart"/>
      <w:r w:rsidRPr="002909BF">
        <w:t>Verorab</w:t>
      </w:r>
      <w:proofErr w:type="spellEnd"/>
      <w:r w:rsidRPr="002909BF">
        <w:t xml:space="preserve"> (Level</w:t>
      </w:r>
      <w:r w:rsidR="003D419B" w:rsidRPr="002909BF">
        <w:t> </w:t>
      </w:r>
      <w:r w:rsidRPr="002909BF">
        <w:t xml:space="preserve">1 </w:t>
      </w:r>
      <w:r w:rsidR="003D419B" w:rsidRPr="002909BF">
        <w:t>has</w:t>
      </w:r>
      <w:r w:rsidRPr="002909BF">
        <w:t xml:space="preserve"> 4 cases, Level 2</w:t>
      </w:r>
      <w:r w:rsidR="003820EF" w:rsidRPr="002909BF">
        <w:t xml:space="preserve"> </w:t>
      </w:r>
      <w:r w:rsidR="003D419B" w:rsidRPr="002909BF">
        <w:t>has</w:t>
      </w:r>
      <w:r w:rsidRPr="002909BF">
        <w:t xml:space="preserve"> 9 cases, Level 3</w:t>
      </w:r>
      <w:r w:rsidR="003D419B" w:rsidRPr="002909BF">
        <w:t xml:space="preserve"> has one</w:t>
      </w:r>
      <w:r w:rsidRPr="002909BF">
        <w:t xml:space="preserve"> case, and </w:t>
      </w:r>
      <w:r w:rsidR="007523AB" w:rsidRPr="002909BF">
        <w:t>‘</w:t>
      </w:r>
      <w:r w:rsidRPr="002909BF">
        <w:t>reported anaphylaxis</w:t>
      </w:r>
      <w:r w:rsidR="007523AB" w:rsidRPr="002909BF">
        <w:t>’</w:t>
      </w:r>
      <w:r w:rsidRPr="002909BF">
        <w:t xml:space="preserve"> </w:t>
      </w:r>
      <w:r w:rsidR="003D419B" w:rsidRPr="002909BF">
        <w:t>has</w:t>
      </w:r>
      <w:r w:rsidRPr="002909BF">
        <w:t xml:space="preserve"> 11</w:t>
      </w:r>
      <w:r w:rsidR="003D419B" w:rsidRPr="002909BF">
        <w:t> </w:t>
      </w:r>
      <w:r w:rsidRPr="002909BF">
        <w:t xml:space="preserve">cases), and 10 cases after vaccination with rabies vaccine from unknown manufacturer from countries in which </w:t>
      </w:r>
      <w:proofErr w:type="spellStart"/>
      <w:r w:rsidRPr="002909BF">
        <w:t>Verorab</w:t>
      </w:r>
      <w:proofErr w:type="spellEnd"/>
      <w:r w:rsidRPr="002909BF">
        <w:t xml:space="preserve"> has been distributed. This leads to a reporting rate after </w:t>
      </w:r>
      <w:proofErr w:type="spellStart"/>
      <w:r w:rsidRPr="002909BF">
        <w:t>Verorab</w:t>
      </w:r>
      <w:proofErr w:type="spellEnd"/>
      <w:r w:rsidRPr="002909BF">
        <w:t xml:space="preserve"> of 0.012</w:t>
      </w:r>
      <w:r w:rsidR="003D419B" w:rsidRPr="002909BF">
        <w:t xml:space="preserve"> per </w:t>
      </w:r>
      <w:r w:rsidRPr="002909BF">
        <w:t>100</w:t>
      </w:r>
      <w:r w:rsidR="003D419B" w:rsidRPr="002909BF">
        <w:t>,</w:t>
      </w:r>
      <w:r w:rsidRPr="002909BF">
        <w:t>000 doses distributed, with stable reporting over time.</w:t>
      </w:r>
    </w:p>
    <w:p w14:paraId="24A79D9D" w14:textId="77777777" w:rsidR="003F0DC7" w:rsidRPr="002909BF" w:rsidRDefault="00E251B9" w:rsidP="003F0DC7">
      <w:pPr>
        <w:pStyle w:val="Heading7"/>
        <w:rPr>
          <w:sz w:val="22"/>
          <w:szCs w:val="28"/>
          <w:lang w:eastAsia="ja-JP"/>
        </w:rPr>
      </w:pPr>
      <w:r w:rsidRPr="002909BF">
        <w:rPr>
          <w:sz w:val="22"/>
          <w:szCs w:val="28"/>
          <w:lang w:eastAsia="ja-JP"/>
        </w:rPr>
        <w:t>Serum sickness</w:t>
      </w:r>
    </w:p>
    <w:p w14:paraId="35D36B97" w14:textId="25E057BA" w:rsidR="00E251B9" w:rsidRPr="002909BF" w:rsidRDefault="00E251B9" w:rsidP="003F0DC7">
      <w:r w:rsidRPr="002909BF">
        <w:t xml:space="preserve">Cumulatively from worldwide sources (reporting rate </w:t>
      </w:r>
      <w:r w:rsidR="003D419B" w:rsidRPr="002909BF">
        <w:t xml:space="preserve">of </w:t>
      </w:r>
      <w:r w:rsidRPr="002909BF">
        <w:t>0.004</w:t>
      </w:r>
      <w:r w:rsidR="003D419B" w:rsidRPr="002909BF">
        <w:t xml:space="preserve"> per </w:t>
      </w:r>
      <w:r w:rsidRPr="002909BF">
        <w:t>100</w:t>
      </w:r>
      <w:r w:rsidR="003D419B" w:rsidRPr="002909BF">
        <w:t>,</w:t>
      </w:r>
      <w:r w:rsidRPr="002909BF">
        <w:t>000 doses)</w:t>
      </w:r>
      <w:r w:rsidR="003D419B" w:rsidRPr="002909BF">
        <w:t>,</w:t>
      </w:r>
      <w:r w:rsidRPr="002909BF">
        <w:t xml:space="preserve"> all these cases were insufficiently documented to confirm the diagnosis of serum sickness or of serum sickness</w:t>
      </w:r>
      <w:r w:rsidR="00C9786A" w:rsidRPr="002909BF">
        <w:t xml:space="preserve"> </w:t>
      </w:r>
      <w:r w:rsidRPr="002909BF">
        <w:t>like</w:t>
      </w:r>
      <w:r w:rsidR="00C9786A" w:rsidRPr="002909BF">
        <w:t xml:space="preserve"> </w:t>
      </w:r>
      <w:r w:rsidRPr="002909BF">
        <w:t>reaction. In addition, in the 7 cases in which time to onset was compatible with receipt of rabies prophylaxis, the patients also were taking drugs known to trigger serum sickness or serum</w:t>
      </w:r>
      <w:r w:rsidR="00C9786A" w:rsidRPr="002909BF">
        <w:t xml:space="preserve"> </w:t>
      </w:r>
      <w:r w:rsidRPr="002909BF">
        <w:t>sickness</w:t>
      </w:r>
      <w:r w:rsidR="00C9786A" w:rsidRPr="002909BF">
        <w:t xml:space="preserve"> </w:t>
      </w:r>
      <w:r w:rsidRPr="002909BF">
        <w:t>like reaction: anti-rabies serum (</w:t>
      </w:r>
      <w:r w:rsidR="003D419B" w:rsidRPr="002909BF">
        <w:t>5 cases</w:t>
      </w:r>
      <w:r w:rsidRPr="002909BF">
        <w:t>) or amoxicillin</w:t>
      </w:r>
      <w:r w:rsidR="003D419B" w:rsidRPr="002909BF">
        <w:t xml:space="preserve"> plus </w:t>
      </w:r>
      <w:r w:rsidRPr="002909BF">
        <w:t>clavulanic acid (</w:t>
      </w:r>
      <w:r w:rsidR="004579B7">
        <w:t xml:space="preserve">co-amoxiclav, </w:t>
      </w:r>
      <w:r w:rsidRPr="002909BF">
        <w:t xml:space="preserve">2 cases). In the remaining 2 cases, time to onset and symptoms were not reported. Therefore, these cases of serum sickness reported in temporal association after </w:t>
      </w:r>
      <w:r w:rsidR="00EB184F" w:rsidRPr="002909BF">
        <w:t>sponsor’s</w:t>
      </w:r>
      <w:r w:rsidRPr="002909BF">
        <w:t xml:space="preserve"> PVRV administration are not considered as causally associated with </w:t>
      </w:r>
      <w:proofErr w:type="spellStart"/>
      <w:r w:rsidRPr="002909BF">
        <w:t>Verorab</w:t>
      </w:r>
      <w:proofErr w:type="spellEnd"/>
      <w:r w:rsidRPr="002909BF">
        <w:t>, and serum sickness</w:t>
      </w:r>
      <w:r w:rsidR="00C9786A" w:rsidRPr="002909BF">
        <w:t xml:space="preserve"> </w:t>
      </w:r>
      <w:r w:rsidRPr="002909BF">
        <w:t xml:space="preserve">type reactions are no longer considered as a potential risk for </w:t>
      </w:r>
      <w:proofErr w:type="spellStart"/>
      <w:r w:rsidRPr="002909BF">
        <w:t>Verorab</w:t>
      </w:r>
      <w:proofErr w:type="spellEnd"/>
      <w:r w:rsidRPr="002909BF">
        <w:t>.</w:t>
      </w:r>
    </w:p>
    <w:p w14:paraId="278F0730" w14:textId="77777777" w:rsidR="003F0DC7" w:rsidRPr="002909BF" w:rsidRDefault="00E251B9" w:rsidP="003F0DC7">
      <w:pPr>
        <w:pStyle w:val="Heading7"/>
        <w:rPr>
          <w:sz w:val="22"/>
          <w:szCs w:val="28"/>
          <w:lang w:eastAsia="ja-JP"/>
        </w:rPr>
      </w:pPr>
      <w:r w:rsidRPr="002909BF">
        <w:rPr>
          <w:sz w:val="22"/>
          <w:szCs w:val="28"/>
          <w:lang w:eastAsia="ja-JP"/>
        </w:rPr>
        <w:t>Genotoxicity</w:t>
      </w:r>
    </w:p>
    <w:p w14:paraId="0AD35128" w14:textId="75244686" w:rsidR="00E251B9" w:rsidRPr="002909BF" w:rsidRDefault="00E251B9" w:rsidP="003F0DC7">
      <w:r w:rsidRPr="002909BF">
        <w:t xml:space="preserve">No genotoxicity studies have been performed with </w:t>
      </w:r>
      <w:proofErr w:type="spellStart"/>
      <w:r w:rsidRPr="002909BF">
        <w:t>Verorab</w:t>
      </w:r>
      <w:proofErr w:type="spellEnd"/>
      <w:r w:rsidRPr="002909BF">
        <w:t>.</w:t>
      </w:r>
    </w:p>
    <w:p w14:paraId="77DE249B" w14:textId="77777777" w:rsidR="003F0DC7" w:rsidRPr="002909BF" w:rsidRDefault="00E251B9" w:rsidP="003F0DC7">
      <w:pPr>
        <w:pStyle w:val="Heading7"/>
        <w:rPr>
          <w:sz w:val="22"/>
          <w:szCs w:val="28"/>
          <w:lang w:eastAsia="ja-JP"/>
        </w:rPr>
      </w:pPr>
      <w:r w:rsidRPr="002909BF">
        <w:rPr>
          <w:sz w:val="22"/>
          <w:szCs w:val="28"/>
          <w:lang w:eastAsia="ja-JP"/>
        </w:rPr>
        <w:t>Carcinogenicity</w:t>
      </w:r>
    </w:p>
    <w:p w14:paraId="67DD2214" w14:textId="6C5444BE" w:rsidR="00E251B9" w:rsidRPr="002909BF" w:rsidRDefault="00E251B9" w:rsidP="003F0DC7">
      <w:r w:rsidRPr="002909BF">
        <w:t xml:space="preserve">No carcinogenicity studies have been performed with </w:t>
      </w:r>
      <w:proofErr w:type="spellStart"/>
      <w:r w:rsidRPr="002909BF">
        <w:t>Verorab</w:t>
      </w:r>
      <w:proofErr w:type="spellEnd"/>
      <w:r w:rsidRPr="002909BF">
        <w:t>.</w:t>
      </w:r>
    </w:p>
    <w:p w14:paraId="092F3B82" w14:textId="77777777" w:rsidR="003F0DC7" w:rsidRPr="002909BF" w:rsidRDefault="00E251B9" w:rsidP="003F0DC7">
      <w:pPr>
        <w:pStyle w:val="Heading7"/>
        <w:rPr>
          <w:sz w:val="22"/>
          <w:szCs w:val="28"/>
          <w:lang w:eastAsia="ja-JP"/>
        </w:rPr>
      </w:pPr>
      <w:r w:rsidRPr="002909BF">
        <w:rPr>
          <w:sz w:val="22"/>
          <w:szCs w:val="28"/>
          <w:lang w:eastAsia="ja-JP"/>
        </w:rPr>
        <w:t>Serious skin reactions</w:t>
      </w:r>
    </w:p>
    <w:p w14:paraId="29713C19" w14:textId="299614B1" w:rsidR="00E251B9" w:rsidRPr="002909BF" w:rsidRDefault="00E251B9" w:rsidP="003F0DC7">
      <w:r w:rsidRPr="002909BF">
        <w:t xml:space="preserve">A causal association between </w:t>
      </w:r>
      <w:r w:rsidR="003D419B" w:rsidRPr="002909BF">
        <w:t>erythema multiforme</w:t>
      </w:r>
      <w:r w:rsidRPr="002909BF">
        <w:t xml:space="preserve"> and </w:t>
      </w:r>
      <w:proofErr w:type="spellStart"/>
      <w:r w:rsidRPr="002909BF">
        <w:t>Verorab</w:t>
      </w:r>
      <w:proofErr w:type="spellEnd"/>
      <w:r w:rsidRPr="002909BF">
        <w:t xml:space="preserve"> was investigated in 2015 in response to an invitation received from the Uppsala Monitoring Centre (WHO Collaborating Centre for International Drug Monitoring) to comment on a </w:t>
      </w:r>
      <w:r w:rsidR="003D419B" w:rsidRPr="002909BF">
        <w:t>d</w:t>
      </w:r>
      <w:r w:rsidRPr="002909BF">
        <w:t xml:space="preserve">raft WHO </w:t>
      </w:r>
      <w:r w:rsidR="0000493F" w:rsidRPr="002909BF">
        <w:t xml:space="preserve">signal for rabies vaccine and erythema multiforme or </w:t>
      </w:r>
      <w:r w:rsidRPr="002909BF">
        <w:t xml:space="preserve">Stevens-Johnson </w:t>
      </w:r>
      <w:r w:rsidR="004579B7">
        <w:t>s</w:t>
      </w:r>
      <w:r w:rsidRPr="002909BF">
        <w:t xml:space="preserve">yndrome. A thorough review of the data available in the database did not suggest a causal relationship between vaccination with </w:t>
      </w:r>
      <w:r w:rsidR="00EB184F" w:rsidRPr="002909BF">
        <w:t>sponsor’s</w:t>
      </w:r>
      <w:r w:rsidRPr="002909BF">
        <w:t xml:space="preserve"> rabies vaccines and </w:t>
      </w:r>
      <w:r w:rsidR="003D419B" w:rsidRPr="002909BF">
        <w:t>erythema multiforme</w:t>
      </w:r>
      <w:r w:rsidRPr="002909BF">
        <w:t xml:space="preserve"> or Stevens</w:t>
      </w:r>
      <w:r w:rsidR="004579B7">
        <w:noBreakHyphen/>
      </w:r>
      <w:r w:rsidRPr="002909BF">
        <w:t xml:space="preserve">Johnson </w:t>
      </w:r>
      <w:r w:rsidR="004579B7">
        <w:t>s</w:t>
      </w:r>
      <w:r w:rsidRPr="002909BF">
        <w:t>yndrome.</w:t>
      </w:r>
    </w:p>
    <w:p w14:paraId="781B54F5" w14:textId="77777777" w:rsidR="00E251B9" w:rsidRPr="002909BF" w:rsidRDefault="00E251B9" w:rsidP="00C1787D">
      <w:pPr>
        <w:pStyle w:val="Heading6"/>
      </w:pPr>
      <w:r w:rsidRPr="002909BF">
        <w:t>Safety in special populations</w:t>
      </w:r>
    </w:p>
    <w:p w14:paraId="4B973EF4" w14:textId="740AADA9" w:rsidR="00E251B9" w:rsidRPr="002909BF" w:rsidRDefault="00E251B9" w:rsidP="003F0DC7">
      <w:pPr>
        <w:pStyle w:val="Heading7"/>
        <w:rPr>
          <w:sz w:val="22"/>
          <w:szCs w:val="28"/>
          <w:lang w:eastAsia="ja-JP"/>
        </w:rPr>
      </w:pPr>
      <w:r w:rsidRPr="002909BF">
        <w:rPr>
          <w:sz w:val="22"/>
          <w:szCs w:val="28"/>
          <w:lang w:eastAsia="ja-JP"/>
        </w:rPr>
        <w:t>Paediatric populations</w:t>
      </w:r>
    </w:p>
    <w:p w14:paraId="0456EB8A" w14:textId="5F884AFB" w:rsidR="00E251B9" w:rsidRPr="002909BF" w:rsidRDefault="0000493F" w:rsidP="003F0DC7">
      <w:r w:rsidRPr="002909BF">
        <w:t>No studies were conducted for p</w:t>
      </w:r>
      <w:r w:rsidR="00E251B9" w:rsidRPr="002909BF">
        <w:t>re-term newborns and neonates (birth to 27 days).</w:t>
      </w:r>
    </w:p>
    <w:p w14:paraId="1596B8E5" w14:textId="5F739B1D" w:rsidR="00E251B9" w:rsidRPr="002909BF" w:rsidRDefault="0000493F" w:rsidP="003F0DC7">
      <w:r w:rsidRPr="002909BF">
        <w:lastRenderedPageBreak/>
        <w:t>For i</w:t>
      </w:r>
      <w:r w:rsidR="00E251B9" w:rsidRPr="002909BF">
        <w:t>nfants and toddlers (28 days to 23 months)</w:t>
      </w:r>
      <w:r w:rsidRPr="002909BF">
        <w:t>, a</w:t>
      </w:r>
      <w:r w:rsidR="00E251B9" w:rsidRPr="002909BF">
        <w:t>t least 298 infants</w:t>
      </w:r>
      <w:r w:rsidRPr="002909BF">
        <w:t xml:space="preserve"> or </w:t>
      </w:r>
      <w:r w:rsidR="00E251B9" w:rsidRPr="002909BF">
        <w:t xml:space="preserve">toddlers received </w:t>
      </w:r>
      <w:r w:rsidR="00EB184F" w:rsidRPr="002909BF">
        <w:t>sponsor’s</w:t>
      </w:r>
      <w:r w:rsidR="00E251B9" w:rsidRPr="002909BF">
        <w:t xml:space="preserve"> </w:t>
      </w:r>
      <w:r w:rsidR="008D54AA" w:rsidRPr="002909BF">
        <w:t xml:space="preserve">Vero cell rabies vaccine </w:t>
      </w:r>
      <w:r w:rsidR="008D54AA">
        <w:t>(</w:t>
      </w:r>
      <w:r w:rsidR="00E251B9" w:rsidRPr="002909BF">
        <w:t>PVRV</w:t>
      </w:r>
      <w:r w:rsidR="008D54AA">
        <w:t>)</w:t>
      </w:r>
      <w:r w:rsidR="00E251B9" w:rsidRPr="002909BF">
        <w:t xml:space="preserve"> in </w:t>
      </w:r>
      <w:r w:rsidR="008D54AA">
        <w:t xml:space="preserve">the </w:t>
      </w:r>
      <w:r w:rsidR="00E251B9" w:rsidRPr="002909BF">
        <w:t>sponsor</w:t>
      </w:r>
      <w:r w:rsidR="00FE7AFF">
        <w:t>’s</w:t>
      </w:r>
      <w:r w:rsidR="00E251B9" w:rsidRPr="002909BF">
        <w:t xml:space="preserve"> clinical trials focused on paediatric population. No significant safety issue was identified for this population.</w:t>
      </w:r>
    </w:p>
    <w:p w14:paraId="523FDFAA" w14:textId="2C5177C2" w:rsidR="00E251B9" w:rsidRPr="002909BF" w:rsidRDefault="0000493F" w:rsidP="003F0DC7">
      <w:r w:rsidRPr="002909BF">
        <w:t>For c</w:t>
      </w:r>
      <w:r w:rsidR="00E251B9" w:rsidRPr="002909BF">
        <w:t>hildren (2 years to 11 years)</w:t>
      </w:r>
      <w:r w:rsidRPr="002909BF">
        <w:t>, a</w:t>
      </w:r>
      <w:r w:rsidR="00E251B9" w:rsidRPr="002909BF">
        <w:t xml:space="preserve">t least 600 children received </w:t>
      </w:r>
      <w:r w:rsidR="008D54AA">
        <w:t xml:space="preserve">the </w:t>
      </w:r>
      <w:r w:rsidR="00EB184F" w:rsidRPr="002909BF">
        <w:t>sponsor’s</w:t>
      </w:r>
      <w:r w:rsidR="00E251B9" w:rsidRPr="002909BF">
        <w:t xml:space="preserve"> PVRV in sponsor</w:t>
      </w:r>
      <w:r w:rsidR="008D54AA">
        <w:t>-led</w:t>
      </w:r>
      <w:r w:rsidR="00E251B9" w:rsidRPr="002909BF">
        <w:t xml:space="preserve"> clinical trials focused on paediatric population. This is an approximate value, as detailed age split is not available in most of the trials conducted in the 1980’s</w:t>
      </w:r>
      <w:r w:rsidR="00C9786A" w:rsidRPr="002909BF">
        <w:t xml:space="preserve"> to </w:t>
      </w:r>
      <w:r w:rsidR="00E251B9" w:rsidRPr="002909BF">
        <w:t>1990’s. No significant safety issue was identified for this population.</w:t>
      </w:r>
    </w:p>
    <w:p w14:paraId="7774589E" w14:textId="6895497B" w:rsidR="00E251B9" w:rsidRPr="002909BF" w:rsidRDefault="0000493F" w:rsidP="003F0DC7">
      <w:r w:rsidRPr="002909BF">
        <w:t>For a</w:t>
      </w:r>
      <w:r w:rsidR="00E251B9" w:rsidRPr="002909BF">
        <w:t>dolescents (12 years to 17 years)</w:t>
      </w:r>
      <w:r w:rsidRPr="002909BF">
        <w:t>, a</w:t>
      </w:r>
      <w:r w:rsidR="00E251B9" w:rsidRPr="002909BF">
        <w:t xml:space="preserve">t least 201 adolescents received </w:t>
      </w:r>
      <w:r w:rsidR="008D54AA">
        <w:t xml:space="preserve">the </w:t>
      </w:r>
      <w:r w:rsidR="00EB184F" w:rsidRPr="002909BF">
        <w:t>sponsor’s</w:t>
      </w:r>
      <w:r w:rsidR="00E251B9" w:rsidRPr="002909BF">
        <w:t xml:space="preserve"> PVRV in sponsor</w:t>
      </w:r>
      <w:r w:rsidR="008D54AA">
        <w:t>-led</w:t>
      </w:r>
      <w:r w:rsidR="00E251B9" w:rsidRPr="002909BF">
        <w:t xml:space="preserve"> clinical trials. This is an approximate value, as detailed age split is not available in most of trials conducted in 1980’s</w:t>
      </w:r>
      <w:r w:rsidR="00C9786A" w:rsidRPr="002909BF">
        <w:t xml:space="preserve"> to </w:t>
      </w:r>
      <w:r w:rsidR="00E251B9" w:rsidRPr="002909BF">
        <w:t>1990’s. No significant safety issue was identified for this population.</w:t>
      </w:r>
    </w:p>
    <w:p w14:paraId="050C1624" w14:textId="0241EA15" w:rsidR="003F0DC7" w:rsidRPr="002909BF" w:rsidRDefault="00E251B9" w:rsidP="003F0DC7">
      <w:pPr>
        <w:pStyle w:val="Heading7"/>
        <w:rPr>
          <w:sz w:val="22"/>
          <w:szCs w:val="28"/>
        </w:rPr>
      </w:pPr>
      <w:r w:rsidRPr="002909BF">
        <w:rPr>
          <w:sz w:val="22"/>
          <w:szCs w:val="28"/>
        </w:rPr>
        <w:t>Elderly</w:t>
      </w:r>
      <w:r w:rsidR="0000493F" w:rsidRPr="002909BF">
        <w:rPr>
          <w:sz w:val="22"/>
          <w:szCs w:val="28"/>
        </w:rPr>
        <w:t xml:space="preserve"> population</w:t>
      </w:r>
    </w:p>
    <w:p w14:paraId="457899C3" w14:textId="0F748B2E" w:rsidR="00E251B9" w:rsidRPr="002909BF" w:rsidRDefault="00E251B9" w:rsidP="003F0DC7">
      <w:r w:rsidRPr="002909BF">
        <w:t>Subjects over 65 years of age were included in most of the Sanofi Pasteur sponsored studies conducted in adults or in the general population, and the oldest subject enrolled was 98 years old. However, detailed age split was not available in most of the cases. No significant safety issues were identified in elderly subjects.</w:t>
      </w:r>
    </w:p>
    <w:p w14:paraId="3DBBC5DF" w14:textId="77144199" w:rsidR="003F0DC7" w:rsidRPr="002909BF" w:rsidRDefault="00E251B9" w:rsidP="003F0DC7">
      <w:pPr>
        <w:pStyle w:val="Heading7"/>
        <w:rPr>
          <w:sz w:val="22"/>
          <w:szCs w:val="28"/>
          <w:lang w:eastAsia="ja-JP"/>
        </w:rPr>
      </w:pPr>
      <w:r w:rsidRPr="002909BF">
        <w:rPr>
          <w:sz w:val="22"/>
          <w:szCs w:val="28"/>
          <w:lang w:eastAsia="ja-JP"/>
        </w:rPr>
        <w:t xml:space="preserve">Use in </w:t>
      </w:r>
      <w:r w:rsidR="0000493F" w:rsidRPr="002909BF">
        <w:rPr>
          <w:sz w:val="22"/>
          <w:szCs w:val="28"/>
          <w:lang w:eastAsia="ja-JP"/>
        </w:rPr>
        <w:t>pregnancy and lactation</w:t>
      </w:r>
    </w:p>
    <w:p w14:paraId="3EAFAB20" w14:textId="7C5F506C" w:rsidR="00E251B9" w:rsidRPr="002909BF" w:rsidRDefault="00E251B9" w:rsidP="003F0DC7">
      <w:r w:rsidRPr="002909BF">
        <w:t xml:space="preserve">Current WHO guidelines do not recommend </w:t>
      </w:r>
      <w:r w:rsidR="008D54AA">
        <w:t xml:space="preserve">the use of </w:t>
      </w:r>
      <w:r w:rsidRPr="002909BF">
        <w:t xml:space="preserve">PrEP in pregnant women. However, the sponsor states that given the severity of the disease, pregnancy is not a contraindication for rabies vaccination, and the administration of PEP should be considered according to the category of exposure. </w:t>
      </w:r>
      <w:proofErr w:type="spellStart"/>
      <w:r w:rsidRPr="002909BF">
        <w:t>Verorab</w:t>
      </w:r>
      <w:proofErr w:type="spellEnd"/>
      <w:r w:rsidRPr="002909BF">
        <w:t xml:space="preserve"> as </w:t>
      </w:r>
      <w:proofErr w:type="spellStart"/>
      <w:r w:rsidRPr="002909BF">
        <w:t>PrEP</w:t>
      </w:r>
      <w:proofErr w:type="spellEnd"/>
      <w:r w:rsidRPr="002909BF">
        <w:t xml:space="preserve"> should be given to pregnant women only if clearly needed and following an assessment of the risks and benefits.</w:t>
      </w:r>
    </w:p>
    <w:p w14:paraId="7444C9EE" w14:textId="4230DB76" w:rsidR="00E251B9" w:rsidRPr="002909BF" w:rsidRDefault="008D54AA" w:rsidP="003F0DC7">
      <w:r>
        <w:t>The sponsor</w:t>
      </w:r>
      <w:r w:rsidR="00E251B9" w:rsidRPr="002909BF">
        <w:t xml:space="preserve"> did not conduct any studies in pregnant women as part of the clinical development plan. Nonetheless, 14 cases of use in pregnancy were reported due to accidental use in pregnant woman or women becoming pregnant within a few weeks after exposure. No safety issues were observed in these pregnancies.</w:t>
      </w:r>
    </w:p>
    <w:p w14:paraId="0E03B177" w14:textId="7592B35C" w:rsidR="00E251B9" w:rsidRPr="002909BF" w:rsidRDefault="00E251B9" w:rsidP="003F0DC7">
      <w:r w:rsidRPr="002909BF">
        <w:t xml:space="preserve">In addition, data of </w:t>
      </w:r>
      <w:proofErr w:type="spellStart"/>
      <w:r w:rsidRPr="002909BF">
        <w:t>Verorab</w:t>
      </w:r>
      <w:proofErr w:type="spellEnd"/>
      <w:r w:rsidRPr="002909BF">
        <w:t xml:space="preserve"> administration in pregnant women available from studies conducted by </w:t>
      </w:r>
      <w:r w:rsidR="008D54AA">
        <w:t>researchers other than the sponsor</w:t>
      </w:r>
      <w:r w:rsidRPr="002909BF">
        <w:t xml:space="preserve"> indicated no safety issues for pregnant and lactating women and infants. Several studies conducted in Thailand and India evaluated the safety of </w:t>
      </w:r>
      <w:proofErr w:type="spellStart"/>
      <w:r w:rsidRPr="002909BF">
        <w:t>Verorab</w:t>
      </w:r>
      <w:proofErr w:type="spellEnd"/>
      <w:r w:rsidRPr="002909BF">
        <w:t xml:space="preserve"> for PEP during pregnancy. A total of 260 pregnant patients (from 15 to 37 </w:t>
      </w:r>
      <w:r w:rsidR="0000493F" w:rsidRPr="002909BF">
        <w:t>years</w:t>
      </w:r>
      <w:r w:rsidRPr="002909BF">
        <w:t xml:space="preserve"> of age) with WHO Category II and III bites</w:t>
      </w:r>
      <w:r w:rsidR="008D54AA" w:rsidRPr="003577ED">
        <w:rPr>
          <w:vertAlign w:val="superscript"/>
        </w:rPr>
        <w:fldChar w:fldCharType="begin"/>
      </w:r>
      <w:r w:rsidR="008D54AA" w:rsidRPr="003577ED">
        <w:rPr>
          <w:vertAlign w:val="superscript"/>
        </w:rPr>
        <w:instrText xml:space="preserve"> NOTEREF _Ref130563444 \h </w:instrText>
      </w:r>
      <w:r w:rsidR="008D54AA">
        <w:rPr>
          <w:vertAlign w:val="superscript"/>
        </w:rPr>
        <w:instrText xml:space="preserve"> \* MERGEFORMAT </w:instrText>
      </w:r>
      <w:r w:rsidR="008D54AA" w:rsidRPr="003577ED">
        <w:rPr>
          <w:vertAlign w:val="superscript"/>
        </w:rPr>
      </w:r>
      <w:r w:rsidR="008D54AA" w:rsidRPr="003577ED">
        <w:rPr>
          <w:vertAlign w:val="superscript"/>
        </w:rPr>
        <w:fldChar w:fldCharType="separate"/>
      </w:r>
      <w:r w:rsidR="00056FD1">
        <w:rPr>
          <w:vertAlign w:val="superscript"/>
        </w:rPr>
        <w:t>25</w:t>
      </w:r>
      <w:r w:rsidR="008D54AA" w:rsidRPr="003577ED">
        <w:rPr>
          <w:vertAlign w:val="superscript"/>
        </w:rPr>
        <w:fldChar w:fldCharType="end"/>
      </w:r>
      <w:r w:rsidRPr="002909BF">
        <w:t xml:space="preserve"> received </w:t>
      </w:r>
      <w:proofErr w:type="spellStart"/>
      <w:r w:rsidRPr="002909BF">
        <w:t>Verorab</w:t>
      </w:r>
      <w:proofErr w:type="spellEnd"/>
      <w:r w:rsidRPr="002909BF">
        <w:t xml:space="preserve"> </w:t>
      </w:r>
      <w:r w:rsidR="007775A5" w:rsidRPr="002909BF">
        <w:t>with or without</w:t>
      </w:r>
      <w:r w:rsidRPr="002909BF">
        <w:t xml:space="preserve"> </w:t>
      </w:r>
      <w:r w:rsidR="007775A5" w:rsidRPr="002909BF">
        <w:t>rabies immunoglobulin</w:t>
      </w:r>
      <w:r w:rsidRPr="002909BF">
        <w:t xml:space="preserve"> through Essen-</w:t>
      </w:r>
      <w:r w:rsidR="009A0559" w:rsidRPr="002909BF">
        <w:t>intramuscular</w:t>
      </w:r>
      <w:r w:rsidRPr="002909BF">
        <w:t xml:space="preserve"> or </w:t>
      </w:r>
      <w:r w:rsidR="007C68BF" w:rsidRPr="002909BF">
        <w:t>Thai Red Cross</w:t>
      </w:r>
      <w:r w:rsidR="00C9786A" w:rsidRPr="002909BF">
        <w:t xml:space="preserve"> </w:t>
      </w:r>
      <w:r w:rsidR="009A0559" w:rsidRPr="002909BF">
        <w:t>intradermal</w:t>
      </w:r>
      <w:r w:rsidRPr="002909BF">
        <w:t xml:space="preserve"> regimens.</w:t>
      </w:r>
    </w:p>
    <w:p w14:paraId="3EBBDB67" w14:textId="6A04C8BF" w:rsidR="00E251B9" w:rsidRPr="002909BF" w:rsidRDefault="00E251B9" w:rsidP="003F0DC7">
      <w:r w:rsidRPr="002909BF">
        <w:t>In the case</w:t>
      </w:r>
      <w:r w:rsidR="00C9786A" w:rsidRPr="002909BF">
        <w:t xml:space="preserve"> </w:t>
      </w:r>
      <w:r w:rsidRPr="002909BF">
        <w:t xml:space="preserve">series studies in Thailand, spontaneous abortions occurred in 4.2% of pregnancies, a rate </w:t>
      </w:r>
      <w:proofErr w:type="gramStart"/>
      <w:r w:rsidRPr="002909BF">
        <w:t>similar to</w:t>
      </w:r>
      <w:proofErr w:type="gramEnd"/>
      <w:r w:rsidRPr="002909BF">
        <w:t xml:space="preserve"> that in the general population. The rates of complications (</w:t>
      </w:r>
      <w:r w:rsidR="0075406F" w:rsidRPr="002909BF">
        <w:t>that is,</w:t>
      </w:r>
      <w:r w:rsidRPr="002909BF">
        <w:t xml:space="preserve"> 4.2% hypertension, 1.6% gestational diabetes mellitus, 1.6% stillbirth, and 2.6% low birth weight) were also comparable with those in non-vaccinated women. </w:t>
      </w:r>
      <w:r w:rsidR="008D54AA">
        <w:t>A</w:t>
      </w:r>
      <w:r w:rsidR="00A45291" w:rsidRPr="002909BF">
        <w:t>dverse reaction</w:t>
      </w:r>
      <w:r w:rsidRPr="002909BF">
        <w:t xml:space="preserve">s were mild, transient, and required no treatment. The most frequent reactions at the injection site were pain (3.7% to 10.8%), erythema (1.1% to 1.8%), pruritus (1.8% to 10.8%) and lymphadenopathy (1.8% to 9.7%). The most frequent systemic reactions were fever (14% to 18.3%) and myalgia (9.7% to 13.8%). No congenital malformations were detected. All infants were well </w:t>
      </w:r>
      <w:proofErr w:type="gramStart"/>
      <w:r w:rsidRPr="002909BF">
        <w:t>during</w:t>
      </w:r>
      <w:proofErr w:type="gramEnd"/>
      <w:r w:rsidRPr="002909BF">
        <w:t xml:space="preserve"> </w:t>
      </w:r>
      <w:r w:rsidR="0000493F" w:rsidRPr="002909BF">
        <w:t>one</w:t>
      </w:r>
      <w:r w:rsidRPr="002909BF">
        <w:t xml:space="preserve"> year follow-up.</w:t>
      </w:r>
    </w:p>
    <w:p w14:paraId="47DCC899" w14:textId="268F466B" w:rsidR="00E251B9" w:rsidRPr="002909BF" w:rsidRDefault="00E251B9" w:rsidP="003F0DC7">
      <w:r w:rsidRPr="002909BF">
        <w:t>In the case</w:t>
      </w:r>
      <w:r w:rsidR="00C9786A" w:rsidRPr="002909BF">
        <w:t xml:space="preserve"> </w:t>
      </w:r>
      <w:r w:rsidRPr="002909BF">
        <w:t xml:space="preserve">series studies in India, none of the women experienced any </w:t>
      </w:r>
      <w:r w:rsidR="00A45291" w:rsidRPr="002909BF">
        <w:t>adverse event</w:t>
      </w:r>
      <w:r w:rsidRPr="002909BF">
        <w:t>s. The intrauterine growth and development monitored by ultrasound examination were found to be normal and the outcome of pregnancy was satisfactory. There were no congenital anomalies in any of the infants born and they were healthy and had normal growth and development during the one</w:t>
      </w:r>
      <w:r w:rsidR="00C9786A" w:rsidRPr="002909BF">
        <w:t>-</w:t>
      </w:r>
      <w:r w:rsidRPr="002909BF">
        <w:t>year follow-up.</w:t>
      </w:r>
    </w:p>
    <w:p w14:paraId="6612F72E" w14:textId="77777777" w:rsidR="003F0DC7" w:rsidRPr="002909BF" w:rsidRDefault="00E251B9" w:rsidP="003F0DC7">
      <w:pPr>
        <w:pStyle w:val="Heading7"/>
        <w:rPr>
          <w:sz w:val="22"/>
          <w:szCs w:val="28"/>
          <w:lang w:eastAsia="ja-JP"/>
        </w:rPr>
      </w:pPr>
      <w:r w:rsidRPr="002909BF">
        <w:rPr>
          <w:sz w:val="22"/>
          <w:szCs w:val="28"/>
          <w:lang w:eastAsia="ja-JP"/>
        </w:rPr>
        <w:lastRenderedPageBreak/>
        <w:t>Co-administration with other vaccines</w:t>
      </w:r>
    </w:p>
    <w:p w14:paraId="7C0868AD" w14:textId="73CE37C4" w:rsidR="00E251B9" w:rsidRPr="002909BF" w:rsidRDefault="00E251B9" w:rsidP="003F0DC7">
      <w:r w:rsidRPr="002909BF">
        <w:t xml:space="preserve">Several of the supportive studies explored the impact of administration of </w:t>
      </w:r>
      <w:proofErr w:type="spellStart"/>
      <w:r w:rsidRPr="002909BF">
        <w:t>Verorab</w:t>
      </w:r>
      <w:proofErr w:type="spellEnd"/>
      <w:r w:rsidRPr="002909BF">
        <w:t xml:space="preserve"> with other childhood vaccines (Stud</w:t>
      </w:r>
      <w:r w:rsidR="0000493F" w:rsidRPr="002909BF">
        <w:t>ies</w:t>
      </w:r>
      <w:r w:rsidRPr="002909BF">
        <w:t xml:space="preserve"> 18 and 21) or typhoid vaccine (Study 15). There appeared to be no negative impact on immunogenicity or safety of </w:t>
      </w:r>
      <w:proofErr w:type="spellStart"/>
      <w:r w:rsidRPr="002909BF">
        <w:t>Verorab</w:t>
      </w:r>
      <w:proofErr w:type="spellEnd"/>
      <w:r w:rsidRPr="002909BF">
        <w:t xml:space="preserve"> or the concurrently administered vaccines, and vice versa.</w:t>
      </w:r>
    </w:p>
    <w:p w14:paraId="1B498B98" w14:textId="77777777" w:rsidR="003F0DC7" w:rsidRPr="002909BF" w:rsidRDefault="00E251B9" w:rsidP="003F0DC7">
      <w:pPr>
        <w:pStyle w:val="Heading7"/>
        <w:rPr>
          <w:sz w:val="22"/>
          <w:szCs w:val="28"/>
          <w:lang w:eastAsia="ja-JP"/>
        </w:rPr>
      </w:pPr>
      <w:r w:rsidRPr="002909BF">
        <w:rPr>
          <w:sz w:val="22"/>
          <w:szCs w:val="28"/>
          <w:lang w:eastAsia="ja-JP"/>
        </w:rPr>
        <w:t>Immunocompromised patients</w:t>
      </w:r>
    </w:p>
    <w:p w14:paraId="69A49F8B" w14:textId="21797DBB" w:rsidR="00E251B9" w:rsidRPr="002909BF" w:rsidRDefault="00C100B8" w:rsidP="003F0DC7">
      <w:r>
        <w:t>The sponsor ha</w:t>
      </w:r>
      <w:r w:rsidR="0095331E">
        <w:t>s</w:t>
      </w:r>
      <w:r>
        <w:t xml:space="preserve"> not </w:t>
      </w:r>
      <w:r w:rsidR="00E251B9" w:rsidRPr="002909BF">
        <w:t xml:space="preserve">conducted </w:t>
      </w:r>
      <w:r>
        <w:t xml:space="preserve">any studies </w:t>
      </w:r>
      <w:r w:rsidR="00E251B9" w:rsidRPr="002909BF">
        <w:t xml:space="preserve">in </w:t>
      </w:r>
      <w:r>
        <w:t>i</w:t>
      </w:r>
      <w:r w:rsidRPr="00C100B8">
        <w:t xml:space="preserve">mmunocompromised </w:t>
      </w:r>
      <w:r w:rsidR="00E251B9" w:rsidRPr="002909BF">
        <w:t xml:space="preserve">population. Given the vaccine type, no safety issues directly linked to the vaccine are anticipated. </w:t>
      </w:r>
      <w:r w:rsidR="008D54AA">
        <w:t>T</w:t>
      </w:r>
      <w:r w:rsidR="00E251B9" w:rsidRPr="002909BF">
        <w:t xml:space="preserve">here may </w:t>
      </w:r>
      <w:r w:rsidR="008D54AA">
        <w:t xml:space="preserve">however </w:t>
      </w:r>
      <w:r w:rsidR="00E251B9" w:rsidRPr="002909BF">
        <w:t>be a poor immune response to the vaccine. For patients with impaired immune function, a serological test should be performed 2 to 4 weeks after vaccination to assess the possible need for an additional dose of the vaccine.</w:t>
      </w:r>
    </w:p>
    <w:p w14:paraId="0633AE54" w14:textId="77777777" w:rsidR="003F0DC7" w:rsidRPr="002909BF" w:rsidRDefault="00E251B9" w:rsidP="003F0DC7">
      <w:pPr>
        <w:pStyle w:val="Heading7"/>
        <w:rPr>
          <w:sz w:val="22"/>
          <w:szCs w:val="28"/>
          <w:lang w:eastAsia="ja-JP"/>
        </w:rPr>
      </w:pPr>
      <w:r w:rsidRPr="002909BF">
        <w:rPr>
          <w:sz w:val="22"/>
          <w:szCs w:val="28"/>
          <w:lang w:eastAsia="ja-JP"/>
        </w:rPr>
        <w:t>Hepatic or renal impairment</w:t>
      </w:r>
    </w:p>
    <w:p w14:paraId="6B898A82" w14:textId="2FEA4E07" w:rsidR="00E251B9" w:rsidRPr="002909BF" w:rsidRDefault="0000493F" w:rsidP="003F0DC7">
      <w:r w:rsidRPr="002909BF">
        <w:t xml:space="preserve">Hepatic or renal impairment are </w:t>
      </w:r>
      <w:r w:rsidR="00E251B9" w:rsidRPr="002909BF">
        <w:t>not specifically studied.</w:t>
      </w:r>
    </w:p>
    <w:p w14:paraId="16939677" w14:textId="77777777" w:rsidR="00E251B9" w:rsidRPr="002909BF" w:rsidRDefault="00E251B9" w:rsidP="00C1787D">
      <w:pPr>
        <w:pStyle w:val="Heading6"/>
      </w:pPr>
      <w:r w:rsidRPr="002909BF">
        <w:t>Post-market data</w:t>
      </w:r>
    </w:p>
    <w:p w14:paraId="2BC8A98B" w14:textId="6A8CC162" w:rsidR="00E251B9" w:rsidRPr="002909BF" w:rsidRDefault="00E251B9" w:rsidP="003F0DC7">
      <w:r w:rsidRPr="002909BF">
        <w:t>Data from post-marketing experience support a good safety profile in all ages.</w:t>
      </w:r>
    </w:p>
    <w:p w14:paraId="2A4C64D1" w14:textId="77777777" w:rsidR="008E7846" w:rsidRPr="002909BF" w:rsidRDefault="00386150" w:rsidP="007B6132">
      <w:pPr>
        <w:pStyle w:val="Heading3"/>
        <w:rPr>
          <w:lang w:eastAsia="en-AU"/>
        </w:rPr>
      </w:pPr>
      <w:bookmarkStart w:id="71" w:name="_Toc314842514"/>
      <w:bookmarkStart w:id="72" w:name="_Toc133493837"/>
      <w:r w:rsidRPr="002909BF">
        <w:rPr>
          <w:lang w:eastAsia="en-AU"/>
        </w:rPr>
        <w:t>Risk m</w:t>
      </w:r>
      <w:r w:rsidR="008E7846" w:rsidRPr="002909BF">
        <w:rPr>
          <w:lang w:eastAsia="en-AU"/>
        </w:rPr>
        <w:t xml:space="preserve">anagement </w:t>
      </w:r>
      <w:r w:rsidRPr="002909BF">
        <w:rPr>
          <w:lang w:eastAsia="en-AU"/>
        </w:rPr>
        <w:t>p</w:t>
      </w:r>
      <w:r w:rsidR="008E7846" w:rsidRPr="002909BF">
        <w:rPr>
          <w:lang w:eastAsia="en-AU"/>
        </w:rPr>
        <w:t>lan</w:t>
      </w:r>
      <w:bookmarkEnd w:id="71"/>
      <w:bookmarkEnd w:id="72"/>
    </w:p>
    <w:p w14:paraId="2C1D0384" w14:textId="57006ECD" w:rsidR="00C80656" w:rsidRPr="002909BF" w:rsidRDefault="0000493F" w:rsidP="00C80656">
      <w:bookmarkStart w:id="73" w:name="_Toc247691531"/>
      <w:bookmarkStart w:id="74" w:name="_Toc314842515"/>
      <w:bookmarkStart w:id="75" w:name="_Toc196046505"/>
      <w:bookmarkStart w:id="76" w:name="_Toc196046949"/>
      <w:r w:rsidRPr="002909BF">
        <w:t>The sponsor</w:t>
      </w:r>
      <w:r w:rsidR="00C80656" w:rsidRPr="002909BF">
        <w:t xml:space="preserve"> has submitted </w:t>
      </w:r>
      <w:r w:rsidR="00515D5F" w:rsidRPr="002909BF">
        <w:t>European Union (</w:t>
      </w:r>
      <w:r w:rsidR="00C80656" w:rsidRPr="002909BF">
        <w:t>EU</w:t>
      </w:r>
      <w:r w:rsidR="00515D5F" w:rsidRPr="002909BF">
        <w:t>)</w:t>
      </w:r>
      <w:r w:rsidR="00C80656" w:rsidRPr="002909BF">
        <w:t>-</w:t>
      </w:r>
      <w:r w:rsidR="00172645" w:rsidRPr="002909BF">
        <w:t>risk management plan (</w:t>
      </w:r>
      <w:r w:rsidR="00C80656" w:rsidRPr="002909BF">
        <w:t>RMP</w:t>
      </w:r>
      <w:r w:rsidR="00172645" w:rsidRPr="002909BF">
        <w:t>)</w:t>
      </w:r>
      <w:r w:rsidR="00C80656" w:rsidRPr="002909BF">
        <w:t xml:space="preserve"> version 2.1 (dated 3 March 2020; </w:t>
      </w:r>
      <w:r w:rsidR="00172645" w:rsidRPr="002909BF">
        <w:t>data lock point (</w:t>
      </w:r>
      <w:r w:rsidR="00C80656" w:rsidRPr="002909BF">
        <w:t>DLP</w:t>
      </w:r>
      <w:r w:rsidR="00172645" w:rsidRPr="002909BF">
        <w:t>)</w:t>
      </w:r>
      <w:r w:rsidR="00C80656" w:rsidRPr="002909BF">
        <w:t xml:space="preserve"> 1</w:t>
      </w:r>
      <w:r w:rsidRPr="002909BF">
        <w:t> </w:t>
      </w:r>
      <w:r w:rsidR="00C80656" w:rsidRPr="002909BF">
        <w:t>January</w:t>
      </w:r>
      <w:r w:rsidRPr="002909BF">
        <w:t> </w:t>
      </w:r>
      <w:r w:rsidR="00C80656" w:rsidRPr="002909BF">
        <w:t xml:space="preserve">2020) and </w:t>
      </w:r>
      <w:r w:rsidR="00172645" w:rsidRPr="002909BF">
        <w:t>Australia specific annex (</w:t>
      </w:r>
      <w:r w:rsidR="00C80656" w:rsidRPr="002909BF">
        <w:t>ASA</w:t>
      </w:r>
      <w:r w:rsidR="00172645" w:rsidRPr="002909BF">
        <w:t>)</w:t>
      </w:r>
      <w:r w:rsidR="00C80656" w:rsidRPr="002909BF">
        <w:t xml:space="preserve"> version 1.0 (dated 30 July 2021) in support of this application.</w:t>
      </w:r>
    </w:p>
    <w:p w14:paraId="701C987F" w14:textId="37DD961C" w:rsidR="00C80656" w:rsidRPr="002909BF" w:rsidRDefault="00C80656" w:rsidP="00C80656">
      <w:r w:rsidRPr="002909BF">
        <w:t>There are no proposed safety concerns and therefore no routine risk minimisation activities. This is consistent with the EU-RMP and is acceptable.</w:t>
      </w:r>
    </w:p>
    <w:p w14:paraId="3FD3BA79" w14:textId="17C68A90" w:rsidR="0074163C" w:rsidRPr="002909BF" w:rsidRDefault="0074163C" w:rsidP="0074163C">
      <w:r w:rsidRPr="002909BF">
        <w:t xml:space="preserve">Further information regarding </w:t>
      </w:r>
      <w:r w:rsidR="00CC5044" w:rsidRPr="002909BF">
        <w:t>the TGA</w:t>
      </w:r>
      <w:r w:rsidR="00BF7063" w:rsidRPr="002909BF">
        <w:t>’</w:t>
      </w:r>
      <w:r w:rsidR="00CC5044" w:rsidRPr="002909BF">
        <w:t>s r</w:t>
      </w:r>
      <w:r w:rsidRPr="002909BF">
        <w:t xml:space="preserve">isk management approach can be found in </w:t>
      </w:r>
      <w:hyperlink r:id="rId31" w:history="1">
        <w:r w:rsidRPr="002909BF">
          <w:rPr>
            <w:rStyle w:val="Hyperlink"/>
          </w:rPr>
          <w:t>risk management plans for medicines and biologicals</w:t>
        </w:r>
      </w:hyperlink>
      <w:r w:rsidRPr="002909BF">
        <w:t xml:space="preserve"> and </w:t>
      </w:r>
      <w:hyperlink r:id="rId32" w:history="1">
        <w:r w:rsidRPr="002909BF">
          <w:rPr>
            <w:rStyle w:val="Hyperlink"/>
          </w:rPr>
          <w:t>the TGA's risk management approach</w:t>
        </w:r>
      </w:hyperlink>
      <w:r w:rsidRPr="002909BF">
        <w:t>.</w:t>
      </w:r>
    </w:p>
    <w:p w14:paraId="29847A83" w14:textId="77777777" w:rsidR="008E7846" w:rsidRPr="002909BF" w:rsidRDefault="00AA0ED0" w:rsidP="008E7846">
      <w:pPr>
        <w:pStyle w:val="Heading3"/>
      </w:pPr>
      <w:bookmarkStart w:id="77" w:name="_Toc133493838"/>
      <w:r w:rsidRPr="002909BF">
        <w:t>Risk-benefit a</w:t>
      </w:r>
      <w:r w:rsidR="008E7846" w:rsidRPr="002909BF">
        <w:t>nalysis</w:t>
      </w:r>
      <w:bookmarkEnd w:id="73"/>
      <w:bookmarkEnd w:id="74"/>
      <w:bookmarkEnd w:id="77"/>
    </w:p>
    <w:p w14:paraId="5A5CB168" w14:textId="77777777" w:rsidR="0074163C" w:rsidRPr="002909BF" w:rsidRDefault="0074163C" w:rsidP="0074163C">
      <w:pPr>
        <w:pStyle w:val="Heading4"/>
      </w:pPr>
      <w:bookmarkStart w:id="78" w:name="_Toc98931932"/>
      <w:r w:rsidRPr="002909BF">
        <w:t>Delegate’s considerations</w:t>
      </w:r>
      <w:bookmarkEnd w:id="78"/>
    </w:p>
    <w:p w14:paraId="42C3486F" w14:textId="77777777" w:rsidR="00765B8C" w:rsidRPr="002909BF" w:rsidRDefault="00765B8C" w:rsidP="00765B8C">
      <w:pPr>
        <w:pStyle w:val="Heading5"/>
      </w:pPr>
      <w:r w:rsidRPr="002909BF">
        <w:t>Study design and correlate of protection</w:t>
      </w:r>
    </w:p>
    <w:p w14:paraId="58BEA6B6" w14:textId="47BE6FAE" w:rsidR="00765B8C" w:rsidRPr="002909BF" w:rsidRDefault="00765B8C" w:rsidP="00765B8C">
      <w:r w:rsidRPr="002909BF">
        <w:t xml:space="preserve">For ethical reasons, efficacy trials of rabies vaccines are not performed. Efficacy is indirectly assessed using the immune response as defined by the </w:t>
      </w:r>
      <w:r w:rsidR="00172645" w:rsidRPr="002909BF">
        <w:t>World Health Organization (WHO)</w:t>
      </w:r>
      <w:r w:rsidR="00A513C0">
        <w:t>;</w:t>
      </w:r>
      <w:r w:rsidRPr="002909BF">
        <w:t xml:space="preserve"> </w:t>
      </w:r>
      <w:proofErr w:type="gramStart"/>
      <w:r w:rsidRPr="002909BF">
        <w:t>specifically</w:t>
      </w:r>
      <w:proofErr w:type="gramEnd"/>
      <w:r w:rsidRPr="002909BF">
        <w:t xml:space="preserve"> through the immunogenicity profile with a </w:t>
      </w:r>
      <w:proofErr w:type="spellStart"/>
      <w:r w:rsidRPr="002909BF">
        <w:t>seroprotection</w:t>
      </w:r>
      <w:proofErr w:type="spellEnd"/>
      <w:r w:rsidRPr="002909BF">
        <w:t xml:space="preserve"> threshold of rabies virus neutralising antibodies </w:t>
      </w:r>
      <w:r w:rsidR="00C10917" w:rsidRPr="002909BF">
        <w:t xml:space="preserve">of </w:t>
      </w:r>
      <w:r w:rsidRPr="002909BF">
        <w:t>0.5</w:t>
      </w:r>
      <w:r w:rsidR="00A23F7E">
        <w:t> </w:t>
      </w:r>
      <w:r w:rsidR="00980F3B" w:rsidRPr="002909BF">
        <w:t>international</w:t>
      </w:r>
      <w:r w:rsidR="00A23F7E">
        <w:t> </w:t>
      </w:r>
      <w:r w:rsidR="00980F3B" w:rsidRPr="002909BF">
        <w:t>unit</w:t>
      </w:r>
      <w:r w:rsidR="00A23F7E">
        <w:t> </w:t>
      </w:r>
      <w:r w:rsidR="00980F3B" w:rsidRPr="002909BF">
        <w:t>(IU)</w:t>
      </w:r>
      <w:r w:rsidRPr="002909BF">
        <w:t>/m</w:t>
      </w:r>
      <w:r w:rsidR="00A23F7E">
        <w:t>L</w:t>
      </w:r>
      <w:r w:rsidRPr="002909BF">
        <w:t xml:space="preserve"> </w:t>
      </w:r>
      <w:r w:rsidR="00C10917" w:rsidRPr="002909BF">
        <w:t xml:space="preserve">or higher </w:t>
      </w:r>
      <w:r w:rsidRPr="002909BF">
        <w:t xml:space="preserve">using the </w:t>
      </w:r>
      <w:r w:rsidR="00620A3F" w:rsidRPr="002909BF">
        <w:t>rapid fluorescent focus inhibition test</w:t>
      </w:r>
      <w:r w:rsidRPr="002909BF">
        <w:t xml:space="preserve"> assay as indicator of adequate adaptive immune response or seroconversion. Both individual </w:t>
      </w:r>
      <w:r w:rsidR="00620A3F" w:rsidRPr="002909BF">
        <w:t>rabies virus neutralising antibody</w:t>
      </w:r>
      <w:r w:rsidRPr="002909BF">
        <w:t xml:space="preserve"> and geometric mean </w:t>
      </w:r>
      <w:r w:rsidR="00620A3F" w:rsidRPr="002909BF">
        <w:t>rabies virus neutralising antibody</w:t>
      </w:r>
      <w:r w:rsidRPr="002909BF">
        <w:t xml:space="preserve"> titres (</w:t>
      </w:r>
      <w:r w:rsidR="001C7113" w:rsidRPr="002909BF">
        <w:t>geometric mean titre (GMT)</w:t>
      </w:r>
      <w:r w:rsidRPr="002909BF">
        <w:t xml:space="preserve">; 95% </w:t>
      </w:r>
      <w:r w:rsidR="001C7113" w:rsidRPr="002909BF">
        <w:t>confidence interval (</w:t>
      </w:r>
      <w:r w:rsidRPr="002909BF">
        <w:t>CI</w:t>
      </w:r>
      <w:r w:rsidR="001C7113" w:rsidRPr="002909BF">
        <w:t>)</w:t>
      </w:r>
      <w:r w:rsidRPr="002909BF">
        <w:t xml:space="preserve">) </w:t>
      </w:r>
      <w:proofErr w:type="gramStart"/>
      <w:r w:rsidRPr="002909BF">
        <w:t>in a given</w:t>
      </w:r>
      <w:proofErr w:type="gramEnd"/>
      <w:r w:rsidRPr="002909BF">
        <w:t xml:space="preserve"> set of subjects are generally assessed.</w:t>
      </w:r>
    </w:p>
    <w:p w14:paraId="250E6C89" w14:textId="229C73F1" w:rsidR="00765B8C" w:rsidRPr="002909BF" w:rsidRDefault="00765B8C" w:rsidP="00765B8C">
      <w:r w:rsidRPr="002909BF">
        <w:t xml:space="preserve">The </w:t>
      </w:r>
      <w:r w:rsidR="00620A3F" w:rsidRPr="002909BF">
        <w:t>rabies virus neutralising antibody</w:t>
      </w:r>
      <w:r w:rsidRPr="002909BF">
        <w:t xml:space="preserve"> titre at the 50% </w:t>
      </w:r>
      <w:r w:rsidR="0091744F" w:rsidRPr="002909BF">
        <w:t>effective dose</w:t>
      </w:r>
      <w:r w:rsidRPr="002909BF">
        <w:t xml:space="preserve"> corresponds to the highest dilution of serum that neutralises 50% of the challenge virus. The endpoint neutralising titre of the test serum is reported in IU/m</w:t>
      </w:r>
      <w:r w:rsidR="00A23F7E">
        <w:t>L</w:t>
      </w:r>
      <w:r w:rsidRPr="002909BF">
        <w:t xml:space="preserve"> after calibration with the endpoint neutralising titre of the reference serum which is tested in the same assay run.</w:t>
      </w:r>
    </w:p>
    <w:p w14:paraId="35668422" w14:textId="6718AEBA" w:rsidR="00765B8C" w:rsidRPr="002909BF" w:rsidRDefault="00765B8C" w:rsidP="00765B8C">
      <w:r w:rsidRPr="002909BF">
        <w:t xml:space="preserve">The correlate of protection against the rabies disease widely accepted and used as a reference is a </w:t>
      </w:r>
      <w:r w:rsidR="00620A3F" w:rsidRPr="002909BF">
        <w:t>rabies virus neutralising antibody</w:t>
      </w:r>
      <w:r w:rsidRPr="002909BF">
        <w:t xml:space="preserve"> titre of at least 0.5 IU/</w:t>
      </w:r>
      <w:proofErr w:type="spellStart"/>
      <w:r w:rsidRPr="002909BF">
        <w:t>m</w:t>
      </w:r>
      <w:r w:rsidR="00A23F7E">
        <w:t>L</w:t>
      </w:r>
      <w:r w:rsidRPr="002909BF">
        <w:t>.</w:t>
      </w:r>
      <w:proofErr w:type="spellEnd"/>
      <w:r w:rsidRPr="002909BF">
        <w:t xml:space="preserve"> This cut-off </w:t>
      </w:r>
      <w:r w:rsidRPr="002909BF">
        <w:lastRenderedPageBreak/>
        <w:t xml:space="preserve">value determines seroconversion or adequate vaccination in all age groups. Day 14 is </w:t>
      </w:r>
      <w:proofErr w:type="gramStart"/>
      <w:r w:rsidRPr="002909BF">
        <w:t>most commonly cited</w:t>
      </w:r>
      <w:proofErr w:type="gramEnd"/>
      <w:r w:rsidRPr="002909BF">
        <w:t xml:space="preserve"> in the literature as the day by which protective target antibody levels should have been reached for those receiving </w:t>
      </w:r>
      <w:r w:rsidR="00172645" w:rsidRPr="002909BF">
        <w:t>post-exposure prophylaxis (</w:t>
      </w:r>
      <w:r w:rsidRPr="002909BF">
        <w:t>PEP</w:t>
      </w:r>
      <w:r w:rsidR="00172645" w:rsidRPr="002909BF">
        <w:t>)</w:t>
      </w:r>
      <w:r w:rsidRPr="002909BF">
        <w:t xml:space="preserve"> even though the antibody measured on that day is a mixture of both passive and active antibody, as passive immunotherapy with rabies </w:t>
      </w:r>
      <w:r w:rsidR="0091744F" w:rsidRPr="002909BF">
        <w:t xml:space="preserve">immunoglobulin </w:t>
      </w:r>
      <w:r w:rsidRPr="002909BF">
        <w:t>is given with vaccination, unless the subject is already rabies vaccinated.</w:t>
      </w:r>
    </w:p>
    <w:p w14:paraId="38E7E751" w14:textId="6439EB4E" w:rsidR="00765B8C" w:rsidRPr="002909BF" w:rsidRDefault="00765B8C" w:rsidP="00765B8C">
      <w:r w:rsidRPr="002909BF">
        <w:t xml:space="preserve">The </w:t>
      </w:r>
      <w:r w:rsidR="00620A3F" w:rsidRPr="002909BF">
        <w:t>rapid fluorescent focus inhibition test</w:t>
      </w:r>
      <w:r w:rsidRPr="002909BF">
        <w:t xml:space="preserve"> has been shown to be at least as sensitive as the mouse neutralisation test in measuring </w:t>
      </w:r>
      <w:r w:rsidR="00620A3F" w:rsidRPr="002909BF">
        <w:t>rabies virus neutralising antibody</w:t>
      </w:r>
      <w:r w:rsidRPr="002909BF">
        <w:t>, and results have also been shown to correlate well with other tests such as the soluble antigen fluorescent antibody test, passive haemagglutination, and radio</w:t>
      </w:r>
      <w:r w:rsidR="00C9786A" w:rsidRPr="002909BF">
        <w:t xml:space="preserve"> </w:t>
      </w:r>
      <w:r w:rsidRPr="002909BF">
        <w:t>immunoassays.</w:t>
      </w:r>
    </w:p>
    <w:p w14:paraId="33A1D589" w14:textId="77777777" w:rsidR="00765B8C" w:rsidRPr="002909BF" w:rsidRDefault="00765B8C" w:rsidP="00765B8C">
      <w:pPr>
        <w:pStyle w:val="Heading5"/>
      </w:pPr>
      <w:r w:rsidRPr="002909BF">
        <w:t>Efficacy</w:t>
      </w:r>
    </w:p>
    <w:p w14:paraId="6289AAB4" w14:textId="0064C588" w:rsidR="00765B8C" w:rsidRPr="002909BF" w:rsidRDefault="00765B8C" w:rsidP="00765B8C">
      <w:r w:rsidRPr="002909BF">
        <w:t xml:space="preserve">The immunogenicity and clinical effectiveness of </w:t>
      </w:r>
      <w:proofErr w:type="spellStart"/>
      <w:r w:rsidRPr="002909BF">
        <w:t>Verorab</w:t>
      </w:r>
      <w:proofErr w:type="spellEnd"/>
      <w:r w:rsidRPr="002909BF">
        <w:t xml:space="preserve"> in paediatric and adult populations for both </w:t>
      </w:r>
      <w:r w:rsidR="00374F70" w:rsidRPr="002909BF">
        <w:t>pre-exposure prophylaxis (</w:t>
      </w:r>
      <w:r w:rsidRPr="002909BF">
        <w:t>PrEP</w:t>
      </w:r>
      <w:r w:rsidR="00374F70" w:rsidRPr="002909BF">
        <w:t>)</w:t>
      </w:r>
      <w:r w:rsidRPr="002909BF">
        <w:t xml:space="preserve"> and PEP has been demonstrated in numerous studies conducted over more than 30 years. The clinical trial program features extensive clinical data of varying quality. The studies identified by the clinical evaluator as pivotal provided the most robust data.</w:t>
      </w:r>
    </w:p>
    <w:p w14:paraId="5666B599" w14:textId="6172543E" w:rsidR="00765B8C" w:rsidRPr="002909BF" w:rsidRDefault="00765B8C" w:rsidP="00765B8C">
      <w:r w:rsidRPr="002909BF">
        <w:t>Several PrEP schedules (</w:t>
      </w:r>
      <w:r w:rsidR="00A23F7E">
        <w:t xml:space="preserve">via both </w:t>
      </w:r>
      <w:r w:rsidR="009A0559" w:rsidRPr="002909BF">
        <w:t>intramuscular</w:t>
      </w:r>
      <w:r w:rsidRPr="002909BF">
        <w:t xml:space="preserve"> and </w:t>
      </w:r>
      <w:r w:rsidR="009A0559" w:rsidRPr="002909BF">
        <w:t>intradermal</w:t>
      </w:r>
      <w:r w:rsidRPr="002909BF">
        <w:t xml:space="preserve"> routes) were assessed in multiple clinical studies. After the primary series, almost all vaccinees reached the WHO</w:t>
      </w:r>
      <w:r w:rsidR="00C9786A" w:rsidRPr="002909BF">
        <w:t xml:space="preserve"> </w:t>
      </w:r>
      <w:r w:rsidRPr="002909BF">
        <w:t xml:space="preserve">defined protective serum antibody titre of 0.5 IU/mL </w:t>
      </w:r>
      <w:r w:rsidR="00C10917" w:rsidRPr="002909BF">
        <w:t xml:space="preserve">or higher at </w:t>
      </w:r>
      <w:r w:rsidRPr="002909BF">
        <w:t>14 days after the last vaccination.</w:t>
      </w:r>
    </w:p>
    <w:p w14:paraId="3D51923D" w14:textId="38F40F08" w:rsidR="00765B8C" w:rsidRPr="002909BF" w:rsidRDefault="00765B8C" w:rsidP="00765B8C">
      <w:r w:rsidRPr="002909BF">
        <w:t xml:space="preserve">Several PEP schedules by </w:t>
      </w:r>
      <w:r w:rsidR="009A0559" w:rsidRPr="002909BF">
        <w:t>intramuscular</w:t>
      </w:r>
      <w:r w:rsidRPr="002909BF">
        <w:t xml:space="preserve"> and </w:t>
      </w:r>
      <w:r w:rsidR="009A0559" w:rsidRPr="002909BF">
        <w:t>intradermal</w:t>
      </w:r>
      <w:r w:rsidRPr="002909BF">
        <w:t xml:space="preserve"> routes </w:t>
      </w:r>
      <w:r w:rsidR="007775A5" w:rsidRPr="002909BF">
        <w:t>with or without</w:t>
      </w:r>
      <w:r w:rsidRPr="002909BF">
        <w:t xml:space="preserve"> immunoglobulin were assessed in multiple clinical studies. Almost all vaccinees reached antibody titres </w:t>
      </w:r>
      <w:r w:rsidR="00C10917" w:rsidRPr="002909BF">
        <w:t xml:space="preserve">of </w:t>
      </w:r>
      <w:r w:rsidRPr="002909BF">
        <w:t>0.5</w:t>
      </w:r>
      <w:r w:rsidR="00C10917" w:rsidRPr="002909BF">
        <w:t> </w:t>
      </w:r>
      <w:r w:rsidRPr="002909BF">
        <w:t xml:space="preserve">IU/mL </w:t>
      </w:r>
      <w:r w:rsidR="00C10917" w:rsidRPr="002909BF">
        <w:t xml:space="preserve">or higher </w:t>
      </w:r>
      <w:r w:rsidRPr="002909BF">
        <w:t>at Day 14, and almost all had seroconverted by Day</w:t>
      </w:r>
      <w:r w:rsidR="00A23F7E">
        <w:t> </w:t>
      </w:r>
      <w:r w:rsidRPr="002909BF">
        <w:t>42.</w:t>
      </w:r>
    </w:p>
    <w:p w14:paraId="7D63F7F6" w14:textId="3B4F526D" w:rsidR="00765B8C" w:rsidRPr="002909BF" w:rsidRDefault="00765B8C" w:rsidP="00765B8C">
      <w:r w:rsidRPr="002909BF">
        <w:t>Several studies involving both paediatric and adult populations have also confirmed the persistence of protection with booster doses triggering a rapid and strong anamnestic response in the same range and lasting up to 10 years (longest period assessed).</w:t>
      </w:r>
    </w:p>
    <w:p w14:paraId="6C6A5045" w14:textId="35522638" w:rsidR="00765B8C" w:rsidRPr="002909BF" w:rsidRDefault="00765B8C" w:rsidP="00765B8C">
      <w:r w:rsidRPr="002909BF">
        <w:t>Detailed information on the potential effects of age and gender on the immune response across studies were not documented for studies conducted in the 1980s</w:t>
      </w:r>
      <w:r w:rsidR="00C9786A" w:rsidRPr="002909BF">
        <w:t xml:space="preserve"> to </w:t>
      </w:r>
      <w:r w:rsidRPr="002909BF">
        <w:t>1990s</w:t>
      </w:r>
      <w:r w:rsidR="00A23F7E">
        <w:t>; h</w:t>
      </w:r>
      <w:r w:rsidRPr="002909BF">
        <w:t>owever, no differences in immunogenicity between male and female subjects were anticipated for this inactivated vaccine, and where specifically examined (</w:t>
      </w:r>
      <w:r w:rsidR="00C100B8" w:rsidRPr="00C100B8">
        <w:t>Study 38</w:t>
      </w:r>
      <w:r w:rsidR="00C100B8">
        <w:t> </w:t>
      </w:r>
      <w:r w:rsidR="00C100B8" w:rsidRPr="00C100B8">
        <w:t>(the VRV08 trial)</w:t>
      </w:r>
      <w:r w:rsidRPr="002909BF">
        <w:t>), there were no significant differences.</w:t>
      </w:r>
    </w:p>
    <w:p w14:paraId="45965848" w14:textId="77777777" w:rsidR="00765B8C" w:rsidRPr="002909BF" w:rsidRDefault="00765B8C" w:rsidP="00765B8C">
      <w:pPr>
        <w:pStyle w:val="Heading6"/>
      </w:pPr>
      <w:r w:rsidRPr="002909BF">
        <w:t>Immunogenicity of paediatric population</w:t>
      </w:r>
    </w:p>
    <w:p w14:paraId="33C5ADAE" w14:textId="5D44BBBA" w:rsidR="00765B8C" w:rsidRPr="002909BF" w:rsidRDefault="00C47FF3" w:rsidP="00765B8C">
      <w:r w:rsidRPr="002909BF">
        <w:t xml:space="preserve">In </w:t>
      </w:r>
      <w:r w:rsidR="00765B8C" w:rsidRPr="002909BF">
        <w:t xml:space="preserve">PrEP </w:t>
      </w:r>
      <w:r w:rsidR="009A0559" w:rsidRPr="002909BF">
        <w:t>intramuscular</w:t>
      </w:r>
      <w:r w:rsidR="00765B8C" w:rsidRPr="002909BF">
        <w:t xml:space="preserve"> studies</w:t>
      </w:r>
      <w:r w:rsidRPr="002909BF">
        <w:t>,</w:t>
      </w:r>
      <w:r w:rsidR="00765B8C" w:rsidRPr="002909BF">
        <w:t xml:space="preserve"> subjects aged </w:t>
      </w:r>
      <w:r w:rsidR="00A23F7E">
        <w:t xml:space="preserve">from </w:t>
      </w:r>
      <w:r w:rsidR="00765B8C" w:rsidRPr="002909BF">
        <w:t xml:space="preserve">2 months to 76 years received </w:t>
      </w:r>
      <w:r w:rsidR="00A23F7E">
        <w:t xml:space="preserve">the </w:t>
      </w:r>
      <w:r w:rsidR="00EB184F" w:rsidRPr="002909BF">
        <w:t>sponsor’s</w:t>
      </w:r>
      <w:r w:rsidR="00765B8C" w:rsidRPr="002909BF">
        <w:t xml:space="preserve"> </w:t>
      </w:r>
      <w:r w:rsidR="00B524BF" w:rsidRPr="002909BF">
        <w:t>purified Vero cell rabies vaccine</w:t>
      </w:r>
      <w:r w:rsidR="00765B8C" w:rsidRPr="002909BF">
        <w:t>. No individual study included a comparison of immune response based on age.</w:t>
      </w:r>
    </w:p>
    <w:p w14:paraId="41A4B8CA" w14:textId="5ADE5F85" w:rsidR="00765B8C" w:rsidRPr="002909BF" w:rsidRDefault="00C47FF3" w:rsidP="00765B8C">
      <w:r w:rsidRPr="002909BF">
        <w:t xml:space="preserve">In </w:t>
      </w:r>
      <w:r w:rsidR="00765B8C" w:rsidRPr="002909BF">
        <w:t xml:space="preserve">PrEP </w:t>
      </w:r>
      <w:r w:rsidR="009A0559" w:rsidRPr="002909BF">
        <w:t>intradermal</w:t>
      </w:r>
      <w:r w:rsidR="00765B8C" w:rsidRPr="002909BF">
        <w:t xml:space="preserve"> studies</w:t>
      </w:r>
      <w:r w:rsidRPr="002909BF">
        <w:t>,</w:t>
      </w:r>
      <w:r w:rsidR="00765B8C" w:rsidRPr="002909BF">
        <w:t xml:space="preserve"> 2 studies included subjects </w:t>
      </w:r>
      <w:r w:rsidR="00A23F7E">
        <w:t xml:space="preserve">from </w:t>
      </w:r>
      <w:r w:rsidR="00765B8C" w:rsidRPr="002909BF">
        <w:t>2</w:t>
      </w:r>
      <w:r w:rsidR="00C9786A" w:rsidRPr="002909BF">
        <w:t xml:space="preserve"> to </w:t>
      </w:r>
      <w:r w:rsidR="00765B8C" w:rsidRPr="002909BF">
        <w:t>5 months of age (Study</w:t>
      </w:r>
      <w:r w:rsidRPr="002909BF">
        <w:t> </w:t>
      </w:r>
      <w:r w:rsidR="00765B8C" w:rsidRPr="002909BF">
        <w:t xml:space="preserve">21) and </w:t>
      </w:r>
      <w:r w:rsidR="00A23F7E">
        <w:t xml:space="preserve">from </w:t>
      </w:r>
      <w:r w:rsidR="00765B8C" w:rsidRPr="002909BF">
        <w:t>5</w:t>
      </w:r>
      <w:r w:rsidR="00C9786A" w:rsidRPr="002909BF">
        <w:t xml:space="preserve"> to </w:t>
      </w:r>
      <w:r w:rsidR="00765B8C" w:rsidRPr="002909BF">
        <w:t>12 years of age (Study</w:t>
      </w:r>
      <w:r w:rsidRPr="002909BF">
        <w:t> </w:t>
      </w:r>
      <w:r w:rsidR="00765B8C" w:rsidRPr="002909BF">
        <w:t xml:space="preserve">16). The percentages of subjects with </w:t>
      </w:r>
      <w:r w:rsidR="00620A3F" w:rsidRPr="002909BF">
        <w:t>rabies virus neutralising antibody</w:t>
      </w:r>
      <w:r w:rsidR="00765B8C" w:rsidRPr="002909BF">
        <w:t xml:space="preserve"> titres </w:t>
      </w:r>
      <w:r w:rsidR="00C10917" w:rsidRPr="002909BF">
        <w:t>of</w:t>
      </w:r>
      <w:r w:rsidR="00765B8C" w:rsidRPr="002909BF">
        <w:t xml:space="preserve"> 0.5</w:t>
      </w:r>
      <w:r w:rsidRPr="002909BF">
        <w:t> </w:t>
      </w:r>
      <w:r w:rsidR="00765B8C" w:rsidRPr="002909BF">
        <w:t>IU/mL</w:t>
      </w:r>
      <w:r w:rsidR="00C10917" w:rsidRPr="002909BF">
        <w:t xml:space="preserve"> or higher</w:t>
      </w:r>
      <w:r w:rsidR="00765B8C" w:rsidRPr="002909BF">
        <w:t xml:space="preserve"> were 98.9% (93</w:t>
      </w:r>
      <w:r w:rsidRPr="002909BF">
        <w:t xml:space="preserve"> out of </w:t>
      </w:r>
      <w:r w:rsidR="00765B8C" w:rsidRPr="002909BF">
        <w:t>94) in Study 16, and 100% (116</w:t>
      </w:r>
      <w:r w:rsidRPr="002909BF">
        <w:t xml:space="preserve"> out of </w:t>
      </w:r>
      <w:r w:rsidR="00765B8C" w:rsidRPr="002909BF">
        <w:t>116) in Study</w:t>
      </w:r>
      <w:r w:rsidRPr="002909BF">
        <w:t> </w:t>
      </w:r>
      <w:r w:rsidR="00765B8C" w:rsidRPr="002909BF">
        <w:t xml:space="preserve">21, </w:t>
      </w:r>
      <w:r w:rsidRPr="002909BF">
        <w:t>one</w:t>
      </w:r>
      <w:r w:rsidR="00765B8C" w:rsidRPr="002909BF">
        <w:t xml:space="preserve"> month after the last dose.</w:t>
      </w:r>
    </w:p>
    <w:p w14:paraId="6751E948" w14:textId="2B910823" w:rsidR="00765B8C" w:rsidRPr="002909BF" w:rsidRDefault="00C47FF3" w:rsidP="00765B8C">
      <w:r w:rsidRPr="002909BF">
        <w:t>In P</w:t>
      </w:r>
      <w:r w:rsidR="00765B8C" w:rsidRPr="002909BF">
        <w:t xml:space="preserve">EP </w:t>
      </w:r>
      <w:r w:rsidR="009A0559" w:rsidRPr="002909BF">
        <w:t>intramuscular</w:t>
      </w:r>
      <w:r w:rsidR="00765B8C" w:rsidRPr="002909BF">
        <w:t xml:space="preserve"> studies</w:t>
      </w:r>
      <w:r w:rsidRPr="002909BF">
        <w:t>, t</w:t>
      </w:r>
      <w:r w:rsidR="00765B8C" w:rsidRPr="002909BF">
        <w:t xml:space="preserve">he immunogenicity in subjects aged </w:t>
      </w:r>
      <w:r w:rsidR="007A3A23" w:rsidRPr="002909BF">
        <w:t xml:space="preserve">less than </w:t>
      </w:r>
      <w:r w:rsidR="00765B8C" w:rsidRPr="002909BF">
        <w:t xml:space="preserve">18 years was established in 6 studies (Studies 11, 22, 23, 32, 35, and 38). The results showed that several different PEP regimens of </w:t>
      </w:r>
      <w:r w:rsidR="00A23F7E">
        <w:t xml:space="preserve">the </w:t>
      </w:r>
      <w:r w:rsidR="00EB184F" w:rsidRPr="002909BF">
        <w:t>sponsor’s</w:t>
      </w:r>
      <w:r w:rsidR="00765B8C" w:rsidRPr="002909BF">
        <w:t xml:space="preserve"> </w:t>
      </w:r>
      <w:r w:rsidR="00B524BF" w:rsidRPr="002909BF">
        <w:t>purified Vero cell rabies vaccine</w:t>
      </w:r>
      <w:r w:rsidR="00765B8C" w:rsidRPr="002909BF">
        <w:t xml:space="preserve"> were highly immunogenic with a range of 98.4% to 100% of subjects reaching 0.5 IU/mL </w:t>
      </w:r>
      <w:r w:rsidR="00A23F7E">
        <w:t xml:space="preserve">at </w:t>
      </w:r>
      <w:r w:rsidR="00765B8C" w:rsidRPr="002909BF">
        <w:t>14</w:t>
      </w:r>
      <w:r w:rsidR="00A23F7E">
        <w:t> </w:t>
      </w:r>
      <w:r w:rsidR="00765B8C" w:rsidRPr="002909BF">
        <w:t>or 30 days, respectively, after the first dose. No differences in seroconversion rates or GMTs were observed based on age.</w:t>
      </w:r>
    </w:p>
    <w:p w14:paraId="4C6F6F6F" w14:textId="0E2B45A6" w:rsidR="00765B8C" w:rsidRPr="002909BF" w:rsidRDefault="00C47FF3" w:rsidP="00765B8C">
      <w:r w:rsidRPr="002909BF">
        <w:t xml:space="preserve">In </w:t>
      </w:r>
      <w:r w:rsidR="00765B8C" w:rsidRPr="002909BF">
        <w:t xml:space="preserve">PEP </w:t>
      </w:r>
      <w:r w:rsidR="009A0559" w:rsidRPr="002909BF">
        <w:t>intradermal</w:t>
      </w:r>
      <w:r w:rsidR="00765B8C" w:rsidRPr="002909BF">
        <w:t xml:space="preserve"> studies</w:t>
      </w:r>
      <w:r w:rsidRPr="002909BF">
        <w:t xml:space="preserve">, </w:t>
      </w:r>
      <w:r w:rsidR="00765B8C" w:rsidRPr="002909BF">
        <w:t>Study 37</w:t>
      </w:r>
      <w:r w:rsidR="00D83BC0">
        <w:t xml:space="preserve"> (RAB40 trial)</w:t>
      </w:r>
      <w:r w:rsidR="00765B8C" w:rsidRPr="002909BF">
        <w:t xml:space="preserve"> included a direct comparison of the immune response between 4 age subgroups: </w:t>
      </w:r>
      <w:r w:rsidR="00E146DE" w:rsidRPr="002909BF">
        <w:t>under</w:t>
      </w:r>
      <w:r w:rsidR="00765B8C" w:rsidRPr="002909BF">
        <w:t xml:space="preserve"> 2 years (n</w:t>
      </w:r>
      <w:r w:rsidR="005534D9" w:rsidRPr="002909BF">
        <w:t xml:space="preserve"> </w:t>
      </w:r>
      <w:r w:rsidR="00765B8C" w:rsidRPr="002909BF">
        <w:t>=</w:t>
      </w:r>
      <w:r w:rsidR="005534D9" w:rsidRPr="002909BF">
        <w:t xml:space="preserve"> </w:t>
      </w:r>
      <w:r w:rsidR="00765B8C" w:rsidRPr="002909BF">
        <w:t>14), 2</w:t>
      </w:r>
      <w:r w:rsidR="00C9786A" w:rsidRPr="002909BF">
        <w:t xml:space="preserve"> to </w:t>
      </w:r>
      <w:r w:rsidR="00765B8C" w:rsidRPr="002909BF">
        <w:t>11</w:t>
      </w:r>
      <w:r w:rsidR="00C9786A" w:rsidRPr="002909BF">
        <w:t xml:space="preserve"> </w:t>
      </w:r>
      <w:r w:rsidR="00765B8C" w:rsidRPr="002909BF">
        <w:t>years (n</w:t>
      </w:r>
      <w:r w:rsidR="00A23F7E">
        <w:t> </w:t>
      </w:r>
      <w:r w:rsidR="00765B8C" w:rsidRPr="002909BF">
        <w:t>=</w:t>
      </w:r>
      <w:r w:rsidR="00A23F7E">
        <w:t> </w:t>
      </w:r>
      <w:r w:rsidR="00765B8C" w:rsidRPr="002909BF">
        <w:t>222), 12</w:t>
      </w:r>
      <w:r w:rsidR="00C9786A" w:rsidRPr="002909BF">
        <w:t xml:space="preserve"> to </w:t>
      </w:r>
      <w:r w:rsidR="00765B8C" w:rsidRPr="002909BF">
        <w:t>17</w:t>
      </w:r>
      <w:r w:rsidR="00302B33" w:rsidRPr="002909BF">
        <w:t> </w:t>
      </w:r>
      <w:r w:rsidR="00765B8C" w:rsidRPr="002909BF">
        <w:t>years (n</w:t>
      </w:r>
      <w:r w:rsidR="005534D9" w:rsidRPr="002909BF">
        <w:t> </w:t>
      </w:r>
      <w:r w:rsidR="00765B8C" w:rsidRPr="002909BF">
        <w:t>=</w:t>
      </w:r>
      <w:r w:rsidR="005534D9" w:rsidRPr="002909BF">
        <w:t> </w:t>
      </w:r>
      <w:r w:rsidR="00765B8C" w:rsidRPr="002909BF">
        <w:t>50), and 18</w:t>
      </w:r>
      <w:r w:rsidR="00C9786A" w:rsidRPr="002909BF">
        <w:t xml:space="preserve"> to </w:t>
      </w:r>
      <w:r w:rsidR="00765B8C" w:rsidRPr="002909BF">
        <w:t>64 years (n</w:t>
      </w:r>
      <w:r w:rsidR="005534D9" w:rsidRPr="002909BF">
        <w:t> </w:t>
      </w:r>
      <w:r w:rsidR="00765B8C" w:rsidRPr="002909BF">
        <w:t>=</w:t>
      </w:r>
      <w:r w:rsidR="005534D9" w:rsidRPr="002909BF">
        <w:t> </w:t>
      </w:r>
      <w:r w:rsidR="00765B8C" w:rsidRPr="002909BF">
        <w:t xml:space="preserve">233). At </w:t>
      </w:r>
      <w:r w:rsidR="007A3A23" w:rsidRPr="002909BF">
        <w:t>Day 14</w:t>
      </w:r>
      <w:r w:rsidR="00765B8C" w:rsidRPr="002909BF">
        <w:t xml:space="preserve"> and D</w:t>
      </w:r>
      <w:r w:rsidR="007A3A23" w:rsidRPr="002909BF">
        <w:t xml:space="preserve">ay </w:t>
      </w:r>
      <w:r w:rsidR="00765B8C" w:rsidRPr="002909BF">
        <w:t xml:space="preserve">90, </w:t>
      </w:r>
      <w:r w:rsidR="00765B8C" w:rsidRPr="002909BF">
        <w:lastRenderedPageBreak/>
        <w:t xml:space="preserve">100% of subjects aged </w:t>
      </w:r>
      <w:r w:rsidR="00C10917" w:rsidRPr="002909BF">
        <w:t xml:space="preserve">under </w:t>
      </w:r>
      <w:r w:rsidR="00765B8C" w:rsidRPr="002909BF">
        <w:t>18</w:t>
      </w:r>
      <w:r w:rsidR="00C10917" w:rsidRPr="002909BF">
        <w:t> years</w:t>
      </w:r>
      <w:r w:rsidR="00765B8C" w:rsidRPr="002909BF">
        <w:t xml:space="preserve"> had a </w:t>
      </w:r>
      <w:r w:rsidR="00620A3F" w:rsidRPr="002909BF">
        <w:t>rabies virus neutralising antibody</w:t>
      </w:r>
      <w:r w:rsidR="00765B8C" w:rsidRPr="002909BF">
        <w:t xml:space="preserve"> titre </w:t>
      </w:r>
      <w:r w:rsidR="00C10917" w:rsidRPr="002909BF">
        <w:t>of</w:t>
      </w:r>
      <w:r w:rsidR="00765B8C" w:rsidRPr="002909BF">
        <w:t xml:space="preserve"> 0.5</w:t>
      </w:r>
      <w:r w:rsidR="00A23F7E">
        <w:t> </w:t>
      </w:r>
      <w:r w:rsidR="00765B8C" w:rsidRPr="002909BF">
        <w:t>IU/mL</w:t>
      </w:r>
      <w:r w:rsidR="00C10917" w:rsidRPr="002909BF">
        <w:t xml:space="preserve"> or higher</w:t>
      </w:r>
      <w:r w:rsidR="00765B8C" w:rsidRPr="002909BF">
        <w:t>.</w:t>
      </w:r>
    </w:p>
    <w:p w14:paraId="6A12CDF6" w14:textId="77777777" w:rsidR="00765B8C" w:rsidRPr="002909BF" w:rsidRDefault="00765B8C" w:rsidP="00765B8C">
      <w:pPr>
        <w:pStyle w:val="Heading5"/>
      </w:pPr>
      <w:r w:rsidRPr="002909BF">
        <w:t>Safety</w:t>
      </w:r>
    </w:p>
    <w:p w14:paraId="6E7451FF" w14:textId="173D0D76" w:rsidR="00765B8C" w:rsidRPr="002909BF" w:rsidRDefault="00765B8C" w:rsidP="00765B8C">
      <w:r w:rsidRPr="002909BF">
        <w:t xml:space="preserve">The integrated safety summary includes data from </w:t>
      </w:r>
      <w:r w:rsidR="00C100B8" w:rsidRPr="00C100B8">
        <w:t>Study 36 (the VRV01 trial)</w:t>
      </w:r>
      <w:r w:rsidRPr="002909BF">
        <w:t xml:space="preserve">, </w:t>
      </w:r>
      <w:r w:rsidR="00C100B8" w:rsidRPr="00C100B8">
        <w:t>Study</w:t>
      </w:r>
      <w:r w:rsidR="00C100B8">
        <w:t> </w:t>
      </w:r>
      <w:r w:rsidR="00C100B8" w:rsidRPr="00C100B8">
        <w:t xml:space="preserve">38 (the VRV08 trial) </w:t>
      </w:r>
      <w:r w:rsidRPr="002909BF">
        <w:t xml:space="preserve">and </w:t>
      </w:r>
      <w:r w:rsidR="00C100B8">
        <w:t xml:space="preserve">Study 37 (the </w:t>
      </w:r>
      <w:r w:rsidRPr="002909BF">
        <w:t>RAB40</w:t>
      </w:r>
      <w:r w:rsidR="00C100B8">
        <w:t xml:space="preserve"> trial)</w:t>
      </w:r>
      <w:r w:rsidRPr="002909BF">
        <w:t xml:space="preserve"> only. The main reasons are that many of the non-included studies are rather old</w:t>
      </w:r>
      <w:r w:rsidR="00A23F7E">
        <w:t>, and</w:t>
      </w:r>
      <w:r w:rsidRPr="002909BF">
        <w:t xml:space="preserve"> the ways to collect</w:t>
      </w:r>
      <w:r w:rsidR="00302B33" w:rsidRPr="002909BF">
        <w:t xml:space="preserve"> or </w:t>
      </w:r>
      <w:r w:rsidRPr="002909BF">
        <w:t>define safety data differs from recent studies and/or the current standard.</w:t>
      </w:r>
    </w:p>
    <w:p w14:paraId="7F7A9899" w14:textId="48AFDFCE" w:rsidR="00765B8C" w:rsidRPr="002909BF" w:rsidRDefault="00765B8C" w:rsidP="00765B8C">
      <w:r w:rsidRPr="002909BF">
        <w:t xml:space="preserve">The data from the integrated safety analysis are reassuring. </w:t>
      </w:r>
      <w:proofErr w:type="gramStart"/>
      <w:r w:rsidRPr="002909BF">
        <w:t>The majority of</w:t>
      </w:r>
      <w:proofErr w:type="gramEnd"/>
      <w:r w:rsidRPr="002909BF">
        <w:t xml:space="preserve"> adverse reactions reported after vaccination via the </w:t>
      </w:r>
      <w:r w:rsidR="009A0559" w:rsidRPr="002909BF">
        <w:t>intramuscular</w:t>
      </w:r>
      <w:r w:rsidRPr="002909BF">
        <w:t xml:space="preserve"> or </w:t>
      </w:r>
      <w:r w:rsidR="009A0559" w:rsidRPr="002909BF">
        <w:t>intradermal</w:t>
      </w:r>
      <w:r w:rsidRPr="002909BF">
        <w:t xml:space="preserve"> routes were characterised as mild and did not induce any change in the vaccination schedule. Taken as a whole, the safety data from integrated safety analysis, the portfolio of </w:t>
      </w:r>
      <w:r w:rsidR="00A23F7E">
        <w:t xml:space="preserve">sponsor-led </w:t>
      </w:r>
      <w:r w:rsidRPr="002909BF">
        <w:t xml:space="preserve">clinical studies conducted in adults (including elderly) and in the paediatric population (including infants, toddlers, </w:t>
      </w:r>
      <w:proofErr w:type="gramStart"/>
      <w:r w:rsidRPr="002909BF">
        <w:t>children</w:t>
      </w:r>
      <w:proofErr w:type="gramEnd"/>
      <w:r w:rsidRPr="002909BF">
        <w:t xml:space="preserve"> and adolescents) have not revealed any serious safety concerns.</w:t>
      </w:r>
    </w:p>
    <w:p w14:paraId="1F16A4F7" w14:textId="29141AF9" w:rsidR="00765B8C" w:rsidRPr="002909BF" w:rsidRDefault="00765B8C" w:rsidP="00765B8C">
      <w:r w:rsidRPr="002909BF">
        <w:t xml:space="preserve">The large amount of post-marketing data contributed to the favourable </w:t>
      </w:r>
      <w:proofErr w:type="spellStart"/>
      <w:r w:rsidRPr="002909BF">
        <w:t>Verorab</w:t>
      </w:r>
      <w:proofErr w:type="spellEnd"/>
      <w:r w:rsidRPr="002909BF">
        <w:t xml:space="preserve"> safety profile in all populations studied or in whom the vaccine has been administered, irrespective of administration route and schedule.</w:t>
      </w:r>
    </w:p>
    <w:p w14:paraId="1C8F5B23" w14:textId="77777777" w:rsidR="0074163C" w:rsidRPr="002909BF" w:rsidRDefault="0074163C" w:rsidP="0074163C">
      <w:pPr>
        <w:pStyle w:val="Heading4"/>
      </w:pPr>
      <w:bookmarkStart w:id="79" w:name="_Toc98931933"/>
      <w:r w:rsidRPr="002909BF">
        <w:t>Proposed action</w:t>
      </w:r>
      <w:bookmarkEnd w:id="79"/>
    </w:p>
    <w:p w14:paraId="24AFA194" w14:textId="1E29CE42" w:rsidR="00765B8C" w:rsidRPr="002909BF" w:rsidRDefault="00765B8C" w:rsidP="00765B8C">
      <w:r w:rsidRPr="002909BF">
        <w:t xml:space="preserve">While a decision is yet to be made, at this stage </w:t>
      </w:r>
      <w:r w:rsidR="00A23F7E">
        <w:t xml:space="preserve">in the submission </w:t>
      </w:r>
      <w:r w:rsidRPr="002909BF">
        <w:t xml:space="preserve">the Delegate </w:t>
      </w:r>
      <w:r w:rsidR="00A23F7E">
        <w:t>wa</w:t>
      </w:r>
      <w:r w:rsidRPr="002909BF">
        <w:t>s inclined to approve the registration of the product.</w:t>
      </w:r>
    </w:p>
    <w:p w14:paraId="2E03A92A" w14:textId="77777777" w:rsidR="0074163C" w:rsidRPr="002909BF" w:rsidRDefault="0074163C" w:rsidP="0074163C">
      <w:pPr>
        <w:pStyle w:val="Heading4"/>
      </w:pPr>
      <w:bookmarkStart w:id="80" w:name="_Toc98931936"/>
      <w:bookmarkStart w:id="81" w:name="_Toc247691532"/>
      <w:bookmarkStart w:id="82" w:name="_Toc314842516"/>
      <w:bookmarkEnd w:id="37"/>
      <w:bookmarkEnd w:id="75"/>
      <w:bookmarkEnd w:id="76"/>
      <w:r w:rsidRPr="002909BF">
        <w:t>Advisory Committee considerations</w:t>
      </w:r>
      <w:bookmarkEnd w:id="80"/>
    </w:p>
    <w:p w14:paraId="5D7D7ACF" w14:textId="36BE7C99" w:rsidR="0074163C" w:rsidRPr="002909BF" w:rsidRDefault="0074163C" w:rsidP="0074163C">
      <w:pPr>
        <w:rPr>
          <w:bCs/>
        </w:rPr>
      </w:pPr>
      <w:r w:rsidRPr="002909BF">
        <w:rPr>
          <w:bCs/>
        </w:rPr>
        <w:t xml:space="preserve">The </w:t>
      </w:r>
      <w:hyperlink r:id="rId33" w:history="1">
        <w:r w:rsidRPr="002909BF">
          <w:rPr>
            <w:rStyle w:val="Hyperlink"/>
            <w:szCs w:val="21"/>
          </w:rPr>
          <w:t>Advisory Committee on Vaccines (ACV)</w:t>
        </w:r>
      </w:hyperlink>
      <w:r w:rsidRPr="002909BF">
        <w:rPr>
          <w:szCs w:val="21"/>
        </w:rPr>
        <w:t>,</w:t>
      </w:r>
      <w:r w:rsidRPr="002909BF">
        <w:rPr>
          <w:bCs/>
        </w:rPr>
        <w:t xml:space="preserve"> having considered the evaluations and the Delegate’s overview, as well as the sponsor’s response to these documents, advised the following.</w:t>
      </w:r>
    </w:p>
    <w:p w14:paraId="31DD4D23" w14:textId="77777777" w:rsidR="0074163C" w:rsidRPr="002909BF" w:rsidRDefault="0074163C" w:rsidP="0074163C">
      <w:pPr>
        <w:pStyle w:val="Heading5"/>
      </w:pPr>
      <w:r w:rsidRPr="002909BF">
        <w:t>Specific advice to the Delegate</w:t>
      </w:r>
    </w:p>
    <w:p w14:paraId="2FC21242" w14:textId="0D553BC6" w:rsidR="00CD6F65" w:rsidRPr="002909BF" w:rsidRDefault="00CD6F65" w:rsidP="00CD6F65">
      <w:pPr>
        <w:pStyle w:val="Numberbullet0"/>
        <w:rPr>
          <w:b/>
          <w:bCs/>
          <w:i/>
          <w:iCs/>
        </w:rPr>
      </w:pPr>
      <w:r w:rsidRPr="002909BF">
        <w:rPr>
          <w:b/>
          <w:bCs/>
          <w:i/>
          <w:iCs/>
        </w:rPr>
        <w:t xml:space="preserve">Can the ACV comment on whether the available data are sufficient for registration of </w:t>
      </w:r>
      <w:proofErr w:type="spellStart"/>
      <w:r w:rsidRPr="002909BF">
        <w:rPr>
          <w:b/>
          <w:bCs/>
          <w:i/>
          <w:iCs/>
        </w:rPr>
        <w:t>Verorab</w:t>
      </w:r>
      <w:proofErr w:type="spellEnd"/>
      <w:r w:rsidRPr="002909BF">
        <w:rPr>
          <w:b/>
          <w:bCs/>
          <w:i/>
          <w:iCs/>
        </w:rPr>
        <w:t xml:space="preserve"> for a </w:t>
      </w:r>
      <w:r w:rsidR="00374F70" w:rsidRPr="002909BF">
        <w:rPr>
          <w:b/>
          <w:bCs/>
          <w:i/>
          <w:iCs/>
        </w:rPr>
        <w:t>pre-</w:t>
      </w:r>
      <w:r w:rsidR="00172645" w:rsidRPr="002909BF">
        <w:rPr>
          <w:b/>
          <w:bCs/>
          <w:i/>
          <w:iCs/>
        </w:rPr>
        <w:t xml:space="preserve"> and post-</w:t>
      </w:r>
      <w:r w:rsidR="00374F70" w:rsidRPr="002909BF">
        <w:rPr>
          <w:b/>
          <w:bCs/>
          <w:i/>
          <w:iCs/>
        </w:rPr>
        <w:t>exposure prophylaxis</w:t>
      </w:r>
      <w:r w:rsidRPr="002909BF">
        <w:rPr>
          <w:b/>
          <w:bCs/>
          <w:i/>
          <w:iCs/>
        </w:rPr>
        <w:t xml:space="preserve"> indication?</w:t>
      </w:r>
    </w:p>
    <w:p w14:paraId="0677967E" w14:textId="6052265C" w:rsidR="00CD6F65" w:rsidRPr="002909BF" w:rsidRDefault="00CD6F65" w:rsidP="00CD6F65">
      <w:r w:rsidRPr="002909BF">
        <w:t xml:space="preserve">The ACV advised that the available data are sufficient for registration of </w:t>
      </w:r>
      <w:proofErr w:type="spellStart"/>
      <w:r w:rsidRPr="002909BF">
        <w:t>Verorab</w:t>
      </w:r>
      <w:proofErr w:type="spellEnd"/>
      <w:r w:rsidRPr="002909BF">
        <w:t xml:space="preserve"> for both </w:t>
      </w:r>
      <w:r w:rsidR="00374F70" w:rsidRPr="002909BF">
        <w:t>pre-exposure prophylaxis (</w:t>
      </w:r>
      <w:r w:rsidRPr="002909BF">
        <w:t>PrEP</w:t>
      </w:r>
      <w:r w:rsidR="00374F70" w:rsidRPr="002909BF">
        <w:t>)</w:t>
      </w:r>
      <w:r w:rsidRPr="002909BF">
        <w:t xml:space="preserve"> and </w:t>
      </w:r>
      <w:r w:rsidR="00172645" w:rsidRPr="002909BF">
        <w:t>post-exposure prophylaxis (</w:t>
      </w:r>
      <w:r w:rsidRPr="002909BF">
        <w:t>PEP</w:t>
      </w:r>
      <w:r w:rsidR="00172645" w:rsidRPr="002909BF">
        <w:t>)</w:t>
      </w:r>
      <w:r w:rsidRPr="002909BF">
        <w:t xml:space="preserve"> indications. The ACV concurred with the Delegate:</w:t>
      </w:r>
    </w:p>
    <w:p w14:paraId="34D501A4" w14:textId="739DEBC3" w:rsidR="00CD6F65" w:rsidRPr="002909BF" w:rsidRDefault="00CD6F65" w:rsidP="00CD6F65">
      <w:pPr>
        <w:ind w:left="720"/>
      </w:pPr>
      <w:r w:rsidRPr="002909BF">
        <w:t xml:space="preserve">The immunogenicity and clinical effectiveness of </w:t>
      </w:r>
      <w:proofErr w:type="spellStart"/>
      <w:r w:rsidRPr="002909BF">
        <w:t>Verorab</w:t>
      </w:r>
      <w:proofErr w:type="spellEnd"/>
      <w:r w:rsidRPr="002909BF">
        <w:t xml:space="preserve"> in paediatric and adult populations for both PrEP and PEP has been demonstrated in numerous studies conducted over more than 30 years. … After the primary series, almost all vaccinees reached the </w:t>
      </w:r>
      <w:r w:rsidR="00172645" w:rsidRPr="002909BF">
        <w:t xml:space="preserve">World Health Organization (WHO) </w:t>
      </w:r>
      <w:r w:rsidRPr="002909BF">
        <w:t>defined protective serum antibody titre of 0.5</w:t>
      </w:r>
      <w:r w:rsidR="00302B33" w:rsidRPr="002909BF">
        <w:t> </w:t>
      </w:r>
      <w:r w:rsidRPr="002909BF">
        <w:t xml:space="preserve">IU/mL </w:t>
      </w:r>
      <w:r w:rsidR="00C10917" w:rsidRPr="002909BF">
        <w:t xml:space="preserve">or higher at </w:t>
      </w:r>
      <w:r w:rsidRPr="002909BF">
        <w:t>14 days after the last vaccination.</w:t>
      </w:r>
    </w:p>
    <w:p w14:paraId="6AACCE50" w14:textId="2C55D280" w:rsidR="00CD6F65" w:rsidRPr="002909BF" w:rsidRDefault="00CD6F65" w:rsidP="00CD6F65">
      <w:r w:rsidRPr="002909BF">
        <w:t xml:space="preserve">The ACV highlighted that over 13,000 individuals, including more than 1,000 children under 18 years of age, have been exposed to </w:t>
      </w:r>
      <w:proofErr w:type="spellStart"/>
      <w:r w:rsidRPr="002909BF">
        <w:t>Verorab</w:t>
      </w:r>
      <w:proofErr w:type="spellEnd"/>
      <w:r w:rsidRPr="002909BF">
        <w:t xml:space="preserve"> vaccine in </w:t>
      </w:r>
      <w:r w:rsidR="00EB184F" w:rsidRPr="002909BF">
        <w:t>the sponsor’s</w:t>
      </w:r>
      <w:r w:rsidRPr="002909BF">
        <w:t xml:space="preserve"> clinical studies. Extensive post-marketing experience exceeds 227 million doses being given worldwide.</w:t>
      </w:r>
    </w:p>
    <w:p w14:paraId="53427448" w14:textId="77777777" w:rsidR="00B219BC" w:rsidRDefault="00CD6F65" w:rsidP="00CD6F65">
      <w:pPr>
        <w:pStyle w:val="Numberbullet0"/>
        <w:rPr>
          <w:b/>
          <w:bCs/>
          <w:i/>
          <w:iCs/>
        </w:rPr>
      </w:pPr>
      <w:r w:rsidRPr="002909BF">
        <w:rPr>
          <w:b/>
          <w:bCs/>
          <w:i/>
          <w:iCs/>
        </w:rPr>
        <w:t xml:space="preserve">Paediatric data in the population under 2 years of age are rather limited. There appear to be no data for those aged under 28 days. The sponsor does not propose an age reference in the indication. Potentially, a reference to the clinical trial section in the </w:t>
      </w:r>
      <w:r w:rsidR="00172645" w:rsidRPr="002909BF">
        <w:rPr>
          <w:b/>
          <w:bCs/>
          <w:i/>
          <w:iCs/>
        </w:rPr>
        <w:t>Product Information</w:t>
      </w:r>
      <w:r w:rsidRPr="002909BF">
        <w:rPr>
          <w:b/>
          <w:bCs/>
          <w:i/>
          <w:iCs/>
        </w:rPr>
        <w:t xml:space="preserve"> may be appropriate.</w:t>
      </w:r>
    </w:p>
    <w:p w14:paraId="0273B5D2" w14:textId="44DA8D72" w:rsidR="00CD6F65" w:rsidRPr="002909BF" w:rsidRDefault="00CD6F65" w:rsidP="003577ED">
      <w:pPr>
        <w:pStyle w:val="Numberbullet0"/>
        <w:numPr>
          <w:ilvl w:val="0"/>
          <w:numId w:val="0"/>
        </w:numPr>
        <w:ind w:left="425"/>
        <w:rPr>
          <w:b/>
          <w:bCs/>
          <w:i/>
          <w:iCs/>
        </w:rPr>
      </w:pPr>
      <w:r w:rsidRPr="002909BF">
        <w:rPr>
          <w:b/>
          <w:bCs/>
          <w:i/>
          <w:iCs/>
        </w:rPr>
        <w:t xml:space="preserve">Can the ACV comment on the indication </w:t>
      </w:r>
      <w:proofErr w:type="gramStart"/>
      <w:r w:rsidRPr="002909BF">
        <w:rPr>
          <w:b/>
          <w:bCs/>
          <w:i/>
          <w:iCs/>
        </w:rPr>
        <w:t>with regard to</w:t>
      </w:r>
      <w:proofErr w:type="gramEnd"/>
      <w:r w:rsidRPr="002909BF">
        <w:rPr>
          <w:b/>
          <w:bCs/>
          <w:i/>
          <w:iCs/>
        </w:rPr>
        <w:t xml:space="preserve"> age?</w:t>
      </w:r>
    </w:p>
    <w:p w14:paraId="6F62123C" w14:textId="034D109F" w:rsidR="00CD6F65" w:rsidRPr="002909BF" w:rsidRDefault="00CD6F65" w:rsidP="00CD6F65">
      <w:r w:rsidRPr="002909BF">
        <w:lastRenderedPageBreak/>
        <w:t xml:space="preserve">The ACV advised that it supported the proposed indication, which does not include a lower age limit. The ACV agreed that data are limited for the population under 2 years of age and that this could be noted in the </w:t>
      </w:r>
      <w:r w:rsidR="00172645" w:rsidRPr="002909BF">
        <w:t>Product Information (</w:t>
      </w:r>
      <w:r w:rsidRPr="002909BF">
        <w:t>PI</w:t>
      </w:r>
      <w:r w:rsidR="00172645" w:rsidRPr="002909BF">
        <w:t>)</w:t>
      </w:r>
      <w:r w:rsidRPr="002909BF">
        <w:t xml:space="preserve"> under </w:t>
      </w:r>
      <w:r w:rsidR="00B219BC">
        <w:t xml:space="preserve">the </w:t>
      </w:r>
      <w:r w:rsidRPr="002909BF">
        <w:t>clinical trial information.</w:t>
      </w:r>
    </w:p>
    <w:p w14:paraId="2062733F" w14:textId="051DF483" w:rsidR="00CD6F65" w:rsidRPr="002909BF" w:rsidRDefault="00CD6F65" w:rsidP="00CD6F65">
      <w:r w:rsidRPr="002909BF">
        <w:t>The ACV noted that currently registered rabies vaccines and the Australian Immunisation Handbook do not include a lower age limit and that it would be appropriate to have a harmonised approach.</w:t>
      </w:r>
    </w:p>
    <w:p w14:paraId="42728BC8" w14:textId="77777777" w:rsidR="00A513C0" w:rsidRDefault="00CD6F65" w:rsidP="00CD6F65">
      <w:pPr>
        <w:pStyle w:val="Numberbullet0"/>
        <w:rPr>
          <w:b/>
          <w:bCs/>
          <w:i/>
          <w:iCs/>
        </w:rPr>
      </w:pPr>
      <w:r w:rsidRPr="002909BF">
        <w:rPr>
          <w:b/>
          <w:bCs/>
          <w:i/>
          <w:iCs/>
        </w:rPr>
        <w:t xml:space="preserve">In the proposed </w:t>
      </w:r>
      <w:r w:rsidR="00172645" w:rsidRPr="002909BF">
        <w:rPr>
          <w:b/>
          <w:bCs/>
          <w:i/>
          <w:iCs/>
        </w:rPr>
        <w:t>Product Information</w:t>
      </w:r>
      <w:r w:rsidRPr="002909BF">
        <w:rPr>
          <w:b/>
          <w:bCs/>
          <w:i/>
          <w:iCs/>
        </w:rPr>
        <w:t xml:space="preserve"> document, for </w:t>
      </w:r>
      <w:r w:rsidR="00374F70" w:rsidRPr="002909BF">
        <w:rPr>
          <w:b/>
          <w:bCs/>
          <w:i/>
          <w:iCs/>
        </w:rPr>
        <w:t>pre-</w:t>
      </w:r>
      <w:r w:rsidRPr="002909BF">
        <w:rPr>
          <w:b/>
          <w:bCs/>
          <w:i/>
          <w:iCs/>
        </w:rPr>
        <w:t xml:space="preserve"> and </w:t>
      </w:r>
      <w:r w:rsidR="00172645" w:rsidRPr="002909BF">
        <w:rPr>
          <w:b/>
          <w:bCs/>
          <w:i/>
          <w:iCs/>
        </w:rPr>
        <w:t>post-exposure prophylaxis</w:t>
      </w:r>
      <w:r w:rsidRPr="002909BF">
        <w:rPr>
          <w:b/>
          <w:bCs/>
          <w:i/>
          <w:iCs/>
        </w:rPr>
        <w:t xml:space="preserve"> indications, the wording provides a variety of dosing regimens without necessarily recommending or favouring a particular one.</w:t>
      </w:r>
    </w:p>
    <w:p w14:paraId="7891BC07" w14:textId="0521C045" w:rsidR="00A513C0" w:rsidRDefault="00CD6F65" w:rsidP="003577ED">
      <w:pPr>
        <w:pStyle w:val="Numberbullet0"/>
        <w:numPr>
          <w:ilvl w:val="0"/>
          <w:numId w:val="0"/>
        </w:numPr>
        <w:ind w:left="425"/>
        <w:rPr>
          <w:b/>
          <w:bCs/>
          <w:i/>
          <w:iCs/>
        </w:rPr>
      </w:pPr>
      <w:r w:rsidRPr="002909BF">
        <w:rPr>
          <w:b/>
          <w:bCs/>
          <w:i/>
          <w:iCs/>
        </w:rPr>
        <w:t>Some regimens (</w:t>
      </w:r>
      <w:r w:rsidR="0075406F" w:rsidRPr="002909BF">
        <w:rPr>
          <w:b/>
          <w:bCs/>
          <w:i/>
          <w:iCs/>
        </w:rPr>
        <w:t>for example</w:t>
      </w:r>
      <w:r w:rsidRPr="002909BF">
        <w:rPr>
          <w:b/>
          <w:bCs/>
          <w:i/>
          <w:iCs/>
        </w:rPr>
        <w:t xml:space="preserve">, </w:t>
      </w:r>
      <w:r w:rsidR="009A0559" w:rsidRPr="002909BF">
        <w:rPr>
          <w:b/>
          <w:bCs/>
          <w:i/>
          <w:iCs/>
        </w:rPr>
        <w:t>intradermal</w:t>
      </w:r>
      <w:r w:rsidRPr="002909BF">
        <w:rPr>
          <w:b/>
          <w:bCs/>
          <w:i/>
          <w:iCs/>
        </w:rPr>
        <w:t xml:space="preserve"> regimens) are typically only used in a setting of resource constraint. This may be confusing for prescribers.</w:t>
      </w:r>
    </w:p>
    <w:p w14:paraId="2F148545" w14:textId="3885B3EE" w:rsidR="00A513C0" w:rsidRDefault="00CD6F65" w:rsidP="003577ED">
      <w:pPr>
        <w:pStyle w:val="Numberbullet0"/>
        <w:numPr>
          <w:ilvl w:val="0"/>
          <w:numId w:val="0"/>
        </w:numPr>
        <w:ind w:left="425"/>
        <w:rPr>
          <w:b/>
          <w:bCs/>
          <w:i/>
          <w:iCs/>
        </w:rPr>
      </w:pPr>
      <w:r w:rsidRPr="002909BF">
        <w:rPr>
          <w:b/>
          <w:bCs/>
          <w:i/>
          <w:iCs/>
        </w:rPr>
        <w:t>A potential solution may be to provide one recommended regimen and several alternative regimens.</w:t>
      </w:r>
    </w:p>
    <w:p w14:paraId="7BEBFDA4" w14:textId="7C549603" w:rsidR="00CD6F65" w:rsidRPr="002909BF" w:rsidRDefault="00CD6F65" w:rsidP="003577ED">
      <w:pPr>
        <w:pStyle w:val="Numberbullet0"/>
        <w:numPr>
          <w:ilvl w:val="0"/>
          <w:numId w:val="0"/>
        </w:numPr>
        <w:ind w:left="425"/>
        <w:rPr>
          <w:b/>
          <w:bCs/>
          <w:i/>
          <w:iCs/>
        </w:rPr>
      </w:pPr>
      <w:r w:rsidRPr="002909BF">
        <w:rPr>
          <w:b/>
          <w:bCs/>
          <w:i/>
          <w:iCs/>
        </w:rPr>
        <w:t>Can the ACV comment on this?</w:t>
      </w:r>
    </w:p>
    <w:p w14:paraId="4FA573F1" w14:textId="6A1B1C01" w:rsidR="00CD6F65" w:rsidRPr="002909BF" w:rsidRDefault="00CD6F65" w:rsidP="00CD6F65">
      <w:r w:rsidRPr="002909BF">
        <w:t xml:space="preserve">The ACV advised that the multiple dosing regimens as presented in the PI appear to be clear and appropriate and give flexibility with route of delivery, </w:t>
      </w:r>
      <w:proofErr w:type="gramStart"/>
      <w:r w:rsidRPr="002909BF">
        <w:t>dose</w:t>
      </w:r>
      <w:proofErr w:type="gramEnd"/>
      <w:r w:rsidRPr="002909BF">
        <w:t xml:space="preserve"> and course duration. It is important that regimens are selected in conjunction with official local recommendations. Section 4.2.1.2.1 of the draft PI could be amended to read ‘individuals</w:t>
      </w:r>
      <w:r w:rsidR="00302B33" w:rsidRPr="002909BF">
        <w:t xml:space="preserve"> </w:t>
      </w:r>
      <w:r w:rsidRPr="002909BF">
        <w:t>not previously immunised can be vaccinated according to one of the vaccination schedules presented in Table 4</w:t>
      </w:r>
      <w:r w:rsidR="00A513C0">
        <w:t xml:space="preserve"> [of the draft PI]</w:t>
      </w:r>
      <w:r w:rsidRPr="002909BF">
        <w:t xml:space="preserve"> and in accordance with official local </w:t>
      </w:r>
      <w:proofErr w:type="gramStart"/>
      <w:r w:rsidRPr="002909BF">
        <w:t>recommendations’</w:t>
      </w:r>
      <w:proofErr w:type="gramEnd"/>
      <w:r w:rsidRPr="002909BF">
        <w:t>.</w:t>
      </w:r>
    </w:p>
    <w:p w14:paraId="195DBB05" w14:textId="542412F1" w:rsidR="00CD6F65" w:rsidRPr="002909BF" w:rsidRDefault="00CD6F65" w:rsidP="00CD6F65">
      <w:r w:rsidRPr="002909BF">
        <w:t>Inclusion of a range of regimens is practical to allow for choice in route of administration (</w:t>
      </w:r>
      <w:r w:rsidR="0075406F" w:rsidRPr="002909BF">
        <w:t>for example,</w:t>
      </w:r>
      <w:r w:rsidRPr="002909BF">
        <w:t xml:space="preserve"> not all vaccine providers are skilled in </w:t>
      </w:r>
      <w:r w:rsidR="009A0559" w:rsidRPr="002909BF">
        <w:t>intradermal</w:t>
      </w:r>
      <w:r w:rsidRPr="002909BF">
        <w:t xml:space="preserve"> delivery) and for completion of rabies post-exposure prophylaxis in Australia that started overseas.</w:t>
      </w:r>
    </w:p>
    <w:p w14:paraId="3BDC79D2" w14:textId="25D6018A" w:rsidR="00CD6F65" w:rsidRPr="002909BF" w:rsidRDefault="00CD6F65" w:rsidP="00CD6F65">
      <w:r w:rsidRPr="002909BF">
        <w:t>The ACV noted that official local recommendations can change over time. As recently as May</w:t>
      </w:r>
      <w:r w:rsidR="00302B33" w:rsidRPr="002909BF">
        <w:t> </w:t>
      </w:r>
      <w:r w:rsidRPr="002909BF">
        <w:t xml:space="preserve">2022 the </w:t>
      </w:r>
      <w:r w:rsidR="00172645" w:rsidRPr="002909BF">
        <w:t xml:space="preserve">United States Advisory Committee on Immunization Practices </w:t>
      </w:r>
      <w:r w:rsidRPr="002909BF">
        <w:t>amended its recommendation on PrEP whereby a 2-dose (</w:t>
      </w:r>
      <w:r w:rsidR="00302B33" w:rsidRPr="002909BF">
        <w:t>D</w:t>
      </w:r>
      <w:r w:rsidRPr="002909BF">
        <w:t>ay</w:t>
      </w:r>
      <w:r w:rsidR="00302B33" w:rsidRPr="002909BF">
        <w:t>s </w:t>
      </w:r>
      <w:r w:rsidRPr="002909BF">
        <w:t xml:space="preserve">0 and 7) </w:t>
      </w:r>
      <w:r w:rsidR="009A0559" w:rsidRPr="002909BF">
        <w:t>intramuscular</w:t>
      </w:r>
      <w:r w:rsidRPr="002909BF">
        <w:t xml:space="preserve"> series replaced the 3-dose schedule (see Rao et al).</w:t>
      </w:r>
      <w:r w:rsidR="00BB6B61">
        <w:rPr>
          <w:rStyle w:val="FootnoteReference"/>
        </w:rPr>
        <w:footnoteReference w:id="30"/>
      </w:r>
    </w:p>
    <w:p w14:paraId="143A4050" w14:textId="606C6930" w:rsidR="00CD6F65" w:rsidRPr="002909BF" w:rsidRDefault="00CD6F65" w:rsidP="00CD6F65">
      <w:pPr>
        <w:pStyle w:val="Numberbullet0"/>
        <w:rPr>
          <w:b/>
          <w:bCs/>
          <w:i/>
          <w:iCs/>
        </w:rPr>
      </w:pPr>
      <w:r w:rsidRPr="002909BF">
        <w:rPr>
          <w:b/>
          <w:bCs/>
          <w:i/>
          <w:iCs/>
        </w:rPr>
        <w:t xml:space="preserve">The committee is also requested to provide advice on any other issues that it thinks may be relevant to a decision on </w:t>
      </w:r>
      <w:proofErr w:type="gramStart"/>
      <w:r w:rsidRPr="002909BF">
        <w:rPr>
          <w:b/>
          <w:bCs/>
          <w:i/>
          <w:iCs/>
        </w:rPr>
        <w:t>whether or not</w:t>
      </w:r>
      <w:proofErr w:type="gramEnd"/>
      <w:r w:rsidRPr="002909BF">
        <w:rPr>
          <w:b/>
          <w:bCs/>
          <w:i/>
          <w:iCs/>
        </w:rPr>
        <w:t xml:space="preserve"> to approve this application.</w:t>
      </w:r>
    </w:p>
    <w:p w14:paraId="41B11EBC" w14:textId="00BCB7E9" w:rsidR="00CD6F65" w:rsidRPr="002909BF" w:rsidRDefault="00CD6F65" w:rsidP="00CD6F65">
      <w:r w:rsidRPr="002909BF">
        <w:t xml:space="preserve">The ACV noted that ‘single use only’ is standard advice in a PI when the entire dose of a vial is used for a single </w:t>
      </w:r>
      <w:r w:rsidR="009A0559" w:rsidRPr="002909BF">
        <w:t>intramuscular</w:t>
      </w:r>
      <w:r w:rsidRPr="002909BF">
        <w:t xml:space="preserve"> injection of 0.5 </w:t>
      </w:r>
      <w:proofErr w:type="spellStart"/>
      <w:r w:rsidRPr="002909BF">
        <w:t>mL.</w:t>
      </w:r>
      <w:proofErr w:type="spellEnd"/>
      <w:r w:rsidRPr="002909BF">
        <w:t xml:space="preserve"> However, the ACV noted that when the smaller 0.1 mL dose is administered </w:t>
      </w:r>
      <w:r w:rsidR="009A0559" w:rsidRPr="002909BF">
        <w:t>intradermal</w:t>
      </w:r>
      <w:r w:rsidRPr="002909BF">
        <w:t xml:space="preserve"> a single vial can provide doses for several people in the same vaccination session. The ACV did not object to this approach and noted that this could overcome some resource constraints</w:t>
      </w:r>
      <w:r w:rsidR="00302B33" w:rsidRPr="002909BF">
        <w:t xml:space="preserve"> or </w:t>
      </w:r>
      <w:r w:rsidRPr="002909BF">
        <w:t>cost issues and so encourage the protection of entire families prior to overseas travel. The ACV also noted that the Australian Immunisation Handbook permits ‘if giving rabies vaccine by the intradermal route, the 1.0 mL dose can be used for more than one person during a single vaccination session’.</w:t>
      </w:r>
    </w:p>
    <w:p w14:paraId="0F0BAC42" w14:textId="392E335B" w:rsidR="00CD6F65" w:rsidRPr="002909BF" w:rsidRDefault="00CD6F65" w:rsidP="00CD6F65">
      <w:r w:rsidRPr="002909BF">
        <w:t xml:space="preserve">The ACV noted the challenges to prescribers who irregularly administer rabies vaccines where conflicts exist between regimen recommendations in the PI and the </w:t>
      </w:r>
      <w:r w:rsidR="00172645" w:rsidRPr="002909BF">
        <w:t xml:space="preserve">Australian Immunisation Handbook </w:t>
      </w:r>
      <w:r w:rsidRPr="002909BF">
        <w:t xml:space="preserve">and concurred that alignment would be preferable. For instance, there are currently no guidelines on </w:t>
      </w:r>
      <w:r w:rsidR="009A0559" w:rsidRPr="002909BF">
        <w:t>intradermal</w:t>
      </w:r>
      <w:r w:rsidRPr="002909BF">
        <w:t xml:space="preserve"> administration for PEP in the </w:t>
      </w:r>
      <w:r w:rsidR="00172645" w:rsidRPr="002909BF">
        <w:t xml:space="preserve">Australian </w:t>
      </w:r>
      <w:r w:rsidR="00172645" w:rsidRPr="002909BF">
        <w:lastRenderedPageBreak/>
        <w:t>Immunisation Handbook</w:t>
      </w:r>
      <w:r w:rsidRPr="002909BF">
        <w:t xml:space="preserve">. It was also noted that the current </w:t>
      </w:r>
      <w:r w:rsidR="009A0559" w:rsidRPr="002909BF">
        <w:t>intramuscular</w:t>
      </w:r>
      <w:r w:rsidRPr="002909BF">
        <w:t xml:space="preserve"> PEP regimens in the </w:t>
      </w:r>
      <w:r w:rsidR="00172645" w:rsidRPr="002909BF">
        <w:t>Australian Immunisation Handbook</w:t>
      </w:r>
      <w:r w:rsidRPr="002909BF">
        <w:t xml:space="preserve"> do not align with either of the tabulated options in the PI. The ACV noted that the WHO promotes the use of </w:t>
      </w:r>
      <w:r w:rsidR="009A0559" w:rsidRPr="002909BF">
        <w:t>intradermal</w:t>
      </w:r>
      <w:r w:rsidRPr="002909BF">
        <w:t xml:space="preserve"> administration of rabies vaccines as a safe, </w:t>
      </w:r>
      <w:proofErr w:type="gramStart"/>
      <w:r w:rsidRPr="002909BF">
        <w:t>immunogenic</w:t>
      </w:r>
      <w:proofErr w:type="gramEnd"/>
      <w:r w:rsidRPr="002909BF">
        <w:t xml:space="preserve"> and cost and dose</w:t>
      </w:r>
      <w:r w:rsidR="00C9786A" w:rsidRPr="002909BF">
        <w:t xml:space="preserve"> </w:t>
      </w:r>
      <w:r w:rsidRPr="002909BF">
        <w:t xml:space="preserve">sparing alternative to </w:t>
      </w:r>
      <w:r w:rsidR="009A0559" w:rsidRPr="002909BF">
        <w:t>intramuscular</w:t>
      </w:r>
      <w:r w:rsidRPr="002909BF">
        <w:t xml:space="preserve"> administration.</w:t>
      </w:r>
    </w:p>
    <w:p w14:paraId="1B4F8CBA" w14:textId="77777777" w:rsidR="0074163C" w:rsidRPr="002909BF" w:rsidRDefault="0074163C" w:rsidP="0074163C">
      <w:pPr>
        <w:pStyle w:val="Heading5"/>
      </w:pPr>
      <w:r w:rsidRPr="002909BF">
        <w:t>Conclusion</w:t>
      </w:r>
    </w:p>
    <w:p w14:paraId="18A5F086" w14:textId="03F4DF51" w:rsidR="00CD6F65" w:rsidRPr="002909BF" w:rsidRDefault="00CD6F65" w:rsidP="00CD6F65">
      <w:r w:rsidRPr="002909BF">
        <w:t>The ACV considered this product to have an overall positive benefit-risk profile for the indication:</w:t>
      </w:r>
    </w:p>
    <w:p w14:paraId="3108F370" w14:textId="699710CD" w:rsidR="00CD6F65" w:rsidRPr="002909BF" w:rsidRDefault="00CD6F65" w:rsidP="00CD6F65">
      <w:pPr>
        <w:ind w:left="720"/>
        <w:rPr>
          <w:i/>
          <w:iCs/>
        </w:rPr>
      </w:pPr>
      <w:proofErr w:type="spellStart"/>
      <w:r w:rsidRPr="002909BF">
        <w:rPr>
          <w:i/>
          <w:iCs/>
        </w:rPr>
        <w:t>Verorab</w:t>
      </w:r>
      <w:proofErr w:type="spellEnd"/>
      <w:r w:rsidRPr="002909BF">
        <w:rPr>
          <w:i/>
          <w:iCs/>
        </w:rPr>
        <w:t xml:space="preserve"> is indicated for pre-exposure and post-exposure prophylaxis against rabies in all age groups.</w:t>
      </w:r>
    </w:p>
    <w:p w14:paraId="3F6FD05A" w14:textId="636C7784" w:rsidR="00CD6F65" w:rsidRPr="002909BF" w:rsidRDefault="00CD6F65" w:rsidP="00CD6F65">
      <w:pPr>
        <w:ind w:left="720"/>
        <w:rPr>
          <w:i/>
          <w:iCs/>
        </w:rPr>
      </w:pPr>
      <w:proofErr w:type="spellStart"/>
      <w:r w:rsidRPr="002909BF">
        <w:rPr>
          <w:i/>
          <w:iCs/>
        </w:rPr>
        <w:t>Verorab</w:t>
      </w:r>
      <w:proofErr w:type="spellEnd"/>
      <w:r w:rsidRPr="002909BF">
        <w:rPr>
          <w:i/>
          <w:iCs/>
        </w:rPr>
        <w:t xml:space="preserve"> should be used in accordance with official local recommendations.</w:t>
      </w:r>
    </w:p>
    <w:p w14:paraId="3BAD7D0C" w14:textId="5E254661" w:rsidR="00CD6F65" w:rsidRPr="002909BF" w:rsidRDefault="00CD6F65" w:rsidP="00CD6F65">
      <w:pPr>
        <w:ind w:left="720"/>
        <w:rPr>
          <w:i/>
          <w:iCs/>
        </w:rPr>
      </w:pPr>
      <w:r w:rsidRPr="002909BF">
        <w:rPr>
          <w:i/>
          <w:iCs/>
        </w:rPr>
        <w:t>Generally, pre-exposure prophylaxis should be offered to people at high risk of exposure such as those working in rabies diagnostic or research laboratories, veterinarians, animal handlers potentially exposed to rabid animals, as well as other people (especially children) living in or traveling to high-risk areas.</w:t>
      </w:r>
    </w:p>
    <w:p w14:paraId="7FDC6C24" w14:textId="77777777" w:rsidR="008E7846" w:rsidRPr="002909BF" w:rsidRDefault="008E7846" w:rsidP="00D212F3">
      <w:pPr>
        <w:pStyle w:val="Heading2"/>
      </w:pPr>
      <w:bookmarkStart w:id="83" w:name="_Toc133493839"/>
      <w:r w:rsidRPr="002909BF">
        <w:t>Outcome</w:t>
      </w:r>
      <w:bookmarkEnd w:id="81"/>
      <w:bookmarkEnd w:id="82"/>
      <w:bookmarkEnd w:id="83"/>
    </w:p>
    <w:p w14:paraId="462D9764" w14:textId="258632D4" w:rsidR="0074163C" w:rsidRPr="002909BF" w:rsidRDefault="0074163C" w:rsidP="0074163C">
      <w:bookmarkStart w:id="84" w:name="_Toc247691533"/>
      <w:bookmarkStart w:id="85" w:name="_Toc314842517"/>
      <w:r w:rsidRPr="002909BF">
        <w:t xml:space="preserve">Based on a review of quality, </w:t>
      </w:r>
      <w:r w:rsidR="00CC5044" w:rsidRPr="002909BF">
        <w:t>safety,</w:t>
      </w:r>
      <w:r w:rsidRPr="002909BF">
        <w:t xml:space="preserve"> and efficacy, the TGA approved the registration of </w:t>
      </w:r>
      <w:proofErr w:type="spellStart"/>
      <w:r w:rsidR="009F0559" w:rsidRPr="002909BF">
        <w:t>Verorab</w:t>
      </w:r>
      <w:proofErr w:type="spellEnd"/>
      <w:r w:rsidR="009F0559" w:rsidRPr="002909BF">
        <w:t xml:space="preserve"> </w:t>
      </w:r>
      <w:r w:rsidRPr="002909BF">
        <w:t>(</w:t>
      </w:r>
      <w:r w:rsidR="009F0559" w:rsidRPr="002909BF">
        <w:t>inactivated rabies virus</w:t>
      </w:r>
      <w:r w:rsidRPr="002909BF">
        <w:t xml:space="preserve">) </w:t>
      </w:r>
      <w:r w:rsidR="0023120B" w:rsidRPr="002909BF">
        <w:t xml:space="preserve">3.25 international units of rabies antigen, </w:t>
      </w:r>
      <w:proofErr w:type="gramStart"/>
      <w:r w:rsidR="0023120B" w:rsidRPr="002909BF">
        <w:t>powder</w:t>
      </w:r>
      <w:proofErr w:type="gramEnd"/>
      <w:r w:rsidR="0023120B" w:rsidRPr="002909BF">
        <w:t xml:space="preserve"> and solvent for suspension for injection, vial with diluent prefilled syringe with attached needle</w:t>
      </w:r>
      <w:r w:rsidRPr="002909BF">
        <w:t>, indicated</w:t>
      </w:r>
      <w:r w:rsidR="00B219BC">
        <w:t xml:space="preserve"> for the following</w:t>
      </w:r>
      <w:r w:rsidRPr="002909BF">
        <w:t>:</w:t>
      </w:r>
    </w:p>
    <w:p w14:paraId="5C527771" w14:textId="77777777" w:rsidR="00CD6F65" w:rsidRPr="002909BF" w:rsidRDefault="00CD6F65" w:rsidP="0023120B">
      <w:pPr>
        <w:ind w:left="720"/>
        <w:rPr>
          <w:i/>
          <w:iCs/>
        </w:rPr>
      </w:pPr>
      <w:proofErr w:type="spellStart"/>
      <w:r w:rsidRPr="002909BF">
        <w:rPr>
          <w:i/>
          <w:iCs/>
        </w:rPr>
        <w:t>Verorab</w:t>
      </w:r>
      <w:proofErr w:type="spellEnd"/>
      <w:r w:rsidRPr="002909BF">
        <w:rPr>
          <w:i/>
          <w:iCs/>
        </w:rPr>
        <w:t xml:space="preserve"> is indicated for pre-exposure prophylaxis against rabies.</w:t>
      </w:r>
    </w:p>
    <w:p w14:paraId="62BD1353" w14:textId="77777777" w:rsidR="00CD6F65" w:rsidRPr="002909BF" w:rsidRDefault="00CD6F65" w:rsidP="0023120B">
      <w:pPr>
        <w:ind w:left="720"/>
        <w:rPr>
          <w:i/>
          <w:iCs/>
        </w:rPr>
      </w:pPr>
      <w:proofErr w:type="spellStart"/>
      <w:r w:rsidRPr="002909BF">
        <w:rPr>
          <w:i/>
          <w:iCs/>
        </w:rPr>
        <w:t>Verorab</w:t>
      </w:r>
      <w:proofErr w:type="spellEnd"/>
      <w:r w:rsidRPr="002909BF">
        <w:rPr>
          <w:i/>
          <w:iCs/>
        </w:rPr>
        <w:t xml:space="preserve"> is indicated for post-exposure prophylaxis against rabies.</w:t>
      </w:r>
    </w:p>
    <w:p w14:paraId="5E15A9F9" w14:textId="0A9B38DD" w:rsidR="0074163C" w:rsidRPr="002909BF" w:rsidRDefault="00CD6F65" w:rsidP="0023120B">
      <w:pPr>
        <w:ind w:left="720"/>
        <w:rPr>
          <w:i/>
          <w:iCs/>
        </w:rPr>
      </w:pPr>
      <w:proofErr w:type="spellStart"/>
      <w:r w:rsidRPr="002909BF">
        <w:rPr>
          <w:i/>
          <w:iCs/>
        </w:rPr>
        <w:t>Verorab</w:t>
      </w:r>
      <w:proofErr w:type="spellEnd"/>
      <w:r w:rsidRPr="002909BF">
        <w:rPr>
          <w:i/>
          <w:iCs/>
        </w:rPr>
        <w:t xml:space="preserve"> should be used in accordance with official local recommendations.</w:t>
      </w:r>
    </w:p>
    <w:p w14:paraId="58458192" w14:textId="77777777" w:rsidR="00D23139" w:rsidRPr="002909BF" w:rsidRDefault="00D23139" w:rsidP="00D212F3">
      <w:pPr>
        <w:pStyle w:val="Heading3"/>
      </w:pPr>
      <w:bookmarkStart w:id="86" w:name="_Toc133493840"/>
      <w:r w:rsidRPr="002909BF">
        <w:t>Specific conditions of registration applying to these goods</w:t>
      </w:r>
      <w:bookmarkEnd w:id="86"/>
    </w:p>
    <w:p w14:paraId="5837878A" w14:textId="28E13EE6" w:rsidR="009F0559" w:rsidRPr="002909BF" w:rsidRDefault="00AF0371" w:rsidP="00A62706">
      <w:pPr>
        <w:pStyle w:val="ListBullet"/>
      </w:pPr>
      <w:proofErr w:type="spellStart"/>
      <w:r w:rsidRPr="002909BF">
        <w:t>Verorab</w:t>
      </w:r>
      <w:proofErr w:type="spellEnd"/>
      <w:r w:rsidR="009F0559" w:rsidRPr="002909BF">
        <w:t xml:space="preserve"> is to be included in the Black Triangle Scheme. The PI and CMI </w:t>
      </w:r>
      <w:r w:rsidR="002E21B2" w:rsidRPr="002909BF">
        <w:t xml:space="preserve">[Consumer Medicines Information] </w:t>
      </w:r>
      <w:r w:rsidR="009F0559" w:rsidRPr="002909BF">
        <w:t xml:space="preserve">for </w:t>
      </w:r>
      <w:proofErr w:type="spellStart"/>
      <w:r w:rsidRPr="002909BF">
        <w:t>Verorab</w:t>
      </w:r>
      <w:proofErr w:type="spellEnd"/>
      <w:r w:rsidR="009F0559" w:rsidRPr="002909BF">
        <w:t xml:space="preserve"> must include the black triangle symbol and mandatory accompanying text for five years, which starts from the date that the sponsor notifies the TGA of supply of the product.</w:t>
      </w:r>
    </w:p>
    <w:p w14:paraId="65578B1A" w14:textId="6B8AFA8A" w:rsidR="009F0559" w:rsidRPr="002909BF" w:rsidRDefault="009F0559" w:rsidP="00A62706">
      <w:pPr>
        <w:pStyle w:val="ListBullet"/>
      </w:pPr>
      <w:r w:rsidRPr="002909BF">
        <w:t xml:space="preserve">The </w:t>
      </w:r>
      <w:proofErr w:type="spellStart"/>
      <w:r w:rsidR="00AF0371" w:rsidRPr="002909BF">
        <w:t>Verorab</w:t>
      </w:r>
      <w:proofErr w:type="spellEnd"/>
      <w:r w:rsidRPr="002909BF">
        <w:t xml:space="preserve"> EU-</w:t>
      </w:r>
      <w:r w:rsidR="00302B33" w:rsidRPr="002909BF">
        <w:t xml:space="preserve">risk management plan </w:t>
      </w:r>
      <w:r w:rsidRPr="002909BF">
        <w:t>(RMP) (version 2.1, dated 3 March 2020, data lock point 1 January 2020),</w:t>
      </w:r>
      <w:r w:rsidR="00A43DAE">
        <w:t xml:space="preserve"> </w:t>
      </w:r>
      <w:r w:rsidRPr="002909BF">
        <w:t xml:space="preserve">with Australian </w:t>
      </w:r>
      <w:r w:rsidR="00302B33" w:rsidRPr="002909BF">
        <w:t xml:space="preserve">specific annex </w:t>
      </w:r>
      <w:r w:rsidRPr="002909BF">
        <w:t>(version 1.0, dated 30</w:t>
      </w:r>
      <w:r w:rsidR="00302B33" w:rsidRPr="002909BF">
        <w:t> </w:t>
      </w:r>
      <w:r w:rsidRPr="002909BF">
        <w:t>July</w:t>
      </w:r>
      <w:r w:rsidR="00302B33" w:rsidRPr="002909BF">
        <w:t> </w:t>
      </w:r>
      <w:r w:rsidRPr="002909BF">
        <w:t xml:space="preserve">2021), included with </w:t>
      </w:r>
      <w:r w:rsidR="00302B33" w:rsidRPr="002909BF">
        <w:t>S</w:t>
      </w:r>
      <w:r w:rsidRPr="002909BF">
        <w:t>ubmission PM-2021-03191-1-2, and any subsequent revisions, as agreed with the TGA will be implemented in Australia.</w:t>
      </w:r>
    </w:p>
    <w:p w14:paraId="4259454C" w14:textId="6A8059B5" w:rsidR="009F0559" w:rsidRPr="002909BF" w:rsidRDefault="009F0559" w:rsidP="00A62706">
      <w:pPr>
        <w:pStyle w:val="ListBullet"/>
        <w:numPr>
          <w:ilvl w:val="0"/>
          <w:numId w:val="0"/>
        </w:numPr>
        <w:ind w:left="360"/>
      </w:pPr>
      <w:r w:rsidRPr="002909BF">
        <w:t>An obligatory component of risk management plans is routine pharmacovigilance. Routine pharmacovigilance includes the submission of periodic safety update reports (PSURs).</w:t>
      </w:r>
    </w:p>
    <w:p w14:paraId="083F4AB9" w14:textId="5FF05F09" w:rsidR="009F0559" w:rsidRPr="002909BF" w:rsidRDefault="009F0559" w:rsidP="00A62706">
      <w:pPr>
        <w:pStyle w:val="ListBullet"/>
        <w:numPr>
          <w:ilvl w:val="0"/>
          <w:numId w:val="0"/>
        </w:numPr>
        <w:ind w:left="360"/>
      </w:pPr>
      <w:r w:rsidRPr="002909BF">
        <w:t xml:space="preserve">Unless agreed separately between the supplier who is the recipient of the approval and the TGA, the first report must be submitted to TGA no later than 15 calendar months after the date of </w:t>
      </w:r>
      <w:r w:rsidR="00302B33" w:rsidRPr="002909BF">
        <w:t>the</w:t>
      </w:r>
      <w:r w:rsidRPr="002909BF">
        <w:t xml:space="preserve"> approval letter. The subsequent reports must be submitted no less frequently than annually from the date of the first submitted report until the period covered by such reports is not less than three years from the date of </w:t>
      </w:r>
      <w:r w:rsidR="00302B33" w:rsidRPr="002909BF">
        <w:t xml:space="preserve">the </w:t>
      </w:r>
      <w:r w:rsidRPr="002909BF">
        <w:t xml:space="preserve">approval letter. The annual submission may be made up of two PSURs each covering six months. If the sponsor wishes, the </w:t>
      </w:r>
      <w:proofErr w:type="gramStart"/>
      <w:r w:rsidRPr="002909BF">
        <w:t>six monthly</w:t>
      </w:r>
      <w:proofErr w:type="gramEnd"/>
      <w:r w:rsidRPr="002909BF">
        <w:t xml:space="preserve"> reports may be submitted separately as they become available.</w:t>
      </w:r>
    </w:p>
    <w:p w14:paraId="7F225EB7" w14:textId="61BDEAC6" w:rsidR="009F0559" w:rsidRPr="002909BF" w:rsidRDefault="009F0559" w:rsidP="00A62706">
      <w:pPr>
        <w:pStyle w:val="ListBullet"/>
        <w:numPr>
          <w:ilvl w:val="0"/>
          <w:numId w:val="0"/>
        </w:numPr>
        <w:ind w:left="360"/>
      </w:pPr>
      <w:r w:rsidRPr="002909BF">
        <w:lastRenderedPageBreak/>
        <w:t xml:space="preserve">The reports are to at least meet the requirements for PSURs as described in the European Medicines Agency’s Guideline on </w:t>
      </w:r>
      <w:r w:rsidR="0093272D" w:rsidRPr="002909BF">
        <w:t xml:space="preserve">Good Pharmacovigilance Practices </w:t>
      </w:r>
      <w:r w:rsidRPr="002909BF">
        <w:t>(GVP) Module VII-periodic safety update report (</w:t>
      </w:r>
      <w:r w:rsidR="00620A3F" w:rsidRPr="002909BF">
        <w:t>[Revision]</w:t>
      </w:r>
      <w:r w:rsidRPr="002909BF">
        <w:t xml:space="preserve"> 1), Part VII.B Structures and processes. Note that submission of a PSUR does not constitute an application to vary the registration.</w:t>
      </w:r>
    </w:p>
    <w:p w14:paraId="0AC10EF2" w14:textId="2FF6AC13" w:rsidR="004F7D09" w:rsidRPr="002909BF" w:rsidRDefault="004F7D09" w:rsidP="004F7D09">
      <w:pPr>
        <w:pStyle w:val="ListBullet"/>
      </w:pPr>
      <w:r w:rsidRPr="002909BF">
        <w:t xml:space="preserve">It is a condition of registration that all independent batches of </w:t>
      </w:r>
      <w:proofErr w:type="spellStart"/>
      <w:r w:rsidR="00AF0371" w:rsidRPr="002909BF">
        <w:t>Verorab</w:t>
      </w:r>
      <w:proofErr w:type="spellEnd"/>
      <w:r w:rsidRPr="002909BF">
        <w:t xml:space="preserve"> vaccine imported into Australia are not released for sale until samples and the manufacturer’s release data have been assessed and </w:t>
      </w:r>
      <w:r w:rsidR="0093272D" w:rsidRPr="002909BF">
        <w:t>[the sponsor]</w:t>
      </w:r>
      <w:r w:rsidRPr="002909BF">
        <w:t xml:space="preserve"> have received notification acknowledging release from the Laboratories Branch, TGA.</w:t>
      </w:r>
    </w:p>
    <w:p w14:paraId="2B672166" w14:textId="519194AE" w:rsidR="004F7D09" w:rsidRPr="002909BF" w:rsidRDefault="004F7D09" w:rsidP="004F7D09">
      <w:pPr>
        <w:pStyle w:val="ListBullet"/>
        <w:numPr>
          <w:ilvl w:val="0"/>
          <w:numId w:val="0"/>
        </w:numPr>
        <w:ind w:left="360"/>
      </w:pPr>
      <w:r w:rsidRPr="002909BF">
        <w:t xml:space="preserve">For each independent batch of the product imported into Australia, the </w:t>
      </w:r>
      <w:r w:rsidR="001842DE" w:rsidRPr="002909BF">
        <w:t>sponsor</w:t>
      </w:r>
      <w:r w:rsidRPr="002909BF">
        <w:t xml:space="preserve"> must supply the following:</w:t>
      </w:r>
    </w:p>
    <w:p w14:paraId="2E790479" w14:textId="6AACF263" w:rsidR="004F7D09" w:rsidRPr="002909BF" w:rsidRDefault="004F7D09" w:rsidP="004F7D09">
      <w:pPr>
        <w:pStyle w:val="ListBullet2"/>
      </w:pPr>
      <w:r w:rsidRPr="002909BF">
        <w:t>A completed Request for Release Form, available from vaccines@health.gov.au.</w:t>
      </w:r>
    </w:p>
    <w:p w14:paraId="73AD5532" w14:textId="4777448C" w:rsidR="004F7D09" w:rsidRPr="002909BF" w:rsidRDefault="004F7D09" w:rsidP="003F0DC7">
      <w:pPr>
        <w:pStyle w:val="ListBullet2"/>
      </w:pPr>
      <w:r w:rsidRPr="002909BF">
        <w:t xml:space="preserve">Complete summary protocols for manufacture and </w:t>
      </w:r>
      <w:r w:rsidR="0093272D" w:rsidRPr="002909BF">
        <w:t>[quality control]</w:t>
      </w:r>
      <w:r w:rsidRPr="002909BF">
        <w:t>, including all steps in production in the agreed format.</w:t>
      </w:r>
    </w:p>
    <w:p w14:paraId="5BAA44B1" w14:textId="6026FF31" w:rsidR="004F7D09" w:rsidRPr="002909BF" w:rsidRDefault="004F7D09" w:rsidP="004F7D09">
      <w:pPr>
        <w:pStyle w:val="ListBullet2"/>
      </w:pPr>
      <w:r w:rsidRPr="002909BF">
        <w:t>At least 5 (five) vials (</w:t>
      </w:r>
      <w:r w:rsidR="0093272D" w:rsidRPr="002909BF">
        <w:t>s</w:t>
      </w:r>
      <w:r w:rsidRPr="002909BF">
        <w:t xml:space="preserve">amples) of each manufacturing batch of </w:t>
      </w:r>
      <w:proofErr w:type="spellStart"/>
      <w:r w:rsidR="00AF0371" w:rsidRPr="002909BF">
        <w:t>Verorab</w:t>
      </w:r>
      <w:proofErr w:type="spellEnd"/>
      <w:r w:rsidRPr="002909BF">
        <w:t xml:space="preserve"> vaccine with the Australian approved labels, </w:t>
      </w:r>
      <w:proofErr w:type="gramStart"/>
      <w:r w:rsidRPr="002909BF">
        <w:t>PI</w:t>
      </w:r>
      <w:proofErr w:type="gramEnd"/>
      <w:r w:rsidRPr="002909BF">
        <w:t xml:space="preserve"> and packaging (unless an exemption to supply these has been granted) representative of all batches of product seeking distribution in Australia.</w:t>
      </w:r>
    </w:p>
    <w:p w14:paraId="2E1A18F0" w14:textId="7CA4F219" w:rsidR="004F7D09" w:rsidRPr="002909BF" w:rsidRDefault="004F7D09" w:rsidP="004F7D09">
      <w:pPr>
        <w:pStyle w:val="ListBullet2"/>
      </w:pPr>
      <w:r w:rsidRPr="002909BF">
        <w:t>At least 1 (one) vial (</w:t>
      </w:r>
      <w:r w:rsidR="0093272D" w:rsidRPr="002909BF">
        <w:t>s</w:t>
      </w:r>
      <w:r w:rsidRPr="002909BF">
        <w:t xml:space="preserve">amples) of any further consignments of a manufacturing batch of </w:t>
      </w:r>
      <w:proofErr w:type="spellStart"/>
      <w:r w:rsidR="00AF0371" w:rsidRPr="002909BF">
        <w:t>Verorab</w:t>
      </w:r>
      <w:proofErr w:type="spellEnd"/>
      <w:r w:rsidRPr="002909BF">
        <w:t xml:space="preserve"> vaccine with the Australian approved labels, </w:t>
      </w:r>
      <w:proofErr w:type="gramStart"/>
      <w:r w:rsidRPr="002909BF">
        <w:t>PI</w:t>
      </w:r>
      <w:proofErr w:type="gramEnd"/>
      <w:r w:rsidRPr="002909BF">
        <w:t xml:space="preserve"> and packaging (unless an exemption to supply these has been granted). Further consignments cover batches previously supplied to TGA for the purposes of batch release testing but are seeking to be supplied again.</w:t>
      </w:r>
    </w:p>
    <w:p w14:paraId="3A3B7279" w14:textId="521467B0" w:rsidR="004F7D09" w:rsidRPr="002909BF" w:rsidRDefault="004F7D09" w:rsidP="004F7D09">
      <w:pPr>
        <w:pStyle w:val="ListBullet2"/>
      </w:pPr>
      <w:r w:rsidRPr="002909BF">
        <w:t xml:space="preserve">If the manufacturing batch has been released in Europe or United Kingdom a copy of the EU Official Control Authority Batch Release (OCABR) certificate (or equivalent from the </w:t>
      </w:r>
      <w:r w:rsidR="00620A3F" w:rsidRPr="002909BF">
        <w:t>[</w:t>
      </w:r>
      <w:r w:rsidRPr="002909BF">
        <w:t>U</w:t>
      </w:r>
      <w:r w:rsidR="00620A3F" w:rsidRPr="002909BF">
        <w:t xml:space="preserve">nited </w:t>
      </w:r>
      <w:r w:rsidRPr="002909BF">
        <w:t>K</w:t>
      </w:r>
      <w:r w:rsidR="00620A3F" w:rsidRPr="002909BF">
        <w:t>ingdom]</w:t>
      </w:r>
      <w:r w:rsidRPr="002909BF">
        <w:t>) must be provided.</w:t>
      </w:r>
    </w:p>
    <w:p w14:paraId="15A36A25" w14:textId="2EEA8111" w:rsidR="004F7D09" w:rsidRPr="002909BF" w:rsidRDefault="004F7D09" w:rsidP="004F7D09">
      <w:pPr>
        <w:pStyle w:val="ListBullet2"/>
      </w:pPr>
      <w:r w:rsidRPr="002909BF">
        <w:t>Any reagents, reference material and standards required to undertake testing, as requested by Laboratories Branch, TGA.</w:t>
      </w:r>
    </w:p>
    <w:p w14:paraId="392BCD48" w14:textId="1D51971A" w:rsidR="004F7D09" w:rsidRPr="002909BF" w:rsidRDefault="004F7D09" w:rsidP="004F7D09">
      <w:pPr>
        <w:pStyle w:val="ListBullet"/>
        <w:numPr>
          <w:ilvl w:val="0"/>
          <w:numId w:val="0"/>
        </w:numPr>
        <w:ind w:left="360"/>
      </w:pPr>
      <w:r w:rsidRPr="002909BF">
        <w:t>Sponsors must provide all requested Samples and data in sufficient time (at least 5</w:t>
      </w:r>
      <w:r w:rsidR="0093272D" w:rsidRPr="002909BF">
        <w:t> </w:t>
      </w:r>
      <w:r w:rsidRPr="002909BF">
        <w:t>business days) prior to any distribution date to allow the TGA to perform testing and review. Distribution of each batch of vaccine is conditional upon fulfilment of these conditions and receipt of a letter from the Laboratories Branch acknowledging release.</w:t>
      </w:r>
    </w:p>
    <w:p w14:paraId="606F13B4" w14:textId="6D797564" w:rsidR="004F7D09" w:rsidRPr="002909BF" w:rsidRDefault="004F7D09" w:rsidP="004F7D09">
      <w:pPr>
        <w:pStyle w:val="ListBullet"/>
        <w:numPr>
          <w:ilvl w:val="0"/>
          <w:numId w:val="0"/>
        </w:numPr>
        <w:ind w:left="360"/>
      </w:pPr>
      <w:r w:rsidRPr="002909BF">
        <w:t>Samples and data should be forwarded to the Biotherapeutics Section, Laboratories Branch before release of each batch and with sufficient lead time to allow for Laboratories Branch testing.</w:t>
      </w:r>
    </w:p>
    <w:p w14:paraId="2053C459" w14:textId="324A5410" w:rsidR="004F7D09" w:rsidRPr="002909BF" w:rsidRDefault="004F7D09" w:rsidP="004F7D09">
      <w:pPr>
        <w:pStyle w:val="ListBullet"/>
        <w:numPr>
          <w:ilvl w:val="0"/>
          <w:numId w:val="0"/>
        </w:numPr>
        <w:ind w:left="360"/>
      </w:pPr>
      <w:r w:rsidRPr="002909BF">
        <w:t xml:space="preserve">The shipments (including reagents) to TGA are the responsibility of the Australian </w:t>
      </w:r>
      <w:r w:rsidR="001842DE" w:rsidRPr="002909BF">
        <w:t>sponsor</w:t>
      </w:r>
      <w:r w:rsidRPr="002909BF">
        <w:t>/</w:t>
      </w:r>
      <w:r w:rsidR="001842DE" w:rsidRPr="002909BF">
        <w:t xml:space="preserve">agent </w:t>
      </w:r>
      <w:r w:rsidRPr="002909BF">
        <w:t>who will be required to facilitate the import and customs clearance process.</w:t>
      </w:r>
    </w:p>
    <w:p w14:paraId="64988592" w14:textId="38394DAC" w:rsidR="009F0559" w:rsidRPr="002909BF" w:rsidRDefault="009F0559" w:rsidP="00A62706">
      <w:pPr>
        <w:pStyle w:val="ListBullet"/>
      </w:pPr>
      <w:r w:rsidRPr="002909BF">
        <w:t xml:space="preserve">The sponsor must not import or supply the product without compliance with the Therapeutic Goods Order No. 91 </w:t>
      </w:r>
      <w:r w:rsidR="003820EF" w:rsidRPr="002909BF">
        <w:t>-</w:t>
      </w:r>
      <w:r w:rsidRPr="002909BF">
        <w:t xml:space="preserve"> Standard for labels of prescription and related medicines, or without a relevant exemption.</w:t>
      </w:r>
    </w:p>
    <w:p w14:paraId="4A490BE1" w14:textId="066BDC6A" w:rsidR="009F0559" w:rsidRPr="002909BF" w:rsidRDefault="009F0559" w:rsidP="00A62706">
      <w:pPr>
        <w:pStyle w:val="ListBullet"/>
      </w:pPr>
      <w:r w:rsidRPr="002909BF">
        <w:t>As agreed by the sponsor, the details of the manufacturing processing and purification steps with viral clearance capacity, or any validation studies using model viruses according to Section 6.1.1 of ICH Q5A (R1</w:t>
      </w:r>
      <w:proofErr w:type="gramStart"/>
      <w:r w:rsidRPr="002909BF">
        <w:t>)</w:t>
      </w:r>
      <w:proofErr w:type="gramEnd"/>
      <w:r w:rsidRPr="002909BF">
        <w:t xml:space="preserve"> and CPMP/BWP/268/95 must be provided by the end of 2023.</w:t>
      </w:r>
    </w:p>
    <w:p w14:paraId="6F598868" w14:textId="79F63A19" w:rsidR="009F0559" w:rsidRPr="002909BF" w:rsidRDefault="009F0559" w:rsidP="00A62706">
      <w:pPr>
        <w:pStyle w:val="ListBullet"/>
        <w:numPr>
          <w:ilvl w:val="0"/>
          <w:numId w:val="0"/>
        </w:numPr>
        <w:ind w:left="360"/>
      </w:pPr>
      <w:r w:rsidRPr="002909BF">
        <w:t xml:space="preserve">The sponsor should provide the original testing reports of the viral clearance studies using new and aged resin to demonstrate that any potential viral contamination has been managed to an acceptable level. The results must demonstrate that new and </w:t>
      </w:r>
      <w:r w:rsidRPr="002909BF">
        <w:lastRenderedPageBreak/>
        <w:t>end</w:t>
      </w:r>
      <w:r w:rsidR="00C9786A" w:rsidRPr="002909BF">
        <w:noBreakHyphen/>
      </w:r>
      <w:r w:rsidRPr="002909BF">
        <w:t xml:space="preserve">of-life aged resin log reduction factors are comparable for model viruses under the manufacturing conditions of </w:t>
      </w:r>
      <w:proofErr w:type="spellStart"/>
      <w:r w:rsidR="00AF0371" w:rsidRPr="002909BF">
        <w:t>Verorab</w:t>
      </w:r>
      <w:proofErr w:type="spellEnd"/>
      <w:r w:rsidRPr="002909BF">
        <w:t>.</w:t>
      </w:r>
    </w:p>
    <w:p w14:paraId="58D2FD88" w14:textId="3881DF85" w:rsidR="009F0559" w:rsidRPr="002909BF" w:rsidRDefault="009F0559" w:rsidP="00A62706">
      <w:pPr>
        <w:pStyle w:val="ListBullet"/>
      </w:pPr>
      <w:r w:rsidRPr="002909BF">
        <w:t>All GMP</w:t>
      </w:r>
      <w:r w:rsidR="002909BF">
        <w:t xml:space="preserve"> [</w:t>
      </w:r>
      <w:r w:rsidR="002909BF" w:rsidRPr="002909BF">
        <w:t>Good Manufacturing Practice</w:t>
      </w:r>
      <w:r w:rsidR="002909BF">
        <w:t>]</w:t>
      </w:r>
      <w:r w:rsidRPr="002909BF">
        <w:t xml:space="preserve"> </w:t>
      </w:r>
      <w:r w:rsidR="002909BF" w:rsidRPr="002909BF">
        <w:t>c</w:t>
      </w:r>
      <w:r w:rsidRPr="002909BF">
        <w:t xml:space="preserve">learances must be approved prior to registration and supply of product to Australia. A commitment is required from the </w:t>
      </w:r>
      <w:r w:rsidR="0093272D" w:rsidRPr="002909BF">
        <w:t>s</w:t>
      </w:r>
      <w:r w:rsidRPr="002909BF">
        <w:t xml:space="preserve">ponsor that they maintain the validity of all manufacturer GMP </w:t>
      </w:r>
      <w:r w:rsidR="0093272D" w:rsidRPr="002909BF">
        <w:t>c</w:t>
      </w:r>
      <w:r w:rsidRPr="002909BF">
        <w:t xml:space="preserve">learances for the duration of product supply to Australia. Additionally, that adherence to the conditions of GMP </w:t>
      </w:r>
      <w:r w:rsidR="0093272D" w:rsidRPr="002909BF">
        <w:t>c</w:t>
      </w:r>
      <w:r w:rsidRPr="002909BF">
        <w:t>learance approval is upheld.</w:t>
      </w:r>
    </w:p>
    <w:p w14:paraId="557F0762" w14:textId="20B0A428" w:rsidR="009F0559" w:rsidRPr="002909BF" w:rsidRDefault="009F0559" w:rsidP="00A62706">
      <w:pPr>
        <w:pStyle w:val="ListBullet"/>
      </w:pPr>
      <w:r w:rsidRPr="002909BF">
        <w:t xml:space="preserve">Additional data relating to the ongoing stability study for the </w:t>
      </w:r>
      <w:r w:rsidR="0093272D" w:rsidRPr="002909BF">
        <w:t>concentrated bulk d</w:t>
      </w:r>
      <w:r w:rsidRPr="002909BF">
        <w:t>rug substance will be submitted for Study 2: stability study to support the change of container closure system from polypropylene vials to high density polyethylene vials up to 48</w:t>
      </w:r>
      <w:r w:rsidR="0093272D" w:rsidRPr="002909BF">
        <w:t> </w:t>
      </w:r>
      <w:r w:rsidRPr="002909BF">
        <w:t>months, when available.</w:t>
      </w:r>
    </w:p>
    <w:p w14:paraId="3F5BF553" w14:textId="45E00B93" w:rsidR="009F0559" w:rsidRPr="002909BF" w:rsidRDefault="009F0559" w:rsidP="00A62706">
      <w:pPr>
        <w:pStyle w:val="ListBullet"/>
      </w:pPr>
      <w:r w:rsidRPr="002909BF">
        <w:t>For all injectable products the Product Information must be included with the product as a package insert.</w:t>
      </w:r>
    </w:p>
    <w:p w14:paraId="068F0368" w14:textId="77777777" w:rsidR="008E7846" w:rsidRPr="002909BF" w:rsidRDefault="00A80B5B" w:rsidP="00D23139">
      <w:pPr>
        <w:pStyle w:val="Heading2"/>
      </w:pPr>
      <w:bookmarkStart w:id="87" w:name="_Toc133493841"/>
      <w:r w:rsidRPr="002909BF">
        <w:t xml:space="preserve">Attachment 1. </w:t>
      </w:r>
      <w:r w:rsidR="008E7846" w:rsidRPr="002909BF">
        <w:t xml:space="preserve">Product </w:t>
      </w:r>
      <w:r w:rsidR="00AA0ED0" w:rsidRPr="002909BF">
        <w:t>I</w:t>
      </w:r>
      <w:r w:rsidR="008E7846" w:rsidRPr="002909BF">
        <w:t>nformation</w:t>
      </w:r>
      <w:bookmarkEnd w:id="84"/>
      <w:bookmarkEnd w:id="85"/>
      <w:bookmarkEnd w:id="87"/>
    </w:p>
    <w:p w14:paraId="33D0260D" w14:textId="3783E596" w:rsidR="008E7846" w:rsidRPr="002909BF" w:rsidRDefault="006136D7" w:rsidP="00EB36D6">
      <w:r w:rsidRPr="002909BF">
        <w:t xml:space="preserve">The PI for </w:t>
      </w:r>
      <w:proofErr w:type="spellStart"/>
      <w:r w:rsidR="009F0559" w:rsidRPr="002909BF">
        <w:t>Verorab</w:t>
      </w:r>
      <w:proofErr w:type="spellEnd"/>
      <w:r w:rsidR="009F0559" w:rsidRPr="002909BF">
        <w:t xml:space="preserve"> </w:t>
      </w:r>
      <w:r w:rsidRPr="002909BF">
        <w:t>approved with the submission which is described in this AusPAR is at Attachment 1.</w:t>
      </w:r>
      <w:r w:rsidR="00CC5044" w:rsidRPr="002909BF">
        <w:t xml:space="preserve"> </w:t>
      </w:r>
      <w:r w:rsidR="0074163C" w:rsidRPr="002909BF">
        <w:t xml:space="preserve">For the most recent PI, please refer to the TGA </w:t>
      </w:r>
      <w:hyperlink r:id="rId34" w:history="1">
        <w:r w:rsidR="0074163C" w:rsidRPr="002909BF">
          <w:rPr>
            <w:rStyle w:val="Hyperlink"/>
          </w:rPr>
          <w:t>PI/CMI search facility</w:t>
        </w:r>
        <w:r w:rsidR="0074163C" w:rsidRPr="002909BF">
          <w:rPr>
            <w:rStyle w:val="Hyperlink"/>
            <w:color w:val="auto"/>
            <w:u w:val="none"/>
          </w:rPr>
          <w:t>.</w:t>
        </w:r>
      </w:hyperlink>
    </w:p>
    <w:p w14:paraId="1154AB65" w14:textId="77777777" w:rsidR="00744121" w:rsidRPr="002909BF" w:rsidRDefault="00744121" w:rsidP="00744121">
      <w:pPr>
        <w:rPr>
          <w:lang w:eastAsia="ja-JP"/>
        </w:rPr>
      </w:pPr>
    </w:p>
    <w:p w14:paraId="783FF444" w14:textId="77777777" w:rsidR="00C80137" w:rsidRPr="002909BF" w:rsidRDefault="00C80137" w:rsidP="003A7F6C">
      <w:pPr>
        <w:pStyle w:val="TableTitle"/>
        <w:sectPr w:rsidR="00C80137" w:rsidRPr="002909BF"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2909BF" w14:paraId="0ED4D41A" w14:textId="77777777" w:rsidTr="00A05FA4">
        <w:trPr>
          <w:trHeight w:hRule="exact" w:val="704"/>
        </w:trPr>
        <w:tc>
          <w:tcPr>
            <w:tcW w:w="9175" w:type="dxa"/>
          </w:tcPr>
          <w:p w14:paraId="488AC5D8" w14:textId="77777777" w:rsidR="001C32CD" w:rsidRPr="002909BF" w:rsidRDefault="001C32CD" w:rsidP="00A05FA4">
            <w:pPr>
              <w:pStyle w:val="TGASignoff"/>
            </w:pPr>
            <w:r w:rsidRPr="002909BF">
              <w:lastRenderedPageBreak/>
              <w:t>Therapeutic Goods Administration</w:t>
            </w:r>
          </w:p>
        </w:tc>
      </w:tr>
      <w:tr w:rsidR="001C32CD" w:rsidRPr="004C239D" w14:paraId="4CE49654" w14:textId="77777777" w:rsidTr="00A05FA4">
        <w:trPr>
          <w:trHeight w:val="1221"/>
        </w:trPr>
        <w:tc>
          <w:tcPr>
            <w:tcW w:w="9175" w:type="dxa"/>
            <w:tcMar>
              <w:top w:w="28" w:type="dxa"/>
            </w:tcMar>
          </w:tcPr>
          <w:p w14:paraId="15D99AC0" w14:textId="77777777" w:rsidR="001C32CD" w:rsidRPr="002909BF" w:rsidRDefault="001C32CD" w:rsidP="00A05FA4">
            <w:pPr>
              <w:pStyle w:val="Address"/>
            </w:pPr>
            <w:r w:rsidRPr="002909BF">
              <w:t>PO Box 100 Woden ACT 2606 Australia</w:t>
            </w:r>
          </w:p>
          <w:p w14:paraId="58127F28" w14:textId="5A0B87E1" w:rsidR="001C32CD" w:rsidRPr="002909BF" w:rsidRDefault="001C32CD" w:rsidP="00A05FA4">
            <w:pPr>
              <w:pStyle w:val="Address"/>
            </w:pPr>
            <w:r w:rsidRPr="002909BF">
              <w:t xml:space="preserve">Email: </w:t>
            </w:r>
            <w:hyperlink r:id="rId35" w:history="1">
              <w:r w:rsidRPr="002909BF">
                <w:rPr>
                  <w:rStyle w:val="Hyperlink"/>
                </w:rPr>
                <w:t>info@tga.gov.au</w:t>
              </w:r>
            </w:hyperlink>
            <w:r w:rsidRPr="002909BF">
              <w:t xml:space="preserve">  Phone: 1800 020 </w:t>
            </w:r>
            <w:proofErr w:type="gramStart"/>
            <w:r w:rsidRPr="002909BF">
              <w:t>653  Fax</w:t>
            </w:r>
            <w:proofErr w:type="gramEnd"/>
            <w:r w:rsidRPr="002909BF">
              <w:t>: 02 6232 8605</w:t>
            </w:r>
          </w:p>
          <w:p w14:paraId="58A4FF57" w14:textId="07689B28" w:rsidR="001C32CD" w:rsidRPr="004C239D" w:rsidRDefault="00410DA8" w:rsidP="00A05FA4">
            <w:pPr>
              <w:pStyle w:val="Address"/>
              <w:spacing w:line="260" w:lineRule="atLeast"/>
              <w:rPr>
                <w:b/>
                <w:color w:val="0000FF"/>
                <w:u w:val="single"/>
              </w:rPr>
            </w:pPr>
            <w:hyperlink r:id="rId36" w:history="1">
              <w:r w:rsidR="007C6B9B" w:rsidRPr="002909BF">
                <w:rPr>
                  <w:rStyle w:val="Hyperlink"/>
                  <w:b/>
                </w:rPr>
                <w:t>https://www.tga.gov.au</w:t>
              </w:r>
            </w:hyperlink>
          </w:p>
        </w:tc>
      </w:tr>
    </w:tbl>
    <w:p w14:paraId="7867F9AA" w14:textId="77777777" w:rsidR="00774E1D" w:rsidRPr="008A5E0B" w:rsidRDefault="00774E1D" w:rsidP="004C239D"/>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3AFBF" w14:textId="77777777" w:rsidR="00C444F3" w:rsidRDefault="00C444F3" w:rsidP="00C40A36">
      <w:pPr>
        <w:spacing w:after="0"/>
      </w:pPr>
      <w:r>
        <w:separator/>
      </w:r>
    </w:p>
  </w:endnote>
  <w:endnote w:type="continuationSeparator" w:id="0">
    <w:p w14:paraId="6D7F5812" w14:textId="77777777" w:rsidR="00C444F3" w:rsidRDefault="00C444F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3" w:usb1="08070000" w:usb2="00000010" w:usb3="00000000" w:csb0="00020001" w:csb1="00000000"/>
  </w:font>
  <w:font w:name="TimesNewRomanPSMT">
    <w:altName w:val="Klee One"/>
    <w:panose1 w:val="00000000000000000000"/>
    <w:charset w:val="80"/>
    <w:family w:val="auto"/>
    <w:notTrueType/>
    <w:pitch w:val="default"/>
    <w:sig w:usb0="00000003" w:usb1="080F0000" w:usb2="00000010" w:usb3="00000000" w:csb0="0012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63B8B" w:rsidRPr="00487162" w14:paraId="555099F7" w14:textId="77777777" w:rsidTr="00DB750B">
      <w:trPr>
        <w:trHeight w:val="269"/>
      </w:trPr>
      <w:tc>
        <w:tcPr>
          <w:tcW w:w="7371" w:type="dxa"/>
          <w:tcMar>
            <w:top w:w="142" w:type="dxa"/>
            <w:bottom w:w="0" w:type="dxa"/>
          </w:tcMar>
        </w:tcPr>
        <w:p w14:paraId="6DB10EA4" w14:textId="17AEB18A" w:rsidR="00363B8B" w:rsidRPr="00487162" w:rsidRDefault="00363B8B" w:rsidP="00460036">
          <w:pPr>
            <w:pStyle w:val="Footer"/>
          </w:pPr>
          <w:proofErr w:type="spellStart"/>
          <w:r w:rsidRPr="00487162">
            <w:t>AusPA</w:t>
          </w:r>
          <w:r>
            <w:t>R</w:t>
          </w:r>
          <w:proofErr w:type="spellEnd"/>
          <w:r>
            <w:t xml:space="preserve"> - </w:t>
          </w:r>
          <w:proofErr w:type="spellStart"/>
          <w:r w:rsidRPr="009F0559">
            <w:t>Verorab</w:t>
          </w:r>
          <w:proofErr w:type="spellEnd"/>
          <w:r w:rsidRPr="009F0559">
            <w:t xml:space="preserve"> </w:t>
          </w:r>
          <w:r>
            <w:t>-</w:t>
          </w:r>
          <w:r w:rsidRPr="00460036">
            <w:t xml:space="preserve"> </w:t>
          </w:r>
          <w:r w:rsidRPr="009F0559">
            <w:t>inactivated rabies virus</w:t>
          </w:r>
          <w:r w:rsidRPr="00460036">
            <w:t xml:space="preserve"> </w:t>
          </w:r>
          <w:r>
            <w:t xml:space="preserve">- </w:t>
          </w:r>
          <w:r w:rsidRPr="009F0559">
            <w:t xml:space="preserve">Sanofi-Aventis Australia Pty Ltd </w:t>
          </w:r>
          <w:r>
            <w:t xml:space="preserve">- </w:t>
          </w:r>
          <w:r w:rsidRPr="00E334F4">
            <w:t>PM-2021-03191-1-2</w:t>
          </w:r>
          <w:r>
            <w:br/>
          </w:r>
          <w:r w:rsidR="003577ED">
            <w:t>Final 27 April</w:t>
          </w:r>
          <w:r>
            <w:t xml:space="preserve"> 2023</w:t>
          </w:r>
        </w:p>
      </w:tc>
      <w:tc>
        <w:tcPr>
          <w:tcW w:w="1490" w:type="dxa"/>
          <w:tcMar>
            <w:top w:w="142" w:type="dxa"/>
            <w:bottom w:w="0" w:type="dxa"/>
          </w:tcMar>
        </w:tcPr>
        <w:p w14:paraId="3C8BABF5" w14:textId="7D67CEAF" w:rsidR="00363B8B" w:rsidRPr="00487162" w:rsidRDefault="00363B8B" w:rsidP="00DB750B">
          <w:pPr>
            <w:pStyle w:val="Footer"/>
            <w:jc w:val="right"/>
          </w:pPr>
          <w:r w:rsidRPr="00487162">
            <w:t xml:space="preserve">Page </w:t>
          </w:r>
          <w:r>
            <w:fldChar w:fldCharType="begin"/>
          </w:r>
          <w:r>
            <w:instrText xml:space="preserve"> PAGE  \* Arabic </w:instrText>
          </w:r>
          <w:r>
            <w:fldChar w:fldCharType="separate"/>
          </w:r>
          <w:r w:rsidR="004942CC">
            <w:rPr>
              <w:noProof/>
            </w:rPr>
            <w:t>25</w:t>
          </w:r>
          <w:r>
            <w:fldChar w:fldCharType="end"/>
          </w:r>
          <w:r w:rsidRPr="00487162">
            <w:t xml:space="preserve"> of </w:t>
          </w:r>
          <w:fldSimple w:instr=" NUMPAGES  \* Arabic ">
            <w:r w:rsidR="004942CC">
              <w:rPr>
                <w:noProof/>
              </w:rPr>
              <w:t>41</w:t>
            </w:r>
          </w:fldSimple>
        </w:p>
      </w:tc>
    </w:tr>
  </w:tbl>
  <w:p w14:paraId="102F68E8" w14:textId="77777777" w:rsidR="00363B8B" w:rsidRDefault="00363B8B"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63B8B" w:rsidRPr="00487162" w14:paraId="0E0C6D69" w14:textId="77777777" w:rsidTr="00E45619">
      <w:trPr>
        <w:trHeight w:val="269"/>
      </w:trPr>
      <w:tc>
        <w:tcPr>
          <w:tcW w:w="4519" w:type="dxa"/>
          <w:tcBorders>
            <w:top w:val="single" w:sz="4" w:space="0" w:color="auto"/>
          </w:tcBorders>
          <w:tcMar>
            <w:top w:w="142" w:type="dxa"/>
            <w:bottom w:w="0" w:type="dxa"/>
          </w:tcMar>
        </w:tcPr>
        <w:p w14:paraId="06E4A023" w14:textId="77777777" w:rsidR="00363B8B" w:rsidRPr="00487162" w:rsidRDefault="00363B8B" w:rsidP="00FE1DEE">
          <w:pPr>
            <w:pStyle w:val="Footer"/>
          </w:pPr>
          <w:r w:rsidRPr="00487162">
            <w:t>Document title, Part #, Section # - Section title</w:t>
          </w:r>
        </w:p>
        <w:p w14:paraId="0BE01019" w14:textId="77777777" w:rsidR="00363B8B" w:rsidRPr="00487162" w:rsidRDefault="00363B8B" w:rsidP="00FE1DEE">
          <w:pPr>
            <w:pStyle w:val="Footer"/>
          </w:pPr>
          <w:r w:rsidRPr="00487162">
            <w:t>V1.0 October 2010</w:t>
          </w:r>
        </w:p>
      </w:tc>
      <w:tc>
        <w:tcPr>
          <w:tcW w:w="4342" w:type="dxa"/>
          <w:tcBorders>
            <w:top w:val="single" w:sz="4" w:space="0" w:color="auto"/>
          </w:tcBorders>
          <w:tcMar>
            <w:top w:w="142" w:type="dxa"/>
            <w:bottom w:w="0" w:type="dxa"/>
          </w:tcMar>
        </w:tcPr>
        <w:p w14:paraId="2DD63718" w14:textId="77777777" w:rsidR="00363B8B" w:rsidRPr="00487162" w:rsidRDefault="00363B8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0DCE18E2" w14:textId="77777777" w:rsidR="00363B8B" w:rsidRDefault="00363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F14A" w14:textId="77777777" w:rsidR="00363B8B" w:rsidRPr="001C32CD" w:rsidRDefault="00363B8B"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63B8B" w14:paraId="78527175" w14:textId="77777777" w:rsidTr="0010601F">
      <w:trPr>
        <w:trHeight w:val="108"/>
      </w:trPr>
      <w:tc>
        <w:tcPr>
          <w:tcW w:w="8875" w:type="dxa"/>
          <w:gridSpan w:val="2"/>
          <w:tcBorders>
            <w:bottom w:val="single" w:sz="4" w:space="0" w:color="auto"/>
          </w:tcBorders>
          <w:tcMar>
            <w:right w:w="284" w:type="dxa"/>
          </w:tcMar>
        </w:tcPr>
        <w:p w14:paraId="6A4CD745" w14:textId="77777777" w:rsidR="00363B8B" w:rsidRDefault="00363B8B" w:rsidP="006E08B3">
          <w:pPr>
            <w:pStyle w:val="Heading3"/>
          </w:pPr>
          <w:r>
            <w:t>Copyright</w:t>
          </w:r>
        </w:p>
        <w:p w14:paraId="20EB6250" w14:textId="77777777" w:rsidR="00363B8B" w:rsidRDefault="00363B8B" w:rsidP="006E08B3">
          <w:r>
            <w:rPr>
              <w:rFonts w:cs="Arial"/>
            </w:rPr>
            <w:t>©</w:t>
          </w:r>
          <w:r>
            <w:t xml:space="preserve"> Commonwealth of Australia [add year]</w:t>
          </w:r>
        </w:p>
        <w:p w14:paraId="01274E4A" w14:textId="77777777" w:rsidR="00363B8B" w:rsidRDefault="00363B8B" w:rsidP="006E08B3"/>
        <w:p w14:paraId="5BF31B56" w14:textId="77777777" w:rsidR="00363B8B" w:rsidRDefault="00363B8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186CA3C3" w14:textId="77777777" w:rsidR="00363B8B" w:rsidRDefault="00363B8B" w:rsidP="006E08B3"/>
        <w:p w14:paraId="1AD335E7" w14:textId="77777777" w:rsidR="00363B8B" w:rsidRDefault="00363B8B" w:rsidP="006E08B3">
          <w:pPr>
            <w:pStyle w:val="Heading3"/>
          </w:pPr>
          <w:r>
            <w:t>Confidentiality</w:t>
          </w:r>
        </w:p>
        <w:p w14:paraId="33C78C07" w14:textId="77777777" w:rsidR="00363B8B" w:rsidRDefault="00363B8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953A95C" w14:textId="77777777" w:rsidR="00363B8B" w:rsidRDefault="00363B8B" w:rsidP="006E08B3"/>
        <w:p w14:paraId="6994E677" w14:textId="77777777" w:rsidR="00363B8B" w:rsidRDefault="00363B8B" w:rsidP="006E08B3">
          <w:r>
            <w:t>For submission made by individuals, all personal details, other than your name, will be removed from your submission before it is published on the TGA’s Internet site.</w:t>
          </w:r>
        </w:p>
        <w:p w14:paraId="105A5E57" w14:textId="77777777" w:rsidR="00363B8B" w:rsidRDefault="00363B8B" w:rsidP="006E08B3"/>
        <w:p w14:paraId="75E1F3CA" w14:textId="77777777" w:rsidR="00363B8B" w:rsidRDefault="00363B8B" w:rsidP="006E08B3">
          <w:r>
            <w:t>In addition, a list of parties making submissions will be published. If you do not wish to be identified with your submission you must specifically request this in the space provided in the submission coversheet.</w:t>
          </w:r>
        </w:p>
      </w:tc>
    </w:tr>
    <w:tr w:rsidR="00363B8B" w14:paraId="122B9DAE" w14:textId="77777777" w:rsidTr="0010601F">
      <w:trPr>
        <w:trHeight w:val="417"/>
      </w:trPr>
      <w:tc>
        <w:tcPr>
          <w:tcW w:w="4519" w:type="dxa"/>
          <w:tcBorders>
            <w:top w:val="single" w:sz="4" w:space="0" w:color="auto"/>
          </w:tcBorders>
          <w:tcMar>
            <w:top w:w="142" w:type="dxa"/>
            <w:bottom w:w="0" w:type="dxa"/>
          </w:tcMar>
        </w:tcPr>
        <w:p w14:paraId="0DD7970F" w14:textId="77777777" w:rsidR="00363B8B" w:rsidRDefault="00363B8B" w:rsidP="006E08B3">
          <w:r>
            <w:t>Document title, Part #, Section # - Section title</w:t>
          </w:r>
        </w:p>
        <w:p w14:paraId="22CAD02D" w14:textId="77777777" w:rsidR="00363B8B" w:rsidRDefault="00363B8B" w:rsidP="006E08B3">
          <w:r>
            <w:t>V1.0 October 2010</w:t>
          </w:r>
        </w:p>
      </w:tc>
      <w:tc>
        <w:tcPr>
          <w:tcW w:w="4356" w:type="dxa"/>
          <w:tcBorders>
            <w:top w:val="single" w:sz="4" w:space="0" w:color="auto"/>
          </w:tcBorders>
          <w:tcMar>
            <w:top w:w="142" w:type="dxa"/>
            <w:bottom w:w="0" w:type="dxa"/>
          </w:tcMar>
        </w:tcPr>
        <w:p w14:paraId="59A10AE3" w14:textId="77777777" w:rsidR="00363B8B" w:rsidRDefault="00363B8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2E4CCF50" w14:textId="77777777" w:rsidR="00363B8B" w:rsidRDefault="00363B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F820C" w14:textId="77777777" w:rsidR="00C444F3" w:rsidRDefault="00C444F3" w:rsidP="00C40A36">
      <w:pPr>
        <w:spacing w:after="0"/>
      </w:pPr>
      <w:r>
        <w:separator/>
      </w:r>
    </w:p>
  </w:footnote>
  <w:footnote w:type="continuationSeparator" w:id="0">
    <w:p w14:paraId="628FEF16" w14:textId="77777777" w:rsidR="00C444F3" w:rsidRDefault="00C444F3" w:rsidP="00C40A36">
      <w:pPr>
        <w:spacing w:after="0"/>
      </w:pPr>
      <w:r>
        <w:continuationSeparator/>
      </w:r>
    </w:p>
  </w:footnote>
  <w:footnote w:id="1">
    <w:p w14:paraId="74A97C5E" w14:textId="77777777" w:rsidR="00F03DBF" w:rsidRDefault="00363B8B" w:rsidP="00F03DBF">
      <w:pPr>
        <w:pStyle w:val="FootnoteText"/>
      </w:pPr>
      <w:r>
        <w:rPr>
          <w:rStyle w:val="FootnoteReference"/>
        </w:rPr>
        <w:footnoteRef/>
      </w:r>
      <w:r>
        <w:t xml:space="preserve"> International Committee on Taxonomy of Viruses</w:t>
      </w:r>
      <w:r w:rsidR="00F03DBF">
        <w:t xml:space="preserve"> (ACTV) (2019)</w:t>
      </w:r>
      <w:r>
        <w:t xml:space="preserve">, </w:t>
      </w:r>
      <w:r w:rsidR="00F03DBF">
        <w:t>Subfamily: Alpharhabdovirinae</w:t>
      </w:r>
    </w:p>
    <w:p w14:paraId="57BDCFC5" w14:textId="22ADE5F7" w:rsidR="00363B8B" w:rsidRPr="00F03DBF" w:rsidRDefault="00F03DBF">
      <w:pPr>
        <w:pStyle w:val="FootnoteText"/>
        <w:rPr>
          <w:lang w:val="en-GB"/>
        </w:rPr>
      </w:pPr>
      <w:r>
        <w:t>Genus: Lyssavirus</w:t>
      </w:r>
      <w:r w:rsidR="00363B8B">
        <w:t>.</w:t>
      </w:r>
      <w:r>
        <w:t xml:space="preserve"> </w:t>
      </w:r>
      <w:r w:rsidR="00363B8B">
        <w:t xml:space="preserve">Available at: </w:t>
      </w:r>
      <w:hyperlink r:id="rId1" w:history="1">
        <w:r w:rsidR="00363B8B" w:rsidRPr="00FF52A5">
          <w:rPr>
            <w:rStyle w:val="Hyperlink"/>
          </w:rPr>
          <w:t>https://ictv.global/report/chapter/rhabdoviridae/rhabdoviridae/lyssavirus</w:t>
        </w:r>
      </w:hyperlink>
      <w:r>
        <w:t>.</w:t>
      </w:r>
    </w:p>
  </w:footnote>
  <w:footnote w:id="2">
    <w:p w14:paraId="3E26D2F1" w14:textId="03A69ED3" w:rsidR="008854A4" w:rsidRPr="00F03DBF" w:rsidRDefault="008854A4">
      <w:pPr>
        <w:pStyle w:val="FootnoteText"/>
        <w:rPr>
          <w:lang w:val="en-GB"/>
        </w:rPr>
      </w:pPr>
      <w:r>
        <w:rPr>
          <w:rStyle w:val="FootnoteReference"/>
        </w:rPr>
        <w:footnoteRef/>
      </w:r>
      <w:r>
        <w:t xml:space="preserve"> </w:t>
      </w:r>
      <w:r w:rsidR="00F03DBF">
        <w:t xml:space="preserve">Department of Health and Aged Care (2022) </w:t>
      </w:r>
      <w:r w:rsidR="00F03DBF" w:rsidRPr="00F03DBF">
        <w:t xml:space="preserve">Rabies and Other Lyssavirus </w:t>
      </w:r>
      <w:r w:rsidR="00F03DBF">
        <w:t>-</w:t>
      </w:r>
      <w:r w:rsidR="00F03DBF" w:rsidRPr="00F03DBF">
        <w:t xml:space="preserve"> CDNA National Guidelines for Public Health Units</w:t>
      </w:r>
      <w:r w:rsidR="00F03DBF">
        <w:t xml:space="preserve">, </w:t>
      </w:r>
      <w:r>
        <w:t xml:space="preserve">version 4.0. Communicable Diseases Network Australia. Available at: </w:t>
      </w:r>
      <w:hyperlink r:id="rId2" w:history="1">
        <w:r w:rsidRPr="00FF52A5">
          <w:rPr>
            <w:rStyle w:val="Hyperlink"/>
          </w:rPr>
          <w:t>https://www.health.gov.au/resources/publications/rabies-and-other-lyssavirus-cdna-national-guidelines-for-public-health-units</w:t>
        </w:r>
      </w:hyperlink>
      <w:r w:rsidR="00F03DBF">
        <w:t>.</w:t>
      </w:r>
    </w:p>
  </w:footnote>
  <w:footnote w:id="3">
    <w:p w14:paraId="117D55BA" w14:textId="765B0A19" w:rsidR="008854A4" w:rsidRPr="003C20EC" w:rsidRDefault="008854A4" w:rsidP="008854A4">
      <w:pPr>
        <w:pStyle w:val="FootnoteText"/>
        <w:rPr>
          <w:lang w:val="en-GB"/>
        </w:rPr>
      </w:pPr>
      <w:r>
        <w:rPr>
          <w:rStyle w:val="FootnoteReference"/>
        </w:rPr>
        <w:footnoteRef/>
      </w:r>
      <w:r>
        <w:t xml:space="preserve"> </w:t>
      </w:r>
      <w:r w:rsidR="00F03DBF" w:rsidRPr="002A12E7">
        <w:t xml:space="preserve">Australian Government Department of Health and </w:t>
      </w:r>
      <w:r w:rsidR="00F03DBF">
        <w:t>Aged Care,</w:t>
      </w:r>
      <w:r w:rsidR="00F03DBF" w:rsidRPr="002A12E7">
        <w:t xml:space="preserve"> </w:t>
      </w:r>
      <w:r w:rsidRPr="002A12E7">
        <w:t>Australian Technical Advisory Group on Immunisation (ATAGI)</w:t>
      </w:r>
      <w:r w:rsidR="00F03DBF">
        <w:t xml:space="preserve"> (2022)</w:t>
      </w:r>
      <w:r w:rsidRPr="002A12E7">
        <w:t xml:space="preserve"> </w:t>
      </w:r>
      <w:r>
        <w:t xml:space="preserve">Rabies and </w:t>
      </w:r>
      <w:r w:rsidR="00F03DBF">
        <w:t>Other Lyssaviruses: Clinical Features,</w:t>
      </w:r>
      <w:r>
        <w:t xml:space="preserve"> </w:t>
      </w:r>
      <w:r w:rsidRPr="002A12E7">
        <w:t>Australian Immunisation Handbook</w:t>
      </w:r>
      <w:r w:rsidR="00F03DBF">
        <w:t xml:space="preserve">. </w:t>
      </w:r>
      <w:r>
        <w:t>Available at:</w:t>
      </w:r>
      <w:r w:rsidRPr="002A12E7">
        <w:t xml:space="preserve"> </w:t>
      </w:r>
      <w:hyperlink r:id="rId3" w:anchor="clinical-features" w:history="1">
        <w:r w:rsidRPr="000761CE">
          <w:rPr>
            <w:rStyle w:val="Hyperlink"/>
          </w:rPr>
          <w:t>https://immunisationhandbook.health.gov.au/contents/vaccine-preventable-diseases/rabies-and-other-lyssaviruses#clinical-features</w:t>
        </w:r>
      </w:hyperlink>
      <w:r w:rsidR="00F03DBF">
        <w:t>.</w:t>
      </w:r>
    </w:p>
  </w:footnote>
  <w:footnote w:id="4">
    <w:p w14:paraId="16C3E81A" w14:textId="197DAD02" w:rsidR="00AB386E" w:rsidRPr="00D159D0" w:rsidRDefault="00AB386E" w:rsidP="00AB386E">
      <w:pPr>
        <w:pStyle w:val="FootnoteText"/>
      </w:pPr>
      <w:r>
        <w:rPr>
          <w:rStyle w:val="FootnoteReference"/>
        </w:rPr>
        <w:footnoteRef/>
      </w:r>
      <w:r>
        <w:t xml:space="preserve"> </w:t>
      </w:r>
      <w:r w:rsidRPr="009722DC">
        <w:t>World Health Organisation (WHO)</w:t>
      </w:r>
      <w:r>
        <w:t xml:space="preserve"> (2019</w:t>
      </w:r>
      <w:r w:rsidR="00F03DBF">
        <w:t>)</w:t>
      </w:r>
      <w:r w:rsidRPr="009722DC">
        <w:t xml:space="preserve"> Fact Sheets </w:t>
      </w:r>
      <w:r>
        <w:t>-</w:t>
      </w:r>
      <w:r w:rsidRPr="009722DC">
        <w:t xml:space="preserve"> Rabies. Available </w:t>
      </w:r>
      <w:r w:rsidR="00F03DBF">
        <w:t>at</w:t>
      </w:r>
      <w:r w:rsidRPr="009722DC">
        <w:t xml:space="preserve">: </w:t>
      </w:r>
      <w:hyperlink r:id="rId4" w:history="1">
        <w:r w:rsidRPr="001B60F9">
          <w:rPr>
            <w:rStyle w:val="Hyperlink"/>
          </w:rPr>
          <w:t>https://www.who.int/news-room/fact-sheets/detail/rabies</w:t>
        </w:r>
      </w:hyperlink>
      <w:r>
        <w:t xml:space="preserve"> (</w:t>
      </w:r>
      <w:r w:rsidRPr="004B3708">
        <w:t xml:space="preserve">accessed </w:t>
      </w:r>
      <w:r>
        <w:t xml:space="preserve">on 1 September </w:t>
      </w:r>
      <w:r w:rsidRPr="004B3708">
        <w:t>2020).</w:t>
      </w:r>
    </w:p>
  </w:footnote>
  <w:footnote w:id="5">
    <w:p w14:paraId="15C8AA22" w14:textId="24323B57" w:rsidR="00474E2C" w:rsidRDefault="00474E2C" w:rsidP="00474E2C">
      <w:pPr>
        <w:pStyle w:val="FootnoteText"/>
      </w:pPr>
      <w:r>
        <w:rPr>
          <w:rStyle w:val="FootnoteReference"/>
        </w:rPr>
        <w:footnoteRef/>
      </w:r>
      <w:r>
        <w:t xml:space="preserve"> New South Wales </w:t>
      </w:r>
      <w:r w:rsidRPr="009722DC">
        <w:t>Health</w:t>
      </w:r>
      <w:r>
        <w:t xml:space="preserve">, New South Wales </w:t>
      </w:r>
      <w:r w:rsidRPr="009722DC">
        <w:t>Government</w:t>
      </w:r>
      <w:r>
        <w:t xml:space="preserve"> (2019)</w:t>
      </w:r>
      <w:r w:rsidRPr="009722DC">
        <w:t xml:space="preserve"> </w:t>
      </w:r>
      <w:r w:rsidR="00F03DBF" w:rsidRPr="00F03DBF">
        <w:t>Rabies and Other Lyssavirus Infections (Including Australian Bat Lyssavirus) Control Guidelines</w:t>
      </w:r>
      <w:r>
        <w:t xml:space="preserve">. Available at: </w:t>
      </w:r>
      <w:hyperlink r:id="rId5" w:history="1">
        <w:r w:rsidRPr="001B60F9">
          <w:rPr>
            <w:rStyle w:val="Hyperlink"/>
          </w:rPr>
          <w:t>https://www.health.nsw.gov.au/Infectious/controlguideline/Pages/rabies.aspx</w:t>
        </w:r>
      </w:hyperlink>
      <w:r>
        <w:t xml:space="preserve"> </w:t>
      </w:r>
      <w:r w:rsidRPr="009722DC">
        <w:t xml:space="preserve">(accessed </w:t>
      </w:r>
      <w:r>
        <w:t>on 1 September</w:t>
      </w:r>
      <w:r w:rsidR="00F03DBF">
        <w:t> </w:t>
      </w:r>
      <w:r w:rsidRPr="009722DC">
        <w:t>2020).</w:t>
      </w:r>
    </w:p>
  </w:footnote>
  <w:footnote w:id="6">
    <w:p w14:paraId="32E14238" w14:textId="15D12965" w:rsidR="00370310" w:rsidRDefault="00370310" w:rsidP="00370310">
      <w:pPr>
        <w:pStyle w:val="FootnoteText"/>
      </w:pPr>
      <w:r>
        <w:rPr>
          <w:rStyle w:val="FootnoteReference"/>
        </w:rPr>
        <w:footnoteRef/>
      </w:r>
      <w:r>
        <w:t xml:space="preserve"> </w:t>
      </w:r>
      <w:r w:rsidRPr="009722DC">
        <w:t>World Health Organi</w:t>
      </w:r>
      <w:r>
        <w:t>z</w:t>
      </w:r>
      <w:r w:rsidRPr="009722DC">
        <w:t>ation</w:t>
      </w:r>
      <w:r w:rsidR="00F03DBF">
        <w:t xml:space="preserve"> (WHO)</w:t>
      </w:r>
      <w:r w:rsidRPr="009722DC">
        <w:t xml:space="preserve"> (</w:t>
      </w:r>
      <w:r>
        <w:t>2018)</w:t>
      </w:r>
      <w:r w:rsidRPr="009722DC">
        <w:t xml:space="preserve"> WHO Expert Consultation on Rabies</w:t>
      </w:r>
      <w:r w:rsidR="00F03DBF">
        <w:t>,</w:t>
      </w:r>
      <w:r w:rsidRPr="009722DC">
        <w:t xml:space="preserve"> WHO Technical Report Series</w:t>
      </w:r>
      <w:r>
        <w:t xml:space="preserve">, </w:t>
      </w:r>
      <w:r w:rsidRPr="00D43023">
        <w:t>third report</w:t>
      </w:r>
      <w:r>
        <w:t xml:space="preserve">. </w:t>
      </w:r>
      <w:r w:rsidRPr="009722DC">
        <w:t xml:space="preserve">Available </w:t>
      </w:r>
      <w:r>
        <w:t>at</w:t>
      </w:r>
      <w:r w:rsidRPr="009722DC">
        <w:t xml:space="preserve">: </w:t>
      </w:r>
      <w:hyperlink r:id="rId6" w:history="1">
        <w:r w:rsidRPr="001B60F9">
          <w:rPr>
            <w:rStyle w:val="Hyperlink"/>
          </w:rPr>
          <w:t>https://apps.who.int/iris/bitstream/handle/10665/272364/9789241210218-eng.pdf</w:t>
        </w:r>
      </w:hyperlink>
      <w:r>
        <w:t xml:space="preserve"> </w:t>
      </w:r>
      <w:r w:rsidRPr="009722DC">
        <w:t xml:space="preserve">(accessed </w:t>
      </w:r>
      <w:r>
        <w:t xml:space="preserve">on 1 September </w:t>
      </w:r>
      <w:r w:rsidRPr="009722DC">
        <w:t>2020)</w:t>
      </w:r>
      <w:r>
        <w:t>.</w:t>
      </w:r>
    </w:p>
  </w:footnote>
  <w:footnote w:id="7">
    <w:p w14:paraId="78B3B6C1" w14:textId="77777777" w:rsidR="0008332E" w:rsidRDefault="0008332E" w:rsidP="0008332E">
      <w:pPr>
        <w:pStyle w:val="FootnoteText"/>
      </w:pPr>
      <w:r>
        <w:rPr>
          <w:rStyle w:val="FootnoteReference"/>
        </w:rPr>
        <w:footnoteRef/>
      </w:r>
      <w:r>
        <w:t xml:space="preserve"> Business Queensland, Queensland Government (2019) Australian Bat Lyssavirus. Available at: </w:t>
      </w:r>
      <w:hyperlink r:id="rId7" w:history="1">
        <w:r w:rsidRPr="001B60F9">
          <w:rPr>
            <w:rStyle w:val="Hyperlink"/>
          </w:rPr>
          <w:t>https://www.business.qld.gov.au/industries/farms-fishingforestry/agriculture/livestock/animal-welfare/pests-diseases-disorders/australian-batlyssavirus</w:t>
        </w:r>
      </w:hyperlink>
      <w:r>
        <w:t xml:space="preserve"> (</w:t>
      </w:r>
      <w:r w:rsidRPr="004B3708">
        <w:t xml:space="preserve">accessed </w:t>
      </w:r>
      <w:r>
        <w:t xml:space="preserve">on 1 September </w:t>
      </w:r>
      <w:r w:rsidRPr="004B3708">
        <w:t>2020).</w:t>
      </w:r>
    </w:p>
  </w:footnote>
  <w:footnote w:id="8">
    <w:p w14:paraId="0A312513" w14:textId="5488789D" w:rsidR="00EE5285" w:rsidRPr="00474E2C" w:rsidRDefault="00EE5285" w:rsidP="00F03DBF">
      <w:pPr>
        <w:pStyle w:val="FootnoteText"/>
      </w:pPr>
      <w:r>
        <w:rPr>
          <w:rStyle w:val="FootnoteReference"/>
        </w:rPr>
        <w:footnoteRef/>
      </w:r>
      <w:r>
        <w:t xml:space="preserve"> </w:t>
      </w:r>
      <w:r w:rsidR="00474E2C">
        <w:t xml:space="preserve">Hanna, J.N. et al. Australian </w:t>
      </w:r>
      <w:r w:rsidR="00F03DBF">
        <w:t>Bat Lyssavirus Infection: a Second Human Case with a Long Incubation Period,</w:t>
      </w:r>
      <w:r w:rsidR="00474E2C">
        <w:t xml:space="preserve"> </w:t>
      </w:r>
      <w:r w:rsidR="00F03DBF" w:rsidRPr="00F03DBF">
        <w:rPr>
          <w:i/>
          <w:iCs/>
        </w:rPr>
        <w:t>Med J Aust</w:t>
      </w:r>
      <w:r w:rsidR="00F03DBF" w:rsidRPr="00F03DBF">
        <w:t>, 2000; 172(12): 597-599.</w:t>
      </w:r>
    </w:p>
  </w:footnote>
  <w:footnote w:id="9">
    <w:p w14:paraId="115C3A13" w14:textId="1221A04A" w:rsidR="00474E2C" w:rsidRPr="00474E2C" w:rsidRDefault="00474E2C">
      <w:pPr>
        <w:pStyle w:val="FootnoteText"/>
      </w:pPr>
      <w:r>
        <w:rPr>
          <w:rStyle w:val="FootnoteReference"/>
        </w:rPr>
        <w:footnoteRef/>
      </w:r>
      <w:r>
        <w:t xml:space="preserve"> Francis, J.R. et al. Australian </w:t>
      </w:r>
      <w:r w:rsidR="00F03DBF">
        <w:t>Bat Lyssavirus in a Child: the First Reported Case,</w:t>
      </w:r>
      <w:r>
        <w:t xml:space="preserve"> </w:t>
      </w:r>
      <w:r w:rsidRPr="00F03DBF">
        <w:rPr>
          <w:i/>
        </w:rPr>
        <w:t>Pediatrics</w:t>
      </w:r>
      <w:r w:rsidR="00F03DBF">
        <w:rPr>
          <w:i/>
        </w:rPr>
        <w:t>,</w:t>
      </w:r>
      <w:r>
        <w:t xml:space="preserve"> 2014</w:t>
      </w:r>
      <w:r w:rsidR="00F03DBF">
        <w:t>;</w:t>
      </w:r>
      <w:r>
        <w:t xml:space="preserve"> 133(4): e1063-7.</w:t>
      </w:r>
    </w:p>
  </w:footnote>
  <w:footnote w:id="10">
    <w:p w14:paraId="44F7BEA2" w14:textId="03942544" w:rsidR="00474E2C" w:rsidRPr="00F03DBF" w:rsidRDefault="00474E2C">
      <w:pPr>
        <w:pStyle w:val="FootnoteText"/>
      </w:pPr>
      <w:r>
        <w:rPr>
          <w:rStyle w:val="FootnoteReference"/>
        </w:rPr>
        <w:footnoteRef/>
      </w:r>
      <w:r>
        <w:t xml:space="preserve"> Samaratunga, H. </w:t>
      </w:r>
      <w:r w:rsidR="001A0678">
        <w:t>et al.</w:t>
      </w:r>
      <w:r>
        <w:t xml:space="preserve"> Non</w:t>
      </w:r>
      <w:r w:rsidR="00F03DBF">
        <w:t xml:space="preserve">-Rabies </w:t>
      </w:r>
      <w:r>
        <w:t xml:space="preserve">Lyssavirus </w:t>
      </w:r>
      <w:r w:rsidR="00F03DBF">
        <w:t xml:space="preserve">Human Encephalitis from Fruit Bats: </w:t>
      </w:r>
      <w:r>
        <w:t xml:space="preserve">Australian </w:t>
      </w:r>
      <w:r w:rsidR="00F03DBF">
        <w:t xml:space="preserve">Bat </w:t>
      </w:r>
      <w:r>
        <w:t xml:space="preserve">Lyssavirus </w:t>
      </w:r>
      <w:r w:rsidR="00F03DBF">
        <w:t xml:space="preserve">(Pteropid </w:t>
      </w:r>
      <w:r>
        <w:t>Lyssaviurs</w:t>
      </w:r>
      <w:r w:rsidR="00F03DBF">
        <w:t>) Infection,</w:t>
      </w:r>
      <w:r>
        <w:t xml:space="preserve"> </w:t>
      </w:r>
      <w:r w:rsidR="00F03DBF" w:rsidRPr="00F03DBF">
        <w:rPr>
          <w:i/>
          <w:iCs/>
        </w:rPr>
        <w:t>Neuropathol Appl Neurobiol</w:t>
      </w:r>
      <w:r w:rsidR="00F03DBF">
        <w:rPr>
          <w:i/>
          <w:iCs/>
        </w:rPr>
        <w:t xml:space="preserve">, </w:t>
      </w:r>
      <w:r w:rsidR="00F03DBF">
        <w:t>1998; 24(4): 331-335.</w:t>
      </w:r>
    </w:p>
  </w:footnote>
  <w:footnote w:id="11">
    <w:p w14:paraId="0746D1D8" w14:textId="2A87915F" w:rsidR="00363B8B" w:rsidRDefault="00363B8B">
      <w:pPr>
        <w:pStyle w:val="FootnoteText"/>
      </w:pPr>
      <w:r>
        <w:rPr>
          <w:rStyle w:val="FootnoteReference"/>
        </w:rPr>
        <w:footnoteRef/>
      </w:r>
      <w:r>
        <w:t xml:space="preserve"> </w:t>
      </w:r>
      <w:r w:rsidRPr="009722DC">
        <w:t>Rupprecht</w:t>
      </w:r>
      <w:r>
        <w:t>,</w:t>
      </w:r>
      <w:r w:rsidRPr="009722DC">
        <w:t xml:space="preserve"> C</w:t>
      </w:r>
      <w:r>
        <w:t>.</w:t>
      </w:r>
      <w:r w:rsidRPr="009722DC">
        <w:t xml:space="preserve"> et al.</w:t>
      </w:r>
      <w:r>
        <w:t xml:space="preserve">, </w:t>
      </w:r>
      <w:r w:rsidRPr="009722DC">
        <w:t>Centres for Disease Control and Prevention (CDC)</w:t>
      </w:r>
      <w:r>
        <w:t xml:space="preserve"> </w:t>
      </w:r>
      <w:r w:rsidRPr="009722DC">
        <w:t xml:space="preserve">Use </w:t>
      </w:r>
      <w:r>
        <w:t>o</w:t>
      </w:r>
      <w:r w:rsidRPr="009722DC">
        <w:t xml:space="preserve">f </w:t>
      </w:r>
      <w:r>
        <w:t>a</w:t>
      </w:r>
      <w:r w:rsidRPr="009722DC">
        <w:t xml:space="preserve"> Reduced (4-Dose) Vaccine Schedule </w:t>
      </w:r>
      <w:r>
        <w:t>f</w:t>
      </w:r>
      <w:r w:rsidRPr="009722DC">
        <w:t xml:space="preserve">or Postexposure Prophylaxis </w:t>
      </w:r>
      <w:r>
        <w:t>t</w:t>
      </w:r>
      <w:r w:rsidRPr="009722DC">
        <w:t xml:space="preserve">o Prevent Human Rabies: Recommendations </w:t>
      </w:r>
      <w:r>
        <w:t>o</w:t>
      </w:r>
      <w:r w:rsidRPr="009722DC">
        <w:t xml:space="preserve">f </w:t>
      </w:r>
      <w:r>
        <w:t>t</w:t>
      </w:r>
      <w:r w:rsidRPr="009722DC">
        <w:t>he Advisory Committee On Immunization Practices</w:t>
      </w:r>
      <w:r>
        <w:t xml:space="preserve">, </w:t>
      </w:r>
      <w:r w:rsidRPr="00D43023">
        <w:rPr>
          <w:i/>
          <w:iCs/>
        </w:rPr>
        <w:t>MMWR</w:t>
      </w:r>
      <w:r>
        <w:t>,</w:t>
      </w:r>
      <w:r w:rsidRPr="00D43023">
        <w:t xml:space="preserve"> 2010</w:t>
      </w:r>
      <w:r>
        <w:t xml:space="preserve">; </w:t>
      </w:r>
      <w:r w:rsidRPr="00D43023">
        <w:t>59(RR02)</w:t>
      </w:r>
      <w:r>
        <w:t>:</w:t>
      </w:r>
      <w:r w:rsidRPr="00D43023">
        <w:t>1-9</w:t>
      </w:r>
      <w:r>
        <w:t>.</w:t>
      </w:r>
    </w:p>
  </w:footnote>
  <w:footnote w:id="12">
    <w:p w14:paraId="3892549B" w14:textId="12BF3831" w:rsidR="00363B8B" w:rsidRDefault="00363B8B">
      <w:pPr>
        <w:pStyle w:val="FootnoteText"/>
      </w:pPr>
      <w:r>
        <w:rPr>
          <w:rStyle w:val="FootnoteReference"/>
        </w:rPr>
        <w:footnoteRef/>
      </w:r>
      <w:r>
        <w:t xml:space="preserve"> </w:t>
      </w:r>
      <w:r w:rsidRPr="009722DC">
        <w:t>World Health Organisation (WHO)</w:t>
      </w:r>
      <w:r>
        <w:t xml:space="preserve"> (2019)</w:t>
      </w:r>
      <w:r w:rsidRPr="009722DC">
        <w:t xml:space="preserve">. WHO Fact Sheets </w:t>
      </w:r>
      <w:r>
        <w:t>-</w:t>
      </w:r>
      <w:r w:rsidRPr="009722DC">
        <w:t xml:space="preserve"> Rabies. Available from: </w:t>
      </w:r>
      <w:hyperlink r:id="rId8" w:history="1">
        <w:r w:rsidRPr="001B60F9">
          <w:rPr>
            <w:rStyle w:val="Hyperlink"/>
          </w:rPr>
          <w:t>https://www.who.int/news-room/fact-sheets/detail/rabies</w:t>
        </w:r>
      </w:hyperlink>
      <w:r>
        <w:t xml:space="preserve"> (</w:t>
      </w:r>
      <w:r w:rsidRPr="004B3708">
        <w:t xml:space="preserve">accessed </w:t>
      </w:r>
      <w:r>
        <w:t xml:space="preserve">on 1 September </w:t>
      </w:r>
      <w:r w:rsidRPr="004B3708">
        <w:t>2020).</w:t>
      </w:r>
    </w:p>
  </w:footnote>
  <w:footnote w:id="13">
    <w:p w14:paraId="0784DF00" w14:textId="535A5A54" w:rsidR="00363B8B" w:rsidRDefault="00363B8B" w:rsidP="009722DC">
      <w:pPr>
        <w:pStyle w:val="FootnoteText"/>
      </w:pPr>
      <w:r>
        <w:rPr>
          <w:rStyle w:val="FootnoteReference"/>
        </w:rPr>
        <w:footnoteRef/>
      </w:r>
      <w:r>
        <w:t xml:space="preserve"> Merritt, T. et al. Australian Bat Lyssavirus, </w:t>
      </w:r>
      <w:r w:rsidRPr="00BB6B61">
        <w:rPr>
          <w:i/>
          <w:iCs/>
        </w:rPr>
        <w:t>Aust J Gen Pract</w:t>
      </w:r>
      <w:r>
        <w:t>, 2018; 47(3): 93-96.</w:t>
      </w:r>
    </w:p>
  </w:footnote>
  <w:footnote w:id="14">
    <w:p w14:paraId="34184C66" w14:textId="2A45F6B9" w:rsidR="00363B8B" w:rsidRDefault="00363B8B">
      <w:pPr>
        <w:pStyle w:val="FootnoteText"/>
      </w:pPr>
      <w:r>
        <w:rPr>
          <w:rStyle w:val="FootnoteReference"/>
        </w:rPr>
        <w:footnoteRef/>
      </w:r>
      <w:r>
        <w:t xml:space="preserve"> </w:t>
      </w:r>
      <w:r w:rsidRPr="009722DC">
        <w:t>Cabasso</w:t>
      </w:r>
      <w:r>
        <w:t>,</w:t>
      </w:r>
      <w:r w:rsidRPr="009722DC">
        <w:t xml:space="preserve"> V</w:t>
      </w:r>
      <w:r>
        <w:t>.</w:t>
      </w:r>
      <w:r w:rsidRPr="009722DC">
        <w:t>J</w:t>
      </w:r>
      <w:r>
        <w:t>.</w:t>
      </w:r>
      <w:r w:rsidRPr="009722DC">
        <w:t xml:space="preserve"> et al. Rabies Immune Globulin </w:t>
      </w:r>
      <w:r>
        <w:t>o</w:t>
      </w:r>
      <w:r w:rsidRPr="009722DC">
        <w:t xml:space="preserve">f Human Origin: Preparation </w:t>
      </w:r>
      <w:r>
        <w:t>a</w:t>
      </w:r>
      <w:r w:rsidRPr="009722DC">
        <w:t xml:space="preserve">nd Dosage Determination </w:t>
      </w:r>
      <w:r>
        <w:t>i</w:t>
      </w:r>
      <w:r w:rsidRPr="009722DC">
        <w:t>n Non</w:t>
      </w:r>
      <w:r>
        <w:noBreakHyphen/>
        <w:t>e</w:t>
      </w:r>
      <w:r w:rsidRPr="009722DC">
        <w:t>xposed Volunteer Subjects</w:t>
      </w:r>
      <w:r>
        <w:t>,</w:t>
      </w:r>
      <w:r w:rsidRPr="009722DC">
        <w:t xml:space="preserve"> </w:t>
      </w:r>
      <w:r w:rsidRPr="00BB6B61">
        <w:rPr>
          <w:i/>
          <w:iCs/>
        </w:rPr>
        <w:t>Bull World Health Organ</w:t>
      </w:r>
      <w:r>
        <w:t>,</w:t>
      </w:r>
      <w:r w:rsidRPr="00D37BC0">
        <w:t xml:space="preserve"> 1971; 45(3): 303</w:t>
      </w:r>
      <w:r>
        <w:t>-</w:t>
      </w:r>
      <w:r w:rsidRPr="00D37BC0">
        <w:t>315.</w:t>
      </w:r>
    </w:p>
  </w:footnote>
  <w:footnote w:id="15">
    <w:p w14:paraId="0994F34F" w14:textId="51E0D96E" w:rsidR="00363B8B" w:rsidRDefault="00363B8B">
      <w:pPr>
        <w:pStyle w:val="FootnoteText"/>
      </w:pPr>
      <w:r>
        <w:rPr>
          <w:rStyle w:val="FootnoteReference"/>
        </w:rPr>
        <w:footnoteRef/>
      </w:r>
      <w:r>
        <w:t xml:space="preserve"> </w:t>
      </w:r>
      <w:r w:rsidRPr="0058269D">
        <w:t>Merieux Inactivated Rabies Vaccine (</w:t>
      </w:r>
      <w:r>
        <w:t>r</w:t>
      </w:r>
      <w:r w:rsidRPr="0058269D">
        <w:t>abies virus) was first registered on the ARTG on 21</w:t>
      </w:r>
      <w:r>
        <w:t xml:space="preserve"> October </w:t>
      </w:r>
      <w:r w:rsidRPr="0058269D">
        <w:t>1991 (ARTG number: 26675).</w:t>
      </w:r>
    </w:p>
  </w:footnote>
  <w:footnote w:id="16">
    <w:p w14:paraId="3E731F3C" w14:textId="388181D3" w:rsidR="00363B8B" w:rsidRDefault="00363B8B">
      <w:pPr>
        <w:pStyle w:val="FootnoteText"/>
      </w:pPr>
      <w:r>
        <w:rPr>
          <w:rStyle w:val="FootnoteReference"/>
        </w:rPr>
        <w:footnoteRef/>
      </w:r>
      <w:r>
        <w:t xml:space="preserve"> </w:t>
      </w:r>
      <w:r w:rsidRPr="0058269D">
        <w:t>Rabipur</w:t>
      </w:r>
      <w:r>
        <w:t xml:space="preserve"> (</w:t>
      </w:r>
      <w:r w:rsidRPr="0058269D">
        <w:t xml:space="preserve">rabies </w:t>
      </w:r>
      <w:r>
        <w:t>virus)</w:t>
      </w:r>
      <w:r w:rsidRPr="0058269D">
        <w:t xml:space="preserve"> </w:t>
      </w:r>
      <w:r>
        <w:t xml:space="preserve">was first registered on the ARTG on </w:t>
      </w:r>
      <w:r w:rsidRPr="00980F3B">
        <w:t>17</w:t>
      </w:r>
      <w:r>
        <w:t xml:space="preserve"> April 2</w:t>
      </w:r>
      <w:r w:rsidRPr="00980F3B">
        <w:t>018</w:t>
      </w:r>
      <w:r>
        <w:t xml:space="preserve"> (ARTG number: </w:t>
      </w:r>
      <w:r w:rsidRPr="00980F3B">
        <w:t>298194</w:t>
      </w:r>
      <w:r>
        <w:t>).</w:t>
      </w:r>
    </w:p>
  </w:footnote>
  <w:footnote w:id="17">
    <w:p w14:paraId="02E32C05" w14:textId="2C6DDFEE" w:rsidR="00363B8B" w:rsidRDefault="00363B8B">
      <w:pPr>
        <w:pStyle w:val="FootnoteText"/>
      </w:pPr>
      <w:r>
        <w:rPr>
          <w:rStyle w:val="FootnoteReference"/>
        </w:rPr>
        <w:footnoteRef/>
      </w:r>
      <w:r>
        <w:t xml:space="preserve"> </w:t>
      </w:r>
      <w:r w:rsidRPr="009722DC">
        <w:t>Australian Technical Advisory Group on Immunisation (ATAGI)</w:t>
      </w:r>
      <w:r>
        <w:t xml:space="preserve">, </w:t>
      </w:r>
      <w:r w:rsidRPr="009722DC">
        <w:t>Australian Government Department of Health</w:t>
      </w:r>
      <w:r>
        <w:t xml:space="preserve"> (2018)</w:t>
      </w:r>
      <w:r w:rsidRPr="009722DC">
        <w:t xml:space="preserve"> Rabies and Other Lyssaviruses</w:t>
      </w:r>
      <w:r>
        <w:t>,</w:t>
      </w:r>
      <w:r w:rsidRPr="009722DC">
        <w:t xml:space="preserve"> Australian Immunisation Handbook. Available </w:t>
      </w:r>
      <w:r>
        <w:t>at</w:t>
      </w:r>
      <w:r w:rsidRPr="009722DC">
        <w:t>:</w:t>
      </w:r>
      <w:r>
        <w:t xml:space="preserve"> </w:t>
      </w:r>
      <w:hyperlink r:id="rId9" w:history="1">
        <w:r w:rsidRPr="001B60F9">
          <w:rPr>
            <w:rStyle w:val="Hyperlink"/>
          </w:rPr>
          <w:t>https://immunisationhandbook.health.gov.au/contents/vaccine-preventable-diseases/rabies-and-other-lyssaviruses</w:t>
        </w:r>
      </w:hyperlink>
      <w:r>
        <w:t xml:space="preserve"> </w:t>
      </w:r>
      <w:r w:rsidRPr="00D37BC0">
        <w:t>(accessed</w:t>
      </w:r>
      <w:r>
        <w:t xml:space="preserve"> on 1 September</w:t>
      </w:r>
      <w:r w:rsidRPr="00D37BC0">
        <w:t xml:space="preserve"> 2020).</w:t>
      </w:r>
    </w:p>
  </w:footnote>
  <w:footnote w:id="18">
    <w:p w14:paraId="298EA7CD" w14:textId="5B710961" w:rsidR="00363B8B" w:rsidRDefault="00363B8B">
      <w:pPr>
        <w:pStyle w:val="FootnoteText"/>
      </w:pPr>
      <w:r>
        <w:rPr>
          <w:rStyle w:val="FootnoteReference"/>
        </w:rPr>
        <w:footnoteRef/>
      </w:r>
      <w:r>
        <w:t xml:space="preserve"> </w:t>
      </w:r>
      <w:r w:rsidRPr="00185AA0">
        <w:t>European Medicines Evaluation Agency</w:t>
      </w:r>
      <w:r>
        <w:t xml:space="preserve"> (EMEA), </w:t>
      </w:r>
      <w:r w:rsidRPr="001674A0">
        <w:t xml:space="preserve">Committee </w:t>
      </w:r>
      <w:r>
        <w:t>f</w:t>
      </w:r>
      <w:r w:rsidRPr="001674A0">
        <w:t>or Proprietary Medicinal Products</w:t>
      </w:r>
      <w:r>
        <w:t xml:space="preserve"> (CPMP), </w:t>
      </w:r>
      <w:r w:rsidRPr="00185AA0">
        <w:t xml:space="preserve">Note </w:t>
      </w:r>
      <w:r>
        <w:t>f</w:t>
      </w:r>
      <w:r w:rsidRPr="00185AA0">
        <w:t xml:space="preserve">or Guidance </w:t>
      </w:r>
      <w:r>
        <w:t>o</w:t>
      </w:r>
      <w:r w:rsidRPr="00185AA0">
        <w:t xml:space="preserve">n Virus Validation Studies: </w:t>
      </w:r>
      <w:r>
        <w:t>t</w:t>
      </w:r>
      <w:r w:rsidRPr="00185AA0">
        <w:t xml:space="preserve">he Design, Contribution </w:t>
      </w:r>
      <w:r>
        <w:t>a</w:t>
      </w:r>
      <w:r w:rsidRPr="00185AA0">
        <w:t xml:space="preserve">nd Interpretation </w:t>
      </w:r>
      <w:r>
        <w:t>o</w:t>
      </w:r>
      <w:r w:rsidRPr="00185AA0">
        <w:t xml:space="preserve">f Studies Validating </w:t>
      </w:r>
      <w:r>
        <w:t>t</w:t>
      </w:r>
      <w:r w:rsidRPr="00185AA0">
        <w:t xml:space="preserve">he Inactivation </w:t>
      </w:r>
      <w:r>
        <w:t>a</w:t>
      </w:r>
      <w:r w:rsidRPr="00185AA0">
        <w:t xml:space="preserve">nd Removal </w:t>
      </w:r>
      <w:r>
        <w:t>o</w:t>
      </w:r>
      <w:r w:rsidRPr="00185AA0">
        <w:t>f Virus</w:t>
      </w:r>
      <w:r>
        <w:t xml:space="preserve">, </w:t>
      </w:r>
      <w:r w:rsidRPr="001674A0">
        <w:t>CPMP/BWP/268/95</w:t>
      </w:r>
      <w:r>
        <w:t>, 14 February 1996.</w:t>
      </w:r>
    </w:p>
  </w:footnote>
  <w:footnote w:id="19">
    <w:p w14:paraId="7295D41D" w14:textId="21B454DE" w:rsidR="00363B8B" w:rsidRDefault="00363B8B" w:rsidP="00185AA0">
      <w:pPr>
        <w:pStyle w:val="FootnoteText"/>
      </w:pPr>
      <w:r>
        <w:rPr>
          <w:rStyle w:val="FootnoteReference"/>
        </w:rPr>
        <w:footnoteRef/>
      </w:r>
      <w:r>
        <w:t xml:space="preserve"> International Conference on Harmonisation of Technical Requirements for Registration of Pharmaceuticals for Human Use (ICH) Viral Safety Evaluation of Biotechnology Products Derived from Cell Lines of Human or Animal Origin Q5A(R1), Step 4, </w:t>
      </w:r>
      <w:r w:rsidRPr="00185AA0">
        <w:t>23 September 1999</w:t>
      </w:r>
      <w:r>
        <w:t>.</w:t>
      </w:r>
    </w:p>
  </w:footnote>
  <w:footnote w:id="20">
    <w:p w14:paraId="4BEBC3A9" w14:textId="68E2AEEA" w:rsidR="00363B8B" w:rsidRDefault="00363B8B">
      <w:pPr>
        <w:pStyle w:val="FootnoteText"/>
      </w:pPr>
      <w:r>
        <w:rPr>
          <w:rStyle w:val="FootnoteReference"/>
        </w:rPr>
        <w:footnoteRef/>
      </w:r>
      <w:r>
        <w:t xml:space="preserve"> </w:t>
      </w:r>
      <w:r w:rsidRPr="00185AA0">
        <w:rPr>
          <w:b/>
          <w:bCs/>
        </w:rPr>
        <w:t>Good Laboratory Practice (GLP)</w:t>
      </w:r>
      <w:r w:rsidRPr="00185AA0">
        <w:t xml:space="preserve"> is a code of standards following the International Council on Harmonisation (ICH) relevant to testing of medicines in laboratories during drug development.</w:t>
      </w:r>
    </w:p>
  </w:footnote>
  <w:footnote w:id="21">
    <w:p w14:paraId="0591DDF9" w14:textId="1A14724A" w:rsidR="00363B8B" w:rsidRPr="00F03DBF" w:rsidRDefault="00363B8B">
      <w:pPr>
        <w:pStyle w:val="FootnoteText"/>
        <w:rPr>
          <w:lang w:val="en-GB"/>
        </w:rPr>
      </w:pPr>
      <w:r>
        <w:rPr>
          <w:rStyle w:val="FootnoteReference"/>
        </w:rPr>
        <w:footnoteRef/>
      </w:r>
      <w:r>
        <w:t xml:space="preserve"> INSERM (</w:t>
      </w:r>
      <w:r w:rsidRPr="00B611DF">
        <w:t>Institut national de la santé et de la recherche médicale</w:t>
      </w:r>
      <w:r>
        <w:t xml:space="preserve">) </w:t>
      </w:r>
      <w:r w:rsidRPr="00B611DF">
        <w:t>is the French National Institute of Health and Medical Research.</w:t>
      </w:r>
    </w:p>
  </w:footnote>
  <w:footnote w:id="22">
    <w:p w14:paraId="486BB397" w14:textId="77777777" w:rsidR="00363B8B" w:rsidRDefault="00363B8B" w:rsidP="00185AA0">
      <w:pPr>
        <w:pStyle w:val="FootnoteText"/>
      </w:pPr>
      <w:r>
        <w:rPr>
          <w:rStyle w:val="FootnoteReference"/>
        </w:rPr>
        <w:footnoteRef/>
      </w:r>
      <w:r>
        <w:t xml:space="preserve"> </w:t>
      </w:r>
      <w:r w:rsidRPr="00185AA0">
        <w:rPr>
          <w:b/>
          <w:bCs/>
        </w:rPr>
        <w:t>Pregnancy Category B2</w:t>
      </w:r>
      <w:r>
        <w:t>: Drugs which have been taken by only a limited number of pregnant women and women of childbearing age, without an increase in the frequency of malformation or other direct or indirect harmful effects on the human fetus having been observed.</w:t>
      </w:r>
    </w:p>
    <w:p w14:paraId="184DF77B" w14:textId="66D577A7" w:rsidR="00363B8B" w:rsidRDefault="00363B8B" w:rsidP="00185AA0">
      <w:pPr>
        <w:pStyle w:val="FootnoteText"/>
      </w:pPr>
      <w:r>
        <w:t>Studies in animals are inadequate or may be lacking, but available data show no evidence of an increased occurrence of fetal damage.</w:t>
      </w:r>
    </w:p>
  </w:footnote>
  <w:footnote w:id="23">
    <w:p w14:paraId="49CE48B3" w14:textId="43FA44B4" w:rsidR="00363B8B" w:rsidRDefault="00363B8B">
      <w:pPr>
        <w:pStyle w:val="FootnoteText"/>
      </w:pPr>
      <w:r>
        <w:rPr>
          <w:rStyle w:val="FootnoteReference"/>
        </w:rPr>
        <w:footnoteRef/>
      </w:r>
      <w:r>
        <w:t xml:space="preserve"> </w:t>
      </w:r>
      <w:r w:rsidRPr="00081C55">
        <w:t>Typhim VI</w:t>
      </w:r>
      <w:r>
        <w:t xml:space="preserve"> (</w:t>
      </w:r>
      <w:r w:rsidRPr="00081C55">
        <w:t>Salmonella typhi Vi polysaccharide</w:t>
      </w:r>
      <w:r>
        <w:t>)</w:t>
      </w:r>
      <w:r w:rsidRPr="0058269D">
        <w:t xml:space="preserve"> was first registered on the ARTG on </w:t>
      </w:r>
      <w:r w:rsidRPr="00081C55">
        <w:t xml:space="preserve">13 December 1993 </w:t>
      </w:r>
      <w:r w:rsidRPr="0058269D">
        <w:t xml:space="preserve">(ARTG number: </w:t>
      </w:r>
      <w:r w:rsidRPr="00081C55">
        <w:t>45073</w:t>
      </w:r>
      <w:r w:rsidRPr="0058269D">
        <w:t>).</w:t>
      </w:r>
    </w:p>
  </w:footnote>
  <w:footnote w:id="24">
    <w:p w14:paraId="4422516F" w14:textId="6F1334D8" w:rsidR="00363B8B" w:rsidRDefault="00363B8B" w:rsidP="00081C55">
      <w:pPr>
        <w:pStyle w:val="FootnoteText"/>
      </w:pPr>
      <w:r>
        <w:rPr>
          <w:rStyle w:val="FootnoteReference"/>
        </w:rPr>
        <w:footnoteRef/>
      </w:r>
      <w:r>
        <w:t xml:space="preserve"> </w:t>
      </w:r>
      <w:r w:rsidRPr="00EB6459">
        <w:t xml:space="preserve">European Medicines Evaluation Agency </w:t>
      </w:r>
      <w:r>
        <w:t>(EMEA), Committee for Medicinal Products for Human Use (CHMP)</w:t>
      </w:r>
      <w:r w:rsidRPr="00081C55">
        <w:t xml:space="preserve"> Guideline </w:t>
      </w:r>
      <w:r>
        <w:t>o</w:t>
      </w:r>
      <w:r w:rsidRPr="00081C55">
        <w:t xml:space="preserve">n Clinical Evaluation </w:t>
      </w:r>
      <w:r>
        <w:t>o</w:t>
      </w:r>
      <w:r w:rsidRPr="00081C55">
        <w:t>f New Vaccines</w:t>
      </w:r>
      <w:r>
        <w:t>,</w:t>
      </w:r>
      <w:r w:rsidRPr="00081C55">
        <w:t xml:space="preserve"> EMEA/CHMP/VWP/164653/2005</w:t>
      </w:r>
      <w:r>
        <w:t xml:space="preserve">, </w:t>
      </w:r>
      <w:r w:rsidRPr="00081C55">
        <w:t>18 October 2006</w:t>
      </w:r>
      <w:r>
        <w:t>.</w:t>
      </w:r>
    </w:p>
  </w:footnote>
  <w:footnote w:id="25">
    <w:p w14:paraId="7101B93A" w14:textId="5A74FBEC" w:rsidR="00363B8B" w:rsidRPr="00F03DBF" w:rsidRDefault="00363B8B">
      <w:pPr>
        <w:pStyle w:val="FootnoteText"/>
        <w:rPr>
          <w:b/>
          <w:lang w:val="en-GB"/>
        </w:rPr>
      </w:pPr>
      <w:r>
        <w:rPr>
          <w:rStyle w:val="FootnoteReference"/>
        </w:rPr>
        <w:footnoteRef/>
      </w:r>
      <w:r>
        <w:t xml:space="preserve"> </w:t>
      </w:r>
      <w:r w:rsidRPr="00F03DBF">
        <w:rPr>
          <w:b/>
        </w:rPr>
        <w:t>World Health Organization: Categories of contact and recommended post-exposure prophylaxis (PEP)</w:t>
      </w:r>
    </w:p>
    <w:tbl>
      <w:tblPr>
        <w:tblW w:w="0" w:type="auto"/>
        <w:tblCellSpacing w:w="15" w:type="dxa"/>
        <w:tblCellMar>
          <w:top w:w="30" w:type="dxa"/>
          <w:left w:w="30" w:type="dxa"/>
          <w:bottom w:w="30" w:type="dxa"/>
          <w:right w:w="30" w:type="dxa"/>
        </w:tblCellMar>
        <w:tblLook w:val="04A0" w:firstRow="1" w:lastRow="0" w:firstColumn="1" w:lastColumn="0" w:noHBand="0" w:noVBand="1"/>
      </w:tblPr>
      <w:tblGrid>
        <w:gridCol w:w="4153"/>
        <w:gridCol w:w="4351"/>
      </w:tblGrid>
      <w:tr w:rsidR="00363B8B" w:rsidRPr="004E238E" w14:paraId="3831CA38" w14:textId="77777777" w:rsidTr="004E238E">
        <w:trPr>
          <w:tblCellSpacing w:w="15" w:type="dxa"/>
        </w:trPr>
        <w:tc>
          <w:tcPr>
            <w:tcW w:w="4598" w:type="dxa"/>
            <w:vAlign w:val="center"/>
            <w:hideMark/>
          </w:tcPr>
          <w:p w14:paraId="6A2BD590" w14:textId="77777777" w:rsidR="00363B8B" w:rsidRPr="004E238E" w:rsidRDefault="00363B8B" w:rsidP="004E238E">
            <w:pPr>
              <w:pStyle w:val="FootnoteText"/>
              <w:rPr>
                <w:lang w:val="en-GB"/>
              </w:rPr>
            </w:pPr>
            <w:r w:rsidRPr="004E238E">
              <w:rPr>
                <w:b/>
                <w:bCs/>
                <w:lang w:val="en-GB"/>
              </w:rPr>
              <w:t>Categories of contact with suspect rabid animal</w:t>
            </w:r>
          </w:p>
        </w:tc>
        <w:tc>
          <w:tcPr>
            <w:tcW w:w="4638" w:type="dxa"/>
            <w:vAlign w:val="center"/>
            <w:hideMark/>
          </w:tcPr>
          <w:p w14:paraId="2EACD9F1" w14:textId="77777777" w:rsidR="00363B8B" w:rsidRPr="004E238E" w:rsidRDefault="00363B8B" w:rsidP="004E238E">
            <w:pPr>
              <w:pStyle w:val="FootnoteText"/>
              <w:rPr>
                <w:lang w:val="en-GB"/>
              </w:rPr>
            </w:pPr>
            <w:r w:rsidRPr="004E238E">
              <w:rPr>
                <w:b/>
                <w:bCs/>
                <w:lang w:val="en-GB"/>
              </w:rPr>
              <w:t>Post-exposure prophylaxis measures</w:t>
            </w:r>
          </w:p>
        </w:tc>
      </w:tr>
      <w:tr w:rsidR="00363B8B" w:rsidRPr="004E238E" w14:paraId="1D9B43AD" w14:textId="77777777" w:rsidTr="004E238E">
        <w:trPr>
          <w:tblCellSpacing w:w="15" w:type="dxa"/>
        </w:trPr>
        <w:tc>
          <w:tcPr>
            <w:tcW w:w="4598" w:type="dxa"/>
            <w:vAlign w:val="center"/>
            <w:hideMark/>
          </w:tcPr>
          <w:p w14:paraId="69278DC0" w14:textId="77777777" w:rsidR="00363B8B" w:rsidRPr="004E238E" w:rsidRDefault="00363B8B" w:rsidP="004E238E">
            <w:pPr>
              <w:pStyle w:val="FootnoteText"/>
              <w:rPr>
                <w:lang w:val="en-GB"/>
              </w:rPr>
            </w:pPr>
            <w:r w:rsidRPr="004E238E">
              <w:rPr>
                <w:b/>
                <w:bCs/>
                <w:lang w:val="en-GB"/>
              </w:rPr>
              <w:t>Category I</w:t>
            </w:r>
            <w:r w:rsidRPr="004E238E">
              <w:rPr>
                <w:lang w:val="en-GB"/>
              </w:rPr>
              <w:t> - touching or feeding animals, animal licks on intact skin (no exposure)</w:t>
            </w:r>
          </w:p>
        </w:tc>
        <w:tc>
          <w:tcPr>
            <w:tcW w:w="4638" w:type="dxa"/>
            <w:vAlign w:val="center"/>
            <w:hideMark/>
          </w:tcPr>
          <w:p w14:paraId="2D75DC90" w14:textId="77777777" w:rsidR="00363B8B" w:rsidRPr="004E238E" w:rsidRDefault="00363B8B" w:rsidP="004E238E">
            <w:pPr>
              <w:pStyle w:val="FootnoteText"/>
              <w:rPr>
                <w:lang w:val="en-GB"/>
              </w:rPr>
            </w:pPr>
            <w:r w:rsidRPr="004E238E">
              <w:rPr>
                <w:lang w:val="en-GB"/>
              </w:rPr>
              <w:t>Washing of exposed skin surfaces, no PEP</w:t>
            </w:r>
          </w:p>
        </w:tc>
      </w:tr>
      <w:tr w:rsidR="00363B8B" w:rsidRPr="004E238E" w14:paraId="0D5B7989" w14:textId="77777777" w:rsidTr="004E238E">
        <w:trPr>
          <w:tblCellSpacing w:w="15" w:type="dxa"/>
        </w:trPr>
        <w:tc>
          <w:tcPr>
            <w:tcW w:w="4598" w:type="dxa"/>
            <w:vAlign w:val="center"/>
            <w:hideMark/>
          </w:tcPr>
          <w:p w14:paraId="688002A3" w14:textId="77777777" w:rsidR="00363B8B" w:rsidRPr="004E238E" w:rsidRDefault="00363B8B" w:rsidP="004E238E">
            <w:pPr>
              <w:pStyle w:val="FootnoteText"/>
              <w:rPr>
                <w:lang w:val="en-GB"/>
              </w:rPr>
            </w:pPr>
            <w:r w:rsidRPr="004E238E">
              <w:rPr>
                <w:b/>
                <w:bCs/>
                <w:lang w:val="en-GB"/>
              </w:rPr>
              <w:t>Category II</w:t>
            </w:r>
            <w:r w:rsidRPr="004E238E">
              <w:rPr>
                <w:lang w:val="en-GB"/>
              </w:rPr>
              <w:t> - nibbling of uncovered skin, minor scratches or abrasions without bleeding (exposure)</w:t>
            </w:r>
          </w:p>
        </w:tc>
        <w:tc>
          <w:tcPr>
            <w:tcW w:w="4638" w:type="dxa"/>
            <w:vAlign w:val="center"/>
            <w:hideMark/>
          </w:tcPr>
          <w:p w14:paraId="11F2094D" w14:textId="77777777" w:rsidR="00363B8B" w:rsidRPr="004E238E" w:rsidRDefault="00363B8B" w:rsidP="004E238E">
            <w:pPr>
              <w:pStyle w:val="FootnoteText"/>
              <w:rPr>
                <w:lang w:val="en-GB"/>
              </w:rPr>
            </w:pPr>
            <w:r w:rsidRPr="004E238E">
              <w:rPr>
                <w:lang w:val="en-GB"/>
              </w:rPr>
              <w:t>Wound washing and immediate vaccination</w:t>
            </w:r>
          </w:p>
        </w:tc>
      </w:tr>
      <w:tr w:rsidR="00363B8B" w:rsidRPr="004E238E" w14:paraId="773057B7" w14:textId="77777777" w:rsidTr="004E238E">
        <w:trPr>
          <w:tblCellSpacing w:w="15" w:type="dxa"/>
        </w:trPr>
        <w:tc>
          <w:tcPr>
            <w:tcW w:w="4598" w:type="dxa"/>
            <w:vAlign w:val="center"/>
            <w:hideMark/>
          </w:tcPr>
          <w:p w14:paraId="095236D8" w14:textId="77777777" w:rsidR="00363B8B" w:rsidRPr="004E238E" w:rsidRDefault="00363B8B" w:rsidP="004E238E">
            <w:pPr>
              <w:pStyle w:val="FootnoteText"/>
              <w:rPr>
                <w:lang w:val="en-GB"/>
              </w:rPr>
            </w:pPr>
            <w:r w:rsidRPr="004E238E">
              <w:rPr>
                <w:b/>
                <w:bCs/>
                <w:lang w:val="en-GB"/>
              </w:rPr>
              <w:t>Category III</w:t>
            </w:r>
            <w:r w:rsidRPr="004E238E">
              <w:rPr>
                <w:lang w:val="en-GB"/>
              </w:rPr>
              <w:t> - single or multiple transdermal bites or scratches, contamination of mucous membrane or broken skin with saliva from animal licks, exposures due to direct contact with bats (severe exposure)</w:t>
            </w:r>
          </w:p>
        </w:tc>
        <w:tc>
          <w:tcPr>
            <w:tcW w:w="4638" w:type="dxa"/>
            <w:vAlign w:val="center"/>
            <w:hideMark/>
          </w:tcPr>
          <w:p w14:paraId="320EA72E" w14:textId="77777777" w:rsidR="00363B8B" w:rsidRPr="004E238E" w:rsidRDefault="00363B8B" w:rsidP="004E238E">
            <w:pPr>
              <w:pStyle w:val="FootnoteText"/>
              <w:rPr>
                <w:lang w:val="en-GB"/>
              </w:rPr>
            </w:pPr>
            <w:r w:rsidRPr="004E238E">
              <w:rPr>
                <w:lang w:val="en-GB"/>
              </w:rPr>
              <w:t>Wound washing, immediate vaccination and administration of rabies immunoglobulin/monoclonal antibodies</w:t>
            </w:r>
          </w:p>
        </w:tc>
      </w:tr>
    </w:tbl>
    <w:p w14:paraId="14A1F6AD" w14:textId="1CB05226" w:rsidR="00363B8B" w:rsidRPr="004E238E" w:rsidRDefault="00363B8B">
      <w:pPr>
        <w:pStyle w:val="FootnoteText"/>
        <w:rPr>
          <w:lang w:val="en-GB"/>
        </w:rPr>
      </w:pPr>
      <w:r>
        <w:rPr>
          <w:lang w:val="en-GB"/>
        </w:rPr>
        <w:t xml:space="preserve"> </w:t>
      </w:r>
      <w:r w:rsidRPr="004E238E">
        <w:rPr>
          <w:lang w:val="en-GB"/>
        </w:rPr>
        <w:t>Category II and III exposures require PEP.</w:t>
      </w:r>
    </w:p>
    <w:p w14:paraId="1CD3B8B3" w14:textId="34127689" w:rsidR="00363B8B" w:rsidRPr="00F03DBF" w:rsidRDefault="00363B8B">
      <w:pPr>
        <w:pStyle w:val="FootnoteText"/>
        <w:rPr>
          <w:lang w:val="en-GB"/>
        </w:rPr>
      </w:pPr>
      <w:r>
        <w:t xml:space="preserve">Extracted from: </w:t>
      </w:r>
      <w:r w:rsidRPr="009722DC">
        <w:t>World Health Organi</w:t>
      </w:r>
      <w:r>
        <w:t>z</w:t>
      </w:r>
      <w:r w:rsidRPr="009722DC">
        <w:t>ation (</w:t>
      </w:r>
      <w:r>
        <w:t>2018)</w:t>
      </w:r>
      <w:r w:rsidRPr="009722DC">
        <w:t xml:space="preserve"> WHO Expert Consultation on Rabies </w:t>
      </w:r>
      <w:r>
        <w:t>in</w:t>
      </w:r>
      <w:r w:rsidRPr="009722DC">
        <w:t xml:space="preserve"> WHO Technical Report Series</w:t>
      </w:r>
      <w:r>
        <w:t xml:space="preserve">, </w:t>
      </w:r>
      <w:r w:rsidRPr="00D43023">
        <w:t>third report</w:t>
      </w:r>
      <w:r>
        <w:t xml:space="preserve">. </w:t>
      </w:r>
      <w:r w:rsidRPr="009722DC">
        <w:t xml:space="preserve">Available </w:t>
      </w:r>
      <w:r>
        <w:t>at</w:t>
      </w:r>
      <w:r w:rsidRPr="009722DC">
        <w:t xml:space="preserve">: </w:t>
      </w:r>
      <w:hyperlink r:id="rId10" w:history="1">
        <w:r w:rsidRPr="001B60F9">
          <w:rPr>
            <w:rStyle w:val="Hyperlink"/>
          </w:rPr>
          <w:t>https://apps.who.int/iris/bitstream/handle/10665/272364/9789241210218-eng.pdf</w:t>
        </w:r>
      </w:hyperlink>
    </w:p>
  </w:footnote>
  <w:footnote w:id="26">
    <w:p w14:paraId="552CB734" w14:textId="7941B103" w:rsidR="00363B8B" w:rsidRDefault="00363B8B">
      <w:pPr>
        <w:pStyle w:val="FootnoteText"/>
      </w:pPr>
      <w:r>
        <w:rPr>
          <w:rStyle w:val="FootnoteReference"/>
        </w:rPr>
        <w:footnoteRef/>
      </w:r>
      <w:r>
        <w:t xml:space="preserve"> </w:t>
      </w:r>
      <w:r w:rsidRPr="00EB6459">
        <w:t xml:space="preserve">The </w:t>
      </w:r>
      <w:r w:rsidRPr="007D7576">
        <w:rPr>
          <w:b/>
          <w:bCs/>
        </w:rPr>
        <w:t>per-protocol (PP)</w:t>
      </w:r>
      <w:r w:rsidRPr="00EB6459">
        <w:t xml:space="preserve"> analysis is restricted to the participants who strictly adhered to the protocol. Also known as ‘on-treatment’ analysis.</w:t>
      </w:r>
    </w:p>
  </w:footnote>
  <w:footnote w:id="27">
    <w:p w14:paraId="180C05EE" w14:textId="36575D01" w:rsidR="00363B8B" w:rsidRPr="004579B7" w:rsidRDefault="00363B8B" w:rsidP="004579B7">
      <w:pPr>
        <w:pStyle w:val="FootnoteText"/>
      </w:pPr>
      <w:r>
        <w:rPr>
          <w:rStyle w:val="FootnoteReference"/>
        </w:rPr>
        <w:footnoteRef/>
      </w:r>
      <w:r>
        <w:t xml:space="preserve"> </w:t>
      </w:r>
      <w:r w:rsidR="00F03DBF" w:rsidRPr="00F03DBF">
        <w:t>Rüggeberg</w:t>
      </w:r>
      <w:r w:rsidR="00F03DBF">
        <w:t xml:space="preserve">, j.U. et al. </w:t>
      </w:r>
      <w:r>
        <w:t>Anaphylaxis</w:t>
      </w:r>
      <w:r w:rsidR="00F03DBF">
        <w:t>: Case Definition and Guidelines for Data Collection, Analysis, and Presentation of Immunization Safety Data,</w:t>
      </w:r>
      <w:r>
        <w:t xml:space="preserve"> </w:t>
      </w:r>
      <w:r w:rsidRPr="00F03DBF">
        <w:rPr>
          <w:i/>
        </w:rPr>
        <w:t>Vaccine</w:t>
      </w:r>
      <w:r w:rsidR="00F03DBF">
        <w:rPr>
          <w:i/>
        </w:rPr>
        <w:t>,</w:t>
      </w:r>
      <w:r>
        <w:t xml:space="preserve"> 2007; 25(31):</w:t>
      </w:r>
      <w:r w:rsidR="00F03DBF">
        <w:t xml:space="preserve"> </w:t>
      </w:r>
      <w:r>
        <w:t>5675-</w:t>
      </w:r>
      <w:r w:rsidR="00F03DBF">
        <w:t>56</w:t>
      </w:r>
      <w:r>
        <w:t>84</w:t>
      </w:r>
      <w:r w:rsidR="00F03DBF">
        <w:t>.</w:t>
      </w:r>
    </w:p>
  </w:footnote>
  <w:footnote w:id="28">
    <w:p w14:paraId="287C2417" w14:textId="38625EA0" w:rsidR="00363B8B" w:rsidRDefault="00363B8B">
      <w:pPr>
        <w:pStyle w:val="FootnoteText"/>
      </w:pPr>
      <w:r>
        <w:rPr>
          <w:rStyle w:val="FootnoteReference"/>
        </w:rPr>
        <w:footnoteRef/>
      </w:r>
      <w:r>
        <w:t xml:space="preserve"> </w:t>
      </w:r>
      <w:r w:rsidRPr="007D7576">
        <w:t xml:space="preserve">The </w:t>
      </w:r>
      <w:r w:rsidRPr="007D7576">
        <w:rPr>
          <w:b/>
          <w:bCs/>
        </w:rPr>
        <w:t>Medical Dictionary for Regulatory Activities (MedDRA)</w:t>
      </w:r>
      <w:r w:rsidRPr="007D7576">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29">
    <w:p w14:paraId="1A73255E" w14:textId="2E880297" w:rsidR="00363B8B" w:rsidRDefault="00363B8B">
      <w:pPr>
        <w:pStyle w:val="FootnoteText"/>
      </w:pPr>
      <w:r>
        <w:rPr>
          <w:rStyle w:val="FootnoteReference"/>
        </w:rPr>
        <w:footnoteRef/>
      </w:r>
      <w:r>
        <w:t xml:space="preserve"> </w:t>
      </w:r>
      <w:r w:rsidRPr="007D7576">
        <w:rPr>
          <w:b/>
          <w:bCs/>
        </w:rPr>
        <w:t>Standardised MedDRA Queries (SMQs)</w:t>
      </w:r>
      <w:r w:rsidRPr="007D7576">
        <w:t xml:space="preserve"> are groupings of terms from one or more MedDRA System Organ Classes (SOCs) that relate to a defined medical condition or area of interest. They are intended to aid in case identification.</w:t>
      </w:r>
    </w:p>
  </w:footnote>
  <w:footnote w:id="30">
    <w:p w14:paraId="1E05DE88" w14:textId="3F9F760D" w:rsidR="00363B8B" w:rsidRDefault="00363B8B">
      <w:pPr>
        <w:pStyle w:val="FootnoteText"/>
      </w:pPr>
      <w:r>
        <w:rPr>
          <w:rStyle w:val="FootnoteReference"/>
        </w:rPr>
        <w:footnoteRef/>
      </w:r>
      <w:r>
        <w:t xml:space="preserve"> </w:t>
      </w:r>
      <w:r w:rsidRPr="00BB6B61">
        <w:t>Rao</w:t>
      </w:r>
      <w:r>
        <w:t xml:space="preserve">, A.K. et al. </w:t>
      </w:r>
      <w:r w:rsidRPr="00BB6B61">
        <w:t xml:space="preserve">Use of a Modified Preexposure Prophylaxis Vaccination Schedule to Prevent Human Rabies: Recommendations of the Advisory Committee on Immunization Practices </w:t>
      </w:r>
      <w:r>
        <w:t>-</w:t>
      </w:r>
      <w:r w:rsidRPr="00BB6B61">
        <w:t xml:space="preserve"> United States, 2022</w:t>
      </w:r>
      <w:r>
        <w:t xml:space="preserve">, </w:t>
      </w:r>
      <w:r w:rsidRPr="00BB6B61">
        <w:rPr>
          <w:i/>
          <w:iCs/>
        </w:rPr>
        <w:t>Weekly</w:t>
      </w:r>
      <w:r>
        <w:t xml:space="preserve">; </w:t>
      </w:r>
      <w:r w:rsidRPr="00BB6B61">
        <w:t>2022</w:t>
      </w:r>
      <w:r>
        <w:t xml:space="preserve">: </w:t>
      </w:r>
      <w:r w:rsidRPr="00BB6B61">
        <w:t>71(18)</w:t>
      </w:r>
      <w:r>
        <w:t xml:space="preserve">: </w:t>
      </w:r>
      <w:r w:rsidRPr="00BB6B61">
        <w:t>619</w:t>
      </w:r>
      <w:r>
        <w:t>-</w:t>
      </w:r>
      <w:r w:rsidRPr="00BB6B61">
        <w:t>627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B242" w14:textId="77777777" w:rsidR="00363B8B" w:rsidRDefault="00363B8B"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EF9C" w14:textId="77777777" w:rsidR="00363B8B" w:rsidRDefault="00363B8B">
    <w:pPr>
      <w:rPr>
        <w:noProof/>
        <w:lang w:eastAsia="en-AU"/>
      </w:rPr>
    </w:pPr>
    <w:r w:rsidRPr="00347824">
      <w:rPr>
        <w:noProof/>
        <w:lang w:val="en-GB" w:eastAsia="en-GB"/>
      </w:rPr>
      <w:drawing>
        <wp:anchor distT="0" distB="0" distL="114300" distR="114300" simplePos="0" relativeHeight="251659264" behindDoc="1" locked="0" layoutInCell="1" allowOverlap="1" wp14:anchorId="1D813907" wp14:editId="0175788B">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0495" w14:textId="77777777" w:rsidR="00363B8B" w:rsidRDefault="00363B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3653" w14:textId="77777777" w:rsidR="00363B8B" w:rsidRDefault="00363B8B">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04EE" w14:textId="77777777" w:rsidR="00363B8B" w:rsidRDefault="00363B8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76FD" w14:textId="77777777" w:rsidR="00363B8B" w:rsidRDefault="00363B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E094" w14:textId="77777777" w:rsidR="00363B8B" w:rsidRDefault="00363B8B"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229F" w14:textId="77777777" w:rsidR="00363B8B" w:rsidRDefault="00363B8B" w:rsidP="006E08B3">
    <w:r>
      <w:t>Therapeutic Goods Administration</w:t>
    </w:r>
  </w:p>
  <w:p w14:paraId="633F256C" w14:textId="77777777" w:rsidR="00363B8B" w:rsidRDefault="00363B8B"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4"/>
  </w:num>
  <w:num w:numId="6">
    <w:abstractNumId w:val="3"/>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691"/>
    <w:rsid w:val="00001E37"/>
    <w:rsid w:val="00002031"/>
    <w:rsid w:val="00004734"/>
    <w:rsid w:val="0000493F"/>
    <w:rsid w:val="00006B22"/>
    <w:rsid w:val="00006FAB"/>
    <w:rsid w:val="0001276A"/>
    <w:rsid w:val="00017C53"/>
    <w:rsid w:val="000246AE"/>
    <w:rsid w:val="00025C67"/>
    <w:rsid w:val="0002784C"/>
    <w:rsid w:val="00044772"/>
    <w:rsid w:val="0004541C"/>
    <w:rsid w:val="0005559E"/>
    <w:rsid w:val="00056FD1"/>
    <w:rsid w:val="000604D6"/>
    <w:rsid w:val="000704CF"/>
    <w:rsid w:val="000734D8"/>
    <w:rsid w:val="00075AB8"/>
    <w:rsid w:val="00077775"/>
    <w:rsid w:val="00081C55"/>
    <w:rsid w:val="0008332E"/>
    <w:rsid w:val="00090471"/>
    <w:rsid w:val="00096AA7"/>
    <w:rsid w:val="00097EBB"/>
    <w:rsid w:val="000A3AED"/>
    <w:rsid w:val="000A51AE"/>
    <w:rsid w:val="000B1A33"/>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17C1F"/>
    <w:rsid w:val="00122C2E"/>
    <w:rsid w:val="00124ACD"/>
    <w:rsid w:val="00125318"/>
    <w:rsid w:val="001305A2"/>
    <w:rsid w:val="00133238"/>
    <w:rsid w:val="00133A1B"/>
    <w:rsid w:val="0014197B"/>
    <w:rsid w:val="0014269D"/>
    <w:rsid w:val="001447CD"/>
    <w:rsid w:val="00151564"/>
    <w:rsid w:val="001516B1"/>
    <w:rsid w:val="00154EBB"/>
    <w:rsid w:val="00155062"/>
    <w:rsid w:val="00156316"/>
    <w:rsid w:val="001608D4"/>
    <w:rsid w:val="00161181"/>
    <w:rsid w:val="00161D56"/>
    <w:rsid w:val="00162D14"/>
    <w:rsid w:val="00163780"/>
    <w:rsid w:val="001637C8"/>
    <w:rsid w:val="00165389"/>
    <w:rsid w:val="001674A0"/>
    <w:rsid w:val="00172645"/>
    <w:rsid w:val="0017693F"/>
    <w:rsid w:val="0018110E"/>
    <w:rsid w:val="00181684"/>
    <w:rsid w:val="001842DE"/>
    <w:rsid w:val="001843C6"/>
    <w:rsid w:val="001850E0"/>
    <w:rsid w:val="00185407"/>
    <w:rsid w:val="00185AA0"/>
    <w:rsid w:val="0019042F"/>
    <w:rsid w:val="001A03AF"/>
    <w:rsid w:val="001A0678"/>
    <w:rsid w:val="001A2158"/>
    <w:rsid w:val="001A525F"/>
    <w:rsid w:val="001A5A00"/>
    <w:rsid w:val="001A66B8"/>
    <w:rsid w:val="001B09F9"/>
    <w:rsid w:val="001B1DA4"/>
    <w:rsid w:val="001B523E"/>
    <w:rsid w:val="001B5C90"/>
    <w:rsid w:val="001B6448"/>
    <w:rsid w:val="001C32CD"/>
    <w:rsid w:val="001C7113"/>
    <w:rsid w:val="001D2984"/>
    <w:rsid w:val="001E07CF"/>
    <w:rsid w:val="001E359E"/>
    <w:rsid w:val="001E59F1"/>
    <w:rsid w:val="001F2CEE"/>
    <w:rsid w:val="001F3D6A"/>
    <w:rsid w:val="001F49EB"/>
    <w:rsid w:val="001F6CBA"/>
    <w:rsid w:val="00201D4E"/>
    <w:rsid w:val="00203F3B"/>
    <w:rsid w:val="002076C9"/>
    <w:rsid w:val="002174F3"/>
    <w:rsid w:val="00220B8A"/>
    <w:rsid w:val="002257F3"/>
    <w:rsid w:val="002257FB"/>
    <w:rsid w:val="0023120B"/>
    <w:rsid w:val="002314EA"/>
    <w:rsid w:val="00233456"/>
    <w:rsid w:val="002339A5"/>
    <w:rsid w:val="00250271"/>
    <w:rsid w:val="00250F35"/>
    <w:rsid w:val="00257848"/>
    <w:rsid w:val="002578E8"/>
    <w:rsid w:val="0027084A"/>
    <w:rsid w:val="00271E85"/>
    <w:rsid w:val="00272280"/>
    <w:rsid w:val="00280265"/>
    <w:rsid w:val="00286434"/>
    <w:rsid w:val="00286C59"/>
    <w:rsid w:val="002909BF"/>
    <w:rsid w:val="00291957"/>
    <w:rsid w:val="00291F51"/>
    <w:rsid w:val="002942D1"/>
    <w:rsid w:val="0029501A"/>
    <w:rsid w:val="002A12E7"/>
    <w:rsid w:val="002A12FC"/>
    <w:rsid w:val="002A3721"/>
    <w:rsid w:val="002B1638"/>
    <w:rsid w:val="002B3624"/>
    <w:rsid w:val="002C5498"/>
    <w:rsid w:val="002D0952"/>
    <w:rsid w:val="002D1A84"/>
    <w:rsid w:val="002D338D"/>
    <w:rsid w:val="002D7897"/>
    <w:rsid w:val="002E1736"/>
    <w:rsid w:val="002E21B2"/>
    <w:rsid w:val="002E40B3"/>
    <w:rsid w:val="002E4C9A"/>
    <w:rsid w:val="002F11F8"/>
    <w:rsid w:val="002F3F56"/>
    <w:rsid w:val="002F44B5"/>
    <w:rsid w:val="002F5122"/>
    <w:rsid w:val="0030043C"/>
    <w:rsid w:val="00302B33"/>
    <w:rsid w:val="00311AC0"/>
    <w:rsid w:val="003152CB"/>
    <w:rsid w:val="003176FC"/>
    <w:rsid w:val="003248B0"/>
    <w:rsid w:val="00324E45"/>
    <w:rsid w:val="0032583B"/>
    <w:rsid w:val="00327883"/>
    <w:rsid w:val="00330D10"/>
    <w:rsid w:val="00330FED"/>
    <w:rsid w:val="00332715"/>
    <w:rsid w:val="00335504"/>
    <w:rsid w:val="00340C18"/>
    <w:rsid w:val="003442FD"/>
    <w:rsid w:val="00347824"/>
    <w:rsid w:val="00350567"/>
    <w:rsid w:val="003521E8"/>
    <w:rsid w:val="003577ED"/>
    <w:rsid w:val="00363B8B"/>
    <w:rsid w:val="00370310"/>
    <w:rsid w:val="00370CE3"/>
    <w:rsid w:val="003728F3"/>
    <w:rsid w:val="003733A5"/>
    <w:rsid w:val="003735BC"/>
    <w:rsid w:val="0037496E"/>
    <w:rsid w:val="00374F70"/>
    <w:rsid w:val="00376A73"/>
    <w:rsid w:val="0038054B"/>
    <w:rsid w:val="003820EF"/>
    <w:rsid w:val="00382C04"/>
    <w:rsid w:val="00383221"/>
    <w:rsid w:val="00386150"/>
    <w:rsid w:val="003874CE"/>
    <w:rsid w:val="00390900"/>
    <w:rsid w:val="0039611D"/>
    <w:rsid w:val="003A5613"/>
    <w:rsid w:val="003A7C14"/>
    <w:rsid w:val="003A7F6C"/>
    <w:rsid w:val="003B4D60"/>
    <w:rsid w:val="003B7E39"/>
    <w:rsid w:val="003C58DC"/>
    <w:rsid w:val="003D084F"/>
    <w:rsid w:val="003D1E62"/>
    <w:rsid w:val="003D419B"/>
    <w:rsid w:val="003D77DC"/>
    <w:rsid w:val="003E0B99"/>
    <w:rsid w:val="003E2145"/>
    <w:rsid w:val="003E2486"/>
    <w:rsid w:val="003E3208"/>
    <w:rsid w:val="003F0B04"/>
    <w:rsid w:val="003F0DC7"/>
    <w:rsid w:val="003F212A"/>
    <w:rsid w:val="0040134E"/>
    <w:rsid w:val="00401E59"/>
    <w:rsid w:val="00421243"/>
    <w:rsid w:val="00423C44"/>
    <w:rsid w:val="004334C7"/>
    <w:rsid w:val="00440A2D"/>
    <w:rsid w:val="00441C3F"/>
    <w:rsid w:val="00444D1A"/>
    <w:rsid w:val="0045186A"/>
    <w:rsid w:val="00454BDC"/>
    <w:rsid w:val="004564A7"/>
    <w:rsid w:val="00456765"/>
    <w:rsid w:val="004579B7"/>
    <w:rsid w:val="00460036"/>
    <w:rsid w:val="00460805"/>
    <w:rsid w:val="004617BF"/>
    <w:rsid w:val="004627E3"/>
    <w:rsid w:val="00463658"/>
    <w:rsid w:val="004637A0"/>
    <w:rsid w:val="004722CC"/>
    <w:rsid w:val="00474E2C"/>
    <w:rsid w:val="00490483"/>
    <w:rsid w:val="004936E4"/>
    <w:rsid w:val="004942CC"/>
    <w:rsid w:val="00494E60"/>
    <w:rsid w:val="00497487"/>
    <w:rsid w:val="004A2771"/>
    <w:rsid w:val="004A6189"/>
    <w:rsid w:val="004A7390"/>
    <w:rsid w:val="004B3708"/>
    <w:rsid w:val="004B7B76"/>
    <w:rsid w:val="004C239D"/>
    <w:rsid w:val="004C2B1B"/>
    <w:rsid w:val="004C2DCA"/>
    <w:rsid w:val="004C4FBE"/>
    <w:rsid w:val="004C61D2"/>
    <w:rsid w:val="004E238E"/>
    <w:rsid w:val="004F0C4A"/>
    <w:rsid w:val="004F0F38"/>
    <w:rsid w:val="004F47D6"/>
    <w:rsid w:val="004F7D09"/>
    <w:rsid w:val="00500337"/>
    <w:rsid w:val="00501921"/>
    <w:rsid w:val="00505417"/>
    <w:rsid w:val="00515D5F"/>
    <w:rsid w:val="0052149B"/>
    <w:rsid w:val="00523A21"/>
    <w:rsid w:val="00530354"/>
    <w:rsid w:val="0053625B"/>
    <w:rsid w:val="005434C6"/>
    <w:rsid w:val="00543B39"/>
    <w:rsid w:val="00545CDB"/>
    <w:rsid w:val="00546154"/>
    <w:rsid w:val="005478E2"/>
    <w:rsid w:val="00550096"/>
    <w:rsid w:val="005534D9"/>
    <w:rsid w:val="00555280"/>
    <w:rsid w:val="00557FF9"/>
    <w:rsid w:val="005604E5"/>
    <w:rsid w:val="00561784"/>
    <w:rsid w:val="00562327"/>
    <w:rsid w:val="00565B6A"/>
    <w:rsid w:val="005711D5"/>
    <w:rsid w:val="00572CA6"/>
    <w:rsid w:val="00576378"/>
    <w:rsid w:val="00576821"/>
    <w:rsid w:val="00577130"/>
    <w:rsid w:val="00577945"/>
    <w:rsid w:val="00577E38"/>
    <w:rsid w:val="0058269D"/>
    <w:rsid w:val="00585322"/>
    <w:rsid w:val="005857C6"/>
    <w:rsid w:val="00592F6E"/>
    <w:rsid w:val="00593AD1"/>
    <w:rsid w:val="005A68B6"/>
    <w:rsid w:val="005A79F5"/>
    <w:rsid w:val="005B48A4"/>
    <w:rsid w:val="005C494B"/>
    <w:rsid w:val="005C5570"/>
    <w:rsid w:val="005C5B66"/>
    <w:rsid w:val="005C79A4"/>
    <w:rsid w:val="005D2CC1"/>
    <w:rsid w:val="005D43E8"/>
    <w:rsid w:val="005D5442"/>
    <w:rsid w:val="005F0EFF"/>
    <w:rsid w:val="005F306A"/>
    <w:rsid w:val="005F42BB"/>
    <w:rsid w:val="00603F32"/>
    <w:rsid w:val="00605AD4"/>
    <w:rsid w:val="006136D7"/>
    <w:rsid w:val="00620A3F"/>
    <w:rsid w:val="00625A6E"/>
    <w:rsid w:val="00630691"/>
    <w:rsid w:val="00632398"/>
    <w:rsid w:val="00636675"/>
    <w:rsid w:val="00640FC3"/>
    <w:rsid w:val="00642020"/>
    <w:rsid w:val="006430EE"/>
    <w:rsid w:val="00643CE5"/>
    <w:rsid w:val="0065337B"/>
    <w:rsid w:val="0065419D"/>
    <w:rsid w:val="006603BC"/>
    <w:rsid w:val="006604D8"/>
    <w:rsid w:val="00664A5B"/>
    <w:rsid w:val="0066735C"/>
    <w:rsid w:val="006763D2"/>
    <w:rsid w:val="00680C08"/>
    <w:rsid w:val="00683800"/>
    <w:rsid w:val="006901BA"/>
    <w:rsid w:val="006916A0"/>
    <w:rsid w:val="00691988"/>
    <w:rsid w:val="006931B1"/>
    <w:rsid w:val="006A0168"/>
    <w:rsid w:val="006A15C0"/>
    <w:rsid w:val="006A58A8"/>
    <w:rsid w:val="006B2312"/>
    <w:rsid w:val="006C3E2A"/>
    <w:rsid w:val="006C575D"/>
    <w:rsid w:val="006C5E3F"/>
    <w:rsid w:val="006C642F"/>
    <w:rsid w:val="006D03E5"/>
    <w:rsid w:val="006D1B25"/>
    <w:rsid w:val="006D1F61"/>
    <w:rsid w:val="006D5D3E"/>
    <w:rsid w:val="006E08B3"/>
    <w:rsid w:val="006E21D7"/>
    <w:rsid w:val="006E4785"/>
    <w:rsid w:val="006E7D4A"/>
    <w:rsid w:val="006F0C24"/>
    <w:rsid w:val="006F17AC"/>
    <w:rsid w:val="006F25B8"/>
    <w:rsid w:val="006F572E"/>
    <w:rsid w:val="007046D6"/>
    <w:rsid w:val="007056E0"/>
    <w:rsid w:val="00705DB0"/>
    <w:rsid w:val="0072292E"/>
    <w:rsid w:val="00722B57"/>
    <w:rsid w:val="00725DE0"/>
    <w:rsid w:val="007274BB"/>
    <w:rsid w:val="00730F8A"/>
    <w:rsid w:val="00735A8C"/>
    <w:rsid w:val="0074163C"/>
    <w:rsid w:val="0074253D"/>
    <w:rsid w:val="00744121"/>
    <w:rsid w:val="0074429B"/>
    <w:rsid w:val="007523AB"/>
    <w:rsid w:val="0075406F"/>
    <w:rsid w:val="00757B5F"/>
    <w:rsid w:val="007615BC"/>
    <w:rsid w:val="007625E0"/>
    <w:rsid w:val="00762F05"/>
    <w:rsid w:val="007652FF"/>
    <w:rsid w:val="00765B8C"/>
    <w:rsid w:val="007703EF"/>
    <w:rsid w:val="00770CAC"/>
    <w:rsid w:val="00770EF1"/>
    <w:rsid w:val="0077131A"/>
    <w:rsid w:val="00773EF7"/>
    <w:rsid w:val="00774E1D"/>
    <w:rsid w:val="007765D8"/>
    <w:rsid w:val="0077675A"/>
    <w:rsid w:val="00776E04"/>
    <w:rsid w:val="007775A5"/>
    <w:rsid w:val="00780355"/>
    <w:rsid w:val="007819FD"/>
    <w:rsid w:val="00781EBC"/>
    <w:rsid w:val="00785717"/>
    <w:rsid w:val="00785721"/>
    <w:rsid w:val="00793A59"/>
    <w:rsid w:val="007A3A23"/>
    <w:rsid w:val="007A46F5"/>
    <w:rsid w:val="007A6505"/>
    <w:rsid w:val="007B4A00"/>
    <w:rsid w:val="007B6132"/>
    <w:rsid w:val="007B6E9F"/>
    <w:rsid w:val="007C1216"/>
    <w:rsid w:val="007C1AF7"/>
    <w:rsid w:val="007C39E2"/>
    <w:rsid w:val="007C68BF"/>
    <w:rsid w:val="007C6B9B"/>
    <w:rsid w:val="007D53B6"/>
    <w:rsid w:val="007D7576"/>
    <w:rsid w:val="007E5F39"/>
    <w:rsid w:val="007F15C6"/>
    <w:rsid w:val="007F3338"/>
    <w:rsid w:val="00804D99"/>
    <w:rsid w:val="00805D27"/>
    <w:rsid w:val="00806DCB"/>
    <w:rsid w:val="008110BC"/>
    <w:rsid w:val="00813DD0"/>
    <w:rsid w:val="00816E1C"/>
    <w:rsid w:val="00821776"/>
    <w:rsid w:val="008321F5"/>
    <w:rsid w:val="00832369"/>
    <w:rsid w:val="0083275C"/>
    <w:rsid w:val="00833ED8"/>
    <w:rsid w:val="00834660"/>
    <w:rsid w:val="008350EB"/>
    <w:rsid w:val="00836BC2"/>
    <w:rsid w:val="0085156D"/>
    <w:rsid w:val="00852B28"/>
    <w:rsid w:val="0085641B"/>
    <w:rsid w:val="00857136"/>
    <w:rsid w:val="008614E8"/>
    <w:rsid w:val="00861B63"/>
    <w:rsid w:val="00865B03"/>
    <w:rsid w:val="00875A6B"/>
    <w:rsid w:val="008854A4"/>
    <w:rsid w:val="00885B11"/>
    <w:rsid w:val="00886D15"/>
    <w:rsid w:val="00887DD8"/>
    <w:rsid w:val="00891BA9"/>
    <w:rsid w:val="00896018"/>
    <w:rsid w:val="008960DD"/>
    <w:rsid w:val="0089635C"/>
    <w:rsid w:val="008A2B9D"/>
    <w:rsid w:val="008A3D9F"/>
    <w:rsid w:val="008A5E0B"/>
    <w:rsid w:val="008A6D59"/>
    <w:rsid w:val="008A749A"/>
    <w:rsid w:val="008B4B03"/>
    <w:rsid w:val="008B596F"/>
    <w:rsid w:val="008C159F"/>
    <w:rsid w:val="008C1623"/>
    <w:rsid w:val="008C1850"/>
    <w:rsid w:val="008C2D90"/>
    <w:rsid w:val="008C51A9"/>
    <w:rsid w:val="008D54AA"/>
    <w:rsid w:val="008E7846"/>
    <w:rsid w:val="008F02E5"/>
    <w:rsid w:val="008F1CCC"/>
    <w:rsid w:val="008F2967"/>
    <w:rsid w:val="008F6943"/>
    <w:rsid w:val="00902A21"/>
    <w:rsid w:val="00911489"/>
    <w:rsid w:val="0091523F"/>
    <w:rsid w:val="0091744F"/>
    <w:rsid w:val="00920330"/>
    <w:rsid w:val="009219D7"/>
    <w:rsid w:val="00922D53"/>
    <w:rsid w:val="0092379F"/>
    <w:rsid w:val="00923B70"/>
    <w:rsid w:val="00924482"/>
    <w:rsid w:val="00930237"/>
    <w:rsid w:val="0093272D"/>
    <w:rsid w:val="00937C17"/>
    <w:rsid w:val="00940A89"/>
    <w:rsid w:val="00941F77"/>
    <w:rsid w:val="00946EA5"/>
    <w:rsid w:val="0095331E"/>
    <w:rsid w:val="00953FE8"/>
    <w:rsid w:val="009556D7"/>
    <w:rsid w:val="00956DCB"/>
    <w:rsid w:val="00960520"/>
    <w:rsid w:val="00963C08"/>
    <w:rsid w:val="00964D47"/>
    <w:rsid w:val="009722DC"/>
    <w:rsid w:val="00973C8D"/>
    <w:rsid w:val="009752A5"/>
    <w:rsid w:val="00976CFF"/>
    <w:rsid w:val="00980F3B"/>
    <w:rsid w:val="0098357E"/>
    <w:rsid w:val="0098585A"/>
    <w:rsid w:val="0099022E"/>
    <w:rsid w:val="00990DC9"/>
    <w:rsid w:val="009A0559"/>
    <w:rsid w:val="009A4CED"/>
    <w:rsid w:val="009A690D"/>
    <w:rsid w:val="009B1D12"/>
    <w:rsid w:val="009B416B"/>
    <w:rsid w:val="009B7DC3"/>
    <w:rsid w:val="009C3E3C"/>
    <w:rsid w:val="009C4BD5"/>
    <w:rsid w:val="009D7B77"/>
    <w:rsid w:val="009E0BB0"/>
    <w:rsid w:val="009E294F"/>
    <w:rsid w:val="009E3FBB"/>
    <w:rsid w:val="009E481A"/>
    <w:rsid w:val="009E5A87"/>
    <w:rsid w:val="009F0559"/>
    <w:rsid w:val="009F2673"/>
    <w:rsid w:val="009F7353"/>
    <w:rsid w:val="00A0166B"/>
    <w:rsid w:val="00A04F85"/>
    <w:rsid w:val="00A05FA4"/>
    <w:rsid w:val="00A102E4"/>
    <w:rsid w:val="00A1219C"/>
    <w:rsid w:val="00A12C42"/>
    <w:rsid w:val="00A136AC"/>
    <w:rsid w:val="00A14DF7"/>
    <w:rsid w:val="00A22D57"/>
    <w:rsid w:val="00A23F7E"/>
    <w:rsid w:val="00A3246D"/>
    <w:rsid w:val="00A32817"/>
    <w:rsid w:val="00A36FA7"/>
    <w:rsid w:val="00A43DAE"/>
    <w:rsid w:val="00A44DDB"/>
    <w:rsid w:val="00A45291"/>
    <w:rsid w:val="00A475B7"/>
    <w:rsid w:val="00A47AF7"/>
    <w:rsid w:val="00A47C3E"/>
    <w:rsid w:val="00A50226"/>
    <w:rsid w:val="00A513C0"/>
    <w:rsid w:val="00A60BAD"/>
    <w:rsid w:val="00A62706"/>
    <w:rsid w:val="00A703E8"/>
    <w:rsid w:val="00A762D7"/>
    <w:rsid w:val="00A77F87"/>
    <w:rsid w:val="00A80B5B"/>
    <w:rsid w:val="00A80D6B"/>
    <w:rsid w:val="00A839B7"/>
    <w:rsid w:val="00A84E36"/>
    <w:rsid w:val="00A85144"/>
    <w:rsid w:val="00A964D1"/>
    <w:rsid w:val="00AA0ED0"/>
    <w:rsid w:val="00AA1A08"/>
    <w:rsid w:val="00AA230F"/>
    <w:rsid w:val="00AB348A"/>
    <w:rsid w:val="00AB386E"/>
    <w:rsid w:val="00AB6E15"/>
    <w:rsid w:val="00AC2B40"/>
    <w:rsid w:val="00AC2BB2"/>
    <w:rsid w:val="00AC2C3C"/>
    <w:rsid w:val="00AC512D"/>
    <w:rsid w:val="00AD0083"/>
    <w:rsid w:val="00AD3935"/>
    <w:rsid w:val="00AE5BBD"/>
    <w:rsid w:val="00AE65EB"/>
    <w:rsid w:val="00AE67A7"/>
    <w:rsid w:val="00AF0371"/>
    <w:rsid w:val="00AF1D94"/>
    <w:rsid w:val="00AF2313"/>
    <w:rsid w:val="00AF60C5"/>
    <w:rsid w:val="00B009C6"/>
    <w:rsid w:val="00B01548"/>
    <w:rsid w:val="00B02A93"/>
    <w:rsid w:val="00B05C59"/>
    <w:rsid w:val="00B130C5"/>
    <w:rsid w:val="00B13EBD"/>
    <w:rsid w:val="00B1406F"/>
    <w:rsid w:val="00B219BC"/>
    <w:rsid w:val="00B21D29"/>
    <w:rsid w:val="00B22E95"/>
    <w:rsid w:val="00B25034"/>
    <w:rsid w:val="00B33588"/>
    <w:rsid w:val="00B33863"/>
    <w:rsid w:val="00B37D17"/>
    <w:rsid w:val="00B4175E"/>
    <w:rsid w:val="00B41C85"/>
    <w:rsid w:val="00B452CE"/>
    <w:rsid w:val="00B505D4"/>
    <w:rsid w:val="00B524BF"/>
    <w:rsid w:val="00B54C25"/>
    <w:rsid w:val="00B611DF"/>
    <w:rsid w:val="00B76B91"/>
    <w:rsid w:val="00B77EB1"/>
    <w:rsid w:val="00B811C6"/>
    <w:rsid w:val="00B83C06"/>
    <w:rsid w:val="00B855B0"/>
    <w:rsid w:val="00B92E08"/>
    <w:rsid w:val="00B94929"/>
    <w:rsid w:val="00BA5401"/>
    <w:rsid w:val="00BB0B78"/>
    <w:rsid w:val="00BB5ADA"/>
    <w:rsid w:val="00BB6B61"/>
    <w:rsid w:val="00BB75D6"/>
    <w:rsid w:val="00BC622A"/>
    <w:rsid w:val="00BE0A78"/>
    <w:rsid w:val="00BE6542"/>
    <w:rsid w:val="00BE79F0"/>
    <w:rsid w:val="00BF046D"/>
    <w:rsid w:val="00BF1190"/>
    <w:rsid w:val="00BF166F"/>
    <w:rsid w:val="00BF3774"/>
    <w:rsid w:val="00BF5D04"/>
    <w:rsid w:val="00BF67B9"/>
    <w:rsid w:val="00BF7063"/>
    <w:rsid w:val="00C009AA"/>
    <w:rsid w:val="00C0147D"/>
    <w:rsid w:val="00C100B8"/>
    <w:rsid w:val="00C10917"/>
    <w:rsid w:val="00C1164D"/>
    <w:rsid w:val="00C16861"/>
    <w:rsid w:val="00C1787D"/>
    <w:rsid w:val="00C216AC"/>
    <w:rsid w:val="00C34133"/>
    <w:rsid w:val="00C346AB"/>
    <w:rsid w:val="00C404A6"/>
    <w:rsid w:val="00C40A36"/>
    <w:rsid w:val="00C43012"/>
    <w:rsid w:val="00C44419"/>
    <w:rsid w:val="00C444F3"/>
    <w:rsid w:val="00C45E7B"/>
    <w:rsid w:val="00C471B1"/>
    <w:rsid w:val="00C47FF3"/>
    <w:rsid w:val="00C525A2"/>
    <w:rsid w:val="00C52E24"/>
    <w:rsid w:val="00C56E48"/>
    <w:rsid w:val="00C6316B"/>
    <w:rsid w:val="00C634A9"/>
    <w:rsid w:val="00C64586"/>
    <w:rsid w:val="00C70A36"/>
    <w:rsid w:val="00C70D53"/>
    <w:rsid w:val="00C73D0B"/>
    <w:rsid w:val="00C74F5C"/>
    <w:rsid w:val="00C772FF"/>
    <w:rsid w:val="00C80137"/>
    <w:rsid w:val="00C801AF"/>
    <w:rsid w:val="00C80256"/>
    <w:rsid w:val="00C80656"/>
    <w:rsid w:val="00C8745E"/>
    <w:rsid w:val="00C9100E"/>
    <w:rsid w:val="00C94CD4"/>
    <w:rsid w:val="00C960D3"/>
    <w:rsid w:val="00C9667E"/>
    <w:rsid w:val="00C9747E"/>
    <w:rsid w:val="00C9786A"/>
    <w:rsid w:val="00CA1686"/>
    <w:rsid w:val="00CB6BC0"/>
    <w:rsid w:val="00CB7532"/>
    <w:rsid w:val="00CC1B7C"/>
    <w:rsid w:val="00CC4F8C"/>
    <w:rsid w:val="00CC5044"/>
    <w:rsid w:val="00CC727F"/>
    <w:rsid w:val="00CD6F65"/>
    <w:rsid w:val="00CF15C3"/>
    <w:rsid w:val="00CF2B6F"/>
    <w:rsid w:val="00CF2F3E"/>
    <w:rsid w:val="00CF58B6"/>
    <w:rsid w:val="00CF5DAD"/>
    <w:rsid w:val="00D0062D"/>
    <w:rsid w:val="00D017ED"/>
    <w:rsid w:val="00D040D3"/>
    <w:rsid w:val="00D04C65"/>
    <w:rsid w:val="00D05F2E"/>
    <w:rsid w:val="00D153D8"/>
    <w:rsid w:val="00D201D2"/>
    <w:rsid w:val="00D212F3"/>
    <w:rsid w:val="00D224FE"/>
    <w:rsid w:val="00D22C5A"/>
    <w:rsid w:val="00D23139"/>
    <w:rsid w:val="00D37BC0"/>
    <w:rsid w:val="00D40749"/>
    <w:rsid w:val="00D425BB"/>
    <w:rsid w:val="00D43023"/>
    <w:rsid w:val="00D453FA"/>
    <w:rsid w:val="00D45C64"/>
    <w:rsid w:val="00D513EE"/>
    <w:rsid w:val="00D560F2"/>
    <w:rsid w:val="00D56348"/>
    <w:rsid w:val="00D6493E"/>
    <w:rsid w:val="00D7195D"/>
    <w:rsid w:val="00D72CBA"/>
    <w:rsid w:val="00D7301E"/>
    <w:rsid w:val="00D74DC5"/>
    <w:rsid w:val="00D817EB"/>
    <w:rsid w:val="00D83AE1"/>
    <w:rsid w:val="00D83BC0"/>
    <w:rsid w:val="00D854AC"/>
    <w:rsid w:val="00D855D4"/>
    <w:rsid w:val="00D902C9"/>
    <w:rsid w:val="00D91F00"/>
    <w:rsid w:val="00D93466"/>
    <w:rsid w:val="00DA1124"/>
    <w:rsid w:val="00DA64CB"/>
    <w:rsid w:val="00DB06B8"/>
    <w:rsid w:val="00DB6124"/>
    <w:rsid w:val="00DB750B"/>
    <w:rsid w:val="00DB75B7"/>
    <w:rsid w:val="00DC0A2F"/>
    <w:rsid w:val="00DC1948"/>
    <w:rsid w:val="00DC6E02"/>
    <w:rsid w:val="00DD1C24"/>
    <w:rsid w:val="00DD28CD"/>
    <w:rsid w:val="00DE02AE"/>
    <w:rsid w:val="00DE39D1"/>
    <w:rsid w:val="00DE4789"/>
    <w:rsid w:val="00DE70FF"/>
    <w:rsid w:val="00DF1D7F"/>
    <w:rsid w:val="00DF4BE4"/>
    <w:rsid w:val="00DF7C6F"/>
    <w:rsid w:val="00E02382"/>
    <w:rsid w:val="00E02FB4"/>
    <w:rsid w:val="00E05BF3"/>
    <w:rsid w:val="00E13FC7"/>
    <w:rsid w:val="00E146DE"/>
    <w:rsid w:val="00E20571"/>
    <w:rsid w:val="00E235F7"/>
    <w:rsid w:val="00E23659"/>
    <w:rsid w:val="00E239D4"/>
    <w:rsid w:val="00E25045"/>
    <w:rsid w:val="00E251B9"/>
    <w:rsid w:val="00E26130"/>
    <w:rsid w:val="00E272C3"/>
    <w:rsid w:val="00E30C2B"/>
    <w:rsid w:val="00E334F4"/>
    <w:rsid w:val="00E33D42"/>
    <w:rsid w:val="00E40B22"/>
    <w:rsid w:val="00E44ED1"/>
    <w:rsid w:val="00E45619"/>
    <w:rsid w:val="00E4588F"/>
    <w:rsid w:val="00E46DA3"/>
    <w:rsid w:val="00E51BB1"/>
    <w:rsid w:val="00E53458"/>
    <w:rsid w:val="00E55CB0"/>
    <w:rsid w:val="00E624A5"/>
    <w:rsid w:val="00E62A43"/>
    <w:rsid w:val="00E64BA4"/>
    <w:rsid w:val="00E65094"/>
    <w:rsid w:val="00E7344E"/>
    <w:rsid w:val="00E744B6"/>
    <w:rsid w:val="00E82665"/>
    <w:rsid w:val="00EB0798"/>
    <w:rsid w:val="00EB184F"/>
    <w:rsid w:val="00EB36D6"/>
    <w:rsid w:val="00EB40AD"/>
    <w:rsid w:val="00EB565B"/>
    <w:rsid w:val="00EB586E"/>
    <w:rsid w:val="00EB5FC8"/>
    <w:rsid w:val="00EB6459"/>
    <w:rsid w:val="00EC463D"/>
    <w:rsid w:val="00EC7A85"/>
    <w:rsid w:val="00ED2922"/>
    <w:rsid w:val="00ED3CAD"/>
    <w:rsid w:val="00ED5A41"/>
    <w:rsid w:val="00ED7125"/>
    <w:rsid w:val="00EE1DE8"/>
    <w:rsid w:val="00EE27C2"/>
    <w:rsid w:val="00EE5285"/>
    <w:rsid w:val="00EE5E45"/>
    <w:rsid w:val="00EF19F6"/>
    <w:rsid w:val="00EF4BAD"/>
    <w:rsid w:val="00EF59DC"/>
    <w:rsid w:val="00F033EC"/>
    <w:rsid w:val="00F03DBF"/>
    <w:rsid w:val="00F04F68"/>
    <w:rsid w:val="00F12670"/>
    <w:rsid w:val="00F14B27"/>
    <w:rsid w:val="00F3148D"/>
    <w:rsid w:val="00F316C5"/>
    <w:rsid w:val="00F325C5"/>
    <w:rsid w:val="00F32FE0"/>
    <w:rsid w:val="00F35298"/>
    <w:rsid w:val="00F36E4E"/>
    <w:rsid w:val="00F47333"/>
    <w:rsid w:val="00F47E37"/>
    <w:rsid w:val="00F53C07"/>
    <w:rsid w:val="00F54B65"/>
    <w:rsid w:val="00F63DBF"/>
    <w:rsid w:val="00F640B6"/>
    <w:rsid w:val="00F66DF2"/>
    <w:rsid w:val="00F80E40"/>
    <w:rsid w:val="00F848D9"/>
    <w:rsid w:val="00F931CE"/>
    <w:rsid w:val="00FA4BBA"/>
    <w:rsid w:val="00FA5069"/>
    <w:rsid w:val="00FA5B82"/>
    <w:rsid w:val="00FA639E"/>
    <w:rsid w:val="00FC0AB4"/>
    <w:rsid w:val="00FC1FCA"/>
    <w:rsid w:val="00FC25E4"/>
    <w:rsid w:val="00FC4EF7"/>
    <w:rsid w:val="00FD0824"/>
    <w:rsid w:val="00FD119B"/>
    <w:rsid w:val="00FD1EDC"/>
    <w:rsid w:val="00FE1DEE"/>
    <w:rsid w:val="00FE39EC"/>
    <w:rsid w:val="00FE7AF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A8FA9"/>
  <w15:docId w15:val="{637951CF-3698-4264-A32C-876AEB5DB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9F0559"/>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272280"/>
    <w:pPr>
      <w:spacing w:before="0" w:after="0" w:line="240" w:lineRule="auto"/>
      <w:ind w:left="720"/>
      <w:contextualSpacing/>
    </w:pPr>
    <w:rPr>
      <w:rFonts w:ascii="Times New Roman" w:eastAsia="Times New Roman" w:hAnsi="Times New Roman"/>
      <w:sz w:val="24"/>
      <w:szCs w:val="20"/>
      <w:lang w:eastAsia="en-AU"/>
    </w:rPr>
  </w:style>
  <w:style w:type="paragraph" w:customStyle="1" w:styleId="TableText0">
    <w:name w:val="Table Text"/>
    <w:basedOn w:val="Normal"/>
    <w:next w:val="Normal"/>
    <w:rsid w:val="00272280"/>
    <w:pPr>
      <w:spacing w:before="60" w:after="60" w:line="259" w:lineRule="auto"/>
    </w:pPr>
    <w:rPr>
      <w:rFonts w:asciiTheme="minorHAnsi" w:eastAsia="Times New Roman" w:hAnsiTheme="minorHAnsi"/>
      <w:sz w:val="18"/>
      <w:szCs w:val="20"/>
    </w:rPr>
  </w:style>
  <w:style w:type="paragraph" w:customStyle="1" w:styleId="Standard">
    <w:name w:val="Standard"/>
    <w:basedOn w:val="Normal"/>
    <w:link w:val="StandardChar"/>
    <w:qFormat/>
    <w:rsid w:val="00272280"/>
    <w:pPr>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rsid w:val="00272280"/>
    <w:rPr>
      <w:rFonts w:ascii="Cambria" w:eastAsia="Times New Roman" w:hAnsi="Cambria" w:cs="Times New Roman"/>
      <w:snapToGrid w:val="0"/>
      <w:kern w:val="16"/>
      <w:szCs w:val="24"/>
    </w:rPr>
  </w:style>
  <w:style w:type="paragraph" w:customStyle="1" w:styleId="FigureCaption">
    <w:name w:val="Figure Caption"/>
    <w:basedOn w:val="Normal"/>
    <w:qFormat/>
    <w:rsid w:val="00E251B9"/>
    <w:pPr>
      <w:adjustRightInd w:val="0"/>
      <w:snapToGrid w:val="0"/>
      <w:spacing w:before="180" w:after="180" w:line="259" w:lineRule="auto"/>
    </w:pPr>
    <w:rPr>
      <w:rFonts w:ascii="Times New Roman" w:eastAsia="MS Mincho" w:hAnsi="Times New Roman"/>
      <w:sz w:val="24"/>
      <w:szCs w:val="20"/>
      <w:lang w:eastAsia="ja-JP"/>
    </w:rPr>
  </w:style>
  <w:style w:type="paragraph" w:customStyle="1" w:styleId="TableCaption">
    <w:name w:val="Table Caption"/>
    <w:basedOn w:val="FigureCaption"/>
    <w:qFormat/>
    <w:rsid w:val="00E251B9"/>
    <w:pPr>
      <w:spacing w:after="240"/>
    </w:pPr>
    <w:rPr>
      <w:sz w:val="17"/>
    </w:rPr>
  </w:style>
  <w:style w:type="table" w:customStyle="1" w:styleId="TableTGA2">
    <w:name w:val="Table TGA 2"/>
    <w:basedOn w:val="TableNormal"/>
    <w:uiPriority w:val="99"/>
    <w:rsid w:val="00E251B9"/>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E251B9"/>
    <w:pPr>
      <w:adjustRightInd w:val="0"/>
      <w:snapToGrid w:val="0"/>
      <w:spacing w:before="180" w:after="180" w:line="259" w:lineRule="auto"/>
    </w:pPr>
    <w:rPr>
      <w:rFonts w:ascii="Times New Roman" w:eastAsia="MS Mincho" w:hAnsi="Times New Roman"/>
      <w:b/>
      <w:sz w:val="24"/>
      <w:szCs w:val="20"/>
      <w:lang w:eastAsia="ja-JP"/>
    </w:rPr>
  </w:style>
  <w:style w:type="paragraph" w:customStyle="1" w:styleId="Addressee">
    <w:name w:val="Addressee"/>
    <w:basedOn w:val="Normal"/>
    <w:qFormat/>
    <w:rsid w:val="00E251B9"/>
    <w:pPr>
      <w:adjustRightInd w:val="0"/>
      <w:snapToGrid w:val="0"/>
      <w:spacing w:before="180" w:after="180" w:line="259" w:lineRule="auto"/>
    </w:pPr>
    <w:rPr>
      <w:rFonts w:ascii="Times New Roman" w:eastAsia="MS Mincho" w:hAnsi="Times New Roman"/>
      <w:sz w:val="24"/>
      <w:szCs w:val="20"/>
      <w:lang w:eastAsia="ja-JP"/>
    </w:rPr>
  </w:style>
  <w:style w:type="character" w:customStyle="1" w:styleId="ABN">
    <w:name w:val="ABN"/>
    <w:basedOn w:val="DefaultParagraphFont"/>
    <w:uiPriority w:val="1"/>
    <w:qFormat/>
    <w:rsid w:val="00E251B9"/>
    <w:rPr>
      <w:rFonts w:ascii="Arial" w:hAnsi="Arial"/>
      <w:color w:val="002C47"/>
      <w:sz w:val="14"/>
    </w:rPr>
  </w:style>
  <w:style w:type="paragraph" w:customStyle="1" w:styleId="BodyCopy">
    <w:name w:val="Body Copy"/>
    <w:basedOn w:val="Normal"/>
    <w:qFormat/>
    <w:rsid w:val="00E251B9"/>
    <w:pPr>
      <w:adjustRightInd w:val="0"/>
      <w:snapToGrid w:val="0"/>
      <w:spacing w:before="180" w:after="180" w:line="259" w:lineRule="auto"/>
    </w:pPr>
    <w:rPr>
      <w:rFonts w:ascii="Times New Roman" w:eastAsia="MS Mincho" w:hAnsi="Times New Roman"/>
      <w:sz w:val="24"/>
      <w:szCs w:val="20"/>
      <w:lang w:eastAsia="ja-JP"/>
    </w:rPr>
  </w:style>
  <w:style w:type="paragraph" w:customStyle="1" w:styleId="Bulletpoint">
    <w:name w:val="Bullet point"/>
    <w:basedOn w:val="Standard"/>
    <w:rsid w:val="00E251B9"/>
    <w:pPr>
      <w:numPr>
        <w:numId w:val="5"/>
      </w:numPr>
      <w:tabs>
        <w:tab w:val="clear" w:pos="369"/>
        <w:tab w:val="left" w:pos="397"/>
        <w:tab w:val="num" w:pos="511"/>
      </w:tabs>
      <w:ind w:left="0" w:firstLine="0"/>
    </w:pPr>
    <w:rPr>
      <w:rFonts w:ascii="Times New Roman" w:hAnsi="Times New Roman"/>
    </w:rPr>
  </w:style>
  <w:style w:type="paragraph" w:customStyle="1" w:styleId="PISubsection">
    <w:name w:val="PI Subsection"/>
    <w:basedOn w:val="Standard"/>
    <w:next w:val="Standard"/>
    <w:rsid w:val="00E251B9"/>
    <w:pPr>
      <w:keepNext/>
      <w:spacing w:after="120"/>
    </w:pPr>
    <w:rPr>
      <w:rFonts w:ascii="Times New Roman" w:hAnsi="Times New Roman"/>
      <w:b/>
      <w:i/>
      <w:kern w:val="2"/>
    </w:rPr>
  </w:style>
  <w:style w:type="paragraph" w:customStyle="1" w:styleId="TableHeading">
    <w:name w:val="Table Heading"/>
    <w:basedOn w:val="Normal"/>
    <w:rsid w:val="00E251B9"/>
    <w:pPr>
      <w:spacing w:before="0" w:after="160" w:line="259" w:lineRule="auto"/>
    </w:pPr>
    <w:rPr>
      <w:rFonts w:ascii="Calibri" w:eastAsia="Calibri" w:hAnsi="Calibri"/>
      <w:b/>
      <w:color w:val="FFFFFF"/>
      <w:sz w:val="20"/>
      <w:szCs w:val="24"/>
    </w:rPr>
  </w:style>
  <w:style w:type="paragraph" w:customStyle="1" w:styleId="Bullet2">
    <w:name w:val="Bullet 2"/>
    <w:basedOn w:val="Normal"/>
    <w:rsid w:val="00E251B9"/>
    <w:pPr>
      <w:numPr>
        <w:numId w:val="6"/>
      </w:numPr>
      <w:spacing w:before="0" w:after="0" w:line="240" w:lineRule="auto"/>
    </w:pPr>
    <w:rPr>
      <w:rFonts w:ascii="Times New Roman" w:eastAsia="Times New Roman" w:hAnsi="Times New Roman"/>
      <w:kern w:val="24"/>
      <w:sz w:val="24"/>
      <w:szCs w:val="24"/>
      <w:lang w:eastAsia="en-AU"/>
    </w:rPr>
  </w:style>
  <w:style w:type="paragraph" w:customStyle="1" w:styleId="Instructions1">
    <w:name w:val="Instructions 1"/>
    <w:basedOn w:val="Normal"/>
    <w:qFormat/>
    <w:rsid w:val="00E251B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160" w:line="240" w:lineRule="auto"/>
    </w:pPr>
    <w:rPr>
      <w:rFonts w:ascii="Calibri" w:eastAsia="Times New Roman" w:hAnsi="Calibri" w:cs="Calibri"/>
      <w:color w:val="FF0000"/>
      <w:kern w:val="16"/>
      <w:sz w:val="24"/>
      <w:szCs w:val="24"/>
      <w:lang w:eastAsia="en-AU"/>
    </w:rPr>
  </w:style>
  <w:style w:type="paragraph" w:customStyle="1" w:styleId="TableBullet">
    <w:name w:val="Table Bullet"/>
    <w:basedOn w:val="Normal"/>
    <w:rsid w:val="00E251B9"/>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customStyle="1" w:styleId="Comment1">
    <w:name w:val="Comment 1"/>
    <w:basedOn w:val="Normal"/>
    <w:next w:val="Normal"/>
    <w:qFormat/>
    <w:rsid w:val="00E251B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 w:val="24"/>
      <w:szCs w:val="20"/>
      <w:lang w:eastAsia="en-AU"/>
    </w:rPr>
  </w:style>
  <w:style w:type="paragraph" w:styleId="TOC4">
    <w:name w:val="toc 4"/>
    <w:basedOn w:val="Normal"/>
    <w:next w:val="Normal"/>
    <w:autoRedefine/>
    <w:uiPriority w:val="39"/>
    <w:unhideWhenUsed/>
    <w:rsid w:val="00E251B9"/>
    <w:pPr>
      <w:spacing w:before="0" w:after="100" w:line="276" w:lineRule="auto"/>
      <w:ind w:left="660"/>
    </w:pPr>
    <w:rPr>
      <w:rFonts w:ascii="Times New Roman" w:eastAsiaTheme="minorEastAsia" w:hAnsi="Times New Roman"/>
      <w:sz w:val="24"/>
      <w:szCs w:val="24"/>
      <w:lang w:eastAsia="en-AU"/>
    </w:rPr>
  </w:style>
  <w:style w:type="paragraph" w:styleId="TOC5">
    <w:name w:val="toc 5"/>
    <w:basedOn w:val="Normal"/>
    <w:next w:val="Normal"/>
    <w:autoRedefine/>
    <w:uiPriority w:val="39"/>
    <w:unhideWhenUsed/>
    <w:rsid w:val="00E251B9"/>
    <w:pPr>
      <w:spacing w:before="0" w:after="100" w:line="276" w:lineRule="auto"/>
      <w:ind w:left="880"/>
    </w:pPr>
    <w:rPr>
      <w:rFonts w:ascii="Times New Roman" w:eastAsiaTheme="minorEastAsia" w:hAnsi="Times New Roman"/>
      <w:sz w:val="24"/>
      <w:szCs w:val="24"/>
      <w:lang w:eastAsia="en-AU"/>
    </w:rPr>
  </w:style>
  <w:style w:type="paragraph" w:styleId="TOC6">
    <w:name w:val="toc 6"/>
    <w:basedOn w:val="Normal"/>
    <w:next w:val="Normal"/>
    <w:autoRedefine/>
    <w:uiPriority w:val="39"/>
    <w:unhideWhenUsed/>
    <w:rsid w:val="00E251B9"/>
    <w:pPr>
      <w:spacing w:before="0" w:after="100" w:line="276" w:lineRule="auto"/>
      <w:ind w:left="1100"/>
    </w:pPr>
    <w:rPr>
      <w:rFonts w:ascii="Times New Roman" w:eastAsiaTheme="minorEastAsia" w:hAnsi="Times New Roman"/>
      <w:sz w:val="24"/>
      <w:szCs w:val="24"/>
      <w:lang w:eastAsia="en-AU"/>
    </w:rPr>
  </w:style>
  <w:style w:type="paragraph" w:styleId="TOC7">
    <w:name w:val="toc 7"/>
    <w:basedOn w:val="Normal"/>
    <w:next w:val="Normal"/>
    <w:autoRedefine/>
    <w:uiPriority w:val="39"/>
    <w:unhideWhenUsed/>
    <w:rsid w:val="00E251B9"/>
    <w:pPr>
      <w:spacing w:before="0" w:after="100" w:line="276" w:lineRule="auto"/>
      <w:ind w:left="1320"/>
    </w:pPr>
    <w:rPr>
      <w:rFonts w:ascii="Times New Roman" w:eastAsiaTheme="minorEastAsia" w:hAnsi="Times New Roman"/>
      <w:sz w:val="24"/>
      <w:szCs w:val="24"/>
      <w:lang w:eastAsia="en-AU"/>
    </w:rPr>
  </w:style>
  <w:style w:type="paragraph" w:styleId="TOC8">
    <w:name w:val="toc 8"/>
    <w:basedOn w:val="Normal"/>
    <w:next w:val="Normal"/>
    <w:autoRedefine/>
    <w:uiPriority w:val="39"/>
    <w:unhideWhenUsed/>
    <w:rsid w:val="00E251B9"/>
    <w:pPr>
      <w:spacing w:before="0" w:after="100" w:line="276" w:lineRule="auto"/>
      <w:ind w:left="1540"/>
    </w:pPr>
    <w:rPr>
      <w:rFonts w:ascii="Times New Roman" w:eastAsiaTheme="minorEastAsia" w:hAnsi="Times New Roman"/>
      <w:sz w:val="24"/>
      <w:szCs w:val="24"/>
      <w:lang w:eastAsia="en-AU"/>
    </w:rPr>
  </w:style>
  <w:style w:type="paragraph" w:styleId="TOC9">
    <w:name w:val="toc 9"/>
    <w:basedOn w:val="Normal"/>
    <w:next w:val="Normal"/>
    <w:autoRedefine/>
    <w:uiPriority w:val="39"/>
    <w:unhideWhenUsed/>
    <w:rsid w:val="00E251B9"/>
    <w:pPr>
      <w:spacing w:before="0" w:after="100" w:line="276" w:lineRule="auto"/>
      <w:ind w:left="1760"/>
    </w:pPr>
    <w:rPr>
      <w:rFonts w:ascii="Times New Roman" w:eastAsiaTheme="minorEastAsia" w:hAnsi="Times New Roman"/>
      <w:sz w:val="24"/>
      <w:szCs w:val="24"/>
      <w:lang w:eastAsia="en-AU"/>
    </w:rPr>
  </w:style>
  <w:style w:type="paragraph" w:customStyle="1" w:styleId="Caption1">
    <w:name w:val="Caption1"/>
    <w:basedOn w:val="Normal"/>
    <w:link w:val="captionChar"/>
    <w:qFormat/>
    <w:rsid w:val="00E251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160" w:line="240" w:lineRule="auto"/>
      <w:outlineLvl w:val="6"/>
    </w:pPr>
    <w:rPr>
      <w:rFonts w:ascii="Times New Roman" w:eastAsia="Times New Roman" w:hAnsi="Times New Roman"/>
      <w:b/>
      <w:bCs/>
      <w:kern w:val="16"/>
      <w:sz w:val="24"/>
      <w:szCs w:val="24"/>
      <w:lang w:eastAsia="en-AU"/>
    </w:rPr>
  </w:style>
  <w:style w:type="paragraph" w:styleId="TableofFigures">
    <w:name w:val="table of figures"/>
    <w:basedOn w:val="Normal"/>
    <w:next w:val="Normal"/>
    <w:uiPriority w:val="99"/>
    <w:unhideWhenUsed/>
    <w:rsid w:val="00E251B9"/>
    <w:pPr>
      <w:spacing w:before="0" w:after="0" w:line="259" w:lineRule="auto"/>
    </w:pPr>
    <w:rPr>
      <w:rFonts w:ascii="Times New Roman" w:eastAsiaTheme="minorHAnsi" w:hAnsi="Times New Roman"/>
      <w:sz w:val="24"/>
      <w:szCs w:val="24"/>
    </w:rPr>
  </w:style>
  <w:style w:type="character" w:customStyle="1" w:styleId="captionChar">
    <w:name w:val="caption Char"/>
    <w:basedOn w:val="DefaultParagraphFont"/>
    <w:link w:val="Caption1"/>
    <w:rsid w:val="00E251B9"/>
    <w:rPr>
      <w:rFonts w:ascii="Times New Roman" w:eastAsia="Times New Roman" w:hAnsi="Times New Roman" w:cs="Times New Roman"/>
      <w:b/>
      <w:bCs/>
      <w:kern w:val="16"/>
      <w:sz w:val="24"/>
      <w:szCs w:val="24"/>
      <w:lang w:eastAsia="en-AU"/>
    </w:rPr>
  </w:style>
  <w:style w:type="paragraph" w:customStyle="1" w:styleId="Bulletlist">
    <w:name w:val="Bullet list"/>
    <w:basedOn w:val="Standard"/>
    <w:link w:val="BulletlistChar"/>
    <w:qFormat/>
    <w:rsid w:val="00E251B9"/>
    <w:pPr>
      <w:numPr>
        <w:numId w:val="8"/>
      </w:numPr>
      <w:ind w:left="426" w:hanging="284"/>
    </w:pPr>
    <w:rPr>
      <w:rFonts w:ascii="Times New Roman" w:hAnsi="Times New Roman"/>
      <w:kern w:val="2"/>
      <w:sz w:val="23"/>
    </w:rPr>
  </w:style>
  <w:style w:type="character" w:customStyle="1" w:styleId="TabletextChar">
    <w:name w:val="Table text Char"/>
    <w:basedOn w:val="StandardChar"/>
    <w:link w:val="Tabletext"/>
    <w:rsid w:val="00E251B9"/>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E251B9"/>
    <w:rPr>
      <w:rFonts w:ascii="Times New Roman" w:eastAsia="Times New Roman" w:hAnsi="Times New Roman" w:cs="Times New Roman"/>
      <w:snapToGrid w:val="0"/>
      <w:kern w:val="2"/>
      <w:sz w:val="23"/>
      <w:szCs w:val="24"/>
    </w:rPr>
  </w:style>
  <w:style w:type="paragraph" w:customStyle="1" w:styleId="TableHeader">
    <w:name w:val="Table Header"/>
    <w:basedOn w:val="Normal"/>
    <w:rsid w:val="00E251B9"/>
    <w:pPr>
      <w:keepNext/>
      <w:keepLines/>
      <w:widowControl w:val="0"/>
      <w:spacing w:before="60" w:after="60" w:line="200" w:lineRule="exact"/>
      <w:jc w:val="center"/>
    </w:pPr>
    <w:rPr>
      <w:rFonts w:eastAsia="MS Mincho"/>
      <w:b/>
      <w:kern w:val="2"/>
      <w:sz w:val="20"/>
      <w:szCs w:val="19"/>
    </w:rPr>
  </w:style>
  <w:style w:type="character" w:styleId="UnresolvedMention">
    <w:name w:val="Unresolved Mention"/>
    <w:basedOn w:val="DefaultParagraphFont"/>
    <w:uiPriority w:val="99"/>
    <w:semiHidden/>
    <w:unhideWhenUsed/>
    <w:rsid w:val="001F3D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15774">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546843923">
      <w:bodyDiv w:val="1"/>
      <w:marLeft w:val="0"/>
      <w:marRight w:val="0"/>
      <w:marTop w:val="0"/>
      <w:marBottom w:val="0"/>
      <w:divBdr>
        <w:top w:val="none" w:sz="0" w:space="0" w:color="auto"/>
        <w:left w:val="none" w:sz="0" w:space="0" w:color="auto"/>
        <w:bottom w:val="none" w:sz="0" w:space="0" w:color="auto"/>
        <w:right w:val="none" w:sz="0" w:space="0" w:color="auto"/>
      </w:divBdr>
    </w:div>
    <w:div w:id="1034380842">
      <w:bodyDiv w:val="1"/>
      <w:marLeft w:val="0"/>
      <w:marRight w:val="0"/>
      <w:marTop w:val="0"/>
      <w:marBottom w:val="0"/>
      <w:divBdr>
        <w:top w:val="none" w:sz="0" w:space="0" w:color="auto"/>
        <w:left w:val="none" w:sz="0" w:space="0" w:color="auto"/>
        <w:bottom w:val="none" w:sz="0" w:space="0" w:color="auto"/>
        <w:right w:val="none" w:sz="0" w:space="0" w:color="auto"/>
      </w:divBdr>
    </w:div>
    <w:div w:id="1470977586">
      <w:bodyDiv w:val="1"/>
      <w:marLeft w:val="0"/>
      <w:marRight w:val="0"/>
      <w:marTop w:val="0"/>
      <w:marBottom w:val="0"/>
      <w:divBdr>
        <w:top w:val="none" w:sz="0" w:space="0" w:color="auto"/>
        <w:left w:val="none" w:sz="0" w:space="0" w:color="auto"/>
        <w:bottom w:val="none" w:sz="0" w:space="0" w:color="auto"/>
        <w:right w:val="none" w:sz="0" w:space="0" w:color="auto"/>
      </w:divBdr>
    </w:div>
    <w:div w:id="1728071068">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hyperlink" Target="https://www.tga.gov.au/resources/resource/international-scientific-guidelines/international-scientific-guideline-ich-topic-q-5-r1-note-guidance-quality-biotechnological-products-viral-safety-evaluation-biotechnology-products-derived-cell-lines-human-or-animal-origin" TargetMode="External"/><Relationship Id="rId26" Type="http://schemas.openxmlformats.org/officeDocument/2006/relationships/header" Target="header3.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tga.gov.au/picmi-search-facility"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resources/resource/international-scientific-guidelines/international-scientific-guideline-note-guidance-virus-validation-studies-design-contribution-and-interpretation-studies-validating-inactivation-and-removal-virus" TargetMode="External"/><Relationship Id="rId25" Type="http://schemas.openxmlformats.org/officeDocument/2006/relationships/image" Target="media/image8.jpeg"/><Relationship Id="rId33" Type="http://schemas.openxmlformats.org/officeDocument/2006/relationships/hyperlink" Target="https://www.tga.gov.au/committee/advisory-committee-vaccines-acv" TargetMode="Externa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tga.gov.au/resources/resource/international-scientific-guidelines/international-scientific-guideline-guideline-clinical-evaluation-new-vaccines" TargetMode="External"/><Relationship Id="rId20" Type="http://schemas.openxmlformats.org/officeDocument/2006/relationships/image" Target="media/image3.png"/><Relationship Id="rId29" Type="http://schemas.openxmlformats.org/officeDocument/2006/relationships/footer" Target="footer2.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s://www.tga.gov.au/tgas-risk-management-approach" TargetMode="Externa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www.tga.gov.au/picmi-search-facility" TargetMode="External"/><Relationship Id="rId23" Type="http://schemas.openxmlformats.org/officeDocument/2006/relationships/image" Target="media/image6.png"/><Relationship Id="rId28" Type="http://schemas.openxmlformats.org/officeDocument/2006/relationships/header" Target="header5.xml"/><Relationship Id="rId36"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2.png"/><Relationship Id="rId31" Type="http://schemas.openxmlformats.org/officeDocument/2006/relationships/hyperlink" Target="https://www.tga.gov.au/publication/risk-management-plans-medicines-and-biologicals" TargetMode="Externa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image" Target="media/image9.jpeg"/><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news-room/fact-sheets/detail/rabies" TargetMode="External"/><Relationship Id="rId3" Type="http://schemas.openxmlformats.org/officeDocument/2006/relationships/hyperlink" Target="https://immunisationhandbook.health.gov.au/contents/vaccine-preventable-diseases/rabies-and-other-lyssaviruses" TargetMode="External"/><Relationship Id="rId7" Type="http://schemas.openxmlformats.org/officeDocument/2006/relationships/hyperlink" Target="https://www.business.qld.gov.au/industries/farms-fishingforestry/agriculture/livestock/animal-welfare/pests-diseases-disorders/australian-batlyssavirus" TargetMode="External"/><Relationship Id="rId2" Type="http://schemas.openxmlformats.org/officeDocument/2006/relationships/hyperlink" Target="https://www.health.gov.au/resources/publications/rabies-and-other-lyssavirus-cdna-national-guidelines-for-public-health-units" TargetMode="External"/><Relationship Id="rId1" Type="http://schemas.openxmlformats.org/officeDocument/2006/relationships/hyperlink" Target="https://ictv.global/report/chapter/rhabdoviridae/rhabdoviridae/lyssavirus" TargetMode="External"/><Relationship Id="rId6" Type="http://schemas.openxmlformats.org/officeDocument/2006/relationships/hyperlink" Target="https://apps.who.int/iris/bitstream/handle/10665/272364/9789241210218-eng.pdf" TargetMode="External"/><Relationship Id="rId5" Type="http://schemas.openxmlformats.org/officeDocument/2006/relationships/hyperlink" Target="https://www.health.nsw.gov.au/Infectious/controlguideline/Pages/rabies.aspx" TargetMode="External"/><Relationship Id="rId10" Type="http://schemas.openxmlformats.org/officeDocument/2006/relationships/hyperlink" Target="https://apps.who.int/iris/bitstream/handle/10665/272364/9789241210218-eng.pdf" TargetMode="External"/><Relationship Id="rId4" Type="http://schemas.openxmlformats.org/officeDocument/2006/relationships/hyperlink" Target="https://www.who.int/news-room/fact-sheets/detail/rabies" TargetMode="External"/><Relationship Id="rId9" Type="http://schemas.openxmlformats.org/officeDocument/2006/relationships/hyperlink" Target="https://immunisationhandbook.health.gov.au/contents/vaccine-preventable-diseases/rabies-and-other-lyssavirus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1028\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E3172-78D2-45DD-AC3D-1CBEBFAD7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733</TotalTime>
  <Pages>41</Pages>
  <Words>14265</Words>
  <Characters>81314</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Australian public assessment report for Verorab</vt:lpstr>
    </vt:vector>
  </TitlesOfParts>
  <Company>Department of Health and Aged Care</Company>
  <LinksUpToDate>false</LinksUpToDate>
  <CharactersWithSpaces>95389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Verorab</dc:title>
  <dc:subject>prescription medicine regulation</dc:subject>
  <dc:creator>Therapeutic Goods Administration</dc:creator>
  <cp:keywords/>
  <cp:lastModifiedBy>PITKIN, Brendan</cp:lastModifiedBy>
  <cp:revision>20</cp:revision>
  <cp:lastPrinted>2019-08-14T04:30:00Z</cp:lastPrinted>
  <dcterms:created xsi:type="dcterms:W3CDTF">2023-03-24T01:49:00Z</dcterms:created>
  <dcterms:modified xsi:type="dcterms:W3CDTF">2023-05-11T04:35:00Z</dcterms:modified>
  <cp:category/>
</cp:coreProperties>
</file>