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E7449" w14:textId="77777777" w:rsidR="001B519B" w:rsidRPr="00BA6BDC" w:rsidRDefault="001B519B" w:rsidP="001B519B">
      <w:pPr>
        <w:tabs>
          <w:tab w:val="left" w:pos="284"/>
        </w:tabs>
        <w:spacing w:before="0" w:after="480"/>
      </w:pPr>
      <w:r w:rsidRPr="00BA6BDC">
        <w:rPr>
          <w:noProof/>
          <w:lang w:val="en-AU" w:eastAsia="en-AU"/>
        </w:rPr>
        <mc:AlternateContent>
          <mc:Choice Requires="wps">
            <w:drawing>
              <wp:inline distT="0" distB="0" distL="0" distR="0" wp14:anchorId="1C8574D4" wp14:editId="46DFB90A">
                <wp:extent cx="252095" cy="414020"/>
                <wp:effectExtent l="0" t="0" r="0" b="508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414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DCA21A" w14:textId="77777777" w:rsidR="004A654A" w:rsidRPr="00BE2A26" w:rsidRDefault="004A654A" w:rsidP="001B519B">
                            <w:pPr>
                              <w:rPr>
                                <w:rFonts w:ascii="Wingdings 3" w:hAnsi="Wingdings 3" w:hint="eastAsia"/>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1C8574D4" id="_x0000_t202" coordsize="21600,21600" o:spt="202" path="m,l,21600r21600,l21600,xe">
                <v:stroke joinstyle="miter"/>
                <v:path gradientshapeok="t" o:connecttype="rect"/>
              </v:shapetype>
              <v:shape id="Text Box 1" o:spid="_x0000_s1026" type="#_x0000_t202" style="width:19.85pt;height:3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" stroked="f">
                <v:textbox inset="0,0,0,0">
                  <w:txbxContent>
                    <w:p w14:paraId="47DCA21A" w14:textId="77777777" w:rsidR="004A654A" w:rsidRPr="00BE2A26" w:rsidRDefault="004A654A" w:rsidP="001B519B">
                      <w:pPr>
                        <w:rPr>
                          <w:rFonts w:ascii="Wingdings 3" w:hAnsi="Wingdings 3" w:hint="eastAsia"/>
                        </w:rPr>
                      </w:pPr>
                      <w:r w:rsidRPr="00BE2A26">
                        <w:rPr>
                          <w:rFonts w:ascii="SimSun" w:eastAsia="SimSun" w:hAnsi="SimSun" w:cs="Arial" w:hint="eastAsia"/>
                          <w:sz w:val="40"/>
                        </w:rPr>
                        <w:t>▼</w:t>
                      </w:r>
                    </w:p>
                  </w:txbxContent>
                </v:textbox>
                <w10:anchorlock/>
              </v:shape>
            </w:pict>
          </mc:Fallback>
        </mc:AlternateContent>
      </w:r>
      <w:r w:rsidRPr="00BA6BDC">
        <w:t>This medicinal product is subject to additional monitoring in Australia. This will allow quick identification of new safety information. Healthcare professionals are asked to report any suspected adverse events at www.tga.gov.au/reporting-problems.</w:t>
      </w:r>
    </w:p>
    <w:p w14:paraId="2C8FDFD3" w14:textId="0D40A682" w:rsidR="004032BD" w:rsidRPr="00BA6BDC" w:rsidRDefault="00D86276" w:rsidP="00024098">
      <w:pPr>
        <w:pStyle w:val="Heading1"/>
        <w:keepNext w:val="0"/>
        <w:pageBreakBefore w:val="0"/>
        <w:numPr>
          <w:ilvl w:val="0"/>
          <w:numId w:val="0"/>
        </w:numPr>
        <w:spacing w:after="240"/>
        <w:rPr>
          <w:rFonts w:eastAsia="SimSun"/>
          <w:lang w:val="en-AU"/>
        </w:rPr>
      </w:pPr>
      <w:r w:rsidRPr="00BA6BDC">
        <w:rPr>
          <w:rFonts w:eastAsia="SimSun"/>
          <w:lang w:val="en-AU"/>
        </w:rPr>
        <w:t xml:space="preserve">Australian product </w:t>
      </w:r>
      <w:r w:rsidR="004032BD" w:rsidRPr="00BA6BDC">
        <w:rPr>
          <w:rFonts w:eastAsia="SimSun"/>
          <w:lang w:val="en-AU"/>
        </w:rPr>
        <w:t>I</w:t>
      </w:r>
      <w:r w:rsidRPr="00BA6BDC">
        <w:rPr>
          <w:rFonts w:eastAsia="SimSun"/>
          <w:lang w:val="en-AU"/>
        </w:rPr>
        <w:t>nformation</w:t>
      </w:r>
      <w:r w:rsidR="004032BD" w:rsidRPr="00BA6BDC">
        <w:rPr>
          <w:rFonts w:eastAsia="SimSun"/>
          <w:lang w:val="en-AU"/>
        </w:rPr>
        <w:t xml:space="preserve"> –</w:t>
      </w:r>
      <w:r w:rsidR="00E53688" w:rsidRPr="00BA6BDC">
        <w:rPr>
          <w:rFonts w:eastAsia="SimSun"/>
          <w:lang w:val="en-AU"/>
        </w:rPr>
        <w:t xml:space="preserve"> </w:t>
      </w:r>
      <w:r w:rsidR="00882323" w:rsidRPr="00BA6BDC">
        <w:rPr>
          <w:rFonts w:eastAsia="SimSun"/>
          <w:lang w:val="en-AU"/>
        </w:rPr>
        <w:t>VERORAB</w:t>
      </w:r>
      <w:r w:rsidR="00E53688" w:rsidRPr="00BA6BDC">
        <w:rPr>
          <w:rFonts w:eastAsia="SimSun"/>
          <w:lang w:val="en-AU"/>
        </w:rPr>
        <w:t xml:space="preserve"> (</w:t>
      </w:r>
      <w:r w:rsidR="00A67B0A" w:rsidRPr="00981603">
        <w:rPr>
          <w:rFonts w:eastAsia="SimSun"/>
          <w:lang w:val="en-AU"/>
        </w:rPr>
        <w:t>rabies virus, inactivated</w:t>
      </w:r>
      <w:r w:rsidR="00E53688" w:rsidRPr="00BA6BDC">
        <w:rPr>
          <w:rFonts w:eastAsia="SimSun"/>
          <w:lang w:val="en-AU"/>
        </w:rPr>
        <w:t>)</w:t>
      </w:r>
    </w:p>
    <w:p w14:paraId="268A6A2F" w14:textId="77777777" w:rsidR="00024098" w:rsidRPr="00BA6BDC" w:rsidRDefault="00024098" w:rsidP="00024098">
      <w:pPr>
        <w:rPr>
          <w:lang w:val="en-AU"/>
        </w:rPr>
      </w:pPr>
    </w:p>
    <w:p w14:paraId="27186052" w14:textId="77777777" w:rsidR="001A3992" w:rsidRPr="00BA6BDC" w:rsidRDefault="001A3992" w:rsidP="00E71F4B">
      <w:pPr>
        <w:pStyle w:val="Heading1"/>
        <w:keepNext w:val="0"/>
        <w:pageBreakBefore w:val="0"/>
        <w:spacing w:before="0" w:after="120"/>
        <w:rPr>
          <w:lang w:val="en-AU"/>
        </w:rPr>
      </w:pPr>
      <w:r w:rsidRPr="00BA6BDC">
        <w:rPr>
          <w:lang w:val="en-AU"/>
        </w:rPr>
        <w:t>Name of the medicine</w:t>
      </w:r>
    </w:p>
    <w:p w14:paraId="11021098" w14:textId="502F02F4" w:rsidR="00A76630" w:rsidRPr="00BA6BDC" w:rsidRDefault="003D5A12" w:rsidP="00A76630">
      <w:pPr>
        <w:rPr>
          <w:color w:val="000000" w:themeColor="text1"/>
        </w:rPr>
      </w:pPr>
      <w:r w:rsidRPr="00BA6BDC">
        <w:rPr>
          <w:color w:val="000000" w:themeColor="text1"/>
        </w:rPr>
        <w:t xml:space="preserve">Inactivated </w:t>
      </w:r>
      <w:r w:rsidR="00A76630" w:rsidRPr="00BA6BDC">
        <w:rPr>
          <w:color w:val="000000" w:themeColor="text1"/>
        </w:rPr>
        <w:t>Rabies Virus</w:t>
      </w:r>
    </w:p>
    <w:p w14:paraId="7E59B638" w14:textId="5225D8FC" w:rsidR="00292D82" w:rsidRPr="00BA6BDC" w:rsidRDefault="00C301BA" w:rsidP="00C301BA">
      <w:pPr>
        <w:spacing w:before="120"/>
        <w:jc w:val="both"/>
        <w:rPr>
          <w:lang w:val="en-AU"/>
        </w:rPr>
      </w:pPr>
      <w:r w:rsidRPr="00BA6BDC">
        <w:rPr>
          <w:lang w:val="en-AU"/>
        </w:rPr>
        <w:t xml:space="preserve"> </w:t>
      </w:r>
    </w:p>
    <w:p w14:paraId="52B07C67" w14:textId="77777777" w:rsidR="001A3992" w:rsidRPr="00BA6BDC" w:rsidRDefault="001A3992" w:rsidP="00024098">
      <w:pPr>
        <w:pStyle w:val="Heading1"/>
        <w:keepNext w:val="0"/>
        <w:pageBreakBefore w:val="0"/>
        <w:spacing w:before="0" w:after="120"/>
        <w:rPr>
          <w:lang w:val="en-AU"/>
        </w:rPr>
      </w:pPr>
      <w:bookmarkStart w:id="0" w:name="_Ref62741345"/>
      <w:r w:rsidRPr="00BA6BDC">
        <w:rPr>
          <w:lang w:val="en-AU"/>
        </w:rPr>
        <w:t>Qualitative and quantitative composition</w:t>
      </w:r>
      <w:bookmarkEnd w:id="0"/>
    </w:p>
    <w:p w14:paraId="667E5D6A" w14:textId="7AFCDC1B" w:rsidR="00F66A13" w:rsidRPr="00BA6BDC" w:rsidRDefault="00882323" w:rsidP="00F66A13">
      <w:pPr>
        <w:pStyle w:val="wcpBibliographicReference"/>
      </w:pPr>
      <w:proofErr w:type="spellStart"/>
      <w:r w:rsidRPr="00BA6BDC">
        <w:t>Verorab</w:t>
      </w:r>
      <w:proofErr w:type="spellEnd"/>
      <w:r w:rsidR="00F66A13" w:rsidRPr="00BA6BDC">
        <w:t xml:space="preserve"> is a Purified Vero Rabies Vaccine referred as PVRV. </w:t>
      </w:r>
    </w:p>
    <w:p w14:paraId="18D28C65" w14:textId="7AB369DC" w:rsidR="00F66A13" w:rsidRPr="00BA6BDC" w:rsidRDefault="00882323" w:rsidP="00F66A13">
      <w:proofErr w:type="spellStart"/>
      <w:r w:rsidRPr="00BA6BDC">
        <w:t>Verorab</w:t>
      </w:r>
      <w:proofErr w:type="spellEnd"/>
      <w:r w:rsidR="00F66A13" w:rsidRPr="00BA6BDC">
        <w:t xml:space="preserve"> is a sterile stable freeze-dried solution of purified and inactivated rabies virus from </w:t>
      </w:r>
      <w:r w:rsidR="000A238F" w:rsidRPr="00BA6BDC">
        <w:t xml:space="preserve">Wistar </w:t>
      </w:r>
      <w:r w:rsidR="00F66A13" w:rsidRPr="00BA6BDC">
        <w:t>strain PM/WI38 1503-3M. It is cultured on Vero cell, inactivated with Beta-</w:t>
      </w:r>
      <w:proofErr w:type="gramStart"/>
      <w:r w:rsidR="00F66A13" w:rsidRPr="00BA6BDC">
        <w:t>propiolactone</w:t>
      </w:r>
      <w:proofErr w:type="gramEnd"/>
      <w:r w:rsidR="00F66A13" w:rsidRPr="00BA6BDC">
        <w:t xml:space="preserve"> and purified by ultracentrifugation.</w:t>
      </w:r>
    </w:p>
    <w:p w14:paraId="4DFC1C14" w14:textId="283A026D" w:rsidR="00AA1248" w:rsidRPr="00981603" w:rsidRDefault="00F66A13" w:rsidP="00F66A13">
      <w:pPr>
        <w:rPr>
          <w:color w:val="auto"/>
        </w:rPr>
      </w:pPr>
      <w:r w:rsidRPr="00981603">
        <w:rPr>
          <w:color w:val="auto"/>
        </w:rPr>
        <w:t xml:space="preserve">One dose of vaccine contains </w:t>
      </w:r>
      <w:r w:rsidR="00BE1984" w:rsidRPr="00981603">
        <w:rPr>
          <w:color w:val="auto"/>
        </w:rPr>
        <w:t xml:space="preserve">3.25 </w:t>
      </w:r>
      <w:r w:rsidRPr="00981603">
        <w:rPr>
          <w:color w:val="auto"/>
        </w:rPr>
        <w:t>international units (IU) of rabies antigen</w:t>
      </w:r>
      <w:r w:rsidR="00BE1984" w:rsidRPr="00981603">
        <w:rPr>
          <w:color w:val="auto"/>
        </w:rPr>
        <w:t xml:space="preserve"> (</w:t>
      </w:r>
      <w:r w:rsidR="00BE1984" w:rsidRPr="00981603">
        <w:rPr>
          <w:i/>
          <w:iCs/>
          <w:color w:val="auto"/>
        </w:rPr>
        <w:t>in vitro</w:t>
      </w:r>
      <w:r w:rsidR="00BE1984" w:rsidRPr="00981603">
        <w:rPr>
          <w:color w:val="auto"/>
        </w:rPr>
        <w:t xml:space="preserve"> potency measured using G protein content by ELISA method</w:t>
      </w:r>
      <w:r w:rsidR="00DA75FD" w:rsidRPr="00981603">
        <w:rPr>
          <w:color w:val="auto"/>
        </w:rPr>
        <w:t>)</w:t>
      </w:r>
      <w:r w:rsidR="0047549D" w:rsidRPr="00981603">
        <w:rPr>
          <w:color w:val="auto"/>
        </w:rPr>
        <w:t xml:space="preserve"> </w:t>
      </w:r>
      <w:r w:rsidR="00827824" w:rsidRPr="00981603">
        <w:rPr>
          <w:color w:val="auto"/>
        </w:rPr>
        <w:t>(corresponds to ≥ 2.5 IU by NIH test)</w:t>
      </w:r>
    </w:p>
    <w:p w14:paraId="5BCE09E6" w14:textId="77777777" w:rsidR="00AA1248" w:rsidRPr="00981603" w:rsidRDefault="00AA1248" w:rsidP="00A67B0A">
      <w:pPr>
        <w:rPr>
          <w:color w:val="auto"/>
        </w:rPr>
      </w:pPr>
      <w:r w:rsidRPr="00981603">
        <w:rPr>
          <w:color w:val="auto"/>
        </w:rPr>
        <w:t xml:space="preserve">Excipient with known </w:t>
      </w:r>
      <w:bookmarkStart w:id="1" w:name="SUMMARY_OF_PRODUCT_CHARACTERISTICS"/>
      <w:bookmarkEnd w:id="1"/>
      <w:r w:rsidRPr="00981603">
        <w:rPr>
          <w:color w:val="auto"/>
        </w:rPr>
        <w:t>effect:</w:t>
      </w:r>
    </w:p>
    <w:p w14:paraId="0A5EA635" w14:textId="10817B79" w:rsidR="00AA1248" w:rsidRPr="00981603" w:rsidRDefault="00AA1248" w:rsidP="00A67B0A">
      <w:pPr>
        <w:rPr>
          <w:color w:val="auto"/>
        </w:rPr>
      </w:pPr>
      <w:r w:rsidRPr="00981603">
        <w:rPr>
          <w:color w:val="auto"/>
        </w:rPr>
        <w:t>Phenylalanine ................................</w:t>
      </w:r>
      <w:bookmarkStart w:id="2" w:name="ANNEX_I"/>
      <w:bookmarkEnd w:id="2"/>
      <w:r w:rsidRPr="00981603">
        <w:rPr>
          <w:color w:val="auto"/>
        </w:rPr>
        <w:t>...........................................................................4</w:t>
      </w:r>
      <w:r w:rsidR="00E346F8" w:rsidRPr="00981603">
        <w:rPr>
          <w:color w:val="auto"/>
        </w:rPr>
        <w:t>.</w:t>
      </w:r>
      <w:r w:rsidRPr="00981603">
        <w:rPr>
          <w:color w:val="auto"/>
        </w:rPr>
        <w:t>1 micrograms</w:t>
      </w:r>
    </w:p>
    <w:p w14:paraId="77D3D679" w14:textId="0493706C" w:rsidR="00F66A13" w:rsidRPr="00BA6BDC" w:rsidRDefault="00F66A13" w:rsidP="00F66A13">
      <w:r w:rsidRPr="00BA6BDC">
        <w:t>No adjuvant or preservative are added.</w:t>
      </w:r>
    </w:p>
    <w:p w14:paraId="14D7D167" w14:textId="2B388371" w:rsidR="00F66A13" w:rsidRPr="00BA6BDC" w:rsidRDefault="00882323" w:rsidP="00F66A13">
      <w:proofErr w:type="spellStart"/>
      <w:r w:rsidRPr="00BA6BDC">
        <w:t>Verorab</w:t>
      </w:r>
      <w:proofErr w:type="spellEnd"/>
      <w:r w:rsidR="00F66A13" w:rsidRPr="00BA6BDC">
        <w:t xml:space="preserve"> meets the World Health Organization (WHO) requirements for manufacture of biological substances.</w:t>
      </w:r>
    </w:p>
    <w:p w14:paraId="36891032" w14:textId="77777777" w:rsidR="00F66A13" w:rsidRPr="00BA6BDC" w:rsidRDefault="00F66A13" w:rsidP="00F66A13">
      <w:r w:rsidRPr="00BA6BDC">
        <w:t>For the full list of excipients, see Section 6.1 List of excipients</w:t>
      </w:r>
    </w:p>
    <w:p w14:paraId="62B55DA1" w14:textId="77777777" w:rsidR="000E1A58" w:rsidRPr="00BA6BDC" w:rsidRDefault="000E1A58" w:rsidP="000E1A58">
      <w:pPr>
        <w:pStyle w:val="wcpTableContent"/>
        <w:spacing w:before="120" w:after="0"/>
        <w:jc w:val="both"/>
      </w:pPr>
    </w:p>
    <w:p w14:paraId="62D5E199" w14:textId="77777777" w:rsidR="001A3992" w:rsidRPr="00BA6BDC" w:rsidRDefault="001A3992" w:rsidP="00835B37">
      <w:pPr>
        <w:pStyle w:val="Heading1"/>
        <w:keepNext w:val="0"/>
        <w:spacing w:before="0" w:after="120"/>
        <w:rPr>
          <w:lang w:val="en-AU"/>
        </w:rPr>
      </w:pPr>
      <w:r w:rsidRPr="00BA6BDC">
        <w:rPr>
          <w:lang w:val="en-AU"/>
        </w:rPr>
        <w:lastRenderedPageBreak/>
        <w:t>Pharmaceutical form</w:t>
      </w:r>
    </w:p>
    <w:p w14:paraId="7A64334C" w14:textId="77777777" w:rsidR="00F66A13" w:rsidRPr="00BA6BDC" w:rsidRDefault="00F66A13" w:rsidP="00882323">
      <w:pPr>
        <w:spacing w:after="240"/>
        <w:contextualSpacing/>
      </w:pPr>
      <w:r w:rsidRPr="00BA6BDC">
        <w:t>Powder and solvent for suspension for injection.</w:t>
      </w:r>
    </w:p>
    <w:p w14:paraId="7110E7A9" w14:textId="662806CF" w:rsidR="00F66A13" w:rsidRPr="00BA6BDC" w:rsidRDefault="00F66A13" w:rsidP="00882323">
      <w:pPr>
        <w:spacing w:after="240"/>
        <w:contextualSpacing/>
      </w:pPr>
      <w:r w:rsidRPr="00BA6BDC">
        <w:t xml:space="preserve">The powder is a white homogeneous pellet. </w:t>
      </w:r>
    </w:p>
    <w:p w14:paraId="309444BE" w14:textId="5D8A863E" w:rsidR="00F66A13" w:rsidRPr="00BA6BDC" w:rsidRDefault="00F66A13" w:rsidP="00882323">
      <w:pPr>
        <w:spacing w:after="240"/>
        <w:contextualSpacing/>
      </w:pPr>
      <w:r w:rsidRPr="00BA6BDC">
        <w:t xml:space="preserve">The solvent is a clear and colorless solution. </w:t>
      </w:r>
    </w:p>
    <w:p w14:paraId="4AB4B6DC" w14:textId="6592FA6A" w:rsidR="00F66A13" w:rsidRPr="00BA6BDC" w:rsidRDefault="00F66A13" w:rsidP="00882323">
      <w:pPr>
        <w:spacing w:after="240"/>
        <w:contextualSpacing/>
      </w:pPr>
      <w:r w:rsidRPr="00BA6BDC">
        <w:t xml:space="preserve">After reconstitution, </w:t>
      </w:r>
      <w:proofErr w:type="spellStart"/>
      <w:r w:rsidR="00882323" w:rsidRPr="00BA6BDC">
        <w:t>Verorab</w:t>
      </w:r>
      <w:proofErr w:type="spellEnd"/>
      <w:r w:rsidRPr="00BA6BDC">
        <w:t xml:space="preserve"> is limpid and homogeneous.</w:t>
      </w:r>
    </w:p>
    <w:p w14:paraId="5ACD171B" w14:textId="77777777" w:rsidR="00F66A13" w:rsidRPr="00BA6BDC" w:rsidRDefault="00F66A13" w:rsidP="00F66A13"/>
    <w:p w14:paraId="27AB09A8" w14:textId="77777777" w:rsidR="001A3992" w:rsidRPr="00BA6BDC" w:rsidRDefault="001A3992" w:rsidP="00292D82">
      <w:pPr>
        <w:pStyle w:val="Heading1"/>
        <w:keepNext w:val="0"/>
        <w:pageBreakBefore w:val="0"/>
        <w:spacing w:before="0" w:after="120"/>
        <w:rPr>
          <w:lang w:val="en-AU"/>
        </w:rPr>
      </w:pPr>
      <w:r w:rsidRPr="00BA6BDC">
        <w:rPr>
          <w:lang w:val="en-AU"/>
        </w:rPr>
        <w:t>Clinical particulars</w:t>
      </w:r>
    </w:p>
    <w:p w14:paraId="679E3E28" w14:textId="77777777" w:rsidR="001A3992" w:rsidRPr="00BA6BDC" w:rsidRDefault="001A3992" w:rsidP="001A3992">
      <w:pPr>
        <w:pStyle w:val="Heading2"/>
        <w:spacing w:before="0" w:after="120"/>
        <w:rPr>
          <w:lang w:val="en-AU"/>
        </w:rPr>
      </w:pPr>
      <w:r w:rsidRPr="00BA6BDC">
        <w:rPr>
          <w:lang w:val="en-AU"/>
        </w:rPr>
        <w:t xml:space="preserve">Therapeutic indications </w:t>
      </w:r>
    </w:p>
    <w:p w14:paraId="2F0E2474" w14:textId="42F263B8" w:rsidR="008A6F9D" w:rsidRPr="00981603" w:rsidRDefault="008A6F9D" w:rsidP="008A6F9D">
      <w:pPr>
        <w:spacing w:before="120"/>
        <w:jc w:val="both"/>
        <w:rPr>
          <w:color w:val="auto"/>
        </w:rPr>
      </w:pPr>
      <w:proofErr w:type="spellStart"/>
      <w:r w:rsidRPr="00981603">
        <w:rPr>
          <w:rFonts w:hint="eastAsia"/>
          <w:color w:val="auto"/>
        </w:rPr>
        <w:t>Verorab</w:t>
      </w:r>
      <w:proofErr w:type="spellEnd"/>
      <w:r w:rsidRPr="00981603">
        <w:rPr>
          <w:rFonts w:hint="eastAsia"/>
          <w:color w:val="auto"/>
        </w:rPr>
        <w:t xml:space="preserve"> is indicated for pre</w:t>
      </w:r>
      <w:r w:rsidR="008E1928" w:rsidRPr="00981603">
        <w:rPr>
          <w:rFonts w:hint="eastAsia"/>
          <w:color w:val="auto"/>
        </w:rPr>
        <w:t>-</w:t>
      </w:r>
      <w:r w:rsidRPr="00981603">
        <w:rPr>
          <w:rFonts w:hint="eastAsia"/>
          <w:color w:val="auto"/>
        </w:rPr>
        <w:t>exposure prophylaxis against rabies.</w:t>
      </w:r>
    </w:p>
    <w:p w14:paraId="4C99548D" w14:textId="234D03F9" w:rsidR="008A6F9D" w:rsidRPr="00981603" w:rsidRDefault="008A6F9D" w:rsidP="008A6F9D">
      <w:pPr>
        <w:spacing w:before="120"/>
        <w:jc w:val="both"/>
        <w:rPr>
          <w:color w:val="auto"/>
        </w:rPr>
      </w:pPr>
      <w:proofErr w:type="spellStart"/>
      <w:r w:rsidRPr="00981603">
        <w:rPr>
          <w:rFonts w:hint="eastAsia"/>
          <w:color w:val="auto"/>
        </w:rPr>
        <w:t>Verorab</w:t>
      </w:r>
      <w:proofErr w:type="spellEnd"/>
      <w:r w:rsidRPr="00981603">
        <w:rPr>
          <w:rFonts w:hint="eastAsia"/>
          <w:color w:val="auto"/>
        </w:rPr>
        <w:t xml:space="preserve"> is indicated for pos</w:t>
      </w:r>
      <w:r w:rsidR="008E1928" w:rsidRPr="00981603">
        <w:rPr>
          <w:color w:val="auto"/>
        </w:rPr>
        <w:t>t-</w:t>
      </w:r>
      <w:r w:rsidRPr="00981603">
        <w:rPr>
          <w:rFonts w:hint="eastAsia"/>
          <w:color w:val="auto"/>
        </w:rPr>
        <w:t>exposure prophylaxis against rabies.</w:t>
      </w:r>
    </w:p>
    <w:p w14:paraId="5417C887" w14:textId="500F705B" w:rsidR="008A6F9D" w:rsidRPr="00981603" w:rsidRDefault="008A6F9D" w:rsidP="008A6F9D">
      <w:pPr>
        <w:spacing w:before="120"/>
        <w:jc w:val="both"/>
        <w:rPr>
          <w:color w:val="auto"/>
        </w:rPr>
      </w:pPr>
      <w:proofErr w:type="spellStart"/>
      <w:r w:rsidRPr="00981603">
        <w:rPr>
          <w:color w:val="auto"/>
        </w:rPr>
        <w:t>Verorab</w:t>
      </w:r>
      <w:proofErr w:type="spellEnd"/>
      <w:r w:rsidRPr="00981603">
        <w:rPr>
          <w:color w:val="auto"/>
        </w:rPr>
        <w:t xml:space="preserve"> should be used in accordance with official local recommendations.</w:t>
      </w:r>
    </w:p>
    <w:p w14:paraId="5CE4D809" w14:textId="77777777" w:rsidR="00F66A13" w:rsidRPr="00BA6BDC" w:rsidRDefault="00F66A13" w:rsidP="00F66A13">
      <w:pPr>
        <w:spacing w:before="120"/>
        <w:jc w:val="both"/>
      </w:pPr>
    </w:p>
    <w:p w14:paraId="312D0FF9" w14:textId="77777777" w:rsidR="001A3992" w:rsidRPr="00BA6BDC" w:rsidRDefault="001A3992" w:rsidP="001A3992">
      <w:pPr>
        <w:pStyle w:val="Heading2"/>
        <w:spacing w:before="0" w:after="120"/>
        <w:rPr>
          <w:lang w:val="en-AU"/>
        </w:rPr>
      </w:pPr>
      <w:bookmarkStart w:id="3" w:name="_Ref62741390"/>
      <w:r w:rsidRPr="00BA6BDC">
        <w:rPr>
          <w:lang w:val="en-AU"/>
        </w:rPr>
        <w:t>Dose and method of administration</w:t>
      </w:r>
      <w:bookmarkEnd w:id="3"/>
      <w:r w:rsidRPr="00BA6BDC">
        <w:rPr>
          <w:lang w:val="en-AU"/>
        </w:rPr>
        <w:t xml:space="preserve"> </w:t>
      </w:r>
    </w:p>
    <w:p w14:paraId="488F9F8F" w14:textId="7A514DA4" w:rsidR="00882323" w:rsidRPr="00BA6BDC" w:rsidRDefault="00882323" w:rsidP="00882323">
      <w:pPr>
        <w:pStyle w:val="Heading3"/>
      </w:pPr>
      <w:r w:rsidRPr="00BA6BDC">
        <w:t>General</w:t>
      </w:r>
    </w:p>
    <w:p w14:paraId="09C7881D" w14:textId="18275484" w:rsidR="00C25EA3" w:rsidRPr="00981603" w:rsidRDefault="008A6F9D" w:rsidP="00842C72">
      <w:pPr>
        <w:rPr>
          <w:color w:val="auto"/>
        </w:rPr>
      </w:pPr>
      <w:r w:rsidRPr="00981603">
        <w:rPr>
          <w:color w:val="auto"/>
        </w:rPr>
        <w:t>The dose and dosing schedule is identical for adult</w:t>
      </w:r>
      <w:r w:rsidR="00C25EA3" w:rsidRPr="00981603">
        <w:rPr>
          <w:color w:val="auto"/>
        </w:rPr>
        <w:t>s</w:t>
      </w:r>
      <w:r w:rsidRPr="00981603">
        <w:rPr>
          <w:color w:val="auto"/>
        </w:rPr>
        <w:t xml:space="preserve"> and </w:t>
      </w:r>
      <w:proofErr w:type="spellStart"/>
      <w:r w:rsidRPr="00981603">
        <w:rPr>
          <w:color w:val="auto"/>
        </w:rPr>
        <w:t>paediatric</w:t>
      </w:r>
      <w:proofErr w:type="spellEnd"/>
      <w:r w:rsidRPr="00981603">
        <w:rPr>
          <w:color w:val="auto"/>
        </w:rPr>
        <w:t xml:space="preserve"> population</w:t>
      </w:r>
      <w:r w:rsidR="00C25EA3" w:rsidRPr="00981603">
        <w:rPr>
          <w:color w:val="auto"/>
        </w:rPr>
        <w:t>.</w:t>
      </w:r>
      <w:r w:rsidRPr="00981603">
        <w:rPr>
          <w:color w:val="auto"/>
        </w:rPr>
        <w:t xml:space="preserve"> </w:t>
      </w:r>
      <w:r w:rsidR="00C25EA3" w:rsidRPr="00981603">
        <w:rPr>
          <w:color w:val="auto"/>
        </w:rPr>
        <w:t xml:space="preserve">The vaccine is administered by intramuscular </w:t>
      </w:r>
      <w:r w:rsidR="00566A0F" w:rsidRPr="00981603">
        <w:rPr>
          <w:color w:val="auto"/>
        </w:rPr>
        <w:t>(IM) injection</w:t>
      </w:r>
      <w:r w:rsidR="00C25EA3" w:rsidRPr="00981603">
        <w:rPr>
          <w:color w:val="auto"/>
        </w:rPr>
        <w:t xml:space="preserve">, in the deltoid area for adults and children or the anterolateral area of the thigh muscle in infants and toddlers.  </w:t>
      </w:r>
    </w:p>
    <w:p w14:paraId="7780E300" w14:textId="45988936" w:rsidR="00566A0F" w:rsidRPr="00981603" w:rsidRDefault="00C25EA3" w:rsidP="00842C72">
      <w:pPr>
        <w:rPr>
          <w:color w:val="auto"/>
        </w:rPr>
      </w:pPr>
      <w:r w:rsidRPr="00981603">
        <w:rPr>
          <w:color w:val="auto"/>
        </w:rPr>
        <w:t xml:space="preserve">For dosing in immunocompromised individuals refer to </w:t>
      </w:r>
      <w:r w:rsidR="00884CB2" w:rsidRPr="00981603">
        <w:rPr>
          <w:color w:val="auto"/>
        </w:rPr>
        <w:t>Section</w:t>
      </w:r>
      <w:r w:rsidR="00884CB2" w:rsidRPr="00981603">
        <w:rPr>
          <w:color w:val="0070C0"/>
        </w:rPr>
        <w:t xml:space="preserve"> </w:t>
      </w:r>
      <w:r w:rsidR="00884CB2" w:rsidRPr="00981603">
        <w:rPr>
          <w:color w:val="0000FF"/>
        </w:rPr>
        <w:fldChar w:fldCharType="begin"/>
      </w:r>
      <w:r w:rsidR="00884CB2" w:rsidRPr="00981603">
        <w:rPr>
          <w:color w:val="0000FF"/>
        </w:rPr>
        <w:instrText xml:space="preserve"> REF _Ref113986906 \r \h  \* MERGEFORMAT </w:instrText>
      </w:r>
      <w:r w:rsidR="00884CB2" w:rsidRPr="00981603">
        <w:rPr>
          <w:color w:val="0000FF"/>
        </w:rPr>
      </w:r>
      <w:r w:rsidR="00884CB2" w:rsidRPr="00981603">
        <w:rPr>
          <w:color w:val="0000FF"/>
        </w:rPr>
        <w:fldChar w:fldCharType="separate"/>
      </w:r>
      <w:r w:rsidR="00366C42">
        <w:rPr>
          <w:color w:val="0000FF"/>
        </w:rPr>
        <w:t>4.2.2</w:t>
      </w:r>
      <w:r w:rsidR="00884CB2" w:rsidRPr="00981603">
        <w:rPr>
          <w:color w:val="0000FF"/>
        </w:rPr>
        <w:fldChar w:fldCharType="end"/>
      </w:r>
      <w:r w:rsidRPr="00981603">
        <w:rPr>
          <w:color w:val="0070C0"/>
        </w:rPr>
        <w:t xml:space="preserve"> </w:t>
      </w:r>
      <w:r w:rsidRPr="00981603">
        <w:rPr>
          <w:color w:val="auto"/>
        </w:rPr>
        <w:t xml:space="preserve">– Special populations. </w:t>
      </w:r>
    </w:p>
    <w:p w14:paraId="3D1C5F37" w14:textId="3806CA05" w:rsidR="008E1928" w:rsidRPr="00981603" w:rsidRDefault="00842C72" w:rsidP="00842C72">
      <w:pPr>
        <w:rPr>
          <w:color w:val="auto"/>
        </w:rPr>
      </w:pPr>
      <w:r w:rsidRPr="00981603">
        <w:rPr>
          <w:color w:val="auto"/>
        </w:rPr>
        <w:t>For further information, refer to the current Australian Immunisation Handbook.</w:t>
      </w:r>
    </w:p>
    <w:p w14:paraId="4064C93F" w14:textId="77890261" w:rsidR="008A6F9D" w:rsidRPr="00842C72" w:rsidRDefault="00F66A13" w:rsidP="008A6F9D">
      <w:pPr>
        <w:rPr>
          <w:color w:val="0070C0"/>
          <w:u w:val="double"/>
        </w:rPr>
      </w:pPr>
      <w:r w:rsidRPr="00BA6BDC">
        <w:t>Once the vaccine is reconstituted</w:t>
      </w:r>
      <w:r w:rsidR="000A238F" w:rsidRPr="00BA6BDC">
        <w:rPr>
          <w:color w:val="auto"/>
        </w:rPr>
        <w:t xml:space="preserve"> </w:t>
      </w:r>
      <w:r w:rsidR="000A238F" w:rsidRPr="00BA6BDC">
        <w:rPr>
          <w:color w:val="auto"/>
          <w:u w:color="B5082D"/>
        </w:rPr>
        <w:t>with</w:t>
      </w:r>
      <w:r w:rsidR="000A238F" w:rsidRPr="00BA6BDC">
        <w:rPr>
          <w:color w:val="auto"/>
          <w:spacing w:val="9"/>
          <w:u w:color="B5082D"/>
        </w:rPr>
        <w:t xml:space="preserve"> </w:t>
      </w:r>
      <w:r w:rsidR="000A238F" w:rsidRPr="00BA6BDC">
        <w:rPr>
          <w:color w:val="auto"/>
          <w:u w:color="B5082D"/>
        </w:rPr>
        <w:t>0.5</w:t>
      </w:r>
      <w:r w:rsidR="000A238F" w:rsidRPr="00BA6BDC">
        <w:rPr>
          <w:color w:val="auto"/>
          <w:spacing w:val="11"/>
          <w:u w:color="B5082D"/>
        </w:rPr>
        <w:t xml:space="preserve"> </w:t>
      </w:r>
      <w:r w:rsidR="000A238F" w:rsidRPr="00BA6BDC">
        <w:rPr>
          <w:color w:val="auto"/>
          <w:u w:color="B5082D"/>
        </w:rPr>
        <w:t>mL</w:t>
      </w:r>
      <w:r w:rsidR="000A238F" w:rsidRPr="00BA6BDC">
        <w:rPr>
          <w:color w:val="auto"/>
          <w:spacing w:val="11"/>
          <w:u w:color="B5082D"/>
        </w:rPr>
        <w:t xml:space="preserve"> </w:t>
      </w:r>
      <w:r w:rsidR="000A238F" w:rsidRPr="00BA6BDC">
        <w:rPr>
          <w:color w:val="auto"/>
          <w:u w:color="B5082D"/>
        </w:rPr>
        <w:t>of</w:t>
      </w:r>
      <w:r w:rsidR="000A238F" w:rsidRPr="00BA6BDC">
        <w:rPr>
          <w:color w:val="auto"/>
          <w:spacing w:val="10"/>
          <w:u w:color="B5082D"/>
        </w:rPr>
        <w:t xml:space="preserve"> </w:t>
      </w:r>
      <w:r w:rsidR="000A238F" w:rsidRPr="00BA6BDC">
        <w:rPr>
          <w:color w:val="auto"/>
          <w:u w:color="B5082D"/>
        </w:rPr>
        <w:t>solvent</w:t>
      </w:r>
      <w:r w:rsidRPr="00BA6BDC">
        <w:rPr>
          <w:color w:val="auto"/>
        </w:rPr>
        <w:t>,</w:t>
      </w:r>
      <w:r w:rsidRPr="00BA6BDC">
        <w:t xml:space="preserve"> one intramuscular (IM) dose consists of 0.5 mL of reconstituted vaccine and one intradermal (ID) dose consists of 0.1 mL of reconstituted vaccine per injection site.</w:t>
      </w:r>
      <w:r w:rsidR="008A6F9D">
        <w:t xml:space="preserve"> </w:t>
      </w:r>
    </w:p>
    <w:p w14:paraId="4B7406E0" w14:textId="03E89894" w:rsidR="00F66A13" w:rsidRPr="00BA6BDC" w:rsidRDefault="00F66A13" w:rsidP="1972659B">
      <w:pPr>
        <w:pStyle w:val="Heading4"/>
        <w:rPr>
          <w:lang w:val="en-GB"/>
        </w:rPr>
      </w:pPr>
      <w:bookmarkStart w:id="4" w:name="_Ref113965300"/>
      <w:bookmarkStart w:id="5" w:name="_Toc29828099"/>
      <w:r w:rsidRPr="00BA6BDC">
        <w:t xml:space="preserve">Pre-exposure </w:t>
      </w:r>
      <w:r w:rsidRPr="00BA6BDC">
        <w:rPr>
          <w:lang w:val="en-GB"/>
        </w:rPr>
        <w:t>prophylaxis</w:t>
      </w:r>
      <w:r w:rsidR="000A238F" w:rsidRPr="00BA6BDC">
        <w:rPr>
          <w:lang w:val="en-GB"/>
        </w:rPr>
        <w:t xml:space="preserve"> (</w:t>
      </w:r>
      <w:proofErr w:type="spellStart"/>
      <w:r w:rsidR="000A238F" w:rsidRPr="00BA6BDC">
        <w:rPr>
          <w:lang w:val="en-GB"/>
        </w:rPr>
        <w:t>PrEP</w:t>
      </w:r>
      <w:proofErr w:type="spellEnd"/>
      <w:r w:rsidR="000A238F" w:rsidRPr="00BA6BDC">
        <w:rPr>
          <w:lang w:val="en-GB"/>
        </w:rPr>
        <w:t>)</w:t>
      </w:r>
      <w:bookmarkEnd w:id="4"/>
      <w:r w:rsidRPr="00BA6BDC">
        <w:rPr>
          <w:lang w:val="en-GB"/>
        </w:rPr>
        <w:t xml:space="preserve"> </w:t>
      </w:r>
      <w:bookmarkEnd w:id="5"/>
    </w:p>
    <w:bookmarkStart w:id="6" w:name="_Hlk32561023"/>
    <w:p w14:paraId="3436AD16" w14:textId="286F8D6A" w:rsidR="000A238F" w:rsidRPr="00BA6BDC" w:rsidRDefault="000A238F" w:rsidP="000A238F">
      <w:r w:rsidRPr="00BA6BDC">
        <w:rPr>
          <w:noProof/>
        </w:rPr>
        <mc:AlternateContent>
          <mc:Choice Requires="wps">
            <w:drawing>
              <wp:anchor distT="0" distB="0" distL="114300" distR="114300" simplePos="0" relativeHeight="251654144" behindDoc="0" locked="0" layoutInCell="1" allowOverlap="1" wp14:anchorId="35A5C7A8" wp14:editId="23319C81">
                <wp:simplePos x="0" y="0"/>
                <wp:positionH relativeFrom="page">
                  <wp:posOffset>2092325</wp:posOffset>
                </wp:positionH>
                <wp:positionV relativeFrom="paragraph">
                  <wp:posOffset>294005</wp:posOffset>
                </wp:positionV>
                <wp:extent cx="27940" cy="5715"/>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 cy="5715"/>
                        </a:xfrm>
                        <a:prstGeom prst="rect">
                          <a:avLst/>
                        </a:prstGeom>
                        <a:solidFill>
                          <a:srgbClr val="62317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23373" id="Rectangle 28" o:spid="_x0000_s1026" style="position:absolute;margin-left:164.75pt;margin-top:23.15pt;width:2.2pt;height:.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" fillcolor="#623177" stroked="f">
                <w10:wrap anchorx="page"/>
              </v:rect>
            </w:pict>
          </mc:Fallback>
        </mc:AlternateContent>
      </w:r>
      <w:r w:rsidRPr="00BA6BDC">
        <w:t xml:space="preserve">For pre-exposure prophylaxis, individuals can be vaccinated according to one of the vaccination schedules presented in </w:t>
      </w:r>
      <w:hyperlink w:anchor="_bookmark22" w:history="1">
        <w:r w:rsidRPr="00BA6BDC">
          <w:rPr>
            <w:rStyle w:val="Hyperlink"/>
            <w:u w:val="none"/>
          </w:rPr>
          <w:t xml:space="preserve">Table 1 </w:t>
        </w:r>
      </w:hyperlink>
      <w:r w:rsidRPr="00BA6BDC">
        <w:t>and according to official local recommendations when available:</w:t>
      </w:r>
    </w:p>
    <w:p w14:paraId="7BADC4B1" w14:textId="0CB50BED" w:rsidR="00E44659" w:rsidRPr="00981603" w:rsidRDefault="00E44659" w:rsidP="00E44659">
      <w:pPr>
        <w:pStyle w:val="Caption"/>
      </w:pPr>
      <w:bookmarkStart w:id="7" w:name="_bookmark22"/>
      <w:bookmarkEnd w:id="7"/>
      <w:bookmarkEnd w:id="6"/>
      <w:r w:rsidRPr="00981603">
        <w:lastRenderedPageBreak/>
        <w:t>Table </w:t>
      </w:r>
      <w:r w:rsidRPr="00981603">
        <w:fldChar w:fldCharType="begin"/>
      </w:r>
      <w:r w:rsidRPr="00981603">
        <w:instrText xml:space="preserve"> SEQ Table \* ARABIC </w:instrText>
      </w:r>
      <w:r w:rsidRPr="00981603">
        <w:fldChar w:fldCharType="separate"/>
      </w:r>
      <w:r w:rsidR="00366C42">
        <w:rPr>
          <w:noProof/>
        </w:rPr>
        <w:t>1</w:t>
      </w:r>
      <w:r w:rsidRPr="00981603">
        <w:fldChar w:fldCharType="end"/>
      </w:r>
      <w:r w:rsidRPr="00981603">
        <w:t xml:space="preserve"> ­ Pre-exposure IM vaccination schedules </w:t>
      </w:r>
    </w:p>
    <w:tbl>
      <w:tblPr>
        <w:tblW w:w="5000" w:type="pct"/>
        <w:jc w:val="center"/>
        <w:tblBorders>
          <w:top w:val="single" w:sz="2" w:space="0" w:color="000000"/>
        </w:tblBorders>
        <w:tblLook w:val="01E0" w:firstRow="1" w:lastRow="1" w:firstColumn="1" w:lastColumn="1" w:noHBand="0" w:noVBand="0"/>
      </w:tblPr>
      <w:tblGrid>
        <w:gridCol w:w="4726"/>
        <w:gridCol w:w="1413"/>
        <w:gridCol w:w="1413"/>
        <w:gridCol w:w="1917"/>
      </w:tblGrid>
      <w:tr w:rsidR="00981603" w:rsidRPr="00981603" w14:paraId="01E24EA8" w14:textId="77777777" w:rsidTr="00E44659">
        <w:trPr>
          <w:cantSplit/>
          <w:trHeight w:val="225"/>
          <w:tblHeader/>
          <w:jc w:val="center"/>
        </w:trPr>
        <w:tc>
          <w:tcPr>
            <w:tcW w:w="2496" w:type="pct"/>
            <w:tcBorders>
              <w:top w:val="single" w:sz="4" w:space="0" w:color="000000" w:themeColor="text1"/>
              <w:bottom w:val="single" w:sz="4" w:space="0" w:color="000000" w:themeColor="text1"/>
            </w:tcBorders>
            <w:shd w:val="clear" w:color="auto" w:fill="auto"/>
          </w:tcPr>
          <w:p w14:paraId="28B2659F" w14:textId="77777777" w:rsidR="00E44659" w:rsidRPr="00981603" w:rsidRDefault="00E44659" w:rsidP="007F4417">
            <w:pPr>
              <w:pStyle w:val="TblHeadingCenter"/>
              <w:jc w:val="left"/>
            </w:pPr>
          </w:p>
        </w:tc>
        <w:tc>
          <w:tcPr>
            <w:tcW w:w="746" w:type="pct"/>
            <w:tcBorders>
              <w:top w:val="single" w:sz="4" w:space="0" w:color="000000" w:themeColor="text1"/>
              <w:bottom w:val="single" w:sz="4" w:space="0" w:color="000000" w:themeColor="text1"/>
            </w:tcBorders>
            <w:shd w:val="clear" w:color="auto" w:fill="auto"/>
          </w:tcPr>
          <w:p w14:paraId="5EF144C0" w14:textId="77777777" w:rsidR="00E44659" w:rsidRPr="00981603" w:rsidRDefault="00E44659" w:rsidP="007F4417">
            <w:pPr>
              <w:pStyle w:val="TblHeadingCenter"/>
              <w:jc w:val="left"/>
            </w:pPr>
            <w:r w:rsidRPr="00981603">
              <w:t>D0</w:t>
            </w:r>
          </w:p>
        </w:tc>
        <w:tc>
          <w:tcPr>
            <w:tcW w:w="746" w:type="pct"/>
            <w:tcBorders>
              <w:top w:val="single" w:sz="4" w:space="0" w:color="000000" w:themeColor="text1"/>
              <w:bottom w:val="single" w:sz="4" w:space="0" w:color="000000" w:themeColor="text1"/>
            </w:tcBorders>
            <w:shd w:val="clear" w:color="auto" w:fill="auto"/>
          </w:tcPr>
          <w:p w14:paraId="68E7583B" w14:textId="77777777" w:rsidR="00E44659" w:rsidRPr="00981603" w:rsidRDefault="00E44659" w:rsidP="007F4417">
            <w:pPr>
              <w:pStyle w:val="TblHeadingCenter"/>
              <w:jc w:val="left"/>
            </w:pPr>
            <w:r w:rsidRPr="00981603">
              <w:t>D7</w:t>
            </w:r>
          </w:p>
        </w:tc>
        <w:tc>
          <w:tcPr>
            <w:tcW w:w="1012" w:type="pct"/>
            <w:tcBorders>
              <w:top w:val="single" w:sz="4" w:space="0" w:color="000000" w:themeColor="text1"/>
              <w:bottom w:val="single" w:sz="4" w:space="0" w:color="000000" w:themeColor="text1"/>
            </w:tcBorders>
            <w:shd w:val="clear" w:color="auto" w:fill="auto"/>
          </w:tcPr>
          <w:p w14:paraId="0E30D183" w14:textId="77777777" w:rsidR="00E44659" w:rsidRPr="00981603" w:rsidRDefault="00E44659" w:rsidP="007F4417">
            <w:pPr>
              <w:pStyle w:val="TblHeadingCenter"/>
              <w:jc w:val="left"/>
            </w:pPr>
            <w:r w:rsidRPr="00981603">
              <w:t>D21 or D28</w:t>
            </w:r>
          </w:p>
        </w:tc>
      </w:tr>
      <w:tr w:rsidR="00981603" w:rsidRPr="00981603" w14:paraId="3E727F75" w14:textId="77777777" w:rsidTr="007F4417">
        <w:trPr>
          <w:cantSplit/>
          <w:trHeight w:val="452"/>
          <w:jc w:val="center"/>
        </w:trPr>
        <w:tc>
          <w:tcPr>
            <w:tcW w:w="2496" w:type="pct"/>
            <w:tcBorders>
              <w:top w:val="single" w:sz="4" w:space="0" w:color="000000" w:themeColor="text1"/>
            </w:tcBorders>
            <w:shd w:val="clear" w:color="auto" w:fill="auto"/>
          </w:tcPr>
          <w:p w14:paraId="61F0421E" w14:textId="77777777" w:rsidR="00E44659" w:rsidRPr="00981603" w:rsidRDefault="00E44659" w:rsidP="007F4417">
            <w:pPr>
              <w:pStyle w:val="TblTextCenter"/>
              <w:jc w:val="left"/>
            </w:pPr>
            <w:r w:rsidRPr="00981603">
              <w:t>Conventional regimen IM route - 0.5 mL</w:t>
            </w:r>
          </w:p>
        </w:tc>
        <w:tc>
          <w:tcPr>
            <w:tcW w:w="746" w:type="pct"/>
            <w:tcBorders>
              <w:top w:val="single" w:sz="4" w:space="0" w:color="000000" w:themeColor="text1"/>
            </w:tcBorders>
            <w:shd w:val="clear" w:color="auto" w:fill="auto"/>
          </w:tcPr>
          <w:p w14:paraId="592576DB" w14:textId="77777777" w:rsidR="00E44659" w:rsidRPr="00981603" w:rsidRDefault="00E44659" w:rsidP="007F4417">
            <w:pPr>
              <w:pStyle w:val="TblTextCenter"/>
              <w:jc w:val="left"/>
            </w:pPr>
            <w:r w:rsidRPr="00981603">
              <w:t>1 dose</w:t>
            </w:r>
          </w:p>
        </w:tc>
        <w:tc>
          <w:tcPr>
            <w:tcW w:w="746" w:type="pct"/>
            <w:tcBorders>
              <w:top w:val="single" w:sz="4" w:space="0" w:color="000000" w:themeColor="text1"/>
            </w:tcBorders>
            <w:shd w:val="clear" w:color="auto" w:fill="auto"/>
          </w:tcPr>
          <w:p w14:paraId="0D4D8701" w14:textId="77777777" w:rsidR="00E44659" w:rsidRPr="00981603" w:rsidRDefault="00E44659" w:rsidP="007F4417">
            <w:pPr>
              <w:pStyle w:val="TblTextCenter"/>
              <w:jc w:val="left"/>
            </w:pPr>
            <w:r w:rsidRPr="00981603">
              <w:t>1 dose</w:t>
            </w:r>
          </w:p>
        </w:tc>
        <w:tc>
          <w:tcPr>
            <w:tcW w:w="1012" w:type="pct"/>
            <w:tcBorders>
              <w:top w:val="single" w:sz="4" w:space="0" w:color="000000" w:themeColor="text1"/>
            </w:tcBorders>
            <w:shd w:val="clear" w:color="auto" w:fill="auto"/>
          </w:tcPr>
          <w:p w14:paraId="7240E3DD" w14:textId="77777777" w:rsidR="00E44659" w:rsidRPr="00981603" w:rsidRDefault="00E44659" w:rsidP="007F4417">
            <w:pPr>
              <w:pStyle w:val="TblTextCenter"/>
              <w:jc w:val="left"/>
            </w:pPr>
            <w:r w:rsidRPr="00981603">
              <w:t>1 dose</w:t>
            </w:r>
          </w:p>
        </w:tc>
      </w:tr>
      <w:tr w:rsidR="00981603" w:rsidRPr="00981603" w14:paraId="0C5E269B" w14:textId="77777777" w:rsidTr="00E44659">
        <w:trPr>
          <w:cantSplit/>
          <w:trHeight w:val="424"/>
          <w:jc w:val="center"/>
        </w:trPr>
        <w:tc>
          <w:tcPr>
            <w:tcW w:w="2496" w:type="pct"/>
            <w:tcBorders>
              <w:top w:val="nil"/>
              <w:bottom w:val="single" w:sz="4" w:space="0" w:color="auto"/>
            </w:tcBorders>
            <w:shd w:val="clear" w:color="auto" w:fill="auto"/>
          </w:tcPr>
          <w:p w14:paraId="4990942E" w14:textId="77777777" w:rsidR="00E44659" w:rsidRPr="00981603" w:rsidRDefault="00E44659" w:rsidP="007F4417">
            <w:pPr>
              <w:pStyle w:val="TblTextCenter"/>
              <w:jc w:val="left"/>
            </w:pPr>
            <w:r w:rsidRPr="00981603">
              <w:t xml:space="preserve">One-week regimen </w:t>
            </w:r>
            <w:proofErr w:type="gramStart"/>
            <w:r w:rsidRPr="00981603">
              <w:rPr>
                <w:vertAlign w:val="superscript"/>
              </w:rPr>
              <w:t>a</w:t>
            </w:r>
            <w:proofErr w:type="gramEnd"/>
            <w:r w:rsidRPr="00981603">
              <w:rPr>
                <w:vertAlign w:val="superscript"/>
              </w:rPr>
              <w:t xml:space="preserve"> </w:t>
            </w:r>
            <w:r w:rsidRPr="00981603">
              <w:t>IM route - 0.5 mL</w:t>
            </w:r>
            <w:r w:rsidRPr="00981603" w:rsidDel="002019E6">
              <w:rPr>
                <w:rStyle w:val="CommentReference"/>
                <w:rFonts w:ascii="Cambria" w:eastAsia="MS Mincho" w:hAnsi="Cambria"/>
              </w:rPr>
              <w:t xml:space="preserve"> </w:t>
            </w:r>
          </w:p>
        </w:tc>
        <w:tc>
          <w:tcPr>
            <w:tcW w:w="746" w:type="pct"/>
            <w:tcBorders>
              <w:top w:val="nil"/>
              <w:bottom w:val="single" w:sz="4" w:space="0" w:color="auto"/>
            </w:tcBorders>
            <w:shd w:val="clear" w:color="auto" w:fill="auto"/>
          </w:tcPr>
          <w:p w14:paraId="4A917909" w14:textId="77777777" w:rsidR="00E44659" w:rsidRPr="00981603" w:rsidRDefault="00E44659" w:rsidP="007F4417">
            <w:pPr>
              <w:pStyle w:val="TblTextCenter"/>
              <w:jc w:val="left"/>
            </w:pPr>
            <w:r w:rsidRPr="00981603">
              <w:t>1 dose</w:t>
            </w:r>
          </w:p>
        </w:tc>
        <w:tc>
          <w:tcPr>
            <w:tcW w:w="746" w:type="pct"/>
            <w:tcBorders>
              <w:top w:val="nil"/>
              <w:bottom w:val="single" w:sz="4" w:space="0" w:color="auto"/>
            </w:tcBorders>
            <w:shd w:val="clear" w:color="auto" w:fill="auto"/>
          </w:tcPr>
          <w:p w14:paraId="49DD1D52" w14:textId="77777777" w:rsidR="00E44659" w:rsidRPr="00981603" w:rsidRDefault="00E44659" w:rsidP="007F4417">
            <w:pPr>
              <w:pStyle w:val="TblTextCenter"/>
              <w:jc w:val="left"/>
            </w:pPr>
            <w:r w:rsidRPr="00981603">
              <w:t>1 dose</w:t>
            </w:r>
          </w:p>
        </w:tc>
        <w:tc>
          <w:tcPr>
            <w:tcW w:w="1012" w:type="pct"/>
            <w:tcBorders>
              <w:top w:val="nil"/>
              <w:bottom w:val="single" w:sz="4" w:space="0" w:color="auto"/>
            </w:tcBorders>
            <w:shd w:val="clear" w:color="auto" w:fill="auto"/>
          </w:tcPr>
          <w:p w14:paraId="42BA9E78" w14:textId="77777777" w:rsidR="00E44659" w:rsidRPr="00981603" w:rsidRDefault="00E44659" w:rsidP="007F4417">
            <w:pPr>
              <w:pStyle w:val="TblTextCenter"/>
              <w:jc w:val="left"/>
            </w:pPr>
            <w:r w:rsidRPr="00981603">
              <w:t xml:space="preserve"> </w:t>
            </w:r>
          </w:p>
        </w:tc>
      </w:tr>
    </w:tbl>
    <w:p w14:paraId="70ECDBE6" w14:textId="7A5ACAFD" w:rsidR="00E44659" w:rsidRPr="00981603" w:rsidRDefault="00E44659" w:rsidP="006D3E18">
      <w:pPr>
        <w:pStyle w:val="TblFigFootnote"/>
        <w:numPr>
          <w:ilvl w:val="0"/>
          <w:numId w:val="36"/>
        </w:numPr>
      </w:pPr>
      <w:r w:rsidRPr="00981603">
        <w:t xml:space="preserve">This regimen should not be used for immunocompromised individuals (see </w:t>
      </w:r>
      <w:r w:rsidR="00E24AC2" w:rsidRPr="00981603">
        <w:t xml:space="preserve">Section </w:t>
      </w:r>
      <w:r w:rsidR="00E24AC2" w:rsidRPr="00981603">
        <w:fldChar w:fldCharType="begin"/>
      </w:r>
      <w:r w:rsidR="00E24AC2" w:rsidRPr="00981603">
        <w:instrText xml:space="preserve"> REF _Ref113965383 \r \h  \* MERGEFORMAT </w:instrText>
      </w:r>
      <w:r w:rsidR="00E24AC2" w:rsidRPr="00981603">
        <w:fldChar w:fldCharType="separate"/>
      </w:r>
      <w:r w:rsidR="00366C42">
        <w:t>4.2.2.3.1</w:t>
      </w:r>
      <w:r w:rsidR="00E24AC2" w:rsidRPr="00981603">
        <w:fldChar w:fldCharType="end"/>
      </w:r>
      <w:r w:rsidRPr="00981603">
        <w:t>)</w:t>
      </w:r>
    </w:p>
    <w:p w14:paraId="59FFD630" w14:textId="79199964" w:rsidR="00E44659" w:rsidRPr="00981603" w:rsidRDefault="00E44659" w:rsidP="00E44659">
      <w:pPr>
        <w:pStyle w:val="Caption"/>
      </w:pPr>
      <w:r w:rsidRPr="00981603">
        <w:t>Table </w:t>
      </w:r>
      <w:r w:rsidRPr="00981603">
        <w:fldChar w:fldCharType="begin"/>
      </w:r>
      <w:r w:rsidRPr="00981603">
        <w:instrText xml:space="preserve"> SEQ Table \* ARABIC </w:instrText>
      </w:r>
      <w:r w:rsidRPr="00981603">
        <w:fldChar w:fldCharType="separate"/>
      </w:r>
      <w:r w:rsidR="00366C42">
        <w:rPr>
          <w:noProof/>
        </w:rPr>
        <w:t>2</w:t>
      </w:r>
      <w:r w:rsidRPr="00981603">
        <w:fldChar w:fldCharType="end"/>
      </w:r>
      <w:r w:rsidRPr="00981603">
        <w:t xml:space="preserve"> ­ Pre-exposure ID vaccination schedules</w:t>
      </w:r>
    </w:p>
    <w:tbl>
      <w:tblPr>
        <w:tblW w:w="5000" w:type="pct"/>
        <w:jc w:val="center"/>
        <w:tblBorders>
          <w:top w:val="single" w:sz="2" w:space="0" w:color="000000"/>
        </w:tblBorders>
        <w:tblLook w:val="01E0" w:firstRow="1" w:lastRow="1" w:firstColumn="1" w:lastColumn="1" w:noHBand="0" w:noVBand="0"/>
      </w:tblPr>
      <w:tblGrid>
        <w:gridCol w:w="4726"/>
        <w:gridCol w:w="1413"/>
        <w:gridCol w:w="1413"/>
        <w:gridCol w:w="1917"/>
      </w:tblGrid>
      <w:tr w:rsidR="00981603" w:rsidRPr="00981603" w14:paraId="130140C0" w14:textId="77777777" w:rsidTr="007F4417">
        <w:trPr>
          <w:cantSplit/>
          <w:trHeight w:val="225"/>
          <w:tblHeader/>
          <w:jc w:val="center"/>
        </w:trPr>
        <w:tc>
          <w:tcPr>
            <w:tcW w:w="2496" w:type="pct"/>
            <w:tcBorders>
              <w:top w:val="single" w:sz="4" w:space="0" w:color="000000" w:themeColor="text1"/>
              <w:bottom w:val="single" w:sz="4" w:space="0" w:color="000000" w:themeColor="text1"/>
            </w:tcBorders>
            <w:shd w:val="clear" w:color="auto" w:fill="auto"/>
          </w:tcPr>
          <w:p w14:paraId="49BCF79F" w14:textId="77777777" w:rsidR="00E44659" w:rsidRPr="00981603" w:rsidRDefault="00E44659" w:rsidP="007F4417">
            <w:pPr>
              <w:pStyle w:val="TblHeadingCenter"/>
              <w:jc w:val="left"/>
            </w:pPr>
          </w:p>
        </w:tc>
        <w:tc>
          <w:tcPr>
            <w:tcW w:w="746" w:type="pct"/>
            <w:tcBorders>
              <w:top w:val="single" w:sz="4" w:space="0" w:color="000000" w:themeColor="text1"/>
              <w:bottom w:val="single" w:sz="4" w:space="0" w:color="000000" w:themeColor="text1"/>
            </w:tcBorders>
            <w:shd w:val="clear" w:color="auto" w:fill="auto"/>
          </w:tcPr>
          <w:p w14:paraId="71746C58" w14:textId="77777777" w:rsidR="00E44659" w:rsidRPr="00981603" w:rsidRDefault="00E44659" w:rsidP="007F4417">
            <w:pPr>
              <w:pStyle w:val="TblHeadingCenter"/>
              <w:jc w:val="left"/>
            </w:pPr>
            <w:r w:rsidRPr="00981603">
              <w:t>D0</w:t>
            </w:r>
          </w:p>
        </w:tc>
        <w:tc>
          <w:tcPr>
            <w:tcW w:w="746" w:type="pct"/>
            <w:tcBorders>
              <w:top w:val="single" w:sz="4" w:space="0" w:color="000000" w:themeColor="text1"/>
              <w:bottom w:val="single" w:sz="4" w:space="0" w:color="000000" w:themeColor="text1"/>
            </w:tcBorders>
            <w:shd w:val="clear" w:color="auto" w:fill="auto"/>
          </w:tcPr>
          <w:p w14:paraId="1A6D6727" w14:textId="77777777" w:rsidR="00E44659" w:rsidRPr="00981603" w:rsidRDefault="00E44659" w:rsidP="007F4417">
            <w:pPr>
              <w:pStyle w:val="TblHeadingCenter"/>
              <w:jc w:val="left"/>
            </w:pPr>
            <w:r w:rsidRPr="00981603">
              <w:t>D7</w:t>
            </w:r>
          </w:p>
        </w:tc>
        <w:tc>
          <w:tcPr>
            <w:tcW w:w="1012" w:type="pct"/>
            <w:tcBorders>
              <w:top w:val="single" w:sz="4" w:space="0" w:color="000000" w:themeColor="text1"/>
              <w:bottom w:val="single" w:sz="4" w:space="0" w:color="000000" w:themeColor="text1"/>
            </w:tcBorders>
            <w:shd w:val="clear" w:color="auto" w:fill="auto"/>
          </w:tcPr>
          <w:p w14:paraId="721B0E51" w14:textId="77777777" w:rsidR="00E44659" w:rsidRPr="00981603" w:rsidRDefault="00E44659" w:rsidP="007F4417">
            <w:pPr>
              <w:pStyle w:val="TblHeadingCenter"/>
              <w:jc w:val="left"/>
            </w:pPr>
            <w:r w:rsidRPr="00981603">
              <w:t>D21 or D28</w:t>
            </w:r>
          </w:p>
        </w:tc>
      </w:tr>
      <w:tr w:rsidR="00981603" w:rsidRPr="00981603" w14:paraId="64AAEA68" w14:textId="77777777" w:rsidTr="007F4417">
        <w:trPr>
          <w:cantSplit/>
          <w:trHeight w:val="408"/>
          <w:jc w:val="center"/>
        </w:trPr>
        <w:tc>
          <w:tcPr>
            <w:tcW w:w="2496" w:type="pct"/>
            <w:shd w:val="clear" w:color="auto" w:fill="auto"/>
          </w:tcPr>
          <w:p w14:paraId="369B12F3" w14:textId="77777777" w:rsidR="00E44659" w:rsidRDefault="00E44659" w:rsidP="007F4417">
            <w:pPr>
              <w:pStyle w:val="TblTextCenter"/>
              <w:jc w:val="left"/>
            </w:pPr>
            <w:r w:rsidRPr="00981603">
              <w:t>Conventional regimen ID route - 0.1 mL</w:t>
            </w:r>
          </w:p>
          <w:p w14:paraId="149BD7C6" w14:textId="77777777" w:rsidR="004518F4" w:rsidRPr="004518F4" w:rsidRDefault="004518F4" w:rsidP="004518F4"/>
          <w:p w14:paraId="4232F9FA" w14:textId="7632C426" w:rsidR="004518F4" w:rsidRPr="004518F4" w:rsidRDefault="004518F4" w:rsidP="004518F4"/>
        </w:tc>
        <w:tc>
          <w:tcPr>
            <w:tcW w:w="746" w:type="pct"/>
            <w:shd w:val="clear" w:color="auto" w:fill="auto"/>
          </w:tcPr>
          <w:p w14:paraId="38ACBDB8" w14:textId="77777777" w:rsidR="00E44659" w:rsidRPr="00981603" w:rsidRDefault="00E44659" w:rsidP="007F4417">
            <w:pPr>
              <w:pStyle w:val="TblTextCenter"/>
              <w:jc w:val="left"/>
            </w:pPr>
            <w:r w:rsidRPr="00981603">
              <w:t>1 dose</w:t>
            </w:r>
          </w:p>
        </w:tc>
        <w:tc>
          <w:tcPr>
            <w:tcW w:w="746" w:type="pct"/>
            <w:shd w:val="clear" w:color="auto" w:fill="auto"/>
          </w:tcPr>
          <w:p w14:paraId="55F703C6" w14:textId="77777777" w:rsidR="00E44659" w:rsidRPr="00981603" w:rsidRDefault="00E44659" w:rsidP="007F4417">
            <w:pPr>
              <w:pStyle w:val="TblTextCenter"/>
              <w:jc w:val="left"/>
            </w:pPr>
            <w:r w:rsidRPr="00981603">
              <w:t>1 dose</w:t>
            </w:r>
          </w:p>
        </w:tc>
        <w:tc>
          <w:tcPr>
            <w:tcW w:w="1012" w:type="pct"/>
            <w:shd w:val="clear" w:color="auto" w:fill="auto"/>
          </w:tcPr>
          <w:p w14:paraId="0058AB29" w14:textId="77777777" w:rsidR="00E44659" w:rsidRPr="00981603" w:rsidRDefault="00E44659" w:rsidP="007F4417">
            <w:pPr>
              <w:pStyle w:val="TblTextCenter"/>
              <w:jc w:val="left"/>
            </w:pPr>
            <w:r w:rsidRPr="00981603">
              <w:t>1 dose</w:t>
            </w:r>
          </w:p>
        </w:tc>
      </w:tr>
      <w:tr w:rsidR="00981603" w:rsidRPr="00981603" w14:paraId="6B028C04" w14:textId="77777777" w:rsidTr="007F4417">
        <w:trPr>
          <w:cantSplit/>
          <w:trHeight w:val="408"/>
          <w:jc w:val="center"/>
        </w:trPr>
        <w:tc>
          <w:tcPr>
            <w:tcW w:w="2496" w:type="pct"/>
            <w:tcBorders>
              <w:bottom w:val="single" w:sz="12" w:space="0" w:color="auto"/>
            </w:tcBorders>
            <w:shd w:val="clear" w:color="auto" w:fill="auto"/>
          </w:tcPr>
          <w:p w14:paraId="42A1E4BA" w14:textId="77777777" w:rsidR="00E44659" w:rsidRDefault="00E44659" w:rsidP="007F4417">
            <w:pPr>
              <w:pStyle w:val="TblTextCenter"/>
              <w:jc w:val="left"/>
            </w:pPr>
            <w:r w:rsidRPr="00981603">
              <w:t xml:space="preserve">One-week regimen </w:t>
            </w:r>
            <w:proofErr w:type="gramStart"/>
            <w:r w:rsidRPr="00981603">
              <w:rPr>
                <w:vertAlign w:val="superscript"/>
              </w:rPr>
              <w:t xml:space="preserve">a  </w:t>
            </w:r>
            <w:r w:rsidRPr="00981603">
              <w:t>ID</w:t>
            </w:r>
            <w:proofErr w:type="gramEnd"/>
            <w:r w:rsidRPr="00981603">
              <w:t xml:space="preserve"> route - 0.1 mL</w:t>
            </w:r>
          </w:p>
          <w:p w14:paraId="76972945" w14:textId="77777777" w:rsidR="004518F4" w:rsidRPr="004518F4" w:rsidRDefault="004518F4" w:rsidP="004518F4"/>
          <w:p w14:paraId="0BEF7F90" w14:textId="57D08BFC" w:rsidR="004518F4" w:rsidRPr="004518F4" w:rsidRDefault="004518F4" w:rsidP="004518F4"/>
        </w:tc>
        <w:tc>
          <w:tcPr>
            <w:tcW w:w="746" w:type="pct"/>
            <w:tcBorders>
              <w:bottom w:val="single" w:sz="12" w:space="0" w:color="auto"/>
            </w:tcBorders>
            <w:shd w:val="clear" w:color="auto" w:fill="auto"/>
          </w:tcPr>
          <w:p w14:paraId="7DFD68C3" w14:textId="77777777" w:rsidR="00E44659" w:rsidRPr="00981603" w:rsidRDefault="00E44659" w:rsidP="007F4417">
            <w:pPr>
              <w:pStyle w:val="TblTextCenter"/>
              <w:jc w:val="left"/>
            </w:pPr>
            <w:r w:rsidRPr="00981603">
              <w:t>2 doses</w:t>
            </w:r>
            <w:r w:rsidRPr="00981603">
              <w:rPr>
                <w:vertAlign w:val="superscript"/>
              </w:rPr>
              <w:t xml:space="preserve"> b</w:t>
            </w:r>
          </w:p>
        </w:tc>
        <w:tc>
          <w:tcPr>
            <w:tcW w:w="746" w:type="pct"/>
            <w:tcBorders>
              <w:bottom w:val="single" w:sz="12" w:space="0" w:color="auto"/>
            </w:tcBorders>
            <w:shd w:val="clear" w:color="auto" w:fill="auto"/>
          </w:tcPr>
          <w:p w14:paraId="7DA8FC8B" w14:textId="77777777" w:rsidR="00E44659" w:rsidRPr="00981603" w:rsidRDefault="00E44659" w:rsidP="007F4417">
            <w:pPr>
              <w:pStyle w:val="TblTextCenter"/>
              <w:jc w:val="left"/>
            </w:pPr>
            <w:r w:rsidRPr="00981603">
              <w:t xml:space="preserve">2 doses </w:t>
            </w:r>
            <w:r w:rsidRPr="00981603">
              <w:rPr>
                <w:vertAlign w:val="superscript"/>
              </w:rPr>
              <w:t>b</w:t>
            </w:r>
          </w:p>
        </w:tc>
        <w:tc>
          <w:tcPr>
            <w:tcW w:w="1012" w:type="pct"/>
            <w:tcBorders>
              <w:bottom w:val="single" w:sz="12" w:space="0" w:color="auto"/>
            </w:tcBorders>
            <w:shd w:val="clear" w:color="auto" w:fill="auto"/>
          </w:tcPr>
          <w:p w14:paraId="56ED5C80" w14:textId="7BA81EC9" w:rsidR="00E44659" w:rsidRPr="00981603" w:rsidRDefault="00E44659" w:rsidP="007F4417">
            <w:pPr>
              <w:pStyle w:val="TblTextCenter"/>
              <w:jc w:val="left"/>
            </w:pPr>
          </w:p>
        </w:tc>
      </w:tr>
    </w:tbl>
    <w:p w14:paraId="3C16669D" w14:textId="3BE4B59F" w:rsidR="002354C7" w:rsidRPr="00981603" w:rsidRDefault="002354C7" w:rsidP="002354C7">
      <w:pPr>
        <w:pStyle w:val="TblFigFootnote"/>
        <w:numPr>
          <w:ilvl w:val="0"/>
          <w:numId w:val="37"/>
        </w:numPr>
      </w:pPr>
      <w:r w:rsidRPr="00981603">
        <w:t xml:space="preserve">This regimen should not be used for immunocompromised individuals (see </w:t>
      </w:r>
      <w:r w:rsidR="00E24AC2" w:rsidRPr="00981603">
        <w:t xml:space="preserve">Section </w:t>
      </w:r>
      <w:r w:rsidR="00E24AC2" w:rsidRPr="00981603">
        <w:fldChar w:fldCharType="begin"/>
      </w:r>
      <w:r w:rsidR="00E24AC2" w:rsidRPr="00981603">
        <w:instrText xml:space="preserve"> REF _Ref113965383 \r \h  \* MERGEFORMAT </w:instrText>
      </w:r>
      <w:r w:rsidR="00E24AC2" w:rsidRPr="00981603">
        <w:fldChar w:fldCharType="separate"/>
      </w:r>
      <w:r w:rsidR="00366C42">
        <w:t>4.2.2.3.1</w:t>
      </w:r>
      <w:r w:rsidR="00E24AC2" w:rsidRPr="00981603">
        <w:fldChar w:fldCharType="end"/>
      </w:r>
      <w:r w:rsidRPr="00981603">
        <w:t>)</w:t>
      </w:r>
    </w:p>
    <w:p w14:paraId="426B7B16" w14:textId="77777777" w:rsidR="002354C7" w:rsidRPr="00981603" w:rsidRDefault="002354C7" w:rsidP="002354C7">
      <w:pPr>
        <w:pStyle w:val="TblFigFootnote"/>
        <w:numPr>
          <w:ilvl w:val="0"/>
          <w:numId w:val="37"/>
        </w:numPr>
      </w:pPr>
      <w:r w:rsidRPr="00981603">
        <w:t>One injection in each arm (for adults and children) or each anterolateral thigh (infants and toddlers)</w:t>
      </w:r>
    </w:p>
    <w:p w14:paraId="6DD3298F" w14:textId="07B70ED5" w:rsidR="00F66A13" w:rsidRDefault="00F66A13" w:rsidP="008E1928">
      <w:pPr>
        <w:rPr>
          <w:color w:val="auto"/>
        </w:rPr>
      </w:pPr>
      <w:r w:rsidRPr="001C2F4A">
        <w:rPr>
          <w:color w:val="auto"/>
        </w:rPr>
        <w:t xml:space="preserve">In addition, booster doses </w:t>
      </w:r>
      <w:r w:rsidR="000A238F" w:rsidRPr="001C2F4A">
        <w:rPr>
          <w:color w:val="auto"/>
        </w:rPr>
        <w:t xml:space="preserve">and/or regular serology testing of </w:t>
      </w:r>
      <w:proofErr w:type="spellStart"/>
      <w:r w:rsidR="000A238F" w:rsidRPr="001C2F4A">
        <w:rPr>
          <w:color w:val="auto"/>
        </w:rPr>
        <w:t>neutral</w:t>
      </w:r>
      <w:r w:rsidR="004635C5" w:rsidRPr="001C2F4A">
        <w:rPr>
          <w:color w:val="auto"/>
        </w:rPr>
        <w:t>isi</w:t>
      </w:r>
      <w:r w:rsidR="000A238F" w:rsidRPr="001C2F4A">
        <w:rPr>
          <w:color w:val="auto"/>
        </w:rPr>
        <w:t>ng</w:t>
      </w:r>
      <w:proofErr w:type="spellEnd"/>
      <w:r w:rsidR="000A238F" w:rsidRPr="001C2F4A">
        <w:rPr>
          <w:color w:val="auto"/>
        </w:rPr>
        <w:t xml:space="preserve"> antibodies </w:t>
      </w:r>
      <w:r w:rsidRPr="001C2F4A">
        <w:rPr>
          <w:color w:val="auto"/>
        </w:rPr>
        <w:t>may be indicated according to official local recommendations.</w:t>
      </w:r>
      <w:r w:rsidRPr="00981603">
        <w:rPr>
          <w:color w:val="auto"/>
        </w:rPr>
        <w:t xml:space="preserve"> </w:t>
      </w:r>
      <w:r w:rsidR="00842C72" w:rsidRPr="00981603">
        <w:rPr>
          <w:color w:val="auto"/>
        </w:rPr>
        <w:t>For further information, refer to the current Australian Immunisation Handbook.</w:t>
      </w:r>
      <w:r w:rsidR="008E1928" w:rsidRPr="00981603">
        <w:rPr>
          <w:color w:val="auto"/>
        </w:rPr>
        <w:t xml:space="preserve"> </w:t>
      </w:r>
    </w:p>
    <w:p w14:paraId="4CF82799" w14:textId="59C7F4C1" w:rsidR="00F66A13" w:rsidRPr="00BA6BDC" w:rsidRDefault="00F66A13" w:rsidP="00195CFF">
      <w:pPr>
        <w:pStyle w:val="Heading4"/>
      </w:pPr>
      <w:bookmarkStart w:id="8" w:name="_Toc29828100"/>
      <w:r w:rsidRPr="00BA6BDC">
        <w:t xml:space="preserve">Post-exposure prophylaxis </w:t>
      </w:r>
      <w:bookmarkEnd w:id="8"/>
      <w:r w:rsidR="000A238F" w:rsidRPr="00BA6BDC">
        <w:t>(PEP)</w:t>
      </w:r>
    </w:p>
    <w:p w14:paraId="064D281F" w14:textId="6BCFBF50" w:rsidR="00F66A13" w:rsidRPr="00BA6BDC" w:rsidRDefault="00F66A13" w:rsidP="00F66A13">
      <w:pPr>
        <w:rPr>
          <w:lang w:val="en-GB"/>
        </w:rPr>
      </w:pPr>
      <w:r w:rsidRPr="00BA6BDC">
        <w:t xml:space="preserve">Post-exposure </w:t>
      </w:r>
      <w:r w:rsidRPr="00BA6BDC">
        <w:rPr>
          <w:lang w:val="en-GB"/>
        </w:rPr>
        <w:t>prophylaxis should be initiated as soon as possible after suspected rabies exposure.</w:t>
      </w:r>
      <w:r w:rsidR="004635C5" w:rsidRPr="00BA6BDC">
        <w:rPr>
          <w:lang w:val="en-GB"/>
        </w:rPr>
        <w:t xml:space="preserve"> </w:t>
      </w:r>
      <w:r w:rsidRPr="00BA6BDC">
        <w:rPr>
          <w:lang w:val="en-GB"/>
        </w:rPr>
        <w:t xml:space="preserve">In all cases, proper wound care (thorough flushing and washing of all bite wounds and scratches with soap or detergent and copious amounts of water and/or virucidal agents) must be performed immediately or as soon as possible after exposure. It must be performed before administration of rabies vaccine or rabies </w:t>
      </w:r>
      <w:proofErr w:type="gramStart"/>
      <w:r w:rsidRPr="00BA6BDC">
        <w:rPr>
          <w:lang w:val="en-GB"/>
        </w:rPr>
        <w:t>immunoglobulin, when</w:t>
      </w:r>
      <w:proofErr w:type="gramEnd"/>
      <w:r w:rsidRPr="00BA6BDC">
        <w:rPr>
          <w:lang w:val="en-GB"/>
        </w:rPr>
        <w:t xml:space="preserve"> they are indicated.</w:t>
      </w:r>
    </w:p>
    <w:p w14:paraId="5908E442" w14:textId="0AE792F8" w:rsidR="00F66A13" w:rsidRPr="00BA6BDC" w:rsidRDefault="00F66A13" w:rsidP="00F66A13">
      <w:r w:rsidRPr="00BA6BDC">
        <w:t xml:space="preserve">The rabies vaccine administration must be performed strictly in accordance with the category of exposure, the patient immune status, and the animal status for rabies (according to official local recommendations, see </w:t>
      </w:r>
      <w:r w:rsidR="00882323" w:rsidRPr="00BA6BDC">
        <w:rPr>
          <w:color w:val="0000FF"/>
        </w:rPr>
        <w:fldChar w:fldCharType="begin"/>
      </w:r>
      <w:r w:rsidR="00882323" w:rsidRPr="00BA6BDC">
        <w:rPr>
          <w:color w:val="0000FF"/>
        </w:rPr>
        <w:instrText xml:space="preserve"> REF _Ref62740112 \h  \* MERGEFORMAT </w:instrText>
      </w:r>
      <w:r w:rsidR="00882323" w:rsidRPr="00BA6BDC">
        <w:rPr>
          <w:color w:val="0000FF"/>
        </w:rPr>
      </w:r>
      <w:r w:rsidR="00882323" w:rsidRPr="00BA6BDC">
        <w:rPr>
          <w:color w:val="0000FF"/>
        </w:rPr>
        <w:fldChar w:fldCharType="separate"/>
      </w:r>
      <w:r w:rsidR="00366C42" w:rsidRPr="00366C42">
        <w:rPr>
          <w:color w:val="0000FF"/>
        </w:rPr>
        <w:t>Table 3</w:t>
      </w:r>
      <w:r w:rsidR="00882323" w:rsidRPr="00BA6BDC">
        <w:rPr>
          <w:color w:val="0000FF"/>
        </w:rPr>
        <w:fldChar w:fldCharType="end"/>
      </w:r>
      <w:r w:rsidRPr="00BA6BDC">
        <w:t xml:space="preserve"> for WHO recommendations).</w:t>
      </w:r>
    </w:p>
    <w:p w14:paraId="45299E41" w14:textId="77777777" w:rsidR="00F66A13" w:rsidRPr="00BA6BDC" w:rsidRDefault="00F66A13" w:rsidP="00F66A13">
      <w:pPr>
        <w:rPr>
          <w:lang w:val="en-GB"/>
        </w:rPr>
      </w:pPr>
      <w:r w:rsidRPr="00BA6BDC">
        <w:rPr>
          <w:lang w:val="en-GB"/>
        </w:rPr>
        <w:lastRenderedPageBreak/>
        <w:t>In addition, tetanus prophylaxis and a course of antibiotics to prevent superinfections may be required according to official local recommendations.</w:t>
      </w:r>
    </w:p>
    <w:p w14:paraId="6F76ADF1" w14:textId="614A04CF" w:rsidR="00882323" w:rsidRPr="00BA6BDC" w:rsidRDefault="00882323" w:rsidP="00882323">
      <w:pPr>
        <w:pStyle w:val="Caption"/>
      </w:pPr>
      <w:bookmarkStart w:id="9" w:name="_Ref62740112"/>
      <w:r w:rsidRPr="00BA6BDC">
        <w:t>Table </w:t>
      </w:r>
      <w:r w:rsidRPr="00BA6BDC">
        <w:fldChar w:fldCharType="begin"/>
      </w:r>
      <w:r w:rsidRPr="00BA6BDC">
        <w:instrText xml:space="preserve"> SEQ Table \* ARABIC </w:instrText>
      </w:r>
      <w:r w:rsidRPr="00BA6BDC">
        <w:fldChar w:fldCharType="separate"/>
      </w:r>
      <w:r w:rsidR="00366C42">
        <w:rPr>
          <w:noProof/>
        </w:rPr>
        <w:t>3</w:t>
      </w:r>
      <w:r w:rsidRPr="00BA6BDC">
        <w:fldChar w:fldCharType="end"/>
      </w:r>
      <w:bookmarkEnd w:id="9"/>
      <w:r w:rsidRPr="00BA6BDC">
        <w:t xml:space="preserve"> ­ WHO category of severity of exposure</w:t>
      </w:r>
    </w:p>
    <w:tbl>
      <w:tblPr>
        <w:tblW w:w="0" w:type="auto"/>
        <w:jc w:val="center"/>
        <w:tblBorders>
          <w:top w:val="single" w:sz="2" w:space="0" w:color="000000"/>
        </w:tblBorders>
        <w:tblLook w:val="0000" w:firstRow="0" w:lastRow="0" w:firstColumn="0" w:lastColumn="0" w:noHBand="0" w:noVBand="0"/>
      </w:tblPr>
      <w:tblGrid>
        <w:gridCol w:w="1360"/>
        <w:gridCol w:w="3796"/>
        <w:gridCol w:w="4303"/>
      </w:tblGrid>
      <w:tr w:rsidR="00F66A13" w:rsidRPr="00BA6BDC" w14:paraId="5C309439" w14:textId="77777777" w:rsidTr="00D708F3">
        <w:trPr>
          <w:cantSplit/>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4D1DD34E" w14:textId="77777777" w:rsidR="00F66A13" w:rsidRPr="00BA6BDC" w:rsidRDefault="00F66A13" w:rsidP="00D708F3">
            <w:pPr>
              <w:pStyle w:val="TblHeadingCenter"/>
              <w:rPr>
                <w:lang w:val="en-GB"/>
              </w:rPr>
            </w:pPr>
            <w:r w:rsidRPr="00BA6BDC">
              <w:t>Category of 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4036A6" w14:textId="77777777" w:rsidR="00F66A13" w:rsidRPr="00BA6BDC" w:rsidRDefault="00F66A13" w:rsidP="00D708F3">
            <w:pPr>
              <w:pStyle w:val="TblHeadingCenter"/>
            </w:pPr>
            <w:r w:rsidRPr="00BA6BDC">
              <w:t>Type of exposure to a domestic or wild animal suspected or confirmed to be rabid or animal unavailable for testing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7D3395" w14:textId="77777777" w:rsidR="00F66A13" w:rsidRPr="00BA6BDC" w:rsidRDefault="00F66A13" w:rsidP="00D708F3">
            <w:pPr>
              <w:pStyle w:val="TblHeadingCenter"/>
              <w:rPr>
                <w:lang w:val="en-GB"/>
              </w:rPr>
            </w:pPr>
            <w:r w:rsidRPr="00BA6BDC">
              <w:t>Recommended post-exposure prophylaxis</w:t>
            </w:r>
          </w:p>
        </w:tc>
      </w:tr>
      <w:tr w:rsidR="00F66A13" w:rsidRPr="00BA6BDC" w14:paraId="5D018EBE" w14:textId="77777777" w:rsidTr="00D708F3">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4EB33848" w14:textId="77777777" w:rsidR="00F66A13" w:rsidRPr="00BA6BDC" w:rsidRDefault="00F66A13" w:rsidP="00D708F3">
            <w:pPr>
              <w:pStyle w:val="TblTextCenter"/>
            </w:pPr>
            <w:r w:rsidRPr="00BA6BDC">
              <w:t>I</w:t>
            </w:r>
          </w:p>
          <w:p w14:paraId="4C82F95F" w14:textId="77777777" w:rsidR="00F66A13" w:rsidRPr="00BA6BDC" w:rsidRDefault="00F66A13" w:rsidP="00D708F3">
            <w:pPr>
              <w:pStyle w:val="TblTextCente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A59BD5" w14:textId="77777777" w:rsidR="00F66A13" w:rsidRPr="00BA6BDC" w:rsidRDefault="00F66A13" w:rsidP="00D708F3">
            <w:pPr>
              <w:pStyle w:val="TblTextCenter"/>
            </w:pPr>
            <w:r w:rsidRPr="00BA6BDC">
              <w:t>Touching or feeding of animals</w:t>
            </w:r>
          </w:p>
          <w:p w14:paraId="075830EB" w14:textId="77777777" w:rsidR="00F66A13" w:rsidRPr="00BA6BDC" w:rsidRDefault="00F66A13" w:rsidP="00D708F3">
            <w:pPr>
              <w:pStyle w:val="TblTextCenter"/>
            </w:pPr>
            <w:r w:rsidRPr="00BA6BDC">
              <w:t>Licks on intact skin</w:t>
            </w:r>
          </w:p>
          <w:p w14:paraId="5D59687B" w14:textId="77777777" w:rsidR="00F66A13" w:rsidRPr="00BA6BDC" w:rsidRDefault="00F66A13" w:rsidP="00D708F3">
            <w:pPr>
              <w:pStyle w:val="TblTextCenter"/>
            </w:pPr>
            <w:r w:rsidRPr="00BA6BDC">
              <w:t>(</w:t>
            </w:r>
            <w:proofErr w:type="gramStart"/>
            <w:r w:rsidRPr="00BA6BDC">
              <w:t>no</w:t>
            </w:r>
            <w:proofErr w:type="gramEnd"/>
            <w:r w:rsidRPr="00BA6BDC">
              <w:t xml:space="preserve"> 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0A30F7" w14:textId="77777777" w:rsidR="00F66A13" w:rsidRPr="00BA6BDC" w:rsidRDefault="00F66A13" w:rsidP="00D708F3">
            <w:pPr>
              <w:pStyle w:val="TblTextCenter"/>
            </w:pPr>
            <w:r w:rsidRPr="00BA6BDC">
              <w:t xml:space="preserve">None, if reliable case history is </w:t>
            </w:r>
            <w:proofErr w:type="spellStart"/>
            <w:r w:rsidRPr="00BA6BDC">
              <w:t>available</w:t>
            </w:r>
            <w:r w:rsidRPr="00BA6BDC">
              <w:rPr>
                <w:vertAlign w:val="superscript"/>
              </w:rPr>
              <w:t>a</w:t>
            </w:r>
            <w:proofErr w:type="spellEnd"/>
          </w:p>
          <w:p w14:paraId="04055E5B" w14:textId="77777777" w:rsidR="00F66A13" w:rsidRPr="00BA6BDC" w:rsidRDefault="00F66A13" w:rsidP="00D708F3">
            <w:pPr>
              <w:pStyle w:val="TblTextCenter"/>
            </w:pPr>
          </w:p>
        </w:tc>
      </w:tr>
      <w:tr w:rsidR="00F66A13" w:rsidRPr="00BA6BDC" w14:paraId="3993C158" w14:textId="77777777" w:rsidTr="00D708F3">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CDE604" w14:textId="77777777" w:rsidR="00F66A13" w:rsidRPr="00BA6BDC" w:rsidRDefault="00F66A13" w:rsidP="00D708F3">
            <w:pPr>
              <w:pStyle w:val="TblTextCenter"/>
            </w:pPr>
            <w:r w:rsidRPr="00BA6BDC">
              <w:t>II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FDFCDF" w14:textId="77777777" w:rsidR="00F66A13" w:rsidRPr="00BA6BDC" w:rsidRDefault="00F66A13" w:rsidP="00D708F3">
            <w:pPr>
              <w:pStyle w:val="TblTextCenter"/>
            </w:pPr>
            <w:r w:rsidRPr="00BA6BDC">
              <w:t>Nibbling of uncovered skin</w:t>
            </w:r>
          </w:p>
          <w:p w14:paraId="02DAD38D" w14:textId="77777777" w:rsidR="00F66A13" w:rsidRPr="00BA6BDC" w:rsidRDefault="00F66A13" w:rsidP="00D708F3">
            <w:pPr>
              <w:pStyle w:val="TblTextCenter"/>
            </w:pPr>
            <w:r w:rsidRPr="00BA6BDC">
              <w:t>Minor scratches or abrasions without bleeding</w:t>
            </w:r>
          </w:p>
          <w:p w14:paraId="1FF28837" w14:textId="77777777" w:rsidR="00F66A13" w:rsidRPr="00BA6BDC" w:rsidRDefault="00F66A13" w:rsidP="00D708F3">
            <w:pPr>
              <w:pStyle w:val="TblTextCenter"/>
            </w:pPr>
            <w:r w:rsidRPr="00BA6BDC">
              <w: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605E1B" w14:textId="77777777" w:rsidR="00F66A13" w:rsidRPr="00BA6BDC" w:rsidRDefault="00F66A13" w:rsidP="00D708F3">
            <w:pPr>
              <w:pStyle w:val="TblTextCenter"/>
            </w:pPr>
            <w:r w:rsidRPr="00BA6BDC">
              <w:t>Administer vaccine immediately</w:t>
            </w:r>
          </w:p>
          <w:p w14:paraId="2A06FE2A" w14:textId="77777777" w:rsidR="00F66A13" w:rsidRPr="00BA6BDC" w:rsidRDefault="00F66A13" w:rsidP="00D708F3">
            <w:pPr>
              <w:pStyle w:val="TblTextCenter"/>
            </w:pPr>
            <w:r w:rsidRPr="00BA6BDC">
              <w:t xml:space="preserve">Stop treatment if animal remains healthy throughout an observation period of 10 </w:t>
            </w:r>
            <w:proofErr w:type="spellStart"/>
            <w:r w:rsidRPr="00BA6BDC">
              <w:t>days</w:t>
            </w:r>
            <w:r w:rsidRPr="00BA6BDC">
              <w:rPr>
                <w:vertAlign w:val="superscript"/>
              </w:rPr>
              <w:t>b</w:t>
            </w:r>
            <w:proofErr w:type="spellEnd"/>
            <w:r w:rsidRPr="00BA6BDC">
              <w:t xml:space="preserve"> or is proven to be negative for rabies by a reliable laboratory using appropriate diagnostic techniques.</w:t>
            </w:r>
          </w:p>
          <w:p w14:paraId="69514841" w14:textId="77777777" w:rsidR="00F66A13" w:rsidRPr="00BA6BDC" w:rsidRDefault="00F66A13" w:rsidP="00D708F3">
            <w:pPr>
              <w:pStyle w:val="TblTextCenter"/>
            </w:pPr>
            <w:r w:rsidRPr="00BA6BDC">
              <w:t>Treat as category III if bat exposure involved.</w:t>
            </w:r>
          </w:p>
          <w:p w14:paraId="6E4DCBE3" w14:textId="77777777" w:rsidR="00F66A13" w:rsidRPr="00BA6BDC" w:rsidRDefault="00F66A13" w:rsidP="00D708F3">
            <w:pPr>
              <w:pStyle w:val="TblTextCenter"/>
            </w:pPr>
          </w:p>
        </w:tc>
      </w:tr>
      <w:tr w:rsidR="00F66A13" w:rsidRPr="00BA6BDC" w14:paraId="2A10CD0D" w14:textId="77777777" w:rsidTr="00D708F3">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746D2CCD" w14:textId="77777777" w:rsidR="00F66A13" w:rsidRPr="00BA6BDC" w:rsidRDefault="00F66A13" w:rsidP="00D708F3">
            <w:pPr>
              <w:pStyle w:val="TblTextCenter"/>
            </w:pPr>
            <w:r w:rsidRPr="00BA6BDC">
              <w:t>III</w:t>
            </w:r>
          </w:p>
          <w:p w14:paraId="1B5C9A87" w14:textId="77777777" w:rsidR="00F66A13" w:rsidRPr="00BA6BDC" w:rsidRDefault="00F66A13" w:rsidP="00D708F3">
            <w:pPr>
              <w:pStyle w:val="TblTextCente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A0EFCE" w14:textId="6062C1BE" w:rsidR="00F66A13" w:rsidRPr="00BA6BDC" w:rsidRDefault="00F66A13" w:rsidP="00D708F3">
            <w:pPr>
              <w:pStyle w:val="TblTextCenter"/>
            </w:pPr>
            <w:r w:rsidRPr="00BA6BDC">
              <w:t xml:space="preserve">Single or multiple </w:t>
            </w:r>
            <w:proofErr w:type="spellStart"/>
            <w:r w:rsidRPr="00BA6BDC">
              <w:t>transdermal</w:t>
            </w:r>
            <w:r w:rsidRPr="00BA6BDC">
              <w:rPr>
                <w:vertAlign w:val="superscript"/>
              </w:rPr>
              <w:t>c</w:t>
            </w:r>
            <w:proofErr w:type="spellEnd"/>
            <w:r w:rsidRPr="00BA6BDC">
              <w:t xml:space="preserve"> bites or scratches, contamination of mucous membrane or broken skin with saliva from animal licks, exposures due to direct contact with bats.</w:t>
            </w:r>
          </w:p>
          <w:p w14:paraId="1B1C859C" w14:textId="77777777" w:rsidR="00F66A13" w:rsidRPr="00BA6BDC" w:rsidRDefault="00F66A13" w:rsidP="00D708F3">
            <w:pPr>
              <w:pStyle w:val="TblTextCenter"/>
            </w:pPr>
            <w:r w:rsidRPr="00BA6BDC">
              <w:t>(</w:t>
            </w:r>
            <w:proofErr w:type="gramStart"/>
            <w:r w:rsidRPr="00BA6BDC">
              <w:t>severe</w:t>
            </w:r>
            <w:proofErr w:type="gramEnd"/>
            <w:r w:rsidRPr="00BA6BDC">
              <w:t xml:space="preserve"> 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3E67FF" w14:textId="77777777" w:rsidR="00F66A13" w:rsidRPr="00BA6BDC" w:rsidRDefault="00F66A13" w:rsidP="00D708F3">
            <w:pPr>
              <w:pStyle w:val="TblTextCenter"/>
            </w:pPr>
            <w:r w:rsidRPr="00BA6BDC">
              <w:t xml:space="preserve">Administer rabies vaccine immediately, and rabies immunoglobulin, preferably as soon as possible after initiation of post-exposure prophylaxis. </w:t>
            </w:r>
          </w:p>
          <w:p w14:paraId="65286F8F" w14:textId="77777777" w:rsidR="00F66A13" w:rsidRPr="00BA6BDC" w:rsidRDefault="00F66A13" w:rsidP="00D708F3">
            <w:pPr>
              <w:pStyle w:val="TblTextCenter"/>
            </w:pPr>
            <w:r w:rsidRPr="00BA6BDC">
              <w:t>Rabies immunoglobulin can be injected up to 7 days after administration of first vaccine dose.</w:t>
            </w:r>
          </w:p>
          <w:p w14:paraId="005030AB" w14:textId="77777777" w:rsidR="00F66A13" w:rsidRPr="00BA6BDC" w:rsidRDefault="00F66A13" w:rsidP="00D708F3">
            <w:pPr>
              <w:pStyle w:val="TblTextCenter"/>
            </w:pPr>
            <w:r w:rsidRPr="00BA6BDC">
              <w:t>Stop treatment if animal remains healthy throughout an observation period of 10 days or is proven to be negative for rabies by a reliable laboratory using appropriate diagnostic techniques.</w:t>
            </w:r>
          </w:p>
          <w:p w14:paraId="5B4CBD8E" w14:textId="29012820" w:rsidR="00882323" w:rsidRPr="00BA6BDC" w:rsidRDefault="00882323" w:rsidP="00D708F3">
            <w:pPr>
              <w:pStyle w:val="TblTextCenter"/>
            </w:pPr>
            <w:r w:rsidRPr="00BA6BDC">
              <w:t xml:space="preserve"> </w:t>
            </w:r>
          </w:p>
        </w:tc>
      </w:tr>
      <w:tr w:rsidR="00D708F3" w:rsidRPr="00BA6BDC" w14:paraId="4D139BA9" w14:textId="77777777" w:rsidTr="00D708F3">
        <w:trPr>
          <w:cantSplit/>
          <w:jc w:val="center"/>
        </w:trPr>
        <w:tc>
          <w:tcPr>
            <w:tcW w:w="0" w:type="auto"/>
            <w:gridSpan w:val="3"/>
            <w:tcBorders>
              <w:top w:val="single" w:sz="4" w:space="0" w:color="auto"/>
            </w:tcBorders>
            <w:shd w:val="clear" w:color="auto" w:fill="auto"/>
          </w:tcPr>
          <w:p w14:paraId="49C95D78" w14:textId="77777777" w:rsidR="00D708F3" w:rsidRPr="00BA6BDC" w:rsidRDefault="00D708F3" w:rsidP="00D708F3">
            <w:pPr>
              <w:pStyle w:val="TblFigFootnote"/>
            </w:pPr>
          </w:p>
        </w:tc>
      </w:tr>
    </w:tbl>
    <w:p w14:paraId="619724BE" w14:textId="12E9157F" w:rsidR="00F66A13" w:rsidRPr="00BA6BDC" w:rsidRDefault="00F66A13" w:rsidP="00D708F3">
      <w:pPr>
        <w:pStyle w:val="TblFigFootnote"/>
        <w:numPr>
          <w:ilvl w:val="0"/>
          <w:numId w:val="29"/>
        </w:numPr>
      </w:pPr>
      <w:r w:rsidRPr="00BA6BDC">
        <w:t>If an apparently healthy dog or cat in or from a low-risk area is placed under observation, treatment may be delayed.</w:t>
      </w:r>
    </w:p>
    <w:p w14:paraId="7E696FA0" w14:textId="47879B53" w:rsidR="00F66A13" w:rsidRPr="00BA6BDC" w:rsidRDefault="00F66A13" w:rsidP="00D708F3">
      <w:pPr>
        <w:pStyle w:val="TblFigFootnote"/>
        <w:numPr>
          <w:ilvl w:val="0"/>
          <w:numId w:val="29"/>
        </w:numPr>
      </w:pPr>
      <w:r w:rsidRPr="00BA6BDC">
        <w:t xml:space="preserve">This observation period applies only to dogs and cats. Except for threatened or endangered species, other domestic and wild animals suspected of being rabid should be </w:t>
      </w:r>
      <w:proofErr w:type="spellStart"/>
      <w:r w:rsidRPr="00BA6BDC">
        <w:t>euthan</w:t>
      </w:r>
      <w:r w:rsidR="004635C5" w:rsidRPr="00BA6BDC">
        <w:t>ise</w:t>
      </w:r>
      <w:r w:rsidRPr="00BA6BDC">
        <w:t>d</w:t>
      </w:r>
      <w:proofErr w:type="spellEnd"/>
      <w:r w:rsidRPr="00BA6BDC">
        <w:t xml:space="preserve"> and their tissues examined for the presence of rabies antigen by appropriate laboratory techniques.</w:t>
      </w:r>
    </w:p>
    <w:p w14:paraId="2DEC4ED4" w14:textId="1DE6F38E" w:rsidR="00F66A13" w:rsidRPr="00BA6BDC" w:rsidRDefault="00F66A13" w:rsidP="00D708F3">
      <w:pPr>
        <w:pStyle w:val="TblFigFootnote"/>
        <w:numPr>
          <w:ilvl w:val="0"/>
          <w:numId w:val="29"/>
        </w:numPr>
      </w:pPr>
      <w:r w:rsidRPr="00BA6BDC">
        <w:t xml:space="preserve">Bites especially on the head, neck, face, </w:t>
      </w:r>
      <w:proofErr w:type="gramStart"/>
      <w:r w:rsidRPr="00BA6BDC">
        <w:t>hands</w:t>
      </w:r>
      <w:proofErr w:type="gramEnd"/>
      <w:r w:rsidRPr="00BA6BDC">
        <w:t xml:space="preserve"> and genitals are category III exposures because of the rich innervation of these areas.</w:t>
      </w:r>
    </w:p>
    <w:p w14:paraId="5623A956" w14:textId="03234136" w:rsidR="00F66A13" w:rsidRPr="00981603" w:rsidRDefault="00F66A13" w:rsidP="00195CFF">
      <w:pPr>
        <w:pStyle w:val="Heading5"/>
      </w:pPr>
      <w:bookmarkStart w:id="10" w:name="_Toc8310610"/>
      <w:bookmarkStart w:id="11" w:name="_Toc29828101"/>
      <w:bookmarkStart w:id="12" w:name="_Ref62740481"/>
      <w:bookmarkStart w:id="13" w:name="_Ref62741632"/>
      <w:r w:rsidRPr="00BA6BDC">
        <w:lastRenderedPageBreak/>
        <w:t>Post-exposure prophylaxis of</w:t>
      </w:r>
      <w:r w:rsidRPr="00981603">
        <w:rPr>
          <w:color w:val="FF0000"/>
        </w:rPr>
        <w:t xml:space="preserve"> </w:t>
      </w:r>
      <w:r w:rsidRPr="00BA6BDC">
        <w:t>non-</w:t>
      </w:r>
      <w:proofErr w:type="spellStart"/>
      <w:r w:rsidRPr="00BA6BDC">
        <w:t>immuni</w:t>
      </w:r>
      <w:r w:rsidR="00882323" w:rsidRPr="00BA6BDC">
        <w:t>s</w:t>
      </w:r>
      <w:r w:rsidRPr="00BA6BDC">
        <w:t>ed</w:t>
      </w:r>
      <w:proofErr w:type="spellEnd"/>
      <w:r w:rsidRPr="00BA6BDC">
        <w:t xml:space="preserve"> individuals</w:t>
      </w:r>
      <w:bookmarkEnd w:id="10"/>
      <w:bookmarkEnd w:id="11"/>
      <w:bookmarkEnd w:id="12"/>
      <w:bookmarkEnd w:id="13"/>
      <w:r w:rsidRPr="00981603">
        <w:t xml:space="preserve"> </w:t>
      </w:r>
      <w:r w:rsidR="001C2F4A" w:rsidRPr="00981603">
        <w:t xml:space="preserve">or incompletely </w:t>
      </w:r>
      <w:proofErr w:type="spellStart"/>
      <w:r w:rsidR="001C2F4A" w:rsidRPr="00981603">
        <w:t>immunised</w:t>
      </w:r>
      <w:proofErr w:type="spellEnd"/>
      <w:r w:rsidR="001C2F4A" w:rsidRPr="00981603">
        <w:t xml:space="preserve"> individuals</w:t>
      </w:r>
    </w:p>
    <w:p w14:paraId="31243AA9" w14:textId="610865EC" w:rsidR="00F66A13" w:rsidRPr="00BA6BDC" w:rsidRDefault="00F66A13" w:rsidP="00F66A13">
      <w:pPr>
        <w:pStyle w:val="ListBullet"/>
      </w:pPr>
      <w:r w:rsidRPr="00981603">
        <w:rPr>
          <w:color w:val="auto"/>
        </w:rPr>
        <w:t>Individuals not previou</w:t>
      </w:r>
      <w:r w:rsidRPr="00BA6BDC">
        <w:t xml:space="preserve">sly </w:t>
      </w:r>
      <w:proofErr w:type="spellStart"/>
      <w:r w:rsidRPr="00BA6BDC">
        <w:t>immuni</w:t>
      </w:r>
      <w:r w:rsidR="00882323" w:rsidRPr="00BA6BDC">
        <w:t>s</w:t>
      </w:r>
      <w:r w:rsidRPr="00BA6BDC">
        <w:t>ed</w:t>
      </w:r>
      <w:proofErr w:type="spellEnd"/>
      <w:r w:rsidRPr="00BA6BDC">
        <w:t xml:space="preserve"> can be vaccinated according to one of the vaccination schedules presented in </w:t>
      </w:r>
      <w:r w:rsidR="00882323" w:rsidRPr="00BA6BDC">
        <w:rPr>
          <w:color w:val="0000FF"/>
        </w:rPr>
        <w:fldChar w:fldCharType="begin"/>
      </w:r>
      <w:r w:rsidR="00882323" w:rsidRPr="00BA6BDC">
        <w:rPr>
          <w:color w:val="0000FF"/>
        </w:rPr>
        <w:instrText xml:space="preserve"> REF _Ref62740241 \h  \* MERGEFORMAT </w:instrText>
      </w:r>
      <w:r w:rsidR="00882323" w:rsidRPr="00BA6BDC">
        <w:rPr>
          <w:color w:val="0000FF"/>
        </w:rPr>
      </w:r>
      <w:r w:rsidR="00882323" w:rsidRPr="00BA6BDC">
        <w:rPr>
          <w:color w:val="0000FF"/>
        </w:rPr>
        <w:fldChar w:fldCharType="separate"/>
      </w:r>
      <w:r w:rsidR="00366C42" w:rsidRPr="00366C42">
        <w:rPr>
          <w:color w:val="0000FF"/>
        </w:rPr>
        <w:t>Table 4</w:t>
      </w:r>
      <w:r w:rsidR="00882323" w:rsidRPr="00BA6BDC">
        <w:rPr>
          <w:color w:val="0000FF"/>
        </w:rPr>
        <w:fldChar w:fldCharType="end"/>
      </w:r>
      <w:r w:rsidR="001C2F4A" w:rsidRPr="001C2F4A">
        <w:t xml:space="preserve"> </w:t>
      </w:r>
      <w:r w:rsidR="001C2F4A" w:rsidRPr="00981603">
        <w:rPr>
          <w:color w:val="auto"/>
        </w:rPr>
        <w:t xml:space="preserve">or in accordance with </w:t>
      </w:r>
      <w:r w:rsidR="00884CB2" w:rsidRPr="00981603">
        <w:rPr>
          <w:color w:val="auto"/>
        </w:rPr>
        <w:t>the current Australian Immunisation Handbook</w:t>
      </w:r>
      <w:r w:rsidR="001C2F4A" w:rsidRPr="00981603">
        <w:rPr>
          <w:color w:val="auto"/>
        </w:rPr>
        <w:t>:</w:t>
      </w:r>
    </w:p>
    <w:p w14:paraId="1F884963" w14:textId="1813C9DD" w:rsidR="00882323" w:rsidRPr="00BA6BDC" w:rsidRDefault="00882323" w:rsidP="00882323">
      <w:pPr>
        <w:pStyle w:val="Caption"/>
      </w:pPr>
      <w:bookmarkStart w:id="14" w:name="_Ref62740241"/>
      <w:r w:rsidRPr="00BA6BDC">
        <w:t>Table </w:t>
      </w:r>
      <w:r w:rsidRPr="00BA6BDC">
        <w:fldChar w:fldCharType="begin"/>
      </w:r>
      <w:r w:rsidRPr="00BA6BDC">
        <w:instrText xml:space="preserve"> SEQ Table \* ARABIC </w:instrText>
      </w:r>
      <w:r w:rsidRPr="00BA6BDC">
        <w:fldChar w:fldCharType="separate"/>
      </w:r>
      <w:r w:rsidR="00366C42">
        <w:rPr>
          <w:noProof/>
        </w:rPr>
        <w:t>4</w:t>
      </w:r>
      <w:r w:rsidRPr="00BA6BDC">
        <w:fldChar w:fldCharType="end"/>
      </w:r>
      <w:bookmarkEnd w:id="14"/>
      <w:r w:rsidRPr="00BA6BDC">
        <w:t xml:space="preserve"> ­ </w:t>
      </w:r>
      <w:proofErr w:type="gramStart"/>
      <w:r w:rsidRPr="00BA6BDC">
        <w:t>Post-exposure</w:t>
      </w:r>
      <w:proofErr w:type="gramEnd"/>
      <w:r w:rsidRPr="00BA6BDC">
        <w:t xml:space="preserve"> vaccination schedules in non-</w:t>
      </w:r>
      <w:proofErr w:type="spellStart"/>
      <w:r w:rsidRPr="00BA6BDC">
        <w:t>immun</w:t>
      </w:r>
      <w:r w:rsidR="004635C5" w:rsidRPr="00BA6BDC">
        <w:t>ise</w:t>
      </w:r>
      <w:r w:rsidRPr="00BA6BDC">
        <w:t>d</w:t>
      </w:r>
      <w:proofErr w:type="spellEnd"/>
      <w:r w:rsidRPr="00BA6BDC">
        <w:t xml:space="preserve"> individuals</w:t>
      </w:r>
      <w:r w:rsidR="00B95065" w:rsidRPr="00B95065">
        <w:t xml:space="preserve"> or </w:t>
      </w:r>
      <w:r w:rsidR="00B95065" w:rsidRPr="00981603">
        <w:t xml:space="preserve">incompletely </w:t>
      </w:r>
      <w:proofErr w:type="spellStart"/>
      <w:r w:rsidR="00B95065" w:rsidRPr="00981603">
        <w:t>immunised</w:t>
      </w:r>
      <w:proofErr w:type="spellEnd"/>
      <w:r w:rsidR="00B95065" w:rsidRPr="00981603">
        <w:t xml:space="preserve"> individuals</w:t>
      </w:r>
    </w:p>
    <w:tbl>
      <w:tblPr>
        <w:tblW w:w="0" w:type="auto"/>
        <w:jc w:val="center"/>
        <w:tblBorders>
          <w:top w:val="single" w:sz="2" w:space="0" w:color="000000"/>
        </w:tblBorders>
        <w:tblLook w:val="04A0" w:firstRow="1" w:lastRow="0" w:firstColumn="1" w:lastColumn="0" w:noHBand="0" w:noVBand="1"/>
      </w:tblPr>
      <w:tblGrid>
        <w:gridCol w:w="3152"/>
        <w:gridCol w:w="850"/>
        <w:gridCol w:w="850"/>
        <w:gridCol w:w="850"/>
        <w:gridCol w:w="709"/>
        <w:gridCol w:w="709"/>
        <w:gridCol w:w="850"/>
      </w:tblGrid>
      <w:tr w:rsidR="00D708F3" w:rsidRPr="00BA6BDC" w14:paraId="46446CDD" w14:textId="77777777" w:rsidTr="00D708F3">
        <w:trPr>
          <w:cantSplit/>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393F7C80" w14:textId="77777777" w:rsidR="00F66A13" w:rsidRPr="00BA6BDC" w:rsidRDefault="00F66A13" w:rsidP="00D708F3">
            <w:pPr>
              <w:pStyle w:val="TblHeadingCente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981084" w14:textId="77777777" w:rsidR="00F66A13" w:rsidRPr="00BA6BDC" w:rsidRDefault="00F66A13" w:rsidP="00D708F3">
            <w:pPr>
              <w:pStyle w:val="TblHeadingCenter"/>
            </w:pPr>
            <w:r w:rsidRPr="00BA6BDC">
              <w:t>D0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BE85E0" w14:textId="77777777" w:rsidR="00F66A13" w:rsidRPr="00BA6BDC" w:rsidRDefault="00F66A13" w:rsidP="00D708F3">
            <w:pPr>
              <w:pStyle w:val="TblHeadingCenter"/>
            </w:pPr>
            <w:r w:rsidRPr="00BA6BDC">
              <w:t>D3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22A7C3" w14:textId="77777777" w:rsidR="00F66A13" w:rsidRPr="00BA6BDC" w:rsidRDefault="00F66A13" w:rsidP="00D708F3">
            <w:pPr>
              <w:pStyle w:val="TblHeadingCenter"/>
            </w:pPr>
            <w:r w:rsidRPr="00BA6BDC">
              <w:t>D7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8A9EF5" w14:textId="77777777" w:rsidR="00F66A13" w:rsidRPr="00BA6BDC" w:rsidRDefault="00F66A13" w:rsidP="00D708F3">
            <w:pPr>
              <w:pStyle w:val="TblHeadingCenter"/>
            </w:pPr>
            <w:r w:rsidRPr="00BA6BDC">
              <w:t>D14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0102E9" w14:textId="77777777" w:rsidR="00F66A13" w:rsidRPr="00BA6BDC" w:rsidRDefault="00F66A13" w:rsidP="00D708F3">
            <w:pPr>
              <w:pStyle w:val="TblHeadingCenter"/>
            </w:pPr>
            <w:r w:rsidRPr="00BA6BDC">
              <w:t>D21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D95951" w14:textId="77777777" w:rsidR="00F66A13" w:rsidRPr="00BA6BDC" w:rsidRDefault="00F66A13" w:rsidP="00D708F3">
            <w:pPr>
              <w:pStyle w:val="TblHeadingCenter"/>
            </w:pPr>
            <w:r w:rsidRPr="00BA6BDC">
              <w:t>D28</w:t>
            </w:r>
          </w:p>
        </w:tc>
      </w:tr>
      <w:tr w:rsidR="00D708F3" w:rsidRPr="00BA6BDC" w14:paraId="3772E1B3" w14:textId="77777777" w:rsidTr="00D708F3">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4A113E9D" w14:textId="5C2FA05B" w:rsidR="00F66A13" w:rsidRPr="00BA6BDC" w:rsidRDefault="001C2F4A" w:rsidP="00D708F3">
            <w:pPr>
              <w:pStyle w:val="TblTextCenter"/>
            </w:pPr>
            <w:r w:rsidRPr="002A24A3">
              <w:t>5-dose</w:t>
            </w:r>
            <w:r>
              <w:t xml:space="preserve"> </w:t>
            </w:r>
            <w:r w:rsidR="00F66A13" w:rsidRPr="00BA6BDC">
              <w:t>Essen regimen</w:t>
            </w:r>
            <w:r w:rsidR="004635C5" w:rsidRPr="00BA6BDC">
              <w:t xml:space="preserve"> </w:t>
            </w:r>
            <w:r w:rsidR="00F66A13" w:rsidRPr="00BA6BDC">
              <w:t>IM route - 0.5 mL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9BEF32" w14:textId="77777777" w:rsidR="00F66A13" w:rsidRPr="00BA6BDC" w:rsidRDefault="00F66A13" w:rsidP="00D708F3">
            <w:pPr>
              <w:pStyle w:val="TblTextCenter"/>
            </w:pPr>
            <w:r w:rsidRPr="00BA6BDC">
              <w:t>1 dose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3402B2" w14:textId="77777777" w:rsidR="00F66A13" w:rsidRPr="00BA6BDC" w:rsidRDefault="00F66A13" w:rsidP="00D708F3">
            <w:pPr>
              <w:pStyle w:val="TblTextCenter"/>
            </w:pPr>
            <w:r w:rsidRPr="00BA6BDC">
              <w:t>1 dose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581C9C" w14:textId="77777777" w:rsidR="00F66A13" w:rsidRPr="00BA6BDC" w:rsidRDefault="00F66A13" w:rsidP="00D708F3">
            <w:pPr>
              <w:pStyle w:val="TblTextCenter"/>
            </w:pPr>
            <w:r w:rsidRPr="00BA6BDC">
              <w:t>1 dose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4E847C" w14:textId="77777777" w:rsidR="00F66A13" w:rsidRPr="00BA6BDC" w:rsidRDefault="00F66A13" w:rsidP="00D708F3">
            <w:pPr>
              <w:pStyle w:val="TblTextCenter"/>
            </w:pPr>
            <w:r w:rsidRPr="00BA6BDC">
              <w:t>1 dose</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tcPr>
          <w:p w14:paraId="373D6489" w14:textId="77777777" w:rsidR="00F66A13" w:rsidRPr="00BA6BDC" w:rsidRDefault="00F66A13" w:rsidP="00D708F3">
            <w:pPr>
              <w:pStyle w:val="TblTextCente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46AD4B" w14:textId="77777777" w:rsidR="00F66A13" w:rsidRPr="00BA6BDC" w:rsidRDefault="00F66A13" w:rsidP="00D708F3">
            <w:pPr>
              <w:pStyle w:val="TblTextCenter"/>
            </w:pPr>
            <w:r w:rsidRPr="00BA6BDC">
              <w:t>1 dose</w:t>
            </w:r>
          </w:p>
        </w:tc>
      </w:tr>
      <w:tr w:rsidR="00D708F3" w:rsidRPr="00BA6BDC" w14:paraId="62634423" w14:textId="77777777" w:rsidTr="00D708F3">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4D49667E" w14:textId="7E8A6F2C" w:rsidR="00F66A13" w:rsidRPr="00BA6BDC" w:rsidRDefault="00F66A13" w:rsidP="00D708F3">
            <w:pPr>
              <w:pStyle w:val="TblTextCenter"/>
            </w:pPr>
            <w:r w:rsidRPr="00BA6BDC">
              <w:t>Zagreb regimen</w:t>
            </w:r>
            <w:r w:rsidR="004635C5" w:rsidRPr="00BA6BDC">
              <w:t xml:space="preserve"> </w:t>
            </w:r>
          </w:p>
          <w:p w14:paraId="13EDE125" w14:textId="77777777" w:rsidR="00F66A13" w:rsidRPr="00BA6BDC" w:rsidRDefault="00F66A13" w:rsidP="00D708F3">
            <w:pPr>
              <w:pStyle w:val="TblTextCenter"/>
            </w:pPr>
            <w:r w:rsidRPr="00BA6BDC">
              <w:t>IM route - 0.5 mL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E2F51A" w14:textId="77777777" w:rsidR="00F66A13" w:rsidRPr="00BA6BDC" w:rsidRDefault="00F66A13" w:rsidP="00D708F3">
            <w:pPr>
              <w:pStyle w:val="TblTextCenter"/>
            </w:pPr>
            <w:r w:rsidRPr="00BA6BDC">
              <w:t xml:space="preserve">2 </w:t>
            </w:r>
            <w:proofErr w:type="spellStart"/>
            <w:r w:rsidRPr="00BA6BDC">
              <w:t>doses</w:t>
            </w:r>
            <w:r w:rsidRPr="00BA6BDC">
              <w:rPr>
                <w:vertAlign w:val="superscript"/>
              </w:rPr>
              <w:t>a</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tcPr>
          <w:p w14:paraId="48E1A3D0" w14:textId="77777777" w:rsidR="00F66A13" w:rsidRPr="00BA6BDC" w:rsidRDefault="00F66A13" w:rsidP="00D708F3">
            <w:pPr>
              <w:pStyle w:val="TblTextCente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563357" w14:textId="77777777" w:rsidR="00F66A13" w:rsidRPr="00BA6BDC" w:rsidRDefault="00F66A13" w:rsidP="00D708F3">
            <w:pPr>
              <w:pStyle w:val="TblTextCenter"/>
            </w:pPr>
            <w:r w:rsidRPr="00BA6BDC">
              <w:t>1 dose</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tcPr>
          <w:p w14:paraId="6CFC3CBC" w14:textId="77777777" w:rsidR="00F66A13" w:rsidRPr="00BA6BDC" w:rsidRDefault="00F66A13" w:rsidP="00D708F3">
            <w:pPr>
              <w:pStyle w:val="TblTextCente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B2F7FA" w14:textId="77777777" w:rsidR="00F66A13" w:rsidRPr="00BA6BDC" w:rsidRDefault="00F66A13" w:rsidP="00D708F3">
            <w:pPr>
              <w:pStyle w:val="TblTextCenter"/>
            </w:pPr>
            <w:r w:rsidRPr="00BA6BDC">
              <w:t>1 dose</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tcPr>
          <w:p w14:paraId="23DFF914" w14:textId="77777777" w:rsidR="00F66A13" w:rsidRPr="00BA6BDC" w:rsidRDefault="00F66A13" w:rsidP="00D708F3">
            <w:pPr>
              <w:pStyle w:val="TblTextCenter"/>
            </w:pPr>
          </w:p>
        </w:tc>
      </w:tr>
      <w:tr w:rsidR="00D708F3" w:rsidRPr="00BA6BDC" w14:paraId="003344C9" w14:textId="77777777" w:rsidTr="00D708F3">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1539E4AF" w14:textId="77777777" w:rsidR="00F66A13" w:rsidRPr="00BA6BDC" w:rsidRDefault="00F66A13" w:rsidP="00D708F3">
            <w:pPr>
              <w:pStyle w:val="TblTextCenter"/>
            </w:pPr>
            <w:r w:rsidRPr="00BA6BDC">
              <w:t>Updated Thai Red Cross regimen</w:t>
            </w:r>
          </w:p>
          <w:p w14:paraId="6906CB9D" w14:textId="77777777" w:rsidR="00F66A13" w:rsidRPr="00BA6BDC" w:rsidRDefault="00F66A13" w:rsidP="00D708F3">
            <w:pPr>
              <w:pStyle w:val="TblTextCenter"/>
            </w:pPr>
            <w:r w:rsidRPr="00BA6BDC">
              <w:t>ID route - 0.1 mL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BE2F29" w14:textId="77777777" w:rsidR="00F66A13" w:rsidRPr="00BA6BDC" w:rsidRDefault="00F66A13" w:rsidP="00D708F3">
            <w:pPr>
              <w:pStyle w:val="TblTextCenter"/>
            </w:pPr>
            <w:r w:rsidRPr="00BA6BDC">
              <w:t xml:space="preserve">2 </w:t>
            </w:r>
            <w:proofErr w:type="spellStart"/>
            <w:r w:rsidRPr="00BA6BDC">
              <w:t>doses</w:t>
            </w:r>
            <w:r w:rsidRPr="00BA6BDC">
              <w:rPr>
                <w:vertAlign w:val="superscript"/>
              </w:rPr>
              <w:t>b</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240BAA" w14:textId="77777777" w:rsidR="00F66A13" w:rsidRPr="00BA6BDC" w:rsidRDefault="00F66A13" w:rsidP="00D708F3">
            <w:pPr>
              <w:pStyle w:val="TblTextCenter"/>
            </w:pPr>
            <w:r w:rsidRPr="00BA6BDC">
              <w:t xml:space="preserve">2 </w:t>
            </w:r>
            <w:proofErr w:type="spellStart"/>
            <w:r w:rsidRPr="00BA6BDC">
              <w:t>doses</w:t>
            </w:r>
            <w:r w:rsidRPr="00BA6BDC">
              <w:rPr>
                <w:vertAlign w:val="superscript"/>
              </w:rPr>
              <w:t>b</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E05572" w14:textId="77777777" w:rsidR="00F66A13" w:rsidRPr="00BA6BDC" w:rsidRDefault="00F66A13" w:rsidP="00D708F3">
            <w:pPr>
              <w:pStyle w:val="TblTextCenter"/>
            </w:pPr>
            <w:r w:rsidRPr="00BA6BDC">
              <w:t xml:space="preserve">2 </w:t>
            </w:r>
            <w:proofErr w:type="spellStart"/>
            <w:r w:rsidRPr="00BA6BDC">
              <w:t>doses</w:t>
            </w:r>
            <w:r w:rsidRPr="00BA6BDC">
              <w:rPr>
                <w:vertAlign w:val="superscript"/>
              </w:rPr>
              <w:t>b</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tcPr>
          <w:p w14:paraId="1D3AC458" w14:textId="77777777" w:rsidR="00F66A13" w:rsidRPr="00BA6BDC" w:rsidRDefault="00F66A13" w:rsidP="00D708F3">
            <w:pPr>
              <w:pStyle w:val="TblTextCenter"/>
            </w:pP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tcPr>
          <w:p w14:paraId="728B13D8" w14:textId="77777777" w:rsidR="00F66A13" w:rsidRPr="00BA6BDC" w:rsidRDefault="00F66A13" w:rsidP="00D708F3">
            <w:pPr>
              <w:pStyle w:val="TblTextCente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85484B" w14:textId="77777777" w:rsidR="00F66A13" w:rsidRPr="00BA6BDC" w:rsidRDefault="00F66A13" w:rsidP="00D708F3">
            <w:pPr>
              <w:pStyle w:val="TblTextCenter"/>
            </w:pPr>
            <w:r w:rsidRPr="00BA6BDC">
              <w:t xml:space="preserve">2 </w:t>
            </w:r>
            <w:proofErr w:type="spellStart"/>
            <w:r w:rsidRPr="00BA6BDC">
              <w:t>doses</w:t>
            </w:r>
            <w:r w:rsidRPr="00BA6BDC">
              <w:rPr>
                <w:vertAlign w:val="superscript"/>
              </w:rPr>
              <w:t>b</w:t>
            </w:r>
            <w:proofErr w:type="spellEnd"/>
          </w:p>
        </w:tc>
      </w:tr>
      <w:tr w:rsidR="00D708F3" w:rsidRPr="00BA6BDC" w14:paraId="15DC0436" w14:textId="77777777" w:rsidTr="00D708F3">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49E276D6" w14:textId="77777777" w:rsidR="00F66A13" w:rsidRPr="00BA6BDC" w:rsidRDefault="00F66A13" w:rsidP="00D708F3">
            <w:pPr>
              <w:pStyle w:val="TblTextCenter"/>
            </w:pPr>
            <w:r w:rsidRPr="00BA6BDC">
              <w:t>Institute Pasteur Cambodia regimen</w:t>
            </w:r>
          </w:p>
          <w:p w14:paraId="0FF5C2D8" w14:textId="77777777" w:rsidR="00F66A13" w:rsidRPr="00BA6BDC" w:rsidRDefault="00F66A13" w:rsidP="00D708F3">
            <w:pPr>
              <w:pStyle w:val="TblTextCenter"/>
            </w:pPr>
            <w:r w:rsidRPr="00BA6BDC">
              <w:t>ID route - 0.1 mL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4084D3" w14:textId="77777777" w:rsidR="00F66A13" w:rsidRPr="00BA6BDC" w:rsidRDefault="00F66A13" w:rsidP="00D708F3">
            <w:pPr>
              <w:pStyle w:val="TblTextCenter"/>
            </w:pPr>
            <w:r w:rsidRPr="00BA6BDC">
              <w:t xml:space="preserve">2 </w:t>
            </w:r>
            <w:proofErr w:type="spellStart"/>
            <w:r w:rsidRPr="00BA6BDC">
              <w:t>doses</w:t>
            </w:r>
            <w:r w:rsidRPr="00BA6BDC">
              <w:rPr>
                <w:vertAlign w:val="superscript"/>
              </w:rPr>
              <w:t>b</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3480DF" w14:textId="77777777" w:rsidR="00F66A13" w:rsidRPr="00BA6BDC" w:rsidRDefault="00F66A13" w:rsidP="00D708F3">
            <w:pPr>
              <w:pStyle w:val="TblTextCenter"/>
            </w:pPr>
            <w:r w:rsidRPr="00BA6BDC">
              <w:t xml:space="preserve">2 </w:t>
            </w:r>
            <w:proofErr w:type="spellStart"/>
            <w:r w:rsidRPr="00BA6BDC">
              <w:t>doses</w:t>
            </w:r>
            <w:r w:rsidRPr="00BA6BDC">
              <w:rPr>
                <w:vertAlign w:val="superscript"/>
              </w:rPr>
              <w:t>b</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40CC44" w14:textId="77777777" w:rsidR="00F66A13" w:rsidRPr="00BA6BDC" w:rsidRDefault="00F66A13" w:rsidP="00D708F3">
            <w:pPr>
              <w:pStyle w:val="TblTextCenter"/>
            </w:pPr>
            <w:r w:rsidRPr="00BA6BDC">
              <w:t xml:space="preserve">2 </w:t>
            </w:r>
            <w:proofErr w:type="spellStart"/>
            <w:r w:rsidRPr="00BA6BDC">
              <w:t>doses</w:t>
            </w:r>
            <w:r w:rsidRPr="00BA6BDC">
              <w:rPr>
                <w:vertAlign w:val="superscript"/>
              </w:rPr>
              <w:t>b</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tcPr>
          <w:p w14:paraId="25E94411" w14:textId="77777777" w:rsidR="00F66A13" w:rsidRPr="00BA6BDC" w:rsidRDefault="00F66A13" w:rsidP="00D708F3">
            <w:pPr>
              <w:pStyle w:val="TblTextCenter"/>
            </w:pP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tcPr>
          <w:p w14:paraId="00E50138" w14:textId="77777777" w:rsidR="00F66A13" w:rsidRPr="00BA6BDC" w:rsidRDefault="00F66A13" w:rsidP="00D708F3">
            <w:pPr>
              <w:pStyle w:val="TblTextCenter"/>
            </w:pP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tcPr>
          <w:p w14:paraId="6C6C67EE" w14:textId="77777777" w:rsidR="00F66A13" w:rsidRPr="00BA6BDC" w:rsidRDefault="00F66A13" w:rsidP="00D708F3">
            <w:pPr>
              <w:pStyle w:val="TblTextCenter"/>
            </w:pPr>
          </w:p>
        </w:tc>
      </w:tr>
      <w:tr w:rsidR="00D708F3" w:rsidRPr="00BA6BDC" w14:paraId="17614AFC" w14:textId="77777777" w:rsidTr="00D708F3">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349A361A" w14:textId="77777777" w:rsidR="00F66A13" w:rsidRPr="00BA6BDC" w:rsidRDefault="00F66A13" w:rsidP="00D708F3">
            <w:pPr>
              <w:pStyle w:val="TblTextCenter"/>
            </w:pPr>
            <w:r w:rsidRPr="00BA6BDC">
              <w:t>One week, four-site regimen</w:t>
            </w:r>
          </w:p>
          <w:p w14:paraId="1B1A5CEA" w14:textId="77777777" w:rsidR="00F66A13" w:rsidRPr="00BA6BDC" w:rsidRDefault="00F66A13" w:rsidP="00D708F3">
            <w:pPr>
              <w:pStyle w:val="TblTextCenter"/>
            </w:pPr>
            <w:r w:rsidRPr="00BA6BDC">
              <w:t>ID route - 0.1 mL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6B2BD6" w14:textId="77777777" w:rsidR="00F66A13" w:rsidRPr="00BA6BDC" w:rsidRDefault="00F66A13" w:rsidP="00D708F3">
            <w:pPr>
              <w:pStyle w:val="TblTextCenter"/>
            </w:pPr>
            <w:r w:rsidRPr="00BA6BDC">
              <w:t xml:space="preserve">4 </w:t>
            </w:r>
            <w:proofErr w:type="spellStart"/>
            <w:r w:rsidRPr="00BA6BDC">
              <w:t>doses</w:t>
            </w:r>
            <w:r w:rsidRPr="00BA6BDC">
              <w:rPr>
                <w:vertAlign w:val="superscript"/>
              </w:rPr>
              <w:t>c</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7D9EBC" w14:textId="77777777" w:rsidR="00F66A13" w:rsidRPr="00BA6BDC" w:rsidRDefault="00F66A13" w:rsidP="00D708F3">
            <w:pPr>
              <w:pStyle w:val="TblTextCenter"/>
            </w:pPr>
            <w:r w:rsidRPr="00BA6BDC">
              <w:t xml:space="preserve">4 </w:t>
            </w:r>
            <w:proofErr w:type="spellStart"/>
            <w:r w:rsidRPr="00BA6BDC">
              <w:t>doses</w:t>
            </w:r>
            <w:r w:rsidRPr="00BA6BDC">
              <w:rPr>
                <w:vertAlign w:val="superscript"/>
              </w:rPr>
              <w:t>c</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3F8503" w14:textId="77777777" w:rsidR="00F66A13" w:rsidRPr="00BA6BDC" w:rsidRDefault="00F66A13" w:rsidP="00D708F3">
            <w:pPr>
              <w:pStyle w:val="TblTextCenter"/>
            </w:pPr>
            <w:r w:rsidRPr="00BA6BDC">
              <w:t xml:space="preserve">4 </w:t>
            </w:r>
            <w:proofErr w:type="spellStart"/>
            <w:r w:rsidRPr="00BA6BDC">
              <w:t>doses</w:t>
            </w:r>
            <w:r w:rsidRPr="00BA6BDC">
              <w:rPr>
                <w:vertAlign w:val="superscript"/>
              </w:rPr>
              <w:t>c</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tcPr>
          <w:p w14:paraId="60DEA186" w14:textId="77777777" w:rsidR="00F66A13" w:rsidRPr="00BA6BDC" w:rsidRDefault="00F66A13" w:rsidP="00D708F3">
            <w:pPr>
              <w:pStyle w:val="TblTextCenter"/>
            </w:pP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tcPr>
          <w:p w14:paraId="57E77EED" w14:textId="77777777" w:rsidR="00F66A13" w:rsidRPr="00BA6BDC" w:rsidRDefault="00F66A13" w:rsidP="00D708F3">
            <w:pPr>
              <w:pStyle w:val="TblTextCenter"/>
            </w:pP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tcPr>
          <w:p w14:paraId="76F9BD42" w14:textId="77777777" w:rsidR="00F66A13" w:rsidRPr="00BA6BDC" w:rsidRDefault="00F66A13" w:rsidP="00D708F3">
            <w:pPr>
              <w:pStyle w:val="TblTextCenter"/>
            </w:pPr>
          </w:p>
          <w:p w14:paraId="66FD1D7E" w14:textId="2A1A10F7" w:rsidR="00882323" w:rsidRPr="00BA6BDC" w:rsidRDefault="00882323" w:rsidP="00D708F3">
            <w:pPr>
              <w:pStyle w:val="TblTextCenter"/>
            </w:pPr>
            <w:r w:rsidRPr="00BA6BDC">
              <w:t xml:space="preserve"> </w:t>
            </w:r>
          </w:p>
        </w:tc>
      </w:tr>
    </w:tbl>
    <w:p w14:paraId="605F7DD9" w14:textId="3560A4C1" w:rsidR="00F66A13" w:rsidRPr="00BA6BDC" w:rsidRDefault="00F66A13" w:rsidP="00D708F3">
      <w:pPr>
        <w:pStyle w:val="TblFigFootnote"/>
        <w:numPr>
          <w:ilvl w:val="0"/>
          <w:numId w:val="30"/>
        </w:numPr>
      </w:pPr>
      <w:r w:rsidRPr="00BA6BDC">
        <w:t>one injection in each of the two deltoids (for adults and children) or anterolateral thigh sites (infants and toddlers)</w:t>
      </w:r>
    </w:p>
    <w:p w14:paraId="4A6BDBE7" w14:textId="1E7FF679" w:rsidR="00F66A13" w:rsidRPr="00BA6BDC" w:rsidRDefault="00F66A13" w:rsidP="00D708F3">
      <w:pPr>
        <w:pStyle w:val="TblFigFootnote"/>
        <w:numPr>
          <w:ilvl w:val="0"/>
          <w:numId w:val="30"/>
        </w:numPr>
      </w:pPr>
      <w:r w:rsidRPr="00BA6BDC">
        <w:t>to be injected in 2 distinct sites, if possible contra-laterally.</w:t>
      </w:r>
    </w:p>
    <w:p w14:paraId="26E0003D" w14:textId="2E85E30A" w:rsidR="00F66A13" w:rsidRPr="00BA6BDC" w:rsidRDefault="00F66A13" w:rsidP="00D708F3">
      <w:pPr>
        <w:pStyle w:val="TblFigFootnote"/>
        <w:numPr>
          <w:ilvl w:val="0"/>
          <w:numId w:val="30"/>
        </w:numPr>
      </w:pPr>
      <w:r w:rsidRPr="00BA6BDC">
        <w:t xml:space="preserve">to be injected in 4 distinct sites </w:t>
      </w:r>
    </w:p>
    <w:p w14:paraId="1B8718B6" w14:textId="6CCEDCCD" w:rsidR="00F66A13" w:rsidRPr="00BA6BDC" w:rsidRDefault="00F66A13" w:rsidP="00E32F0E">
      <w:r w:rsidRPr="00BA6BDC">
        <w:t xml:space="preserve">For category III exposure (see </w:t>
      </w:r>
      <w:r w:rsidR="00882323" w:rsidRPr="00BA6BDC">
        <w:rPr>
          <w:color w:val="0000FF"/>
        </w:rPr>
        <w:fldChar w:fldCharType="begin"/>
      </w:r>
      <w:r w:rsidR="00882323" w:rsidRPr="00BA6BDC">
        <w:rPr>
          <w:color w:val="0000FF"/>
        </w:rPr>
        <w:instrText xml:space="preserve"> REF _Ref62740112 \h  \* MERGEFORMAT </w:instrText>
      </w:r>
      <w:r w:rsidR="00882323" w:rsidRPr="00BA6BDC">
        <w:rPr>
          <w:color w:val="0000FF"/>
        </w:rPr>
      </w:r>
      <w:r w:rsidR="00882323" w:rsidRPr="00BA6BDC">
        <w:rPr>
          <w:color w:val="0000FF"/>
        </w:rPr>
        <w:fldChar w:fldCharType="separate"/>
      </w:r>
      <w:r w:rsidR="00366C42" w:rsidRPr="00366C42">
        <w:rPr>
          <w:color w:val="0000FF"/>
        </w:rPr>
        <w:t>Table 3</w:t>
      </w:r>
      <w:r w:rsidR="00882323" w:rsidRPr="00BA6BDC">
        <w:rPr>
          <w:color w:val="0000FF"/>
        </w:rPr>
        <w:fldChar w:fldCharType="end"/>
      </w:r>
      <w:r w:rsidRPr="00BA6BDC">
        <w:t>), rabies immunoglobulin should be given in association with vaccine. In this case, the vaccine should be administered contra-laterally, if possible.</w:t>
      </w:r>
    </w:p>
    <w:p w14:paraId="28CBABE6" w14:textId="2F2B9AA4" w:rsidR="00F66A13" w:rsidRDefault="00F66A13" w:rsidP="00F66A13">
      <w:r w:rsidRPr="00BA6BDC">
        <w:t>Vaccination should not be discontinued unless the animal is declared not rabid according to a veterinarian assessment (supervision of animal and/or laboratory analysis).</w:t>
      </w:r>
    </w:p>
    <w:p w14:paraId="46254767" w14:textId="2EABB998" w:rsidR="00F66A13" w:rsidRPr="00BA6BDC" w:rsidRDefault="00F66A13" w:rsidP="00195CFF">
      <w:pPr>
        <w:pStyle w:val="Heading5"/>
      </w:pPr>
      <w:bookmarkStart w:id="15" w:name="_Toc8310611"/>
      <w:bookmarkStart w:id="16" w:name="_Toc29828102"/>
      <w:bookmarkStart w:id="17" w:name="_Ref113963187"/>
      <w:r w:rsidRPr="00BA6BDC">
        <w:t xml:space="preserve">Post-exposure prophylaxis of previously </w:t>
      </w:r>
      <w:proofErr w:type="spellStart"/>
      <w:r w:rsidRPr="00BA6BDC">
        <w:t>immun</w:t>
      </w:r>
      <w:r w:rsidR="004635C5" w:rsidRPr="00BA6BDC">
        <w:t>ise</w:t>
      </w:r>
      <w:r w:rsidRPr="00BA6BDC">
        <w:t>d</w:t>
      </w:r>
      <w:proofErr w:type="spellEnd"/>
      <w:r w:rsidRPr="00BA6BDC">
        <w:t xml:space="preserve"> individuals</w:t>
      </w:r>
      <w:bookmarkEnd w:id="15"/>
      <w:bookmarkEnd w:id="16"/>
      <w:bookmarkEnd w:id="17"/>
      <w:r w:rsidRPr="00BA6BDC" w:rsidDel="00BD05DE">
        <w:t xml:space="preserve"> </w:t>
      </w:r>
    </w:p>
    <w:p w14:paraId="1F311AA1" w14:textId="31D76B93" w:rsidR="00F66A13" w:rsidRPr="00BA6BDC" w:rsidRDefault="00F66A13" w:rsidP="00F66A13">
      <w:pPr>
        <w:pStyle w:val="wcpListSubText1"/>
        <w:ind w:left="0"/>
      </w:pPr>
      <w:r w:rsidRPr="00BA6BDC">
        <w:t xml:space="preserve">According to WHO recommendation, </w:t>
      </w:r>
      <w:bookmarkStart w:id="18" w:name="_Hlk30077828"/>
      <w:r w:rsidRPr="00BA6BDC">
        <w:t xml:space="preserve">previously </w:t>
      </w:r>
      <w:proofErr w:type="spellStart"/>
      <w:r w:rsidRPr="00BA6BDC">
        <w:t>immun</w:t>
      </w:r>
      <w:r w:rsidR="004635C5" w:rsidRPr="00BA6BDC">
        <w:t>ise</w:t>
      </w:r>
      <w:r w:rsidRPr="00BA6BDC">
        <w:t>d</w:t>
      </w:r>
      <w:proofErr w:type="spellEnd"/>
      <w:r w:rsidRPr="00BA6BDC">
        <w:t xml:space="preserve"> individuals </w:t>
      </w:r>
      <w:bookmarkEnd w:id="18"/>
      <w:r w:rsidRPr="00BA6BDC">
        <w:t xml:space="preserve">are patients who can document previous complete </w:t>
      </w:r>
      <w:proofErr w:type="spellStart"/>
      <w:r w:rsidRPr="00BA6BDC">
        <w:t>PrEP</w:t>
      </w:r>
      <w:proofErr w:type="spellEnd"/>
      <w:r w:rsidRPr="00BA6BDC">
        <w:t xml:space="preserve"> (</w:t>
      </w:r>
      <w:r w:rsidRPr="00BA6BDC">
        <w:rPr>
          <w:rFonts w:eastAsia="MinionPro-Regular"/>
          <w:color w:val="000000"/>
          <w:szCs w:val="24"/>
        </w:rPr>
        <w:t xml:space="preserve">pre-exposure prophylaxis) </w:t>
      </w:r>
      <w:r w:rsidRPr="00BA6BDC">
        <w:t>or PEP (</w:t>
      </w:r>
      <w:r w:rsidRPr="00BA6BDC">
        <w:rPr>
          <w:rFonts w:eastAsia="MinionPro-Regular"/>
          <w:color w:val="000000"/>
          <w:szCs w:val="24"/>
        </w:rPr>
        <w:t xml:space="preserve">post-exposure prophylaxis) </w:t>
      </w:r>
      <w:r w:rsidRPr="00BA6BDC">
        <w:t>and patients who discontinued a PEP series after at least two doses of a cell culture or embryonated egg-based rabies vaccine.</w:t>
      </w:r>
    </w:p>
    <w:p w14:paraId="39D74EA8" w14:textId="77777777" w:rsidR="00F66A13" w:rsidRPr="00BA6BDC" w:rsidRDefault="00F66A13" w:rsidP="00F66A13">
      <w:pPr>
        <w:pStyle w:val="wcpListSubText1"/>
        <w:ind w:left="0"/>
      </w:pPr>
      <w:bookmarkStart w:id="19" w:name="_Hlk30077574"/>
      <w:r w:rsidRPr="00BA6BDC">
        <w:lastRenderedPageBreak/>
        <w:t xml:space="preserve">These individuals </w:t>
      </w:r>
      <w:bookmarkEnd w:id="19"/>
      <w:r w:rsidRPr="00BA6BDC">
        <w:t xml:space="preserve">should receive one dose of vaccine intramuscularly (vaccine dose 0.5 mL) or intradermally (vaccine dose 0.1 mL) on each of days 0 and 3. Alternatively, 4 intradermal injections (vaccine dose 0.1 mL) can be given at 4 distinct sites at D0. </w:t>
      </w:r>
    </w:p>
    <w:p w14:paraId="13F15767" w14:textId="231C3549" w:rsidR="00F66A13" w:rsidRPr="00BA6BDC" w:rsidRDefault="00F66A13" w:rsidP="00F66A13">
      <w:pPr>
        <w:pStyle w:val="wcpListSubText1"/>
        <w:ind w:left="0"/>
      </w:pPr>
      <w:r w:rsidRPr="00BA6BDC">
        <w:t xml:space="preserve">Rabies immunoglobulin is not indicated for previously </w:t>
      </w:r>
      <w:proofErr w:type="spellStart"/>
      <w:r w:rsidRPr="00BA6BDC">
        <w:t>immun</w:t>
      </w:r>
      <w:r w:rsidR="004635C5" w:rsidRPr="00BA6BDC">
        <w:t>ise</w:t>
      </w:r>
      <w:r w:rsidRPr="00BA6BDC">
        <w:t>d</w:t>
      </w:r>
      <w:proofErr w:type="spellEnd"/>
      <w:r w:rsidRPr="00BA6BDC">
        <w:t xml:space="preserve"> individuals.</w:t>
      </w:r>
    </w:p>
    <w:p w14:paraId="2D96376C" w14:textId="3BE4A7B7" w:rsidR="005D288D" w:rsidRPr="00BA6BDC" w:rsidRDefault="00F66A13" w:rsidP="00981603">
      <w:pPr>
        <w:pStyle w:val="wcpListSubText1"/>
        <w:ind w:left="0"/>
        <w:rPr>
          <w:rFonts w:eastAsia="MinionPro-Regular"/>
        </w:rPr>
      </w:pPr>
      <w:r w:rsidRPr="00BA6BDC">
        <w:rPr>
          <w:rFonts w:eastAsia="MinionPro-Regular"/>
          <w:color w:val="000000"/>
          <w:szCs w:val="24"/>
        </w:rPr>
        <w:t xml:space="preserve">Official local recommendations should be followed for conditions of </w:t>
      </w:r>
      <w:proofErr w:type="spellStart"/>
      <w:r w:rsidRPr="005D288D">
        <w:rPr>
          <w:rFonts w:eastAsia="MinionPro-Regular"/>
          <w:szCs w:val="24"/>
        </w:rPr>
        <w:t>utili</w:t>
      </w:r>
      <w:r w:rsidR="005D288D" w:rsidRPr="00981603">
        <w:rPr>
          <w:rFonts w:eastAsia="MinionPro-Regular"/>
          <w:szCs w:val="24"/>
        </w:rPr>
        <w:t>s</w:t>
      </w:r>
      <w:r w:rsidRPr="005D288D">
        <w:rPr>
          <w:rFonts w:eastAsia="MinionPro-Regular"/>
          <w:szCs w:val="24"/>
        </w:rPr>
        <w:t>ation</w:t>
      </w:r>
      <w:proofErr w:type="spellEnd"/>
      <w:r w:rsidRPr="00BA6BDC">
        <w:rPr>
          <w:rFonts w:eastAsia="MinionPro-Regular"/>
          <w:color w:val="000000"/>
          <w:szCs w:val="24"/>
        </w:rPr>
        <w:t xml:space="preserve"> of these </w:t>
      </w:r>
      <w:r w:rsidR="00751FED" w:rsidRPr="00981603">
        <w:rPr>
          <w:rFonts w:eastAsia="MinionPro-Regular"/>
          <w:szCs w:val="24"/>
        </w:rPr>
        <w:t>accelerated</w:t>
      </w:r>
      <w:r w:rsidR="00751FED">
        <w:rPr>
          <w:rFonts w:eastAsia="MinionPro-Regular"/>
          <w:color w:val="000000"/>
          <w:szCs w:val="24"/>
        </w:rPr>
        <w:t xml:space="preserve"> </w:t>
      </w:r>
      <w:r w:rsidRPr="00BA6BDC">
        <w:rPr>
          <w:rFonts w:eastAsia="MinionPro-Regular"/>
          <w:color w:val="000000"/>
          <w:szCs w:val="24"/>
        </w:rPr>
        <w:t>schedules</w:t>
      </w:r>
      <w:r w:rsidRPr="00981603">
        <w:rPr>
          <w:rFonts w:eastAsia="MinionPro-Regular"/>
          <w:szCs w:val="24"/>
        </w:rPr>
        <w:t>.</w:t>
      </w:r>
      <w:r w:rsidR="00E32F0E" w:rsidRPr="00981603">
        <w:t xml:space="preserve"> </w:t>
      </w:r>
      <w:r w:rsidR="00842C72" w:rsidRPr="00981603">
        <w:t>For further information, refer to the current Australian Immunisation Handbook.</w:t>
      </w:r>
    </w:p>
    <w:p w14:paraId="59D17603" w14:textId="34A826D3" w:rsidR="00F66A13" w:rsidRPr="00BA6BDC" w:rsidRDefault="00F66A13" w:rsidP="00882323">
      <w:pPr>
        <w:pStyle w:val="Heading3"/>
        <w:rPr>
          <w:noProof/>
        </w:rPr>
      </w:pPr>
      <w:bookmarkStart w:id="20" w:name="_Toc8310612"/>
      <w:bookmarkStart w:id="21" w:name="_Toc29828103"/>
      <w:bookmarkStart w:id="22" w:name="_Ref62741870"/>
      <w:bookmarkStart w:id="23" w:name="_Ref113960805"/>
      <w:bookmarkStart w:id="24" w:name="_Ref113986906"/>
      <w:r w:rsidRPr="00BA6BDC">
        <w:rPr>
          <w:noProof/>
        </w:rPr>
        <w:t>Special populations</w:t>
      </w:r>
      <w:bookmarkEnd w:id="20"/>
      <w:bookmarkEnd w:id="21"/>
      <w:bookmarkEnd w:id="22"/>
      <w:bookmarkEnd w:id="23"/>
      <w:bookmarkEnd w:id="24"/>
    </w:p>
    <w:p w14:paraId="53A92FF3" w14:textId="42B58491" w:rsidR="00F66A13" w:rsidRPr="00BA6BDC" w:rsidRDefault="00F66A13" w:rsidP="00882323">
      <w:pPr>
        <w:pStyle w:val="Heading4"/>
      </w:pPr>
      <w:bookmarkStart w:id="25" w:name="_Toc8310613"/>
      <w:bookmarkStart w:id="26" w:name="_Toc29828104"/>
      <w:bookmarkStart w:id="27" w:name="_Ref75264003"/>
      <w:proofErr w:type="spellStart"/>
      <w:r w:rsidRPr="005D288D">
        <w:t>P</w:t>
      </w:r>
      <w:r w:rsidR="005D288D" w:rsidRPr="00981603">
        <w:t>a</w:t>
      </w:r>
      <w:r w:rsidRPr="005D288D">
        <w:t>ediatric</w:t>
      </w:r>
      <w:proofErr w:type="spellEnd"/>
      <w:r w:rsidRPr="00BA6BDC">
        <w:t xml:space="preserve"> population</w:t>
      </w:r>
      <w:bookmarkEnd w:id="25"/>
      <w:bookmarkEnd w:id="26"/>
      <w:bookmarkEnd w:id="27"/>
      <w:r w:rsidRPr="00BA6BDC">
        <w:t xml:space="preserve"> </w:t>
      </w:r>
    </w:p>
    <w:p w14:paraId="1CA160EF" w14:textId="3DBE5779" w:rsidR="00F66A13" w:rsidRPr="00981603" w:rsidRDefault="003328C1" w:rsidP="00F66A13">
      <w:pPr>
        <w:rPr>
          <w:color w:val="auto"/>
        </w:rPr>
      </w:pPr>
      <w:r w:rsidRPr="00981603">
        <w:rPr>
          <w:color w:val="auto"/>
        </w:rPr>
        <w:t xml:space="preserve">There is no dose adjustment needed for </w:t>
      </w:r>
      <w:proofErr w:type="spellStart"/>
      <w:r w:rsidRPr="00981603">
        <w:rPr>
          <w:color w:val="auto"/>
        </w:rPr>
        <w:t>pa</w:t>
      </w:r>
      <w:r w:rsidR="00981603">
        <w:rPr>
          <w:color w:val="auto"/>
        </w:rPr>
        <w:t>ediatric</w:t>
      </w:r>
      <w:proofErr w:type="spellEnd"/>
      <w:r w:rsidR="00981603">
        <w:rPr>
          <w:color w:val="auto"/>
        </w:rPr>
        <w:t xml:space="preserve"> population</w:t>
      </w:r>
      <w:r w:rsidRPr="00981603">
        <w:rPr>
          <w:color w:val="auto"/>
        </w:rPr>
        <w:t>.</w:t>
      </w:r>
    </w:p>
    <w:p w14:paraId="2A3CA84A" w14:textId="728A111F" w:rsidR="00E24AC2" w:rsidRPr="00981603" w:rsidRDefault="00E24AC2" w:rsidP="00E24AC2">
      <w:pPr>
        <w:pStyle w:val="Heading4"/>
      </w:pPr>
      <w:bookmarkStart w:id="28" w:name="_Ref113992587"/>
      <w:r w:rsidRPr="00981603">
        <w:t>Elderly</w:t>
      </w:r>
      <w:bookmarkEnd w:id="28"/>
    </w:p>
    <w:p w14:paraId="016B025B" w14:textId="002C9C05" w:rsidR="00E24AC2" w:rsidRPr="00981603" w:rsidRDefault="003328C1" w:rsidP="00E24AC2">
      <w:pPr>
        <w:rPr>
          <w:rFonts w:eastAsia="MinionPro-Regular"/>
          <w:color w:val="auto"/>
        </w:rPr>
      </w:pPr>
      <w:r w:rsidRPr="00981603">
        <w:rPr>
          <w:rFonts w:eastAsia="MinionPro-Regular"/>
          <w:color w:val="auto"/>
        </w:rPr>
        <w:t>There is no dose adjustment needed for patients over the age of 65.</w:t>
      </w:r>
    </w:p>
    <w:p w14:paraId="713D491A" w14:textId="77777777" w:rsidR="00F66A13" w:rsidRPr="00BA6BDC" w:rsidRDefault="00F66A13" w:rsidP="00882323">
      <w:pPr>
        <w:pStyle w:val="Heading4"/>
      </w:pPr>
      <w:bookmarkStart w:id="29" w:name="_Toc8310614"/>
      <w:bookmarkStart w:id="30" w:name="_Ref26948740"/>
      <w:bookmarkStart w:id="31" w:name="_Ref26948755"/>
      <w:bookmarkStart w:id="32" w:name="_Toc29828105"/>
      <w:bookmarkStart w:id="33" w:name="_Ref62741609"/>
      <w:bookmarkStart w:id="34" w:name="_Ref62741652"/>
      <w:bookmarkStart w:id="35" w:name="_Ref62742031"/>
      <w:r w:rsidRPr="00BA6BDC">
        <w:t>Immunocompromised individuals</w:t>
      </w:r>
      <w:bookmarkEnd w:id="29"/>
      <w:bookmarkEnd w:id="30"/>
      <w:bookmarkEnd w:id="31"/>
      <w:bookmarkEnd w:id="32"/>
      <w:bookmarkEnd w:id="33"/>
      <w:bookmarkEnd w:id="34"/>
      <w:bookmarkEnd w:id="35"/>
    </w:p>
    <w:p w14:paraId="572A69BF" w14:textId="4085E5BC" w:rsidR="00F66A13" w:rsidRPr="00BA6BDC" w:rsidRDefault="00F66A13" w:rsidP="00F66A13">
      <w:r w:rsidRPr="00BA6BDC">
        <w:t>The following recommendation should be followed for</w:t>
      </w:r>
      <w:r w:rsidRPr="00BA6BDC">
        <w:rPr>
          <w:color w:val="BFBFBF"/>
        </w:rPr>
        <w:t xml:space="preserve"> </w:t>
      </w:r>
      <w:r w:rsidRPr="00BA6BDC">
        <w:t>immunocompromised individuals.</w:t>
      </w:r>
      <w:r w:rsidR="004635C5" w:rsidRPr="00BA6BDC">
        <w:t xml:space="preserve"> </w:t>
      </w:r>
      <w:r w:rsidRPr="00BA6BDC">
        <w:t xml:space="preserve">See also </w:t>
      </w:r>
      <w:r w:rsidR="00882323" w:rsidRPr="00BA6BDC">
        <w:t xml:space="preserve">Section </w:t>
      </w:r>
      <w:r w:rsidR="00882323" w:rsidRPr="00BA6BDC">
        <w:rPr>
          <w:color w:val="0000FF"/>
        </w:rPr>
        <w:fldChar w:fldCharType="begin"/>
      </w:r>
      <w:r w:rsidR="00882323" w:rsidRPr="00BA6BDC">
        <w:rPr>
          <w:color w:val="0000FF"/>
        </w:rPr>
        <w:instrText xml:space="preserve"> REF _Ref62740433 \r \h  \* MERGEFORMAT </w:instrText>
      </w:r>
      <w:r w:rsidR="00882323" w:rsidRPr="00BA6BDC">
        <w:rPr>
          <w:color w:val="0000FF"/>
        </w:rPr>
      </w:r>
      <w:r w:rsidR="00882323" w:rsidRPr="00BA6BDC">
        <w:rPr>
          <w:color w:val="0000FF"/>
        </w:rPr>
        <w:fldChar w:fldCharType="separate"/>
      </w:r>
      <w:r w:rsidR="00366C42">
        <w:rPr>
          <w:color w:val="0000FF"/>
        </w:rPr>
        <w:t>4.8</w:t>
      </w:r>
      <w:r w:rsidR="00882323" w:rsidRPr="00BA6BDC">
        <w:rPr>
          <w:color w:val="0000FF"/>
        </w:rPr>
        <w:fldChar w:fldCharType="end"/>
      </w:r>
      <w:r w:rsidRPr="00BA6BDC">
        <w:t>.</w:t>
      </w:r>
    </w:p>
    <w:p w14:paraId="1127B59B" w14:textId="77777777" w:rsidR="00F66A13" w:rsidRPr="00BA6BDC" w:rsidRDefault="00F66A13" w:rsidP="00882323">
      <w:pPr>
        <w:pStyle w:val="Heading5"/>
      </w:pPr>
      <w:bookmarkStart w:id="36" w:name="_Toc5032142"/>
      <w:bookmarkStart w:id="37" w:name="_Toc5035471"/>
      <w:bookmarkStart w:id="38" w:name="_Toc5035561"/>
      <w:bookmarkStart w:id="39" w:name="_Toc5100010"/>
      <w:bookmarkStart w:id="40" w:name="_Toc5178074"/>
      <w:bookmarkStart w:id="41" w:name="_Toc5178129"/>
      <w:bookmarkStart w:id="42" w:name="_Ref113965383"/>
      <w:bookmarkEnd w:id="36"/>
      <w:bookmarkEnd w:id="37"/>
      <w:bookmarkEnd w:id="38"/>
      <w:bookmarkEnd w:id="39"/>
      <w:bookmarkEnd w:id="40"/>
      <w:bookmarkEnd w:id="41"/>
      <w:r w:rsidRPr="00BA6BDC">
        <w:t xml:space="preserve">Pre-exposure </w:t>
      </w:r>
      <w:r w:rsidRPr="00BA6BDC">
        <w:rPr>
          <w:lang w:val="en-GB"/>
        </w:rPr>
        <w:t>prophylaxis</w:t>
      </w:r>
      <w:bookmarkEnd w:id="42"/>
      <w:r w:rsidRPr="00BA6BDC">
        <w:t xml:space="preserve"> </w:t>
      </w:r>
    </w:p>
    <w:p w14:paraId="3B6EC065" w14:textId="6E73A6DC" w:rsidR="00F66A13" w:rsidRPr="00BA6BDC" w:rsidRDefault="00F66A13" w:rsidP="00F66A13">
      <w:r w:rsidRPr="00BA6BDC">
        <w:t xml:space="preserve">For immunocompromised individuals, </w:t>
      </w:r>
      <w:r w:rsidR="00A5269C" w:rsidRPr="00BA6BDC">
        <w:t xml:space="preserve">conventional 3-dose regimens should be used (see </w:t>
      </w:r>
      <w:r w:rsidR="00E24AC2">
        <w:t xml:space="preserve">Section </w:t>
      </w:r>
      <w:r w:rsidR="00E24AC2" w:rsidRPr="00E24AC2">
        <w:rPr>
          <w:color w:val="0000FF"/>
        </w:rPr>
        <w:fldChar w:fldCharType="begin"/>
      </w:r>
      <w:r w:rsidR="00E24AC2" w:rsidRPr="00E24AC2">
        <w:rPr>
          <w:color w:val="0000FF"/>
        </w:rPr>
        <w:instrText xml:space="preserve"> REF _Ref113965300 \r \h  \* MERGEFORMAT </w:instrText>
      </w:r>
      <w:r w:rsidR="00E24AC2" w:rsidRPr="00E24AC2">
        <w:rPr>
          <w:color w:val="0000FF"/>
        </w:rPr>
      </w:r>
      <w:r w:rsidR="00E24AC2" w:rsidRPr="00E24AC2">
        <w:rPr>
          <w:color w:val="0000FF"/>
        </w:rPr>
        <w:fldChar w:fldCharType="separate"/>
      </w:r>
      <w:r w:rsidR="00366C42">
        <w:rPr>
          <w:color w:val="0000FF"/>
        </w:rPr>
        <w:t>4.2.1.1</w:t>
      </w:r>
      <w:r w:rsidR="00E24AC2" w:rsidRPr="00E24AC2">
        <w:rPr>
          <w:color w:val="0000FF"/>
        </w:rPr>
        <w:fldChar w:fldCharType="end"/>
      </w:r>
      <w:r w:rsidR="00A5269C" w:rsidRPr="00BA6BDC">
        <w:t xml:space="preserve">) and </w:t>
      </w:r>
      <w:r w:rsidRPr="00BA6BDC">
        <w:t xml:space="preserve">serology testing of </w:t>
      </w:r>
      <w:proofErr w:type="spellStart"/>
      <w:r w:rsidRPr="00BA6BDC">
        <w:t>neutral</w:t>
      </w:r>
      <w:r w:rsidR="004635C5" w:rsidRPr="00BA6BDC">
        <w:t>isi</w:t>
      </w:r>
      <w:r w:rsidRPr="00BA6BDC">
        <w:t>ng</w:t>
      </w:r>
      <w:proofErr w:type="spellEnd"/>
      <w:r w:rsidRPr="00BA6BDC">
        <w:t xml:space="preserve"> antibodies should be performed 2 to 4 weeks after the </w:t>
      </w:r>
      <w:r w:rsidR="00A5269C" w:rsidRPr="00BA6BDC">
        <w:t>last dose</w:t>
      </w:r>
      <w:r w:rsidRPr="00BA6BDC">
        <w:t xml:space="preserve">, to assess the possible need for an additional dose of the vaccine. </w:t>
      </w:r>
    </w:p>
    <w:p w14:paraId="22D7A84D" w14:textId="77777777" w:rsidR="00F66A13" w:rsidRPr="00BA6BDC" w:rsidRDefault="00F66A13" w:rsidP="00882323">
      <w:pPr>
        <w:pStyle w:val="Heading5"/>
        <w:rPr>
          <w:lang w:val="en-GB"/>
        </w:rPr>
      </w:pPr>
      <w:r w:rsidRPr="00BA6BDC">
        <w:rPr>
          <w:lang w:val="en-GB"/>
        </w:rPr>
        <w:t>Post-exposure prophylaxis</w:t>
      </w:r>
    </w:p>
    <w:p w14:paraId="466061FF" w14:textId="61867C02" w:rsidR="00F66A13" w:rsidRDefault="00F66A13" w:rsidP="00F66A13">
      <w:bookmarkStart w:id="43" w:name="_Hlk113988851"/>
      <w:r w:rsidRPr="00D31529">
        <w:rPr>
          <w:color w:val="auto"/>
        </w:rPr>
        <w:t>For i</w:t>
      </w:r>
      <w:r w:rsidRPr="00BA6BDC">
        <w:t>mmunocompromised ind</w:t>
      </w:r>
      <w:r w:rsidRPr="00981603">
        <w:rPr>
          <w:color w:val="auto"/>
        </w:rPr>
        <w:t>ividuals</w:t>
      </w:r>
      <w:r w:rsidR="00D31529" w:rsidRPr="00981603">
        <w:rPr>
          <w:color w:val="auto"/>
        </w:rPr>
        <w:t xml:space="preserve"> requiring post-exposure prophylaxis</w:t>
      </w:r>
      <w:r w:rsidRPr="00981603">
        <w:rPr>
          <w:color w:val="auto"/>
        </w:rPr>
        <w:t xml:space="preserve">, </w:t>
      </w:r>
      <w:r w:rsidR="00D31529" w:rsidRPr="00981603">
        <w:rPr>
          <w:color w:val="auto"/>
        </w:rPr>
        <w:t xml:space="preserve">administer </w:t>
      </w:r>
      <w:r w:rsidRPr="00981603">
        <w:rPr>
          <w:color w:val="auto"/>
        </w:rPr>
        <w:t>on</w:t>
      </w:r>
      <w:r w:rsidR="00443AE4" w:rsidRPr="00981603">
        <w:rPr>
          <w:color w:val="auto"/>
        </w:rPr>
        <w:t>e of the</w:t>
      </w:r>
      <w:r w:rsidR="00443AE4" w:rsidRPr="00981603">
        <w:rPr>
          <w:strike/>
          <w:color w:val="auto"/>
        </w:rPr>
        <w:t xml:space="preserve"> </w:t>
      </w:r>
      <w:r w:rsidRPr="00981603">
        <w:rPr>
          <w:color w:val="auto"/>
        </w:rPr>
        <w:t>full vaccination schedule</w:t>
      </w:r>
      <w:r w:rsidR="00443AE4" w:rsidRPr="00981603">
        <w:rPr>
          <w:color w:val="auto"/>
        </w:rPr>
        <w:t>s</w:t>
      </w:r>
      <w:r w:rsidRPr="00981603">
        <w:rPr>
          <w:color w:val="auto"/>
        </w:rPr>
        <w:t xml:space="preserve"> l</w:t>
      </w:r>
      <w:r w:rsidRPr="00D31529">
        <w:rPr>
          <w:color w:val="auto"/>
        </w:rPr>
        <w:t xml:space="preserve">isted </w:t>
      </w:r>
      <w:r w:rsidRPr="00B95065">
        <w:t xml:space="preserve">in </w:t>
      </w:r>
      <w:r w:rsidR="00443AE4" w:rsidRPr="00443AE4">
        <w:rPr>
          <w:color w:val="0000FF"/>
        </w:rPr>
        <w:fldChar w:fldCharType="begin"/>
      </w:r>
      <w:r w:rsidR="00443AE4" w:rsidRPr="00443AE4">
        <w:rPr>
          <w:color w:val="0000FF"/>
        </w:rPr>
        <w:instrText xml:space="preserve"> REF _Ref62740241 \h  \* MERGEFORMAT </w:instrText>
      </w:r>
      <w:r w:rsidR="00443AE4" w:rsidRPr="00443AE4">
        <w:rPr>
          <w:color w:val="0000FF"/>
        </w:rPr>
      </w:r>
      <w:r w:rsidR="00443AE4" w:rsidRPr="00443AE4">
        <w:rPr>
          <w:color w:val="0000FF"/>
        </w:rPr>
        <w:fldChar w:fldCharType="separate"/>
      </w:r>
      <w:r w:rsidR="00366C42" w:rsidRPr="00366C42">
        <w:rPr>
          <w:color w:val="0000FF"/>
        </w:rPr>
        <w:t>Table 4</w:t>
      </w:r>
      <w:r w:rsidR="00443AE4" w:rsidRPr="00443AE4">
        <w:rPr>
          <w:color w:val="0000FF"/>
        </w:rPr>
        <w:fldChar w:fldCharType="end"/>
      </w:r>
      <w:r w:rsidRPr="00B95065">
        <w:t xml:space="preserve"> </w:t>
      </w:r>
      <w:r w:rsidR="00443AE4" w:rsidRPr="008D3D23">
        <w:rPr>
          <w:color w:val="auto"/>
        </w:rPr>
        <w:t>(</w:t>
      </w:r>
      <w:r w:rsidR="00882323" w:rsidRPr="00B95065">
        <w:t xml:space="preserve">Section </w:t>
      </w:r>
      <w:r w:rsidR="00882323" w:rsidRPr="00B95065">
        <w:rPr>
          <w:color w:val="0000FF"/>
        </w:rPr>
        <w:fldChar w:fldCharType="begin"/>
      </w:r>
      <w:r w:rsidR="00882323" w:rsidRPr="00B95065">
        <w:rPr>
          <w:color w:val="0000FF"/>
        </w:rPr>
        <w:instrText xml:space="preserve"> REF _Ref62740481 \r \h  \* MERGEFORMAT </w:instrText>
      </w:r>
      <w:r w:rsidR="00882323" w:rsidRPr="00B95065">
        <w:rPr>
          <w:color w:val="0000FF"/>
        </w:rPr>
      </w:r>
      <w:r w:rsidR="00882323" w:rsidRPr="00B95065">
        <w:rPr>
          <w:color w:val="0000FF"/>
        </w:rPr>
        <w:fldChar w:fldCharType="separate"/>
      </w:r>
      <w:r w:rsidR="00366C42">
        <w:rPr>
          <w:color w:val="0000FF"/>
        </w:rPr>
        <w:t>4.2.1.2.1</w:t>
      </w:r>
      <w:r w:rsidR="00882323" w:rsidRPr="00B95065">
        <w:rPr>
          <w:color w:val="0000FF"/>
        </w:rPr>
        <w:fldChar w:fldCharType="end"/>
      </w:r>
      <w:r w:rsidRPr="00B95065">
        <w:t>. Post-exposure prophylaxis of non-</w:t>
      </w:r>
      <w:proofErr w:type="spellStart"/>
      <w:r w:rsidRPr="00B95065">
        <w:t>immun</w:t>
      </w:r>
      <w:r w:rsidR="004635C5" w:rsidRPr="00B95065">
        <w:t>ise</w:t>
      </w:r>
      <w:r w:rsidRPr="00B95065">
        <w:t>d</w:t>
      </w:r>
      <w:proofErr w:type="spellEnd"/>
      <w:r w:rsidRPr="00B95065">
        <w:t xml:space="preserve"> individual</w:t>
      </w:r>
      <w:r w:rsidRPr="00981603">
        <w:rPr>
          <w:color w:val="auto"/>
        </w:rPr>
        <w:t>s</w:t>
      </w:r>
      <w:r w:rsidR="00B95065" w:rsidRPr="00981603">
        <w:rPr>
          <w:color w:val="auto"/>
        </w:rPr>
        <w:t xml:space="preserve"> or incompletely </w:t>
      </w:r>
      <w:proofErr w:type="spellStart"/>
      <w:r w:rsidR="00B95065" w:rsidRPr="00981603">
        <w:rPr>
          <w:color w:val="auto"/>
        </w:rPr>
        <w:t>immunised</w:t>
      </w:r>
      <w:proofErr w:type="spellEnd"/>
      <w:r w:rsidR="00B95065" w:rsidRPr="00981603">
        <w:rPr>
          <w:color w:val="auto"/>
        </w:rPr>
        <w:t xml:space="preserve"> individuals</w:t>
      </w:r>
      <w:r w:rsidRPr="00B95065">
        <w:t>).</w:t>
      </w:r>
      <w:bookmarkEnd w:id="43"/>
      <w:r w:rsidRPr="00BA6BDC">
        <w:t xml:space="preserve"> Rabies immunoglobulin should be given in association with the vaccine for both categories II</w:t>
      </w:r>
      <w:r w:rsidR="002A24A3">
        <w:t xml:space="preserve"> </w:t>
      </w:r>
      <w:r w:rsidRPr="00BA6BDC">
        <w:t xml:space="preserve">&amp; III exposures (see </w:t>
      </w:r>
      <w:r w:rsidR="00436A4B" w:rsidRPr="00BA6BDC">
        <w:rPr>
          <w:color w:val="0000FF"/>
        </w:rPr>
        <w:fldChar w:fldCharType="begin"/>
      </w:r>
      <w:r w:rsidR="00436A4B" w:rsidRPr="00BA6BDC">
        <w:rPr>
          <w:color w:val="0000FF"/>
        </w:rPr>
        <w:instrText xml:space="preserve"> REF _Ref62740112 \h  \* MERGEFORMAT </w:instrText>
      </w:r>
      <w:r w:rsidR="00436A4B" w:rsidRPr="00BA6BDC">
        <w:rPr>
          <w:color w:val="0000FF"/>
        </w:rPr>
      </w:r>
      <w:r w:rsidR="00436A4B" w:rsidRPr="00BA6BDC">
        <w:rPr>
          <w:color w:val="0000FF"/>
        </w:rPr>
        <w:fldChar w:fldCharType="separate"/>
      </w:r>
      <w:r w:rsidR="00366C42" w:rsidRPr="00366C42">
        <w:rPr>
          <w:color w:val="0000FF"/>
        </w:rPr>
        <w:t>Table 3</w:t>
      </w:r>
      <w:r w:rsidR="00436A4B" w:rsidRPr="00BA6BDC">
        <w:rPr>
          <w:color w:val="0000FF"/>
        </w:rPr>
        <w:fldChar w:fldCharType="end"/>
      </w:r>
      <w:r w:rsidRPr="00BA6BDC">
        <w:t xml:space="preserve">). </w:t>
      </w:r>
    </w:p>
    <w:p w14:paraId="680D6F5A" w14:textId="09959FE2" w:rsidR="00F66A13" w:rsidRPr="00BA6BDC" w:rsidRDefault="00436A4B" w:rsidP="002A24A3">
      <w:pPr>
        <w:pStyle w:val="Heading3"/>
        <w:numPr>
          <w:ilvl w:val="0"/>
          <w:numId w:val="0"/>
        </w:numPr>
        <w:ind w:left="680" w:hanging="680"/>
        <w:rPr>
          <w:caps/>
          <w:noProof/>
        </w:rPr>
      </w:pPr>
      <w:bookmarkStart w:id="44" w:name="_Toc29828106"/>
      <w:r w:rsidRPr="00BA6BDC">
        <w:rPr>
          <w:noProof/>
        </w:rPr>
        <w:lastRenderedPageBreak/>
        <w:t>Method of a</w:t>
      </w:r>
      <w:r w:rsidR="00F66A13" w:rsidRPr="00BA6BDC">
        <w:rPr>
          <w:noProof/>
        </w:rPr>
        <w:t>dministration</w:t>
      </w:r>
      <w:bookmarkEnd w:id="44"/>
    </w:p>
    <w:p w14:paraId="6675ADCE" w14:textId="77777777" w:rsidR="00F66A13" w:rsidRPr="00BA6BDC" w:rsidRDefault="00F66A13" w:rsidP="00F66A13">
      <w:r w:rsidRPr="00BA6BDC">
        <w:t>The vaccine is administered by the intramuscular route, in the deltoid area for adults and children or the anterolateral area of the thigh muscle in infants and toddlers.</w:t>
      </w:r>
    </w:p>
    <w:p w14:paraId="5E456235" w14:textId="71A2159C" w:rsidR="00F66A13" w:rsidRPr="00BA6BDC" w:rsidRDefault="00F66A13" w:rsidP="00F66A13">
      <w:r w:rsidRPr="00BA6BDC">
        <w:t xml:space="preserve">It can also be administered by intradermal (ID) route preferably on upper arm or forearm. Do not inject in the gluteal area. </w:t>
      </w:r>
    </w:p>
    <w:p w14:paraId="26D56ED6" w14:textId="0231C393" w:rsidR="00F66A13" w:rsidRPr="00BA6BDC" w:rsidRDefault="00F66A13" w:rsidP="00F66A13">
      <w:pPr>
        <w:rPr>
          <w:i/>
          <w:iCs/>
        </w:rPr>
      </w:pPr>
      <w:r w:rsidRPr="00BA6BDC">
        <w:t>Do not inject by the intravascular route</w:t>
      </w:r>
      <w:r w:rsidRPr="00BA6BDC">
        <w:rPr>
          <w:i/>
          <w:iCs/>
        </w:rPr>
        <w:t>.</w:t>
      </w:r>
    </w:p>
    <w:p w14:paraId="5A50D480" w14:textId="75D92381" w:rsidR="000D4208" w:rsidRDefault="00701546" w:rsidP="002A24A3">
      <w:pPr>
        <w:pStyle w:val="Heading4"/>
        <w:numPr>
          <w:ilvl w:val="0"/>
          <w:numId w:val="0"/>
        </w:numPr>
        <w:ind w:left="862" w:hanging="862"/>
      </w:pPr>
      <w:r w:rsidRPr="00BA6BDC">
        <w:t>Instructions for preparation and administration</w:t>
      </w:r>
    </w:p>
    <w:p w14:paraId="7745A2C7" w14:textId="4D0DE07D" w:rsidR="00D75DD2" w:rsidRPr="00981603" w:rsidRDefault="00D75DD2" w:rsidP="00DE60D2">
      <w:pPr>
        <w:pStyle w:val="ListParagraph"/>
        <w:numPr>
          <w:ilvl w:val="0"/>
          <w:numId w:val="41"/>
        </w:numPr>
        <w:rPr>
          <w:rFonts w:ascii="Times New Roman" w:hAnsi="Times New Roman"/>
          <w:color w:val="auto"/>
        </w:rPr>
      </w:pPr>
      <w:r w:rsidRPr="00981603">
        <w:rPr>
          <w:rFonts w:ascii="Times New Roman" w:hAnsi="Times New Roman"/>
          <w:color w:val="auto"/>
        </w:rPr>
        <w:t xml:space="preserve">Remove the seal of the vial of </w:t>
      </w:r>
      <w:proofErr w:type="spellStart"/>
      <w:r w:rsidRPr="00981603">
        <w:rPr>
          <w:rFonts w:ascii="Times New Roman" w:hAnsi="Times New Roman"/>
          <w:color w:val="auto"/>
        </w:rPr>
        <w:t>lyophilised</w:t>
      </w:r>
      <w:proofErr w:type="spellEnd"/>
      <w:r w:rsidRPr="00981603">
        <w:rPr>
          <w:rFonts w:ascii="Times New Roman" w:hAnsi="Times New Roman"/>
          <w:color w:val="auto"/>
        </w:rPr>
        <w:t xml:space="preserve"> powder. </w:t>
      </w:r>
    </w:p>
    <w:p w14:paraId="4582A41A" w14:textId="77777777" w:rsidR="00D75DD2" w:rsidRPr="00981603" w:rsidRDefault="00D75DD2" w:rsidP="00D75DD2">
      <w:pPr>
        <w:pStyle w:val="ListParagraph"/>
        <w:numPr>
          <w:ilvl w:val="0"/>
          <w:numId w:val="41"/>
        </w:numPr>
        <w:rPr>
          <w:rFonts w:ascii="Times New Roman" w:hAnsi="Times New Roman"/>
          <w:color w:val="auto"/>
        </w:rPr>
      </w:pPr>
      <w:r w:rsidRPr="00981603">
        <w:rPr>
          <w:rFonts w:ascii="Times New Roman" w:hAnsi="Times New Roman"/>
          <w:color w:val="auto"/>
        </w:rPr>
        <w:t xml:space="preserve">Inject the solvent into the vial of </w:t>
      </w:r>
      <w:proofErr w:type="spellStart"/>
      <w:r w:rsidRPr="00981603">
        <w:rPr>
          <w:rFonts w:ascii="Times New Roman" w:hAnsi="Times New Roman"/>
          <w:color w:val="auto"/>
        </w:rPr>
        <w:t>lyophilised</w:t>
      </w:r>
      <w:proofErr w:type="spellEnd"/>
      <w:r w:rsidRPr="00981603">
        <w:rPr>
          <w:rFonts w:ascii="Times New Roman" w:hAnsi="Times New Roman"/>
          <w:color w:val="auto"/>
        </w:rPr>
        <w:t xml:space="preserve"> powder.</w:t>
      </w:r>
    </w:p>
    <w:p w14:paraId="3FDE645E" w14:textId="05DB13F1" w:rsidR="00D75DD2" w:rsidRPr="00981603" w:rsidRDefault="00D75DD2" w:rsidP="00D75DD2">
      <w:pPr>
        <w:pStyle w:val="ListParagraph"/>
        <w:numPr>
          <w:ilvl w:val="0"/>
          <w:numId w:val="41"/>
        </w:numPr>
        <w:rPr>
          <w:rFonts w:ascii="Times New Roman" w:hAnsi="Times New Roman"/>
          <w:color w:val="auto"/>
        </w:rPr>
      </w:pPr>
      <w:r w:rsidRPr="00981603">
        <w:rPr>
          <w:rFonts w:ascii="Times New Roman" w:hAnsi="Times New Roman"/>
          <w:color w:val="auto"/>
        </w:rPr>
        <w:t>Gently swirl the vial until homogeneous suspension of the powder is obtained. The reconstituted</w:t>
      </w:r>
      <w:r w:rsidR="00DE60D2" w:rsidRPr="00981603">
        <w:rPr>
          <w:rFonts w:ascii="Times New Roman" w:hAnsi="Times New Roman"/>
          <w:color w:val="auto"/>
        </w:rPr>
        <w:t xml:space="preserve"> </w:t>
      </w:r>
      <w:r w:rsidRPr="00981603">
        <w:rPr>
          <w:rFonts w:ascii="Times New Roman" w:hAnsi="Times New Roman"/>
          <w:color w:val="auto"/>
        </w:rPr>
        <w:t>vaccine should be limpid, homogeneous, and free from particles.</w:t>
      </w:r>
    </w:p>
    <w:p w14:paraId="51BD4BB4" w14:textId="77777777" w:rsidR="00D75DD2" w:rsidRPr="00981603" w:rsidRDefault="00D75DD2" w:rsidP="00D75DD2">
      <w:pPr>
        <w:pStyle w:val="ListParagraph"/>
        <w:numPr>
          <w:ilvl w:val="0"/>
          <w:numId w:val="41"/>
        </w:numPr>
        <w:rPr>
          <w:rFonts w:ascii="Times New Roman" w:hAnsi="Times New Roman"/>
          <w:color w:val="auto"/>
        </w:rPr>
      </w:pPr>
      <w:r w:rsidRPr="00981603">
        <w:rPr>
          <w:rFonts w:ascii="Times New Roman" w:hAnsi="Times New Roman"/>
          <w:color w:val="auto"/>
        </w:rPr>
        <w:t>Remove and discard the syringe that was used for vaccine reconstitution and use a new syringe with a new needle to withdraw the reconstituted vaccine.</w:t>
      </w:r>
    </w:p>
    <w:p w14:paraId="660E2542" w14:textId="66DA6AFC" w:rsidR="00D75DD2" w:rsidRPr="00981603" w:rsidRDefault="00D75DD2" w:rsidP="00D75DD2">
      <w:pPr>
        <w:pStyle w:val="ListParagraph"/>
        <w:numPr>
          <w:ilvl w:val="0"/>
          <w:numId w:val="41"/>
        </w:numPr>
        <w:rPr>
          <w:rFonts w:ascii="Times New Roman" w:hAnsi="Times New Roman"/>
          <w:color w:val="auto"/>
        </w:rPr>
      </w:pPr>
      <w:r w:rsidRPr="00981603">
        <w:rPr>
          <w:rFonts w:ascii="Times New Roman" w:hAnsi="Times New Roman"/>
          <w:color w:val="auto"/>
        </w:rPr>
        <w:t>Replace the needle used to withdraw the reconstituted vaccine by a new needle for intramuscular</w:t>
      </w:r>
      <w:r w:rsidR="002A24A3">
        <w:rPr>
          <w:rFonts w:ascii="Times New Roman" w:hAnsi="Times New Roman"/>
          <w:color w:val="auto"/>
        </w:rPr>
        <w:t xml:space="preserve"> or </w:t>
      </w:r>
      <w:r w:rsidRPr="00981603">
        <w:rPr>
          <w:rFonts w:ascii="Times New Roman" w:hAnsi="Times New Roman"/>
          <w:color w:val="auto"/>
        </w:rPr>
        <w:t>intradermal injection.</w:t>
      </w:r>
    </w:p>
    <w:p w14:paraId="47B85242" w14:textId="77777777" w:rsidR="00D75DD2" w:rsidRPr="00981603" w:rsidRDefault="00D75DD2" w:rsidP="00D75DD2">
      <w:pPr>
        <w:pStyle w:val="ListParagraph"/>
        <w:numPr>
          <w:ilvl w:val="0"/>
          <w:numId w:val="41"/>
        </w:numPr>
        <w:rPr>
          <w:rFonts w:ascii="Times New Roman" w:hAnsi="Times New Roman"/>
          <w:color w:val="auto"/>
        </w:rPr>
      </w:pPr>
      <w:r w:rsidRPr="00981603">
        <w:rPr>
          <w:rFonts w:ascii="Times New Roman" w:hAnsi="Times New Roman"/>
          <w:color w:val="auto"/>
        </w:rPr>
        <w:t>The length of the needle used for vaccine administration should be adapted to the patient and to the route of administration.</w:t>
      </w:r>
    </w:p>
    <w:p w14:paraId="2C23F9E6" w14:textId="1433A9DB" w:rsidR="00436A4B" w:rsidRPr="00BA6BDC" w:rsidRDefault="00436A4B" w:rsidP="00436A4B">
      <w:r w:rsidRPr="00BA6BDC">
        <w:t xml:space="preserve">If </w:t>
      </w:r>
      <w:proofErr w:type="spellStart"/>
      <w:r w:rsidRPr="00BA6BDC">
        <w:t>Verorab</w:t>
      </w:r>
      <w:proofErr w:type="spellEnd"/>
      <w:r w:rsidRPr="00BA6BDC">
        <w:t xml:space="preserve"> is used via intramuscular route, once reconstituted, the product must be used immediately.</w:t>
      </w:r>
    </w:p>
    <w:p w14:paraId="7FB37EDE" w14:textId="1B181FD5" w:rsidR="00436A4B" w:rsidRDefault="00436A4B" w:rsidP="00436A4B">
      <w:r w:rsidRPr="00BA6BDC">
        <w:t xml:space="preserve">If </w:t>
      </w:r>
      <w:proofErr w:type="spellStart"/>
      <w:r w:rsidRPr="00BA6BDC">
        <w:t>Verorab</w:t>
      </w:r>
      <w:proofErr w:type="spellEnd"/>
      <w:r w:rsidRPr="00BA6BDC">
        <w:t xml:space="preserve"> is used via intradermal route, vaccine may be used up to 6 hours after reconstitution provided it is maintained at no more than 25°C and protected from light. After reconstitution, using aseptic technique, a dose of vaccine should be withdrawn from a vial.</w:t>
      </w:r>
      <w:r w:rsidRPr="00981603">
        <w:rPr>
          <w:color w:val="auto"/>
        </w:rPr>
        <w:t xml:space="preserve"> </w:t>
      </w:r>
      <w:bookmarkStart w:id="45" w:name="_Hlk99554265"/>
      <w:r w:rsidR="007D1F70" w:rsidRPr="00981603">
        <w:rPr>
          <w:color w:val="auto"/>
          <w:lang w:val="en-AU"/>
        </w:rPr>
        <w:t>The product is for single use only and must not be reused. Discard any remaining unused contents.</w:t>
      </w:r>
      <w:bookmarkEnd w:id="45"/>
      <w:r w:rsidR="00981603" w:rsidRPr="00981603">
        <w:rPr>
          <w:color w:val="auto"/>
          <w:lang w:val="en-AU"/>
        </w:rPr>
        <w:t xml:space="preserve"> </w:t>
      </w:r>
      <w:r w:rsidRPr="00BA6BDC">
        <w:t>After use, any remaining vaccine and container must be disposed of safely, preferably by heat inactivation or incineration, according to locally agreed procedure.</w:t>
      </w:r>
    </w:p>
    <w:p w14:paraId="0789E814" w14:textId="77777777" w:rsidR="00981603" w:rsidRPr="00BA6BDC" w:rsidRDefault="00981603" w:rsidP="00436A4B"/>
    <w:p w14:paraId="7F7D043A" w14:textId="77777777" w:rsidR="001A3992" w:rsidRPr="00BA6BDC" w:rsidRDefault="001A3992" w:rsidP="001A3992">
      <w:pPr>
        <w:pStyle w:val="Heading2"/>
        <w:spacing w:before="0" w:after="120"/>
        <w:rPr>
          <w:lang w:val="en-AU"/>
        </w:rPr>
      </w:pPr>
      <w:r w:rsidRPr="00BA6BDC">
        <w:rPr>
          <w:lang w:val="en-AU"/>
        </w:rPr>
        <w:lastRenderedPageBreak/>
        <w:t>Contraindications</w:t>
      </w:r>
    </w:p>
    <w:p w14:paraId="5627BD7F" w14:textId="77777777" w:rsidR="00E575BF" w:rsidRPr="00BA6BDC" w:rsidRDefault="00E575BF" w:rsidP="00E575BF">
      <w:pPr>
        <w:pStyle w:val="wcpSubHeading"/>
        <w:rPr>
          <w:noProof/>
        </w:rPr>
      </w:pPr>
      <w:r w:rsidRPr="00BA6BDC">
        <w:t xml:space="preserve">Pre-exposure </w:t>
      </w:r>
      <w:r w:rsidRPr="00BA6BDC">
        <w:rPr>
          <w:noProof/>
        </w:rPr>
        <w:t>prophylaxis</w:t>
      </w:r>
    </w:p>
    <w:p w14:paraId="48D805A3" w14:textId="76E677D7" w:rsidR="00CC3678" w:rsidRPr="00BA6BDC" w:rsidRDefault="00E575BF" w:rsidP="00981603">
      <w:pPr>
        <w:pStyle w:val="ListBullet"/>
        <w:rPr>
          <w:bCs/>
        </w:rPr>
      </w:pPr>
      <w:r w:rsidRPr="00BA6BDC">
        <w:rPr>
          <w:bCs/>
        </w:rPr>
        <w:t>Known systemic hypersensitivity reaction to any component (</w:t>
      </w:r>
      <w:r w:rsidRPr="00BA6BDC">
        <w:rPr>
          <w:bCs/>
          <w:iCs/>
        </w:rPr>
        <w:t xml:space="preserve">i.e. as defined under </w:t>
      </w:r>
      <w:r w:rsidR="00195CFF" w:rsidRPr="00CC3678">
        <w:rPr>
          <w:bCs/>
          <w:iCs/>
          <w:shd w:val="clear" w:color="auto" w:fill="FFFFFF" w:themeFill="background1"/>
        </w:rPr>
        <w:t xml:space="preserve">Section </w:t>
      </w:r>
      <w:r w:rsidR="00195CFF" w:rsidRPr="00CC3678">
        <w:rPr>
          <w:bCs/>
          <w:iCs/>
          <w:color w:val="0000FF"/>
          <w:shd w:val="clear" w:color="auto" w:fill="FFFFFF" w:themeFill="background1"/>
        </w:rPr>
        <w:fldChar w:fldCharType="begin"/>
      </w:r>
      <w:r w:rsidR="00195CFF" w:rsidRPr="00CC3678">
        <w:rPr>
          <w:bCs/>
          <w:iCs/>
          <w:color w:val="0000FF"/>
          <w:shd w:val="clear" w:color="auto" w:fill="FFFFFF" w:themeFill="background1"/>
        </w:rPr>
        <w:instrText xml:space="preserve"> REF _Ref62741345 \r \h  \* MERGEFORMAT </w:instrText>
      </w:r>
      <w:r w:rsidR="00195CFF" w:rsidRPr="00CC3678">
        <w:rPr>
          <w:bCs/>
          <w:iCs/>
          <w:color w:val="0000FF"/>
          <w:shd w:val="clear" w:color="auto" w:fill="FFFFFF" w:themeFill="background1"/>
        </w:rPr>
      </w:r>
      <w:r w:rsidR="00195CFF" w:rsidRPr="00CC3678">
        <w:rPr>
          <w:bCs/>
          <w:iCs/>
          <w:color w:val="0000FF"/>
          <w:shd w:val="clear" w:color="auto" w:fill="FFFFFF" w:themeFill="background1"/>
        </w:rPr>
        <w:fldChar w:fldCharType="separate"/>
      </w:r>
      <w:r w:rsidR="00366C42">
        <w:rPr>
          <w:bCs/>
          <w:iCs/>
          <w:color w:val="0000FF"/>
          <w:shd w:val="clear" w:color="auto" w:fill="FFFFFF" w:themeFill="background1"/>
        </w:rPr>
        <w:t>2</w:t>
      </w:r>
      <w:r w:rsidR="00195CFF" w:rsidRPr="00CC3678">
        <w:rPr>
          <w:bCs/>
          <w:iCs/>
          <w:color w:val="0000FF"/>
          <w:shd w:val="clear" w:color="auto" w:fill="FFFFFF" w:themeFill="background1"/>
        </w:rPr>
        <w:fldChar w:fldCharType="end"/>
      </w:r>
      <w:r w:rsidRPr="00CC3678">
        <w:rPr>
          <w:bCs/>
          <w:iCs/>
          <w:shd w:val="clear" w:color="auto" w:fill="FFFFFF" w:themeFill="background1"/>
        </w:rPr>
        <w:t xml:space="preserve"> and </w:t>
      </w:r>
      <w:r w:rsidR="00195CFF" w:rsidRPr="00CC3678">
        <w:rPr>
          <w:bCs/>
          <w:iCs/>
          <w:shd w:val="clear" w:color="auto" w:fill="FFFFFF" w:themeFill="background1"/>
        </w:rPr>
        <w:t xml:space="preserve">Section </w:t>
      </w:r>
      <w:r w:rsidR="00195CFF" w:rsidRPr="00CC3678">
        <w:rPr>
          <w:bCs/>
          <w:iCs/>
          <w:color w:val="0000FF"/>
          <w:shd w:val="clear" w:color="auto" w:fill="FFFFFF" w:themeFill="background1"/>
        </w:rPr>
        <w:fldChar w:fldCharType="begin"/>
      </w:r>
      <w:r w:rsidR="00195CFF" w:rsidRPr="00CC3678">
        <w:rPr>
          <w:bCs/>
          <w:iCs/>
          <w:color w:val="0000FF"/>
          <w:shd w:val="clear" w:color="auto" w:fill="FFFFFF" w:themeFill="background1"/>
        </w:rPr>
        <w:instrText xml:space="preserve"> REF _Ref62741359 \r \h  \* MERGEFORMAT </w:instrText>
      </w:r>
      <w:r w:rsidR="00195CFF" w:rsidRPr="00CC3678">
        <w:rPr>
          <w:bCs/>
          <w:iCs/>
          <w:color w:val="0000FF"/>
          <w:shd w:val="clear" w:color="auto" w:fill="FFFFFF" w:themeFill="background1"/>
        </w:rPr>
      </w:r>
      <w:r w:rsidR="00195CFF" w:rsidRPr="00CC3678">
        <w:rPr>
          <w:bCs/>
          <w:iCs/>
          <w:color w:val="0000FF"/>
          <w:shd w:val="clear" w:color="auto" w:fill="FFFFFF" w:themeFill="background1"/>
        </w:rPr>
        <w:fldChar w:fldCharType="separate"/>
      </w:r>
      <w:r w:rsidR="00366C42">
        <w:rPr>
          <w:bCs/>
          <w:iCs/>
          <w:color w:val="0000FF"/>
          <w:shd w:val="clear" w:color="auto" w:fill="FFFFFF" w:themeFill="background1"/>
        </w:rPr>
        <w:t>6.1</w:t>
      </w:r>
      <w:r w:rsidR="00195CFF" w:rsidRPr="00CC3678">
        <w:rPr>
          <w:bCs/>
          <w:iCs/>
          <w:color w:val="0000FF"/>
          <w:shd w:val="clear" w:color="auto" w:fill="FFFFFF" w:themeFill="background1"/>
        </w:rPr>
        <w:fldChar w:fldCharType="end"/>
      </w:r>
      <w:r w:rsidRPr="00CC3678">
        <w:rPr>
          <w:bCs/>
          <w:iCs/>
          <w:shd w:val="clear" w:color="auto" w:fill="FFFFFF" w:themeFill="background1"/>
        </w:rPr>
        <w:t>)</w:t>
      </w:r>
      <w:r w:rsidRPr="00BA6BDC">
        <w:rPr>
          <w:bCs/>
        </w:rPr>
        <w:t xml:space="preserve"> of </w:t>
      </w:r>
      <w:proofErr w:type="spellStart"/>
      <w:r w:rsidR="00882323" w:rsidRPr="00BA6BDC">
        <w:rPr>
          <w:bCs/>
        </w:rPr>
        <w:t>Verorab</w:t>
      </w:r>
      <w:proofErr w:type="spellEnd"/>
      <w:r w:rsidRPr="00BA6BDC">
        <w:rPr>
          <w:bCs/>
        </w:rPr>
        <w:t xml:space="preserve"> or after previous administration of the vaccine or a vaccine containing the same components. </w:t>
      </w:r>
    </w:p>
    <w:p w14:paraId="2EAA58D9" w14:textId="77777777" w:rsidR="00E575BF" w:rsidRPr="00BA6BDC" w:rsidRDefault="00E575BF" w:rsidP="00E575BF">
      <w:pPr>
        <w:pStyle w:val="ListBullet"/>
        <w:rPr>
          <w:bCs/>
        </w:rPr>
      </w:pPr>
      <w:r w:rsidRPr="00BA6BDC">
        <w:rPr>
          <w:bCs/>
        </w:rPr>
        <w:t>Vaccination must be postponed in case of febrile or acute disease.</w:t>
      </w:r>
    </w:p>
    <w:p w14:paraId="44CB7BFA" w14:textId="77777777" w:rsidR="00E575BF" w:rsidRPr="00BA6BDC" w:rsidRDefault="00E575BF" w:rsidP="00E575BF">
      <w:pPr>
        <w:pStyle w:val="wcpSubHeading"/>
      </w:pPr>
      <w:r w:rsidRPr="00BA6BDC">
        <w:t xml:space="preserve">Post-exposure </w:t>
      </w:r>
      <w:r w:rsidRPr="00BA6BDC">
        <w:rPr>
          <w:noProof/>
        </w:rPr>
        <w:t>prophylaxis</w:t>
      </w:r>
    </w:p>
    <w:p w14:paraId="4D5FF8D7" w14:textId="5118AB3D" w:rsidR="00E575BF" w:rsidRPr="00BA6BDC" w:rsidRDefault="00E575BF" w:rsidP="001C1DE9">
      <w:pPr>
        <w:pStyle w:val="ListBullet"/>
        <w:rPr>
          <w:bCs/>
        </w:rPr>
      </w:pPr>
      <w:r w:rsidRPr="00BA6BDC">
        <w:rPr>
          <w:bCs/>
        </w:rPr>
        <w:t>Since declared rabies infection generally results in death, there are no contraindications to post-exposure vaccination.</w:t>
      </w:r>
    </w:p>
    <w:p w14:paraId="7A182292" w14:textId="77777777" w:rsidR="00292D82" w:rsidRPr="00BA6BDC" w:rsidRDefault="00292D82" w:rsidP="00292D82">
      <w:pPr>
        <w:spacing w:before="120"/>
        <w:jc w:val="both"/>
      </w:pPr>
    </w:p>
    <w:p w14:paraId="0AF344D6" w14:textId="77777777" w:rsidR="001A3992" w:rsidRPr="00BA6BDC" w:rsidRDefault="00E74A56" w:rsidP="001A3992">
      <w:pPr>
        <w:pStyle w:val="Heading2"/>
        <w:spacing w:before="0" w:after="120"/>
        <w:rPr>
          <w:lang w:val="en-AU"/>
        </w:rPr>
      </w:pPr>
      <w:r w:rsidRPr="00BA6BDC">
        <w:rPr>
          <w:lang w:val="en-AU"/>
        </w:rPr>
        <w:t>Special warnings and p</w:t>
      </w:r>
      <w:r w:rsidR="001A3992" w:rsidRPr="00BA6BDC">
        <w:rPr>
          <w:lang w:val="en-AU"/>
        </w:rPr>
        <w:t xml:space="preserve">recautions </w:t>
      </w:r>
      <w:r w:rsidRPr="00BA6BDC">
        <w:rPr>
          <w:lang w:val="en-AU"/>
        </w:rPr>
        <w:t>for use</w:t>
      </w:r>
    </w:p>
    <w:p w14:paraId="1873FF7E" w14:textId="77777777" w:rsidR="00E575BF" w:rsidRPr="00BA6BDC" w:rsidRDefault="00E575BF" w:rsidP="00E575BF">
      <w:pPr>
        <w:rPr>
          <w:b/>
          <w:i/>
          <w:lang w:val="en-GB"/>
        </w:rPr>
      </w:pPr>
      <w:r w:rsidRPr="00BA6BDC">
        <w:rPr>
          <w:b/>
          <w:i/>
          <w:lang w:val="en-GB"/>
        </w:rPr>
        <w:t>Protection</w:t>
      </w:r>
    </w:p>
    <w:p w14:paraId="51C8BBBD" w14:textId="0AE3A7E0" w:rsidR="00E575BF" w:rsidRPr="00BA6BDC" w:rsidRDefault="00E575BF" w:rsidP="00E575BF">
      <w:r w:rsidRPr="00BA6BDC">
        <w:t xml:space="preserve">As with any vaccine, vaccination with </w:t>
      </w:r>
      <w:proofErr w:type="spellStart"/>
      <w:r w:rsidR="00882323" w:rsidRPr="00BA6BDC">
        <w:t>Verorab</w:t>
      </w:r>
      <w:proofErr w:type="spellEnd"/>
      <w:r w:rsidRPr="00BA6BDC">
        <w:t xml:space="preserve"> may not protect 100% of vaccinated individuals.</w:t>
      </w:r>
    </w:p>
    <w:p w14:paraId="1CD72518" w14:textId="787C8846" w:rsidR="00E575BF" w:rsidRPr="00BA6BDC" w:rsidRDefault="00E575BF" w:rsidP="00E575BF">
      <w:proofErr w:type="gramStart"/>
      <w:r w:rsidRPr="00BA6BDC">
        <w:t>In order to</w:t>
      </w:r>
      <w:proofErr w:type="gramEnd"/>
      <w:r w:rsidRPr="00BA6BDC">
        <w:t xml:space="preserve"> reach a sufficient antibodies level of protection, recommendations for the use of </w:t>
      </w:r>
      <w:proofErr w:type="spellStart"/>
      <w:r w:rsidR="00882323" w:rsidRPr="00BA6BDC">
        <w:t>Verorab</w:t>
      </w:r>
      <w:proofErr w:type="spellEnd"/>
      <w:r w:rsidRPr="00BA6BDC">
        <w:t xml:space="preserve"> must be strictly followed (see </w:t>
      </w:r>
      <w:r w:rsidR="00195CFF" w:rsidRPr="00BA6BDC">
        <w:t xml:space="preserve">Section </w:t>
      </w:r>
      <w:r w:rsidR="00195CFF" w:rsidRPr="00BA6BDC">
        <w:rPr>
          <w:color w:val="0000FF"/>
        </w:rPr>
        <w:fldChar w:fldCharType="begin"/>
      </w:r>
      <w:r w:rsidR="00195CFF" w:rsidRPr="00BA6BDC">
        <w:rPr>
          <w:color w:val="0000FF"/>
        </w:rPr>
        <w:instrText xml:space="preserve"> REF _Ref62741390 \r \h  \* MERGEFORMAT </w:instrText>
      </w:r>
      <w:r w:rsidR="00195CFF" w:rsidRPr="00BA6BDC">
        <w:rPr>
          <w:color w:val="0000FF"/>
        </w:rPr>
      </w:r>
      <w:r w:rsidR="00195CFF" w:rsidRPr="00BA6BDC">
        <w:rPr>
          <w:color w:val="0000FF"/>
        </w:rPr>
        <w:fldChar w:fldCharType="separate"/>
      </w:r>
      <w:r w:rsidR="00366C42">
        <w:rPr>
          <w:color w:val="0000FF"/>
        </w:rPr>
        <w:t>4.2</w:t>
      </w:r>
      <w:r w:rsidR="00195CFF" w:rsidRPr="00BA6BDC">
        <w:rPr>
          <w:color w:val="0000FF"/>
        </w:rPr>
        <w:fldChar w:fldCharType="end"/>
      </w:r>
      <w:r w:rsidRPr="00BA6BDC">
        <w:t>) as an insufficient immune response may lead to fatal cases of rabies.</w:t>
      </w:r>
    </w:p>
    <w:p w14:paraId="170CCB85" w14:textId="51B6E1CE" w:rsidR="00E575BF" w:rsidRPr="00BA6BDC" w:rsidRDefault="00E575BF" w:rsidP="00E575BF">
      <w:pPr>
        <w:pStyle w:val="ListBullet"/>
      </w:pPr>
      <w:r w:rsidRPr="00BA6BDC">
        <w:rPr>
          <w:b/>
          <w:i/>
          <w:lang w:val="en-GB"/>
        </w:rPr>
        <w:t xml:space="preserve">Immunocompromised individuals </w:t>
      </w:r>
    </w:p>
    <w:p w14:paraId="4E7CD5EB" w14:textId="703C8E2E" w:rsidR="00E575BF" w:rsidRPr="00BA6BDC" w:rsidRDefault="00E575BF" w:rsidP="00E575BF">
      <w:pPr>
        <w:pStyle w:val="wcpListSubText1"/>
        <w:ind w:left="0"/>
      </w:pPr>
      <w:r w:rsidRPr="00BA6BDC">
        <w:t xml:space="preserve">In individuals with congenital or acquired immunodeficiency, the immune response to the vaccine may be inadequate. Therefore, it is recommended to monitor serologically RVNA (Rabies Virus </w:t>
      </w:r>
      <w:proofErr w:type="spellStart"/>
      <w:r w:rsidRPr="00BA6BDC">
        <w:t>Neutral</w:t>
      </w:r>
      <w:r w:rsidR="004635C5" w:rsidRPr="00BA6BDC">
        <w:t>isi</w:t>
      </w:r>
      <w:r w:rsidRPr="00BA6BDC">
        <w:t>ng</w:t>
      </w:r>
      <w:proofErr w:type="spellEnd"/>
      <w:r w:rsidRPr="00BA6BDC">
        <w:t xml:space="preserve"> Antibodies) level in such individuals to ensure that an acceptable immune response has been induced. Additional doses should be given as necessary (see </w:t>
      </w:r>
      <w:r w:rsidR="00195CFF" w:rsidRPr="00BA6BDC">
        <w:t xml:space="preserve">Section </w:t>
      </w:r>
      <w:r w:rsidR="00195CFF" w:rsidRPr="00BA6BDC">
        <w:rPr>
          <w:color w:val="0000FF"/>
        </w:rPr>
        <w:fldChar w:fldCharType="begin"/>
      </w:r>
      <w:r w:rsidR="00195CFF" w:rsidRPr="00BA6BDC">
        <w:rPr>
          <w:color w:val="0000FF"/>
        </w:rPr>
        <w:instrText xml:space="preserve"> REF _Ref62741609 \r \h  \* MERGEFORMAT </w:instrText>
      </w:r>
      <w:r w:rsidR="00195CFF" w:rsidRPr="00BA6BDC">
        <w:rPr>
          <w:color w:val="0000FF"/>
        </w:rPr>
      </w:r>
      <w:r w:rsidR="00195CFF" w:rsidRPr="00BA6BDC">
        <w:rPr>
          <w:color w:val="0000FF"/>
        </w:rPr>
        <w:fldChar w:fldCharType="separate"/>
      </w:r>
      <w:r w:rsidR="00366C42">
        <w:rPr>
          <w:color w:val="0000FF"/>
        </w:rPr>
        <w:t>4.2.2.3</w:t>
      </w:r>
      <w:r w:rsidR="00195CFF" w:rsidRPr="00BA6BDC">
        <w:rPr>
          <w:color w:val="0000FF"/>
        </w:rPr>
        <w:fldChar w:fldCharType="end"/>
      </w:r>
      <w:r w:rsidRPr="00BA6BDC">
        <w:t>).</w:t>
      </w:r>
    </w:p>
    <w:p w14:paraId="0AC8E418" w14:textId="1AB53075" w:rsidR="00CC3678" w:rsidRPr="00BA6BDC" w:rsidRDefault="00E575BF" w:rsidP="00981603">
      <w:pPr>
        <w:pStyle w:val="wcpListSubText1"/>
        <w:ind w:left="0"/>
      </w:pPr>
      <w:r w:rsidRPr="00BA6BDC">
        <w:t xml:space="preserve">Moreover, if post-exposure vaccination is needed, only full schedule of vaccination should be administered </w:t>
      </w:r>
      <w:r w:rsidRPr="00BA6BDC">
        <w:rPr>
          <w:lang w:val="en-GB"/>
        </w:rPr>
        <w:t xml:space="preserve">(listed in </w:t>
      </w:r>
      <w:r w:rsidR="00195CFF" w:rsidRPr="00BA6BDC">
        <w:rPr>
          <w:lang w:val="en-GB"/>
        </w:rPr>
        <w:t xml:space="preserve">Section </w:t>
      </w:r>
      <w:r w:rsidR="00195CFF" w:rsidRPr="00BA6BDC">
        <w:rPr>
          <w:color w:val="0000FF"/>
          <w:lang w:val="en-GB"/>
        </w:rPr>
        <w:fldChar w:fldCharType="begin"/>
      </w:r>
      <w:r w:rsidR="00195CFF" w:rsidRPr="00BA6BDC">
        <w:rPr>
          <w:color w:val="0000FF"/>
          <w:lang w:val="en-GB"/>
        </w:rPr>
        <w:instrText xml:space="preserve"> REF _Ref62741632 \r \h  \* MERGEFORMAT </w:instrText>
      </w:r>
      <w:r w:rsidR="00195CFF" w:rsidRPr="00BA6BDC">
        <w:rPr>
          <w:color w:val="0000FF"/>
          <w:lang w:val="en-GB"/>
        </w:rPr>
      </w:r>
      <w:r w:rsidR="00195CFF" w:rsidRPr="00BA6BDC">
        <w:rPr>
          <w:color w:val="0000FF"/>
          <w:lang w:val="en-GB"/>
        </w:rPr>
        <w:fldChar w:fldCharType="separate"/>
      </w:r>
      <w:r w:rsidR="00366C42">
        <w:rPr>
          <w:color w:val="0000FF"/>
          <w:lang w:val="en-GB"/>
        </w:rPr>
        <w:t>4.2.1.2.1</w:t>
      </w:r>
      <w:r w:rsidR="00195CFF" w:rsidRPr="00BA6BDC">
        <w:rPr>
          <w:color w:val="0000FF"/>
          <w:lang w:val="en-GB"/>
        </w:rPr>
        <w:fldChar w:fldCharType="end"/>
      </w:r>
      <w:r w:rsidRPr="00BA6BDC">
        <w:rPr>
          <w:lang w:val="en-GB"/>
        </w:rPr>
        <w:t>. Post-exposure prophylaxis of non-immun</w:t>
      </w:r>
      <w:r w:rsidR="004635C5" w:rsidRPr="00BA6BDC">
        <w:rPr>
          <w:lang w:val="en-GB"/>
        </w:rPr>
        <w:t>ise</w:t>
      </w:r>
      <w:r w:rsidRPr="00BA6BDC">
        <w:rPr>
          <w:lang w:val="en-GB"/>
        </w:rPr>
        <w:t>d individuals</w:t>
      </w:r>
      <w:r w:rsidR="00B95065" w:rsidRPr="00981603">
        <w:t xml:space="preserve"> </w:t>
      </w:r>
      <w:r w:rsidR="00B95065" w:rsidRPr="00981603">
        <w:rPr>
          <w:lang w:val="en-GB"/>
        </w:rPr>
        <w:t>or incompletely immunised individuals</w:t>
      </w:r>
      <w:r w:rsidRPr="00BA6BDC">
        <w:rPr>
          <w:lang w:val="en-GB"/>
        </w:rPr>
        <w:t>)</w:t>
      </w:r>
      <w:r w:rsidRPr="00BA6BDC">
        <w:t xml:space="preserve">. In addition, rabies immunoglobulin should be given in association with the vaccine for category II &amp; III exposures (see </w:t>
      </w:r>
      <w:r w:rsidR="00195CFF" w:rsidRPr="00BA6BDC">
        <w:t xml:space="preserve">Section </w:t>
      </w:r>
      <w:r w:rsidR="00195CFF" w:rsidRPr="00BA6BDC">
        <w:rPr>
          <w:color w:val="0000FF"/>
        </w:rPr>
        <w:fldChar w:fldCharType="begin"/>
      </w:r>
      <w:r w:rsidR="00195CFF" w:rsidRPr="00BA6BDC">
        <w:rPr>
          <w:color w:val="0000FF"/>
        </w:rPr>
        <w:instrText xml:space="preserve"> REF _Ref62741652 \r \h  \* MERGEFORMAT </w:instrText>
      </w:r>
      <w:r w:rsidR="00195CFF" w:rsidRPr="00BA6BDC">
        <w:rPr>
          <w:color w:val="0000FF"/>
        </w:rPr>
      </w:r>
      <w:r w:rsidR="00195CFF" w:rsidRPr="00BA6BDC">
        <w:rPr>
          <w:color w:val="0000FF"/>
        </w:rPr>
        <w:fldChar w:fldCharType="separate"/>
      </w:r>
      <w:r w:rsidR="00366C42">
        <w:rPr>
          <w:color w:val="0000FF"/>
        </w:rPr>
        <w:t>4.2.2.3</w:t>
      </w:r>
      <w:r w:rsidR="00195CFF" w:rsidRPr="00BA6BDC">
        <w:rPr>
          <w:color w:val="0000FF"/>
        </w:rPr>
        <w:fldChar w:fldCharType="end"/>
      </w:r>
      <w:r w:rsidRPr="00BA6BDC">
        <w:t>).</w:t>
      </w:r>
    </w:p>
    <w:p w14:paraId="444DCCD5" w14:textId="77777777" w:rsidR="00E575BF" w:rsidRPr="00BA6BDC" w:rsidRDefault="00E575BF" w:rsidP="00E575BF">
      <w:pPr>
        <w:pStyle w:val="ListBullet"/>
        <w:ind w:left="360" w:hanging="360"/>
        <w:rPr>
          <w:b/>
          <w:i/>
          <w:lang w:val="en-GB"/>
        </w:rPr>
      </w:pPr>
      <w:r w:rsidRPr="00BA6BDC">
        <w:rPr>
          <w:b/>
          <w:i/>
          <w:lang w:val="en-GB"/>
        </w:rPr>
        <w:t>Administration precautions</w:t>
      </w:r>
    </w:p>
    <w:p w14:paraId="327CDC3D" w14:textId="77777777" w:rsidR="00E575BF" w:rsidRPr="00BA6BDC" w:rsidRDefault="00E575BF" w:rsidP="00E575BF">
      <w:pPr>
        <w:pStyle w:val="ListBullet"/>
        <w:rPr>
          <w:i/>
        </w:rPr>
      </w:pPr>
      <w:r w:rsidRPr="00BA6BDC">
        <w:t>Before the injection of any biological, the person responsible for administration must take all precautions known for the prevention of allergic or any other reactions.</w:t>
      </w:r>
      <w:r w:rsidRPr="00BA6BDC">
        <w:rPr>
          <w:i/>
        </w:rPr>
        <w:t xml:space="preserve"> </w:t>
      </w:r>
      <w:r w:rsidRPr="00BA6BDC">
        <w:t xml:space="preserve">As with all injectable </w:t>
      </w:r>
      <w:r w:rsidRPr="00BA6BDC">
        <w:lastRenderedPageBreak/>
        <w:t>vaccines, appropriate medical treatment and supervision should always be readily available in case of an anaphylactic event following administration of the vaccine.</w:t>
      </w:r>
    </w:p>
    <w:p w14:paraId="7B19DD68" w14:textId="59303707" w:rsidR="00E575BF" w:rsidRPr="00BA6BDC" w:rsidRDefault="00E575BF" w:rsidP="00E575BF">
      <w:pPr>
        <w:pStyle w:val="ListBullet"/>
      </w:pPr>
      <w:r w:rsidRPr="00BA6BDC">
        <w:t xml:space="preserve">As a precautionary measure, </w:t>
      </w:r>
      <w:r w:rsidR="00853A8C">
        <w:t>adrenaline (</w:t>
      </w:r>
      <w:r w:rsidRPr="00BA6BDC">
        <w:t>epinephrine</w:t>
      </w:r>
      <w:r w:rsidR="00853A8C">
        <w:t>)</w:t>
      </w:r>
      <w:r w:rsidRPr="00BA6BDC">
        <w:t xml:space="preserve"> injection (1:1000) must be immediately available in case of unexpected anaphylactic or serious allergic reactions.</w:t>
      </w:r>
    </w:p>
    <w:p w14:paraId="56B9C964" w14:textId="6B37E369" w:rsidR="00E575BF" w:rsidRPr="00BA6BDC" w:rsidRDefault="00E575BF" w:rsidP="00E575BF">
      <w:pPr>
        <w:pStyle w:val="ListBullet"/>
      </w:pPr>
      <w:r w:rsidRPr="00BA6BDC">
        <w:t xml:space="preserve">It is essential that intradermal administration of </w:t>
      </w:r>
      <w:proofErr w:type="spellStart"/>
      <w:r w:rsidR="00882323" w:rsidRPr="00BA6BDC">
        <w:t>Verorab</w:t>
      </w:r>
      <w:proofErr w:type="spellEnd"/>
      <w:r w:rsidRPr="00BA6BDC">
        <w:t xml:space="preserve"> is carried out only by medical staff trained in this technique </w:t>
      </w:r>
      <w:proofErr w:type="gramStart"/>
      <w:r w:rsidRPr="00BA6BDC">
        <w:t>in order to</w:t>
      </w:r>
      <w:proofErr w:type="gramEnd"/>
      <w:r w:rsidRPr="00BA6BDC">
        <w:t xml:space="preserve"> ensure that the vaccine is delivered intradermally. For the intradermal route appropriate syringe and needle should be used. Do not inject by the intravascular route. Ensure that the needle does not enter a blood vessel.</w:t>
      </w:r>
    </w:p>
    <w:p w14:paraId="306FEB47" w14:textId="77777777" w:rsidR="00E575BF" w:rsidRPr="00BA6BDC" w:rsidRDefault="00E575BF" w:rsidP="00E575BF">
      <w:pPr>
        <w:pStyle w:val="ListBullet"/>
        <w:rPr>
          <w:b/>
          <w:i/>
          <w:lang w:val="en-GB"/>
        </w:rPr>
      </w:pPr>
      <w:r w:rsidRPr="00BA6BDC">
        <w:rPr>
          <w:b/>
          <w:i/>
          <w:lang w:val="en-GB"/>
        </w:rPr>
        <w:t xml:space="preserve">Neomycin, streptomycin and polymyxin </w:t>
      </w:r>
    </w:p>
    <w:p w14:paraId="50A1D67D" w14:textId="77777777" w:rsidR="00E575BF" w:rsidRPr="00BA6BDC" w:rsidRDefault="00E575BF" w:rsidP="00E575BF">
      <w:pPr>
        <w:pStyle w:val="ListBullet"/>
      </w:pPr>
      <w:r w:rsidRPr="00BA6BDC">
        <w:t>As each dose may contain undetectable traces of neomycin, streptomycin and polymyxin which are used during vaccine production, caution must be exercised when the vaccine is administered to subjects with hypersensitivity to those antibiotics (and other antibiotics of the same class, if appropriate).</w:t>
      </w:r>
    </w:p>
    <w:p w14:paraId="6BAE4F20" w14:textId="1D5726CB" w:rsidR="00E575BF" w:rsidRPr="006E7B31" w:rsidRDefault="00E575BF" w:rsidP="00E575BF">
      <w:pPr>
        <w:pStyle w:val="ListBullet"/>
        <w:rPr>
          <w:b/>
          <w:i/>
          <w:color w:val="auto"/>
          <w:lang w:val="en-GB"/>
        </w:rPr>
      </w:pPr>
      <w:r w:rsidRPr="00BA6BDC">
        <w:rPr>
          <w:b/>
          <w:i/>
          <w:lang w:val="en-GB"/>
        </w:rPr>
        <w:t>A</w:t>
      </w:r>
      <w:r w:rsidRPr="006E7B31">
        <w:rPr>
          <w:b/>
          <w:i/>
          <w:color w:val="auto"/>
          <w:lang w:val="en-GB"/>
        </w:rPr>
        <w:t>pn</w:t>
      </w:r>
      <w:r w:rsidR="008A6F9D" w:rsidRPr="006E7B31">
        <w:rPr>
          <w:b/>
          <w:i/>
          <w:color w:val="auto"/>
          <w:lang w:val="en-GB"/>
        </w:rPr>
        <w:t>o</w:t>
      </w:r>
      <w:r w:rsidRPr="006E7B31">
        <w:rPr>
          <w:b/>
          <w:i/>
          <w:color w:val="auto"/>
          <w:lang w:val="en-GB"/>
        </w:rPr>
        <w:t xml:space="preserve">ea </w:t>
      </w:r>
    </w:p>
    <w:p w14:paraId="191E770A" w14:textId="0E8E9917" w:rsidR="00E575BF" w:rsidRDefault="00E575BF" w:rsidP="00E575BF">
      <w:pPr>
        <w:pStyle w:val="ListBullet"/>
      </w:pPr>
      <w:r w:rsidRPr="006E7B31">
        <w:rPr>
          <w:color w:val="auto"/>
        </w:rPr>
        <w:t xml:space="preserve">The potential risk of </w:t>
      </w:r>
      <w:proofErr w:type="spellStart"/>
      <w:r w:rsidRPr="006E7B31">
        <w:rPr>
          <w:color w:val="auto"/>
        </w:rPr>
        <w:t>apn</w:t>
      </w:r>
      <w:r w:rsidR="008A6F9D" w:rsidRPr="006E7B31">
        <w:rPr>
          <w:color w:val="auto"/>
        </w:rPr>
        <w:t>o</w:t>
      </w:r>
      <w:r w:rsidRPr="006E7B31">
        <w:rPr>
          <w:color w:val="auto"/>
        </w:rPr>
        <w:t>e</w:t>
      </w:r>
      <w:r w:rsidRPr="00BA6BDC">
        <w:t>a</w:t>
      </w:r>
      <w:proofErr w:type="spellEnd"/>
      <w:r w:rsidRPr="00BA6BDC">
        <w:t xml:space="preserve"> and the need for respiratory monitoring for 48-72 hours should be considered when administering the primary immunization series to very premature infants (born ≤ 28 weeks of gestation) and particularly for those with a previous history of respiratory immaturity. </w:t>
      </w:r>
    </w:p>
    <w:p w14:paraId="40C96A36" w14:textId="77777777" w:rsidR="00E575BF" w:rsidRPr="00BA6BDC" w:rsidRDefault="00E575BF" w:rsidP="00E575BF">
      <w:pPr>
        <w:pStyle w:val="ListBullet"/>
        <w:rPr>
          <w:b/>
          <w:i/>
        </w:rPr>
      </w:pPr>
      <w:r w:rsidRPr="00BA6BDC">
        <w:rPr>
          <w:b/>
          <w:i/>
        </w:rPr>
        <w:t xml:space="preserve">Anxiety-related reactions </w:t>
      </w:r>
    </w:p>
    <w:p w14:paraId="09FC8093" w14:textId="77777777" w:rsidR="00E575BF" w:rsidRPr="00BA6BDC" w:rsidRDefault="00E575BF" w:rsidP="00E575BF">
      <w:pPr>
        <w:pStyle w:val="ListBullet"/>
      </w:pPr>
      <w:r w:rsidRPr="00BA6BDC">
        <w:t xml:space="preserve">Anxiety-related reactions, including vasovagal reactions (syncope), hyperventilation or stress-related reactions can occur following, or even before, any vaccination as a psychogenic response to the needle injection. This can be accompanied by several neurological signs such as transient visual disturbance and paresthesia. It is important that procedures are in place to avoid injury from fainting. </w:t>
      </w:r>
    </w:p>
    <w:p w14:paraId="36DD2A8B" w14:textId="77777777" w:rsidR="00E575BF" w:rsidRPr="00BA6BDC" w:rsidRDefault="00E575BF" w:rsidP="00E575BF">
      <w:pPr>
        <w:pStyle w:val="ListBullet"/>
        <w:rPr>
          <w:b/>
          <w:i/>
        </w:rPr>
      </w:pPr>
      <w:r w:rsidRPr="00BA6BDC">
        <w:rPr>
          <w:b/>
          <w:i/>
        </w:rPr>
        <w:t>Latex</w:t>
      </w:r>
    </w:p>
    <w:p w14:paraId="79D1BF10" w14:textId="29B089D0" w:rsidR="00AA1248" w:rsidRDefault="00E575BF" w:rsidP="00E575BF">
      <w:pPr>
        <w:pStyle w:val="ListBullet"/>
      </w:pPr>
      <w:r w:rsidRPr="00BA6BDC">
        <w:t xml:space="preserve">The tip caps of the prefilled syringes </w:t>
      </w:r>
      <w:r w:rsidR="007E69ED" w:rsidRPr="00BA6BDC">
        <w:t xml:space="preserve">without needle </w:t>
      </w:r>
      <w:r w:rsidRPr="00BA6BDC">
        <w:t>contain a natural rubber latex derivative, which may cause allergic reactions in latex sensitive individuals.</w:t>
      </w:r>
    </w:p>
    <w:p w14:paraId="1BB921CA" w14:textId="77777777" w:rsidR="00AA1248" w:rsidRPr="006E7B31" w:rsidRDefault="00AA1248" w:rsidP="00835B37">
      <w:pPr>
        <w:pStyle w:val="ListBullet"/>
        <w:pageBreakBefore/>
        <w:rPr>
          <w:rFonts w:ascii="Arial" w:eastAsiaTheme="minorHAnsi" w:hAnsi="Arial" w:cs="Arial"/>
          <w:b/>
          <w:bCs/>
          <w:color w:val="auto"/>
          <w:sz w:val="20"/>
          <w:szCs w:val="20"/>
          <w:lang w:val="en-AU"/>
        </w:rPr>
      </w:pPr>
      <w:r w:rsidRPr="006E7B31">
        <w:rPr>
          <w:b/>
          <w:i/>
          <w:color w:val="auto"/>
        </w:rPr>
        <w:lastRenderedPageBreak/>
        <w:t>Traceability</w:t>
      </w:r>
    </w:p>
    <w:p w14:paraId="5FB287FA" w14:textId="36743497" w:rsidR="0024632F" w:rsidRDefault="00AA1248" w:rsidP="00853A8C">
      <w:pPr>
        <w:pStyle w:val="ListBullet"/>
        <w:rPr>
          <w:color w:val="auto"/>
        </w:rPr>
      </w:pPr>
      <w:proofErr w:type="gramStart"/>
      <w:r w:rsidRPr="006E7B31">
        <w:rPr>
          <w:color w:val="auto"/>
        </w:rPr>
        <w:t>In order to</w:t>
      </w:r>
      <w:proofErr w:type="gramEnd"/>
      <w:r w:rsidRPr="006E7B31">
        <w:rPr>
          <w:color w:val="auto"/>
        </w:rPr>
        <w:t xml:space="preserve"> improve the traceability of biological medicinal products, the name and batch number of the administered product should be clearly recorded. </w:t>
      </w:r>
    </w:p>
    <w:p w14:paraId="231244FF" w14:textId="77777777" w:rsidR="00853A8C" w:rsidRPr="00853A8C" w:rsidRDefault="00853A8C" w:rsidP="00853A8C">
      <w:pPr>
        <w:pStyle w:val="ListBullet"/>
        <w:rPr>
          <w:color w:val="auto"/>
        </w:rPr>
      </w:pPr>
    </w:p>
    <w:p w14:paraId="5F1761CD" w14:textId="77777777" w:rsidR="001A3992" w:rsidRPr="00CC3678" w:rsidRDefault="001A3992" w:rsidP="00CA73C2">
      <w:pPr>
        <w:pStyle w:val="Heading3"/>
        <w:numPr>
          <w:ilvl w:val="0"/>
          <w:numId w:val="0"/>
        </w:numPr>
        <w:spacing w:before="0" w:after="120"/>
        <w:ind w:left="680" w:hanging="680"/>
        <w:rPr>
          <w:i/>
          <w:lang w:val="en-AU"/>
        </w:rPr>
      </w:pPr>
      <w:r w:rsidRPr="00CC3678">
        <w:rPr>
          <w:i/>
          <w:lang w:val="en-AU"/>
        </w:rPr>
        <w:t>Use in the elderly</w:t>
      </w:r>
    </w:p>
    <w:p w14:paraId="1F0FE977" w14:textId="023D4459" w:rsidR="00477BD3" w:rsidRPr="00BA6BDC" w:rsidRDefault="00E575BF" w:rsidP="00477BD3">
      <w:r w:rsidRPr="00CF7502">
        <w:rPr>
          <w:color w:val="auto"/>
        </w:rPr>
        <w:t>Se</w:t>
      </w:r>
      <w:r w:rsidR="00B5279C" w:rsidRPr="00CF7502">
        <w:rPr>
          <w:color w:val="auto"/>
        </w:rPr>
        <w:t>e</w:t>
      </w:r>
      <w:r w:rsidR="00CF7502" w:rsidRPr="006E7B31">
        <w:rPr>
          <w:color w:val="auto"/>
        </w:rPr>
        <w:t xml:space="preserve"> S</w:t>
      </w:r>
      <w:r w:rsidR="00CF7502" w:rsidRPr="00366C42">
        <w:rPr>
          <w:color w:val="auto"/>
        </w:rPr>
        <w:t>ection</w:t>
      </w:r>
      <w:r w:rsidR="00CF7502" w:rsidRPr="00366C42">
        <w:rPr>
          <w:color w:val="0070C0"/>
        </w:rPr>
        <w:t xml:space="preserve"> </w:t>
      </w:r>
      <w:r w:rsidR="00CF7502" w:rsidRPr="00366C42">
        <w:rPr>
          <w:color w:val="0000FF"/>
        </w:rPr>
        <w:fldChar w:fldCharType="begin"/>
      </w:r>
      <w:r w:rsidR="00CF7502" w:rsidRPr="00366C42">
        <w:rPr>
          <w:color w:val="0000FF"/>
        </w:rPr>
        <w:instrText xml:space="preserve"> REF _Ref113992587 \r \h  \* MERGEFORMAT </w:instrText>
      </w:r>
      <w:r w:rsidR="00CF7502" w:rsidRPr="00366C42">
        <w:rPr>
          <w:color w:val="0000FF"/>
        </w:rPr>
      </w:r>
      <w:r w:rsidR="00CF7502" w:rsidRPr="00366C42">
        <w:rPr>
          <w:color w:val="0000FF"/>
        </w:rPr>
        <w:fldChar w:fldCharType="separate"/>
      </w:r>
      <w:r w:rsidR="00366C42" w:rsidRPr="00366C42">
        <w:rPr>
          <w:color w:val="0000FF"/>
        </w:rPr>
        <w:t>4.2.2.2</w:t>
      </w:r>
      <w:r w:rsidR="00CF7502" w:rsidRPr="00366C42">
        <w:rPr>
          <w:color w:val="0000FF"/>
        </w:rPr>
        <w:fldChar w:fldCharType="end"/>
      </w:r>
      <w:r w:rsidR="00CF7502" w:rsidRPr="00366C42">
        <w:rPr>
          <w:color w:val="0070C0"/>
        </w:rPr>
        <w:t xml:space="preserve"> </w:t>
      </w:r>
    </w:p>
    <w:p w14:paraId="10F44D3D" w14:textId="77777777" w:rsidR="00E575BF" w:rsidRPr="00BA6BDC" w:rsidRDefault="00E575BF" w:rsidP="00477BD3">
      <w:pPr>
        <w:rPr>
          <w:lang w:val="en-AU"/>
        </w:rPr>
      </w:pPr>
    </w:p>
    <w:p w14:paraId="407C349A" w14:textId="77777777" w:rsidR="001A3992" w:rsidRPr="00BA6BDC" w:rsidRDefault="001A3992" w:rsidP="00CA73C2">
      <w:pPr>
        <w:pStyle w:val="Heading3"/>
        <w:numPr>
          <w:ilvl w:val="0"/>
          <w:numId w:val="0"/>
        </w:numPr>
        <w:spacing w:before="0" w:after="120"/>
        <w:ind w:left="680" w:hanging="680"/>
        <w:rPr>
          <w:i/>
          <w:lang w:val="en-AU"/>
        </w:rPr>
      </w:pPr>
      <w:r w:rsidRPr="00BA6BDC">
        <w:rPr>
          <w:i/>
          <w:lang w:val="en-AU"/>
        </w:rPr>
        <w:t>Paediatric use</w:t>
      </w:r>
    </w:p>
    <w:p w14:paraId="1CD600AE" w14:textId="3A5D81A8" w:rsidR="006E7B31" w:rsidRDefault="00B5279C" w:rsidP="00E9222B">
      <w:pPr>
        <w:rPr>
          <w:color w:val="auto"/>
        </w:rPr>
      </w:pPr>
      <w:r w:rsidRPr="00CF7502">
        <w:rPr>
          <w:color w:val="auto"/>
        </w:rPr>
        <w:t xml:space="preserve">See </w:t>
      </w:r>
      <w:r w:rsidR="004635C5" w:rsidRPr="00CF7502">
        <w:rPr>
          <w:color w:val="auto"/>
        </w:rPr>
        <w:t xml:space="preserve">Section </w:t>
      </w:r>
      <w:r w:rsidR="004635C5" w:rsidRPr="00CF7502">
        <w:rPr>
          <w:color w:val="auto"/>
        </w:rPr>
        <w:fldChar w:fldCharType="begin"/>
      </w:r>
      <w:r w:rsidR="004635C5" w:rsidRPr="00CF7502">
        <w:rPr>
          <w:color w:val="auto"/>
        </w:rPr>
        <w:instrText xml:space="preserve"> REF _Ref75264003 \r \h  \* MERGEFORMAT </w:instrText>
      </w:r>
      <w:r w:rsidR="004635C5" w:rsidRPr="00CF7502">
        <w:rPr>
          <w:color w:val="auto"/>
        </w:rPr>
      </w:r>
      <w:r w:rsidR="004635C5" w:rsidRPr="00CF7502">
        <w:rPr>
          <w:color w:val="auto"/>
        </w:rPr>
        <w:fldChar w:fldCharType="separate"/>
      </w:r>
      <w:r w:rsidR="00366C42">
        <w:rPr>
          <w:color w:val="auto"/>
        </w:rPr>
        <w:t>4.2.2.1</w:t>
      </w:r>
      <w:r w:rsidR="004635C5" w:rsidRPr="00CF7502">
        <w:rPr>
          <w:color w:val="auto"/>
        </w:rPr>
        <w:fldChar w:fldCharType="end"/>
      </w:r>
      <w:r w:rsidR="00CF7502">
        <w:rPr>
          <w:color w:val="auto"/>
        </w:rPr>
        <w:t>.</w:t>
      </w:r>
      <w:r w:rsidRPr="006E7B31">
        <w:rPr>
          <w:color w:val="FF0000"/>
        </w:rPr>
        <w:t xml:space="preserve"> </w:t>
      </w:r>
      <w:r w:rsidR="00C72861" w:rsidRPr="006E7B31">
        <w:rPr>
          <w:color w:val="auto"/>
        </w:rPr>
        <w:t xml:space="preserve">The clinical trial program </w:t>
      </w:r>
      <w:r w:rsidR="00863424" w:rsidRPr="006E7B31">
        <w:rPr>
          <w:color w:val="auto"/>
        </w:rPr>
        <w:t xml:space="preserve">in </w:t>
      </w:r>
      <w:proofErr w:type="spellStart"/>
      <w:r w:rsidR="00863424" w:rsidRPr="006E7B31">
        <w:rPr>
          <w:color w:val="auto"/>
        </w:rPr>
        <w:t>paediatrics</w:t>
      </w:r>
      <w:proofErr w:type="spellEnd"/>
      <w:r w:rsidR="00863424" w:rsidRPr="006E7B31">
        <w:rPr>
          <w:color w:val="auto"/>
        </w:rPr>
        <w:t xml:space="preserve"> </w:t>
      </w:r>
      <w:r w:rsidR="00C72861" w:rsidRPr="006E7B31">
        <w:rPr>
          <w:color w:val="auto"/>
        </w:rPr>
        <w:t xml:space="preserve">did not include children aged less than 28 days (see </w:t>
      </w:r>
      <w:r w:rsidR="00E24AC2" w:rsidRPr="006E7B31">
        <w:rPr>
          <w:color w:val="auto"/>
        </w:rPr>
        <w:t>Section</w:t>
      </w:r>
      <w:r w:rsidR="00E24AC2" w:rsidRPr="006E7B31">
        <w:rPr>
          <w:color w:val="0070C0"/>
        </w:rPr>
        <w:t xml:space="preserve"> </w:t>
      </w:r>
      <w:r w:rsidR="00E24AC2" w:rsidRPr="006E7B31">
        <w:rPr>
          <w:color w:val="0000FF"/>
        </w:rPr>
        <w:fldChar w:fldCharType="begin"/>
      </w:r>
      <w:r w:rsidR="00E24AC2" w:rsidRPr="006E7B31">
        <w:rPr>
          <w:color w:val="0000FF"/>
        </w:rPr>
        <w:instrText xml:space="preserve"> REF _Ref113965434 \r \h  \* MERGEFORMAT </w:instrText>
      </w:r>
      <w:r w:rsidR="00E24AC2" w:rsidRPr="006E7B31">
        <w:rPr>
          <w:color w:val="0000FF"/>
        </w:rPr>
      </w:r>
      <w:r w:rsidR="00E24AC2" w:rsidRPr="006E7B31">
        <w:rPr>
          <w:color w:val="0000FF"/>
        </w:rPr>
        <w:fldChar w:fldCharType="separate"/>
      </w:r>
      <w:r w:rsidR="00366C42">
        <w:rPr>
          <w:color w:val="0000FF"/>
        </w:rPr>
        <w:t>5.1</w:t>
      </w:r>
      <w:r w:rsidR="00E24AC2" w:rsidRPr="006E7B31">
        <w:rPr>
          <w:color w:val="0000FF"/>
        </w:rPr>
        <w:fldChar w:fldCharType="end"/>
      </w:r>
      <w:r w:rsidR="00C72861" w:rsidRPr="006E7B31">
        <w:rPr>
          <w:color w:val="0070C0"/>
        </w:rPr>
        <w:t xml:space="preserve"> </w:t>
      </w:r>
      <w:r w:rsidR="00C72861" w:rsidRPr="006E7B31">
        <w:rPr>
          <w:color w:val="auto"/>
        </w:rPr>
        <w:t xml:space="preserve">– Clinical trials – </w:t>
      </w:r>
      <w:proofErr w:type="spellStart"/>
      <w:r w:rsidR="00C72861" w:rsidRPr="006E7B31">
        <w:rPr>
          <w:color w:val="auto"/>
        </w:rPr>
        <w:t>Paediatric</w:t>
      </w:r>
      <w:proofErr w:type="spellEnd"/>
      <w:r w:rsidR="00C72861" w:rsidRPr="006E7B31">
        <w:rPr>
          <w:color w:val="auto"/>
        </w:rPr>
        <w:t xml:space="preserve"> population).</w:t>
      </w:r>
    </w:p>
    <w:p w14:paraId="0C83B085" w14:textId="77777777" w:rsidR="00E9222B" w:rsidRPr="00E9222B" w:rsidRDefault="00E9222B" w:rsidP="00E9222B">
      <w:pPr>
        <w:rPr>
          <w:color w:val="auto"/>
        </w:rPr>
      </w:pPr>
    </w:p>
    <w:p w14:paraId="1653C80B" w14:textId="5E4F21F1" w:rsidR="00E575BF" w:rsidRPr="00BA6BDC" w:rsidRDefault="00E575BF" w:rsidP="00E575BF">
      <w:pPr>
        <w:pStyle w:val="Heading3"/>
        <w:numPr>
          <w:ilvl w:val="0"/>
          <w:numId w:val="0"/>
        </w:numPr>
        <w:spacing w:before="0" w:after="120"/>
        <w:ind w:left="680" w:hanging="680"/>
        <w:rPr>
          <w:i/>
          <w:lang w:val="en-AU"/>
        </w:rPr>
      </w:pPr>
      <w:r w:rsidRPr="00BA6BDC">
        <w:rPr>
          <w:i/>
          <w:lang w:val="en-AU"/>
        </w:rPr>
        <w:t xml:space="preserve">Effects on laboratory tests </w:t>
      </w:r>
    </w:p>
    <w:p w14:paraId="69B30F09" w14:textId="714C472F" w:rsidR="00E575BF" w:rsidRPr="00BA6BDC" w:rsidRDefault="00E575BF" w:rsidP="00BC364A">
      <w:pPr>
        <w:rPr>
          <w:lang w:val="en-AU"/>
        </w:rPr>
      </w:pPr>
      <w:r w:rsidRPr="00BA6BDC">
        <w:t>No data available.</w:t>
      </w:r>
    </w:p>
    <w:p w14:paraId="73EB5ADD" w14:textId="77777777" w:rsidR="00A62F6D" w:rsidRPr="00BA6BDC" w:rsidRDefault="00A62F6D" w:rsidP="00744556">
      <w:pPr>
        <w:rPr>
          <w:lang w:val="en-AU"/>
        </w:rPr>
      </w:pPr>
    </w:p>
    <w:p w14:paraId="2709B84A" w14:textId="1CA9FBCB" w:rsidR="001A3992" w:rsidRPr="00BA6BDC" w:rsidRDefault="001A3992" w:rsidP="001A3992">
      <w:pPr>
        <w:pStyle w:val="Heading2"/>
        <w:keepLines/>
        <w:spacing w:before="0" w:after="120"/>
        <w:rPr>
          <w:lang w:val="en-AU"/>
        </w:rPr>
      </w:pPr>
      <w:r w:rsidRPr="00BA6BDC">
        <w:rPr>
          <w:lang w:val="en-AU"/>
        </w:rPr>
        <w:t>Interactions with other medicines and other forms of interactions</w:t>
      </w:r>
    </w:p>
    <w:p w14:paraId="242DD5C5" w14:textId="37A39285" w:rsidR="00B5279C" w:rsidRPr="00BA6BDC" w:rsidRDefault="00B5279C" w:rsidP="00B5279C">
      <w:pPr>
        <w:pStyle w:val="ListBullet"/>
      </w:pPr>
      <w:r w:rsidRPr="00BA6BDC">
        <w:t xml:space="preserve">Immunosuppressive treatment, including long-term systemic corticosteroid therapy, may interfere with antibody production and cause the failure of the vaccination. It is therefore advisable to perform a serological test 2 to 4 weeks after the last injection. (See Section </w:t>
      </w:r>
      <w:r w:rsidRPr="00BA6BDC">
        <w:rPr>
          <w:color w:val="0000FF"/>
        </w:rPr>
        <w:fldChar w:fldCharType="begin"/>
      </w:r>
      <w:r w:rsidRPr="00BA6BDC">
        <w:rPr>
          <w:color w:val="0000FF"/>
        </w:rPr>
        <w:instrText xml:space="preserve"> REF _Ref62742031 \r \h  \* MERGEFORMAT </w:instrText>
      </w:r>
      <w:r w:rsidRPr="00BA6BDC">
        <w:rPr>
          <w:color w:val="0000FF"/>
        </w:rPr>
      </w:r>
      <w:r w:rsidRPr="00BA6BDC">
        <w:rPr>
          <w:color w:val="0000FF"/>
        </w:rPr>
        <w:fldChar w:fldCharType="separate"/>
      </w:r>
      <w:r w:rsidR="00366C42">
        <w:rPr>
          <w:color w:val="0000FF"/>
        </w:rPr>
        <w:t>4.2.2.3</w:t>
      </w:r>
      <w:r w:rsidRPr="00BA6BDC">
        <w:rPr>
          <w:color w:val="0000FF"/>
        </w:rPr>
        <w:fldChar w:fldCharType="end"/>
      </w:r>
      <w:r w:rsidRPr="00BA6BDC">
        <w:t>).</w:t>
      </w:r>
    </w:p>
    <w:p w14:paraId="0D6EA163" w14:textId="7C6C2D25" w:rsidR="00B5279C" w:rsidRPr="00BA6BDC" w:rsidRDefault="00B5279C" w:rsidP="00B5279C">
      <w:pPr>
        <w:pStyle w:val="ListBullet"/>
        <w:tabs>
          <w:tab w:val="left" w:pos="0"/>
        </w:tabs>
      </w:pPr>
      <w:proofErr w:type="spellStart"/>
      <w:r w:rsidRPr="00BA6BDC">
        <w:t>Verorab</w:t>
      </w:r>
      <w:proofErr w:type="spellEnd"/>
      <w:r w:rsidRPr="00BA6BDC">
        <w:t xml:space="preserve"> can be administered simultaneously </w:t>
      </w:r>
      <w:r w:rsidR="00DE672B" w:rsidRPr="00BA6BDC">
        <w:t xml:space="preserve">with a typhoid polysaccharide Vi vaccine </w:t>
      </w:r>
      <w:r w:rsidRPr="00BA6BDC">
        <w:t xml:space="preserve">in two separate injection sites. </w:t>
      </w:r>
    </w:p>
    <w:p w14:paraId="68321CFE" w14:textId="229FD4A6" w:rsidR="00B5279C" w:rsidRPr="00BA6BDC" w:rsidRDefault="00B5279C" w:rsidP="00B5279C">
      <w:pPr>
        <w:pStyle w:val="ListBullet"/>
        <w:tabs>
          <w:tab w:val="left" w:pos="0"/>
        </w:tabs>
      </w:pPr>
      <w:r w:rsidRPr="00BA6BDC">
        <w:t>Separate injection sites and separate syringes must be used in case of concomitant administration with any other medicinal product, including rabies immunoglobulins.</w:t>
      </w:r>
      <w:r w:rsidR="004635C5" w:rsidRPr="00BA6BDC">
        <w:t xml:space="preserve"> </w:t>
      </w:r>
    </w:p>
    <w:p w14:paraId="658F27CB" w14:textId="6881CFDC" w:rsidR="00B5279C" w:rsidRPr="00BA6BDC" w:rsidRDefault="00B5279C" w:rsidP="00B5279C">
      <w:pPr>
        <w:pStyle w:val="ListBullet"/>
        <w:tabs>
          <w:tab w:val="left" w:pos="0"/>
        </w:tabs>
      </w:pPr>
      <w:r w:rsidRPr="00BA6BDC">
        <w:t>As rabies immunoglobulin interferes with development of immune response to the vaccine, the recommendation of administration of rabies immunoglobulin must be strictly followed.</w:t>
      </w:r>
      <w:r w:rsidR="004635C5" w:rsidRPr="00BA6BDC">
        <w:t xml:space="preserve"> </w:t>
      </w:r>
    </w:p>
    <w:p w14:paraId="3AEFA6DB" w14:textId="77777777" w:rsidR="00BC364A" w:rsidRPr="00BA6BDC" w:rsidRDefault="00BC364A" w:rsidP="00BC364A">
      <w:pPr>
        <w:rPr>
          <w:lang w:val="en-AU"/>
        </w:rPr>
      </w:pPr>
    </w:p>
    <w:p w14:paraId="16E0ED56" w14:textId="77777777" w:rsidR="001A3992" w:rsidRPr="00BA6BDC" w:rsidRDefault="001A3992" w:rsidP="001A3992">
      <w:pPr>
        <w:pStyle w:val="Heading2"/>
        <w:spacing w:before="0" w:after="120"/>
        <w:rPr>
          <w:lang w:val="en-AU"/>
        </w:rPr>
      </w:pPr>
      <w:r w:rsidRPr="00BA6BDC">
        <w:rPr>
          <w:lang w:val="en-AU"/>
        </w:rPr>
        <w:lastRenderedPageBreak/>
        <w:t xml:space="preserve">Fertility, pregnancy and lactation </w:t>
      </w:r>
    </w:p>
    <w:p w14:paraId="4DFDC48C" w14:textId="77777777" w:rsidR="001A3992" w:rsidRPr="00BA6BDC" w:rsidRDefault="001A3992" w:rsidP="00CA73C2">
      <w:pPr>
        <w:pStyle w:val="Heading3"/>
        <w:numPr>
          <w:ilvl w:val="0"/>
          <w:numId w:val="0"/>
        </w:numPr>
        <w:spacing w:before="0" w:after="120"/>
        <w:rPr>
          <w:i/>
          <w:lang w:val="en-AU"/>
        </w:rPr>
      </w:pPr>
      <w:r w:rsidRPr="00BA6BDC">
        <w:rPr>
          <w:i/>
          <w:lang w:val="en-AU"/>
        </w:rPr>
        <w:t>Effects on fertility</w:t>
      </w:r>
    </w:p>
    <w:p w14:paraId="55E312FE" w14:textId="02BD5F31" w:rsidR="00E575BF" w:rsidRPr="00BA6BDC" w:rsidRDefault="00882323" w:rsidP="00E575BF">
      <w:proofErr w:type="spellStart"/>
      <w:r w:rsidRPr="00BA6BDC">
        <w:t>Verorab</w:t>
      </w:r>
      <w:proofErr w:type="spellEnd"/>
      <w:r w:rsidR="00E575BF" w:rsidRPr="00BA6BDC">
        <w:t xml:space="preserve"> has not been evaluated for impairment of male or female fertility.</w:t>
      </w:r>
      <w:r w:rsidR="00E575BF" w:rsidRPr="00BA6BDC" w:rsidDel="00615761">
        <w:t xml:space="preserve"> </w:t>
      </w:r>
    </w:p>
    <w:p w14:paraId="1B6A1391" w14:textId="77777777" w:rsidR="000911AA" w:rsidRPr="00BA6BDC" w:rsidRDefault="000911AA" w:rsidP="00024098">
      <w:pPr>
        <w:spacing w:before="120"/>
        <w:jc w:val="both"/>
        <w:rPr>
          <w:lang w:val="en-AU"/>
        </w:rPr>
      </w:pPr>
    </w:p>
    <w:p w14:paraId="4F7D59F2" w14:textId="2075BC16" w:rsidR="001A3992" w:rsidRPr="00BA6BDC" w:rsidRDefault="001A3992" w:rsidP="00CA73C2">
      <w:pPr>
        <w:pStyle w:val="Heading3"/>
        <w:numPr>
          <w:ilvl w:val="0"/>
          <w:numId w:val="0"/>
        </w:numPr>
        <w:spacing w:before="0" w:after="120"/>
        <w:ind w:left="680" w:hanging="680"/>
        <w:rPr>
          <w:i/>
          <w:lang w:val="en-AU"/>
        </w:rPr>
      </w:pPr>
      <w:r w:rsidRPr="00BA6BDC">
        <w:rPr>
          <w:i/>
          <w:lang w:val="en-AU"/>
        </w:rPr>
        <w:t xml:space="preserve">Use in pregnancy </w:t>
      </w:r>
      <w:r w:rsidR="00E575BF" w:rsidRPr="00BA6BDC">
        <w:rPr>
          <w:i/>
          <w:lang w:val="en-AU"/>
        </w:rPr>
        <w:t>– Category B2</w:t>
      </w:r>
    </w:p>
    <w:p w14:paraId="4EB6655E" w14:textId="77777777" w:rsidR="00E575BF" w:rsidRPr="00BA6BDC" w:rsidRDefault="00E575BF" w:rsidP="00E575BF">
      <w:pPr>
        <w:pStyle w:val="wcpSubHeading"/>
      </w:pPr>
      <w:r w:rsidRPr="00BA6BDC">
        <w:t>Pre-exposure prophylaxis</w:t>
      </w:r>
    </w:p>
    <w:p w14:paraId="465B9EBD" w14:textId="5424F0DE" w:rsidR="00E575BF" w:rsidRPr="00BA6BDC" w:rsidRDefault="00E575BF" w:rsidP="00E575BF">
      <w:bookmarkStart w:id="46" w:name="_Hlk31381248"/>
      <w:r w:rsidRPr="00BA6BDC">
        <w:t xml:space="preserve">Animal reproductive studies have not been conducted with </w:t>
      </w:r>
      <w:proofErr w:type="spellStart"/>
      <w:r w:rsidR="00882323" w:rsidRPr="00BA6BDC">
        <w:t>Verorab</w:t>
      </w:r>
      <w:proofErr w:type="spellEnd"/>
      <w:r w:rsidRPr="00BA6BDC">
        <w:t xml:space="preserve">. Data on the use of this vaccine in pregnant women are limited. </w:t>
      </w:r>
      <w:proofErr w:type="spellStart"/>
      <w:r w:rsidR="00882323" w:rsidRPr="00BA6BDC">
        <w:t>Verorab</w:t>
      </w:r>
      <w:proofErr w:type="spellEnd"/>
      <w:r w:rsidRPr="00BA6BDC">
        <w:t xml:space="preserve"> should be given to pregnant women only if clearly needed and following an assessment of the risks and benefit.</w:t>
      </w:r>
    </w:p>
    <w:bookmarkEnd w:id="46"/>
    <w:p w14:paraId="43E59F76" w14:textId="77777777" w:rsidR="00E575BF" w:rsidRPr="00BA6BDC" w:rsidRDefault="00E575BF" w:rsidP="00E575BF">
      <w:pPr>
        <w:pStyle w:val="wcpSubHeading"/>
      </w:pPr>
      <w:r w:rsidRPr="00BA6BDC">
        <w:t>Post-exposure prophylaxis</w:t>
      </w:r>
    </w:p>
    <w:p w14:paraId="5B2353CC" w14:textId="77777777" w:rsidR="00E575BF" w:rsidRPr="00BA6BDC" w:rsidRDefault="00E575BF" w:rsidP="00E575BF">
      <w:pPr>
        <w:rPr>
          <w:bCs/>
        </w:rPr>
      </w:pPr>
      <w:r w:rsidRPr="00BA6BDC">
        <w:rPr>
          <w:bCs/>
        </w:rPr>
        <w:t>Due to the severity of the disease, pregnancy is not a contraindication.</w:t>
      </w:r>
    </w:p>
    <w:p w14:paraId="16F08291" w14:textId="77777777" w:rsidR="00BC364A" w:rsidRPr="00BA6BDC" w:rsidRDefault="00BC364A" w:rsidP="00BC364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120"/>
        <w:jc w:val="both"/>
      </w:pPr>
    </w:p>
    <w:p w14:paraId="23CDAC80" w14:textId="77777777" w:rsidR="001A3992" w:rsidRPr="00BA6BDC" w:rsidRDefault="001A3992" w:rsidP="00CA73C2">
      <w:pPr>
        <w:pStyle w:val="Heading3"/>
        <w:numPr>
          <w:ilvl w:val="0"/>
          <w:numId w:val="0"/>
        </w:numPr>
        <w:spacing w:before="0" w:after="120"/>
        <w:ind w:left="680" w:hanging="680"/>
        <w:rPr>
          <w:i/>
          <w:lang w:val="en-AU"/>
        </w:rPr>
      </w:pPr>
      <w:r w:rsidRPr="00BA6BDC">
        <w:rPr>
          <w:i/>
          <w:lang w:val="en-AU"/>
        </w:rPr>
        <w:t xml:space="preserve">Use in lactation </w:t>
      </w:r>
    </w:p>
    <w:p w14:paraId="3282C36A" w14:textId="77777777" w:rsidR="00E575BF" w:rsidRPr="00BA6BDC" w:rsidRDefault="00E575BF" w:rsidP="00E575BF">
      <w:pPr>
        <w:pStyle w:val="wcpSubHeading"/>
      </w:pPr>
      <w:r w:rsidRPr="00BA6BDC">
        <w:t>Pre-exposure prophylaxis</w:t>
      </w:r>
    </w:p>
    <w:p w14:paraId="5D8F75E6" w14:textId="3C6A81B7" w:rsidR="00E575BF" w:rsidRPr="00BA6BDC" w:rsidRDefault="00E575BF" w:rsidP="00E575BF">
      <w:r w:rsidRPr="00BA6BDC">
        <w:t xml:space="preserve">It is not known whether this vaccine is excreted in human milk. Caution must be exercised when </w:t>
      </w:r>
      <w:proofErr w:type="spellStart"/>
      <w:r w:rsidR="00882323" w:rsidRPr="00BA6BDC">
        <w:t>Verorab</w:t>
      </w:r>
      <w:proofErr w:type="spellEnd"/>
      <w:r w:rsidRPr="00BA6BDC">
        <w:t xml:space="preserve"> is administered to a nursing mother.</w:t>
      </w:r>
    </w:p>
    <w:p w14:paraId="63AAE1D4" w14:textId="77777777" w:rsidR="00E575BF" w:rsidRPr="00BA6BDC" w:rsidRDefault="00E575BF" w:rsidP="00E575BF">
      <w:pPr>
        <w:pStyle w:val="wcpSubHeading"/>
      </w:pPr>
      <w:r w:rsidRPr="00BA6BDC">
        <w:t>Post-exposure prophylaxis</w:t>
      </w:r>
    </w:p>
    <w:p w14:paraId="2DA663B9" w14:textId="77777777" w:rsidR="00E575BF" w:rsidRPr="00BA6BDC" w:rsidRDefault="00E575BF" w:rsidP="00E575BF">
      <w:pPr>
        <w:rPr>
          <w:lang w:val="en-GB"/>
        </w:rPr>
      </w:pPr>
      <w:r w:rsidRPr="00BA6BDC">
        <w:rPr>
          <w:lang w:val="en-GB"/>
        </w:rPr>
        <w:t>Due to the severity of the disease, lactation is not a contraindication.</w:t>
      </w:r>
    </w:p>
    <w:p w14:paraId="245F6A57" w14:textId="77777777" w:rsidR="00477BD3" w:rsidRPr="00BA6BDC" w:rsidRDefault="00477BD3" w:rsidP="00477BD3">
      <w:pPr>
        <w:rPr>
          <w:lang w:val="en-GB"/>
        </w:rPr>
      </w:pPr>
    </w:p>
    <w:p w14:paraId="7B7F5C26" w14:textId="77777777" w:rsidR="001A3992" w:rsidRPr="00BA6BDC" w:rsidRDefault="001A3992" w:rsidP="001A3992">
      <w:pPr>
        <w:pStyle w:val="Heading2"/>
        <w:spacing w:before="0" w:after="120"/>
        <w:rPr>
          <w:lang w:val="en-AU"/>
        </w:rPr>
      </w:pPr>
      <w:r w:rsidRPr="00BA6BDC">
        <w:rPr>
          <w:lang w:val="en-AU"/>
        </w:rPr>
        <w:t xml:space="preserve">Effects on ability to drive and use machines </w:t>
      </w:r>
    </w:p>
    <w:p w14:paraId="7CF2BF3B" w14:textId="77777777" w:rsidR="00E575BF" w:rsidRPr="00BA6BDC" w:rsidRDefault="00E575BF" w:rsidP="00E575BF">
      <w:pPr>
        <w:rPr>
          <w:iCs/>
        </w:rPr>
      </w:pPr>
      <w:r w:rsidRPr="00BA6BDC">
        <w:rPr>
          <w:iCs/>
        </w:rPr>
        <w:t xml:space="preserve">No studies on the effects on the ability to drive or use machines have been performed. </w:t>
      </w:r>
    </w:p>
    <w:p w14:paraId="5FFF281F" w14:textId="77777777" w:rsidR="00744556" w:rsidRPr="00BA6BDC" w:rsidRDefault="00744556" w:rsidP="00744556"/>
    <w:p w14:paraId="5AB31317" w14:textId="77777777" w:rsidR="001A3992" w:rsidRPr="00BA6BDC" w:rsidRDefault="001A3992" w:rsidP="004F0E4A">
      <w:pPr>
        <w:pStyle w:val="Heading2"/>
        <w:keepNext w:val="0"/>
        <w:keepLines/>
        <w:spacing w:before="0" w:after="120"/>
        <w:rPr>
          <w:lang w:val="en-AU"/>
        </w:rPr>
      </w:pPr>
      <w:bookmarkStart w:id="47" w:name="_Ref62740433"/>
      <w:r w:rsidRPr="00BA6BDC">
        <w:rPr>
          <w:lang w:val="en-AU"/>
        </w:rPr>
        <w:t>Adverse effects (Undesirable effects)</w:t>
      </w:r>
      <w:bookmarkEnd w:id="47"/>
    </w:p>
    <w:p w14:paraId="6BA8DBE4" w14:textId="5C62E793" w:rsidR="00822661" w:rsidRPr="00BA6BDC" w:rsidRDefault="00822661" w:rsidP="00822661">
      <w:pPr>
        <w:rPr>
          <w:iCs/>
        </w:rPr>
      </w:pPr>
      <w:r w:rsidRPr="00BA6BDC">
        <w:rPr>
          <w:iCs/>
        </w:rPr>
        <w:t>Adverse reaction information is derived from clinical trials and worldwide post-marketing experience.</w:t>
      </w:r>
    </w:p>
    <w:p w14:paraId="4808AFC4" w14:textId="595AD0BC" w:rsidR="00822661" w:rsidRPr="00BA6BDC" w:rsidRDefault="00822661" w:rsidP="00822661">
      <w:pPr>
        <w:rPr>
          <w:iCs/>
        </w:rPr>
      </w:pPr>
      <w:r w:rsidRPr="00BA6BDC">
        <w:rPr>
          <w:iCs/>
        </w:rPr>
        <w:t xml:space="preserve">Within each system organ </w:t>
      </w:r>
      <w:proofErr w:type="gramStart"/>
      <w:r w:rsidRPr="00BA6BDC">
        <w:rPr>
          <w:iCs/>
        </w:rPr>
        <w:t>class</w:t>
      </w:r>
      <w:proofErr w:type="gramEnd"/>
      <w:r w:rsidRPr="00BA6BDC">
        <w:rPr>
          <w:iCs/>
        </w:rPr>
        <w:t xml:space="preserve"> the adverse reactions are ranked under headings of frequency, using the following </w:t>
      </w:r>
      <w:r w:rsidRPr="00BA6BDC">
        <w:t>CIOMS frequency rating</w:t>
      </w:r>
      <w:r w:rsidRPr="00BA6BDC">
        <w:rPr>
          <w:iCs/>
        </w:rPr>
        <w:t>:</w:t>
      </w:r>
    </w:p>
    <w:p w14:paraId="104BC873" w14:textId="77777777" w:rsidR="00822661" w:rsidRPr="00BA6BDC" w:rsidRDefault="00822661" w:rsidP="001E40D6">
      <w:pPr>
        <w:pStyle w:val="ListBullet"/>
        <w:numPr>
          <w:ilvl w:val="0"/>
          <w:numId w:val="13"/>
        </w:numPr>
        <w:tabs>
          <w:tab w:val="left" w:pos="425"/>
        </w:tabs>
        <w:spacing w:before="120"/>
      </w:pPr>
      <w:r w:rsidRPr="00BA6BDC">
        <w:lastRenderedPageBreak/>
        <w:t xml:space="preserve">Very common </w:t>
      </w:r>
      <w:r w:rsidRPr="00BA6BDC">
        <w:rPr>
          <w:rFonts w:ascii="Symbol" w:hAnsi="Symbol"/>
        </w:rPr>
        <w:t></w:t>
      </w:r>
      <w:r w:rsidRPr="00BA6BDC">
        <w:t xml:space="preserve"> </w:t>
      </w:r>
      <w:proofErr w:type="gramStart"/>
      <w:r w:rsidRPr="00BA6BDC">
        <w:t>10%;</w:t>
      </w:r>
      <w:proofErr w:type="gramEnd"/>
      <w:r w:rsidRPr="00BA6BDC">
        <w:t xml:space="preserve"> </w:t>
      </w:r>
    </w:p>
    <w:p w14:paraId="465599E0" w14:textId="1D79742B" w:rsidR="00822661" w:rsidRPr="00BA6BDC" w:rsidRDefault="00822661" w:rsidP="001E40D6">
      <w:pPr>
        <w:pStyle w:val="ListBullet"/>
        <w:numPr>
          <w:ilvl w:val="0"/>
          <w:numId w:val="13"/>
        </w:numPr>
        <w:tabs>
          <w:tab w:val="left" w:pos="425"/>
        </w:tabs>
        <w:spacing w:before="120"/>
      </w:pPr>
      <w:r w:rsidRPr="00BA6BDC">
        <w:t xml:space="preserve">Common </w:t>
      </w:r>
      <w:r w:rsidRPr="00BA6BDC">
        <w:rPr>
          <w:rFonts w:ascii="Symbol" w:hAnsi="Symbol"/>
        </w:rPr>
        <w:t></w:t>
      </w:r>
      <w:r w:rsidRPr="00BA6BDC">
        <w:t xml:space="preserve"> 1 and </w:t>
      </w:r>
      <w:r w:rsidRPr="00BA6BDC">
        <w:rPr>
          <w:rFonts w:ascii="Symbol" w:hAnsi="Symbol"/>
        </w:rPr>
        <w:t></w:t>
      </w:r>
      <w:r w:rsidRPr="00BA6BDC">
        <w:t xml:space="preserve"> </w:t>
      </w:r>
      <w:proofErr w:type="gramStart"/>
      <w:r w:rsidRPr="00BA6BDC">
        <w:t>10%;</w:t>
      </w:r>
      <w:proofErr w:type="gramEnd"/>
      <w:r w:rsidR="004635C5" w:rsidRPr="00BA6BDC">
        <w:t xml:space="preserve"> </w:t>
      </w:r>
    </w:p>
    <w:p w14:paraId="5CFD05C2" w14:textId="77777777" w:rsidR="00822661" w:rsidRPr="00BA6BDC" w:rsidRDefault="00822661" w:rsidP="001E40D6">
      <w:pPr>
        <w:pStyle w:val="ListBullet"/>
        <w:numPr>
          <w:ilvl w:val="0"/>
          <w:numId w:val="13"/>
        </w:numPr>
        <w:tabs>
          <w:tab w:val="left" w:pos="425"/>
        </w:tabs>
        <w:spacing w:before="120"/>
      </w:pPr>
      <w:r w:rsidRPr="00BA6BDC">
        <w:t xml:space="preserve">Uncommon </w:t>
      </w:r>
      <w:r w:rsidRPr="00BA6BDC">
        <w:rPr>
          <w:rFonts w:ascii="Symbol" w:hAnsi="Symbol"/>
        </w:rPr>
        <w:t></w:t>
      </w:r>
      <w:r w:rsidRPr="00BA6BDC">
        <w:t xml:space="preserve"> 0.1 and </w:t>
      </w:r>
      <w:r w:rsidRPr="00BA6BDC">
        <w:rPr>
          <w:rFonts w:ascii="Symbol" w:hAnsi="Symbol"/>
        </w:rPr>
        <w:t></w:t>
      </w:r>
      <w:r w:rsidRPr="00BA6BDC">
        <w:rPr>
          <w:rFonts w:ascii="Symbol" w:hAnsi="Symbol"/>
        </w:rPr>
        <w:t></w:t>
      </w:r>
      <w:r w:rsidRPr="00BA6BDC">
        <w:t>1</w:t>
      </w:r>
      <w:proofErr w:type="gramStart"/>
      <w:r w:rsidRPr="00BA6BDC">
        <w:t>%;</w:t>
      </w:r>
      <w:proofErr w:type="gramEnd"/>
    </w:p>
    <w:p w14:paraId="71D2C614" w14:textId="25C7BBA2" w:rsidR="00822661" w:rsidRPr="00BA6BDC" w:rsidRDefault="00822661" w:rsidP="001E40D6">
      <w:pPr>
        <w:pStyle w:val="ListBullet"/>
        <w:numPr>
          <w:ilvl w:val="0"/>
          <w:numId w:val="13"/>
        </w:numPr>
        <w:tabs>
          <w:tab w:val="left" w:pos="425"/>
        </w:tabs>
        <w:spacing w:before="120"/>
      </w:pPr>
      <w:r w:rsidRPr="00BA6BDC">
        <w:t xml:space="preserve">Rare </w:t>
      </w:r>
      <w:r w:rsidRPr="00BA6BDC">
        <w:rPr>
          <w:rFonts w:ascii="Symbol" w:hAnsi="Symbol"/>
        </w:rPr>
        <w:t></w:t>
      </w:r>
      <w:r w:rsidRPr="00BA6BDC">
        <w:t xml:space="preserve"> 0.01 and </w:t>
      </w:r>
      <w:r w:rsidRPr="00BA6BDC">
        <w:rPr>
          <w:rFonts w:ascii="Symbol" w:hAnsi="Symbol"/>
        </w:rPr>
        <w:t></w:t>
      </w:r>
      <w:r w:rsidRPr="00BA6BDC">
        <w:t xml:space="preserve"> </w:t>
      </w:r>
      <w:proofErr w:type="gramStart"/>
      <w:r w:rsidRPr="00BA6BDC">
        <w:t>0.1%;</w:t>
      </w:r>
      <w:proofErr w:type="gramEnd"/>
      <w:r w:rsidR="004635C5" w:rsidRPr="00BA6BDC">
        <w:t xml:space="preserve"> </w:t>
      </w:r>
    </w:p>
    <w:p w14:paraId="3E05EEF8" w14:textId="77777777" w:rsidR="00822661" w:rsidRPr="00BA6BDC" w:rsidRDefault="00822661" w:rsidP="001E40D6">
      <w:pPr>
        <w:pStyle w:val="ListBullet"/>
        <w:numPr>
          <w:ilvl w:val="0"/>
          <w:numId w:val="13"/>
        </w:numPr>
        <w:tabs>
          <w:tab w:val="left" w:pos="425"/>
        </w:tabs>
        <w:spacing w:before="120"/>
      </w:pPr>
      <w:r w:rsidRPr="00BA6BDC">
        <w:t xml:space="preserve">Very rare </w:t>
      </w:r>
      <w:r w:rsidRPr="00BA6BDC">
        <w:rPr>
          <w:rFonts w:ascii="Symbol" w:hAnsi="Symbol"/>
        </w:rPr>
        <w:t></w:t>
      </w:r>
      <w:r w:rsidRPr="00BA6BDC">
        <w:t xml:space="preserve"> </w:t>
      </w:r>
      <w:proofErr w:type="gramStart"/>
      <w:r w:rsidRPr="00BA6BDC">
        <w:t>0.01%;</w:t>
      </w:r>
      <w:proofErr w:type="gramEnd"/>
      <w:r w:rsidRPr="00BA6BDC">
        <w:t xml:space="preserve"> </w:t>
      </w:r>
    </w:p>
    <w:p w14:paraId="04AD63C2" w14:textId="77777777" w:rsidR="00822661" w:rsidRPr="00BA6BDC" w:rsidRDefault="00822661" w:rsidP="001E40D6">
      <w:pPr>
        <w:pStyle w:val="ListBullet"/>
        <w:numPr>
          <w:ilvl w:val="0"/>
          <w:numId w:val="13"/>
        </w:numPr>
        <w:tabs>
          <w:tab w:val="left" w:pos="425"/>
        </w:tabs>
        <w:spacing w:before="120"/>
      </w:pPr>
      <w:r w:rsidRPr="00BA6BDC">
        <w:t>Not known (cannot be estimated from available data).</w:t>
      </w:r>
      <w:r w:rsidRPr="00BA6BDC" w:rsidDel="005C29C6">
        <w:t xml:space="preserve"> </w:t>
      </w:r>
    </w:p>
    <w:p w14:paraId="37F54CE4" w14:textId="7D4C507E" w:rsidR="00822661" w:rsidRPr="00BA6BDC" w:rsidRDefault="00822661" w:rsidP="00B5279C">
      <w:pPr>
        <w:pStyle w:val="Heading3"/>
      </w:pPr>
      <w:r w:rsidRPr="00BA6BDC">
        <w:rPr>
          <w:iCs/>
        </w:rPr>
        <w:t xml:space="preserve"> </w:t>
      </w:r>
      <w:bookmarkStart w:id="48" w:name="_Toc29828118"/>
      <w:bookmarkStart w:id="49" w:name="_Toc7008865"/>
      <w:r w:rsidRPr="00BA6BDC">
        <w:t>Clinical trials</w:t>
      </w:r>
      <w:bookmarkEnd w:id="48"/>
      <w:r w:rsidRPr="00BA6BDC">
        <w:t xml:space="preserve"> </w:t>
      </w:r>
      <w:bookmarkEnd w:id="49"/>
    </w:p>
    <w:p w14:paraId="316AFE99" w14:textId="74EBD152" w:rsidR="00822661" w:rsidRPr="00BA6BDC" w:rsidRDefault="00822661" w:rsidP="00822661">
      <w:pPr>
        <w:rPr>
          <w:iCs/>
        </w:rPr>
      </w:pPr>
      <w:r w:rsidRPr="00BA6BDC">
        <w:rPr>
          <w:iCs/>
        </w:rPr>
        <w:t xml:space="preserve">In clinical studies, more than 13,000 subjects (from 2 months through 98 years of age) received at least one dose of </w:t>
      </w:r>
      <w:proofErr w:type="spellStart"/>
      <w:r w:rsidR="00882323" w:rsidRPr="00BA6BDC">
        <w:rPr>
          <w:iCs/>
        </w:rPr>
        <w:t>Verorab</w:t>
      </w:r>
      <w:proofErr w:type="spellEnd"/>
      <w:r w:rsidRPr="00BA6BDC">
        <w:rPr>
          <w:iCs/>
        </w:rPr>
        <w:t>.</w:t>
      </w:r>
    </w:p>
    <w:p w14:paraId="1102F2DF" w14:textId="3C8AFF8E" w:rsidR="00822661" w:rsidRPr="00BA6BDC" w:rsidRDefault="00822661" w:rsidP="00B5279C">
      <w:pPr>
        <w:autoSpaceDE w:val="0"/>
        <w:autoSpaceDN w:val="0"/>
        <w:adjustRightInd w:val="0"/>
        <w:rPr>
          <w:iCs/>
        </w:rPr>
      </w:pPr>
      <w:r w:rsidRPr="00BA6BDC">
        <w:rPr>
          <w:iCs/>
        </w:rPr>
        <w:t xml:space="preserve">A pooled analysis has been performed on </w:t>
      </w:r>
      <w:r w:rsidR="00DE672B" w:rsidRPr="00BA6BDC">
        <w:rPr>
          <w:iCs/>
        </w:rPr>
        <w:t>4</w:t>
      </w:r>
      <w:r w:rsidRPr="00BA6BDC">
        <w:rPr>
          <w:iCs/>
        </w:rPr>
        <w:t xml:space="preserve"> </w:t>
      </w:r>
      <w:proofErr w:type="spellStart"/>
      <w:r w:rsidRPr="00BA6BDC">
        <w:rPr>
          <w:iCs/>
        </w:rPr>
        <w:t>random</w:t>
      </w:r>
      <w:r w:rsidR="004635C5" w:rsidRPr="00BA6BDC">
        <w:rPr>
          <w:iCs/>
        </w:rPr>
        <w:t>ise</w:t>
      </w:r>
      <w:r w:rsidRPr="00BA6BDC">
        <w:rPr>
          <w:iCs/>
        </w:rPr>
        <w:t>d</w:t>
      </w:r>
      <w:proofErr w:type="spellEnd"/>
      <w:r w:rsidRPr="00BA6BDC">
        <w:rPr>
          <w:iCs/>
        </w:rPr>
        <w:t xml:space="preserve">, controlled clinical studies sharing the same safety standards, integrating data from </w:t>
      </w:r>
      <w:r w:rsidR="00DE672B" w:rsidRPr="00BA6BDC">
        <w:rPr>
          <w:iCs/>
        </w:rPr>
        <w:t>1151</w:t>
      </w:r>
      <w:r w:rsidRPr="00BA6BDC">
        <w:rPr>
          <w:iCs/>
        </w:rPr>
        <w:t xml:space="preserve"> subjects (17 infants/toddlers younger than 24 months of age, </w:t>
      </w:r>
      <w:r w:rsidR="00DE672B" w:rsidRPr="00BA6BDC">
        <w:rPr>
          <w:iCs/>
        </w:rPr>
        <w:t xml:space="preserve">510 </w:t>
      </w:r>
      <w:r w:rsidRPr="00BA6BDC">
        <w:rPr>
          <w:iCs/>
        </w:rPr>
        <w:t xml:space="preserve">children and adolescents and </w:t>
      </w:r>
      <w:r w:rsidR="00DE672B" w:rsidRPr="00BA6BDC">
        <w:rPr>
          <w:iCs/>
        </w:rPr>
        <w:t xml:space="preserve">624 </w:t>
      </w:r>
      <w:r w:rsidRPr="00BA6BDC">
        <w:rPr>
          <w:iCs/>
        </w:rPr>
        <w:t xml:space="preserve">adults from 18 through 60 years of age). In </w:t>
      </w:r>
      <w:r w:rsidR="00DE672B" w:rsidRPr="00BA6BDC">
        <w:rPr>
          <w:iCs/>
        </w:rPr>
        <w:t xml:space="preserve">these </w:t>
      </w:r>
      <w:r w:rsidRPr="00BA6BDC">
        <w:rPr>
          <w:iCs/>
        </w:rPr>
        <w:t xml:space="preserve">studies, the vaccine was given </w:t>
      </w:r>
      <w:r w:rsidR="00DE672B" w:rsidRPr="00BA6BDC">
        <w:rPr>
          <w:iCs/>
        </w:rPr>
        <w:t>by intramuscular route (N=477) or by intradermal route (N=674). In one of the studies using intradermal route</w:t>
      </w:r>
      <w:r w:rsidRPr="00BA6BDC">
        <w:rPr>
          <w:iCs/>
        </w:rPr>
        <w:t xml:space="preserve"> (N=599), most of </w:t>
      </w:r>
      <w:r w:rsidR="000472B1" w:rsidRPr="00BA6BDC">
        <w:rPr>
          <w:iCs/>
        </w:rPr>
        <w:t xml:space="preserve">the subjects </w:t>
      </w:r>
      <w:r w:rsidRPr="00BA6BDC">
        <w:rPr>
          <w:iCs/>
        </w:rPr>
        <w:t xml:space="preserve">received Equine Rabies Immunoglobulin (ERIG) concurrently with the first dose of </w:t>
      </w:r>
      <w:proofErr w:type="spellStart"/>
      <w:r w:rsidR="00882323" w:rsidRPr="00BA6BDC">
        <w:rPr>
          <w:iCs/>
        </w:rPr>
        <w:t>Verorab</w:t>
      </w:r>
      <w:proofErr w:type="spellEnd"/>
      <w:r w:rsidRPr="00BA6BDC">
        <w:rPr>
          <w:iCs/>
        </w:rPr>
        <w:t>.</w:t>
      </w:r>
    </w:p>
    <w:p w14:paraId="392BFDD9" w14:textId="77777777" w:rsidR="00822661" w:rsidRPr="00BA6BDC" w:rsidRDefault="00822661" w:rsidP="00822661">
      <w:pPr>
        <w:autoSpaceDE w:val="0"/>
        <w:autoSpaceDN w:val="0"/>
        <w:adjustRightInd w:val="0"/>
        <w:spacing w:before="0"/>
        <w:rPr>
          <w:noProof/>
        </w:rPr>
      </w:pPr>
    </w:p>
    <w:p w14:paraId="67B64772" w14:textId="77777777" w:rsidR="00822661" w:rsidRPr="00BA6BDC" w:rsidRDefault="00822661" w:rsidP="00822661">
      <w:pPr>
        <w:autoSpaceDE w:val="0"/>
        <w:autoSpaceDN w:val="0"/>
        <w:adjustRightInd w:val="0"/>
        <w:spacing w:before="0"/>
        <w:rPr>
          <w:iCs/>
        </w:rPr>
      </w:pPr>
      <w:r w:rsidRPr="00BA6BDC">
        <w:rPr>
          <w:iCs/>
        </w:rPr>
        <w:t>The adverse reactions were generally of mild intensity and appeared within 3 days after vaccination. Most reactions resolved spontaneously within 1 to 3 days after onset.</w:t>
      </w:r>
      <w:r w:rsidRPr="00BA6BDC" w:rsidDel="00CF019A">
        <w:rPr>
          <w:b/>
          <w:lang w:val="en-GB"/>
        </w:rPr>
        <w:t xml:space="preserve"> </w:t>
      </w:r>
      <w:r w:rsidRPr="00BA6BDC">
        <w:rPr>
          <w:iCs/>
        </w:rPr>
        <w:t xml:space="preserve">Most frequent systemic adverse reactions in all age groups (except infants/toddlers) were headache, </w:t>
      </w:r>
      <w:proofErr w:type="gramStart"/>
      <w:r w:rsidRPr="00BA6BDC">
        <w:rPr>
          <w:iCs/>
        </w:rPr>
        <w:t>malaise</w:t>
      </w:r>
      <w:proofErr w:type="gramEnd"/>
      <w:r w:rsidRPr="00BA6BDC">
        <w:rPr>
          <w:iCs/>
        </w:rPr>
        <w:t xml:space="preserve"> and myalgia. Injection site reactions (pain, erythema and swelling) were more frequent following ID injection compared to IM injection. Injection site pain was the most frequent injection site reactions for both routes of administration.</w:t>
      </w:r>
    </w:p>
    <w:p w14:paraId="56DFC38B" w14:textId="77777777" w:rsidR="00822661" w:rsidRPr="00BA6BDC" w:rsidRDefault="00822661" w:rsidP="00822661">
      <w:pPr>
        <w:autoSpaceDE w:val="0"/>
        <w:autoSpaceDN w:val="0"/>
        <w:adjustRightInd w:val="0"/>
        <w:spacing w:before="0"/>
        <w:rPr>
          <w:iCs/>
        </w:rPr>
      </w:pPr>
    </w:p>
    <w:p w14:paraId="615D913F" w14:textId="012487FF" w:rsidR="00822661" w:rsidRPr="00BA6BDC" w:rsidRDefault="00822661" w:rsidP="00822661">
      <w:pPr>
        <w:autoSpaceDE w:val="0"/>
        <w:autoSpaceDN w:val="0"/>
        <w:adjustRightInd w:val="0"/>
        <w:spacing w:before="0"/>
        <w:rPr>
          <w:lang w:eastAsia="fr-FR"/>
        </w:rPr>
      </w:pPr>
      <w:r w:rsidRPr="00BA6BDC">
        <w:rPr>
          <w:bCs/>
          <w:lang w:val="en-GB"/>
        </w:rPr>
        <w:t xml:space="preserve">The table below presents the frequencies of </w:t>
      </w:r>
      <w:bookmarkStart w:id="50" w:name="_Hlk32563123"/>
      <w:r w:rsidRPr="00BA6BDC">
        <w:rPr>
          <w:lang w:eastAsia="fr-FR"/>
        </w:rPr>
        <w:t xml:space="preserve">solicited adverse reaction </w:t>
      </w:r>
      <w:bookmarkEnd w:id="50"/>
      <w:r w:rsidRPr="00BA6BDC">
        <w:rPr>
          <w:lang w:eastAsia="fr-FR"/>
        </w:rPr>
        <w:t xml:space="preserve">(recorded within 7 days) and unsolicited adverse reactions (recorded within 28 days), reported following any dose of </w:t>
      </w:r>
      <w:proofErr w:type="spellStart"/>
      <w:r w:rsidR="00882323" w:rsidRPr="00BA6BDC">
        <w:rPr>
          <w:lang w:eastAsia="fr-FR"/>
        </w:rPr>
        <w:t>Verorab</w:t>
      </w:r>
      <w:proofErr w:type="spellEnd"/>
      <w:r w:rsidRPr="00BA6BDC">
        <w:rPr>
          <w:lang w:eastAsia="fr-FR"/>
        </w:rPr>
        <w:t>.</w:t>
      </w:r>
      <w:r w:rsidR="004635C5" w:rsidRPr="00BA6BDC">
        <w:rPr>
          <w:lang w:eastAsia="fr-FR"/>
        </w:rPr>
        <w:t xml:space="preserve"> </w:t>
      </w:r>
      <w:r w:rsidRPr="00BA6BDC">
        <w:rPr>
          <w:lang w:eastAsia="fr-FR"/>
        </w:rPr>
        <w:t>Injection site reaction are presented according to the route of administration (IM or ID). The systemic reactions are presented grouped.</w:t>
      </w:r>
      <w:r w:rsidR="004635C5" w:rsidRPr="00BA6BDC">
        <w:rPr>
          <w:lang w:eastAsia="fr-FR"/>
        </w:rPr>
        <w:t xml:space="preserve"> </w:t>
      </w:r>
    </w:p>
    <w:p w14:paraId="7A988002" w14:textId="77777777" w:rsidR="00822661" w:rsidRPr="00BA6BDC" w:rsidRDefault="00822661" w:rsidP="00822661">
      <w:pPr>
        <w:autoSpaceDE w:val="0"/>
        <w:autoSpaceDN w:val="0"/>
        <w:adjustRightInd w:val="0"/>
        <w:spacing w:before="0"/>
        <w:rPr>
          <w:iCs/>
        </w:rPr>
      </w:pPr>
    </w:p>
    <w:p w14:paraId="16D610DD" w14:textId="73B8089C" w:rsidR="002C5674" w:rsidRPr="00BA6BDC" w:rsidRDefault="002C5674" w:rsidP="002C5674">
      <w:pPr>
        <w:pStyle w:val="Caption"/>
      </w:pPr>
      <w:r w:rsidRPr="00BA6BDC">
        <w:lastRenderedPageBreak/>
        <w:t>Table </w:t>
      </w:r>
      <w:r w:rsidRPr="00BA6BDC">
        <w:fldChar w:fldCharType="begin"/>
      </w:r>
      <w:r w:rsidRPr="00BA6BDC">
        <w:instrText xml:space="preserve"> SEQ Table \* ARABIC </w:instrText>
      </w:r>
      <w:r w:rsidRPr="00BA6BDC">
        <w:fldChar w:fldCharType="separate"/>
      </w:r>
      <w:r w:rsidR="00366C42">
        <w:rPr>
          <w:noProof/>
        </w:rPr>
        <w:t>5</w:t>
      </w:r>
      <w:r w:rsidRPr="00BA6BDC">
        <w:fldChar w:fldCharType="end"/>
      </w:r>
      <w:r w:rsidRPr="00BA6BDC">
        <w:t xml:space="preserve"> ­ Solicited and Unsolicited Systemic and Injection Site Adverse Reactions up to 28 days after </w:t>
      </w:r>
      <w:r w:rsidRPr="00BA6BDC">
        <w:rPr>
          <w:lang w:eastAsia="fr-FR"/>
        </w:rPr>
        <w:t xml:space="preserve">any dose of </w:t>
      </w:r>
      <w:proofErr w:type="spellStart"/>
      <w:r w:rsidRPr="00BA6BDC">
        <w:rPr>
          <w:lang w:eastAsia="fr-FR"/>
        </w:rPr>
        <w:t>Verorab</w:t>
      </w:r>
      <w:proofErr w:type="spellEnd"/>
      <w:r w:rsidR="000472B1" w:rsidRPr="00BA6BDC">
        <w:rPr>
          <w:lang w:eastAsia="fr-FR"/>
        </w:rPr>
        <w:t xml:space="preserve"> </w:t>
      </w:r>
      <w:r w:rsidRPr="00BA6BDC">
        <w:rPr>
          <w:lang w:eastAsia="fr-FR"/>
        </w:rPr>
        <w:t>(pooled safety analysis)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9"/>
        <w:gridCol w:w="1902"/>
        <w:gridCol w:w="3918"/>
      </w:tblGrid>
      <w:tr w:rsidR="002C5674" w:rsidRPr="00BA6BDC" w14:paraId="7F95C0BB" w14:textId="77777777" w:rsidTr="002C5674">
        <w:trPr>
          <w:cantSplit/>
          <w:trHeight w:val="645"/>
          <w:tblHeader/>
          <w:jc w:val="center"/>
        </w:trPr>
        <w:tc>
          <w:tcPr>
            <w:tcW w:w="0" w:type="auto"/>
            <w:shd w:val="clear" w:color="auto" w:fill="auto"/>
          </w:tcPr>
          <w:p w14:paraId="4773D685" w14:textId="77777777" w:rsidR="00822661" w:rsidRPr="00BA6BDC" w:rsidRDefault="00822661" w:rsidP="002C5674">
            <w:pPr>
              <w:pStyle w:val="TblHeadingCenter"/>
              <w:rPr>
                <w:iCs/>
              </w:rPr>
            </w:pPr>
            <w:r w:rsidRPr="00BA6BDC">
              <w:t>Adverse Reactions</w:t>
            </w:r>
          </w:p>
        </w:tc>
        <w:tc>
          <w:tcPr>
            <w:tcW w:w="1902" w:type="dxa"/>
            <w:shd w:val="clear" w:color="auto" w:fill="auto"/>
          </w:tcPr>
          <w:p w14:paraId="41F987A7" w14:textId="77777777" w:rsidR="00822661" w:rsidRPr="00BA6BDC" w:rsidRDefault="00822661" w:rsidP="002C5674">
            <w:pPr>
              <w:pStyle w:val="TblHeadingCenter"/>
              <w:rPr>
                <w:rFonts w:ascii="Arial Narrow" w:hAnsi="Arial Narrow" w:cs="Times New Roman"/>
                <w:b w:val="0"/>
                <w:noProof w:val="0"/>
                <w:lang w:val="en-US"/>
              </w:rPr>
            </w:pPr>
            <w:r w:rsidRPr="00BA6BDC">
              <w:t xml:space="preserve">Adults </w:t>
            </w:r>
            <w:r w:rsidRPr="00BA6BDC">
              <w:br/>
            </w:r>
            <w:r w:rsidRPr="00BA6BDC">
              <w:rPr>
                <w:rFonts w:ascii="Arial Narrow" w:hAnsi="Arial Narrow" w:cs="Times New Roman"/>
                <w:b w:val="0"/>
                <w:noProof w:val="0"/>
                <w:lang w:val="en-US"/>
              </w:rPr>
              <w:t>18 years and older</w:t>
            </w:r>
          </w:p>
          <w:p w14:paraId="1CD5FB9E" w14:textId="299B56B7" w:rsidR="00822661" w:rsidRPr="00BA6BDC" w:rsidRDefault="00822661" w:rsidP="002C5674">
            <w:pPr>
              <w:pStyle w:val="TblHeadingCenter"/>
              <w:rPr>
                <w:iCs/>
                <w:vertAlign w:val="superscript"/>
              </w:rPr>
            </w:pPr>
            <w:r w:rsidRPr="00BA6BDC">
              <w:rPr>
                <w:rFonts w:ascii="Arial Narrow" w:hAnsi="Arial Narrow" w:cs="Times New Roman"/>
                <w:b w:val="0"/>
                <w:noProof w:val="0"/>
                <w:lang w:val="en-US"/>
              </w:rPr>
              <w:t>N=</w:t>
            </w:r>
            <w:r w:rsidR="00DE672B" w:rsidRPr="00BA6BDC">
              <w:rPr>
                <w:rFonts w:ascii="Arial Narrow" w:hAnsi="Arial Narrow" w:cs="Times New Roman"/>
                <w:b w:val="0"/>
                <w:noProof w:val="0"/>
                <w:lang w:val="en-US"/>
              </w:rPr>
              <w:t>624</w:t>
            </w:r>
            <w:r w:rsidR="00DE672B" w:rsidRPr="00BA6BDC">
              <w:rPr>
                <w:rFonts w:ascii="Arial Narrow" w:hAnsi="Arial Narrow" w:cs="Times New Roman"/>
                <w:b w:val="0"/>
                <w:noProof w:val="0"/>
                <w:vertAlign w:val="superscript"/>
                <w:lang w:val="en-US"/>
              </w:rPr>
              <w:t>(a)</w:t>
            </w:r>
          </w:p>
        </w:tc>
        <w:tc>
          <w:tcPr>
            <w:tcW w:w="3918" w:type="dxa"/>
            <w:shd w:val="clear" w:color="auto" w:fill="auto"/>
          </w:tcPr>
          <w:p w14:paraId="7E8B7565" w14:textId="727C54F1" w:rsidR="002C5674" w:rsidRPr="00BA6BDC" w:rsidRDefault="00822661" w:rsidP="002C5674">
            <w:pPr>
              <w:pStyle w:val="TblHeadingCenter"/>
            </w:pPr>
            <w:r w:rsidRPr="00BA6BDC">
              <w:rPr>
                <w:bCs/>
              </w:rPr>
              <w:t>P</w:t>
            </w:r>
            <w:r w:rsidR="005D288D" w:rsidRPr="006D26BB">
              <w:rPr>
                <w:bCs/>
              </w:rPr>
              <w:t>a</w:t>
            </w:r>
            <w:r w:rsidRPr="00BA6BDC">
              <w:rPr>
                <w:bCs/>
              </w:rPr>
              <w:t>ediatric population</w:t>
            </w:r>
            <w:r w:rsidR="004635C5" w:rsidRPr="00BA6BDC">
              <w:t xml:space="preserve"> </w:t>
            </w:r>
          </w:p>
          <w:p w14:paraId="5822B018" w14:textId="3BAD3307" w:rsidR="00822661" w:rsidRPr="00BA6BDC" w:rsidRDefault="00822661" w:rsidP="002C5674">
            <w:pPr>
              <w:pStyle w:val="TblHeadingCenter"/>
              <w:rPr>
                <w:rFonts w:ascii="Arial Narrow" w:hAnsi="Arial Narrow" w:cs="Times New Roman"/>
                <w:b w:val="0"/>
                <w:noProof w:val="0"/>
                <w:lang w:val="en-US"/>
              </w:rPr>
            </w:pPr>
            <w:r w:rsidRPr="00BA6BDC">
              <w:rPr>
                <w:rFonts w:ascii="Arial Narrow" w:hAnsi="Arial Narrow" w:cs="Times New Roman"/>
                <w:b w:val="0"/>
                <w:noProof w:val="0"/>
                <w:lang w:val="en-US"/>
              </w:rPr>
              <w:t xml:space="preserve">Less than 18 years old </w:t>
            </w:r>
          </w:p>
          <w:p w14:paraId="45CA5E70" w14:textId="475A6D17" w:rsidR="00822661" w:rsidRPr="00BA6BDC" w:rsidRDefault="00822661" w:rsidP="002C5674">
            <w:pPr>
              <w:pStyle w:val="TblHeadingCenter"/>
            </w:pPr>
            <w:r w:rsidRPr="00BA6BDC">
              <w:rPr>
                <w:rFonts w:ascii="Arial Narrow" w:hAnsi="Arial Narrow" w:cs="Times New Roman"/>
                <w:b w:val="0"/>
                <w:noProof w:val="0"/>
                <w:lang w:val="en-US"/>
              </w:rPr>
              <w:t>N=</w:t>
            </w:r>
            <w:r w:rsidR="00DE672B" w:rsidRPr="00BA6BDC">
              <w:rPr>
                <w:rFonts w:ascii="Arial Narrow" w:hAnsi="Arial Narrow" w:cs="Times New Roman"/>
                <w:b w:val="0"/>
                <w:noProof w:val="0"/>
                <w:lang w:val="en-US"/>
              </w:rPr>
              <w:t>527</w:t>
            </w:r>
            <w:r w:rsidR="00DE672B" w:rsidRPr="00BA6BDC">
              <w:rPr>
                <w:rFonts w:ascii="Arial Narrow" w:hAnsi="Arial Narrow" w:cs="Times New Roman"/>
                <w:b w:val="0"/>
                <w:noProof w:val="0"/>
                <w:vertAlign w:val="superscript"/>
                <w:lang w:val="en-US"/>
              </w:rPr>
              <w:t>(b)</w:t>
            </w:r>
            <w:r w:rsidRPr="00BA6BDC">
              <w:rPr>
                <w:rFonts w:ascii="Arial Narrow" w:hAnsi="Arial Narrow" w:cs="Times New Roman"/>
                <w:b w:val="0"/>
                <w:noProof w:val="0"/>
                <w:lang w:val="en-US"/>
              </w:rPr>
              <w:t>, including 17 subjects younger than 24 months of age</w:t>
            </w:r>
          </w:p>
        </w:tc>
      </w:tr>
      <w:tr w:rsidR="002C5674" w:rsidRPr="00BA6BDC" w14:paraId="34E0AB52" w14:textId="77777777" w:rsidTr="002C5674">
        <w:trPr>
          <w:cantSplit/>
          <w:jc w:val="center"/>
        </w:trPr>
        <w:tc>
          <w:tcPr>
            <w:tcW w:w="0" w:type="auto"/>
            <w:shd w:val="clear" w:color="auto" w:fill="auto"/>
          </w:tcPr>
          <w:p w14:paraId="2F0FC22B" w14:textId="77777777" w:rsidR="00822661" w:rsidRPr="00BA6BDC" w:rsidRDefault="00822661" w:rsidP="002C5674">
            <w:pPr>
              <w:pStyle w:val="TblTextCenter"/>
            </w:pPr>
          </w:p>
        </w:tc>
        <w:tc>
          <w:tcPr>
            <w:tcW w:w="1902" w:type="dxa"/>
            <w:shd w:val="clear" w:color="auto" w:fill="auto"/>
          </w:tcPr>
          <w:p w14:paraId="0A98A565" w14:textId="77777777" w:rsidR="00822661" w:rsidRPr="00BA6BDC" w:rsidRDefault="00822661" w:rsidP="002C5674">
            <w:pPr>
              <w:pStyle w:val="TblTextCenter"/>
            </w:pPr>
            <w:r w:rsidRPr="00BA6BDC">
              <w:t xml:space="preserve">% </w:t>
            </w:r>
            <w:r w:rsidRPr="00BA6BDC">
              <w:rPr>
                <w:rFonts w:ascii="Wingdings 2" w:eastAsia="Wingdings 2" w:hAnsi="Wingdings 2" w:cs="Wingdings 2"/>
              </w:rPr>
              <w:t>□</w:t>
            </w:r>
            <w:r w:rsidRPr="00BA6BDC">
              <w:t xml:space="preserve"> - Frequency</w:t>
            </w:r>
          </w:p>
        </w:tc>
        <w:tc>
          <w:tcPr>
            <w:tcW w:w="3918" w:type="dxa"/>
            <w:shd w:val="clear" w:color="auto" w:fill="auto"/>
          </w:tcPr>
          <w:p w14:paraId="1D0DC8E5" w14:textId="77777777" w:rsidR="00822661" w:rsidRPr="00BA6BDC" w:rsidRDefault="00822661" w:rsidP="002C5674">
            <w:pPr>
              <w:pStyle w:val="TblTextCenter"/>
            </w:pPr>
            <w:r w:rsidRPr="00BA6BDC">
              <w:t xml:space="preserve">% </w:t>
            </w:r>
            <w:r w:rsidRPr="00BA6BDC">
              <w:rPr>
                <w:rFonts w:ascii="Wingdings 2" w:eastAsia="Wingdings 2" w:hAnsi="Wingdings 2" w:cs="Wingdings 2"/>
              </w:rPr>
              <w:t>□</w:t>
            </w:r>
            <w:r w:rsidRPr="00BA6BDC">
              <w:t xml:space="preserve"> - Frequency</w:t>
            </w:r>
          </w:p>
        </w:tc>
      </w:tr>
      <w:tr w:rsidR="00822661" w:rsidRPr="00BA6BDC" w14:paraId="2357EC1B" w14:textId="77777777" w:rsidTr="002C5674">
        <w:trPr>
          <w:cantSplit/>
          <w:jc w:val="center"/>
        </w:trPr>
        <w:tc>
          <w:tcPr>
            <w:tcW w:w="0" w:type="auto"/>
            <w:gridSpan w:val="3"/>
            <w:shd w:val="clear" w:color="auto" w:fill="auto"/>
          </w:tcPr>
          <w:p w14:paraId="2A19301F" w14:textId="52EC7A59" w:rsidR="00822661" w:rsidRPr="00BA6BDC" w:rsidRDefault="00822661" w:rsidP="002C5674">
            <w:pPr>
              <w:pStyle w:val="TblTextCenter"/>
              <w:jc w:val="left"/>
              <w:rPr>
                <w:b/>
                <w:bCs/>
              </w:rPr>
            </w:pPr>
            <w:r w:rsidRPr="00BA6BDC">
              <w:rPr>
                <w:b/>
                <w:bCs/>
              </w:rPr>
              <w:t>SOC:</w:t>
            </w:r>
            <w:r w:rsidR="004635C5" w:rsidRPr="00BA6BDC">
              <w:rPr>
                <w:b/>
                <w:bCs/>
              </w:rPr>
              <w:t xml:space="preserve"> </w:t>
            </w:r>
            <w:r w:rsidRPr="00BA6BDC">
              <w:rPr>
                <w:b/>
                <w:bCs/>
              </w:rPr>
              <w:t>Blood and lymphatic system disorders</w:t>
            </w:r>
          </w:p>
        </w:tc>
      </w:tr>
      <w:tr w:rsidR="002C5674" w:rsidRPr="00BA6BDC" w14:paraId="33733209" w14:textId="77777777" w:rsidTr="002C5674">
        <w:trPr>
          <w:cantSplit/>
          <w:jc w:val="center"/>
        </w:trPr>
        <w:tc>
          <w:tcPr>
            <w:tcW w:w="0" w:type="auto"/>
            <w:shd w:val="clear" w:color="auto" w:fill="auto"/>
          </w:tcPr>
          <w:p w14:paraId="7F098F49" w14:textId="77777777" w:rsidR="00822661" w:rsidRPr="00BA6BDC" w:rsidRDefault="00822661" w:rsidP="002C5674">
            <w:pPr>
              <w:pStyle w:val="TblTextCenter"/>
            </w:pPr>
            <w:r w:rsidRPr="00BA6BDC">
              <w:t>Lymphadenopathy</w:t>
            </w:r>
          </w:p>
        </w:tc>
        <w:tc>
          <w:tcPr>
            <w:tcW w:w="1902" w:type="dxa"/>
            <w:shd w:val="clear" w:color="auto" w:fill="auto"/>
          </w:tcPr>
          <w:p w14:paraId="2CCAEEAA" w14:textId="7317F78D" w:rsidR="00822661" w:rsidRPr="00BA6BDC" w:rsidRDefault="00822661" w:rsidP="002C5674">
            <w:pPr>
              <w:pStyle w:val="TblTextCenter"/>
            </w:pPr>
            <w:r w:rsidRPr="00BA6BDC">
              <w:t>Common - 1.</w:t>
            </w:r>
            <w:r w:rsidR="00DE672B" w:rsidRPr="00BA6BDC">
              <w:t>0</w:t>
            </w:r>
            <w:r w:rsidRPr="00BA6BDC">
              <w:t xml:space="preserve"> %</w:t>
            </w:r>
          </w:p>
        </w:tc>
        <w:tc>
          <w:tcPr>
            <w:tcW w:w="3918" w:type="dxa"/>
            <w:shd w:val="clear" w:color="auto" w:fill="auto"/>
          </w:tcPr>
          <w:p w14:paraId="0032AF14" w14:textId="7980C126" w:rsidR="00822661" w:rsidRPr="00BA6BDC" w:rsidRDefault="00822661" w:rsidP="002C5674">
            <w:pPr>
              <w:pStyle w:val="TblTextCenter"/>
            </w:pPr>
            <w:r w:rsidRPr="00BA6BDC">
              <w:t>Common - 1.</w:t>
            </w:r>
            <w:r w:rsidR="00DE672B" w:rsidRPr="00BA6BDC">
              <w:t>1</w:t>
            </w:r>
            <w:r w:rsidRPr="00BA6BDC">
              <w:t xml:space="preserve"> %</w:t>
            </w:r>
          </w:p>
        </w:tc>
      </w:tr>
      <w:tr w:rsidR="00822661" w:rsidRPr="00BA6BDC" w14:paraId="4A3EDA32" w14:textId="77777777" w:rsidTr="002C5674">
        <w:trPr>
          <w:cantSplit/>
          <w:jc w:val="center"/>
        </w:trPr>
        <w:tc>
          <w:tcPr>
            <w:tcW w:w="0" w:type="auto"/>
            <w:gridSpan w:val="3"/>
            <w:shd w:val="clear" w:color="auto" w:fill="auto"/>
          </w:tcPr>
          <w:p w14:paraId="65535DB5" w14:textId="77777777" w:rsidR="00822661" w:rsidRPr="00BA6BDC" w:rsidRDefault="00822661" w:rsidP="002C5674">
            <w:pPr>
              <w:pStyle w:val="TblTextCenter"/>
              <w:jc w:val="left"/>
              <w:rPr>
                <w:b/>
                <w:bCs/>
              </w:rPr>
            </w:pPr>
            <w:r w:rsidRPr="00BA6BDC">
              <w:rPr>
                <w:b/>
                <w:bCs/>
              </w:rPr>
              <w:t>SOC: Immune system disorders</w:t>
            </w:r>
          </w:p>
        </w:tc>
      </w:tr>
      <w:tr w:rsidR="002C5674" w:rsidRPr="00BA6BDC" w14:paraId="04C55607" w14:textId="77777777" w:rsidTr="002C5674">
        <w:trPr>
          <w:cantSplit/>
          <w:jc w:val="center"/>
        </w:trPr>
        <w:tc>
          <w:tcPr>
            <w:tcW w:w="0" w:type="auto"/>
            <w:shd w:val="clear" w:color="auto" w:fill="auto"/>
          </w:tcPr>
          <w:p w14:paraId="68458A27" w14:textId="77777777" w:rsidR="00822661" w:rsidRPr="00BA6BDC" w:rsidRDefault="00822661" w:rsidP="002C5674">
            <w:pPr>
              <w:pStyle w:val="TblTextCenter"/>
            </w:pPr>
            <w:r w:rsidRPr="00BA6BDC">
              <w:t>Hypersensitivity reactions (</w:t>
            </w:r>
            <w:proofErr w:type="gramStart"/>
            <w:r w:rsidRPr="00BA6BDC">
              <w:t>e.g.</w:t>
            </w:r>
            <w:proofErr w:type="gramEnd"/>
            <w:r w:rsidRPr="00BA6BDC">
              <w:t xml:space="preserve"> rash, urticaria, pruritus)</w:t>
            </w:r>
          </w:p>
        </w:tc>
        <w:tc>
          <w:tcPr>
            <w:tcW w:w="1902" w:type="dxa"/>
            <w:shd w:val="clear" w:color="auto" w:fill="auto"/>
          </w:tcPr>
          <w:p w14:paraId="4ED1D9C7" w14:textId="5B7EC26B" w:rsidR="00822661" w:rsidRPr="00BA6BDC" w:rsidRDefault="00822661" w:rsidP="002C5674">
            <w:pPr>
              <w:pStyle w:val="TblTextCenter"/>
            </w:pPr>
            <w:r w:rsidRPr="00BA6BDC">
              <w:t>Uncommon – 0.</w:t>
            </w:r>
            <w:r w:rsidR="00DE672B" w:rsidRPr="00BA6BDC">
              <w:t>8</w:t>
            </w:r>
            <w:r w:rsidRPr="00BA6BDC">
              <w:t xml:space="preserve"> %</w:t>
            </w:r>
          </w:p>
        </w:tc>
        <w:tc>
          <w:tcPr>
            <w:tcW w:w="3918" w:type="dxa"/>
            <w:shd w:val="clear" w:color="auto" w:fill="auto"/>
          </w:tcPr>
          <w:p w14:paraId="639C7870" w14:textId="28F56734" w:rsidR="00822661" w:rsidRPr="00BA6BDC" w:rsidRDefault="00822661" w:rsidP="002C5674">
            <w:pPr>
              <w:pStyle w:val="TblTextCenter"/>
            </w:pPr>
            <w:r w:rsidRPr="00BA6BDC">
              <w:t>Uncommon – 0.</w:t>
            </w:r>
            <w:r w:rsidR="00DE672B" w:rsidRPr="00BA6BDC">
              <w:t>6</w:t>
            </w:r>
            <w:r w:rsidRPr="00BA6BDC">
              <w:t>%</w:t>
            </w:r>
          </w:p>
        </w:tc>
      </w:tr>
      <w:tr w:rsidR="00822661" w:rsidRPr="00BA6BDC" w14:paraId="158FF9BF" w14:textId="77777777" w:rsidTr="002C5674">
        <w:trPr>
          <w:cantSplit/>
          <w:jc w:val="center"/>
        </w:trPr>
        <w:tc>
          <w:tcPr>
            <w:tcW w:w="0" w:type="auto"/>
            <w:gridSpan w:val="3"/>
            <w:shd w:val="clear" w:color="auto" w:fill="auto"/>
          </w:tcPr>
          <w:p w14:paraId="21820F41" w14:textId="77777777" w:rsidR="00822661" w:rsidRPr="00BA6BDC" w:rsidRDefault="00822661" w:rsidP="002C5674">
            <w:pPr>
              <w:pStyle w:val="TblTextCenter"/>
              <w:jc w:val="left"/>
              <w:rPr>
                <w:b/>
                <w:bCs/>
              </w:rPr>
            </w:pPr>
            <w:r w:rsidRPr="00BA6BDC">
              <w:rPr>
                <w:b/>
                <w:bCs/>
              </w:rPr>
              <w:t>SOC: Gastrointestinal disorders</w:t>
            </w:r>
          </w:p>
        </w:tc>
      </w:tr>
      <w:tr w:rsidR="002C5674" w:rsidRPr="00BA6BDC" w14:paraId="5185E81D" w14:textId="77777777" w:rsidTr="002C5674">
        <w:trPr>
          <w:cantSplit/>
          <w:jc w:val="center"/>
        </w:trPr>
        <w:tc>
          <w:tcPr>
            <w:tcW w:w="0" w:type="auto"/>
            <w:shd w:val="clear" w:color="auto" w:fill="auto"/>
          </w:tcPr>
          <w:p w14:paraId="4F6CD2A7" w14:textId="77777777" w:rsidR="00822661" w:rsidRPr="00BA6BDC" w:rsidRDefault="00822661" w:rsidP="002C5674">
            <w:pPr>
              <w:pStyle w:val="TblTextCenter"/>
            </w:pPr>
            <w:r w:rsidRPr="00BA6BDC">
              <w:t>Nausea</w:t>
            </w:r>
          </w:p>
        </w:tc>
        <w:tc>
          <w:tcPr>
            <w:tcW w:w="1902" w:type="dxa"/>
            <w:shd w:val="clear" w:color="auto" w:fill="auto"/>
          </w:tcPr>
          <w:p w14:paraId="1CDA2856" w14:textId="77777777" w:rsidR="00822661" w:rsidRPr="00BA6BDC" w:rsidRDefault="00822661" w:rsidP="002C5674">
            <w:pPr>
              <w:pStyle w:val="TblTextCenter"/>
            </w:pPr>
            <w:r w:rsidRPr="00BA6BDC">
              <w:t>Uncommon – 0.2%</w:t>
            </w:r>
          </w:p>
        </w:tc>
        <w:tc>
          <w:tcPr>
            <w:tcW w:w="3918" w:type="dxa"/>
            <w:shd w:val="clear" w:color="auto" w:fill="auto"/>
          </w:tcPr>
          <w:p w14:paraId="784A32A5" w14:textId="77777777" w:rsidR="00822661" w:rsidRPr="00BA6BDC" w:rsidRDefault="00822661" w:rsidP="002C5674">
            <w:pPr>
              <w:pStyle w:val="TblTextCenter"/>
            </w:pPr>
            <w:r w:rsidRPr="00BA6BDC">
              <w:t>-</w:t>
            </w:r>
          </w:p>
        </w:tc>
      </w:tr>
      <w:tr w:rsidR="002C5674" w:rsidRPr="00BA6BDC" w14:paraId="7BDB0A89" w14:textId="77777777" w:rsidTr="002C5674">
        <w:trPr>
          <w:cantSplit/>
          <w:jc w:val="center"/>
        </w:trPr>
        <w:tc>
          <w:tcPr>
            <w:tcW w:w="0" w:type="auto"/>
            <w:shd w:val="clear" w:color="auto" w:fill="auto"/>
          </w:tcPr>
          <w:p w14:paraId="19268A43" w14:textId="77777777" w:rsidR="00822661" w:rsidRPr="00BA6BDC" w:rsidRDefault="00822661" w:rsidP="002C5674">
            <w:pPr>
              <w:pStyle w:val="TblTextCenter"/>
            </w:pPr>
            <w:r w:rsidRPr="00BA6BDC">
              <w:t>Abdominal pain</w:t>
            </w:r>
          </w:p>
        </w:tc>
        <w:tc>
          <w:tcPr>
            <w:tcW w:w="1902" w:type="dxa"/>
            <w:shd w:val="clear" w:color="auto" w:fill="auto"/>
          </w:tcPr>
          <w:p w14:paraId="7692EB20" w14:textId="77777777" w:rsidR="00822661" w:rsidRPr="00BA6BDC" w:rsidRDefault="00822661" w:rsidP="002C5674">
            <w:pPr>
              <w:pStyle w:val="TblTextCenter"/>
            </w:pPr>
            <w:r w:rsidRPr="00BA6BDC">
              <w:t>Uncommon – 0.2%</w:t>
            </w:r>
          </w:p>
        </w:tc>
        <w:tc>
          <w:tcPr>
            <w:tcW w:w="3918" w:type="dxa"/>
            <w:shd w:val="clear" w:color="auto" w:fill="auto"/>
          </w:tcPr>
          <w:p w14:paraId="7D533311" w14:textId="77777777" w:rsidR="00822661" w:rsidRPr="00BA6BDC" w:rsidRDefault="00822661" w:rsidP="002C5674">
            <w:pPr>
              <w:pStyle w:val="TblTextCenter"/>
            </w:pPr>
            <w:r w:rsidRPr="00BA6BDC">
              <w:t>Uncommon – 0.2%</w:t>
            </w:r>
          </w:p>
        </w:tc>
      </w:tr>
      <w:tr w:rsidR="002C5674" w:rsidRPr="00BA6BDC" w14:paraId="7B0A9C70" w14:textId="77777777" w:rsidTr="002C5674">
        <w:trPr>
          <w:cantSplit/>
          <w:jc w:val="center"/>
        </w:trPr>
        <w:tc>
          <w:tcPr>
            <w:tcW w:w="0" w:type="auto"/>
            <w:shd w:val="clear" w:color="auto" w:fill="auto"/>
          </w:tcPr>
          <w:p w14:paraId="1D30113F" w14:textId="77777777" w:rsidR="00822661" w:rsidRPr="00BA6BDC" w:rsidRDefault="00822661" w:rsidP="002C5674">
            <w:pPr>
              <w:pStyle w:val="TblTextCenter"/>
            </w:pPr>
            <w:r w:rsidRPr="00BA6BDC">
              <w:t>Diarrhea</w:t>
            </w:r>
          </w:p>
        </w:tc>
        <w:tc>
          <w:tcPr>
            <w:tcW w:w="1902" w:type="dxa"/>
            <w:shd w:val="clear" w:color="auto" w:fill="auto"/>
          </w:tcPr>
          <w:p w14:paraId="581271E1" w14:textId="6984F1AE" w:rsidR="00822661" w:rsidRPr="00BA6BDC" w:rsidRDefault="00822661" w:rsidP="002C5674">
            <w:pPr>
              <w:pStyle w:val="TblTextCenter"/>
            </w:pPr>
            <w:r w:rsidRPr="00BA6BDC">
              <w:t>Uncommon - 0.</w:t>
            </w:r>
            <w:r w:rsidR="00DE672B" w:rsidRPr="00BA6BDC">
              <w:t>3</w:t>
            </w:r>
            <w:r w:rsidRPr="00BA6BDC">
              <w:t xml:space="preserve"> %</w:t>
            </w:r>
          </w:p>
        </w:tc>
        <w:tc>
          <w:tcPr>
            <w:tcW w:w="3918" w:type="dxa"/>
            <w:shd w:val="clear" w:color="auto" w:fill="auto"/>
          </w:tcPr>
          <w:p w14:paraId="56A7B654" w14:textId="77777777" w:rsidR="00822661" w:rsidRPr="00BA6BDC" w:rsidRDefault="00822661" w:rsidP="002C5674">
            <w:pPr>
              <w:pStyle w:val="TblTextCenter"/>
            </w:pPr>
            <w:r w:rsidRPr="00BA6BDC">
              <w:t>-</w:t>
            </w:r>
          </w:p>
        </w:tc>
      </w:tr>
      <w:tr w:rsidR="002C5674" w:rsidRPr="00BA6BDC" w14:paraId="0EC42126" w14:textId="77777777" w:rsidTr="002C5674">
        <w:trPr>
          <w:cantSplit/>
          <w:jc w:val="center"/>
        </w:trPr>
        <w:tc>
          <w:tcPr>
            <w:tcW w:w="0" w:type="auto"/>
            <w:shd w:val="clear" w:color="auto" w:fill="auto"/>
          </w:tcPr>
          <w:p w14:paraId="6120726A" w14:textId="77777777" w:rsidR="00822661" w:rsidRPr="00BA6BDC" w:rsidRDefault="00822661" w:rsidP="002C5674">
            <w:pPr>
              <w:pStyle w:val="TblTextCenter"/>
            </w:pPr>
            <w:r w:rsidRPr="00BA6BDC">
              <w:t>Vomiting</w:t>
            </w:r>
          </w:p>
        </w:tc>
        <w:tc>
          <w:tcPr>
            <w:tcW w:w="1902" w:type="dxa"/>
            <w:shd w:val="clear" w:color="auto" w:fill="auto"/>
          </w:tcPr>
          <w:p w14:paraId="34D244EB" w14:textId="77777777" w:rsidR="00822661" w:rsidRPr="00BA6BDC" w:rsidRDefault="00822661" w:rsidP="002C5674">
            <w:pPr>
              <w:pStyle w:val="TblTextCenter"/>
            </w:pPr>
            <w:r w:rsidRPr="00BA6BDC">
              <w:t>-</w:t>
            </w:r>
          </w:p>
        </w:tc>
        <w:tc>
          <w:tcPr>
            <w:tcW w:w="3918" w:type="dxa"/>
            <w:shd w:val="clear" w:color="auto" w:fill="auto"/>
          </w:tcPr>
          <w:p w14:paraId="01AAC13E" w14:textId="2C389E77" w:rsidR="00822661" w:rsidRPr="00BA6BDC" w:rsidRDefault="00822661" w:rsidP="002C5674">
            <w:pPr>
              <w:pStyle w:val="TblTextCenter"/>
            </w:pPr>
            <w:r w:rsidRPr="00BA6BDC">
              <w:t>Uncommon – 0.</w:t>
            </w:r>
            <w:r w:rsidR="00DE672B" w:rsidRPr="00BA6BDC">
              <w:t>6</w:t>
            </w:r>
            <w:r w:rsidRPr="00BA6BDC">
              <w:t>%</w:t>
            </w:r>
          </w:p>
        </w:tc>
      </w:tr>
      <w:tr w:rsidR="00822661" w:rsidRPr="00BA6BDC" w14:paraId="2D4AC1EA" w14:textId="77777777" w:rsidTr="002C5674">
        <w:trPr>
          <w:cantSplit/>
          <w:jc w:val="center"/>
        </w:trPr>
        <w:tc>
          <w:tcPr>
            <w:tcW w:w="0" w:type="auto"/>
            <w:gridSpan w:val="3"/>
            <w:tcBorders>
              <w:bottom w:val="single" w:sz="4" w:space="0" w:color="auto"/>
            </w:tcBorders>
            <w:shd w:val="clear" w:color="auto" w:fill="auto"/>
          </w:tcPr>
          <w:p w14:paraId="15385613" w14:textId="77777777" w:rsidR="00822661" w:rsidRPr="00BA6BDC" w:rsidRDefault="00822661" w:rsidP="002C5674">
            <w:pPr>
              <w:pStyle w:val="TblTextCenter"/>
              <w:jc w:val="left"/>
              <w:rPr>
                <w:b/>
                <w:bCs/>
              </w:rPr>
            </w:pPr>
            <w:bookmarkStart w:id="51" w:name="_Hlk30758289"/>
            <w:r w:rsidRPr="00BA6BDC">
              <w:rPr>
                <w:b/>
                <w:bCs/>
              </w:rPr>
              <w:t>SOC: General disorders and administration site conditions</w:t>
            </w:r>
          </w:p>
        </w:tc>
      </w:tr>
      <w:tr w:rsidR="002C5674" w:rsidRPr="00BA6BDC" w14:paraId="59717E31" w14:textId="77777777" w:rsidTr="002C5674">
        <w:trPr>
          <w:cantSplit/>
          <w:trHeight w:val="401"/>
          <w:jc w:val="center"/>
        </w:trPr>
        <w:tc>
          <w:tcPr>
            <w:tcW w:w="0" w:type="auto"/>
            <w:tcBorders>
              <w:bottom w:val="nil"/>
            </w:tcBorders>
            <w:shd w:val="clear" w:color="auto" w:fill="auto"/>
          </w:tcPr>
          <w:p w14:paraId="27FDEB87" w14:textId="6F83C612" w:rsidR="002C5674" w:rsidRPr="00BA6BDC" w:rsidRDefault="002C5674" w:rsidP="002C5674">
            <w:pPr>
              <w:pStyle w:val="TblTextCenter"/>
            </w:pPr>
            <w:bookmarkStart w:id="52" w:name="_Hlk25920276"/>
            <w:r w:rsidRPr="00BA6BDC">
              <w:t>Injection site pain</w:t>
            </w:r>
            <w:r w:rsidR="004635C5" w:rsidRPr="00BA6BDC">
              <w:t xml:space="preserve"> </w:t>
            </w:r>
          </w:p>
        </w:tc>
        <w:tc>
          <w:tcPr>
            <w:tcW w:w="1902" w:type="dxa"/>
            <w:tcBorders>
              <w:bottom w:val="nil"/>
            </w:tcBorders>
            <w:shd w:val="clear" w:color="auto" w:fill="auto"/>
          </w:tcPr>
          <w:p w14:paraId="53415263" w14:textId="47B0B167" w:rsidR="002C5674" w:rsidRPr="00BA6BDC" w:rsidRDefault="002C5674" w:rsidP="002C5674">
            <w:pPr>
              <w:pStyle w:val="TblTextCenter"/>
            </w:pPr>
          </w:p>
        </w:tc>
        <w:tc>
          <w:tcPr>
            <w:tcW w:w="3918" w:type="dxa"/>
            <w:tcBorders>
              <w:bottom w:val="nil"/>
            </w:tcBorders>
            <w:shd w:val="clear" w:color="auto" w:fill="auto"/>
          </w:tcPr>
          <w:p w14:paraId="0C029096" w14:textId="6AAD2446" w:rsidR="002C5674" w:rsidRPr="00BA6BDC" w:rsidRDefault="002C5674" w:rsidP="002C5674">
            <w:pPr>
              <w:pStyle w:val="TblTextCenter"/>
            </w:pPr>
          </w:p>
        </w:tc>
      </w:tr>
      <w:tr w:rsidR="002C5674" w:rsidRPr="00BA6BDC" w14:paraId="029859E5" w14:textId="77777777" w:rsidTr="002C5674">
        <w:trPr>
          <w:cantSplit/>
          <w:trHeight w:val="400"/>
          <w:jc w:val="center"/>
        </w:trPr>
        <w:tc>
          <w:tcPr>
            <w:tcW w:w="0" w:type="auto"/>
            <w:tcBorders>
              <w:top w:val="nil"/>
              <w:bottom w:val="nil"/>
            </w:tcBorders>
            <w:shd w:val="clear" w:color="auto" w:fill="auto"/>
          </w:tcPr>
          <w:p w14:paraId="6E706A51" w14:textId="0AFEAD6B" w:rsidR="002C5674" w:rsidRPr="00BA6BDC" w:rsidRDefault="002C5674" w:rsidP="002C5674">
            <w:pPr>
              <w:pStyle w:val="TblTextCenter"/>
            </w:pPr>
            <w:r w:rsidRPr="00BA6BDC">
              <w:t>- IM route</w:t>
            </w:r>
          </w:p>
        </w:tc>
        <w:tc>
          <w:tcPr>
            <w:tcW w:w="1902" w:type="dxa"/>
            <w:tcBorders>
              <w:top w:val="nil"/>
              <w:bottom w:val="nil"/>
            </w:tcBorders>
            <w:shd w:val="clear" w:color="auto" w:fill="auto"/>
          </w:tcPr>
          <w:p w14:paraId="69AB8C73" w14:textId="1324178C" w:rsidR="002C5674" w:rsidRPr="00BA6BDC" w:rsidRDefault="002C5674" w:rsidP="002C5674">
            <w:pPr>
              <w:pStyle w:val="TblTextCenter"/>
            </w:pPr>
            <w:r w:rsidRPr="00BA6BDC">
              <w:t>Very common- 2</w:t>
            </w:r>
            <w:r w:rsidR="00DE672B" w:rsidRPr="00BA6BDC">
              <w:t>1.9</w:t>
            </w:r>
            <w:r w:rsidRPr="00BA6BDC">
              <w:t>%</w:t>
            </w:r>
          </w:p>
        </w:tc>
        <w:tc>
          <w:tcPr>
            <w:tcW w:w="3918" w:type="dxa"/>
            <w:tcBorders>
              <w:top w:val="nil"/>
              <w:bottom w:val="nil"/>
            </w:tcBorders>
            <w:shd w:val="clear" w:color="auto" w:fill="auto"/>
          </w:tcPr>
          <w:p w14:paraId="75380EB0" w14:textId="6AA800F1" w:rsidR="002C5674" w:rsidRPr="00BA6BDC" w:rsidRDefault="002C5674" w:rsidP="002C5674">
            <w:pPr>
              <w:pStyle w:val="TblTextCenter"/>
            </w:pPr>
            <w:r w:rsidRPr="00BA6BDC">
              <w:t>Very common- 1</w:t>
            </w:r>
            <w:r w:rsidR="00DE672B" w:rsidRPr="00BA6BDC">
              <w:t>7</w:t>
            </w:r>
            <w:r w:rsidRPr="00BA6BDC">
              <w:t>.0%</w:t>
            </w:r>
          </w:p>
        </w:tc>
      </w:tr>
      <w:bookmarkEnd w:id="51"/>
      <w:tr w:rsidR="002C5674" w:rsidRPr="00BA6BDC" w14:paraId="5E8D7459" w14:textId="77777777" w:rsidTr="002C5674">
        <w:trPr>
          <w:cantSplit/>
          <w:jc w:val="center"/>
        </w:trPr>
        <w:tc>
          <w:tcPr>
            <w:tcW w:w="0" w:type="auto"/>
            <w:tcBorders>
              <w:top w:val="nil"/>
              <w:bottom w:val="single" w:sz="4" w:space="0" w:color="auto"/>
            </w:tcBorders>
            <w:shd w:val="clear" w:color="auto" w:fill="auto"/>
          </w:tcPr>
          <w:p w14:paraId="72030460" w14:textId="77777777" w:rsidR="00822661" w:rsidRPr="00BA6BDC" w:rsidRDefault="00822661" w:rsidP="002C5674">
            <w:pPr>
              <w:pStyle w:val="TblTextCenter"/>
            </w:pPr>
            <w:r w:rsidRPr="00BA6BDC">
              <w:t xml:space="preserve"> - ID route</w:t>
            </w:r>
          </w:p>
        </w:tc>
        <w:tc>
          <w:tcPr>
            <w:tcW w:w="1902" w:type="dxa"/>
            <w:tcBorders>
              <w:top w:val="nil"/>
              <w:bottom w:val="single" w:sz="4" w:space="0" w:color="auto"/>
            </w:tcBorders>
            <w:shd w:val="clear" w:color="auto" w:fill="auto"/>
          </w:tcPr>
          <w:p w14:paraId="78CBCA43" w14:textId="4A390866" w:rsidR="00822661" w:rsidRPr="00BA6BDC" w:rsidRDefault="00822661" w:rsidP="002C5674">
            <w:pPr>
              <w:pStyle w:val="TblTextCenter"/>
            </w:pPr>
            <w:r w:rsidRPr="00BA6BDC">
              <w:t xml:space="preserve">Very common- </w:t>
            </w:r>
            <w:r w:rsidR="00DE672B" w:rsidRPr="00BA6BDC">
              <w:t>58.8</w:t>
            </w:r>
            <w:r w:rsidRPr="00BA6BDC">
              <w:t>%</w:t>
            </w:r>
          </w:p>
        </w:tc>
        <w:tc>
          <w:tcPr>
            <w:tcW w:w="3918" w:type="dxa"/>
            <w:tcBorders>
              <w:top w:val="nil"/>
              <w:bottom w:val="single" w:sz="4" w:space="0" w:color="auto"/>
            </w:tcBorders>
            <w:shd w:val="clear" w:color="auto" w:fill="auto"/>
          </w:tcPr>
          <w:p w14:paraId="3D1B620D" w14:textId="09040BA6" w:rsidR="00822661" w:rsidRPr="00BA6BDC" w:rsidRDefault="00822661" w:rsidP="002C5674">
            <w:pPr>
              <w:pStyle w:val="TblTextCenter"/>
            </w:pPr>
            <w:r w:rsidRPr="00BA6BDC">
              <w:t xml:space="preserve">Very common- </w:t>
            </w:r>
            <w:r w:rsidR="00DE672B" w:rsidRPr="00BA6BDC">
              <w:t>57</w:t>
            </w:r>
            <w:r w:rsidRPr="00BA6BDC">
              <w:t>%</w:t>
            </w:r>
          </w:p>
        </w:tc>
      </w:tr>
      <w:bookmarkEnd w:id="52"/>
      <w:tr w:rsidR="002C5674" w:rsidRPr="00BA6BDC" w14:paraId="13A6A607" w14:textId="77777777" w:rsidTr="002C5674">
        <w:trPr>
          <w:cantSplit/>
          <w:jc w:val="center"/>
        </w:trPr>
        <w:tc>
          <w:tcPr>
            <w:tcW w:w="0" w:type="auto"/>
            <w:tcBorders>
              <w:bottom w:val="nil"/>
            </w:tcBorders>
            <w:shd w:val="clear" w:color="auto" w:fill="auto"/>
          </w:tcPr>
          <w:p w14:paraId="73B55C30" w14:textId="2B6E5AFD" w:rsidR="00822661" w:rsidRPr="00BA6BDC" w:rsidRDefault="00822661" w:rsidP="002C5674">
            <w:pPr>
              <w:pStyle w:val="TblTextCenter"/>
            </w:pPr>
            <w:r w:rsidRPr="00BA6BDC">
              <w:t>Injection site erythema</w:t>
            </w:r>
            <w:r w:rsidR="004635C5" w:rsidRPr="00BA6BDC">
              <w:t xml:space="preserve"> </w:t>
            </w:r>
          </w:p>
        </w:tc>
        <w:tc>
          <w:tcPr>
            <w:tcW w:w="1902" w:type="dxa"/>
            <w:tcBorders>
              <w:bottom w:val="nil"/>
            </w:tcBorders>
            <w:shd w:val="clear" w:color="auto" w:fill="auto"/>
          </w:tcPr>
          <w:p w14:paraId="0F9E7FD2" w14:textId="6E0FFA0C" w:rsidR="00822661" w:rsidRPr="00BA6BDC" w:rsidRDefault="00822661" w:rsidP="002C5674">
            <w:pPr>
              <w:pStyle w:val="TblTextCenter"/>
            </w:pPr>
          </w:p>
        </w:tc>
        <w:tc>
          <w:tcPr>
            <w:tcW w:w="3918" w:type="dxa"/>
            <w:tcBorders>
              <w:bottom w:val="nil"/>
            </w:tcBorders>
            <w:shd w:val="clear" w:color="auto" w:fill="auto"/>
          </w:tcPr>
          <w:p w14:paraId="4E9A61CC" w14:textId="7D26BDCB" w:rsidR="00822661" w:rsidRPr="00BA6BDC" w:rsidRDefault="00822661" w:rsidP="002C5674">
            <w:pPr>
              <w:pStyle w:val="TblTextCenter"/>
            </w:pPr>
          </w:p>
        </w:tc>
      </w:tr>
      <w:tr w:rsidR="002C5674" w:rsidRPr="00BA6BDC" w14:paraId="0E9CF418" w14:textId="77777777" w:rsidTr="002C5674">
        <w:trPr>
          <w:cantSplit/>
          <w:jc w:val="center"/>
        </w:trPr>
        <w:tc>
          <w:tcPr>
            <w:tcW w:w="0" w:type="auto"/>
            <w:tcBorders>
              <w:top w:val="nil"/>
              <w:bottom w:val="nil"/>
            </w:tcBorders>
            <w:shd w:val="clear" w:color="auto" w:fill="auto"/>
          </w:tcPr>
          <w:p w14:paraId="795F566C" w14:textId="5F61AB28" w:rsidR="002C5674" w:rsidRPr="00BA6BDC" w:rsidRDefault="002C5674" w:rsidP="002C5674">
            <w:pPr>
              <w:pStyle w:val="TblTextCenter"/>
            </w:pPr>
            <w:r w:rsidRPr="00BA6BDC">
              <w:t>- IM route</w:t>
            </w:r>
          </w:p>
        </w:tc>
        <w:tc>
          <w:tcPr>
            <w:tcW w:w="1902" w:type="dxa"/>
            <w:tcBorders>
              <w:top w:val="nil"/>
              <w:bottom w:val="nil"/>
            </w:tcBorders>
            <w:shd w:val="clear" w:color="auto" w:fill="auto"/>
          </w:tcPr>
          <w:p w14:paraId="598359E1" w14:textId="266EA038" w:rsidR="002C5674" w:rsidRPr="00BA6BDC" w:rsidRDefault="002C5674" w:rsidP="002C5674">
            <w:pPr>
              <w:pStyle w:val="TblTextCenter"/>
            </w:pPr>
            <w:r w:rsidRPr="00BA6BDC">
              <w:t>Common- 2.</w:t>
            </w:r>
            <w:r w:rsidR="00DE672B" w:rsidRPr="00BA6BDC">
              <w:t>0</w:t>
            </w:r>
            <w:r w:rsidRPr="00BA6BDC">
              <w:t>%</w:t>
            </w:r>
          </w:p>
        </w:tc>
        <w:tc>
          <w:tcPr>
            <w:tcW w:w="3918" w:type="dxa"/>
            <w:tcBorders>
              <w:top w:val="nil"/>
              <w:bottom w:val="nil"/>
            </w:tcBorders>
            <w:shd w:val="clear" w:color="auto" w:fill="auto"/>
          </w:tcPr>
          <w:p w14:paraId="1F1BF544" w14:textId="7D053DF6" w:rsidR="002C5674" w:rsidRPr="00BA6BDC" w:rsidRDefault="002C5674" w:rsidP="002C5674">
            <w:pPr>
              <w:pStyle w:val="TblTextCenter"/>
            </w:pPr>
            <w:r w:rsidRPr="00BA6BDC">
              <w:t xml:space="preserve">Common- </w:t>
            </w:r>
            <w:r w:rsidR="00DE672B" w:rsidRPr="00BA6BDC">
              <w:t>1.8</w:t>
            </w:r>
            <w:r w:rsidRPr="00BA6BDC">
              <w:t>%</w:t>
            </w:r>
          </w:p>
        </w:tc>
      </w:tr>
      <w:tr w:rsidR="002C5674" w:rsidRPr="00BA6BDC" w14:paraId="16C2F270" w14:textId="77777777" w:rsidTr="002C5674">
        <w:trPr>
          <w:cantSplit/>
          <w:jc w:val="center"/>
        </w:trPr>
        <w:tc>
          <w:tcPr>
            <w:tcW w:w="0" w:type="auto"/>
            <w:tcBorders>
              <w:top w:val="nil"/>
              <w:bottom w:val="single" w:sz="4" w:space="0" w:color="auto"/>
            </w:tcBorders>
            <w:shd w:val="clear" w:color="auto" w:fill="auto"/>
          </w:tcPr>
          <w:p w14:paraId="7B3C28FD" w14:textId="7CDE4F3F" w:rsidR="00822661" w:rsidRPr="00BA6BDC" w:rsidRDefault="00822661" w:rsidP="002C5674">
            <w:pPr>
              <w:pStyle w:val="TblTextCenter"/>
            </w:pPr>
            <w:r w:rsidRPr="00BA6BDC">
              <w:t xml:space="preserve"> - ID route</w:t>
            </w:r>
          </w:p>
        </w:tc>
        <w:tc>
          <w:tcPr>
            <w:tcW w:w="1902" w:type="dxa"/>
            <w:tcBorders>
              <w:top w:val="nil"/>
              <w:bottom w:val="single" w:sz="4" w:space="0" w:color="auto"/>
            </w:tcBorders>
            <w:shd w:val="clear" w:color="auto" w:fill="auto"/>
          </w:tcPr>
          <w:p w14:paraId="4DFD78EE" w14:textId="4D26FA5B" w:rsidR="00822661" w:rsidRPr="00BA6BDC" w:rsidRDefault="00822661" w:rsidP="002C5674">
            <w:pPr>
              <w:pStyle w:val="TblTextCenter"/>
            </w:pPr>
            <w:r w:rsidRPr="00BA6BDC">
              <w:t>Very common- 1</w:t>
            </w:r>
            <w:r w:rsidR="00DE672B" w:rsidRPr="00BA6BDC">
              <w:t>2.3</w:t>
            </w:r>
            <w:r w:rsidRPr="00BA6BDC">
              <w:t>%</w:t>
            </w:r>
          </w:p>
        </w:tc>
        <w:tc>
          <w:tcPr>
            <w:tcW w:w="3918" w:type="dxa"/>
            <w:tcBorders>
              <w:top w:val="nil"/>
              <w:bottom w:val="single" w:sz="4" w:space="0" w:color="auto"/>
            </w:tcBorders>
            <w:shd w:val="clear" w:color="auto" w:fill="auto"/>
          </w:tcPr>
          <w:p w14:paraId="10152897" w14:textId="6B5F55CA" w:rsidR="00822661" w:rsidRPr="00BA6BDC" w:rsidRDefault="00822661" w:rsidP="002C5674">
            <w:pPr>
              <w:pStyle w:val="TblTextCenter"/>
            </w:pPr>
            <w:r w:rsidRPr="00BA6BDC">
              <w:t>Very common- 5</w:t>
            </w:r>
            <w:r w:rsidR="00DE672B" w:rsidRPr="00BA6BDC">
              <w:t>0.8</w:t>
            </w:r>
            <w:r w:rsidRPr="00BA6BDC">
              <w:t>%</w:t>
            </w:r>
          </w:p>
        </w:tc>
      </w:tr>
      <w:tr w:rsidR="002C5674" w:rsidRPr="00BA6BDC" w14:paraId="6C8890F2" w14:textId="77777777" w:rsidTr="002C5674">
        <w:trPr>
          <w:cantSplit/>
          <w:jc w:val="center"/>
        </w:trPr>
        <w:tc>
          <w:tcPr>
            <w:tcW w:w="0" w:type="auto"/>
            <w:tcBorders>
              <w:bottom w:val="nil"/>
            </w:tcBorders>
            <w:shd w:val="clear" w:color="auto" w:fill="auto"/>
          </w:tcPr>
          <w:p w14:paraId="4FDB7466" w14:textId="3C052B0C" w:rsidR="00822661" w:rsidRPr="00BA6BDC" w:rsidRDefault="00822661" w:rsidP="002C5674">
            <w:pPr>
              <w:pStyle w:val="TblTextCenter"/>
              <w:rPr>
                <w:lang w:val="fr-FR"/>
              </w:rPr>
            </w:pPr>
            <w:r w:rsidRPr="00BA6BDC">
              <w:rPr>
                <w:lang w:val="fr-FR"/>
              </w:rPr>
              <w:t xml:space="preserve">Injection site </w:t>
            </w:r>
            <w:proofErr w:type="spellStart"/>
            <w:r w:rsidRPr="00BA6BDC">
              <w:rPr>
                <w:lang w:val="fr-FR"/>
              </w:rPr>
              <w:t>pruritus</w:t>
            </w:r>
            <w:proofErr w:type="spellEnd"/>
            <w:r w:rsidR="004635C5" w:rsidRPr="00BA6BDC">
              <w:rPr>
                <w:lang w:val="fr-FR"/>
              </w:rPr>
              <w:t xml:space="preserve"> </w:t>
            </w:r>
          </w:p>
        </w:tc>
        <w:tc>
          <w:tcPr>
            <w:tcW w:w="1902" w:type="dxa"/>
            <w:tcBorders>
              <w:bottom w:val="nil"/>
            </w:tcBorders>
            <w:shd w:val="clear" w:color="auto" w:fill="auto"/>
          </w:tcPr>
          <w:p w14:paraId="310D525C" w14:textId="6F26FAF5" w:rsidR="00822661" w:rsidRPr="00BA6BDC" w:rsidRDefault="00822661" w:rsidP="002C5674">
            <w:pPr>
              <w:pStyle w:val="TblTextCenter"/>
            </w:pPr>
          </w:p>
        </w:tc>
        <w:tc>
          <w:tcPr>
            <w:tcW w:w="3918" w:type="dxa"/>
            <w:tcBorders>
              <w:bottom w:val="nil"/>
            </w:tcBorders>
            <w:shd w:val="clear" w:color="auto" w:fill="auto"/>
          </w:tcPr>
          <w:p w14:paraId="671D5D13" w14:textId="77777777" w:rsidR="00822661" w:rsidRPr="00BA6BDC" w:rsidRDefault="00822661" w:rsidP="002C5674">
            <w:pPr>
              <w:pStyle w:val="TblTextCenter"/>
            </w:pPr>
            <w:r w:rsidRPr="00BA6BDC">
              <w:t>-</w:t>
            </w:r>
          </w:p>
        </w:tc>
      </w:tr>
      <w:tr w:rsidR="002C5674" w:rsidRPr="00BA6BDC" w14:paraId="0BE629E2" w14:textId="77777777" w:rsidTr="002C5674">
        <w:trPr>
          <w:cantSplit/>
          <w:jc w:val="center"/>
        </w:trPr>
        <w:tc>
          <w:tcPr>
            <w:tcW w:w="0" w:type="auto"/>
            <w:tcBorders>
              <w:top w:val="nil"/>
              <w:bottom w:val="nil"/>
            </w:tcBorders>
            <w:shd w:val="clear" w:color="auto" w:fill="auto"/>
          </w:tcPr>
          <w:p w14:paraId="5DBDF86D" w14:textId="100A3B06" w:rsidR="002C5674" w:rsidRPr="00BA6BDC" w:rsidRDefault="002C5674" w:rsidP="002C5674">
            <w:pPr>
              <w:pStyle w:val="TblTextCenter"/>
              <w:rPr>
                <w:lang w:val="fr-FR"/>
              </w:rPr>
            </w:pPr>
            <w:r w:rsidRPr="00BA6BDC">
              <w:rPr>
                <w:lang w:val="fr-FR"/>
              </w:rPr>
              <w:t>- IM route</w:t>
            </w:r>
          </w:p>
        </w:tc>
        <w:tc>
          <w:tcPr>
            <w:tcW w:w="1902" w:type="dxa"/>
            <w:tcBorders>
              <w:top w:val="nil"/>
              <w:bottom w:val="nil"/>
            </w:tcBorders>
            <w:shd w:val="clear" w:color="auto" w:fill="auto"/>
          </w:tcPr>
          <w:p w14:paraId="5BF053B9" w14:textId="436B1354" w:rsidR="002C5674" w:rsidRPr="00BA6BDC" w:rsidRDefault="002C5674" w:rsidP="002C5674">
            <w:pPr>
              <w:pStyle w:val="TblTextCenter"/>
            </w:pPr>
            <w:r w:rsidRPr="00BA6BDC">
              <w:t>Common- 1.</w:t>
            </w:r>
            <w:r w:rsidR="00DE672B" w:rsidRPr="00BA6BDC">
              <w:t>0</w:t>
            </w:r>
            <w:r w:rsidRPr="00BA6BDC">
              <w:t>%</w:t>
            </w:r>
          </w:p>
        </w:tc>
        <w:tc>
          <w:tcPr>
            <w:tcW w:w="3918" w:type="dxa"/>
            <w:tcBorders>
              <w:top w:val="nil"/>
              <w:bottom w:val="nil"/>
            </w:tcBorders>
            <w:shd w:val="clear" w:color="auto" w:fill="auto"/>
          </w:tcPr>
          <w:p w14:paraId="2DC8D027" w14:textId="77777777" w:rsidR="002C5674" w:rsidRPr="00BA6BDC" w:rsidRDefault="002C5674" w:rsidP="002C5674">
            <w:pPr>
              <w:pStyle w:val="TblTextCenter"/>
            </w:pPr>
          </w:p>
        </w:tc>
      </w:tr>
      <w:tr w:rsidR="002C5674" w:rsidRPr="00BA6BDC" w14:paraId="0E5F4623" w14:textId="77777777" w:rsidTr="002C5674">
        <w:trPr>
          <w:cantSplit/>
          <w:jc w:val="center"/>
        </w:trPr>
        <w:tc>
          <w:tcPr>
            <w:tcW w:w="0" w:type="auto"/>
            <w:tcBorders>
              <w:top w:val="nil"/>
              <w:bottom w:val="single" w:sz="4" w:space="0" w:color="auto"/>
            </w:tcBorders>
            <w:shd w:val="clear" w:color="auto" w:fill="auto"/>
          </w:tcPr>
          <w:p w14:paraId="4E2D7518" w14:textId="1EB96B27" w:rsidR="002C5674" w:rsidRPr="00BA6BDC" w:rsidRDefault="004635C5" w:rsidP="002C5674">
            <w:pPr>
              <w:pStyle w:val="TblTextCenter"/>
              <w:jc w:val="left"/>
            </w:pPr>
            <w:r w:rsidRPr="00BA6BDC">
              <w:t xml:space="preserve"> </w:t>
            </w:r>
            <w:r w:rsidR="002C5674" w:rsidRPr="00BA6BDC">
              <w:t>- ID route</w:t>
            </w:r>
          </w:p>
        </w:tc>
        <w:tc>
          <w:tcPr>
            <w:tcW w:w="1902" w:type="dxa"/>
            <w:tcBorders>
              <w:top w:val="nil"/>
              <w:bottom w:val="single" w:sz="4" w:space="0" w:color="auto"/>
            </w:tcBorders>
            <w:shd w:val="clear" w:color="auto" w:fill="auto"/>
          </w:tcPr>
          <w:p w14:paraId="40F20A30" w14:textId="7DD15B8C" w:rsidR="002C5674" w:rsidRPr="00BA6BDC" w:rsidRDefault="002C5674" w:rsidP="002C5674">
            <w:pPr>
              <w:pStyle w:val="TblTextCenter"/>
            </w:pPr>
            <w:r w:rsidRPr="00BA6BDC">
              <w:t>Common- 1.</w:t>
            </w:r>
            <w:r w:rsidR="00DE672B" w:rsidRPr="00BA6BDC">
              <w:t>3</w:t>
            </w:r>
            <w:r w:rsidRPr="00BA6BDC">
              <w:t>%</w:t>
            </w:r>
          </w:p>
        </w:tc>
        <w:tc>
          <w:tcPr>
            <w:tcW w:w="3918" w:type="dxa"/>
            <w:tcBorders>
              <w:top w:val="nil"/>
              <w:bottom w:val="single" w:sz="4" w:space="0" w:color="auto"/>
            </w:tcBorders>
            <w:shd w:val="clear" w:color="auto" w:fill="auto"/>
          </w:tcPr>
          <w:p w14:paraId="207D9F91" w14:textId="77777777" w:rsidR="002C5674" w:rsidRPr="00BA6BDC" w:rsidRDefault="002C5674" w:rsidP="002C5674">
            <w:pPr>
              <w:pStyle w:val="TblTextCenter"/>
            </w:pPr>
            <w:r w:rsidRPr="00BA6BDC">
              <w:t>Uncommon – 0.6%</w:t>
            </w:r>
          </w:p>
        </w:tc>
      </w:tr>
      <w:tr w:rsidR="002C5674" w:rsidRPr="00BA6BDC" w14:paraId="49208FCD" w14:textId="77777777" w:rsidTr="002C5674">
        <w:trPr>
          <w:cantSplit/>
          <w:jc w:val="center"/>
        </w:trPr>
        <w:tc>
          <w:tcPr>
            <w:tcW w:w="0" w:type="auto"/>
            <w:tcBorders>
              <w:bottom w:val="nil"/>
            </w:tcBorders>
            <w:shd w:val="clear" w:color="auto" w:fill="auto"/>
          </w:tcPr>
          <w:p w14:paraId="781252A0" w14:textId="0EFD553B" w:rsidR="002C5674" w:rsidRPr="00BA6BDC" w:rsidRDefault="002C5674" w:rsidP="002C5674">
            <w:pPr>
              <w:pStyle w:val="TblTextCenter"/>
            </w:pPr>
            <w:bookmarkStart w:id="53" w:name="_Hlk25920660"/>
            <w:r w:rsidRPr="00BA6BDC">
              <w:t>Injection site swelling</w:t>
            </w:r>
            <w:r w:rsidR="004635C5" w:rsidRPr="00BA6BDC">
              <w:t xml:space="preserve"> </w:t>
            </w:r>
          </w:p>
        </w:tc>
        <w:tc>
          <w:tcPr>
            <w:tcW w:w="1902" w:type="dxa"/>
            <w:tcBorders>
              <w:bottom w:val="nil"/>
            </w:tcBorders>
            <w:shd w:val="clear" w:color="auto" w:fill="auto"/>
          </w:tcPr>
          <w:p w14:paraId="71F8C0E1" w14:textId="1423E551" w:rsidR="002C5674" w:rsidRPr="00BA6BDC" w:rsidRDefault="002C5674" w:rsidP="002C5674">
            <w:pPr>
              <w:pStyle w:val="TblTextCenter"/>
            </w:pPr>
          </w:p>
        </w:tc>
        <w:tc>
          <w:tcPr>
            <w:tcW w:w="3918" w:type="dxa"/>
            <w:tcBorders>
              <w:bottom w:val="nil"/>
            </w:tcBorders>
            <w:shd w:val="clear" w:color="auto" w:fill="auto"/>
          </w:tcPr>
          <w:p w14:paraId="6F0C6235" w14:textId="777D11E1" w:rsidR="002C5674" w:rsidRPr="00BA6BDC" w:rsidRDefault="002C5674" w:rsidP="002C5674">
            <w:pPr>
              <w:pStyle w:val="TblTextCenter"/>
            </w:pPr>
          </w:p>
        </w:tc>
      </w:tr>
      <w:bookmarkEnd w:id="53"/>
      <w:tr w:rsidR="002C5674" w:rsidRPr="00BA6BDC" w14:paraId="4D74B1C9" w14:textId="77777777" w:rsidTr="002C5674">
        <w:trPr>
          <w:cantSplit/>
          <w:jc w:val="center"/>
        </w:trPr>
        <w:tc>
          <w:tcPr>
            <w:tcW w:w="0" w:type="auto"/>
            <w:tcBorders>
              <w:top w:val="nil"/>
              <w:bottom w:val="nil"/>
            </w:tcBorders>
            <w:shd w:val="clear" w:color="auto" w:fill="auto"/>
          </w:tcPr>
          <w:p w14:paraId="6F6B462A" w14:textId="33EF61CB" w:rsidR="002C5674" w:rsidRPr="00BA6BDC" w:rsidRDefault="002C5674" w:rsidP="002C5674">
            <w:pPr>
              <w:pStyle w:val="TblTextCenter"/>
            </w:pPr>
            <w:r w:rsidRPr="00BA6BDC">
              <w:t>- IM route</w:t>
            </w:r>
          </w:p>
        </w:tc>
        <w:tc>
          <w:tcPr>
            <w:tcW w:w="1902" w:type="dxa"/>
            <w:tcBorders>
              <w:top w:val="nil"/>
              <w:bottom w:val="nil"/>
            </w:tcBorders>
            <w:shd w:val="clear" w:color="auto" w:fill="auto"/>
          </w:tcPr>
          <w:p w14:paraId="016F9FD7" w14:textId="63B2087D" w:rsidR="002C5674" w:rsidRPr="00BA6BDC" w:rsidRDefault="002C5674" w:rsidP="002C5674">
            <w:pPr>
              <w:pStyle w:val="TblTextCenter"/>
            </w:pPr>
            <w:r w:rsidRPr="00BA6BDC">
              <w:t>Common- 2.</w:t>
            </w:r>
            <w:r w:rsidR="00DE672B" w:rsidRPr="00BA6BDC">
              <w:t>3</w:t>
            </w:r>
            <w:r w:rsidRPr="00BA6BDC">
              <w:t>%</w:t>
            </w:r>
          </w:p>
        </w:tc>
        <w:tc>
          <w:tcPr>
            <w:tcW w:w="3918" w:type="dxa"/>
            <w:tcBorders>
              <w:top w:val="nil"/>
              <w:bottom w:val="nil"/>
            </w:tcBorders>
            <w:shd w:val="clear" w:color="auto" w:fill="auto"/>
          </w:tcPr>
          <w:p w14:paraId="3253A1D8" w14:textId="3FFC7C5A" w:rsidR="002C5674" w:rsidRPr="00BA6BDC" w:rsidRDefault="002C5674" w:rsidP="002C5674">
            <w:pPr>
              <w:pStyle w:val="TblTextCenter"/>
            </w:pPr>
            <w:r w:rsidRPr="00BA6BDC">
              <w:t>Common- 2.</w:t>
            </w:r>
            <w:r w:rsidR="00DE672B" w:rsidRPr="00BA6BDC">
              <w:t>3</w:t>
            </w:r>
            <w:r w:rsidRPr="00BA6BDC">
              <w:t>%</w:t>
            </w:r>
          </w:p>
        </w:tc>
      </w:tr>
      <w:tr w:rsidR="002C5674" w:rsidRPr="00BA6BDC" w14:paraId="10DF6354" w14:textId="77777777" w:rsidTr="002C5674">
        <w:trPr>
          <w:cantSplit/>
          <w:jc w:val="center"/>
        </w:trPr>
        <w:tc>
          <w:tcPr>
            <w:tcW w:w="0" w:type="auto"/>
            <w:tcBorders>
              <w:top w:val="nil"/>
              <w:bottom w:val="single" w:sz="4" w:space="0" w:color="auto"/>
            </w:tcBorders>
            <w:shd w:val="clear" w:color="auto" w:fill="auto"/>
          </w:tcPr>
          <w:p w14:paraId="013991C1" w14:textId="64B72A9C" w:rsidR="002C5674" w:rsidRPr="00BA6BDC" w:rsidRDefault="002C5674" w:rsidP="002C5674">
            <w:pPr>
              <w:pStyle w:val="TblTextCenter"/>
            </w:pPr>
            <w:r w:rsidRPr="00BA6BDC">
              <w:t>- ID route</w:t>
            </w:r>
          </w:p>
        </w:tc>
        <w:tc>
          <w:tcPr>
            <w:tcW w:w="1902" w:type="dxa"/>
            <w:tcBorders>
              <w:top w:val="nil"/>
              <w:bottom w:val="single" w:sz="4" w:space="0" w:color="auto"/>
            </w:tcBorders>
            <w:shd w:val="clear" w:color="auto" w:fill="auto"/>
          </w:tcPr>
          <w:p w14:paraId="18994A45" w14:textId="543B5379" w:rsidR="002C5674" w:rsidRPr="00BA6BDC" w:rsidRDefault="002C5674" w:rsidP="002C5674">
            <w:pPr>
              <w:pStyle w:val="TblTextCenter"/>
            </w:pPr>
            <w:r w:rsidRPr="00BA6BDC">
              <w:t xml:space="preserve">Common- </w:t>
            </w:r>
            <w:r w:rsidR="00DE672B" w:rsidRPr="00BA6BDC">
              <w:t>5.3</w:t>
            </w:r>
            <w:r w:rsidRPr="00BA6BDC">
              <w:t>%</w:t>
            </w:r>
          </w:p>
        </w:tc>
        <w:tc>
          <w:tcPr>
            <w:tcW w:w="3918" w:type="dxa"/>
            <w:tcBorders>
              <w:top w:val="nil"/>
              <w:bottom w:val="single" w:sz="4" w:space="0" w:color="auto"/>
            </w:tcBorders>
            <w:shd w:val="clear" w:color="auto" w:fill="auto"/>
          </w:tcPr>
          <w:p w14:paraId="4BC2F28A" w14:textId="02FE2D71" w:rsidR="002C5674" w:rsidRPr="00BA6BDC" w:rsidRDefault="002C5674" w:rsidP="002C5674">
            <w:pPr>
              <w:pStyle w:val="TblTextCenter"/>
            </w:pPr>
            <w:r w:rsidRPr="00BA6BDC">
              <w:t>Very common- 2</w:t>
            </w:r>
            <w:r w:rsidR="00DE672B" w:rsidRPr="00BA6BDC">
              <w:t>4.4</w:t>
            </w:r>
            <w:r w:rsidRPr="00BA6BDC">
              <w:t>%</w:t>
            </w:r>
          </w:p>
        </w:tc>
      </w:tr>
      <w:tr w:rsidR="002C5674" w:rsidRPr="00BA6BDC" w14:paraId="0FC0E93F" w14:textId="77777777" w:rsidTr="002C5674">
        <w:trPr>
          <w:cantSplit/>
          <w:jc w:val="center"/>
        </w:trPr>
        <w:tc>
          <w:tcPr>
            <w:tcW w:w="0" w:type="auto"/>
            <w:tcBorders>
              <w:bottom w:val="nil"/>
            </w:tcBorders>
            <w:shd w:val="clear" w:color="auto" w:fill="auto"/>
          </w:tcPr>
          <w:p w14:paraId="64F2385F" w14:textId="763DE05D" w:rsidR="002C5674" w:rsidRPr="00BA6BDC" w:rsidRDefault="002C5674" w:rsidP="002C5674">
            <w:pPr>
              <w:pStyle w:val="TblTextCenter"/>
              <w:rPr>
                <w:lang w:val="fr-FR"/>
              </w:rPr>
            </w:pPr>
            <w:r w:rsidRPr="00BA6BDC">
              <w:rPr>
                <w:lang w:val="fr-FR"/>
              </w:rPr>
              <w:t>Injection site induration</w:t>
            </w:r>
            <w:r w:rsidR="004635C5" w:rsidRPr="00BA6BDC">
              <w:rPr>
                <w:lang w:val="fr-FR"/>
              </w:rPr>
              <w:t xml:space="preserve"> </w:t>
            </w:r>
          </w:p>
        </w:tc>
        <w:tc>
          <w:tcPr>
            <w:tcW w:w="1902" w:type="dxa"/>
            <w:tcBorders>
              <w:bottom w:val="nil"/>
            </w:tcBorders>
            <w:shd w:val="clear" w:color="auto" w:fill="auto"/>
          </w:tcPr>
          <w:p w14:paraId="3B6990D1" w14:textId="1B78F60B" w:rsidR="002C5674" w:rsidRPr="00BA6BDC" w:rsidRDefault="002C5674" w:rsidP="002C5674">
            <w:pPr>
              <w:pStyle w:val="TblTextCenter"/>
            </w:pPr>
          </w:p>
        </w:tc>
        <w:tc>
          <w:tcPr>
            <w:tcW w:w="3918" w:type="dxa"/>
            <w:tcBorders>
              <w:bottom w:val="nil"/>
            </w:tcBorders>
            <w:shd w:val="clear" w:color="auto" w:fill="auto"/>
          </w:tcPr>
          <w:p w14:paraId="5BE588E0" w14:textId="77777777" w:rsidR="002C5674" w:rsidRPr="00BA6BDC" w:rsidRDefault="002C5674" w:rsidP="002C5674">
            <w:pPr>
              <w:pStyle w:val="TblTextCenter"/>
            </w:pPr>
            <w:r w:rsidRPr="00BA6BDC">
              <w:t>-</w:t>
            </w:r>
          </w:p>
        </w:tc>
      </w:tr>
      <w:tr w:rsidR="002C5674" w:rsidRPr="00BA6BDC" w14:paraId="7C562EC9" w14:textId="77777777" w:rsidTr="002C5674">
        <w:trPr>
          <w:cantSplit/>
          <w:jc w:val="center"/>
        </w:trPr>
        <w:tc>
          <w:tcPr>
            <w:tcW w:w="0" w:type="auto"/>
            <w:tcBorders>
              <w:top w:val="nil"/>
              <w:bottom w:val="nil"/>
            </w:tcBorders>
            <w:shd w:val="clear" w:color="auto" w:fill="auto"/>
          </w:tcPr>
          <w:p w14:paraId="7FBD8E36" w14:textId="7570AEAE" w:rsidR="002C5674" w:rsidRPr="00BA6BDC" w:rsidRDefault="002C5674" w:rsidP="002C5674">
            <w:pPr>
              <w:pStyle w:val="TblTextCenter"/>
              <w:rPr>
                <w:lang w:val="fr-FR"/>
              </w:rPr>
            </w:pPr>
            <w:r w:rsidRPr="00BA6BDC">
              <w:rPr>
                <w:lang w:val="fr-FR"/>
              </w:rPr>
              <w:lastRenderedPageBreak/>
              <w:t>- IM route</w:t>
            </w:r>
          </w:p>
        </w:tc>
        <w:tc>
          <w:tcPr>
            <w:tcW w:w="1902" w:type="dxa"/>
            <w:tcBorders>
              <w:top w:val="nil"/>
              <w:bottom w:val="nil"/>
            </w:tcBorders>
            <w:shd w:val="clear" w:color="auto" w:fill="auto"/>
          </w:tcPr>
          <w:p w14:paraId="2605A2A8" w14:textId="6C21EB6A" w:rsidR="002C5674" w:rsidRPr="00BA6BDC" w:rsidRDefault="002C5674" w:rsidP="002C5674">
            <w:pPr>
              <w:pStyle w:val="TblTextCenter"/>
            </w:pPr>
            <w:r w:rsidRPr="00BA6BDC">
              <w:t>Common- 1.</w:t>
            </w:r>
            <w:r w:rsidR="00DE672B" w:rsidRPr="00BA6BDC">
              <w:t>0</w:t>
            </w:r>
            <w:r w:rsidRPr="00BA6BDC">
              <w:t>%</w:t>
            </w:r>
          </w:p>
        </w:tc>
        <w:tc>
          <w:tcPr>
            <w:tcW w:w="3918" w:type="dxa"/>
            <w:tcBorders>
              <w:top w:val="nil"/>
              <w:bottom w:val="nil"/>
            </w:tcBorders>
            <w:shd w:val="clear" w:color="auto" w:fill="auto"/>
          </w:tcPr>
          <w:p w14:paraId="413DD661" w14:textId="77777777" w:rsidR="002C5674" w:rsidRPr="00BA6BDC" w:rsidRDefault="002C5674" w:rsidP="002C5674">
            <w:pPr>
              <w:pStyle w:val="TblTextCenter"/>
            </w:pPr>
          </w:p>
        </w:tc>
      </w:tr>
      <w:tr w:rsidR="002C5674" w:rsidRPr="00BA6BDC" w14:paraId="58D615F4" w14:textId="77777777" w:rsidTr="002C5674">
        <w:trPr>
          <w:cantSplit/>
          <w:jc w:val="center"/>
        </w:trPr>
        <w:tc>
          <w:tcPr>
            <w:tcW w:w="0" w:type="auto"/>
            <w:tcBorders>
              <w:top w:val="nil"/>
              <w:bottom w:val="single" w:sz="4" w:space="0" w:color="auto"/>
            </w:tcBorders>
            <w:shd w:val="clear" w:color="auto" w:fill="auto"/>
          </w:tcPr>
          <w:p w14:paraId="76C0D0A1" w14:textId="1998958F" w:rsidR="002C5674" w:rsidRPr="00BA6BDC" w:rsidRDefault="002C5674" w:rsidP="002C5674">
            <w:pPr>
              <w:pStyle w:val="TblTextCenter"/>
            </w:pPr>
            <w:r w:rsidRPr="00BA6BDC">
              <w:t xml:space="preserve"> - ID route</w:t>
            </w:r>
          </w:p>
        </w:tc>
        <w:tc>
          <w:tcPr>
            <w:tcW w:w="1902" w:type="dxa"/>
            <w:tcBorders>
              <w:top w:val="nil"/>
              <w:bottom w:val="single" w:sz="4" w:space="0" w:color="auto"/>
            </w:tcBorders>
            <w:shd w:val="clear" w:color="auto" w:fill="auto"/>
          </w:tcPr>
          <w:p w14:paraId="5E1099E9" w14:textId="77777777" w:rsidR="002C5674" w:rsidRPr="00BA6BDC" w:rsidRDefault="002C5674" w:rsidP="002C5674">
            <w:pPr>
              <w:pStyle w:val="TblTextCenter"/>
            </w:pPr>
            <w:r w:rsidRPr="00BA6BDC">
              <w:t>-</w:t>
            </w:r>
          </w:p>
        </w:tc>
        <w:tc>
          <w:tcPr>
            <w:tcW w:w="3918" w:type="dxa"/>
            <w:tcBorders>
              <w:top w:val="nil"/>
              <w:bottom w:val="single" w:sz="4" w:space="0" w:color="auto"/>
            </w:tcBorders>
            <w:shd w:val="clear" w:color="auto" w:fill="auto"/>
          </w:tcPr>
          <w:p w14:paraId="3DED6F5D" w14:textId="77777777" w:rsidR="002C5674" w:rsidRPr="00BA6BDC" w:rsidRDefault="002C5674" w:rsidP="002C5674">
            <w:pPr>
              <w:pStyle w:val="TblTextCenter"/>
            </w:pPr>
            <w:r w:rsidRPr="00BA6BDC">
              <w:t>-</w:t>
            </w:r>
          </w:p>
        </w:tc>
      </w:tr>
      <w:tr w:rsidR="002C5674" w:rsidRPr="00BA6BDC" w14:paraId="62BB2D7B" w14:textId="77777777" w:rsidTr="002C5674">
        <w:trPr>
          <w:cantSplit/>
          <w:jc w:val="center"/>
        </w:trPr>
        <w:tc>
          <w:tcPr>
            <w:tcW w:w="0" w:type="auto"/>
            <w:tcBorders>
              <w:bottom w:val="nil"/>
            </w:tcBorders>
            <w:shd w:val="clear" w:color="auto" w:fill="auto"/>
          </w:tcPr>
          <w:p w14:paraId="2815234F" w14:textId="18508FE6" w:rsidR="002C5674" w:rsidRPr="00BA6BDC" w:rsidRDefault="002C5674" w:rsidP="002C5674">
            <w:pPr>
              <w:pStyle w:val="TblTextCenter"/>
            </w:pPr>
            <w:r w:rsidRPr="00BA6BDC">
              <w:t xml:space="preserve">Injection site </w:t>
            </w:r>
            <w:proofErr w:type="spellStart"/>
            <w:r w:rsidRPr="00BA6BDC">
              <w:t>haematoma</w:t>
            </w:r>
            <w:proofErr w:type="spellEnd"/>
            <w:r w:rsidR="004635C5" w:rsidRPr="00BA6BDC">
              <w:t xml:space="preserve"> </w:t>
            </w:r>
          </w:p>
        </w:tc>
        <w:tc>
          <w:tcPr>
            <w:tcW w:w="1902" w:type="dxa"/>
            <w:tcBorders>
              <w:bottom w:val="nil"/>
            </w:tcBorders>
            <w:shd w:val="clear" w:color="auto" w:fill="auto"/>
          </w:tcPr>
          <w:p w14:paraId="4DF8563B" w14:textId="77777777" w:rsidR="002C5674" w:rsidRPr="00BA6BDC" w:rsidRDefault="002C5674" w:rsidP="002C5674">
            <w:pPr>
              <w:pStyle w:val="TblTextCenter"/>
            </w:pPr>
            <w:r w:rsidRPr="00BA6BDC">
              <w:t>-</w:t>
            </w:r>
          </w:p>
        </w:tc>
        <w:tc>
          <w:tcPr>
            <w:tcW w:w="3918" w:type="dxa"/>
            <w:tcBorders>
              <w:bottom w:val="nil"/>
            </w:tcBorders>
            <w:shd w:val="clear" w:color="auto" w:fill="auto"/>
          </w:tcPr>
          <w:p w14:paraId="4B10E8AE" w14:textId="77777777" w:rsidR="002C5674" w:rsidRPr="00BA6BDC" w:rsidRDefault="002C5674" w:rsidP="002C5674">
            <w:pPr>
              <w:pStyle w:val="TblTextCenter"/>
            </w:pPr>
            <w:r w:rsidRPr="00BA6BDC">
              <w:t>-</w:t>
            </w:r>
          </w:p>
        </w:tc>
      </w:tr>
      <w:tr w:rsidR="002C5674" w:rsidRPr="00BA6BDC" w14:paraId="0E6965A2" w14:textId="77777777" w:rsidTr="002C5674">
        <w:trPr>
          <w:cantSplit/>
          <w:jc w:val="center"/>
        </w:trPr>
        <w:tc>
          <w:tcPr>
            <w:tcW w:w="0" w:type="auto"/>
            <w:tcBorders>
              <w:top w:val="nil"/>
              <w:bottom w:val="nil"/>
            </w:tcBorders>
            <w:shd w:val="clear" w:color="auto" w:fill="auto"/>
          </w:tcPr>
          <w:p w14:paraId="2AED6EEC" w14:textId="09FC49F1" w:rsidR="002C5674" w:rsidRPr="00BA6BDC" w:rsidRDefault="002C5674" w:rsidP="002C5674">
            <w:pPr>
              <w:pStyle w:val="TblTextCenter"/>
            </w:pPr>
            <w:r w:rsidRPr="00BA6BDC">
              <w:t>- IM route</w:t>
            </w:r>
          </w:p>
        </w:tc>
        <w:tc>
          <w:tcPr>
            <w:tcW w:w="1902" w:type="dxa"/>
            <w:tcBorders>
              <w:top w:val="nil"/>
              <w:bottom w:val="nil"/>
            </w:tcBorders>
            <w:shd w:val="clear" w:color="auto" w:fill="auto"/>
          </w:tcPr>
          <w:p w14:paraId="71C5246E" w14:textId="77777777" w:rsidR="002C5674" w:rsidRPr="00BA6BDC" w:rsidRDefault="002C5674" w:rsidP="002C5674">
            <w:pPr>
              <w:pStyle w:val="TblTextCenter"/>
            </w:pPr>
          </w:p>
        </w:tc>
        <w:tc>
          <w:tcPr>
            <w:tcW w:w="3918" w:type="dxa"/>
            <w:tcBorders>
              <w:top w:val="nil"/>
              <w:bottom w:val="nil"/>
            </w:tcBorders>
            <w:shd w:val="clear" w:color="auto" w:fill="auto"/>
          </w:tcPr>
          <w:p w14:paraId="331381DA" w14:textId="77777777" w:rsidR="002C5674" w:rsidRPr="00BA6BDC" w:rsidRDefault="002C5674" w:rsidP="002C5674">
            <w:pPr>
              <w:pStyle w:val="TblTextCenter"/>
            </w:pPr>
          </w:p>
        </w:tc>
      </w:tr>
      <w:tr w:rsidR="002C5674" w:rsidRPr="00BA6BDC" w14:paraId="502DE10B" w14:textId="77777777" w:rsidTr="002C5674">
        <w:trPr>
          <w:cantSplit/>
          <w:jc w:val="center"/>
        </w:trPr>
        <w:tc>
          <w:tcPr>
            <w:tcW w:w="0" w:type="auto"/>
            <w:tcBorders>
              <w:top w:val="nil"/>
            </w:tcBorders>
            <w:shd w:val="clear" w:color="auto" w:fill="auto"/>
          </w:tcPr>
          <w:p w14:paraId="41CCB275" w14:textId="02CF6916" w:rsidR="002C5674" w:rsidRPr="00BA6BDC" w:rsidRDefault="002C5674" w:rsidP="002C5674">
            <w:pPr>
              <w:pStyle w:val="TblTextCenter"/>
            </w:pPr>
            <w:r w:rsidRPr="00BA6BDC">
              <w:t xml:space="preserve"> - ID route</w:t>
            </w:r>
          </w:p>
        </w:tc>
        <w:tc>
          <w:tcPr>
            <w:tcW w:w="1902" w:type="dxa"/>
            <w:tcBorders>
              <w:top w:val="nil"/>
            </w:tcBorders>
            <w:shd w:val="clear" w:color="auto" w:fill="auto"/>
          </w:tcPr>
          <w:p w14:paraId="64E7061F" w14:textId="6C513785" w:rsidR="002C5674" w:rsidRPr="00BA6BDC" w:rsidRDefault="002C5674" w:rsidP="002C5674">
            <w:pPr>
              <w:pStyle w:val="TblTextCenter"/>
            </w:pPr>
            <w:r w:rsidRPr="00BA6BDC">
              <w:t>Uncommon – 0.</w:t>
            </w:r>
            <w:r w:rsidR="00DE672B" w:rsidRPr="00BA6BDC">
              <w:t>3</w:t>
            </w:r>
            <w:r w:rsidRPr="00BA6BDC">
              <w:t>%</w:t>
            </w:r>
          </w:p>
        </w:tc>
        <w:tc>
          <w:tcPr>
            <w:tcW w:w="3918" w:type="dxa"/>
            <w:tcBorders>
              <w:top w:val="nil"/>
            </w:tcBorders>
            <w:shd w:val="clear" w:color="auto" w:fill="auto"/>
          </w:tcPr>
          <w:p w14:paraId="0DE2C861" w14:textId="77777777" w:rsidR="002C5674" w:rsidRPr="00BA6BDC" w:rsidRDefault="002C5674" w:rsidP="002C5674">
            <w:pPr>
              <w:pStyle w:val="TblTextCenter"/>
            </w:pPr>
            <w:r w:rsidRPr="00BA6BDC">
              <w:t>-</w:t>
            </w:r>
          </w:p>
        </w:tc>
      </w:tr>
      <w:tr w:rsidR="002C5674" w:rsidRPr="00BA6BDC" w14:paraId="62687005" w14:textId="77777777" w:rsidTr="002C5674">
        <w:trPr>
          <w:cantSplit/>
          <w:jc w:val="center"/>
        </w:trPr>
        <w:tc>
          <w:tcPr>
            <w:tcW w:w="0" w:type="auto"/>
            <w:shd w:val="clear" w:color="auto" w:fill="auto"/>
          </w:tcPr>
          <w:p w14:paraId="0B1F387E" w14:textId="77777777" w:rsidR="002C5674" w:rsidRPr="00BA6BDC" w:rsidRDefault="002C5674" w:rsidP="002C5674">
            <w:pPr>
              <w:pStyle w:val="TblTextCenter"/>
            </w:pPr>
            <w:r w:rsidRPr="00BA6BDC">
              <w:t>Malaise</w:t>
            </w:r>
          </w:p>
        </w:tc>
        <w:tc>
          <w:tcPr>
            <w:tcW w:w="1902" w:type="dxa"/>
            <w:shd w:val="clear" w:color="auto" w:fill="auto"/>
          </w:tcPr>
          <w:p w14:paraId="47C6F6EA" w14:textId="77777777" w:rsidR="002C5674" w:rsidRPr="00BA6BDC" w:rsidRDefault="002C5674" w:rsidP="002C5674">
            <w:pPr>
              <w:pStyle w:val="TblTextCenter"/>
            </w:pPr>
            <w:r w:rsidRPr="00BA6BDC">
              <w:t>Very common- 33.9%</w:t>
            </w:r>
          </w:p>
        </w:tc>
        <w:tc>
          <w:tcPr>
            <w:tcW w:w="3918" w:type="dxa"/>
            <w:shd w:val="clear" w:color="auto" w:fill="auto"/>
          </w:tcPr>
          <w:p w14:paraId="36FB513D" w14:textId="77777777" w:rsidR="002C5674" w:rsidRPr="00BA6BDC" w:rsidRDefault="002C5674" w:rsidP="002C5674">
            <w:pPr>
              <w:pStyle w:val="TblTextCenter"/>
            </w:pPr>
            <w:r w:rsidRPr="00BA6BDC">
              <w:t>Very common- 24.4%</w:t>
            </w:r>
          </w:p>
        </w:tc>
      </w:tr>
      <w:tr w:rsidR="002C5674" w:rsidRPr="00BA6BDC" w14:paraId="16B9076C" w14:textId="77777777" w:rsidTr="002C5674">
        <w:trPr>
          <w:cantSplit/>
          <w:jc w:val="center"/>
        </w:trPr>
        <w:tc>
          <w:tcPr>
            <w:tcW w:w="0" w:type="auto"/>
            <w:shd w:val="clear" w:color="auto" w:fill="auto"/>
          </w:tcPr>
          <w:p w14:paraId="5B9E4801" w14:textId="77777777" w:rsidR="002C5674" w:rsidRPr="00BA6BDC" w:rsidRDefault="002C5674" w:rsidP="002C5674">
            <w:pPr>
              <w:pStyle w:val="TblTextCenter"/>
            </w:pPr>
            <w:r w:rsidRPr="00BA6BDC">
              <w:t>Pyrexia</w:t>
            </w:r>
          </w:p>
        </w:tc>
        <w:tc>
          <w:tcPr>
            <w:tcW w:w="1902" w:type="dxa"/>
            <w:shd w:val="clear" w:color="auto" w:fill="auto"/>
          </w:tcPr>
          <w:p w14:paraId="623D468C" w14:textId="02CBDD62" w:rsidR="002C5674" w:rsidRPr="00BA6BDC" w:rsidRDefault="002C5674" w:rsidP="002C5674">
            <w:pPr>
              <w:pStyle w:val="TblTextCenter"/>
            </w:pPr>
            <w:r w:rsidRPr="00BA6BDC">
              <w:t>Common – 4.</w:t>
            </w:r>
            <w:r w:rsidR="00DE672B" w:rsidRPr="00BA6BDC">
              <w:t>2</w:t>
            </w:r>
            <w:r w:rsidRPr="00BA6BDC">
              <w:t>%</w:t>
            </w:r>
          </w:p>
        </w:tc>
        <w:tc>
          <w:tcPr>
            <w:tcW w:w="3918" w:type="dxa"/>
            <w:shd w:val="clear" w:color="auto" w:fill="auto"/>
          </w:tcPr>
          <w:p w14:paraId="63C8502F" w14:textId="77777777" w:rsidR="002C5674" w:rsidRPr="00BA6BDC" w:rsidRDefault="002C5674" w:rsidP="002C5674">
            <w:pPr>
              <w:pStyle w:val="TblTextCenter"/>
            </w:pPr>
            <w:r w:rsidRPr="00BA6BDC">
              <w:t>Common – 9.9 %</w:t>
            </w:r>
          </w:p>
        </w:tc>
      </w:tr>
      <w:tr w:rsidR="002C5674" w:rsidRPr="00BA6BDC" w14:paraId="7F4E33F3" w14:textId="77777777" w:rsidTr="002C5674">
        <w:trPr>
          <w:cantSplit/>
          <w:jc w:val="center"/>
        </w:trPr>
        <w:tc>
          <w:tcPr>
            <w:tcW w:w="0" w:type="auto"/>
            <w:shd w:val="clear" w:color="auto" w:fill="auto"/>
          </w:tcPr>
          <w:p w14:paraId="535E86BC" w14:textId="77777777" w:rsidR="002C5674" w:rsidRPr="00BA6BDC" w:rsidRDefault="002C5674" w:rsidP="002C5674">
            <w:pPr>
              <w:pStyle w:val="TblTextCenter"/>
            </w:pPr>
            <w:r w:rsidRPr="00BA6BDC">
              <w:t>Asthenia</w:t>
            </w:r>
          </w:p>
        </w:tc>
        <w:tc>
          <w:tcPr>
            <w:tcW w:w="1902" w:type="dxa"/>
            <w:shd w:val="clear" w:color="auto" w:fill="auto"/>
          </w:tcPr>
          <w:p w14:paraId="6C63C598" w14:textId="61F8BA03" w:rsidR="002C5674" w:rsidRPr="00BA6BDC" w:rsidRDefault="002C5674" w:rsidP="002C5674">
            <w:pPr>
              <w:pStyle w:val="TblTextCenter"/>
            </w:pPr>
            <w:r w:rsidRPr="00BA6BDC">
              <w:t>Uncommon - 0.</w:t>
            </w:r>
            <w:r w:rsidR="00DE672B" w:rsidRPr="00BA6BDC">
              <w:t>8</w:t>
            </w:r>
            <w:r w:rsidRPr="00BA6BDC">
              <w:t xml:space="preserve"> %</w:t>
            </w:r>
          </w:p>
        </w:tc>
        <w:tc>
          <w:tcPr>
            <w:tcW w:w="3918" w:type="dxa"/>
            <w:shd w:val="clear" w:color="auto" w:fill="auto"/>
          </w:tcPr>
          <w:p w14:paraId="4AA03641" w14:textId="77777777" w:rsidR="002C5674" w:rsidRPr="00BA6BDC" w:rsidRDefault="002C5674" w:rsidP="002C5674">
            <w:pPr>
              <w:pStyle w:val="TblTextCenter"/>
            </w:pPr>
            <w:r w:rsidRPr="00BA6BDC">
              <w:t>-</w:t>
            </w:r>
          </w:p>
        </w:tc>
      </w:tr>
      <w:tr w:rsidR="002C5674" w:rsidRPr="00BA6BDC" w14:paraId="272E7EAD" w14:textId="77777777" w:rsidTr="002C5674">
        <w:trPr>
          <w:cantSplit/>
          <w:jc w:val="center"/>
        </w:trPr>
        <w:tc>
          <w:tcPr>
            <w:tcW w:w="0" w:type="auto"/>
            <w:shd w:val="clear" w:color="auto" w:fill="auto"/>
          </w:tcPr>
          <w:p w14:paraId="762BF765" w14:textId="77777777" w:rsidR="002C5674" w:rsidRPr="00BA6BDC" w:rsidRDefault="002C5674" w:rsidP="002C5674">
            <w:pPr>
              <w:pStyle w:val="TblTextCenter"/>
            </w:pPr>
            <w:r w:rsidRPr="00BA6BDC">
              <w:t xml:space="preserve">Chills </w:t>
            </w:r>
          </w:p>
        </w:tc>
        <w:tc>
          <w:tcPr>
            <w:tcW w:w="1902" w:type="dxa"/>
            <w:shd w:val="clear" w:color="auto" w:fill="auto"/>
          </w:tcPr>
          <w:p w14:paraId="0FBEE34B" w14:textId="77777777" w:rsidR="002C5674" w:rsidRPr="00BA6BDC" w:rsidRDefault="002C5674" w:rsidP="002C5674">
            <w:pPr>
              <w:pStyle w:val="TblTextCenter"/>
            </w:pPr>
            <w:r w:rsidRPr="00BA6BDC">
              <w:t>Uncommon - 0.2 %</w:t>
            </w:r>
          </w:p>
        </w:tc>
        <w:tc>
          <w:tcPr>
            <w:tcW w:w="3918" w:type="dxa"/>
            <w:shd w:val="clear" w:color="auto" w:fill="auto"/>
          </w:tcPr>
          <w:p w14:paraId="292262A1" w14:textId="77777777" w:rsidR="002C5674" w:rsidRPr="00BA6BDC" w:rsidRDefault="002C5674" w:rsidP="002C5674">
            <w:pPr>
              <w:pStyle w:val="TblTextCenter"/>
            </w:pPr>
            <w:r w:rsidRPr="00BA6BDC">
              <w:t>Uncommon - 0.2 %</w:t>
            </w:r>
          </w:p>
        </w:tc>
      </w:tr>
      <w:tr w:rsidR="002C5674" w:rsidRPr="00BA6BDC" w14:paraId="73F611A2" w14:textId="77777777" w:rsidTr="002C5674">
        <w:trPr>
          <w:cantSplit/>
          <w:jc w:val="center"/>
        </w:trPr>
        <w:tc>
          <w:tcPr>
            <w:tcW w:w="0" w:type="auto"/>
            <w:shd w:val="clear" w:color="auto" w:fill="auto"/>
          </w:tcPr>
          <w:p w14:paraId="3DBE7190" w14:textId="77777777" w:rsidR="002C5674" w:rsidRPr="00BA6BDC" w:rsidRDefault="002C5674" w:rsidP="002C5674">
            <w:pPr>
              <w:pStyle w:val="TblTextCenter"/>
            </w:pPr>
            <w:r w:rsidRPr="00BA6BDC">
              <w:t>Inconsolable Crying (in infants/toddlers only)</w:t>
            </w:r>
          </w:p>
        </w:tc>
        <w:tc>
          <w:tcPr>
            <w:tcW w:w="1902" w:type="dxa"/>
            <w:shd w:val="clear" w:color="auto" w:fill="auto"/>
          </w:tcPr>
          <w:p w14:paraId="4E177C6D" w14:textId="77777777" w:rsidR="002C5674" w:rsidRPr="00BA6BDC" w:rsidRDefault="002C5674" w:rsidP="002C5674">
            <w:pPr>
              <w:pStyle w:val="TblTextCenter"/>
            </w:pPr>
            <w:r w:rsidRPr="00BA6BDC">
              <w:t>-</w:t>
            </w:r>
          </w:p>
        </w:tc>
        <w:tc>
          <w:tcPr>
            <w:tcW w:w="3918" w:type="dxa"/>
            <w:shd w:val="clear" w:color="auto" w:fill="auto"/>
          </w:tcPr>
          <w:p w14:paraId="760D36A3" w14:textId="108F8F43" w:rsidR="002C5674" w:rsidRPr="00BA6BDC" w:rsidRDefault="002C5674" w:rsidP="002C5674">
            <w:pPr>
              <w:pStyle w:val="TblTextCenter"/>
            </w:pPr>
            <w:r w:rsidRPr="00BA6BDC">
              <w:t>Very common- 23.5</w:t>
            </w:r>
            <w:r w:rsidR="006C70BF" w:rsidRPr="00BA6BDC">
              <w:t>%</w:t>
            </w:r>
          </w:p>
        </w:tc>
      </w:tr>
      <w:tr w:rsidR="002C5674" w:rsidRPr="00BA6BDC" w14:paraId="652097A0" w14:textId="77777777" w:rsidTr="002C5674">
        <w:trPr>
          <w:cantSplit/>
          <w:jc w:val="center"/>
        </w:trPr>
        <w:tc>
          <w:tcPr>
            <w:tcW w:w="0" w:type="auto"/>
            <w:gridSpan w:val="3"/>
            <w:shd w:val="clear" w:color="auto" w:fill="auto"/>
          </w:tcPr>
          <w:p w14:paraId="420F6EF5" w14:textId="77777777" w:rsidR="002C5674" w:rsidRPr="00BA6BDC" w:rsidRDefault="002C5674" w:rsidP="002C5674">
            <w:pPr>
              <w:pStyle w:val="TblTextCenter"/>
              <w:jc w:val="left"/>
              <w:rPr>
                <w:b/>
                <w:bCs/>
              </w:rPr>
            </w:pPr>
            <w:r w:rsidRPr="00BA6BDC">
              <w:rPr>
                <w:b/>
                <w:bCs/>
              </w:rPr>
              <w:t>SOC: Nervous system disorders</w:t>
            </w:r>
          </w:p>
        </w:tc>
      </w:tr>
      <w:tr w:rsidR="002C5674" w:rsidRPr="00BA6BDC" w14:paraId="19DFBFB3" w14:textId="77777777" w:rsidTr="002C5674">
        <w:trPr>
          <w:cantSplit/>
          <w:jc w:val="center"/>
        </w:trPr>
        <w:tc>
          <w:tcPr>
            <w:tcW w:w="0" w:type="auto"/>
            <w:shd w:val="clear" w:color="auto" w:fill="auto"/>
          </w:tcPr>
          <w:p w14:paraId="2E65C12C" w14:textId="77777777" w:rsidR="002C5674" w:rsidRPr="00BA6BDC" w:rsidRDefault="002C5674" w:rsidP="002C5674">
            <w:pPr>
              <w:pStyle w:val="TblTextCenter"/>
            </w:pPr>
            <w:r w:rsidRPr="00BA6BDC">
              <w:t>Headache</w:t>
            </w:r>
          </w:p>
        </w:tc>
        <w:tc>
          <w:tcPr>
            <w:tcW w:w="1902" w:type="dxa"/>
            <w:shd w:val="clear" w:color="auto" w:fill="auto"/>
          </w:tcPr>
          <w:p w14:paraId="10B08BFB" w14:textId="1E04F4E3" w:rsidR="002C5674" w:rsidRPr="00BA6BDC" w:rsidRDefault="002C5674" w:rsidP="002C5674">
            <w:pPr>
              <w:pStyle w:val="TblTextCenter"/>
            </w:pPr>
            <w:r w:rsidRPr="00BA6BDC">
              <w:t>Very common- 3</w:t>
            </w:r>
            <w:r w:rsidR="00DE672B" w:rsidRPr="00BA6BDC">
              <w:t>4.6</w:t>
            </w:r>
            <w:r w:rsidRPr="00BA6BDC">
              <w:t>%</w:t>
            </w:r>
          </w:p>
        </w:tc>
        <w:tc>
          <w:tcPr>
            <w:tcW w:w="3918" w:type="dxa"/>
            <w:shd w:val="clear" w:color="auto" w:fill="auto"/>
          </w:tcPr>
          <w:p w14:paraId="5FF6CB3D" w14:textId="3F33733E" w:rsidR="002C5674" w:rsidRPr="00BA6BDC" w:rsidRDefault="002C5674" w:rsidP="002C5674">
            <w:pPr>
              <w:pStyle w:val="TblTextCenter"/>
            </w:pPr>
            <w:r w:rsidRPr="00BA6BDC">
              <w:t>Very common- 24.</w:t>
            </w:r>
            <w:r w:rsidR="00DE672B" w:rsidRPr="00BA6BDC">
              <w:t>3</w:t>
            </w:r>
            <w:r w:rsidRPr="00BA6BDC">
              <w:t>%</w:t>
            </w:r>
          </w:p>
        </w:tc>
      </w:tr>
      <w:tr w:rsidR="002C5674" w:rsidRPr="00BA6BDC" w14:paraId="53A6E4FB" w14:textId="77777777" w:rsidTr="002C5674">
        <w:trPr>
          <w:cantSplit/>
          <w:jc w:val="center"/>
        </w:trPr>
        <w:tc>
          <w:tcPr>
            <w:tcW w:w="0" w:type="auto"/>
            <w:shd w:val="clear" w:color="auto" w:fill="auto"/>
          </w:tcPr>
          <w:p w14:paraId="37C9F604" w14:textId="77777777" w:rsidR="002C5674" w:rsidRPr="00BA6BDC" w:rsidRDefault="002C5674" w:rsidP="002C5674">
            <w:pPr>
              <w:pStyle w:val="TblTextCenter"/>
            </w:pPr>
            <w:r w:rsidRPr="00BA6BDC">
              <w:t>Dizziness /vertigo</w:t>
            </w:r>
          </w:p>
        </w:tc>
        <w:tc>
          <w:tcPr>
            <w:tcW w:w="1902" w:type="dxa"/>
            <w:shd w:val="clear" w:color="auto" w:fill="auto"/>
          </w:tcPr>
          <w:p w14:paraId="59EFD5F0" w14:textId="33D8F601" w:rsidR="002C5674" w:rsidRPr="00BA6BDC" w:rsidRDefault="002C5674" w:rsidP="002C5674">
            <w:pPr>
              <w:pStyle w:val="TblTextCenter"/>
            </w:pPr>
            <w:r w:rsidRPr="00BA6BDC">
              <w:t>Uncommon - 0.</w:t>
            </w:r>
            <w:r w:rsidR="00DE672B" w:rsidRPr="00BA6BDC">
              <w:t>3</w:t>
            </w:r>
            <w:r w:rsidRPr="00BA6BDC">
              <w:t xml:space="preserve"> %</w:t>
            </w:r>
          </w:p>
        </w:tc>
        <w:tc>
          <w:tcPr>
            <w:tcW w:w="3918" w:type="dxa"/>
            <w:shd w:val="clear" w:color="auto" w:fill="auto"/>
          </w:tcPr>
          <w:p w14:paraId="60EF33E6" w14:textId="77777777" w:rsidR="002C5674" w:rsidRPr="00BA6BDC" w:rsidRDefault="002C5674" w:rsidP="002C5674">
            <w:pPr>
              <w:pStyle w:val="TblTextCenter"/>
            </w:pPr>
            <w:r w:rsidRPr="00BA6BDC">
              <w:t>-</w:t>
            </w:r>
          </w:p>
        </w:tc>
      </w:tr>
      <w:tr w:rsidR="002C5674" w:rsidRPr="00BA6BDC" w14:paraId="1D48F226" w14:textId="77777777" w:rsidTr="002C5674">
        <w:trPr>
          <w:cantSplit/>
          <w:jc w:val="center"/>
        </w:trPr>
        <w:tc>
          <w:tcPr>
            <w:tcW w:w="0" w:type="auto"/>
            <w:shd w:val="clear" w:color="auto" w:fill="auto"/>
          </w:tcPr>
          <w:p w14:paraId="44AB56A3" w14:textId="77777777" w:rsidR="002C5674" w:rsidRPr="00BA6BDC" w:rsidRDefault="002C5674" w:rsidP="002C5674">
            <w:pPr>
              <w:pStyle w:val="TblTextCenter"/>
            </w:pPr>
            <w:r w:rsidRPr="00BA6BDC">
              <w:t>Somnolence (in infants/toddlers only)</w:t>
            </w:r>
          </w:p>
        </w:tc>
        <w:tc>
          <w:tcPr>
            <w:tcW w:w="1902" w:type="dxa"/>
            <w:shd w:val="clear" w:color="auto" w:fill="auto"/>
          </w:tcPr>
          <w:p w14:paraId="7C2782CD" w14:textId="77777777" w:rsidR="002C5674" w:rsidRPr="00BA6BDC" w:rsidRDefault="002C5674" w:rsidP="002C5674">
            <w:pPr>
              <w:pStyle w:val="TblTextCenter"/>
            </w:pPr>
            <w:r w:rsidRPr="00BA6BDC">
              <w:t>-</w:t>
            </w:r>
          </w:p>
        </w:tc>
        <w:tc>
          <w:tcPr>
            <w:tcW w:w="3918" w:type="dxa"/>
            <w:shd w:val="clear" w:color="auto" w:fill="auto"/>
          </w:tcPr>
          <w:p w14:paraId="12D1FFA4" w14:textId="77777777" w:rsidR="002C5674" w:rsidRPr="00BA6BDC" w:rsidRDefault="002C5674" w:rsidP="002C5674">
            <w:pPr>
              <w:pStyle w:val="TblTextCenter"/>
            </w:pPr>
            <w:r w:rsidRPr="00BA6BDC">
              <w:t>Very common – 17.6 %</w:t>
            </w:r>
          </w:p>
        </w:tc>
      </w:tr>
      <w:tr w:rsidR="002C5674" w:rsidRPr="00BA6BDC" w14:paraId="43A1E1FB" w14:textId="77777777" w:rsidTr="002C5674">
        <w:trPr>
          <w:cantSplit/>
          <w:jc w:val="center"/>
        </w:trPr>
        <w:tc>
          <w:tcPr>
            <w:tcW w:w="0" w:type="auto"/>
            <w:shd w:val="clear" w:color="auto" w:fill="auto"/>
          </w:tcPr>
          <w:p w14:paraId="127E5ECB" w14:textId="77777777" w:rsidR="002C5674" w:rsidRPr="00BA6BDC" w:rsidRDefault="002C5674" w:rsidP="002C5674">
            <w:pPr>
              <w:pStyle w:val="TblTextCenter"/>
            </w:pPr>
            <w:r w:rsidRPr="00BA6BDC">
              <w:t>Irritability (in infants/toddlers only)</w:t>
            </w:r>
          </w:p>
        </w:tc>
        <w:tc>
          <w:tcPr>
            <w:tcW w:w="1902" w:type="dxa"/>
            <w:shd w:val="clear" w:color="auto" w:fill="auto"/>
          </w:tcPr>
          <w:p w14:paraId="15075410" w14:textId="77777777" w:rsidR="002C5674" w:rsidRPr="00BA6BDC" w:rsidRDefault="002C5674" w:rsidP="002C5674">
            <w:pPr>
              <w:pStyle w:val="TblTextCenter"/>
            </w:pPr>
            <w:r w:rsidRPr="00BA6BDC">
              <w:t>-</w:t>
            </w:r>
          </w:p>
        </w:tc>
        <w:tc>
          <w:tcPr>
            <w:tcW w:w="3918" w:type="dxa"/>
            <w:shd w:val="clear" w:color="auto" w:fill="auto"/>
          </w:tcPr>
          <w:p w14:paraId="553093C5" w14:textId="77777777" w:rsidR="002C5674" w:rsidRPr="00BA6BDC" w:rsidRDefault="002C5674" w:rsidP="002C5674">
            <w:pPr>
              <w:pStyle w:val="TblTextCenter"/>
            </w:pPr>
            <w:r w:rsidRPr="00BA6BDC">
              <w:t>Very common – 35.3 %</w:t>
            </w:r>
          </w:p>
        </w:tc>
      </w:tr>
      <w:tr w:rsidR="002C5674" w:rsidRPr="00BA6BDC" w14:paraId="7424544B" w14:textId="77777777" w:rsidTr="002C5674">
        <w:trPr>
          <w:cantSplit/>
          <w:jc w:val="center"/>
        </w:trPr>
        <w:tc>
          <w:tcPr>
            <w:tcW w:w="0" w:type="auto"/>
            <w:gridSpan w:val="3"/>
            <w:shd w:val="clear" w:color="auto" w:fill="auto"/>
          </w:tcPr>
          <w:p w14:paraId="346725DD" w14:textId="77777777" w:rsidR="002C5674" w:rsidRPr="00BA6BDC" w:rsidRDefault="002C5674" w:rsidP="002C5674">
            <w:pPr>
              <w:pStyle w:val="TblTextCenter"/>
              <w:jc w:val="left"/>
              <w:rPr>
                <w:b/>
                <w:bCs/>
              </w:rPr>
            </w:pPr>
            <w:r w:rsidRPr="00BA6BDC">
              <w:rPr>
                <w:b/>
                <w:bCs/>
              </w:rPr>
              <w:t>SOC: Metabolism and nutrition disorders</w:t>
            </w:r>
          </w:p>
        </w:tc>
      </w:tr>
      <w:tr w:rsidR="002C5674" w:rsidRPr="00BA6BDC" w14:paraId="19B0213F" w14:textId="77777777" w:rsidTr="002C5674">
        <w:trPr>
          <w:cantSplit/>
          <w:jc w:val="center"/>
        </w:trPr>
        <w:tc>
          <w:tcPr>
            <w:tcW w:w="0" w:type="auto"/>
            <w:shd w:val="clear" w:color="auto" w:fill="auto"/>
          </w:tcPr>
          <w:p w14:paraId="30C2A640" w14:textId="77777777" w:rsidR="002C5674" w:rsidRPr="00BA6BDC" w:rsidRDefault="002C5674" w:rsidP="002C5674">
            <w:pPr>
              <w:pStyle w:val="TblTextCenter"/>
            </w:pPr>
            <w:r w:rsidRPr="00BA6BDC">
              <w:t>Decreased appetite</w:t>
            </w:r>
          </w:p>
        </w:tc>
        <w:tc>
          <w:tcPr>
            <w:tcW w:w="1902" w:type="dxa"/>
            <w:shd w:val="clear" w:color="auto" w:fill="auto"/>
          </w:tcPr>
          <w:p w14:paraId="3670B965" w14:textId="77777777" w:rsidR="002C5674" w:rsidRPr="00BA6BDC" w:rsidRDefault="002C5674" w:rsidP="002C5674">
            <w:pPr>
              <w:pStyle w:val="TblTextCenter"/>
            </w:pPr>
            <w:r w:rsidRPr="00BA6BDC">
              <w:t>Uncommon – 0.2%</w:t>
            </w:r>
          </w:p>
        </w:tc>
        <w:tc>
          <w:tcPr>
            <w:tcW w:w="3918" w:type="dxa"/>
            <w:shd w:val="clear" w:color="auto" w:fill="auto"/>
          </w:tcPr>
          <w:p w14:paraId="1D8530DC" w14:textId="3F735222" w:rsidR="002C5674" w:rsidRPr="00BA6BDC" w:rsidRDefault="00763F30" w:rsidP="002C5674">
            <w:pPr>
              <w:pStyle w:val="TblTextCenter"/>
            </w:pPr>
            <w:r w:rsidRPr="00BA6BDC">
              <w:t xml:space="preserve">Uncommon </w:t>
            </w:r>
            <w:r w:rsidR="002C5674" w:rsidRPr="00BA6BDC">
              <w:t xml:space="preserve">– </w:t>
            </w:r>
            <w:r w:rsidR="00DE672B" w:rsidRPr="00BA6BDC">
              <w:t>0.9</w:t>
            </w:r>
            <w:r w:rsidR="002C5674" w:rsidRPr="00BA6BDC">
              <w:t xml:space="preserve"> %</w:t>
            </w:r>
          </w:p>
        </w:tc>
      </w:tr>
      <w:tr w:rsidR="002C5674" w:rsidRPr="00BA6BDC" w14:paraId="0DE2A16F" w14:textId="77777777" w:rsidTr="002C5674">
        <w:trPr>
          <w:cantSplit/>
          <w:jc w:val="center"/>
        </w:trPr>
        <w:tc>
          <w:tcPr>
            <w:tcW w:w="0" w:type="auto"/>
            <w:gridSpan w:val="3"/>
            <w:shd w:val="clear" w:color="auto" w:fill="auto"/>
          </w:tcPr>
          <w:p w14:paraId="14F81FA4" w14:textId="77777777" w:rsidR="002C5674" w:rsidRPr="00BA6BDC" w:rsidRDefault="002C5674" w:rsidP="002C5674">
            <w:pPr>
              <w:pStyle w:val="TblTextCenter"/>
              <w:jc w:val="left"/>
              <w:rPr>
                <w:b/>
                <w:bCs/>
              </w:rPr>
            </w:pPr>
            <w:r w:rsidRPr="00BA6BDC">
              <w:rPr>
                <w:b/>
                <w:bCs/>
              </w:rPr>
              <w:t>SOC: Musculoskeletal and connective tissue disorders</w:t>
            </w:r>
          </w:p>
        </w:tc>
      </w:tr>
      <w:tr w:rsidR="002C5674" w:rsidRPr="00BA6BDC" w14:paraId="48992141" w14:textId="77777777" w:rsidTr="002C5674">
        <w:trPr>
          <w:cantSplit/>
          <w:jc w:val="center"/>
        </w:trPr>
        <w:tc>
          <w:tcPr>
            <w:tcW w:w="0" w:type="auto"/>
            <w:shd w:val="clear" w:color="auto" w:fill="auto"/>
          </w:tcPr>
          <w:p w14:paraId="4A57E468" w14:textId="77777777" w:rsidR="002C5674" w:rsidRPr="00BA6BDC" w:rsidRDefault="002C5674" w:rsidP="002C5674">
            <w:pPr>
              <w:pStyle w:val="TblTextCenter"/>
            </w:pPr>
            <w:r w:rsidRPr="00BA6BDC">
              <w:t>Myalgia</w:t>
            </w:r>
          </w:p>
        </w:tc>
        <w:tc>
          <w:tcPr>
            <w:tcW w:w="1902" w:type="dxa"/>
            <w:shd w:val="clear" w:color="auto" w:fill="auto"/>
          </w:tcPr>
          <w:p w14:paraId="28E255C1" w14:textId="475ABE5E" w:rsidR="002C5674" w:rsidRPr="00BA6BDC" w:rsidRDefault="002C5674" w:rsidP="002C5674">
            <w:pPr>
              <w:pStyle w:val="TblTextCenter"/>
            </w:pPr>
            <w:r w:rsidRPr="00BA6BDC">
              <w:t>Very common- 3</w:t>
            </w:r>
            <w:r w:rsidR="00DE672B" w:rsidRPr="00BA6BDC">
              <w:t>0.1</w:t>
            </w:r>
            <w:r w:rsidRPr="00BA6BDC">
              <w:t>%</w:t>
            </w:r>
          </w:p>
        </w:tc>
        <w:tc>
          <w:tcPr>
            <w:tcW w:w="3918" w:type="dxa"/>
            <w:shd w:val="clear" w:color="auto" w:fill="auto"/>
          </w:tcPr>
          <w:p w14:paraId="0002EC3B" w14:textId="7F45F935" w:rsidR="002C5674" w:rsidRPr="00BA6BDC" w:rsidRDefault="002C5674" w:rsidP="002C5674">
            <w:pPr>
              <w:pStyle w:val="TblTextCenter"/>
            </w:pPr>
            <w:r w:rsidRPr="00BA6BDC">
              <w:t>Very common- 2</w:t>
            </w:r>
            <w:r w:rsidR="00DE672B" w:rsidRPr="00BA6BDC">
              <w:t>1.6</w:t>
            </w:r>
            <w:r w:rsidRPr="00BA6BDC">
              <w:t>%</w:t>
            </w:r>
          </w:p>
          <w:p w14:paraId="0E009D24" w14:textId="47D080DC" w:rsidR="002C5674" w:rsidRPr="00BA6BDC" w:rsidRDefault="002C5674" w:rsidP="002C5674">
            <w:pPr>
              <w:pStyle w:val="TblTextCenter"/>
            </w:pPr>
            <w:r w:rsidRPr="00BA6BDC">
              <w:t xml:space="preserve"> </w:t>
            </w:r>
          </w:p>
        </w:tc>
      </w:tr>
    </w:tbl>
    <w:p w14:paraId="5FD133FB" w14:textId="18E3F5E5" w:rsidR="00DE672B" w:rsidRPr="00BA6BDC" w:rsidRDefault="00DE672B" w:rsidP="00D708F3">
      <w:pPr>
        <w:pStyle w:val="TblFigFootnote"/>
        <w:numPr>
          <w:ilvl w:val="0"/>
          <w:numId w:val="34"/>
        </w:numPr>
        <w:rPr>
          <w:lang w:val="en-GB"/>
        </w:rPr>
      </w:pPr>
      <w:r w:rsidRPr="00BA6BDC">
        <w:rPr>
          <w:noProof/>
          <w:vertAlign w:val="superscript"/>
          <w:lang w:val="en-GB"/>
        </w:rPr>
        <mc:AlternateContent>
          <mc:Choice Requires="wps">
            <w:drawing>
              <wp:anchor distT="0" distB="0" distL="114300" distR="114300" simplePos="0" relativeHeight="251656192" behindDoc="1" locked="0" layoutInCell="1" allowOverlap="1" wp14:anchorId="7133CF18" wp14:editId="4C6A31EA">
                <wp:simplePos x="0" y="0"/>
                <wp:positionH relativeFrom="page">
                  <wp:posOffset>3537585</wp:posOffset>
                </wp:positionH>
                <wp:positionV relativeFrom="paragraph">
                  <wp:posOffset>-1041400</wp:posOffset>
                </wp:positionV>
                <wp:extent cx="24130" cy="4445"/>
                <wp:effectExtent l="0" t="0" r="0" b="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 cy="4445"/>
                        </a:xfrm>
                        <a:prstGeom prst="rect">
                          <a:avLst/>
                        </a:prstGeom>
                        <a:solidFill>
                          <a:srgbClr val="B5082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0B05C" id="Rectangle 35" o:spid="_x0000_s1026" style="position:absolute;margin-left:278.55pt;margin-top:-82pt;width:1.9pt;height:.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" fillcolor="#b5082d" stroked="f">
                <w10:wrap anchorx="page"/>
              </v:rect>
            </w:pict>
          </mc:Fallback>
        </mc:AlternateContent>
      </w:r>
      <w:r w:rsidRPr="00BA6BDC">
        <w:rPr>
          <w:noProof/>
          <w:vertAlign w:val="superscript"/>
          <w:lang w:val="en-GB"/>
        </w:rPr>
        <mc:AlternateContent>
          <mc:Choice Requires="wps">
            <w:drawing>
              <wp:anchor distT="0" distB="0" distL="114300" distR="114300" simplePos="0" relativeHeight="251658240" behindDoc="1" locked="0" layoutInCell="1" allowOverlap="1" wp14:anchorId="6B9CC866" wp14:editId="4019830F">
                <wp:simplePos x="0" y="0"/>
                <wp:positionH relativeFrom="page">
                  <wp:posOffset>4794250</wp:posOffset>
                </wp:positionH>
                <wp:positionV relativeFrom="paragraph">
                  <wp:posOffset>-875030</wp:posOffset>
                </wp:positionV>
                <wp:extent cx="24130" cy="4445"/>
                <wp:effectExtent l="0" t="0" r="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 cy="4445"/>
                        </a:xfrm>
                        <a:prstGeom prst="rect">
                          <a:avLst/>
                        </a:prstGeom>
                        <a:solidFill>
                          <a:srgbClr val="B5082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B64BB" id="Rectangle 34" o:spid="_x0000_s1026" style="position:absolute;margin-left:377.5pt;margin-top:-68.9pt;width:1.9pt;height:.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" fillcolor="#b5082d" stroked="f">
                <w10:wrap anchorx="page"/>
              </v:rect>
            </w:pict>
          </mc:Fallback>
        </mc:AlternateContent>
      </w:r>
      <w:r w:rsidRPr="00BA6BDC">
        <w:rPr>
          <w:noProof/>
          <w:vertAlign w:val="superscript"/>
          <w:lang w:val="en-GB"/>
        </w:rPr>
        <mc:AlternateContent>
          <mc:Choice Requires="wps">
            <w:drawing>
              <wp:anchor distT="0" distB="0" distL="114300" distR="114300" simplePos="0" relativeHeight="251660288" behindDoc="1" locked="0" layoutInCell="1" allowOverlap="1" wp14:anchorId="78C0D47B" wp14:editId="4FC304B7">
                <wp:simplePos x="0" y="0"/>
                <wp:positionH relativeFrom="page">
                  <wp:posOffset>4794250</wp:posOffset>
                </wp:positionH>
                <wp:positionV relativeFrom="paragraph">
                  <wp:posOffset>-709295</wp:posOffset>
                </wp:positionV>
                <wp:extent cx="24130" cy="4445"/>
                <wp:effectExtent l="0" t="0" r="0" b="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 cy="4445"/>
                        </a:xfrm>
                        <a:prstGeom prst="rect">
                          <a:avLst/>
                        </a:prstGeom>
                        <a:solidFill>
                          <a:srgbClr val="B5082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7F9EE" id="Rectangle 33" o:spid="_x0000_s1026" style="position:absolute;margin-left:377.5pt;margin-top:-55.85pt;width:1.9pt;height:.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" fillcolor="#b5082d" stroked="f">
                <w10:wrap anchorx="page"/>
              </v:rect>
            </w:pict>
          </mc:Fallback>
        </mc:AlternateContent>
      </w:r>
      <w:r w:rsidRPr="00BA6BDC">
        <w:rPr>
          <w:noProof/>
          <w:vertAlign w:val="superscript"/>
          <w:lang w:val="en-GB"/>
        </w:rPr>
        <mc:AlternateContent>
          <mc:Choice Requires="wps">
            <w:drawing>
              <wp:anchor distT="0" distB="0" distL="114300" distR="114300" simplePos="0" relativeHeight="251662336" behindDoc="1" locked="0" layoutInCell="1" allowOverlap="1" wp14:anchorId="18A47463" wp14:editId="115F471B">
                <wp:simplePos x="0" y="0"/>
                <wp:positionH relativeFrom="page">
                  <wp:posOffset>4954905</wp:posOffset>
                </wp:positionH>
                <wp:positionV relativeFrom="paragraph">
                  <wp:posOffset>-376555</wp:posOffset>
                </wp:positionV>
                <wp:extent cx="22860" cy="4445"/>
                <wp:effectExtent l="0" t="0"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 cy="4445"/>
                        </a:xfrm>
                        <a:prstGeom prst="rect">
                          <a:avLst/>
                        </a:prstGeom>
                        <a:solidFill>
                          <a:srgbClr val="B5082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36C44" id="Rectangle 32" o:spid="_x0000_s1026" style="position:absolute;margin-left:390.15pt;margin-top:-29.65pt;width:1.8pt;height:.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" fillcolor="#b5082d" stroked="f">
                <w10:wrap anchorx="page"/>
              </v:rect>
            </w:pict>
          </mc:Fallback>
        </mc:AlternateContent>
      </w:r>
      <w:r w:rsidRPr="00BA6BDC">
        <w:rPr>
          <w:lang w:val="en-GB"/>
        </w:rPr>
        <w:t>IM route: N=306; ID route: N=318</w:t>
      </w:r>
    </w:p>
    <w:p w14:paraId="31C796D1" w14:textId="0C210F72" w:rsidR="00DE672B" w:rsidRPr="00BA6BDC" w:rsidRDefault="00DE672B" w:rsidP="00D708F3">
      <w:pPr>
        <w:pStyle w:val="TblFigFootnote"/>
        <w:numPr>
          <w:ilvl w:val="0"/>
          <w:numId w:val="34"/>
        </w:numPr>
        <w:rPr>
          <w:lang w:val="en-GB"/>
        </w:rPr>
      </w:pPr>
      <w:r w:rsidRPr="00BA6BDC">
        <w:rPr>
          <w:lang w:val="en-GB"/>
        </w:rPr>
        <w:t>IM route: N=171; ID route: N=356</w:t>
      </w:r>
    </w:p>
    <w:p w14:paraId="79AE13CD" w14:textId="20987566" w:rsidR="00822661" w:rsidRPr="00BA6BDC" w:rsidRDefault="00822661" w:rsidP="00D708F3">
      <w:pPr>
        <w:spacing w:before="0"/>
        <w:rPr>
          <w:bCs/>
          <w:sz w:val="18"/>
          <w:lang w:val="en-GB"/>
        </w:rPr>
      </w:pPr>
      <w:r w:rsidRPr="00BA6BDC">
        <w:rPr>
          <w:rFonts w:ascii="Wingdings 2" w:eastAsia="Wingdings 2" w:hAnsi="Wingdings 2" w:cs="Wingdings 2"/>
          <w:bCs/>
          <w:vertAlign w:val="superscript"/>
          <w:lang w:val="en-GB"/>
        </w:rPr>
        <w:t>□</w:t>
      </w:r>
      <w:r w:rsidRPr="00BA6BDC">
        <w:rPr>
          <w:bCs/>
          <w:lang w:val="en-GB"/>
        </w:rPr>
        <w:t xml:space="preserve">: </w:t>
      </w:r>
      <w:r w:rsidRPr="00BA6BDC">
        <w:rPr>
          <w:rFonts w:ascii="Arial Narrow" w:eastAsia="MS Gothic" w:hAnsi="Arial Narrow"/>
          <w:color w:val="auto"/>
          <w:sz w:val="18"/>
          <w:szCs w:val="20"/>
          <w:lang w:val="en-GB"/>
        </w:rPr>
        <w:t>For each reaction, the frequency has been defined by the number of subjects experiencing the reaction at least once during the observation period divided by the number of subjects with available data.</w:t>
      </w:r>
    </w:p>
    <w:p w14:paraId="30157827" w14:textId="3338D483" w:rsidR="00822661" w:rsidRPr="00BA6BDC" w:rsidRDefault="00822661" w:rsidP="00822661">
      <w:pPr>
        <w:ind w:left="12"/>
      </w:pPr>
      <w:bookmarkStart w:id="54" w:name="_Hlk29821047"/>
      <w:r w:rsidRPr="00BA6BDC">
        <w:rPr>
          <w:iCs/>
        </w:rPr>
        <w:t xml:space="preserve">For a comprehensive overview of vaccine safety, additional relevant adverse reactions from other studies not selected for pooled safety analysis have been included. Their frequencies are estimated based on total number of subjects included in the clinical studies, where safety of </w:t>
      </w:r>
      <w:proofErr w:type="spellStart"/>
      <w:r w:rsidR="00882323" w:rsidRPr="00BA6BDC">
        <w:rPr>
          <w:iCs/>
        </w:rPr>
        <w:t>Verorab</w:t>
      </w:r>
      <w:proofErr w:type="spellEnd"/>
      <w:r w:rsidRPr="00BA6BDC">
        <w:rPr>
          <w:iCs/>
        </w:rPr>
        <w:t xml:space="preserve"> was </w:t>
      </w:r>
      <w:r w:rsidRPr="00BA6BDC">
        <w:rPr>
          <w:iCs/>
        </w:rPr>
        <w:lastRenderedPageBreak/>
        <w:t xml:space="preserve">evaluated (a total of more than 5000 subjects, including </w:t>
      </w:r>
      <w:r w:rsidRPr="00BA6BDC">
        <w:t>more than 1000 children younger than 18 years of age; split by age group was not available for all studies).</w:t>
      </w:r>
    </w:p>
    <w:p w14:paraId="124CB8F9" w14:textId="06AFE47F" w:rsidR="002C5674" w:rsidRPr="00BA6BDC" w:rsidRDefault="002C5674" w:rsidP="002C5674">
      <w:pPr>
        <w:pStyle w:val="Caption"/>
      </w:pPr>
      <w:r w:rsidRPr="00BA6BDC">
        <w:t>Table </w:t>
      </w:r>
      <w:r w:rsidRPr="00BA6BDC">
        <w:fldChar w:fldCharType="begin"/>
      </w:r>
      <w:r w:rsidRPr="00BA6BDC">
        <w:instrText xml:space="preserve"> SEQ Table \* ARABIC </w:instrText>
      </w:r>
      <w:r w:rsidRPr="00BA6BDC">
        <w:fldChar w:fldCharType="separate"/>
      </w:r>
      <w:r w:rsidR="00366C42">
        <w:rPr>
          <w:noProof/>
        </w:rPr>
        <w:t>6</w:t>
      </w:r>
      <w:r w:rsidRPr="00BA6BDC">
        <w:fldChar w:fldCharType="end"/>
      </w:r>
      <w:r w:rsidRPr="00BA6BDC">
        <w:t xml:space="preserve"> ­ Additional Adverse Reactions from other Clinical Studies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2"/>
        <w:gridCol w:w="2663"/>
        <w:gridCol w:w="2661"/>
      </w:tblGrid>
      <w:tr w:rsidR="002C5674" w:rsidRPr="00BA6BDC" w14:paraId="4FCE740E" w14:textId="77777777" w:rsidTr="002C5674">
        <w:trPr>
          <w:cantSplit/>
          <w:trHeight w:val="757"/>
          <w:tblHeader/>
          <w:jc w:val="center"/>
        </w:trPr>
        <w:tc>
          <w:tcPr>
            <w:tcW w:w="3692" w:type="dxa"/>
            <w:shd w:val="clear" w:color="auto" w:fill="auto"/>
          </w:tcPr>
          <w:p w14:paraId="689C0C5C" w14:textId="77777777" w:rsidR="00822661" w:rsidRPr="00BA6BDC" w:rsidRDefault="00822661" w:rsidP="002C5674">
            <w:pPr>
              <w:pStyle w:val="TblHeadingCenter"/>
              <w:rPr>
                <w:iCs/>
              </w:rPr>
            </w:pPr>
            <w:r w:rsidRPr="00BA6BDC">
              <w:t>Adverse Reactions</w:t>
            </w:r>
          </w:p>
        </w:tc>
        <w:tc>
          <w:tcPr>
            <w:tcW w:w="2663" w:type="dxa"/>
            <w:shd w:val="clear" w:color="auto" w:fill="auto"/>
          </w:tcPr>
          <w:p w14:paraId="4593178A" w14:textId="4763C5B4" w:rsidR="00822661" w:rsidRPr="00BA6BDC" w:rsidRDefault="00822661" w:rsidP="002C5674">
            <w:pPr>
              <w:pStyle w:val="TblHeadingCenter"/>
              <w:rPr>
                <w:iCs/>
              </w:rPr>
            </w:pPr>
            <w:r w:rsidRPr="00BA6BDC">
              <w:t xml:space="preserve">Adults </w:t>
            </w:r>
            <w:r w:rsidRPr="00BA6BDC">
              <w:br/>
            </w:r>
            <w:r w:rsidRPr="00BA6BDC">
              <w:rPr>
                <w:rFonts w:ascii="Arial Narrow" w:hAnsi="Arial Narrow" w:cs="Times New Roman"/>
                <w:b w:val="0"/>
                <w:noProof w:val="0"/>
                <w:lang w:val="en-US"/>
              </w:rPr>
              <w:t>18 years and older</w:t>
            </w:r>
            <w:r w:rsidR="004635C5" w:rsidRPr="00BA6BDC">
              <w:rPr>
                <w:rFonts w:ascii="Arial Narrow" w:hAnsi="Arial Narrow" w:cs="Times New Roman"/>
                <w:b w:val="0"/>
                <w:noProof w:val="0"/>
                <w:lang w:val="en-US"/>
              </w:rPr>
              <w:t xml:space="preserve"> </w:t>
            </w:r>
            <w:r w:rsidRPr="00BA6BDC">
              <w:rPr>
                <w:rFonts w:ascii="Arial Narrow" w:hAnsi="Arial Narrow" w:cs="Times New Roman"/>
                <w:b w:val="0"/>
                <w:noProof w:val="0"/>
                <w:lang w:val="en-US"/>
              </w:rPr>
              <w:t>N &gt; 2600</w:t>
            </w:r>
          </w:p>
        </w:tc>
        <w:tc>
          <w:tcPr>
            <w:tcW w:w="2661" w:type="dxa"/>
            <w:shd w:val="clear" w:color="auto" w:fill="auto"/>
          </w:tcPr>
          <w:p w14:paraId="36FAD51C" w14:textId="7116A11A" w:rsidR="00822661" w:rsidRPr="00BA6BDC" w:rsidRDefault="00822661" w:rsidP="002C5674">
            <w:pPr>
              <w:pStyle w:val="TblHeadingCenter"/>
            </w:pPr>
            <w:r w:rsidRPr="00BA6BDC">
              <w:rPr>
                <w:bCs/>
              </w:rPr>
              <w:t>P</w:t>
            </w:r>
            <w:r w:rsidR="005D288D" w:rsidRPr="002A24A3">
              <w:rPr>
                <w:b w:val="0"/>
              </w:rPr>
              <w:t>a</w:t>
            </w:r>
            <w:r w:rsidRPr="00BA6BDC">
              <w:rPr>
                <w:bCs/>
              </w:rPr>
              <w:t>ediatric population</w:t>
            </w:r>
            <w:r w:rsidR="004635C5" w:rsidRPr="00BA6BDC">
              <w:t xml:space="preserve"> </w:t>
            </w:r>
            <w:r w:rsidRPr="00BA6BDC">
              <w:rPr>
                <w:rFonts w:ascii="Arial Narrow" w:hAnsi="Arial Narrow" w:cs="Times New Roman"/>
                <w:b w:val="0"/>
                <w:noProof w:val="0"/>
                <w:lang w:val="en-US"/>
              </w:rPr>
              <w:t>Less than 18 years old</w:t>
            </w:r>
            <w:r w:rsidR="004635C5" w:rsidRPr="00BA6BDC">
              <w:rPr>
                <w:rFonts w:ascii="Arial Narrow" w:hAnsi="Arial Narrow" w:cs="Times New Roman"/>
                <w:b w:val="0"/>
                <w:noProof w:val="0"/>
                <w:lang w:val="en-US"/>
              </w:rPr>
              <w:t xml:space="preserve"> </w:t>
            </w:r>
            <w:r w:rsidRPr="00BA6BDC">
              <w:rPr>
                <w:rFonts w:ascii="Arial Narrow" w:hAnsi="Arial Narrow" w:cs="Times New Roman"/>
                <w:b w:val="0"/>
                <w:noProof w:val="0"/>
                <w:lang w:val="en-US"/>
              </w:rPr>
              <w:t>N &gt; 1000</w:t>
            </w:r>
            <w:r w:rsidR="004635C5" w:rsidRPr="00BA6BDC">
              <w:rPr>
                <w:rFonts w:ascii="Arial Narrow" w:hAnsi="Arial Narrow" w:cs="Times New Roman"/>
                <w:b w:val="0"/>
                <w:noProof w:val="0"/>
                <w:lang w:val="en-US"/>
              </w:rPr>
              <w:t xml:space="preserve"> </w:t>
            </w:r>
          </w:p>
        </w:tc>
      </w:tr>
      <w:tr w:rsidR="002C5674" w:rsidRPr="00BA6BDC" w14:paraId="2EA697D6" w14:textId="77777777" w:rsidTr="002C5674">
        <w:trPr>
          <w:cantSplit/>
          <w:jc w:val="center"/>
        </w:trPr>
        <w:tc>
          <w:tcPr>
            <w:tcW w:w="3692" w:type="dxa"/>
            <w:shd w:val="clear" w:color="auto" w:fill="auto"/>
          </w:tcPr>
          <w:p w14:paraId="3E47119B" w14:textId="77777777" w:rsidR="00822661" w:rsidRPr="00BA6BDC" w:rsidRDefault="00822661" w:rsidP="002C5674">
            <w:pPr>
              <w:pStyle w:val="TblTextCenter"/>
            </w:pPr>
          </w:p>
        </w:tc>
        <w:tc>
          <w:tcPr>
            <w:tcW w:w="2663" w:type="dxa"/>
            <w:shd w:val="clear" w:color="auto" w:fill="auto"/>
          </w:tcPr>
          <w:p w14:paraId="477B3CF4" w14:textId="77777777" w:rsidR="00822661" w:rsidRPr="00BA6BDC" w:rsidRDefault="00822661" w:rsidP="002C5674">
            <w:pPr>
              <w:pStyle w:val="TblTextCenter"/>
            </w:pPr>
            <w:r w:rsidRPr="00BA6BDC">
              <w:t>% - Frequency</w:t>
            </w:r>
          </w:p>
        </w:tc>
        <w:tc>
          <w:tcPr>
            <w:tcW w:w="2661" w:type="dxa"/>
            <w:shd w:val="clear" w:color="auto" w:fill="auto"/>
          </w:tcPr>
          <w:p w14:paraId="5DDE27B8" w14:textId="77777777" w:rsidR="00822661" w:rsidRPr="00BA6BDC" w:rsidRDefault="00822661" w:rsidP="002C5674">
            <w:pPr>
              <w:pStyle w:val="TblTextCenter"/>
            </w:pPr>
            <w:r w:rsidRPr="00BA6BDC">
              <w:t>% - Frequency</w:t>
            </w:r>
          </w:p>
        </w:tc>
      </w:tr>
      <w:tr w:rsidR="00822661" w:rsidRPr="00BA6BDC" w14:paraId="67BBAC0E" w14:textId="77777777" w:rsidTr="002C5674">
        <w:trPr>
          <w:cantSplit/>
          <w:jc w:val="center"/>
        </w:trPr>
        <w:tc>
          <w:tcPr>
            <w:tcW w:w="9016" w:type="dxa"/>
            <w:gridSpan w:val="3"/>
            <w:shd w:val="clear" w:color="auto" w:fill="auto"/>
          </w:tcPr>
          <w:p w14:paraId="481BA5FD" w14:textId="77777777" w:rsidR="00822661" w:rsidRPr="00BA6BDC" w:rsidRDefault="00822661" w:rsidP="002C5674">
            <w:pPr>
              <w:pStyle w:val="TblTextCenter"/>
              <w:jc w:val="left"/>
              <w:rPr>
                <w:b/>
                <w:bCs/>
              </w:rPr>
            </w:pPr>
            <w:r w:rsidRPr="00BA6BDC">
              <w:rPr>
                <w:b/>
                <w:bCs/>
              </w:rPr>
              <w:t>SOC: General disorders and administration site conditions</w:t>
            </w:r>
          </w:p>
        </w:tc>
      </w:tr>
      <w:tr w:rsidR="002C5674" w:rsidRPr="00BA6BDC" w14:paraId="4D6A88A5" w14:textId="77777777" w:rsidTr="002C5674">
        <w:trPr>
          <w:cantSplit/>
          <w:jc w:val="center"/>
        </w:trPr>
        <w:tc>
          <w:tcPr>
            <w:tcW w:w="3692" w:type="dxa"/>
            <w:shd w:val="clear" w:color="auto" w:fill="auto"/>
          </w:tcPr>
          <w:p w14:paraId="25C48A6D" w14:textId="77777777" w:rsidR="00822661" w:rsidRPr="00BA6BDC" w:rsidRDefault="00822661" w:rsidP="002C5674">
            <w:pPr>
              <w:pStyle w:val="TblTextCenter"/>
            </w:pPr>
            <w:r w:rsidRPr="00BA6BDC">
              <w:t>Influenza-like symptoms</w:t>
            </w:r>
          </w:p>
        </w:tc>
        <w:tc>
          <w:tcPr>
            <w:tcW w:w="2663" w:type="dxa"/>
            <w:shd w:val="clear" w:color="auto" w:fill="auto"/>
          </w:tcPr>
          <w:p w14:paraId="7FFF3C4E" w14:textId="77777777" w:rsidR="00822661" w:rsidRPr="00BA6BDC" w:rsidRDefault="00822661" w:rsidP="002C5674">
            <w:pPr>
              <w:pStyle w:val="TblTextCenter"/>
            </w:pPr>
            <w:r w:rsidRPr="00BA6BDC">
              <w:t>Common- 1.1%</w:t>
            </w:r>
          </w:p>
        </w:tc>
        <w:tc>
          <w:tcPr>
            <w:tcW w:w="2661" w:type="dxa"/>
            <w:shd w:val="clear" w:color="auto" w:fill="auto"/>
          </w:tcPr>
          <w:p w14:paraId="7DB96BD3" w14:textId="77777777" w:rsidR="00822661" w:rsidRPr="00BA6BDC" w:rsidRDefault="00822661" w:rsidP="002C5674">
            <w:pPr>
              <w:pStyle w:val="TblTextCenter"/>
            </w:pPr>
            <w:r w:rsidRPr="00BA6BDC">
              <w:t>-</w:t>
            </w:r>
          </w:p>
        </w:tc>
      </w:tr>
      <w:tr w:rsidR="00822661" w:rsidRPr="00BA6BDC" w14:paraId="725F7CF2" w14:textId="77777777" w:rsidTr="002C5674">
        <w:trPr>
          <w:cantSplit/>
          <w:jc w:val="center"/>
        </w:trPr>
        <w:tc>
          <w:tcPr>
            <w:tcW w:w="9016" w:type="dxa"/>
            <w:gridSpan w:val="3"/>
            <w:shd w:val="clear" w:color="auto" w:fill="auto"/>
          </w:tcPr>
          <w:p w14:paraId="0B08F9B0" w14:textId="77777777" w:rsidR="00822661" w:rsidRPr="00BA6BDC" w:rsidRDefault="00822661" w:rsidP="002C5674">
            <w:pPr>
              <w:pStyle w:val="TblTextCenter"/>
              <w:jc w:val="left"/>
              <w:rPr>
                <w:b/>
                <w:bCs/>
              </w:rPr>
            </w:pPr>
            <w:bookmarkStart w:id="55" w:name="_Hlk31030041"/>
            <w:r w:rsidRPr="00BA6BDC">
              <w:rPr>
                <w:b/>
                <w:bCs/>
              </w:rPr>
              <w:t>SOC: Nervous system disorders</w:t>
            </w:r>
          </w:p>
        </w:tc>
      </w:tr>
      <w:tr w:rsidR="002C5674" w:rsidRPr="00BA6BDC" w14:paraId="1A9B05AC" w14:textId="77777777" w:rsidTr="002C5674">
        <w:trPr>
          <w:cantSplit/>
          <w:jc w:val="center"/>
        </w:trPr>
        <w:tc>
          <w:tcPr>
            <w:tcW w:w="3692" w:type="dxa"/>
            <w:shd w:val="clear" w:color="auto" w:fill="auto"/>
          </w:tcPr>
          <w:p w14:paraId="54494FF7" w14:textId="77777777" w:rsidR="00822661" w:rsidRPr="00BA6BDC" w:rsidRDefault="00822661" w:rsidP="002C5674">
            <w:pPr>
              <w:pStyle w:val="TblTextCenter"/>
            </w:pPr>
            <w:r w:rsidRPr="00BA6BDC">
              <w:t>Insomnia (in infants/toddlers only)</w:t>
            </w:r>
          </w:p>
        </w:tc>
        <w:tc>
          <w:tcPr>
            <w:tcW w:w="2663" w:type="dxa"/>
            <w:shd w:val="clear" w:color="auto" w:fill="auto"/>
          </w:tcPr>
          <w:p w14:paraId="1B8DA0E8" w14:textId="77777777" w:rsidR="00822661" w:rsidRPr="00BA6BDC" w:rsidRDefault="00822661" w:rsidP="002C5674">
            <w:pPr>
              <w:pStyle w:val="TblTextCenter"/>
            </w:pPr>
            <w:r w:rsidRPr="00BA6BDC">
              <w:t>-</w:t>
            </w:r>
          </w:p>
        </w:tc>
        <w:tc>
          <w:tcPr>
            <w:tcW w:w="2661" w:type="dxa"/>
            <w:shd w:val="clear" w:color="auto" w:fill="auto"/>
          </w:tcPr>
          <w:p w14:paraId="2362A685" w14:textId="77777777" w:rsidR="00822661" w:rsidRPr="00BA6BDC" w:rsidRDefault="00822661" w:rsidP="002C5674">
            <w:pPr>
              <w:pStyle w:val="TblTextCenter"/>
            </w:pPr>
            <w:r w:rsidRPr="00BA6BDC">
              <w:t>Common - 8.5%</w:t>
            </w:r>
          </w:p>
        </w:tc>
      </w:tr>
      <w:bookmarkEnd w:id="55"/>
      <w:tr w:rsidR="00822661" w:rsidRPr="00BA6BDC" w14:paraId="44497A56" w14:textId="77777777" w:rsidTr="002C5674">
        <w:trPr>
          <w:cantSplit/>
          <w:jc w:val="center"/>
        </w:trPr>
        <w:tc>
          <w:tcPr>
            <w:tcW w:w="9016" w:type="dxa"/>
            <w:gridSpan w:val="3"/>
            <w:shd w:val="clear" w:color="auto" w:fill="auto"/>
          </w:tcPr>
          <w:p w14:paraId="48356AA8" w14:textId="77777777" w:rsidR="00822661" w:rsidRPr="00BA6BDC" w:rsidRDefault="00822661" w:rsidP="002C5674">
            <w:pPr>
              <w:pStyle w:val="TblTextCenter"/>
              <w:jc w:val="left"/>
              <w:rPr>
                <w:b/>
                <w:bCs/>
              </w:rPr>
            </w:pPr>
            <w:r w:rsidRPr="00BA6BDC">
              <w:rPr>
                <w:b/>
                <w:bCs/>
              </w:rPr>
              <w:t>SOC: Musculoskeletal and connective tissue disorders</w:t>
            </w:r>
          </w:p>
        </w:tc>
      </w:tr>
      <w:tr w:rsidR="002C5674" w:rsidRPr="00BA6BDC" w14:paraId="63EB902B" w14:textId="77777777" w:rsidTr="002C5674">
        <w:trPr>
          <w:cantSplit/>
          <w:jc w:val="center"/>
        </w:trPr>
        <w:tc>
          <w:tcPr>
            <w:tcW w:w="3692" w:type="dxa"/>
            <w:shd w:val="clear" w:color="auto" w:fill="auto"/>
          </w:tcPr>
          <w:p w14:paraId="51E6FDC6" w14:textId="77777777" w:rsidR="00822661" w:rsidRPr="00BA6BDC" w:rsidRDefault="00822661" w:rsidP="002C5674">
            <w:pPr>
              <w:pStyle w:val="TblTextCenter"/>
            </w:pPr>
            <w:r w:rsidRPr="00BA6BDC">
              <w:t>Arthralgia</w:t>
            </w:r>
          </w:p>
        </w:tc>
        <w:tc>
          <w:tcPr>
            <w:tcW w:w="2663" w:type="dxa"/>
            <w:shd w:val="clear" w:color="auto" w:fill="auto"/>
          </w:tcPr>
          <w:p w14:paraId="25A2682D" w14:textId="77777777" w:rsidR="00822661" w:rsidRPr="00BA6BDC" w:rsidRDefault="00822661" w:rsidP="002C5674">
            <w:pPr>
              <w:pStyle w:val="TblTextCenter"/>
            </w:pPr>
            <w:r w:rsidRPr="00BA6BDC">
              <w:t>Uncommon - 0.3%</w:t>
            </w:r>
          </w:p>
        </w:tc>
        <w:tc>
          <w:tcPr>
            <w:tcW w:w="2661" w:type="dxa"/>
            <w:shd w:val="clear" w:color="auto" w:fill="auto"/>
          </w:tcPr>
          <w:p w14:paraId="6283589E" w14:textId="77777777" w:rsidR="00822661" w:rsidRPr="00BA6BDC" w:rsidRDefault="00822661" w:rsidP="002C5674">
            <w:pPr>
              <w:pStyle w:val="TblTextCenter"/>
            </w:pPr>
            <w:r w:rsidRPr="00BA6BDC">
              <w:t>-</w:t>
            </w:r>
          </w:p>
        </w:tc>
      </w:tr>
      <w:tr w:rsidR="00822661" w:rsidRPr="00BA6BDC" w14:paraId="2057F80F" w14:textId="77777777" w:rsidTr="002C5674">
        <w:trPr>
          <w:cantSplit/>
          <w:jc w:val="center"/>
        </w:trPr>
        <w:tc>
          <w:tcPr>
            <w:tcW w:w="9016" w:type="dxa"/>
            <w:gridSpan w:val="3"/>
            <w:shd w:val="clear" w:color="auto" w:fill="auto"/>
          </w:tcPr>
          <w:p w14:paraId="5F06BB9A" w14:textId="77777777" w:rsidR="00822661" w:rsidRPr="00BA6BDC" w:rsidRDefault="00822661" w:rsidP="002C5674">
            <w:pPr>
              <w:pStyle w:val="TblTextCenter"/>
              <w:jc w:val="left"/>
              <w:rPr>
                <w:b/>
                <w:bCs/>
              </w:rPr>
            </w:pPr>
            <w:r w:rsidRPr="00BA6BDC">
              <w:rPr>
                <w:b/>
                <w:bCs/>
              </w:rPr>
              <w:t>SOC: Respiratory system disorders</w:t>
            </w:r>
          </w:p>
        </w:tc>
      </w:tr>
      <w:tr w:rsidR="002C5674" w:rsidRPr="00BA6BDC" w14:paraId="2436A81D" w14:textId="77777777" w:rsidTr="002C5674">
        <w:trPr>
          <w:cantSplit/>
          <w:jc w:val="center"/>
        </w:trPr>
        <w:tc>
          <w:tcPr>
            <w:tcW w:w="3692" w:type="dxa"/>
            <w:shd w:val="clear" w:color="auto" w:fill="auto"/>
          </w:tcPr>
          <w:p w14:paraId="69D42D9D" w14:textId="77777777" w:rsidR="00822661" w:rsidRPr="00BA6BDC" w:rsidRDefault="00822661" w:rsidP="002C5674">
            <w:pPr>
              <w:pStyle w:val="TblTextCenter"/>
            </w:pPr>
            <w:r w:rsidRPr="00BA6BDC">
              <w:t xml:space="preserve">Dyspnea </w:t>
            </w:r>
          </w:p>
        </w:tc>
        <w:tc>
          <w:tcPr>
            <w:tcW w:w="2663" w:type="dxa"/>
            <w:shd w:val="clear" w:color="auto" w:fill="auto"/>
          </w:tcPr>
          <w:p w14:paraId="0BE6DBE5" w14:textId="77777777" w:rsidR="00822661" w:rsidRPr="00BA6BDC" w:rsidRDefault="00822661" w:rsidP="002C5674">
            <w:pPr>
              <w:pStyle w:val="TblTextCenter"/>
            </w:pPr>
            <w:r w:rsidRPr="00BA6BDC">
              <w:t>Rare - 0.08%</w:t>
            </w:r>
          </w:p>
        </w:tc>
        <w:tc>
          <w:tcPr>
            <w:tcW w:w="2661" w:type="dxa"/>
            <w:shd w:val="clear" w:color="auto" w:fill="auto"/>
          </w:tcPr>
          <w:p w14:paraId="328E9D56" w14:textId="77777777" w:rsidR="00822661" w:rsidRPr="00BA6BDC" w:rsidRDefault="00822661" w:rsidP="002C5674">
            <w:pPr>
              <w:pStyle w:val="TblTextCenter"/>
            </w:pPr>
            <w:r w:rsidRPr="00BA6BDC">
              <w:t>-</w:t>
            </w:r>
          </w:p>
        </w:tc>
      </w:tr>
    </w:tbl>
    <w:bookmarkEnd w:id="54"/>
    <w:p w14:paraId="247B363A" w14:textId="7E9FF2D3" w:rsidR="00822661" w:rsidRPr="00BA6BDC" w:rsidRDefault="00822661" w:rsidP="0038188A">
      <w:pPr>
        <w:pStyle w:val="Heading3"/>
        <w:numPr>
          <w:ilvl w:val="0"/>
          <w:numId w:val="0"/>
        </w:numPr>
        <w:ind w:left="680" w:hanging="680"/>
      </w:pPr>
      <w:r w:rsidRPr="00BA6BDC">
        <w:rPr>
          <w:lang w:val="en-AU"/>
        </w:rPr>
        <w:t>Data from post-marketing experience</w:t>
      </w:r>
      <w:bookmarkStart w:id="56" w:name="_Hlk31030468"/>
    </w:p>
    <w:p w14:paraId="25DC0C4A" w14:textId="0B1DCE1B" w:rsidR="00822661" w:rsidRPr="00BA6BDC" w:rsidRDefault="00822661" w:rsidP="00822661">
      <w:bookmarkStart w:id="57" w:name="_Hlk31730519"/>
      <w:bookmarkEnd w:id="56"/>
      <w:r w:rsidRPr="00BA6BDC">
        <w:t xml:space="preserve">Based on spontaneous reporting, the following additional events have been reported during the commercial use of </w:t>
      </w:r>
      <w:proofErr w:type="spellStart"/>
      <w:r w:rsidR="00882323" w:rsidRPr="00BA6BDC">
        <w:t>Verorab</w:t>
      </w:r>
      <w:proofErr w:type="spellEnd"/>
      <w:r w:rsidRPr="00BA6BDC">
        <w:t xml:space="preserve">. These events have been very rarely reported, however exact incidence rate cannot be precisely calculated, their frequency is qualified as ‘Not known”. </w:t>
      </w:r>
      <w:bookmarkEnd w:id="57"/>
    </w:p>
    <w:p w14:paraId="1FA9AE96" w14:textId="77777777" w:rsidR="00822661" w:rsidRPr="00BA6BDC" w:rsidRDefault="00822661" w:rsidP="00822661">
      <w:pPr>
        <w:pStyle w:val="wcpSubHeading"/>
        <w:rPr>
          <w:noProof/>
          <w:lang w:val="da-DK"/>
        </w:rPr>
      </w:pPr>
      <w:r w:rsidRPr="00BA6BDC">
        <w:rPr>
          <w:noProof/>
          <w:lang w:val="da-DK"/>
        </w:rPr>
        <w:t>Immune sytem disorders</w:t>
      </w:r>
    </w:p>
    <w:p w14:paraId="4B9B62B2" w14:textId="1709A961" w:rsidR="00822661" w:rsidRPr="00BA6BDC" w:rsidRDefault="00822661" w:rsidP="001E40D6">
      <w:pPr>
        <w:pStyle w:val="ListBullet"/>
        <w:numPr>
          <w:ilvl w:val="0"/>
          <w:numId w:val="13"/>
        </w:numPr>
        <w:tabs>
          <w:tab w:val="left" w:pos="425"/>
        </w:tabs>
        <w:spacing w:before="120"/>
        <w:rPr>
          <w:bCs/>
        </w:rPr>
      </w:pPr>
      <w:r w:rsidRPr="00BA6BDC">
        <w:rPr>
          <w:bCs/>
        </w:rPr>
        <w:t xml:space="preserve">Anaphylactic reactions, angioedema </w:t>
      </w:r>
    </w:p>
    <w:p w14:paraId="29BB66E5" w14:textId="77777777" w:rsidR="00822661" w:rsidRPr="00BA6BDC" w:rsidRDefault="00822661" w:rsidP="00822661">
      <w:pPr>
        <w:pStyle w:val="ListBullet"/>
        <w:ind w:left="360" w:hanging="360"/>
        <w:rPr>
          <w:i/>
        </w:rPr>
      </w:pPr>
      <w:r w:rsidRPr="00BA6BDC">
        <w:rPr>
          <w:b/>
          <w:i/>
        </w:rPr>
        <w:t>Ear and labyrinth disorders</w:t>
      </w:r>
    </w:p>
    <w:p w14:paraId="52CBB342" w14:textId="3BA3A6F4" w:rsidR="00822661" w:rsidRPr="00BA6BDC" w:rsidRDefault="00822661" w:rsidP="001E40D6">
      <w:pPr>
        <w:pStyle w:val="ListBullet"/>
        <w:numPr>
          <w:ilvl w:val="0"/>
          <w:numId w:val="13"/>
        </w:numPr>
        <w:tabs>
          <w:tab w:val="left" w:pos="425"/>
        </w:tabs>
        <w:spacing w:before="120"/>
        <w:rPr>
          <w:bCs/>
          <w:i/>
        </w:rPr>
      </w:pPr>
      <w:r w:rsidRPr="00BA6BDC">
        <w:rPr>
          <w:bCs/>
        </w:rPr>
        <w:t xml:space="preserve">Sudden sensorineural hearing loss </w:t>
      </w:r>
    </w:p>
    <w:p w14:paraId="3C680C59" w14:textId="2AB3E7AD" w:rsidR="00A0746E" w:rsidRPr="00BA6BDC" w:rsidRDefault="00A0746E" w:rsidP="00A0746E">
      <w:pPr>
        <w:pStyle w:val="Heading3"/>
        <w:numPr>
          <w:ilvl w:val="0"/>
          <w:numId w:val="0"/>
        </w:numPr>
        <w:rPr>
          <w:lang w:val="en-AU"/>
        </w:rPr>
      </w:pPr>
      <w:r w:rsidRPr="00BA6BDC">
        <w:rPr>
          <w:lang w:val="en-AU"/>
        </w:rPr>
        <w:t>Reporting suspected adverse effects</w:t>
      </w:r>
    </w:p>
    <w:p w14:paraId="22F02D6D" w14:textId="7E1C7070" w:rsidR="009E4A3A" w:rsidRPr="00BA6BDC" w:rsidRDefault="009E4A3A" w:rsidP="007C4C57">
      <w:pPr>
        <w:tabs>
          <w:tab w:val="left" w:pos="1440"/>
          <w:tab w:val="left" w:pos="2160"/>
        </w:tabs>
        <w:spacing w:before="120"/>
        <w:jc w:val="both"/>
        <w:rPr>
          <w:lang w:val="en-AU"/>
        </w:rPr>
      </w:pPr>
      <w:r w:rsidRPr="00BA6BDC">
        <w:rPr>
          <w:lang w:val="en-AU"/>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1" w:history="1">
        <w:r w:rsidRPr="00BA6BDC">
          <w:rPr>
            <w:lang w:val="en-AU"/>
          </w:rPr>
          <w:t>www.tga.gov.au/reporting-problems</w:t>
        </w:r>
      </w:hyperlink>
      <w:r w:rsidRPr="00BA6BDC">
        <w:rPr>
          <w:lang w:val="en-AU"/>
        </w:rPr>
        <w:t>.</w:t>
      </w:r>
    </w:p>
    <w:p w14:paraId="1B58CF8E" w14:textId="77777777" w:rsidR="001A3992" w:rsidRPr="00BA6BDC" w:rsidRDefault="001A3992" w:rsidP="00D708F3">
      <w:pPr>
        <w:pStyle w:val="Heading2"/>
        <w:keepLines/>
        <w:spacing w:after="120"/>
        <w:rPr>
          <w:lang w:val="en-AU"/>
        </w:rPr>
      </w:pPr>
      <w:r w:rsidRPr="00BA6BDC">
        <w:rPr>
          <w:lang w:val="en-AU"/>
        </w:rPr>
        <w:lastRenderedPageBreak/>
        <w:t>Overdose</w:t>
      </w:r>
    </w:p>
    <w:p w14:paraId="60F99AED" w14:textId="1434AE9C" w:rsidR="00C74B4D" w:rsidRPr="00C74B4D" w:rsidRDefault="009E4A3A" w:rsidP="006D26BB">
      <w:pPr>
        <w:tabs>
          <w:tab w:val="left" w:pos="1440"/>
          <w:tab w:val="left" w:pos="2160"/>
        </w:tabs>
        <w:spacing w:before="120"/>
        <w:jc w:val="both"/>
        <w:rPr>
          <w:i/>
          <w:iCs/>
          <w:color w:val="00B050"/>
          <w:lang w:val="en-AU"/>
        </w:rPr>
      </w:pPr>
      <w:r w:rsidRPr="00BA6BDC">
        <w:rPr>
          <w:lang w:val="en-AU"/>
        </w:rPr>
        <w:t xml:space="preserve">For </w:t>
      </w:r>
      <w:r w:rsidR="00A0746E" w:rsidRPr="00BA6BDC">
        <w:rPr>
          <w:lang w:val="en-AU"/>
        </w:rPr>
        <w:t xml:space="preserve">information on the management of </w:t>
      </w:r>
      <w:r w:rsidRPr="00BA6BDC">
        <w:rPr>
          <w:lang w:val="en-AU"/>
        </w:rPr>
        <w:t>overdose</w:t>
      </w:r>
      <w:r w:rsidR="00A0746E" w:rsidRPr="00BA6BDC">
        <w:rPr>
          <w:lang w:val="en-AU"/>
        </w:rPr>
        <w:t xml:space="preserve">, </w:t>
      </w:r>
      <w:r w:rsidRPr="00BA6BDC">
        <w:rPr>
          <w:lang w:val="en-AU"/>
        </w:rPr>
        <w:t>contact the Poisons Information Centre</w:t>
      </w:r>
      <w:r w:rsidR="00A0746E" w:rsidRPr="00BA6BDC">
        <w:rPr>
          <w:lang w:val="en-AU"/>
        </w:rPr>
        <w:t xml:space="preserve"> on</w:t>
      </w:r>
      <w:r w:rsidRPr="00BA6BDC">
        <w:rPr>
          <w:lang w:val="en-AU"/>
        </w:rPr>
        <w:t xml:space="preserve"> 13 11 26 (Australia).</w:t>
      </w:r>
    </w:p>
    <w:p w14:paraId="528DF27F" w14:textId="77777777" w:rsidR="001A3992" w:rsidRPr="00BA6BDC" w:rsidRDefault="001A3992" w:rsidP="00D708F3">
      <w:pPr>
        <w:pStyle w:val="Heading1"/>
        <w:keepNext w:val="0"/>
        <w:pageBreakBefore w:val="0"/>
        <w:spacing w:after="120"/>
        <w:rPr>
          <w:lang w:val="en-AU"/>
        </w:rPr>
      </w:pPr>
      <w:r w:rsidRPr="00BA6BDC">
        <w:rPr>
          <w:lang w:val="en-AU"/>
        </w:rPr>
        <w:t>Pharmacological properties</w:t>
      </w:r>
    </w:p>
    <w:p w14:paraId="2A9CDC50" w14:textId="77777777" w:rsidR="001A3992" w:rsidRPr="00BA6BDC" w:rsidRDefault="001A3992" w:rsidP="001A3992">
      <w:pPr>
        <w:pStyle w:val="Heading2"/>
        <w:spacing w:before="0" w:after="120"/>
        <w:rPr>
          <w:lang w:val="en-AU"/>
        </w:rPr>
      </w:pPr>
      <w:bookmarkStart w:id="58" w:name="_Ref113965434"/>
      <w:r w:rsidRPr="00BA6BDC">
        <w:rPr>
          <w:lang w:val="en-AU"/>
        </w:rPr>
        <w:t>Pharmacodynamic properties</w:t>
      </w:r>
      <w:bookmarkEnd w:id="58"/>
      <w:r w:rsidRPr="00BA6BDC">
        <w:rPr>
          <w:lang w:val="en-AU"/>
        </w:rPr>
        <w:t xml:space="preserve"> </w:t>
      </w:r>
    </w:p>
    <w:p w14:paraId="5EBCAB4C" w14:textId="68C47D14" w:rsidR="006300D9" w:rsidRPr="00BA6BDC" w:rsidRDefault="006300D9" w:rsidP="006300D9">
      <w:pPr>
        <w:rPr>
          <w:lang w:val="en-AU"/>
        </w:rPr>
      </w:pPr>
      <w:r w:rsidRPr="00BA6BDC">
        <w:rPr>
          <w:lang w:val="en-AU"/>
        </w:rPr>
        <w:t xml:space="preserve">ATC code: </w:t>
      </w:r>
      <w:r w:rsidR="00376F52" w:rsidRPr="00BA6BDC">
        <w:rPr>
          <w:lang w:val="en-AU"/>
        </w:rPr>
        <w:t>J07BG01 Rabies, inactivated, whole virus</w:t>
      </w:r>
    </w:p>
    <w:p w14:paraId="50A2D3AF" w14:textId="3B970251" w:rsidR="0024632F" w:rsidRPr="00BA6BDC" w:rsidRDefault="0024632F" w:rsidP="00D708F3">
      <w:pPr>
        <w:pStyle w:val="Heading3"/>
        <w:numPr>
          <w:ilvl w:val="0"/>
          <w:numId w:val="0"/>
        </w:numPr>
        <w:spacing w:after="120"/>
        <w:ind w:left="680" w:hanging="680"/>
        <w:rPr>
          <w:i/>
        </w:rPr>
      </w:pPr>
      <w:r w:rsidRPr="00BA6BDC">
        <w:rPr>
          <w:i/>
        </w:rPr>
        <w:t>Mechanism of action</w:t>
      </w:r>
    </w:p>
    <w:p w14:paraId="2B409E51" w14:textId="5A1FC33B" w:rsidR="00376F52" w:rsidRPr="00BA6BDC" w:rsidRDefault="00376F52" w:rsidP="00376F52">
      <w:r w:rsidRPr="00BA6BDC">
        <w:t xml:space="preserve">Protection after vaccination is provided by the induction of rabies </w:t>
      </w:r>
      <w:proofErr w:type="spellStart"/>
      <w:r w:rsidRPr="00BA6BDC">
        <w:t>neutral</w:t>
      </w:r>
      <w:r w:rsidR="004635C5" w:rsidRPr="00BA6BDC">
        <w:t>isi</w:t>
      </w:r>
      <w:r w:rsidRPr="00BA6BDC">
        <w:t>ng</w:t>
      </w:r>
      <w:proofErr w:type="spellEnd"/>
      <w:r w:rsidRPr="00BA6BDC">
        <w:t xml:space="preserve"> antibodies (RNA).</w:t>
      </w:r>
    </w:p>
    <w:p w14:paraId="119FD23E" w14:textId="59338302" w:rsidR="001A3992" w:rsidRPr="00BA6BDC" w:rsidRDefault="001A3992" w:rsidP="00D708F3">
      <w:pPr>
        <w:pStyle w:val="Heading3"/>
        <w:numPr>
          <w:ilvl w:val="0"/>
          <w:numId w:val="0"/>
        </w:numPr>
        <w:spacing w:after="120"/>
        <w:ind w:left="680" w:hanging="680"/>
        <w:rPr>
          <w:i/>
          <w:color w:val="00B050"/>
          <w:lang w:val="en-AU"/>
        </w:rPr>
      </w:pPr>
      <w:r w:rsidRPr="00BA6BDC">
        <w:rPr>
          <w:i/>
          <w:lang w:val="en-AU"/>
        </w:rPr>
        <w:t>Clinical trials</w:t>
      </w:r>
    </w:p>
    <w:p w14:paraId="6227CFE4" w14:textId="69C99F5B" w:rsidR="00471FDE" w:rsidRDefault="00376F52" w:rsidP="00471FDE">
      <w:r w:rsidRPr="00BA6BDC">
        <w:t xml:space="preserve">Clinical studies were conducted to assess the immunogenicity of the vaccine in both pre-exposure and post-exposure situations. A rabies </w:t>
      </w:r>
      <w:proofErr w:type="spellStart"/>
      <w:r w:rsidRPr="00BA6BDC">
        <w:t>neutral</w:t>
      </w:r>
      <w:r w:rsidR="004635C5" w:rsidRPr="00BA6BDC">
        <w:t>isi</w:t>
      </w:r>
      <w:r w:rsidRPr="00BA6BDC">
        <w:t>ng</w:t>
      </w:r>
      <w:proofErr w:type="spellEnd"/>
      <w:r w:rsidRPr="00BA6BDC">
        <w:t xml:space="preserve"> antibody </w:t>
      </w:r>
      <w:proofErr w:type="spellStart"/>
      <w:r w:rsidRPr="00BA6BDC">
        <w:t>titr</w:t>
      </w:r>
      <w:r w:rsidR="008A6F9D" w:rsidRPr="006D26BB">
        <w:rPr>
          <w:color w:val="auto"/>
        </w:rPr>
        <w:t>e</w:t>
      </w:r>
      <w:proofErr w:type="spellEnd"/>
      <w:r w:rsidRPr="00BA6BDC">
        <w:t xml:space="preserve"> ≥ 0.5 IU/ml, considered by WHO to confer protection, was used as a proof of protective antibody level.</w:t>
      </w:r>
    </w:p>
    <w:p w14:paraId="4F856BC3" w14:textId="77777777" w:rsidR="00376F52" w:rsidRPr="00BA6BDC" w:rsidRDefault="00376F52" w:rsidP="00376F52">
      <w:pPr>
        <w:pStyle w:val="wcpSubHeading"/>
        <w:keepLines/>
      </w:pPr>
      <w:r w:rsidRPr="00BA6BDC">
        <w:t>Pre-exposure prophylaxis</w:t>
      </w:r>
    </w:p>
    <w:p w14:paraId="4C83E88A" w14:textId="35319CCD" w:rsidR="00376F52" w:rsidRDefault="00376F52" w:rsidP="00376F52">
      <w:pPr>
        <w:keepNext/>
        <w:keepLines/>
      </w:pPr>
      <w:r w:rsidRPr="00BA6BDC">
        <w:t>The pre-exposure schedule, 3 doses on D0, D7 and D28 (or D21) by IM route has been assessed in several clinical studies</w:t>
      </w:r>
      <w:r w:rsidRPr="00BA6BDC">
        <w:rPr>
          <w:i/>
        </w:rPr>
        <w:t xml:space="preserve"> </w:t>
      </w:r>
      <w:r w:rsidRPr="00BA6BDC">
        <w:t xml:space="preserve">in adult and </w:t>
      </w:r>
      <w:proofErr w:type="spellStart"/>
      <w:r w:rsidRPr="00BA6BDC">
        <w:t>p</w:t>
      </w:r>
      <w:r w:rsidR="005D288D" w:rsidRPr="006D26BB">
        <w:rPr>
          <w:color w:val="auto"/>
        </w:rPr>
        <w:t>a</w:t>
      </w:r>
      <w:r w:rsidRPr="00BA6BDC">
        <w:t>ediatric</w:t>
      </w:r>
      <w:proofErr w:type="spellEnd"/>
      <w:r w:rsidRPr="00BA6BDC">
        <w:t xml:space="preserve"> populations.</w:t>
      </w:r>
    </w:p>
    <w:p w14:paraId="7B7CC1A8" w14:textId="18DA9210" w:rsidR="00376F52" w:rsidRDefault="00376F52" w:rsidP="00376F52">
      <w:r w:rsidRPr="00BA6BDC">
        <w:t xml:space="preserve">After the vaccination series, all vaccinees reached a rabies </w:t>
      </w:r>
      <w:proofErr w:type="spellStart"/>
      <w:r w:rsidRPr="00BA6BDC">
        <w:t>neutral</w:t>
      </w:r>
      <w:r w:rsidR="004635C5" w:rsidRPr="00BA6BDC">
        <w:t>isi</w:t>
      </w:r>
      <w:r w:rsidRPr="00BA6BDC">
        <w:t>ng</w:t>
      </w:r>
      <w:proofErr w:type="spellEnd"/>
      <w:r w:rsidRPr="00BA6BDC">
        <w:t xml:space="preserve"> antibody </w:t>
      </w:r>
      <w:proofErr w:type="spellStart"/>
      <w:r w:rsidRPr="00BA6BDC">
        <w:t>titr</w:t>
      </w:r>
      <w:r w:rsidR="008A6F9D" w:rsidRPr="006D26BB">
        <w:rPr>
          <w:color w:val="auto"/>
        </w:rPr>
        <w:t>e</w:t>
      </w:r>
      <w:proofErr w:type="spellEnd"/>
      <w:r w:rsidRPr="00BA6BDC">
        <w:t xml:space="preserve"> ≥ 0.5 IU/</w:t>
      </w:r>
      <w:proofErr w:type="spellStart"/>
      <w:r w:rsidRPr="00BA6BDC">
        <w:t>mL.</w:t>
      </w:r>
      <w:proofErr w:type="spellEnd"/>
    </w:p>
    <w:p w14:paraId="42B77B43" w14:textId="77777777" w:rsidR="007A6E38" w:rsidRPr="00BA6BDC" w:rsidRDefault="00376F52" w:rsidP="00376F52">
      <w:r w:rsidRPr="00BA6BDC">
        <w:t>A ten-year follow-up in 49 patients who received the 3-injections protocol, followed by a booster dose at 1 year showed the maintenance of seroconversion up to 10 years in more than 95% of vaccinees.</w:t>
      </w:r>
    </w:p>
    <w:p w14:paraId="2876580A" w14:textId="2FF85735" w:rsidR="002857A4" w:rsidRDefault="00570C38" w:rsidP="002857A4">
      <w:r w:rsidRPr="00BA6BDC">
        <w:t xml:space="preserve">The one-week pre-exposure schedule by IM route (one 0.5-mL dose at D0 and one 0.5-mL dose at D7) was assessed in </w:t>
      </w:r>
      <w:r w:rsidR="00A84F2D" w:rsidRPr="00BA6BDC">
        <w:t>S</w:t>
      </w:r>
      <w:r w:rsidRPr="00BA6BDC">
        <w:t>tud</w:t>
      </w:r>
      <w:bookmarkStart w:id="59" w:name="_bookmark59"/>
      <w:bookmarkEnd w:id="59"/>
      <w:r w:rsidRPr="00BA6BDC">
        <w:t>y</w:t>
      </w:r>
      <w:r w:rsidRPr="006D26BB">
        <w:rPr>
          <w:color w:val="auto"/>
        </w:rPr>
        <w:t xml:space="preserve"> </w:t>
      </w:r>
      <w:r w:rsidR="00A84F2D" w:rsidRPr="006D26BB">
        <w:rPr>
          <w:color w:val="auto"/>
        </w:rPr>
        <w:t>VAJ00001</w:t>
      </w:r>
      <w:r w:rsidR="00A84F2D">
        <w:t xml:space="preserve"> </w:t>
      </w:r>
      <w:r w:rsidRPr="00BA6BDC">
        <w:t xml:space="preserve">in 75 subjects (including 35 children from 2 to 17 years). At D21, 98.6% subjects reached a serum antibody </w:t>
      </w:r>
      <w:proofErr w:type="spellStart"/>
      <w:r w:rsidRPr="00BA6BDC">
        <w:t>titr</w:t>
      </w:r>
      <w:r w:rsidR="008A6F9D" w:rsidRPr="008D3D23">
        <w:rPr>
          <w:color w:val="auto"/>
        </w:rPr>
        <w:t>e</w:t>
      </w:r>
      <w:proofErr w:type="spellEnd"/>
      <w:r w:rsidRPr="00BA6BDC">
        <w:t xml:space="preserve"> ≥ 0.5 IU/</w:t>
      </w:r>
      <w:proofErr w:type="spellStart"/>
      <w:r w:rsidRPr="00BA6BDC">
        <w:t>mL.</w:t>
      </w:r>
      <w:proofErr w:type="spellEnd"/>
    </w:p>
    <w:p w14:paraId="754FC037" w14:textId="77777777" w:rsidR="002857A4" w:rsidRDefault="00570C38" w:rsidP="002857A4">
      <w:r w:rsidRPr="00BA6BDC">
        <w:t>One year later, following a simulated PEP with two 0.5-mL doses injected 3 days apart (at D0 and D3) by IM route, a high and rapid anamnestic response was demonstrated in all subjects from D7.</w:t>
      </w:r>
    </w:p>
    <w:p w14:paraId="6E1CC695" w14:textId="5FF26F9A" w:rsidR="00570C38" w:rsidRDefault="00570C38" w:rsidP="00570C38">
      <w:r w:rsidRPr="00BA6BDC">
        <w:lastRenderedPageBreak/>
        <w:t>In 5 studie</w:t>
      </w:r>
      <w:bookmarkStart w:id="60" w:name="_bookmark60"/>
      <w:bookmarkEnd w:id="60"/>
      <w:r w:rsidRPr="00BA6BDC">
        <w:t>s</w:t>
      </w:r>
      <w:bookmarkStart w:id="61" w:name="_bookmark62"/>
      <w:bookmarkEnd w:id="61"/>
      <w:r w:rsidRPr="00BA6BDC">
        <w:t xml:space="preserve"> conducted with </w:t>
      </w:r>
      <w:proofErr w:type="spellStart"/>
      <w:r w:rsidR="00D255F4" w:rsidRPr="00BA6BDC">
        <w:t>Verorab</w:t>
      </w:r>
      <w:proofErr w:type="spellEnd"/>
      <w:r w:rsidRPr="00BA6BDC">
        <w:t xml:space="preserve"> in 392 subjects </w:t>
      </w:r>
      <w:r w:rsidR="006D26BB" w:rsidRPr="006D26BB">
        <w:t xml:space="preserve">(including VRV01 study with 39 subjects) </w:t>
      </w:r>
      <w:r w:rsidRPr="00BA6BDC">
        <w:t xml:space="preserve">in the context of a conventional 3-dose regimen assessment (at D0, D7, D21 or D28) by IM route, all subjects reached a serum antibody </w:t>
      </w:r>
      <w:proofErr w:type="spellStart"/>
      <w:r w:rsidRPr="00BA6BDC">
        <w:t>titr</w:t>
      </w:r>
      <w:r w:rsidR="008A6F9D" w:rsidRPr="006D26BB">
        <w:rPr>
          <w:color w:val="auto"/>
        </w:rPr>
        <w:t>e</w:t>
      </w:r>
      <w:proofErr w:type="spellEnd"/>
      <w:r w:rsidRPr="00BA6BDC">
        <w:t xml:space="preserve"> ≥ 0.5 IU/mL, at D21 or D28, after the 2 doses (at D0 and D7), just before injection of the third dose.</w:t>
      </w:r>
      <w:r w:rsidR="00997539">
        <w:t xml:space="preserve"> </w:t>
      </w:r>
    </w:p>
    <w:p w14:paraId="5AD97040" w14:textId="056BF3FF" w:rsidR="004618FF" w:rsidRDefault="00570C38" w:rsidP="004618FF">
      <w:bookmarkStart w:id="62" w:name="_bookmark106"/>
      <w:bookmarkEnd w:id="62"/>
      <w:r w:rsidRPr="00BA6BDC">
        <w:t xml:space="preserve">The one-week pre-exposure schedule by ID route (two 0.1-mL doses at D0 and two 0.1-mL doses at D7) was assessed in </w:t>
      </w:r>
      <w:r w:rsidR="004618FF" w:rsidRPr="004618FF">
        <w:rPr>
          <w:color w:val="auto"/>
        </w:rPr>
        <w:t>S</w:t>
      </w:r>
      <w:r w:rsidRPr="004618FF">
        <w:rPr>
          <w:color w:val="auto"/>
        </w:rPr>
        <w:t>tudy</w:t>
      </w:r>
      <w:r w:rsidRPr="00BA6BDC">
        <w:t xml:space="preserve"> </w:t>
      </w:r>
      <w:r w:rsidR="004618FF" w:rsidRPr="006D26BB">
        <w:rPr>
          <w:color w:val="auto"/>
        </w:rPr>
        <w:t>VAJ00001</w:t>
      </w:r>
      <w:r w:rsidR="004618FF">
        <w:t xml:space="preserve"> </w:t>
      </w:r>
      <w:r w:rsidRPr="00BA6BDC">
        <w:t xml:space="preserve">in 75 subjects (including 36 children from 2 to 17 years). At D21, 97.2% subjects reached a serum antibody </w:t>
      </w:r>
      <w:proofErr w:type="spellStart"/>
      <w:r w:rsidRPr="00BA6BDC">
        <w:t>titr</w:t>
      </w:r>
      <w:r w:rsidR="008A6F9D" w:rsidRPr="006D26BB">
        <w:rPr>
          <w:color w:val="auto"/>
        </w:rPr>
        <w:t>e</w:t>
      </w:r>
      <w:proofErr w:type="spellEnd"/>
      <w:r w:rsidRPr="00BA6BDC">
        <w:t xml:space="preserve"> ≥ 0.5 IU/</w:t>
      </w:r>
      <w:proofErr w:type="spellStart"/>
      <w:r w:rsidRPr="00BA6BDC">
        <w:t>mL.</w:t>
      </w:r>
      <w:proofErr w:type="spellEnd"/>
    </w:p>
    <w:p w14:paraId="623B3327" w14:textId="016D5819" w:rsidR="00570C38" w:rsidRDefault="00570C38" w:rsidP="004618FF">
      <w:r w:rsidRPr="00BA6BDC">
        <w:t>One year later, following a simulated PEP with two 0.1-mL doses injected 3 days apart (at D0 and D3) by ID route, a high and rapid anamnestic response was demonstrated in all subjects from D7, except one subject who remained seronegative at every time points despite completing all study vaccinations.</w:t>
      </w:r>
    </w:p>
    <w:p w14:paraId="1DC6E0F7" w14:textId="197C30AA" w:rsidR="00570C38" w:rsidRDefault="00570C38" w:rsidP="00570C38">
      <w:r w:rsidRPr="00BA6BDC">
        <w:t>In another stud</w:t>
      </w:r>
      <w:bookmarkStart w:id="63" w:name="_bookmark66"/>
      <w:bookmarkEnd w:id="63"/>
      <w:r w:rsidRPr="00BA6BDC">
        <w:t xml:space="preserve">y conducted in 430 subjects who received one 0.1-mL dose of </w:t>
      </w:r>
      <w:proofErr w:type="spellStart"/>
      <w:r w:rsidR="00D255F4" w:rsidRPr="00BA6BDC">
        <w:t>Verorab</w:t>
      </w:r>
      <w:proofErr w:type="spellEnd"/>
      <w:r w:rsidRPr="00BA6BDC">
        <w:t xml:space="preserve"> at D0 and one 0.1-mL dose at D7 by ID route, 99.1% subjects reached a serum antibody </w:t>
      </w:r>
      <w:proofErr w:type="spellStart"/>
      <w:r w:rsidRPr="00BA6BDC">
        <w:t>titr</w:t>
      </w:r>
      <w:r w:rsidR="008A6F9D" w:rsidRPr="006D26BB">
        <w:rPr>
          <w:color w:val="auto"/>
        </w:rPr>
        <w:t>e</w:t>
      </w:r>
      <w:proofErr w:type="spellEnd"/>
      <w:r w:rsidRPr="00BA6BDC">
        <w:t xml:space="preserve"> ≥ 0.5 IU/mL at D21.</w:t>
      </w:r>
    </w:p>
    <w:p w14:paraId="2B3309AB" w14:textId="4B3E07AD" w:rsidR="00376F52" w:rsidRPr="00BA6BDC" w:rsidRDefault="00376F52" w:rsidP="00376F52">
      <w:pPr>
        <w:pStyle w:val="wcpSubHeading"/>
      </w:pPr>
      <w:r w:rsidRPr="00BA6BDC">
        <w:t xml:space="preserve">Post-exposure prophylaxis </w:t>
      </w:r>
    </w:p>
    <w:p w14:paraId="0DD1C39C" w14:textId="301BDC4B" w:rsidR="00C46EBD" w:rsidRPr="006D26BB" w:rsidRDefault="00376F52" w:rsidP="00376F52">
      <w:pPr>
        <w:rPr>
          <w:iCs/>
        </w:rPr>
      </w:pPr>
      <w:bookmarkStart w:id="64" w:name="_Hlk28009472"/>
      <w:r w:rsidRPr="00BA6BDC">
        <w:rPr>
          <w:iCs/>
        </w:rPr>
        <w:t>Two post-exposure intramuscular schedules (5- dose Essen regimen [</w:t>
      </w:r>
      <w:r w:rsidRPr="00BA6BDC">
        <w:t xml:space="preserve">D0, D3, D7, D14 and D28] </w:t>
      </w:r>
      <w:r w:rsidRPr="00BA6BDC">
        <w:rPr>
          <w:iCs/>
        </w:rPr>
        <w:t>and 4-dose Zagreb regimen [2 doses on D0, then 1 dose on each D7 and D21],</w:t>
      </w:r>
      <w:r w:rsidRPr="00BA6BDC">
        <w:rPr>
          <w:iCs/>
          <w:lang w:val="en-GB"/>
        </w:rPr>
        <w:t xml:space="preserve"> and immunoglobulin as appropriate</w:t>
      </w:r>
      <w:r w:rsidRPr="00BA6BDC">
        <w:rPr>
          <w:iCs/>
        </w:rPr>
        <w:t xml:space="preserve">) have been assessed in several clinical studies in both adult and </w:t>
      </w:r>
      <w:proofErr w:type="spellStart"/>
      <w:r w:rsidRPr="00BA6BDC">
        <w:rPr>
          <w:iCs/>
        </w:rPr>
        <w:t>p</w:t>
      </w:r>
      <w:r w:rsidR="005D288D" w:rsidRPr="006D26BB">
        <w:rPr>
          <w:iCs/>
          <w:color w:val="auto"/>
        </w:rPr>
        <w:t>a</w:t>
      </w:r>
      <w:r w:rsidRPr="00BA6BDC">
        <w:rPr>
          <w:iCs/>
        </w:rPr>
        <w:t>ediatric</w:t>
      </w:r>
      <w:proofErr w:type="spellEnd"/>
      <w:r w:rsidRPr="00BA6BDC">
        <w:rPr>
          <w:iCs/>
        </w:rPr>
        <w:t xml:space="preserve"> populations. </w:t>
      </w:r>
      <w:bookmarkStart w:id="65" w:name="_Hlk27121575"/>
      <w:r w:rsidRPr="00BA6BDC">
        <w:rPr>
          <w:iCs/>
        </w:rPr>
        <w:t xml:space="preserve">Almost all vaccinees reached a rabies </w:t>
      </w:r>
      <w:proofErr w:type="spellStart"/>
      <w:r w:rsidRPr="00BA6BDC">
        <w:rPr>
          <w:iCs/>
        </w:rPr>
        <w:t>neutral</w:t>
      </w:r>
      <w:r w:rsidR="004635C5" w:rsidRPr="00BA6BDC">
        <w:rPr>
          <w:iCs/>
        </w:rPr>
        <w:t>isi</w:t>
      </w:r>
      <w:r w:rsidRPr="00BA6BDC">
        <w:rPr>
          <w:iCs/>
        </w:rPr>
        <w:t>ng</w:t>
      </w:r>
      <w:proofErr w:type="spellEnd"/>
      <w:r w:rsidRPr="00BA6BDC">
        <w:rPr>
          <w:iCs/>
        </w:rPr>
        <w:t xml:space="preserve"> antibody </w:t>
      </w:r>
      <w:proofErr w:type="spellStart"/>
      <w:r w:rsidRPr="00BA6BDC">
        <w:rPr>
          <w:iCs/>
        </w:rPr>
        <w:t>titr</w:t>
      </w:r>
      <w:r w:rsidR="005D288D" w:rsidRPr="006D26BB">
        <w:rPr>
          <w:iCs/>
          <w:color w:val="auto"/>
        </w:rPr>
        <w:t>e</w:t>
      </w:r>
      <w:proofErr w:type="spellEnd"/>
      <w:r w:rsidRPr="00BA6BDC">
        <w:rPr>
          <w:iCs/>
        </w:rPr>
        <w:t xml:space="preserve"> ≥ 0.5 IU/mL at D14</w:t>
      </w:r>
      <w:bookmarkEnd w:id="65"/>
      <w:r w:rsidR="007A6E38" w:rsidRPr="00BA6BDC">
        <w:rPr>
          <w:iCs/>
        </w:rPr>
        <w:t>.</w:t>
      </w:r>
      <w:r w:rsidR="006D26BB">
        <w:rPr>
          <w:iCs/>
        </w:rPr>
        <w:t xml:space="preserve"> </w:t>
      </w:r>
      <w:r w:rsidR="00C46EBD" w:rsidRPr="006D26BB">
        <w:rPr>
          <w:iCs/>
          <w:color w:val="auto"/>
        </w:rPr>
        <w:t>In</w:t>
      </w:r>
      <w:r w:rsidR="00DB30F1" w:rsidRPr="006D26BB">
        <w:rPr>
          <w:iCs/>
          <w:color w:val="auto"/>
        </w:rPr>
        <w:t xml:space="preserve"> Study VRV08</w:t>
      </w:r>
      <w:r w:rsidR="00C46EBD" w:rsidRPr="006D26BB">
        <w:rPr>
          <w:iCs/>
          <w:color w:val="auto"/>
        </w:rPr>
        <w:t>, in which 272 subjects (adolescents and adults) were included</w:t>
      </w:r>
      <w:r w:rsidR="00B70D37">
        <w:rPr>
          <w:iCs/>
          <w:color w:val="auto"/>
        </w:rPr>
        <w:t>,</w:t>
      </w:r>
      <w:r w:rsidR="00C46EBD" w:rsidRPr="006D26BB">
        <w:rPr>
          <w:iCs/>
          <w:color w:val="auto"/>
        </w:rPr>
        <w:t xml:space="preserve"> 100% of vaccinees reached antibody </w:t>
      </w:r>
      <w:proofErr w:type="spellStart"/>
      <w:r w:rsidR="00C46EBD" w:rsidRPr="006D26BB">
        <w:rPr>
          <w:iCs/>
          <w:color w:val="auto"/>
        </w:rPr>
        <w:t>titre</w:t>
      </w:r>
      <w:proofErr w:type="spellEnd"/>
      <w:r w:rsidR="00C46EBD" w:rsidRPr="006D26BB">
        <w:rPr>
          <w:iCs/>
          <w:color w:val="auto"/>
        </w:rPr>
        <w:t xml:space="preserve"> </w:t>
      </w:r>
      <w:r w:rsidR="004618FF" w:rsidRPr="006D26BB">
        <w:rPr>
          <w:iCs/>
          <w:color w:val="auto"/>
        </w:rPr>
        <w:t xml:space="preserve">≥ </w:t>
      </w:r>
      <w:r w:rsidR="00C46EBD" w:rsidRPr="006D26BB">
        <w:rPr>
          <w:iCs/>
          <w:color w:val="auto"/>
        </w:rPr>
        <w:t>0.5 IU/mL at D14.</w:t>
      </w:r>
    </w:p>
    <w:bookmarkEnd w:id="64"/>
    <w:p w14:paraId="21AE9BA5" w14:textId="606BDDCB" w:rsidR="004618FF" w:rsidRDefault="00376F52" w:rsidP="004618FF">
      <w:pPr>
        <w:rPr>
          <w:iCs/>
        </w:rPr>
      </w:pPr>
      <w:r w:rsidRPr="00BA6BDC">
        <w:rPr>
          <w:iCs/>
        </w:rPr>
        <w:t>In phase III trial</w:t>
      </w:r>
      <w:r w:rsidR="004618FF">
        <w:rPr>
          <w:iCs/>
        </w:rPr>
        <w:t xml:space="preserve"> </w:t>
      </w:r>
      <w:r w:rsidR="004618FF" w:rsidRPr="006D26BB">
        <w:rPr>
          <w:iCs/>
          <w:color w:val="auto"/>
        </w:rPr>
        <w:t>RAB40</w:t>
      </w:r>
      <w:r w:rsidRPr="00BA6BDC">
        <w:rPr>
          <w:iCs/>
        </w:rPr>
        <w:t xml:space="preserve">, including 600 exposed subjects aged from 11 months through 50 years of age, two intradermal PEP schedules were tested: one-week 4-site regimen (4 doses on each D0, D3 and D7) with and without ERIG at D0, and Updated Thai Red Cross (TRC) regimen (2 doses on each D0, D3, D7 and D28) with ERIG at D0. Institute Pasteur Cambodia regimen (2 doses on each D0, D3 and D7) was also documented until D28 as part of TRC regimen. Almost all vaccinees reached a </w:t>
      </w:r>
      <w:r w:rsidRPr="00BA6BDC">
        <w:t xml:space="preserve">rabies </w:t>
      </w:r>
      <w:proofErr w:type="spellStart"/>
      <w:r w:rsidRPr="00BA6BDC">
        <w:t>neutral</w:t>
      </w:r>
      <w:r w:rsidR="004635C5" w:rsidRPr="00BA6BDC">
        <w:t>isi</w:t>
      </w:r>
      <w:r w:rsidRPr="00BA6BDC">
        <w:t>ng</w:t>
      </w:r>
      <w:proofErr w:type="spellEnd"/>
      <w:r w:rsidRPr="00BA6BDC">
        <w:t xml:space="preserve"> antibody </w:t>
      </w:r>
      <w:proofErr w:type="spellStart"/>
      <w:r w:rsidRPr="00BA6BDC">
        <w:t>titr</w:t>
      </w:r>
      <w:r w:rsidR="008A6F9D" w:rsidRPr="006D26BB">
        <w:rPr>
          <w:color w:val="auto"/>
        </w:rPr>
        <w:t>e</w:t>
      </w:r>
      <w:proofErr w:type="spellEnd"/>
      <w:r w:rsidRPr="00BA6BDC">
        <w:t xml:space="preserve"> </w:t>
      </w:r>
      <w:r w:rsidRPr="00BA6BDC">
        <w:rPr>
          <w:iCs/>
        </w:rPr>
        <w:t>≥ 0.5 IU/mL at D14.</w:t>
      </w:r>
      <w:r w:rsidR="007A6E38" w:rsidRPr="00BA6BDC">
        <w:rPr>
          <w:iCs/>
        </w:rPr>
        <w:t xml:space="preserve"> </w:t>
      </w:r>
    </w:p>
    <w:p w14:paraId="4A4BF751" w14:textId="20E1776F" w:rsidR="00FA1E2B" w:rsidRDefault="00376F52" w:rsidP="00FA1E2B">
      <w:pPr>
        <w:rPr>
          <w:iCs/>
        </w:rPr>
      </w:pPr>
      <w:r w:rsidRPr="00BA6BDC">
        <w:rPr>
          <w:iCs/>
        </w:rPr>
        <w:t xml:space="preserve">Five years later and before the simulated PEP was received, protective level of rabies </w:t>
      </w:r>
      <w:proofErr w:type="spellStart"/>
      <w:r w:rsidRPr="00BA6BDC">
        <w:rPr>
          <w:iCs/>
        </w:rPr>
        <w:t>neutral</w:t>
      </w:r>
      <w:r w:rsidR="004635C5" w:rsidRPr="00BA6BDC">
        <w:rPr>
          <w:iCs/>
        </w:rPr>
        <w:t>isi</w:t>
      </w:r>
      <w:r w:rsidRPr="00BA6BDC">
        <w:rPr>
          <w:iCs/>
        </w:rPr>
        <w:t>ng</w:t>
      </w:r>
      <w:proofErr w:type="spellEnd"/>
      <w:r w:rsidRPr="00BA6BDC">
        <w:rPr>
          <w:iCs/>
        </w:rPr>
        <w:t xml:space="preserve"> antibodies was maintained in more than 84% of subjects who received one-week 4-site regimen with or without ERIG, and in 64.1% (CI95% 55.1; 72.3) of subjects who received updated TRC regimen with ERIG.</w:t>
      </w:r>
      <w:r w:rsidR="004635C5" w:rsidRPr="00BA6BDC">
        <w:rPr>
          <w:iCs/>
        </w:rPr>
        <w:t xml:space="preserve"> </w:t>
      </w:r>
      <w:r w:rsidRPr="00BA6BDC">
        <w:rPr>
          <w:iCs/>
        </w:rPr>
        <w:t xml:space="preserve">Eleven days after simulated PEP with “single-visit 4-dose” ID regimen, all the subjects had </w:t>
      </w:r>
      <w:r w:rsidRPr="00BA6BDC">
        <w:t xml:space="preserve">rabies </w:t>
      </w:r>
      <w:proofErr w:type="spellStart"/>
      <w:r w:rsidRPr="00BA6BDC">
        <w:t>neutral</w:t>
      </w:r>
      <w:r w:rsidR="004635C5" w:rsidRPr="00BA6BDC">
        <w:t>isi</w:t>
      </w:r>
      <w:r w:rsidRPr="00BA6BDC">
        <w:t>ng</w:t>
      </w:r>
      <w:proofErr w:type="spellEnd"/>
      <w:r w:rsidRPr="00BA6BDC">
        <w:t xml:space="preserve"> antibody </w:t>
      </w:r>
      <w:proofErr w:type="spellStart"/>
      <w:r w:rsidRPr="00BA6BDC">
        <w:t>titr</w:t>
      </w:r>
      <w:r w:rsidR="005D288D" w:rsidRPr="006D26BB">
        <w:rPr>
          <w:color w:val="auto"/>
        </w:rPr>
        <w:t>e</w:t>
      </w:r>
      <w:proofErr w:type="spellEnd"/>
      <w:r w:rsidRPr="00BA6BDC">
        <w:t xml:space="preserve"> </w:t>
      </w:r>
      <w:r w:rsidRPr="00BA6BDC">
        <w:rPr>
          <w:iCs/>
        </w:rPr>
        <w:t>≥ 0.5 IU/</w:t>
      </w:r>
      <w:proofErr w:type="spellStart"/>
      <w:r w:rsidRPr="00BA6BDC">
        <w:rPr>
          <w:iCs/>
        </w:rPr>
        <w:t>mL.</w:t>
      </w:r>
      <w:proofErr w:type="spellEnd"/>
    </w:p>
    <w:p w14:paraId="2E1B318D" w14:textId="594D4EA7" w:rsidR="00FE55F6" w:rsidRPr="006D26BB" w:rsidRDefault="00FE55F6" w:rsidP="00FA1E2B">
      <w:pPr>
        <w:rPr>
          <w:iCs/>
          <w:color w:val="auto"/>
        </w:rPr>
      </w:pPr>
      <w:r w:rsidRPr="006D26BB">
        <w:rPr>
          <w:iCs/>
          <w:color w:val="auto"/>
        </w:rPr>
        <w:lastRenderedPageBreak/>
        <w:t>In</w:t>
      </w:r>
      <w:r w:rsidR="006B74E2" w:rsidRPr="006D26BB">
        <w:rPr>
          <w:iCs/>
          <w:color w:val="auto"/>
        </w:rPr>
        <w:t xml:space="preserve"> Study VAJ00001</w:t>
      </w:r>
      <w:r w:rsidRPr="006D26BB">
        <w:rPr>
          <w:iCs/>
          <w:color w:val="auto"/>
        </w:rPr>
        <w:t xml:space="preserve">, the simulated PEP vaccination given 1 year after a one-week (D0, D7) IM and ID </w:t>
      </w:r>
      <w:proofErr w:type="spellStart"/>
      <w:r w:rsidRPr="006D26BB">
        <w:rPr>
          <w:iCs/>
          <w:color w:val="auto"/>
        </w:rPr>
        <w:t>PrEP</w:t>
      </w:r>
      <w:proofErr w:type="spellEnd"/>
      <w:r w:rsidRPr="006D26BB">
        <w:rPr>
          <w:iCs/>
          <w:color w:val="auto"/>
        </w:rPr>
        <w:t xml:space="preserve"> vaccination,</w:t>
      </w:r>
      <w:r w:rsidRPr="006D26BB">
        <w:rPr>
          <w:color w:val="auto"/>
        </w:rPr>
        <w:t xml:space="preserve"> </w:t>
      </w:r>
      <w:r w:rsidRPr="006D26BB">
        <w:rPr>
          <w:iCs/>
          <w:color w:val="auto"/>
        </w:rPr>
        <w:t>induced a high and rapid anamnestic response in all subjects from D7 (except one subject vaccinated by ID route, who remained seronegative at every time points despite completing all study vaccinations).</w:t>
      </w:r>
    </w:p>
    <w:p w14:paraId="21D3F4E2" w14:textId="245069AD" w:rsidR="00376F52" w:rsidRPr="00BA6BDC" w:rsidRDefault="00376F52" w:rsidP="00376F52">
      <w:r w:rsidRPr="00BA6BDC">
        <w:t xml:space="preserve">Effectiveness of </w:t>
      </w:r>
      <w:proofErr w:type="spellStart"/>
      <w:r w:rsidR="00882323" w:rsidRPr="00BA6BDC">
        <w:t>Verorab</w:t>
      </w:r>
      <w:proofErr w:type="spellEnd"/>
      <w:r w:rsidRPr="00BA6BDC">
        <w:t xml:space="preserve"> has been evaluated in 44 adult subjects bitten by confirmed rabid animals. The subjects received the vaccine according to 5-dose Essen regimen (D0, D3, D7, D14 and D28 by IM route) and immunoglobulin as appropriate. None of these subjects developed the disease.</w:t>
      </w:r>
      <w:r w:rsidR="007A6E38" w:rsidRPr="00BA6BDC">
        <w:t xml:space="preserve"> </w:t>
      </w:r>
    </w:p>
    <w:p w14:paraId="5B6656FE" w14:textId="17B33C1C" w:rsidR="00376F52" w:rsidRPr="00BA6BDC" w:rsidRDefault="00376F52" w:rsidP="00376F52">
      <w:r w:rsidRPr="00BA6BDC">
        <w:t xml:space="preserve">Effectiveness of </w:t>
      </w:r>
      <w:proofErr w:type="spellStart"/>
      <w:r w:rsidR="00882323" w:rsidRPr="00BA6BDC">
        <w:t>Verorab</w:t>
      </w:r>
      <w:proofErr w:type="spellEnd"/>
      <w:r w:rsidRPr="00BA6BDC">
        <w:t xml:space="preserve"> was also confirmed in two studies that used administration schedules recommended in the past. In the first study, 106 patients received 6 IM injections on D0, D3, D7, D14, D28, and D91. In the second study, 40 patients received ID injections at the two deltoid sites on D0, D3, D7 and at 1 site on D28 and D90. All patients received immunoglobulin as appropriate. They all were bitten by confirmed rabid animals, and none of them developed the disease.</w:t>
      </w:r>
      <w:r w:rsidR="004635C5" w:rsidRPr="00BA6BDC">
        <w:t xml:space="preserve"> </w:t>
      </w:r>
    </w:p>
    <w:p w14:paraId="0ABB5D51" w14:textId="39591CA2" w:rsidR="00376F52" w:rsidRPr="00BA6BDC" w:rsidRDefault="00376F52" w:rsidP="00376F52">
      <w:pPr>
        <w:rPr>
          <w:b/>
          <w:i/>
        </w:rPr>
      </w:pPr>
      <w:r w:rsidRPr="00BA6BDC">
        <w:t xml:space="preserve"> </w:t>
      </w:r>
      <w:proofErr w:type="spellStart"/>
      <w:r w:rsidRPr="00BA6BDC">
        <w:rPr>
          <w:b/>
          <w:i/>
        </w:rPr>
        <w:t>P</w:t>
      </w:r>
      <w:r w:rsidR="005D288D" w:rsidRPr="006D26BB">
        <w:rPr>
          <w:b/>
          <w:i/>
          <w:color w:val="auto"/>
        </w:rPr>
        <w:t>a</w:t>
      </w:r>
      <w:r w:rsidRPr="00BA6BDC">
        <w:rPr>
          <w:b/>
          <w:i/>
        </w:rPr>
        <w:t>ediatric</w:t>
      </w:r>
      <w:proofErr w:type="spellEnd"/>
      <w:r w:rsidRPr="00BA6BDC">
        <w:rPr>
          <w:b/>
          <w:i/>
        </w:rPr>
        <w:t xml:space="preserve"> population</w:t>
      </w:r>
    </w:p>
    <w:p w14:paraId="50F7A1ED" w14:textId="444B21B7" w:rsidR="00376F52" w:rsidRPr="00BA6BDC" w:rsidRDefault="00376F52" w:rsidP="00376F52">
      <w:pPr>
        <w:rPr>
          <w:lang w:val="en-GB"/>
        </w:rPr>
      </w:pPr>
      <w:r w:rsidRPr="00BA6BDC">
        <w:rPr>
          <w:lang w:val="en-GB"/>
        </w:rPr>
        <w:t>There is no clinically significant difference in immunogenicity of the vaccine in paediatric population compar</w:t>
      </w:r>
      <w:r w:rsidR="00C72861" w:rsidRPr="006D26BB">
        <w:rPr>
          <w:color w:val="auto"/>
          <w:lang w:val="en-GB"/>
        </w:rPr>
        <w:t>ed</w:t>
      </w:r>
      <w:r w:rsidRPr="006D26BB">
        <w:rPr>
          <w:color w:val="auto"/>
          <w:lang w:val="en-GB"/>
        </w:rPr>
        <w:t xml:space="preserve"> </w:t>
      </w:r>
      <w:r w:rsidRPr="00BA6BDC">
        <w:rPr>
          <w:lang w:val="en-GB"/>
        </w:rPr>
        <w:t>to adults.</w:t>
      </w:r>
    </w:p>
    <w:p w14:paraId="64D059AC" w14:textId="64473A95" w:rsidR="00FA1E2B" w:rsidRDefault="00570C38" w:rsidP="00570C38">
      <w:r w:rsidRPr="00BA6BDC">
        <w:rPr>
          <w:noProof/>
        </w:rPr>
        <mc:AlternateContent>
          <mc:Choice Requires="wps">
            <w:drawing>
              <wp:anchor distT="0" distB="0" distL="114300" distR="114300" simplePos="0" relativeHeight="251658245" behindDoc="0" locked="0" layoutInCell="1" allowOverlap="1" wp14:anchorId="5FCB1465" wp14:editId="0CDA463A">
                <wp:simplePos x="0" y="0"/>
                <wp:positionH relativeFrom="page">
                  <wp:posOffset>1035685</wp:posOffset>
                </wp:positionH>
                <wp:positionV relativeFrom="paragraph">
                  <wp:posOffset>294640</wp:posOffset>
                </wp:positionV>
                <wp:extent cx="27940" cy="5715"/>
                <wp:effectExtent l="0" t="0" r="0" b="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 cy="5715"/>
                        </a:xfrm>
                        <a:prstGeom prst="rect">
                          <a:avLst/>
                        </a:prstGeom>
                        <a:solidFill>
                          <a:srgbClr val="62317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A499A9" id="Rectangle 48" o:spid="_x0000_s1026" style="position:absolute;margin-left:81.55pt;margin-top:23.2pt;width:2.2pt;height:.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" fillcolor="#623177" stroked="f">
                <w10:wrap anchorx="page"/>
              </v:rect>
            </w:pict>
          </mc:Fallback>
        </mc:AlternateContent>
      </w:r>
      <w:r w:rsidRPr="00BA6BDC">
        <w:t>In the study</w:t>
      </w:r>
      <w:r w:rsidRPr="006D26BB">
        <w:rPr>
          <w:color w:val="auto"/>
        </w:rPr>
        <w:t xml:space="preserve"> </w:t>
      </w:r>
      <w:r w:rsidR="0079017C" w:rsidRPr="006D26BB">
        <w:rPr>
          <w:color w:val="auto"/>
        </w:rPr>
        <w:t>VAJ00001</w:t>
      </w:r>
      <w:r w:rsidR="0079017C">
        <w:t xml:space="preserve"> </w:t>
      </w:r>
      <w:r w:rsidRPr="00BA6BDC">
        <w:t xml:space="preserve">assessing the one-week pre-exposure schedule by ID route (two 0.1-mL doses of </w:t>
      </w:r>
      <w:proofErr w:type="spellStart"/>
      <w:r w:rsidR="00D255F4" w:rsidRPr="00BA6BDC">
        <w:t>Verorab</w:t>
      </w:r>
      <w:proofErr w:type="spellEnd"/>
      <w:r w:rsidRPr="00BA6BDC">
        <w:t xml:space="preserve"> at D0 and two 0.1-mL doses at D7) or by IM route (one 0.5-ml dose of </w:t>
      </w:r>
      <w:proofErr w:type="spellStart"/>
      <w:r w:rsidR="00D255F4" w:rsidRPr="00BA6BDC">
        <w:t>Verorab</w:t>
      </w:r>
      <w:proofErr w:type="spellEnd"/>
      <w:r w:rsidRPr="00BA6BDC">
        <w:t xml:space="preserve"> at D0 and one 0.5-mL dose at D7) in 71 children from 2 to 17 years of age, all children reached a serum antibody </w:t>
      </w:r>
      <w:proofErr w:type="spellStart"/>
      <w:r w:rsidRPr="00BA6BDC">
        <w:t>titr</w:t>
      </w:r>
      <w:r w:rsidR="005D288D" w:rsidRPr="002A24A3">
        <w:rPr>
          <w:color w:val="auto"/>
        </w:rPr>
        <w:t>e</w:t>
      </w:r>
      <w:proofErr w:type="spellEnd"/>
      <w:r w:rsidRPr="00BA6BDC">
        <w:t xml:space="preserve"> ≥ 0.5 IU/mL at D21.</w:t>
      </w:r>
    </w:p>
    <w:p w14:paraId="6953CE8C" w14:textId="7ECA4F60" w:rsidR="00FA1E2B" w:rsidRPr="006D26BB" w:rsidRDefault="00570C38" w:rsidP="00376F52">
      <w:pPr>
        <w:rPr>
          <w:color w:val="0070C0"/>
          <w:u w:val="double"/>
        </w:rPr>
      </w:pPr>
      <w:r w:rsidRPr="00BA6BDC">
        <w:t>One year later, following a simulated PEP with two doses injected 3 days apart (at D0 and D3) by IM or ID route, a high and rapid anamnestic response was demonstrated in all subjects from D7</w:t>
      </w:r>
      <w:r w:rsidR="00FA1E2B" w:rsidRPr="006D26BB">
        <w:rPr>
          <w:color w:val="auto"/>
        </w:rPr>
        <w:t>.</w:t>
      </w:r>
    </w:p>
    <w:p w14:paraId="3B6BB555" w14:textId="4566D9A8" w:rsidR="001A3992" w:rsidRPr="00BA6BDC" w:rsidRDefault="001A3992" w:rsidP="007A6E38">
      <w:pPr>
        <w:pStyle w:val="Heading2"/>
        <w:spacing w:after="120"/>
        <w:rPr>
          <w:lang w:val="en-AU"/>
        </w:rPr>
      </w:pPr>
      <w:r w:rsidRPr="00BA6BDC">
        <w:rPr>
          <w:lang w:val="en-AU"/>
        </w:rPr>
        <w:t xml:space="preserve">Pharmacokinetic properties </w:t>
      </w:r>
    </w:p>
    <w:p w14:paraId="527A82D6" w14:textId="0F31E4F8" w:rsidR="00376F52" w:rsidRPr="00BA6BDC" w:rsidRDefault="00376F52" w:rsidP="00376F52">
      <w:r w:rsidRPr="00BA6BDC">
        <w:t>No pharmacokinetic studies have been performed.</w:t>
      </w:r>
    </w:p>
    <w:p w14:paraId="3107E4CD" w14:textId="1706FFFE" w:rsidR="001A3992" w:rsidRPr="00BA6BDC" w:rsidRDefault="001A3992" w:rsidP="009C3BFB">
      <w:pPr>
        <w:pStyle w:val="Heading2"/>
        <w:spacing w:after="120"/>
        <w:rPr>
          <w:lang w:val="en-AU"/>
        </w:rPr>
      </w:pPr>
      <w:r w:rsidRPr="00BA6BDC">
        <w:rPr>
          <w:lang w:val="en-AU"/>
        </w:rPr>
        <w:t>Preclinical safety data</w:t>
      </w:r>
    </w:p>
    <w:p w14:paraId="029777D6" w14:textId="12DBB56F" w:rsidR="00376F52" w:rsidRPr="00BA6BDC" w:rsidRDefault="00376F52" w:rsidP="00376F52">
      <w:r w:rsidRPr="00BA6BDC">
        <w:t>Data in animals, including single dose and repeated dose studies revealed no unexpected findings and no target organ toxicity.</w:t>
      </w:r>
    </w:p>
    <w:p w14:paraId="16E1499F" w14:textId="482B94E8" w:rsidR="001A3992" w:rsidRPr="00BA6BDC" w:rsidRDefault="001A3992" w:rsidP="007A6E38">
      <w:pPr>
        <w:pStyle w:val="Heading3"/>
        <w:numPr>
          <w:ilvl w:val="0"/>
          <w:numId w:val="0"/>
        </w:numPr>
        <w:spacing w:after="120"/>
        <w:rPr>
          <w:i/>
          <w:lang w:val="en-AU"/>
        </w:rPr>
      </w:pPr>
      <w:r w:rsidRPr="00BA6BDC">
        <w:rPr>
          <w:i/>
          <w:lang w:val="en-AU"/>
        </w:rPr>
        <w:lastRenderedPageBreak/>
        <w:t>Genotoxicity</w:t>
      </w:r>
    </w:p>
    <w:p w14:paraId="5BD20545" w14:textId="326F1171" w:rsidR="00BC364A" w:rsidRPr="00BA6BDC" w:rsidRDefault="00376F52" w:rsidP="007A6E38">
      <w:pPr>
        <w:rPr>
          <w:lang w:val="en-AU"/>
        </w:rPr>
      </w:pPr>
      <w:r w:rsidRPr="00BA6BDC">
        <w:t xml:space="preserve">No genotoxicity studies have been performed with </w:t>
      </w:r>
      <w:proofErr w:type="spellStart"/>
      <w:r w:rsidRPr="00BA6BDC">
        <w:t>Verorab</w:t>
      </w:r>
      <w:proofErr w:type="spellEnd"/>
      <w:r w:rsidRPr="00BA6BDC">
        <w:t xml:space="preserve">. </w:t>
      </w:r>
    </w:p>
    <w:p w14:paraId="2320FDDD" w14:textId="7FDC23FD" w:rsidR="001A3992" w:rsidRPr="00BA6BDC" w:rsidRDefault="001A3992" w:rsidP="007A6E38">
      <w:pPr>
        <w:pStyle w:val="Heading3"/>
        <w:numPr>
          <w:ilvl w:val="0"/>
          <w:numId w:val="0"/>
        </w:numPr>
        <w:spacing w:after="120"/>
        <w:ind w:left="680" w:hanging="680"/>
        <w:rPr>
          <w:i/>
          <w:lang w:val="en-AU"/>
        </w:rPr>
      </w:pPr>
      <w:r w:rsidRPr="00BA6BDC">
        <w:rPr>
          <w:i/>
          <w:lang w:val="en-AU"/>
        </w:rPr>
        <w:t>Carcinogenicity</w:t>
      </w:r>
    </w:p>
    <w:p w14:paraId="3B5DA635" w14:textId="3A3F776D" w:rsidR="00376F52" w:rsidRPr="00BA6BDC" w:rsidRDefault="00376F52" w:rsidP="00376F52">
      <w:pPr>
        <w:rPr>
          <w:lang w:val="en-AU"/>
        </w:rPr>
      </w:pPr>
      <w:r w:rsidRPr="00BA6BDC">
        <w:t xml:space="preserve">No carcinogenicity studies have been performed with </w:t>
      </w:r>
      <w:proofErr w:type="spellStart"/>
      <w:r w:rsidRPr="00BA6BDC">
        <w:t>Verorab</w:t>
      </w:r>
      <w:proofErr w:type="spellEnd"/>
      <w:r w:rsidRPr="00BA6BDC">
        <w:t>.</w:t>
      </w:r>
    </w:p>
    <w:p w14:paraId="43B7B9F0" w14:textId="77777777" w:rsidR="00024098" w:rsidRPr="00BA6BDC" w:rsidRDefault="00024098" w:rsidP="00024098">
      <w:pPr>
        <w:rPr>
          <w:lang w:val="en-AU"/>
        </w:rPr>
      </w:pPr>
    </w:p>
    <w:p w14:paraId="7A64FDEE" w14:textId="77777777" w:rsidR="001A3992" w:rsidRPr="00BA6BDC" w:rsidRDefault="001A3992" w:rsidP="00024098">
      <w:pPr>
        <w:pStyle w:val="Heading1"/>
        <w:keepNext w:val="0"/>
        <w:pageBreakBefore w:val="0"/>
        <w:spacing w:before="0" w:after="120"/>
        <w:rPr>
          <w:lang w:val="en-AU"/>
        </w:rPr>
      </w:pPr>
      <w:r w:rsidRPr="00BA6BDC">
        <w:rPr>
          <w:lang w:val="en-AU"/>
        </w:rPr>
        <w:t>Pharmaceutical particulars</w:t>
      </w:r>
    </w:p>
    <w:p w14:paraId="0F6E9A2F" w14:textId="77777777" w:rsidR="001A3992" w:rsidRPr="00BA6BDC" w:rsidRDefault="001A3992" w:rsidP="001A3992">
      <w:pPr>
        <w:pStyle w:val="Heading2"/>
        <w:spacing w:before="0" w:after="120"/>
        <w:rPr>
          <w:lang w:val="en-AU"/>
        </w:rPr>
      </w:pPr>
      <w:bookmarkStart w:id="66" w:name="_Ref62741359"/>
      <w:r w:rsidRPr="00BA6BDC">
        <w:rPr>
          <w:lang w:val="en-AU"/>
        </w:rPr>
        <w:t>List of excipients</w:t>
      </w:r>
      <w:bookmarkEnd w:id="66"/>
      <w:r w:rsidRPr="00BA6BDC">
        <w:rPr>
          <w:lang w:val="en-AU"/>
        </w:rPr>
        <w:t xml:space="preserve"> </w:t>
      </w:r>
    </w:p>
    <w:p w14:paraId="059A0596" w14:textId="2A892C01" w:rsidR="00376F52" w:rsidRPr="00BA6BDC" w:rsidRDefault="007A6E38" w:rsidP="007A6E38">
      <w:pPr>
        <w:pStyle w:val="wcpSubHeading"/>
        <w:spacing w:after="120"/>
        <w:rPr>
          <w:b w:val="0"/>
          <w:bCs/>
          <w:i w:val="0"/>
          <w:iCs/>
          <w:lang w:val="en-AU"/>
        </w:rPr>
      </w:pPr>
      <w:r w:rsidRPr="00BA6BDC">
        <w:rPr>
          <w:b w:val="0"/>
          <w:bCs/>
          <w:i w:val="0"/>
          <w:iCs/>
          <w:lang w:val="en-AU"/>
        </w:rPr>
        <w:t xml:space="preserve">Each 0.5 mL dose of the reconstituted vaccine also contains the following excipients: </w:t>
      </w:r>
    </w:p>
    <w:p w14:paraId="6B69F9A7" w14:textId="435982B8" w:rsidR="007A6E38" w:rsidRPr="00BA6BDC" w:rsidRDefault="007A6E38" w:rsidP="006A5163">
      <w:pPr>
        <w:pStyle w:val="ListBulletLevel1"/>
        <w:numPr>
          <w:ilvl w:val="0"/>
          <w:numId w:val="23"/>
        </w:numPr>
        <w:rPr>
          <w:lang w:val="en-AU"/>
        </w:rPr>
      </w:pPr>
      <w:r w:rsidRPr="00BA6BDC">
        <w:t>Maltose</w:t>
      </w:r>
    </w:p>
    <w:p w14:paraId="5BF8A52F" w14:textId="1E3C2326" w:rsidR="007A6E38" w:rsidRPr="00BA6BDC" w:rsidRDefault="007A6E38" w:rsidP="006A5163">
      <w:pPr>
        <w:pStyle w:val="ListBulletLevel1"/>
        <w:numPr>
          <w:ilvl w:val="0"/>
          <w:numId w:val="23"/>
        </w:numPr>
        <w:rPr>
          <w:lang w:val="en-AU"/>
        </w:rPr>
      </w:pPr>
      <w:r w:rsidRPr="00BA6BDC">
        <w:t>20% albumin solution</w:t>
      </w:r>
    </w:p>
    <w:p w14:paraId="1FDD715E" w14:textId="7D7B5C7E" w:rsidR="007A6E38" w:rsidRPr="00BA6BDC" w:rsidRDefault="007A6E38" w:rsidP="006A5163">
      <w:pPr>
        <w:pStyle w:val="ListBulletLevel1"/>
        <w:numPr>
          <w:ilvl w:val="0"/>
          <w:numId w:val="23"/>
        </w:numPr>
        <w:rPr>
          <w:lang w:val="en-AU"/>
        </w:rPr>
      </w:pPr>
      <w:r w:rsidRPr="00BA6BDC">
        <w:t>B</w:t>
      </w:r>
      <w:r w:rsidR="0097795C" w:rsidRPr="006D26BB">
        <w:rPr>
          <w:color w:val="auto"/>
        </w:rPr>
        <w:t xml:space="preserve">asal </w:t>
      </w:r>
      <w:r w:rsidRPr="006D26BB">
        <w:rPr>
          <w:color w:val="auto"/>
        </w:rPr>
        <w:t>M</w:t>
      </w:r>
      <w:r w:rsidR="0097795C" w:rsidRPr="006D26BB">
        <w:rPr>
          <w:color w:val="auto"/>
        </w:rPr>
        <w:t xml:space="preserve">edium </w:t>
      </w:r>
      <w:r w:rsidRPr="006D26BB">
        <w:rPr>
          <w:color w:val="auto"/>
        </w:rPr>
        <w:t>E</w:t>
      </w:r>
      <w:r w:rsidR="0097795C" w:rsidRPr="006D26BB">
        <w:rPr>
          <w:color w:val="auto"/>
        </w:rPr>
        <w:t>agle</w:t>
      </w:r>
      <w:r w:rsidRPr="006D26BB">
        <w:rPr>
          <w:color w:val="auto"/>
          <w:sz w:val="20"/>
          <w:vertAlign w:val="superscript"/>
        </w:rPr>
        <w:t>1</w:t>
      </w:r>
    </w:p>
    <w:p w14:paraId="0B9DCEF7" w14:textId="1EC78D23" w:rsidR="007A6E38" w:rsidRPr="00BA6BDC" w:rsidRDefault="007A6E38" w:rsidP="006A5163">
      <w:pPr>
        <w:pStyle w:val="ListBulletLevel1"/>
        <w:numPr>
          <w:ilvl w:val="0"/>
          <w:numId w:val="23"/>
        </w:numPr>
        <w:rPr>
          <w:lang w:val="en-AU"/>
        </w:rPr>
      </w:pPr>
      <w:r w:rsidRPr="00BA6BDC">
        <w:t>Sodium chloride</w:t>
      </w:r>
    </w:p>
    <w:p w14:paraId="687E3D79" w14:textId="2F7C1597" w:rsidR="007A6E38" w:rsidRPr="00BA6BDC" w:rsidRDefault="007A6E38" w:rsidP="006A5163">
      <w:pPr>
        <w:pStyle w:val="ListBulletLevel1"/>
        <w:numPr>
          <w:ilvl w:val="0"/>
          <w:numId w:val="23"/>
        </w:numPr>
        <w:rPr>
          <w:lang w:val="en-AU"/>
        </w:rPr>
      </w:pPr>
      <w:r w:rsidRPr="00BA6BDC">
        <w:rPr>
          <w:iCs/>
        </w:rPr>
        <w:t>Water for injections</w:t>
      </w:r>
    </w:p>
    <w:p w14:paraId="5F655D41" w14:textId="208DE627" w:rsidR="00376F52" w:rsidRPr="00BA6BDC" w:rsidRDefault="00376F52" w:rsidP="00376F52">
      <w:pPr>
        <w:tabs>
          <w:tab w:val="left" w:pos="426"/>
        </w:tabs>
        <w:spacing w:before="0"/>
        <w:rPr>
          <w:sz w:val="18"/>
          <w:szCs w:val="18"/>
        </w:rPr>
      </w:pPr>
    </w:p>
    <w:p w14:paraId="4EB770F0" w14:textId="44CFF37B" w:rsidR="00376F52" w:rsidRPr="00BA6BDC" w:rsidRDefault="007A6E38" w:rsidP="00376F52">
      <w:pPr>
        <w:tabs>
          <w:tab w:val="left" w:pos="426"/>
        </w:tabs>
        <w:spacing w:before="0"/>
        <w:ind w:left="426" w:hanging="426"/>
        <w:rPr>
          <w:sz w:val="18"/>
          <w:szCs w:val="18"/>
        </w:rPr>
      </w:pPr>
      <w:r w:rsidRPr="00BA6BDC">
        <w:rPr>
          <w:sz w:val="20"/>
          <w:vertAlign w:val="superscript"/>
        </w:rPr>
        <w:t>1</w:t>
      </w:r>
      <w:r w:rsidR="00376F52" w:rsidRPr="00BA6BDC">
        <w:rPr>
          <w:sz w:val="18"/>
          <w:szCs w:val="18"/>
        </w:rPr>
        <w:tab/>
        <w:t xml:space="preserve">BME = Basal Medium Eagle: mixture of mineral salts, vitamins, </w:t>
      </w:r>
      <w:proofErr w:type="gramStart"/>
      <w:r w:rsidR="00376F52" w:rsidRPr="00BA6BDC">
        <w:rPr>
          <w:sz w:val="18"/>
          <w:szCs w:val="18"/>
        </w:rPr>
        <w:t>dextrose</w:t>
      </w:r>
      <w:proofErr w:type="gramEnd"/>
      <w:r w:rsidR="00376F52" w:rsidRPr="00BA6BDC">
        <w:rPr>
          <w:sz w:val="18"/>
          <w:szCs w:val="18"/>
        </w:rPr>
        <w:t xml:space="preserve"> and amino-acids including L-Phenylalanine</w:t>
      </w:r>
    </w:p>
    <w:p w14:paraId="6F2D006E" w14:textId="77777777" w:rsidR="007A6E38" w:rsidRPr="00BA6BDC" w:rsidRDefault="007A6E38" w:rsidP="007A6E38">
      <w:pPr>
        <w:tabs>
          <w:tab w:val="left" w:pos="426"/>
        </w:tabs>
        <w:spacing w:before="0"/>
        <w:ind w:left="426" w:hanging="426"/>
        <w:rPr>
          <w:sz w:val="20"/>
          <w:vertAlign w:val="superscript"/>
        </w:rPr>
      </w:pPr>
    </w:p>
    <w:p w14:paraId="253A8A18" w14:textId="77777777" w:rsidR="001E40D6" w:rsidRPr="00BA6BDC" w:rsidRDefault="001E40D6" w:rsidP="001E40D6">
      <w:pPr>
        <w:tabs>
          <w:tab w:val="left" w:pos="426"/>
        </w:tabs>
        <w:spacing w:before="0" w:after="240"/>
        <w:ind w:left="426" w:hanging="426"/>
      </w:pPr>
      <w:r w:rsidRPr="00BA6BDC">
        <w:t xml:space="preserve">Contains no antimicrobial agent. </w:t>
      </w:r>
    </w:p>
    <w:p w14:paraId="211DC755" w14:textId="53FCDD40" w:rsidR="00466BF1" w:rsidRPr="00BA6BDC" w:rsidRDefault="00376F52" w:rsidP="001E40D6">
      <w:pPr>
        <w:tabs>
          <w:tab w:val="left" w:pos="0"/>
        </w:tabs>
        <w:spacing w:before="0" w:after="240"/>
      </w:pPr>
      <w:r w:rsidRPr="00BA6BDC">
        <w:t>Hydrochloric acid and/or sodium hydroxide can be used for pH adjustment. These</w:t>
      </w:r>
      <w:r w:rsidR="007A6E38" w:rsidRPr="00BA6BDC">
        <w:t xml:space="preserve"> </w:t>
      </w:r>
      <w:r w:rsidRPr="00BA6BDC">
        <w:t>components are only present in trace amount.</w:t>
      </w:r>
    </w:p>
    <w:p w14:paraId="7A593EF8" w14:textId="4CB5B06A" w:rsidR="007A6E38" w:rsidRPr="00BA6BDC" w:rsidRDefault="007A6E38" w:rsidP="001E40D6">
      <w:r w:rsidRPr="00BA6BDC">
        <w:t xml:space="preserve">The antibiotics </w:t>
      </w:r>
      <w:r w:rsidR="001E40D6" w:rsidRPr="00BA6BDC">
        <w:t>neomycin, streptomycin and polymyxin</w:t>
      </w:r>
      <w:r w:rsidRPr="00BA6BDC">
        <w:t xml:space="preserve"> are used in the manufacturing process of this vaccine and may be present in trace amounts.</w:t>
      </w:r>
    </w:p>
    <w:p w14:paraId="2446975F" w14:textId="77777777" w:rsidR="007A6E38" w:rsidRPr="00BA6BDC" w:rsidRDefault="007A6E38" w:rsidP="007A6E38">
      <w:pPr>
        <w:tabs>
          <w:tab w:val="left" w:pos="426"/>
        </w:tabs>
        <w:spacing w:before="0"/>
        <w:ind w:left="426" w:hanging="426"/>
        <w:rPr>
          <w:sz w:val="18"/>
          <w:szCs w:val="18"/>
        </w:rPr>
      </w:pPr>
    </w:p>
    <w:p w14:paraId="0E74BB95" w14:textId="77777777" w:rsidR="001A3992" w:rsidRPr="00BA6BDC" w:rsidRDefault="001A3992" w:rsidP="001A3992">
      <w:pPr>
        <w:pStyle w:val="Heading2"/>
        <w:keepLines/>
        <w:spacing w:before="0" w:after="120"/>
        <w:rPr>
          <w:lang w:val="en-AU"/>
        </w:rPr>
      </w:pPr>
      <w:r w:rsidRPr="00BA6BDC">
        <w:rPr>
          <w:lang w:val="en-AU"/>
        </w:rPr>
        <w:t xml:space="preserve">Incompatibilities </w:t>
      </w:r>
    </w:p>
    <w:p w14:paraId="451F4A9E" w14:textId="500CFF61" w:rsidR="00D538AB" w:rsidRPr="00BA6BDC" w:rsidRDefault="00DE3FFB" w:rsidP="008B7E4D">
      <w:pPr>
        <w:spacing w:after="240"/>
        <w:rPr>
          <w:lang w:val="en-AU"/>
        </w:rPr>
      </w:pPr>
      <w:r w:rsidRPr="00BA6BDC">
        <w:t>This vaccine must not be mixed with other medicinal products.</w:t>
      </w:r>
    </w:p>
    <w:p w14:paraId="388613FF" w14:textId="77777777" w:rsidR="001A3992" w:rsidRPr="00BA6BDC" w:rsidRDefault="001A3992" w:rsidP="001A3992">
      <w:pPr>
        <w:pStyle w:val="Heading2"/>
        <w:spacing w:before="0" w:after="120"/>
        <w:rPr>
          <w:lang w:val="en-AU"/>
        </w:rPr>
      </w:pPr>
      <w:r w:rsidRPr="00BA6BDC">
        <w:rPr>
          <w:lang w:val="en-AU"/>
        </w:rPr>
        <w:t xml:space="preserve">Shelf life </w:t>
      </w:r>
    </w:p>
    <w:p w14:paraId="19C5671A" w14:textId="6048FC01" w:rsidR="0024632F" w:rsidRPr="00BA6BDC" w:rsidRDefault="00EF2F75" w:rsidP="00376F52">
      <w:r w:rsidRPr="00BA6BDC">
        <w:t>36 months</w:t>
      </w:r>
      <w:r w:rsidR="00D538AB" w:rsidRPr="00BA6BDC">
        <w:t>.</w:t>
      </w:r>
      <w:r w:rsidR="00376F52" w:rsidRPr="00BA6BDC">
        <w:t xml:space="preserve"> </w:t>
      </w:r>
    </w:p>
    <w:p w14:paraId="38D284EC" w14:textId="77777777" w:rsidR="00376F52" w:rsidRPr="00BA6BDC" w:rsidRDefault="00376F52" w:rsidP="00376F52">
      <w:pPr>
        <w:rPr>
          <w:lang w:val="en-AU"/>
        </w:rPr>
      </w:pPr>
    </w:p>
    <w:p w14:paraId="451104F8" w14:textId="77777777" w:rsidR="001A3992" w:rsidRPr="00BA6BDC" w:rsidRDefault="001A3992" w:rsidP="001A3992">
      <w:pPr>
        <w:pStyle w:val="Heading2"/>
        <w:keepLines/>
        <w:spacing w:before="0" w:after="120"/>
        <w:rPr>
          <w:lang w:val="en-AU"/>
        </w:rPr>
      </w:pPr>
      <w:r w:rsidRPr="00BA6BDC">
        <w:rPr>
          <w:lang w:val="en-AU"/>
        </w:rPr>
        <w:lastRenderedPageBreak/>
        <w:t xml:space="preserve">Special precautions for storage </w:t>
      </w:r>
    </w:p>
    <w:p w14:paraId="27F19E18" w14:textId="46C1FF88" w:rsidR="00376F52" w:rsidRPr="00BA6BDC" w:rsidRDefault="00376F52" w:rsidP="001E40D6">
      <w:pPr>
        <w:spacing w:before="0"/>
      </w:pPr>
      <w:r w:rsidRPr="00BA6BDC">
        <w:t>Store in a refrigerator (2</w:t>
      </w:r>
      <w:r w:rsidRPr="00BA6BDC">
        <w:rPr>
          <w:rFonts w:ascii="Symbol" w:eastAsia="Symbol" w:hAnsi="Symbol" w:cs="Symbol"/>
        </w:rPr>
        <w:t>°</w:t>
      </w:r>
      <w:r w:rsidRPr="00BA6BDC">
        <w:t>C – 8</w:t>
      </w:r>
      <w:r w:rsidRPr="00BA6BDC">
        <w:rPr>
          <w:rFonts w:ascii="Symbol" w:eastAsia="Symbol" w:hAnsi="Symbol" w:cs="Symbol"/>
        </w:rPr>
        <w:t>°</w:t>
      </w:r>
      <w:r w:rsidRPr="00BA6BDC">
        <w:t xml:space="preserve">C). </w:t>
      </w:r>
      <w:r w:rsidR="00380B4A">
        <w:t>Do not freeze</w:t>
      </w:r>
    </w:p>
    <w:p w14:paraId="3E89E04A" w14:textId="3A49AB73" w:rsidR="00380B4A" w:rsidRPr="00BA6BDC" w:rsidRDefault="00376F52" w:rsidP="001E40D6">
      <w:pPr>
        <w:spacing w:before="0"/>
      </w:pPr>
      <w:r w:rsidRPr="00BA6BDC">
        <w:t>Store protected from light.</w:t>
      </w:r>
    </w:p>
    <w:p w14:paraId="38F88499" w14:textId="77777777" w:rsidR="00D70EC1" w:rsidRPr="00BA6BDC" w:rsidRDefault="00D70EC1" w:rsidP="00D70EC1">
      <w:pPr>
        <w:rPr>
          <w:lang w:val="en-AU"/>
        </w:rPr>
      </w:pPr>
    </w:p>
    <w:p w14:paraId="3103A7A4" w14:textId="0372EA84" w:rsidR="001A3992" w:rsidRPr="00BA6BDC" w:rsidRDefault="001A3992" w:rsidP="001A3992">
      <w:pPr>
        <w:pStyle w:val="Heading2"/>
        <w:spacing w:before="0" w:after="120"/>
        <w:rPr>
          <w:lang w:val="en-AU"/>
        </w:rPr>
      </w:pPr>
      <w:bookmarkStart w:id="67" w:name="_Hlk77010716"/>
      <w:r w:rsidRPr="00BA6BDC">
        <w:rPr>
          <w:lang w:val="en-AU"/>
        </w:rPr>
        <w:t xml:space="preserve">Nature and contents of container </w:t>
      </w:r>
    </w:p>
    <w:p w14:paraId="6A9B7D80" w14:textId="7A305772" w:rsidR="001E40D6" w:rsidRPr="00BA6BDC" w:rsidRDefault="001E40D6" w:rsidP="001E40D6">
      <w:pPr>
        <w:rPr>
          <w:lang w:val="en-AU"/>
        </w:rPr>
      </w:pPr>
      <w:proofErr w:type="spellStart"/>
      <w:r w:rsidRPr="00BA6BDC">
        <w:rPr>
          <w:lang w:val="en-AU"/>
        </w:rPr>
        <w:t>Verorab</w:t>
      </w:r>
      <w:proofErr w:type="spellEnd"/>
      <w:r w:rsidRPr="00BA6BDC">
        <w:rPr>
          <w:lang w:val="en-AU"/>
        </w:rPr>
        <w:t xml:space="preserve"> is available in the following pack sizes:</w:t>
      </w:r>
    </w:p>
    <w:p w14:paraId="2B97B124" w14:textId="7A2A94A4" w:rsidR="00103D23" w:rsidRPr="00BA6BDC" w:rsidRDefault="00103D23" w:rsidP="00EF2F75">
      <w:pPr>
        <w:pStyle w:val="ListBulletLevel1"/>
        <w:numPr>
          <w:ilvl w:val="0"/>
          <w:numId w:val="27"/>
        </w:numPr>
        <w:rPr>
          <w:lang w:val="en-AU"/>
        </w:rPr>
      </w:pPr>
      <w:r w:rsidRPr="00BA6BDC">
        <w:rPr>
          <w:lang w:val="en-AU"/>
        </w:rPr>
        <w:t>Powder in vial (Type I glass) with a stopper (</w:t>
      </w:r>
      <w:proofErr w:type="spellStart"/>
      <w:r w:rsidRPr="00BA6BDC">
        <w:rPr>
          <w:lang w:val="en-AU"/>
        </w:rPr>
        <w:t>chlorobutyl</w:t>
      </w:r>
      <w:proofErr w:type="spellEnd"/>
      <w:r w:rsidRPr="00BA6BDC">
        <w:rPr>
          <w:lang w:val="en-AU"/>
        </w:rPr>
        <w:t>) and a cap + 0.5 mL of solvent in prefilled syringe (Type I glass) with attached needle with a plunger-stopper (</w:t>
      </w:r>
      <w:proofErr w:type="spellStart"/>
      <w:r w:rsidRPr="00BA6BDC">
        <w:rPr>
          <w:lang w:val="en-AU"/>
        </w:rPr>
        <w:t>chlorobutyl</w:t>
      </w:r>
      <w:proofErr w:type="spellEnd"/>
      <w:r w:rsidRPr="00BA6BDC">
        <w:rPr>
          <w:lang w:val="en-AU"/>
        </w:rPr>
        <w:t xml:space="preserve"> or </w:t>
      </w:r>
      <w:proofErr w:type="spellStart"/>
      <w:r w:rsidRPr="00BA6BDC">
        <w:rPr>
          <w:lang w:val="en-AU"/>
        </w:rPr>
        <w:t>bromobutyl</w:t>
      </w:r>
      <w:proofErr w:type="spellEnd"/>
      <w:r w:rsidRPr="00BA6BDC">
        <w:rPr>
          <w:lang w:val="en-AU"/>
        </w:rPr>
        <w:t>). Box of 1 or 10.</w:t>
      </w:r>
    </w:p>
    <w:bookmarkEnd w:id="67"/>
    <w:p w14:paraId="2C62CF7E" w14:textId="46F7E2D4" w:rsidR="00135D67" w:rsidRPr="00BA6BDC" w:rsidRDefault="00135D67" w:rsidP="00EF2F75">
      <w:pPr>
        <w:pStyle w:val="ListBulletLevel1"/>
        <w:numPr>
          <w:ilvl w:val="0"/>
          <w:numId w:val="0"/>
        </w:numPr>
        <w:rPr>
          <w:lang w:val="en-AU"/>
        </w:rPr>
      </w:pPr>
    </w:p>
    <w:p w14:paraId="3694C09B" w14:textId="75D3285E" w:rsidR="00376F52" w:rsidRPr="00BA6BDC" w:rsidRDefault="00376F52" w:rsidP="006A5163">
      <w:pPr>
        <w:pStyle w:val="wcpTableContent"/>
        <w:rPr>
          <w:noProof/>
        </w:rPr>
      </w:pPr>
      <w:r w:rsidRPr="00BA6BDC">
        <w:rPr>
          <w:noProof/>
        </w:rPr>
        <w:t>* The tip caps of the prefilled</w:t>
      </w:r>
      <w:r w:rsidR="0038188A" w:rsidRPr="00BA6BDC">
        <w:rPr>
          <w:noProof/>
        </w:rPr>
        <w:t xml:space="preserve"> diluent</w:t>
      </w:r>
      <w:r w:rsidRPr="00BA6BDC">
        <w:rPr>
          <w:noProof/>
        </w:rPr>
        <w:t xml:space="preserve"> syringes</w:t>
      </w:r>
      <w:r w:rsidR="00DE3FFB" w:rsidRPr="00BA6BDC">
        <w:rPr>
          <w:noProof/>
        </w:rPr>
        <w:t xml:space="preserve"> without needle</w:t>
      </w:r>
      <w:r w:rsidRPr="00BA6BDC">
        <w:rPr>
          <w:noProof/>
        </w:rPr>
        <w:t xml:space="preserve"> contain a natural rubber latex derivative.</w:t>
      </w:r>
    </w:p>
    <w:p w14:paraId="7443120C" w14:textId="77777777" w:rsidR="007C4C57" w:rsidRPr="00BA6BDC" w:rsidRDefault="007C4C57" w:rsidP="004F0E4A">
      <w:pPr>
        <w:rPr>
          <w:snapToGrid w:val="0"/>
          <w:lang w:val="en-AU"/>
        </w:rPr>
      </w:pPr>
    </w:p>
    <w:p w14:paraId="4C183D89" w14:textId="77777777" w:rsidR="001A3992" w:rsidRPr="00BA6BDC" w:rsidRDefault="001A3992" w:rsidP="001A3992">
      <w:pPr>
        <w:pStyle w:val="Heading2"/>
        <w:spacing w:before="0" w:after="120"/>
        <w:rPr>
          <w:lang w:val="en-AU"/>
        </w:rPr>
      </w:pPr>
      <w:r w:rsidRPr="00BA6BDC">
        <w:rPr>
          <w:lang w:val="en-AU"/>
        </w:rPr>
        <w:t xml:space="preserve">Special precautions for disposal </w:t>
      </w:r>
    </w:p>
    <w:p w14:paraId="5E8E365A" w14:textId="50A71DD8" w:rsidR="00A0746E" w:rsidRPr="00BA6BDC" w:rsidRDefault="00A0746E" w:rsidP="00D70EC1">
      <w:r w:rsidRPr="00BA6BDC">
        <w:t>In Australia, any unused medicine or waste material should be disposed of in accordance with local requirements.</w:t>
      </w:r>
    </w:p>
    <w:p w14:paraId="126D8C54" w14:textId="77777777" w:rsidR="00717E34" w:rsidRPr="00BA6BDC" w:rsidRDefault="00717E34" w:rsidP="00717E34">
      <w:pPr>
        <w:rPr>
          <w:lang w:val="en-AU"/>
        </w:rPr>
      </w:pPr>
    </w:p>
    <w:p w14:paraId="0FAD3295" w14:textId="77777777" w:rsidR="001A3992" w:rsidRPr="00BA6BDC" w:rsidRDefault="001A3992" w:rsidP="001A3992">
      <w:pPr>
        <w:pStyle w:val="Heading2"/>
        <w:spacing w:before="0" w:after="120"/>
        <w:rPr>
          <w:lang w:val="en-AU"/>
        </w:rPr>
      </w:pPr>
      <w:r w:rsidRPr="00BA6BDC">
        <w:rPr>
          <w:lang w:val="en-AU"/>
        </w:rPr>
        <w:t>Physicochemical properties</w:t>
      </w:r>
    </w:p>
    <w:p w14:paraId="4CAC0BA1" w14:textId="2AB6C51E" w:rsidR="001A3992" w:rsidRDefault="001E40D6" w:rsidP="00E9222B">
      <w:pPr>
        <w:rPr>
          <w:iCs/>
        </w:rPr>
      </w:pPr>
      <w:r w:rsidRPr="00BA6BDC">
        <w:rPr>
          <w:iCs/>
        </w:rPr>
        <w:t>No data available.</w:t>
      </w:r>
    </w:p>
    <w:p w14:paraId="40B4D9C7" w14:textId="77777777" w:rsidR="00E9222B" w:rsidRPr="00E9222B" w:rsidRDefault="00E9222B" w:rsidP="00E9222B">
      <w:pPr>
        <w:rPr>
          <w:iCs/>
        </w:rPr>
      </w:pPr>
    </w:p>
    <w:p w14:paraId="7F46F20E" w14:textId="77777777" w:rsidR="001A3992" w:rsidRPr="00BA6BDC" w:rsidRDefault="001A3992" w:rsidP="00024098">
      <w:pPr>
        <w:pStyle w:val="Heading1"/>
        <w:keepNext w:val="0"/>
        <w:pageBreakBefore w:val="0"/>
        <w:spacing w:before="0" w:after="120"/>
        <w:rPr>
          <w:lang w:val="en-AU"/>
        </w:rPr>
      </w:pPr>
      <w:r w:rsidRPr="00BA6BDC">
        <w:rPr>
          <w:lang w:val="en-AU"/>
        </w:rPr>
        <w:t>Medicine schedule (Poisons Standard)</w:t>
      </w:r>
    </w:p>
    <w:p w14:paraId="5FC109BB" w14:textId="3CA6EC43" w:rsidR="00024098" w:rsidRPr="00BA6BDC" w:rsidRDefault="00D538AB" w:rsidP="00024098">
      <w:r w:rsidRPr="00BA6BDC">
        <w:t>Schedule 4 – Prescription only medicine</w:t>
      </w:r>
    </w:p>
    <w:p w14:paraId="6AC2A2A6" w14:textId="77777777" w:rsidR="00D538AB" w:rsidRPr="00BA6BDC" w:rsidRDefault="00D538AB" w:rsidP="00024098">
      <w:pPr>
        <w:rPr>
          <w:lang w:val="en-AU"/>
        </w:rPr>
      </w:pPr>
    </w:p>
    <w:p w14:paraId="0B9F3483" w14:textId="77777777" w:rsidR="001A3992" w:rsidRPr="00BA6BDC" w:rsidRDefault="001A3992" w:rsidP="00024098">
      <w:pPr>
        <w:pStyle w:val="Heading1"/>
        <w:keepNext w:val="0"/>
        <w:pageBreakBefore w:val="0"/>
        <w:spacing w:before="0" w:after="120"/>
        <w:rPr>
          <w:lang w:val="en-AU"/>
        </w:rPr>
      </w:pPr>
      <w:r w:rsidRPr="00BA6BDC">
        <w:rPr>
          <w:lang w:val="en-AU"/>
        </w:rPr>
        <w:t>Sponsor</w:t>
      </w:r>
    </w:p>
    <w:p w14:paraId="5E1F2FF9" w14:textId="7BAB0ABD" w:rsidR="00CF34CE" w:rsidRPr="00BA6BDC" w:rsidRDefault="00CF34CE" w:rsidP="00CF34CE">
      <w:proofErr w:type="spellStart"/>
      <w:r w:rsidRPr="00BA6BDC">
        <w:t>sanofi-aventis</w:t>
      </w:r>
      <w:proofErr w:type="spellEnd"/>
      <w:r w:rsidRPr="00BA6BDC">
        <w:t xml:space="preserve"> </w:t>
      </w:r>
      <w:proofErr w:type="spellStart"/>
      <w:r w:rsidRPr="00BA6BDC">
        <w:t>australia</w:t>
      </w:r>
      <w:proofErr w:type="spellEnd"/>
      <w:r w:rsidRPr="00BA6BDC">
        <w:t xml:space="preserve"> </w:t>
      </w:r>
      <w:proofErr w:type="spellStart"/>
      <w:r w:rsidRPr="00BA6BDC">
        <w:t>pty</w:t>
      </w:r>
      <w:proofErr w:type="spellEnd"/>
      <w:r w:rsidRPr="00BA6BDC">
        <w:t xml:space="preserve"> ltd</w:t>
      </w:r>
      <w:r w:rsidRPr="00BA6BDC">
        <w:br/>
        <w:t>12-24 Talavera Road</w:t>
      </w:r>
      <w:r w:rsidRPr="00BA6BDC">
        <w:br/>
        <w:t>Macquarie Park NSW 2113</w:t>
      </w:r>
    </w:p>
    <w:p w14:paraId="6D804C94" w14:textId="77777777" w:rsidR="00CF34CE" w:rsidRPr="00BA6BDC" w:rsidRDefault="00CF34CE" w:rsidP="00CF34CE">
      <w:r w:rsidRPr="00BA6BDC">
        <w:lastRenderedPageBreak/>
        <w:t>Toll Free Number (medical information): 1800 818 806</w:t>
      </w:r>
      <w:r w:rsidRPr="00BA6BDC">
        <w:br/>
        <w:t>E-mail: medinfo.australia@sanofi.com</w:t>
      </w:r>
    </w:p>
    <w:p w14:paraId="75AE3671" w14:textId="77777777" w:rsidR="00024098" w:rsidRPr="00BA6BDC" w:rsidRDefault="00024098" w:rsidP="00024098"/>
    <w:p w14:paraId="376B7760" w14:textId="55895694" w:rsidR="001A3992" w:rsidRPr="00BA6BDC" w:rsidRDefault="001A3992" w:rsidP="00024098">
      <w:pPr>
        <w:pStyle w:val="Heading1"/>
        <w:keepNext w:val="0"/>
        <w:pageBreakBefore w:val="0"/>
        <w:spacing w:before="0" w:after="120"/>
        <w:rPr>
          <w:lang w:val="en-AU"/>
        </w:rPr>
      </w:pPr>
      <w:r w:rsidRPr="00BA6BDC">
        <w:rPr>
          <w:lang w:val="en-AU"/>
        </w:rPr>
        <w:t>Date of first approval</w:t>
      </w:r>
      <w:r w:rsidR="004635C5" w:rsidRPr="00BA6BDC">
        <w:rPr>
          <w:lang w:val="en-AU"/>
        </w:rPr>
        <w:t xml:space="preserve"> </w:t>
      </w:r>
    </w:p>
    <w:p w14:paraId="74A5FD98" w14:textId="1E5F4990" w:rsidR="001E40D6" w:rsidRPr="00BA6BDC" w:rsidRDefault="004518F4" w:rsidP="001E40D6">
      <w:pPr>
        <w:rPr>
          <w:lang w:val="en-AU"/>
        </w:rPr>
      </w:pPr>
      <w:r>
        <w:rPr>
          <w:lang w:val="en-AU"/>
        </w:rPr>
        <w:t>17 October 2022</w:t>
      </w:r>
    </w:p>
    <w:p w14:paraId="30CF6E20" w14:textId="77777777" w:rsidR="00477BD3" w:rsidRPr="00BA6BDC" w:rsidRDefault="00477BD3" w:rsidP="00477BD3">
      <w:pPr>
        <w:rPr>
          <w:lang w:val="en-AU"/>
        </w:rPr>
      </w:pPr>
    </w:p>
    <w:p w14:paraId="70EE2AF4" w14:textId="77777777" w:rsidR="004518F4" w:rsidRDefault="001A3992" w:rsidP="004518F4">
      <w:pPr>
        <w:pStyle w:val="Heading1"/>
        <w:keepNext w:val="0"/>
        <w:pageBreakBefore w:val="0"/>
        <w:spacing w:before="0" w:after="120"/>
        <w:rPr>
          <w:lang w:val="en-AU"/>
        </w:rPr>
      </w:pPr>
      <w:r w:rsidRPr="00BA6BDC">
        <w:rPr>
          <w:lang w:val="en-AU"/>
        </w:rPr>
        <w:t>Date of revision</w:t>
      </w:r>
    </w:p>
    <w:p w14:paraId="390E8E54" w14:textId="44544BD6" w:rsidR="004518F4" w:rsidRDefault="001A3992" w:rsidP="004518F4">
      <w:pPr>
        <w:pStyle w:val="Heading1"/>
        <w:keepNext w:val="0"/>
        <w:pageBreakBefore w:val="0"/>
        <w:numPr>
          <w:ilvl w:val="0"/>
          <w:numId w:val="0"/>
        </w:numPr>
        <w:spacing w:before="0" w:after="120"/>
        <w:rPr>
          <w:lang w:val="en-AU"/>
        </w:rPr>
      </w:pPr>
      <w:r w:rsidRPr="00BA6BDC">
        <w:rPr>
          <w:lang w:val="en-AU"/>
        </w:rPr>
        <w:t xml:space="preserve"> </w:t>
      </w:r>
    </w:p>
    <w:p w14:paraId="156FB48E" w14:textId="7E76F26C" w:rsidR="001A3992" w:rsidRPr="00BA6BDC" w:rsidRDefault="001A3992" w:rsidP="001A3992">
      <w:pPr>
        <w:pStyle w:val="Heading2"/>
        <w:numPr>
          <w:ilvl w:val="0"/>
          <w:numId w:val="0"/>
        </w:numPr>
        <w:spacing w:before="0" w:after="120"/>
        <w:rPr>
          <w:lang w:val="en-AU"/>
        </w:rPr>
      </w:pPr>
      <w:r w:rsidRPr="00BA6BDC">
        <w:rPr>
          <w:lang w:val="en-AU"/>
        </w:rPr>
        <w:t>Summary table of changes</w:t>
      </w:r>
    </w:p>
    <w:tbl>
      <w:tblPr>
        <w:tblStyle w:val="LightGrid"/>
        <w:tblW w:w="0" w:type="auto"/>
        <w:tblCellMar>
          <w:top w:w="57" w:type="dxa"/>
          <w:bottom w:w="57" w:type="dxa"/>
        </w:tblCellMar>
        <w:tblLook w:val="06A0" w:firstRow="1" w:lastRow="0" w:firstColumn="1" w:lastColumn="0" w:noHBand="1" w:noVBand="1"/>
      </w:tblPr>
      <w:tblGrid>
        <w:gridCol w:w="1384"/>
        <w:gridCol w:w="7858"/>
      </w:tblGrid>
      <w:tr w:rsidR="00ED0937" w:rsidRPr="00BA6BDC" w14:paraId="0B98B97A" w14:textId="77777777" w:rsidTr="004D0F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F2F2F2" w:themeFill="background1" w:themeFillShade="F2"/>
            <w:vAlign w:val="center"/>
          </w:tcPr>
          <w:p w14:paraId="796E7038" w14:textId="77777777" w:rsidR="00ED0937" w:rsidRPr="00BA6BDC" w:rsidRDefault="00ED0937" w:rsidP="004D0FD8">
            <w:pPr>
              <w:rPr>
                <w:sz w:val="20"/>
                <w:lang w:val="en-AU"/>
              </w:rPr>
            </w:pPr>
            <w:r w:rsidRPr="00BA6BDC">
              <w:rPr>
                <w:sz w:val="20"/>
                <w:lang w:val="en-AU"/>
              </w:rPr>
              <w:t>Section Changed</w:t>
            </w:r>
          </w:p>
        </w:tc>
        <w:tc>
          <w:tcPr>
            <w:tcW w:w="7858" w:type="dxa"/>
            <w:shd w:val="clear" w:color="auto" w:fill="F2F2F2" w:themeFill="background1" w:themeFillShade="F2"/>
            <w:vAlign w:val="center"/>
          </w:tcPr>
          <w:p w14:paraId="1CD3FCDF" w14:textId="77777777" w:rsidR="00ED0937" w:rsidRPr="00BA6BDC" w:rsidRDefault="00ED0937" w:rsidP="004D0FD8">
            <w:pPr>
              <w:cnfStyle w:val="100000000000" w:firstRow="1" w:lastRow="0" w:firstColumn="0" w:lastColumn="0" w:oddVBand="0" w:evenVBand="0" w:oddHBand="0" w:evenHBand="0" w:firstRowFirstColumn="0" w:firstRowLastColumn="0" w:lastRowFirstColumn="0" w:lastRowLastColumn="0"/>
              <w:rPr>
                <w:sz w:val="20"/>
                <w:lang w:val="en-AU"/>
              </w:rPr>
            </w:pPr>
            <w:r w:rsidRPr="00BA6BDC">
              <w:rPr>
                <w:sz w:val="20"/>
                <w:lang w:val="en-AU"/>
              </w:rPr>
              <w:t>Summary of new information</w:t>
            </w:r>
          </w:p>
        </w:tc>
      </w:tr>
      <w:tr w:rsidR="00ED0937" w:rsidRPr="00BA6BDC" w14:paraId="49FFE0AB" w14:textId="77777777" w:rsidTr="004D0FD8">
        <w:tc>
          <w:tcPr>
            <w:cnfStyle w:val="001000000000" w:firstRow="0" w:lastRow="0" w:firstColumn="1" w:lastColumn="0" w:oddVBand="0" w:evenVBand="0" w:oddHBand="0" w:evenHBand="0" w:firstRowFirstColumn="0" w:firstRowLastColumn="0" w:lastRowFirstColumn="0" w:lastRowLastColumn="0"/>
            <w:tcW w:w="1384" w:type="dxa"/>
            <w:vAlign w:val="center"/>
          </w:tcPr>
          <w:p w14:paraId="7D103537" w14:textId="77777777" w:rsidR="00ED0937" w:rsidRPr="00BA6BDC" w:rsidRDefault="00ED0937" w:rsidP="004D0FD8">
            <w:pPr>
              <w:rPr>
                <w:lang w:val="en-AU"/>
              </w:rPr>
            </w:pPr>
          </w:p>
        </w:tc>
        <w:tc>
          <w:tcPr>
            <w:tcW w:w="7858" w:type="dxa"/>
            <w:vAlign w:val="center"/>
          </w:tcPr>
          <w:p w14:paraId="71D66C26" w14:textId="77777777" w:rsidR="00ED0937" w:rsidRPr="00BA6BDC" w:rsidRDefault="00ED0937" w:rsidP="004D0FD8">
            <w:pPr>
              <w:cnfStyle w:val="000000000000" w:firstRow="0" w:lastRow="0" w:firstColumn="0" w:lastColumn="0" w:oddVBand="0" w:evenVBand="0" w:oddHBand="0" w:evenHBand="0" w:firstRowFirstColumn="0" w:firstRowLastColumn="0" w:lastRowFirstColumn="0" w:lastRowLastColumn="0"/>
              <w:rPr>
                <w:lang w:val="en-AU"/>
              </w:rPr>
            </w:pPr>
          </w:p>
        </w:tc>
      </w:tr>
      <w:tr w:rsidR="00ED0937" w:rsidRPr="00BA6BDC" w14:paraId="20FB1771" w14:textId="77777777" w:rsidTr="004D0FD8">
        <w:tc>
          <w:tcPr>
            <w:cnfStyle w:val="001000000000" w:firstRow="0" w:lastRow="0" w:firstColumn="1" w:lastColumn="0" w:oddVBand="0" w:evenVBand="0" w:oddHBand="0" w:evenHBand="0" w:firstRowFirstColumn="0" w:firstRowLastColumn="0" w:lastRowFirstColumn="0" w:lastRowLastColumn="0"/>
            <w:tcW w:w="1384" w:type="dxa"/>
            <w:vAlign w:val="center"/>
          </w:tcPr>
          <w:p w14:paraId="785AEB7D" w14:textId="77777777" w:rsidR="00ED0937" w:rsidRPr="00BA6BDC" w:rsidRDefault="00ED0937" w:rsidP="004D0FD8">
            <w:pPr>
              <w:rPr>
                <w:lang w:val="en-AU"/>
              </w:rPr>
            </w:pPr>
          </w:p>
        </w:tc>
        <w:tc>
          <w:tcPr>
            <w:tcW w:w="7858" w:type="dxa"/>
            <w:vAlign w:val="center"/>
          </w:tcPr>
          <w:p w14:paraId="530925C7" w14:textId="77777777" w:rsidR="00ED0937" w:rsidRPr="00BA6BDC" w:rsidRDefault="00ED0937" w:rsidP="004D0FD8">
            <w:pPr>
              <w:cnfStyle w:val="000000000000" w:firstRow="0" w:lastRow="0" w:firstColumn="0" w:lastColumn="0" w:oddVBand="0" w:evenVBand="0" w:oddHBand="0" w:evenHBand="0" w:firstRowFirstColumn="0" w:firstRowLastColumn="0" w:lastRowFirstColumn="0" w:lastRowLastColumn="0"/>
              <w:rPr>
                <w:lang w:val="en-AU"/>
              </w:rPr>
            </w:pPr>
          </w:p>
        </w:tc>
      </w:tr>
      <w:tr w:rsidR="00ED0937" w:rsidRPr="00BA6BDC" w14:paraId="4A358DDB" w14:textId="77777777" w:rsidTr="004D0FD8">
        <w:tc>
          <w:tcPr>
            <w:cnfStyle w:val="001000000000" w:firstRow="0" w:lastRow="0" w:firstColumn="1" w:lastColumn="0" w:oddVBand="0" w:evenVBand="0" w:oddHBand="0" w:evenHBand="0" w:firstRowFirstColumn="0" w:firstRowLastColumn="0" w:lastRowFirstColumn="0" w:lastRowLastColumn="0"/>
            <w:tcW w:w="1384" w:type="dxa"/>
            <w:vAlign w:val="center"/>
          </w:tcPr>
          <w:p w14:paraId="5BBEFCDA" w14:textId="77777777" w:rsidR="00ED0937" w:rsidRPr="00BA6BDC" w:rsidRDefault="00ED0937" w:rsidP="004D0FD8">
            <w:pPr>
              <w:rPr>
                <w:lang w:val="en-AU"/>
              </w:rPr>
            </w:pPr>
          </w:p>
        </w:tc>
        <w:tc>
          <w:tcPr>
            <w:tcW w:w="7858" w:type="dxa"/>
            <w:vAlign w:val="center"/>
          </w:tcPr>
          <w:p w14:paraId="48F716E1" w14:textId="77777777" w:rsidR="00ED0937" w:rsidRPr="00BA6BDC" w:rsidRDefault="00ED0937" w:rsidP="004D0FD8">
            <w:pPr>
              <w:cnfStyle w:val="000000000000" w:firstRow="0" w:lastRow="0" w:firstColumn="0" w:lastColumn="0" w:oddVBand="0" w:evenVBand="0" w:oddHBand="0" w:evenHBand="0" w:firstRowFirstColumn="0" w:firstRowLastColumn="0" w:lastRowFirstColumn="0" w:lastRowLastColumn="0"/>
              <w:rPr>
                <w:lang w:val="en-AU"/>
              </w:rPr>
            </w:pPr>
          </w:p>
        </w:tc>
      </w:tr>
    </w:tbl>
    <w:p w14:paraId="038FD56A" w14:textId="77777777" w:rsidR="001A3992" w:rsidRPr="00BA6BDC" w:rsidRDefault="001A3992" w:rsidP="001A3992">
      <w:pPr>
        <w:spacing w:after="120"/>
        <w:rPr>
          <w:lang w:val="en-AU"/>
        </w:rPr>
      </w:pPr>
    </w:p>
    <w:p w14:paraId="3FFB0898" w14:textId="77777777" w:rsidR="00960CD5" w:rsidRPr="00BA6BDC" w:rsidRDefault="00960CD5" w:rsidP="001A3992">
      <w:pPr>
        <w:spacing w:after="120"/>
        <w:rPr>
          <w:lang w:val="en-AU"/>
        </w:rPr>
      </w:pPr>
    </w:p>
    <w:sectPr w:rsidR="00960CD5" w:rsidRPr="00BA6BDC" w:rsidSect="00BA6BDC">
      <w:headerReference w:type="even" r:id="rId12"/>
      <w:headerReference w:type="default" r:id="rId13"/>
      <w:footerReference w:type="even" r:id="rId14"/>
      <w:footerReference w:type="default" r:id="rId15"/>
      <w:pgSz w:w="11906" w:h="16838"/>
      <w:pgMar w:top="1814" w:right="850" w:bottom="2154" w:left="1587" w:header="1134" w:footer="15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AC2F3" w14:textId="77777777" w:rsidR="00EC0DFF" w:rsidRDefault="00EC0DFF" w:rsidP="001A3992">
      <w:r>
        <w:separator/>
      </w:r>
    </w:p>
  </w:endnote>
  <w:endnote w:type="continuationSeparator" w:id="0">
    <w:p w14:paraId="62E524DA" w14:textId="77777777" w:rsidR="00EC0DFF" w:rsidRDefault="00EC0DFF" w:rsidP="001A3992">
      <w:r>
        <w:continuationSeparator/>
      </w:r>
    </w:p>
  </w:endnote>
  <w:endnote w:type="continuationNotice" w:id="1">
    <w:p w14:paraId="6B652DD5" w14:textId="77777777" w:rsidR="00EC0DFF" w:rsidRDefault="00EC0DF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Frutiger LT 57 C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inionPro-Regular">
    <w:altName w:val="MS Mincho"/>
    <w:panose1 w:val="00000000000000000000"/>
    <w:charset w:val="80"/>
    <w:family w:val="roman"/>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CA067" w14:textId="77777777" w:rsidR="004A654A" w:rsidRDefault="004A654A">
    <w:pPr>
      <w:pStyle w:val="Footer"/>
    </w:pPr>
  </w:p>
  <w:p w14:paraId="184DEBE6" w14:textId="77777777" w:rsidR="004A654A" w:rsidRDefault="004A654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7930A" w14:textId="77777777" w:rsidR="004A654A" w:rsidRDefault="004A654A">
    <w:pPr>
      <w:pStyle w:val="Footer"/>
    </w:pPr>
  </w:p>
  <w:p w14:paraId="4A509384" w14:textId="77777777" w:rsidR="004A654A" w:rsidRDefault="004A654A" w:rsidP="006B49F1">
    <w:pPr>
      <w:pStyle w:val="Footer"/>
    </w:pPr>
    <w:r>
      <w:br/>
      <w:t>Property of the Sanofi group - strictly confidential</w:t>
    </w:r>
  </w:p>
  <w:p w14:paraId="1038013A" w14:textId="63A38107" w:rsidR="004A654A" w:rsidRDefault="004A654A">
    <w:pPr>
      <w:pStyle w:val="Footer"/>
    </w:pPr>
    <w:r>
      <w:t>verorab-ccdsv</w:t>
    </w:r>
    <w:r w:rsidR="00A67B0A" w:rsidRPr="006D26BB">
      <w:t>11</w:t>
    </w:r>
    <w:r w:rsidR="00A67B0A" w:rsidRPr="00A67B0A">
      <w:rPr>
        <w:color w:val="0000FF"/>
      </w:rPr>
      <w:t>-</w:t>
    </w:r>
    <w:r>
      <w:t>piv1-</w:t>
    </w:r>
    <w:r w:rsidR="004518F4">
      <w:t>17oct22</w:t>
    </w:r>
    <w:r>
      <w:tab/>
    </w:r>
    <w:sdt>
      <w:sdtPr>
        <w:id w:val="-1619370226"/>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w:t>
            </w:r>
            <w:r>
              <w:rPr>
                <w:b/>
                <w:bCs/>
                <w:sz w:val="24"/>
                <w:szCs w:val="24"/>
              </w:rPr>
              <w:fldChar w:fldCharType="end"/>
            </w:r>
          </w:sdtContent>
        </w:sdt>
      </w:sdtContent>
    </w:sdt>
  </w:p>
  <w:p w14:paraId="2609D71E" w14:textId="77777777" w:rsidR="004A654A" w:rsidRDefault="004A65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A0EE3" w14:textId="77777777" w:rsidR="00EC0DFF" w:rsidRDefault="00EC0DFF" w:rsidP="001A3992">
      <w:r>
        <w:separator/>
      </w:r>
    </w:p>
  </w:footnote>
  <w:footnote w:type="continuationSeparator" w:id="0">
    <w:p w14:paraId="7E8DA560" w14:textId="77777777" w:rsidR="00EC0DFF" w:rsidRDefault="00EC0DFF" w:rsidP="001A3992">
      <w:r>
        <w:continuationSeparator/>
      </w:r>
    </w:p>
  </w:footnote>
  <w:footnote w:type="continuationNotice" w:id="1">
    <w:p w14:paraId="0D946DD9" w14:textId="77777777" w:rsidR="00EC0DFF" w:rsidRDefault="00EC0DFF">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D07A6" w14:textId="77777777" w:rsidR="004A654A" w:rsidRDefault="004A654A">
    <w:pPr>
      <w:pStyle w:val="Header"/>
    </w:pPr>
  </w:p>
  <w:p w14:paraId="36D5A783" w14:textId="77777777" w:rsidR="004A654A" w:rsidRDefault="004A654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W w:w="0" w:type="auto"/>
      <w:tblInd w:w="0" w:type="dxa"/>
      <w:shd w:val="clear" w:color="auto" w:fill="E4F2E0"/>
      <w:tblLook w:val="04A0" w:firstRow="1" w:lastRow="0" w:firstColumn="1" w:lastColumn="0" w:noHBand="0" w:noVBand="1"/>
    </w:tblPr>
    <w:tblGrid>
      <w:gridCol w:w="8720"/>
    </w:tblGrid>
    <w:tr w:rsidR="00835B37" w:rsidRPr="00190A0F" w14:paraId="0005242B" w14:textId="77777777" w:rsidTr="00CD2975">
      <w:tc>
        <w:tcPr>
          <w:tcW w:w="8720" w:type="dxa"/>
          <w:tcBorders>
            <w:top w:val="single" w:sz="4" w:space="0" w:color="002C47"/>
            <w:left w:val="single" w:sz="4" w:space="0" w:color="002C47"/>
            <w:bottom w:val="single" w:sz="4" w:space="0" w:color="002C47"/>
            <w:right w:val="single" w:sz="4" w:space="0" w:color="002C47"/>
          </w:tcBorders>
          <w:shd w:val="clear" w:color="auto" w:fill="E4F2E0"/>
          <w:hideMark/>
        </w:tcPr>
        <w:p w14:paraId="2646AA6F" w14:textId="5475231D" w:rsidR="00835B37" w:rsidRPr="00190A0F" w:rsidRDefault="00835B37" w:rsidP="00835B37">
          <w:pPr>
            <w:spacing w:before="180" w:after="180" w:line="240" w:lineRule="atLeast"/>
            <w:rPr>
              <w:rFonts w:ascii="Cambria" w:eastAsia="Calibri" w:hAnsi="Cambria" w:cs="Arial"/>
              <w:b/>
              <w:color w:val="auto"/>
              <w:sz w:val="18"/>
              <w:szCs w:val="18"/>
              <w:lang w:val="en-AU"/>
            </w:rPr>
          </w:pPr>
          <w:bookmarkStart w:id="68" w:name="_Hlk126587363"/>
          <w:r w:rsidRPr="00190A0F">
            <w:rPr>
              <w:rFonts w:ascii="Cambria" w:eastAsia="Calibri" w:hAnsi="Cambria" w:cs="Arial"/>
              <w:b/>
              <w:color w:val="auto"/>
              <w:sz w:val="18"/>
              <w:szCs w:val="18"/>
              <w:lang w:val="en-AU"/>
            </w:rPr>
            <w:t xml:space="preserve">Attachment 1: Product information for </w:t>
          </w:r>
          <w:proofErr w:type="spellStart"/>
          <w:r w:rsidRPr="002C3CB8">
            <w:rPr>
              <w:rFonts w:ascii="Cambria" w:eastAsia="Calibri" w:hAnsi="Cambria" w:cs="Arial"/>
              <w:b/>
              <w:color w:val="auto"/>
              <w:sz w:val="18"/>
              <w:szCs w:val="18"/>
              <w:lang w:val="en-AU"/>
            </w:rPr>
            <w:t>AusPAR</w:t>
          </w:r>
          <w:proofErr w:type="spellEnd"/>
          <w:r w:rsidRPr="002C3CB8">
            <w:rPr>
              <w:rFonts w:ascii="Cambria" w:eastAsia="Calibri" w:hAnsi="Cambria" w:cs="Arial"/>
              <w:b/>
              <w:color w:val="auto"/>
              <w:sz w:val="18"/>
              <w:szCs w:val="18"/>
              <w:lang w:val="en-AU"/>
            </w:rPr>
            <w:t xml:space="preserve"> - </w:t>
          </w:r>
          <w:proofErr w:type="spellStart"/>
          <w:r w:rsidRPr="002C3CB8">
            <w:rPr>
              <w:rFonts w:ascii="Cambria" w:eastAsia="Calibri" w:hAnsi="Cambria" w:cs="Arial"/>
              <w:b/>
              <w:color w:val="auto"/>
              <w:sz w:val="18"/>
              <w:szCs w:val="18"/>
              <w:lang w:val="en-AU"/>
            </w:rPr>
            <w:t>Verorab</w:t>
          </w:r>
          <w:proofErr w:type="spellEnd"/>
          <w:r w:rsidRPr="002C3CB8">
            <w:rPr>
              <w:rFonts w:ascii="Cambria" w:eastAsia="Calibri" w:hAnsi="Cambria" w:cs="Arial"/>
              <w:b/>
              <w:color w:val="auto"/>
              <w:sz w:val="18"/>
              <w:szCs w:val="18"/>
              <w:lang w:val="en-AU"/>
            </w:rPr>
            <w:t xml:space="preserve"> - inactivated rabies virus - Sanofi-Aventis Australia Pty Ltd - PM-2021-03191-1-2</w:t>
          </w:r>
          <w:r>
            <w:rPr>
              <w:rFonts w:ascii="Cambria" w:eastAsia="Calibri" w:hAnsi="Cambria" w:cs="Arial"/>
              <w:b/>
              <w:color w:val="auto"/>
              <w:sz w:val="18"/>
              <w:szCs w:val="18"/>
              <w:lang w:val="en-AU"/>
            </w:rPr>
            <w:t xml:space="preserve"> </w:t>
          </w:r>
          <w:r w:rsidRPr="002C3CB8">
            <w:rPr>
              <w:rFonts w:ascii="Cambria" w:eastAsia="Calibri" w:hAnsi="Cambria" w:cs="Arial"/>
              <w:b/>
              <w:color w:val="auto"/>
              <w:sz w:val="18"/>
              <w:szCs w:val="18"/>
              <w:lang w:val="en-AU"/>
            </w:rPr>
            <w:t>Final 27 April 2023</w:t>
          </w:r>
          <w:r w:rsidRPr="00190A0F">
            <w:rPr>
              <w:rFonts w:ascii="Cambria" w:eastAsia="Calibri" w:hAnsi="Cambria" w:cs="Arial"/>
              <w:b/>
              <w:color w:val="auto"/>
              <w:sz w:val="18"/>
              <w:szCs w:val="18"/>
              <w:lang w:val="en-AU"/>
            </w:rPr>
            <w:t xml:space="preserve">. This is the Product Information that was approved with the submission described in this </w:t>
          </w:r>
          <w:proofErr w:type="spellStart"/>
          <w:r w:rsidRPr="00190A0F">
            <w:rPr>
              <w:rFonts w:ascii="Cambria" w:eastAsia="Calibri" w:hAnsi="Cambria" w:cs="Arial"/>
              <w:b/>
              <w:color w:val="auto"/>
              <w:sz w:val="18"/>
              <w:szCs w:val="18"/>
              <w:lang w:val="en-AU"/>
            </w:rPr>
            <w:t>AusPAR</w:t>
          </w:r>
          <w:proofErr w:type="spellEnd"/>
          <w:r w:rsidRPr="00190A0F">
            <w:rPr>
              <w:rFonts w:ascii="Cambria" w:eastAsia="Calibri" w:hAnsi="Cambria" w:cs="Arial"/>
              <w:b/>
              <w:color w:val="auto"/>
              <w:sz w:val="18"/>
              <w:szCs w:val="18"/>
              <w:lang w:val="en-AU"/>
            </w:rPr>
            <w:t>. It may have been superseded. For the most recent PI, please refer to the TGA website at &lt;</w:t>
          </w:r>
          <w:hyperlink r:id="rId1" w:history="1">
            <w:r w:rsidRPr="00190A0F">
              <w:rPr>
                <w:rFonts w:ascii="Cambria" w:eastAsia="Calibri" w:hAnsi="Cambria" w:cs="Arial"/>
                <w:b/>
                <w:color w:val="0000FF"/>
                <w:sz w:val="18"/>
                <w:szCs w:val="18"/>
                <w:u w:val="single"/>
                <w:lang w:val="en-AU"/>
              </w:rPr>
              <w:t>https://www.tga.gov.au/products/australian-register-therapeutic-goods-artg/product-information-one</w:t>
            </w:r>
          </w:hyperlink>
          <w:r w:rsidRPr="00190A0F">
            <w:rPr>
              <w:rFonts w:ascii="Cambria" w:eastAsia="Calibri" w:hAnsi="Cambria" w:cs="Arial"/>
              <w:b/>
              <w:color w:val="auto"/>
              <w:sz w:val="18"/>
              <w:szCs w:val="18"/>
              <w:lang w:val="en-AU"/>
            </w:rPr>
            <w:t>&gt;</w:t>
          </w:r>
        </w:p>
      </w:tc>
      <w:bookmarkEnd w:id="68"/>
    </w:tr>
  </w:tbl>
  <w:p w14:paraId="17348385" w14:textId="77777777" w:rsidR="004A654A" w:rsidRDefault="004A65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0B1A4EAA"/>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AAFE4E80"/>
    <w:lvl w:ilvl="0">
      <w:start w:val="1"/>
      <w:numFmt w:val="decimal"/>
      <w:pStyle w:val="ListNumber2"/>
      <w:lvlText w:val="%1."/>
      <w:lvlJc w:val="left"/>
      <w:pPr>
        <w:tabs>
          <w:tab w:val="num" w:pos="643"/>
        </w:tabs>
        <w:ind w:left="643" w:hanging="360"/>
      </w:pPr>
    </w:lvl>
  </w:abstractNum>
  <w:abstractNum w:abstractNumId="2" w15:restartNumberingAfterBreak="0">
    <w:nsid w:val="FFFFFF80"/>
    <w:multiLevelType w:val="singleLevel"/>
    <w:tmpl w:val="98F69C7E"/>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C26F9F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1733F3E"/>
    <w:multiLevelType w:val="hybridMultilevel"/>
    <w:tmpl w:val="5AB64ADE"/>
    <w:lvl w:ilvl="0" w:tplc="AE904190">
      <w:start w:val="1"/>
      <w:numFmt w:val="bullet"/>
      <w:pStyle w:val="ListAlphabeticalLevel1"/>
      <w:lvlText w:val=""/>
      <w:lvlJc w:val="left"/>
      <w:pPr>
        <w:ind w:left="720" w:hanging="360"/>
      </w:pPr>
      <w:rPr>
        <w:rFonts w:ascii="Symbol" w:hAnsi="Symbol" w:hint="default"/>
      </w:rPr>
    </w:lvl>
    <w:lvl w:ilvl="1" w:tplc="C3FA06C4">
      <w:start w:val="1"/>
      <w:numFmt w:val="bullet"/>
      <w:lvlText w:val="o"/>
      <w:lvlJc w:val="left"/>
      <w:pPr>
        <w:ind w:left="1440" w:hanging="360"/>
      </w:pPr>
      <w:rPr>
        <w:rFonts w:ascii="Courier New" w:hAnsi="Courier New" w:cs="Courier New" w:hint="default"/>
      </w:rPr>
    </w:lvl>
    <w:lvl w:ilvl="2" w:tplc="0C547560" w:tentative="1">
      <w:start w:val="1"/>
      <w:numFmt w:val="bullet"/>
      <w:lvlText w:val=""/>
      <w:lvlJc w:val="left"/>
      <w:pPr>
        <w:ind w:left="2160" w:hanging="360"/>
      </w:pPr>
      <w:rPr>
        <w:rFonts w:ascii="Wingdings" w:hAnsi="Wingdings" w:hint="default"/>
      </w:rPr>
    </w:lvl>
    <w:lvl w:ilvl="3" w:tplc="4A8895A0" w:tentative="1">
      <w:start w:val="1"/>
      <w:numFmt w:val="bullet"/>
      <w:lvlText w:val=""/>
      <w:lvlJc w:val="left"/>
      <w:pPr>
        <w:ind w:left="2880" w:hanging="360"/>
      </w:pPr>
      <w:rPr>
        <w:rFonts w:ascii="Symbol" w:hAnsi="Symbol" w:hint="default"/>
      </w:rPr>
    </w:lvl>
    <w:lvl w:ilvl="4" w:tplc="B486FD2C" w:tentative="1">
      <w:start w:val="1"/>
      <w:numFmt w:val="bullet"/>
      <w:lvlText w:val="o"/>
      <w:lvlJc w:val="left"/>
      <w:pPr>
        <w:ind w:left="3600" w:hanging="360"/>
      </w:pPr>
      <w:rPr>
        <w:rFonts w:ascii="Courier New" w:hAnsi="Courier New" w:cs="Courier New" w:hint="default"/>
      </w:rPr>
    </w:lvl>
    <w:lvl w:ilvl="5" w:tplc="2FD43538" w:tentative="1">
      <w:start w:val="1"/>
      <w:numFmt w:val="bullet"/>
      <w:lvlText w:val=""/>
      <w:lvlJc w:val="left"/>
      <w:pPr>
        <w:ind w:left="4320" w:hanging="360"/>
      </w:pPr>
      <w:rPr>
        <w:rFonts w:ascii="Wingdings" w:hAnsi="Wingdings" w:hint="default"/>
      </w:rPr>
    </w:lvl>
    <w:lvl w:ilvl="6" w:tplc="F656E2D8" w:tentative="1">
      <w:start w:val="1"/>
      <w:numFmt w:val="bullet"/>
      <w:lvlText w:val=""/>
      <w:lvlJc w:val="left"/>
      <w:pPr>
        <w:ind w:left="5040" w:hanging="360"/>
      </w:pPr>
      <w:rPr>
        <w:rFonts w:ascii="Symbol" w:hAnsi="Symbol" w:hint="default"/>
      </w:rPr>
    </w:lvl>
    <w:lvl w:ilvl="7" w:tplc="F6F6C12E" w:tentative="1">
      <w:start w:val="1"/>
      <w:numFmt w:val="bullet"/>
      <w:lvlText w:val="o"/>
      <w:lvlJc w:val="left"/>
      <w:pPr>
        <w:ind w:left="5760" w:hanging="360"/>
      </w:pPr>
      <w:rPr>
        <w:rFonts w:ascii="Courier New" w:hAnsi="Courier New" w:cs="Courier New" w:hint="default"/>
      </w:rPr>
    </w:lvl>
    <w:lvl w:ilvl="8" w:tplc="8452D886" w:tentative="1">
      <w:start w:val="1"/>
      <w:numFmt w:val="bullet"/>
      <w:lvlText w:val=""/>
      <w:lvlJc w:val="left"/>
      <w:pPr>
        <w:ind w:left="6480" w:hanging="360"/>
      </w:pPr>
      <w:rPr>
        <w:rFonts w:ascii="Wingdings" w:hAnsi="Wingdings" w:hint="default"/>
      </w:rPr>
    </w:lvl>
  </w:abstractNum>
  <w:abstractNum w:abstractNumId="5" w15:restartNumberingAfterBreak="0">
    <w:nsid w:val="06384F69"/>
    <w:multiLevelType w:val="hybridMultilevel"/>
    <w:tmpl w:val="90662C10"/>
    <w:lvl w:ilvl="0" w:tplc="3446C072">
      <w:start w:val="2"/>
      <w:numFmt w:val="bullet"/>
      <w:lvlText w:val="-"/>
      <w:lvlJc w:val="left"/>
      <w:pPr>
        <w:ind w:left="720" w:hanging="360"/>
      </w:pPr>
      <w:rPr>
        <w:rFonts w:ascii="Times New Roman" w:eastAsia="MS Mincho"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839362E"/>
    <w:multiLevelType w:val="singleLevel"/>
    <w:tmpl w:val="F424A534"/>
    <w:lvl w:ilvl="0">
      <w:start w:val="1"/>
      <w:numFmt w:val="bullet"/>
      <w:pStyle w:val="ListBullet3"/>
      <w:lvlText w:val=""/>
      <w:lvlJc w:val="left"/>
      <w:pPr>
        <w:tabs>
          <w:tab w:val="num" w:pos="360"/>
        </w:tabs>
        <w:ind w:left="216" w:hanging="216"/>
      </w:pPr>
      <w:rPr>
        <w:rFonts w:ascii="Symbol" w:hAnsi="Symbol" w:hint="default"/>
      </w:rPr>
    </w:lvl>
  </w:abstractNum>
  <w:abstractNum w:abstractNumId="7" w15:restartNumberingAfterBreak="0">
    <w:nsid w:val="0C0268D4"/>
    <w:multiLevelType w:val="multilevel"/>
    <w:tmpl w:val="7A743FB0"/>
    <w:name w:val="LT_Heading"/>
    <w:lvl w:ilvl="0">
      <w:start w:val="1"/>
      <w:numFmt w:val="decimal"/>
      <w:lvlRestart w:val="0"/>
      <w:pStyle w:val="Heading1"/>
      <w:lvlText w:val="%1"/>
      <w:lvlJc w:val="left"/>
      <w:pPr>
        <w:tabs>
          <w:tab w:val="num" w:pos="680"/>
        </w:tabs>
        <w:ind w:left="680" w:hanging="680"/>
      </w:pPr>
    </w:lvl>
    <w:lvl w:ilvl="1">
      <w:start w:val="1"/>
      <w:numFmt w:val="decimal"/>
      <w:pStyle w:val="Heading2"/>
      <w:lvlText w:val="%1.%2"/>
      <w:lvlJc w:val="left"/>
      <w:pPr>
        <w:tabs>
          <w:tab w:val="num" w:pos="680"/>
        </w:tabs>
        <w:ind w:left="680" w:hanging="680"/>
      </w:pPr>
    </w:lvl>
    <w:lvl w:ilvl="2">
      <w:start w:val="1"/>
      <w:numFmt w:val="decimal"/>
      <w:pStyle w:val="Heading3"/>
      <w:lvlText w:val="%1.%2.%3"/>
      <w:lvlJc w:val="left"/>
      <w:pPr>
        <w:tabs>
          <w:tab w:val="num" w:pos="680"/>
        </w:tabs>
        <w:ind w:left="680" w:hanging="680"/>
      </w:pPr>
    </w:lvl>
    <w:lvl w:ilvl="3">
      <w:start w:val="1"/>
      <w:numFmt w:val="decimal"/>
      <w:pStyle w:val="Heading4"/>
      <w:lvlText w:val="%1.%2.%3.%4"/>
      <w:lvlJc w:val="left"/>
      <w:pPr>
        <w:tabs>
          <w:tab w:val="num" w:pos="862"/>
        </w:tabs>
        <w:ind w:left="862" w:hanging="862"/>
      </w:pPr>
    </w:lvl>
    <w:lvl w:ilvl="4">
      <w:start w:val="1"/>
      <w:numFmt w:val="decimal"/>
      <w:pStyle w:val="Heading5"/>
      <w:lvlText w:val="%1.%2.%3.%4.%5"/>
      <w:lvlJc w:val="left"/>
      <w:pPr>
        <w:tabs>
          <w:tab w:val="num" w:pos="1009"/>
        </w:tabs>
        <w:ind w:left="1009" w:hanging="1009"/>
      </w:pPr>
    </w:lvl>
    <w:lvl w:ilvl="5">
      <w:start w:val="1"/>
      <w:numFmt w:val="decimal"/>
      <w:pStyle w:val="Heading6"/>
      <w:lvlText w:val="%1.%2.%3.%4.%5.%6"/>
      <w:lvlJc w:val="left"/>
      <w:pPr>
        <w:tabs>
          <w:tab w:val="num" w:pos="1151"/>
        </w:tabs>
        <w:ind w:left="1151" w:hanging="1151"/>
      </w:pPr>
    </w:lvl>
    <w:lvl w:ilvl="6">
      <w:start w:val="1"/>
      <w:numFmt w:val="decimal"/>
      <w:pStyle w:val="Heading7"/>
      <w:lvlText w:val="%1.%2.%3.%4.%5.%6.%7"/>
      <w:lvlJc w:val="left"/>
      <w:pPr>
        <w:tabs>
          <w:tab w:val="num" w:pos="1298"/>
        </w:tabs>
        <w:ind w:left="1298" w:hanging="1298"/>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2"/>
        </w:tabs>
        <w:ind w:left="1582" w:hanging="1582"/>
      </w:pPr>
    </w:lvl>
  </w:abstractNum>
  <w:abstractNum w:abstractNumId="8" w15:restartNumberingAfterBreak="0">
    <w:nsid w:val="13CF1C02"/>
    <w:multiLevelType w:val="multilevel"/>
    <w:tmpl w:val="EC448D7A"/>
    <w:lvl w:ilvl="0">
      <w:start w:val="1"/>
      <w:numFmt w:val="none"/>
      <w:lvlText w:val=""/>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qainstruction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5772579"/>
    <w:multiLevelType w:val="hybridMultilevel"/>
    <w:tmpl w:val="63703134"/>
    <w:lvl w:ilvl="0" w:tplc="20862B3A">
      <w:start w:val="4"/>
      <w:numFmt w:val="bullet"/>
      <w:lvlText w:val="-"/>
      <w:lvlJc w:val="left"/>
      <w:pPr>
        <w:ind w:left="720" w:hanging="360"/>
      </w:pPr>
      <w:rPr>
        <w:rFonts w:ascii="Times New Roman" w:eastAsia="MS Mincho" w:hAnsi="Times New Roman" w:cs="Times New Roman" w:hint="default"/>
      </w:rPr>
    </w:lvl>
    <w:lvl w:ilvl="1" w:tplc="D55A8E40" w:tentative="1">
      <w:start w:val="1"/>
      <w:numFmt w:val="bullet"/>
      <w:lvlText w:val="o"/>
      <w:lvlJc w:val="left"/>
      <w:pPr>
        <w:ind w:left="1440" w:hanging="360"/>
      </w:pPr>
      <w:rPr>
        <w:rFonts w:ascii="Courier New" w:hAnsi="Courier New" w:cs="Courier New" w:hint="default"/>
      </w:rPr>
    </w:lvl>
    <w:lvl w:ilvl="2" w:tplc="B1A6A4AE" w:tentative="1">
      <w:start w:val="1"/>
      <w:numFmt w:val="bullet"/>
      <w:lvlText w:val=""/>
      <w:lvlJc w:val="left"/>
      <w:pPr>
        <w:ind w:left="2160" w:hanging="360"/>
      </w:pPr>
      <w:rPr>
        <w:rFonts w:ascii="Wingdings" w:hAnsi="Wingdings" w:hint="default"/>
      </w:rPr>
    </w:lvl>
    <w:lvl w:ilvl="3" w:tplc="31448314" w:tentative="1">
      <w:start w:val="1"/>
      <w:numFmt w:val="bullet"/>
      <w:lvlText w:val=""/>
      <w:lvlJc w:val="left"/>
      <w:pPr>
        <w:ind w:left="2880" w:hanging="360"/>
      </w:pPr>
      <w:rPr>
        <w:rFonts w:ascii="Symbol" w:hAnsi="Symbol" w:hint="default"/>
      </w:rPr>
    </w:lvl>
    <w:lvl w:ilvl="4" w:tplc="12186202" w:tentative="1">
      <w:start w:val="1"/>
      <w:numFmt w:val="bullet"/>
      <w:lvlText w:val="o"/>
      <w:lvlJc w:val="left"/>
      <w:pPr>
        <w:ind w:left="3600" w:hanging="360"/>
      </w:pPr>
      <w:rPr>
        <w:rFonts w:ascii="Courier New" w:hAnsi="Courier New" w:cs="Courier New" w:hint="default"/>
      </w:rPr>
    </w:lvl>
    <w:lvl w:ilvl="5" w:tplc="7E7A9C4E" w:tentative="1">
      <w:start w:val="1"/>
      <w:numFmt w:val="bullet"/>
      <w:lvlText w:val=""/>
      <w:lvlJc w:val="left"/>
      <w:pPr>
        <w:ind w:left="4320" w:hanging="360"/>
      </w:pPr>
      <w:rPr>
        <w:rFonts w:ascii="Wingdings" w:hAnsi="Wingdings" w:hint="default"/>
      </w:rPr>
    </w:lvl>
    <w:lvl w:ilvl="6" w:tplc="08FE52C8" w:tentative="1">
      <w:start w:val="1"/>
      <w:numFmt w:val="bullet"/>
      <w:lvlText w:val=""/>
      <w:lvlJc w:val="left"/>
      <w:pPr>
        <w:ind w:left="5040" w:hanging="360"/>
      </w:pPr>
      <w:rPr>
        <w:rFonts w:ascii="Symbol" w:hAnsi="Symbol" w:hint="default"/>
      </w:rPr>
    </w:lvl>
    <w:lvl w:ilvl="7" w:tplc="2DB004D4" w:tentative="1">
      <w:start w:val="1"/>
      <w:numFmt w:val="bullet"/>
      <w:lvlText w:val="o"/>
      <w:lvlJc w:val="left"/>
      <w:pPr>
        <w:ind w:left="5760" w:hanging="360"/>
      </w:pPr>
      <w:rPr>
        <w:rFonts w:ascii="Courier New" w:hAnsi="Courier New" w:cs="Courier New" w:hint="default"/>
      </w:rPr>
    </w:lvl>
    <w:lvl w:ilvl="8" w:tplc="790A116E" w:tentative="1">
      <w:start w:val="1"/>
      <w:numFmt w:val="bullet"/>
      <w:lvlText w:val=""/>
      <w:lvlJc w:val="left"/>
      <w:pPr>
        <w:ind w:left="6480" w:hanging="360"/>
      </w:pPr>
      <w:rPr>
        <w:rFonts w:ascii="Wingdings" w:hAnsi="Wingdings" w:hint="default"/>
      </w:rPr>
    </w:lvl>
  </w:abstractNum>
  <w:abstractNum w:abstractNumId="10" w15:restartNumberingAfterBreak="0">
    <w:nsid w:val="1CAD3F69"/>
    <w:multiLevelType w:val="singleLevel"/>
    <w:tmpl w:val="F71A5480"/>
    <w:name w:val="List_Table_Figure_Footnote2"/>
    <w:lvl w:ilvl="0">
      <w:start w:val="1"/>
      <w:numFmt w:val="lowerLetter"/>
      <w:lvlRestart w:val="0"/>
      <w:lvlText w:val="%1"/>
      <w:lvlJc w:val="left"/>
      <w:pPr>
        <w:tabs>
          <w:tab w:val="num" w:pos="244"/>
        </w:tabs>
        <w:ind w:left="244" w:hanging="244"/>
      </w:pPr>
      <w:rPr>
        <w:rFonts w:ascii="Arial Narrow" w:hAnsi="Arial Narrow"/>
        <w:b w:val="0"/>
        <w:i/>
        <w:caps w:val="0"/>
        <w:strike w:val="0"/>
        <w:dstrike w:val="0"/>
        <w:outline w:val="0"/>
        <w:shadow w:val="0"/>
        <w:emboss w:val="0"/>
        <w:imprint w:val="0"/>
        <w:vanish w:val="0"/>
        <w:color w:val="000000"/>
        <w:sz w:val="18"/>
        <w:u w:val="none"/>
        <w:vertAlign w:val="baseline"/>
      </w:rPr>
    </w:lvl>
  </w:abstractNum>
  <w:abstractNum w:abstractNumId="11" w15:restartNumberingAfterBreak="0">
    <w:nsid w:val="1DC41614"/>
    <w:multiLevelType w:val="multilevel"/>
    <w:tmpl w:val="56767712"/>
    <w:lvl w:ilvl="0">
      <w:start w:val="1"/>
      <w:numFmt w:val="decimal"/>
      <w:lvlRestart w:val="0"/>
      <w:pStyle w:val="Heading1NoNumbering"/>
      <w:lvlText w:val="%1."/>
      <w:lvlJc w:val="left"/>
      <w:pPr>
        <w:tabs>
          <w:tab w:val="num" w:pos="720"/>
        </w:tabs>
        <w:ind w:left="720" w:hanging="357"/>
      </w:pPr>
      <w:rPr>
        <w:rFonts w:hint="default"/>
      </w:rPr>
    </w:lvl>
    <w:lvl w:ilvl="1">
      <w:start w:val="1"/>
      <w:numFmt w:val="decimal"/>
      <w:lvlText w:val="%2."/>
      <w:lvlJc w:val="left"/>
      <w:pPr>
        <w:tabs>
          <w:tab w:val="num" w:pos="1083"/>
        </w:tabs>
        <w:ind w:left="1083" w:hanging="363"/>
      </w:pPr>
      <w:rPr>
        <w:rFonts w:hint="default"/>
      </w:rPr>
    </w:lvl>
    <w:lvl w:ilvl="2">
      <w:start w:val="1"/>
      <w:numFmt w:val="decimal"/>
      <w:lvlText w:val="%3."/>
      <w:lvlJc w:val="left"/>
      <w:pPr>
        <w:tabs>
          <w:tab w:val="num" w:pos="1440"/>
        </w:tabs>
        <w:ind w:left="1440" w:hanging="357"/>
      </w:pPr>
      <w:rPr>
        <w:rFonts w:hint="default"/>
      </w:rPr>
    </w:lvl>
    <w:lvl w:ilvl="3">
      <w:start w:val="1"/>
      <w:numFmt w:val="decimal"/>
      <w:lvlText w:val="%4."/>
      <w:lvlJc w:val="left"/>
      <w:pPr>
        <w:tabs>
          <w:tab w:val="num" w:pos="1803"/>
        </w:tabs>
        <w:ind w:left="1803" w:hanging="363"/>
      </w:pPr>
      <w:rPr>
        <w:rFonts w:hint="default"/>
      </w:rPr>
    </w:lvl>
    <w:lvl w:ilvl="4">
      <w:start w:val="1"/>
      <w:numFmt w:val="decimal"/>
      <w:lvlText w:val="%5."/>
      <w:lvlJc w:val="left"/>
      <w:pPr>
        <w:tabs>
          <w:tab w:val="num" w:pos="2160"/>
        </w:tabs>
        <w:ind w:left="2160" w:hanging="357"/>
      </w:pPr>
      <w:rPr>
        <w:rFonts w:hint="default"/>
      </w:rPr>
    </w:lvl>
    <w:lvl w:ilvl="5">
      <w:start w:val="1"/>
      <w:numFmt w:val="decimal"/>
      <w:lvlText w:val="%6."/>
      <w:lvlJc w:val="left"/>
      <w:pPr>
        <w:tabs>
          <w:tab w:val="num" w:pos="2523"/>
        </w:tabs>
        <w:ind w:left="2523" w:hanging="363"/>
      </w:pPr>
      <w:rPr>
        <w:rFonts w:hint="default"/>
      </w:rPr>
    </w:lvl>
    <w:lvl w:ilvl="6">
      <w:start w:val="1"/>
      <w:numFmt w:val="decimal"/>
      <w:lvlText w:val="%7."/>
      <w:lvlJc w:val="left"/>
      <w:pPr>
        <w:tabs>
          <w:tab w:val="num" w:pos="2880"/>
        </w:tabs>
        <w:ind w:left="2880" w:hanging="357"/>
      </w:pPr>
      <w:rPr>
        <w:rFonts w:hint="default"/>
      </w:rPr>
    </w:lvl>
    <w:lvl w:ilvl="7">
      <w:start w:val="1"/>
      <w:numFmt w:val="decimal"/>
      <w:pStyle w:val="qainstruction8"/>
      <w:lvlText w:val="%8."/>
      <w:lvlJc w:val="left"/>
      <w:pPr>
        <w:tabs>
          <w:tab w:val="num" w:pos="3243"/>
        </w:tabs>
        <w:ind w:left="3243" w:hanging="363"/>
      </w:pPr>
      <w:rPr>
        <w:rFonts w:hint="default"/>
      </w:rPr>
    </w:lvl>
    <w:lvl w:ilvl="8">
      <w:start w:val="1"/>
      <w:numFmt w:val="decimal"/>
      <w:lvlText w:val="%9."/>
      <w:lvlJc w:val="left"/>
      <w:pPr>
        <w:tabs>
          <w:tab w:val="num" w:pos="3600"/>
        </w:tabs>
        <w:ind w:left="3600" w:hanging="357"/>
      </w:pPr>
      <w:rPr>
        <w:rFonts w:hint="default"/>
      </w:rPr>
    </w:lvl>
  </w:abstractNum>
  <w:abstractNum w:abstractNumId="12" w15:restartNumberingAfterBreak="0">
    <w:nsid w:val="24435439"/>
    <w:multiLevelType w:val="hybridMultilevel"/>
    <w:tmpl w:val="D23AB816"/>
    <w:lvl w:ilvl="0" w:tplc="430CAADC">
      <w:start w:val="1"/>
      <w:numFmt w:val="bullet"/>
      <w:pStyle w:val="TblTextbulletedlist"/>
      <w:lvlText w:val=""/>
      <w:lvlJc w:val="left"/>
      <w:pPr>
        <w:ind w:left="720" w:hanging="360"/>
      </w:pPr>
      <w:rPr>
        <w:rFonts w:ascii="Symbol" w:hAnsi="Symbol" w:hint="default"/>
      </w:rPr>
    </w:lvl>
    <w:lvl w:ilvl="1" w:tplc="3C4C95CC" w:tentative="1">
      <w:start w:val="1"/>
      <w:numFmt w:val="bullet"/>
      <w:lvlText w:val="o"/>
      <w:lvlJc w:val="left"/>
      <w:pPr>
        <w:ind w:left="1440" w:hanging="360"/>
      </w:pPr>
      <w:rPr>
        <w:rFonts w:ascii="Courier New" w:hAnsi="Courier New" w:cs="Courier New" w:hint="default"/>
      </w:rPr>
    </w:lvl>
    <w:lvl w:ilvl="2" w:tplc="1A383D18" w:tentative="1">
      <w:start w:val="1"/>
      <w:numFmt w:val="bullet"/>
      <w:pStyle w:val="qainstruction3"/>
      <w:lvlText w:val=""/>
      <w:lvlJc w:val="left"/>
      <w:pPr>
        <w:ind w:left="2160" w:hanging="360"/>
      </w:pPr>
      <w:rPr>
        <w:rFonts w:ascii="Wingdings" w:hAnsi="Wingdings" w:hint="default"/>
      </w:rPr>
    </w:lvl>
    <w:lvl w:ilvl="3" w:tplc="4C326894" w:tentative="1">
      <w:start w:val="1"/>
      <w:numFmt w:val="bullet"/>
      <w:lvlText w:val=""/>
      <w:lvlJc w:val="left"/>
      <w:pPr>
        <w:ind w:left="2880" w:hanging="360"/>
      </w:pPr>
      <w:rPr>
        <w:rFonts w:ascii="Symbol" w:hAnsi="Symbol" w:hint="default"/>
      </w:rPr>
    </w:lvl>
    <w:lvl w:ilvl="4" w:tplc="6A8035BA" w:tentative="1">
      <w:start w:val="1"/>
      <w:numFmt w:val="bullet"/>
      <w:lvlText w:val="o"/>
      <w:lvlJc w:val="left"/>
      <w:pPr>
        <w:ind w:left="3600" w:hanging="360"/>
      </w:pPr>
      <w:rPr>
        <w:rFonts w:ascii="Courier New" w:hAnsi="Courier New" w:cs="Courier New" w:hint="default"/>
      </w:rPr>
    </w:lvl>
    <w:lvl w:ilvl="5" w:tplc="926250AC" w:tentative="1">
      <w:start w:val="1"/>
      <w:numFmt w:val="bullet"/>
      <w:lvlText w:val=""/>
      <w:lvlJc w:val="left"/>
      <w:pPr>
        <w:ind w:left="4320" w:hanging="360"/>
      </w:pPr>
      <w:rPr>
        <w:rFonts w:ascii="Wingdings" w:hAnsi="Wingdings" w:hint="default"/>
      </w:rPr>
    </w:lvl>
    <w:lvl w:ilvl="6" w:tplc="3E640A06" w:tentative="1">
      <w:start w:val="1"/>
      <w:numFmt w:val="bullet"/>
      <w:lvlText w:val=""/>
      <w:lvlJc w:val="left"/>
      <w:pPr>
        <w:ind w:left="5040" w:hanging="360"/>
      </w:pPr>
      <w:rPr>
        <w:rFonts w:ascii="Symbol" w:hAnsi="Symbol" w:hint="default"/>
      </w:rPr>
    </w:lvl>
    <w:lvl w:ilvl="7" w:tplc="D5D84EC4" w:tentative="1">
      <w:start w:val="1"/>
      <w:numFmt w:val="bullet"/>
      <w:lvlText w:val="o"/>
      <w:lvlJc w:val="left"/>
      <w:pPr>
        <w:ind w:left="5760" w:hanging="360"/>
      </w:pPr>
      <w:rPr>
        <w:rFonts w:ascii="Courier New" w:hAnsi="Courier New" w:cs="Courier New" w:hint="default"/>
      </w:rPr>
    </w:lvl>
    <w:lvl w:ilvl="8" w:tplc="12021A94" w:tentative="1">
      <w:start w:val="1"/>
      <w:numFmt w:val="bullet"/>
      <w:lvlText w:val=""/>
      <w:lvlJc w:val="left"/>
      <w:pPr>
        <w:ind w:left="6480" w:hanging="360"/>
      </w:pPr>
      <w:rPr>
        <w:rFonts w:ascii="Wingdings" w:hAnsi="Wingdings" w:hint="default"/>
      </w:rPr>
    </w:lvl>
  </w:abstractNum>
  <w:abstractNum w:abstractNumId="13" w15:restartNumberingAfterBreak="0">
    <w:nsid w:val="2E4D086B"/>
    <w:multiLevelType w:val="multilevel"/>
    <w:tmpl w:val="98FEE14A"/>
    <w:lvl w:ilvl="0">
      <w:start w:val="1"/>
      <w:numFmt w:val="upperLetter"/>
      <w:lvlRestart w:val="0"/>
      <w:lvlText w:val="%1)"/>
      <w:lvlJc w:val="left"/>
      <w:pPr>
        <w:tabs>
          <w:tab w:val="num" w:pos="720"/>
        </w:tabs>
        <w:ind w:left="720" w:hanging="357"/>
      </w:pPr>
    </w:lvl>
    <w:lvl w:ilvl="1">
      <w:start w:val="1"/>
      <w:numFmt w:val="upperLetter"/>
      <w:lvlText w:val="%2)"/>
      <w:lvlJc w:val="left"/>
      <w:pPr>
        <w:tabs>
          <w:tab w:val="num" w:pos="1083"/>
        </w:tabs>
        <w:ind w:left="1083" w:hanging="363"/>
      </w:pPr>
    </w:lvl>
    <w:lvl w:ilvl="2">
      <w:start w:val="1"/>
      <w:numFmt w:val="upperLetter"/>
      <w:lvlText w:val="%3)"/>
      <w:lvlJc w:val="left"/>
      <w:pPr>
        <w:tabs>
          <w:tab w:val="num" w:pos="1440"/>
        </w:tabs>
        <w:ind w:left="1440" w:hanging="357"/>
      </w:pPr>
    </w:lvl>
    <w:lvl w:ilvl="3">
      <w:start w:val="1"/>
      <w:numFmt w:val="upperLetter"/>
      <w:lvlText w:val="%4)"/>
      <w:lvlJc w:val="left"/>
      <w:pPr>
        <w:tabs>
          <w:tab w:val="num" w:pos="1803"/>
        </w:tabs>
        <w:ind w:left="1803" w:hanging="363"/>
      </w:pPr>
    </w:lvl>
    <w:lvl w:ilvl="4">
      <w:start w:val="1"/>
      <w:numFmt w:val="upperLetter"/>
      <w:lvlText w:val="%5)"/>
      <w:lvlJc w:val="left"/>
      <w:pPr>
        <w:tabs>
          <w:tab w:val="num" w:pos="2160"/>
        </w:tabs>
        <w:ind w:left="2160" w:hanging="357"/>
      </w:pPr>
    </w:lvl>
    <w:lvl w:ilvl="5">
      <w:start w:val="1"/>
      <w:numFmt w:val="upperLetter"/>
      <w:lvlText w:val="%6)"/>
      <w:lvlJc w:val="left"/>
      <w:pPr>
        <w:tabs>
          <w:tab w:val="num" w:pos="2523"/>
        </w:tabs>
        <w:ind w:left="2523" w:hanging="363"/>
      </w:pPr>
    </w:lvl>
    <w:lvl w:ilvl="6">
      <w:start w:val="1"/>
      <w:numFmt w:val="upperLetter"/>
      <w:pStyle w:val="qainstruction7"/>
      <w:lvlText w:val="%7)"/>
      <w:lvlJc w:val="left"/>
      <w:pPr>
        <w:tabs>
          <w:tab w:val="num" w:pos="2880"/>
        </w:tabs>
        <w:ind w:left="2880" w:hanging="357"/>
      </w:pPr>
    </w:lvl>
    <w:lvl w:ilvl="7">
      <w:start w:val="1"/>
      <w:numFmt w:val="upperLetter"/>
      <w:lvlText w:val="%8)"/>
      <w:lvlJc w:val="left"/>
      <w:pPr>
        <w:tabs>
          <w:tab w:val="num" w:pos="3243"/>
        </w:tabs>
        <w:ind w:left="3243" w:hanging="363"/>
      </w:pPr>
    </w:lvl>
    <w:lvl w:ilvl="8">
      <w:start w:val="1"/>
      <w:numFmt w:val="upperLetter"/>
      <w:lvlText w:val="%8)"/>
      <w:lvlJc w:val="left"/>
      <w:pPr>
        <w:tabs>
          <w:tab w:val="num" w:pos="3600"/>
        </w:tabs>
        <w:ind w:left="3600" w:hanging="357"/>
      </w:pPr>
    </w:lvl>
  </w:abstractNum>
  <w:abstractNum w:abstractNumId="14" w15:restartNumberingAfterBreak="0">
    <w:nsid w:val="305D1CFF"/>
    <w:multiLevelType w:val="singleLevel"/>
    <w:tmpl w:val="25940FFA"/>
    <w:lvl w:ilvl="0">
      <w:start w:val="1"/>
      <w:numFmt w:val="lowerLetter"/>
      <w:lvlRestart w:val="0"/>
      <w:lvlText w:val="%1"/>
      <w:lvlJc w:val="left"/>
      <w:pPr>
        <w:tabs>
          <w:tab w:val="num" w:pos="244"/>
        </w:tabs>
        <w:ind w:left="244" w:hanging="244"/>
      </w:pPr>
      <w:rPr>
        <w:rFonts w:ascii="Arial Narrow" w:hAnsi="Arial Narrow"/>
        <w:b w:val="0"/>
        <w:i/>
        <w:caps w:val="0"/>
        <w:strike w:val="0"/>
        <w:dstrike w:val="0"/>
        <w:outline w:val="0"/>
        <w:shadow w:val="0"/>
        <w:emboss w:val="0"/>
        <w:imprint w:val="0"/>
        <w:vanish w:val="0"/>
        <w:color w:val="000000"/>
        <w:sz w:val="18"/>
        <w:u w:val="none"/>
        <w:vertAlign w:val="baseline"/>
      </w:rPr>
    </w:lvl>
  </w:abstractNum>
  <w:abstractNum w:abstractNumId="15" w15:restartNumberingAfterBreak="0">
    <w:nsid w:val="3619251A"/>
    <w:multiLevelType w:val="hybridMultilevel"/>
    <w:tmpl w:val="27425842"/>
    <w:lvl w:ilvl="0" w:tplc="3856A838">
      <w:start w:val="1"/>
      <w:numFmt w:val="decimal"/>
      <w:pStyle w:val="ListNumber"/>
      <w:lvlText w:val="%1)"/>
      <w:lvlJc w:val="left"/>
      <w:pPr>
        <w:tabs>
          <w:tab w:val="num" w:pos="425"/>
        </w:tabs>
        <w:ind w:left="425" w:hanging="425"/>
      </w:pPr>
      <w:rPr>
        <w:rFonts w:hint="default"/>
      </w:rPr>
    </w:lvl>
    <w:lvl w:ilvl="1" w:tplc="16C4AE8A" w:tentative="1">
      <w:start w:val="1"/>
      <w:numFmt w:val="lowerLetter"/>
      <w:lvlText w:val="%2."/>
      <w:lvlJc w:val="left"/>
      <w:pPr>
        <w:tabs>
          <w:tab w:val="num" w:pos="1440"/>
        </w:tabs>
        <w:ind w:left="1440" w:hanging="360"/>
      </w:pPr>
    </w:lvl>
    <w:lvl w:ilvl="2" w:tplc="6952CC52" w:tentative="1">
      <w:start w:val="1"/>
      <w:numFmt w:val="lowerRoman"/>
      <w:lvlText w:val="%3."/>
      <w:lvlJc w:val="right"/>
      <w:pPr>
        <w:tabs>
          <w:tab w:val="num" w:pos="2160"/>
        </w:tabs>
        <w:ind w:left="2160" w:hanging="180"/>
      </w:pPr>
    </w:lvl>
    <w:lvl w:ilvl="3" w:tplc="16A66158" w:tentative="1">
      <w:start w:val="1"/>
      <w:numFmt w:val="decimal"/>
      <w:lvlText w:val="%4."/>
      <w:lvlJc w:val="left"/>
      <w:pPr>
        <w:tabs>
          <w:tab w:val="num" w:pos="2880"/>
        </w:tabs>
        <w:ind w:left="2880" w:hanging="360"/>
      </w:pPr>
    </w:lvl>
    <w:lvl w:ilvl="4" w:tplc="FE8E5982" w:tentative="1">
      <w:start w:val="1"/>
      <w:numFmt w:val="lowerLetter"/>
      <w:lvlText w:val="%5."/>
      <w:lvlJc w:val="left"/>
      <w:pPr>
        <w:tabs>
          <w:tab w:val="num" w:pos="3600"/>
        </w:tabs>
        <w:ind w:left="3600" w:hanging="360"/>
      </w:pPr>
    </w:lvl>
    <w:lvl w:ilvl="5" w:tplc="29CC05AA" w:tentative="1">
      <w:start w:val="1"/>
      <w:numFmt w:val="lowerRoman"/>
      <w:lvlText w:val="%6."/>
      <w:lvlJc w:val="right"/>
      <w:pPr>
        <w:tabs>
          <w:tab w:val="num" w:pos="4320"/>
        </w:tabs>
        <w:ind w:left="4320" w:hanging="180"/>
      </w:pPr>
    </w:lvl>
    <w:lvl w:ilvl="6" w:tplc="C2640FC0" w:tentative="1">
      <w:start w:val="1"/>
      <w:numFmt w:val="decimal"/>
      <w:lvlText w:val="%7."/>
      <w:lvlJc w:val="left"/>
      <w:pPr>
        <w:tabs>
          <w:tab w:val="num" w:pos="5040"/>
        </w:tabs>
        <w:ind w:left="5040" w:hanging="360"/>
      </w:pPr>
    </w:lvl>
    <w:lvl w:ilvl="7" w:tplc="A6D60822" w:tentative="1">
      <w:start w:val="1"/>
      <w:numFmt w:val="lowerLetter"/>
      <w:lvlText w:val="%8."/>
      <w:lvlJc w:val="left"/>
      <w:pPr>
        <w:tabs>
          <w:tab w:val="num" w:pos="5760"/>
        </w:tabs>
        <w:ind w:left="5760" w:hanging="360"/>
      </w:pPr>
    </w:lvl>
    <w:lvl w:ilvl="8" w:tplc="7E225AA2" w:tentative="1">
      <w:start w:val="1"/>
      <w:numFmt w:val="lowerRoman"/>
      <w:lvlText w:val="%9."/>
      <w:lvlJc w:val="right"/>
      <w:pPr>
        <w:tabs>
          <w:tab w:val="num" w:pos="6480"/>
        </w:tabs>
        <w:ind w:left="6480" w:hanging="180"/>
      </w:pPr>
    </w:lvl>
  </w:abstractNum>
  <w:abstractNum w:abstractNumId="16" w15:restartNumberingAfterBreak="0">
    <w:nsid w:val="38293B5F"/>
    <w:multiLevelType w:val="singleLevel"/>
    <w:tmpl w:val="25940FFA"/>
    <w:name w:val="List_Table_Figure_Footnote"/>
    <w:lvl w:ilvl="0">
      <w:start w:val="1"/>
      <w:numFmt w:val="lowerLetter"/>
      <w:lvlRestart w:val="0"/>
      <w:lvlText w:val="%1"/>
      <w:lvlJc w:val="left"/>
      <w:pPr>
        <w:tabs>
          <w:tab w:val="num" w:pos="244"/>
        </w:tabs>
        <w:ind w:left="244" w:hanging="244"/>
      </w:pPr>
      <w:rPr>
        <w:rFonts w:ascii="Arial Narrow" w:hAnsi="Arial Narrow"/>
        <w:b w:val="0"/>
        <w:i/>
        <w:caps w:val="0"/>
        <w:strike w:val="0"/>
        <w:dstrike w:val="0"/>
        <w:outline w:val="0"/>
        <w:shadow w:val="0"/>
        <w:emboss w:val="0"/>
        <w:imprint w:val="0"/>
        <w:vanish w:val="0"/>
        <w:color w:val="000000"/>
        <w:sz w:val="18"/>
        <w:u w:val="none"/>
        <w:vertAlign w:val="baseline"/>
      </w:rPr>
    </w:lvl>
  </w:abstractNum>
  <w:abstractNum w:abstractNumId="17" w15:restartNumberingAfterBreak="0">
    <w:nsid w:val="39E8353E"/>
    <w:multiLevelType w:val="hybridMultilevel"/>
    <w:tmpl w:val="630AE1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AE21E74"/>
    <w:multiLevelType w:val="singleLevel"/>
    <w:tmpl w:val="488809BC"/>
    <w:lvl w:ilvl="0">
      <w:start w:val="1"/>
      <w:numFmt w:val="bullet"/>
      <w:pStyle w:val="ListBullet2"/>
      <w:lvlText w:val=""/>
      <w:lvlJc w:val="left"/>
      <w:pPr>
        <w:tabs>
          <w:tab w:val="num" w:pos="360"/>
        </w:tabs>
        <w:ind w:left="216" w:hanging="216"/>
      </w:pPr>
      <w:rPr>
        <w:rFonts w:ascii="Symbol" w:hAnsi="Symbol" w:hint="default"/>
      </w:rPr>
    </w:lvl>
  </w:abstractNum>
  <w:abstractNum w:abstractNumId="19" w15:restartNumberingAfterBreak="0">
    <w:nsid w:val="3BC64F0E"/>
    <w:multiLevelType w:val="singleLevel"/>
    <w:tmpl w:val="BA18A626"/>
    <w:name w:val="List_Table_Figure_Footnote4"/>
    <w:lvl w:ilvl="0">
      <w:start w:val="1"/>
      <w:numFmt w:val="lowerLetter"/>
      <w:lvlRestart w:val="0"/>
      <w:lvlText w:val="%1"/>
      <w:lvlJc w:val="left"/>
      <w:pPr>
        <w:tabs>
          <w:tab w:val="num" w:pos="244"/>
        </w:tabs>
        <w:ind w:left="244" w:hanging="244"/>
      </w:pPr>
      <w:rPr>
        <w:rFonts w:ascii="Arial Narrow" w:hAnsi="Arial Narrow"/>
        <w:b w:val="0"/>
        <w:i/>
        <w:caps w:val="0"/>
        <w:strike w:val="0"/>
        <w:dstrike w:val="0"/>
        <w:outline w:val="0"/>
        <w:shadow w:val="0"/>
        <w:emboss w:val="0"/>
        <w:imprint w:val="0"/>
        <w:vanish w:val="0"/>
        <w:color w:val="000000"/>
        <w:sz w:val="18"/>
        <w:u w:val="none"/>
        <w:vertAlign w:val="baseline"/>
      </w:rPr>
    </w:lvl>
  </w:abstractNum>
  <w:abstractNum w:abstractNumId="20" w15:restartNumberingAfterBreak="0">
    <w:nsid w:val="465A40DE"/>
    <w:multiLevelType w:val="hybridMultilevel"/>
    <w:tmpl w:val="FF284EBA"/>
    <w:lvl w:ilvl="0" w:tplc="0C09000F">
      <w:start w:val="1"/>
      <w:numFmt w:val="decimal"/>
      <w:lvlText w:val="%1."/>
      <w:lvlJc w:val="left"/>
      <w:pPr>
        <w:ind w:left="720" w:hanging="360"/>
      </w:pPr>
      <w:rPr>
        <w:rFonts w:hint="default"/>
      </w:rPr>
    </w:lvl>
    <w:lvl w:ilvl="1" w:tplc="0C090019">
      <w:start w:val="1"/>
      <w:numFmt w:val="lowerLetter"/>
      <w:lvlText w:val="%2."/>
      <w:lvlJc w:val="left"/>
      <w:pPr>
        <w:ind w:left="1353"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AB848D8"/>
    <w:multiLevelType w:val="hybridMultilevel"/>
    <w:tmpl w:val="87205CEE"/>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3ED6629"/>
    <w:multiLevelType w:val="singleLevel"/>
    <w:tmpl w:val="30DE0A62"/>
    <w:name w:val="List_Table_Figure_Footnote3"/>
    <w:lvl w:ilvl="0">
      <w:start w:val="1"/>
      <w:numFmt w:val="lowerLetter"/>
      <w:lvlRestart w:val="0"/>
      <w:lvlText w:val="%1"/>
      <w:lvlJc w:val="left"/>
      <w:pPr>
        <w:tabs>
          <w:tab w:val="num" w:pos="244"/>
        </w:tabs>
        <w:ind w:left="244" w:hanging="244"/>
      </w:pPr>
      <w:rPr>
        <w:rFonts w:ascii="Arial Narrow" w:hAnsi="Arial Narrow"/>
        <w:b w:val="0"/>
        <w:i/>
        <w:caps w:val="0"/>
        <w:strike w:val="0"/>
        <w:dstrike w:val="0"/>
        <w:outline w:val="0"/>
        <w:shadow w:val="0"/>
        <w:emboss w:val="0"/>
        <w:imprint w:val="0"/>
        <w:vanish w:val="0"/>
        <w:color w:val="000000"/>
        <w:sz w:val="18"/>
        <w:u w:val="none"/>
        <w:vertAlign w:val="baseline"/>
      </w:rPr>
    </w:lvl>
  </w:abstractNum>
  <w:abstractNum w:abstractNumId="23" w15:restartNumberingAfterBreak="0">
    <w:nsid w:val="563442AF"/>
    <w:multiLevelType w:val="hybridMultilevel"/>
    <w:tmpl w:val="DAF8DB5E"/>
    <w:lvl w:ilvl="0" w:tplc="CA96534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7507084"/>
    <w:multiLevelType w:val="multilevel"/>
    <w:tmpl w:val="459CEE46"/>
    <w:lvl w:ilvl="0">
      <w:start w:val="1"/>
      <w:numFmt w:val="decimal"/>
      <w:lvlRestart w:val="0"/>
      <w:pStyle w:val="ListNumbered"/>
      <w:lvlText w:val="%1."/>
      <w:lvlJc w:val="left"/>
      <w:pPr>
        <w:tabs>
          <w:tab w:val="num" w:pos="720"/>
        </w:tabs>
        <w:ind w:left="720" w:hanging="357"/>
      </w:pPr>
      <w:rPr>
        <w:rFonts w:hint="default"/>
      </w:rPr>
    </w:lvl>
    <w:lvl w:ilvl="1">
      <w:start w:val="1"/>
      <w:numFmt w:val="decimal"/>
      <w:lvlText w:val="%2."/>
      <w:lvlJc w:val="left"/>
      <w:pPr>
        <w:tabs>
          <w:tab w:val="num" w:pos="1083"/>
        </w:tabs>
        <w:ind w:left="1083" w:hanging="363"/>
      </w:pPr>
      <w:rPr>
        <w:rFonts w:hint="default"/>
      </w:rPr>
    </w:lvl>
    <w:lvl w:ilvl="2">
      <w:start w:val="1"/>
      <w:numFmt w:val="decimal"/>
      <w:lvlText w:val="%3."/>
      <w:lvlJc w:val="left"/>
      <w:pPr>
        <w:tabs>
          <w:tab w:val="num" w:pos="1440"/>
        </w:tabs>
        <w:ind w:left="1440" w:hanging="357"/>
      </w:pPr>
      <w:rPr>
        <w:rFonts w:hint="default"/>
      </w:rPr>
    </w:lvl>
    <w:lvl w:ilvl="3">
      <w:start w:val="1"/>
      <w:numFmt w:val="decimal"/>
      <w:lvlText w:val="%4."/>
      <w:lvlJc w:val="left"/>
      <w:pPr>
        <w:tabs>
          <w:tab w:val="num" w:pos="1803"/>
        </w:tabs>
        <w:ind w:left="1803" w:hanging="363"/>
      </w:pPr>
      <w:rPr>
        <w:rFonts w:hint="default"/>
      </w:rPr>
    </w:lvl>
    <w:lvl w:ilvl="4">
      <w:start w:val="1"/>
      <w:numFmt w:val="decimal"/>
      <w:lvlText w:val="%5."/>
      <w:lvlJc w:val="left"/>
      <w:pPr>
        <w:tabs>
          <w:tab w:val="num" w:pos="2160"/>
        </w:tabs>
        <w:ind w:left="2160" w:hanging="357"/>
      </w:pPr>
      <w:rPr>
        <w:rFonts w:hint="default"/>
      </w:rPr>
    </w:lvl>
    <w:lvl w:ilvl="5">
      <w:start w:val="1"/>
      <w:numFmt w:val="decimal"/>
      <w:lvlText w:val="%6."/>
      <w:lvlJc w:val="left"/>
      <w:pPr>
        <w:tabs>
          <w:tab w:val="num" w:pos="2523"/>
        </w:tabs>
        <w:ind w:left="2523" w:hanging="363"/>
      </w:pPr>
      <w:rPr>
        <w:rFonts w:hint="default"/>
      </w:rPr>
    </w:lvl>
    <w:lvl w:ilvl="6">
      <w:start w:val="1"/>
      <w:numFmt w:val="decimal"/>
      <w:lvlText w:val="%7."/>
      <w:lvlJc w:val="left"/>
      <w:pPr>
        <w:tabs>
          <w:tab w:val="num" w:pos="2880"/>
        </w:tabs>
        <w:ind w:left="2880" w:hanging="357"/>
      </w:pPr>
      <w:rPr>
        <w:rFonts w:hint="default"/>
      </w:rPr>
    </w:lvl>
    <w:lvl w:ilvl="7">
      <w:start w:val="1"/>
      <w:numFmt w:val="decimal"/>
      <w:lvlText w:val="%8."/>
      <w:lvlJc w:val="left"/>
      <w:pPr>
        <w:tabs>
          <w:tab w:val="num" w:pos="3243"/>
        </w:tabs>
        <w:ind w:left="3243" w:hanging="363"/>
      </w:pPr>
      <w:rPr>
        <w:rFonts w:hint="default"/>
      </w:rPr>
    </w:lvl>
    <w:lvl w:ilvl="8">
      <w:start w:val="1"/>
      <w:numFmt w:val="decimal"/>
      <w:lvlText w:val="%9."/>
      <w:lvlJc w:val="left"/>
      <w:pPr>
        <w:tabs>
          <w:tab w:val="num" w:pos="3600"/>
        </w:tabs>
        <w:ind w:left="3600" w:hanging="357"/>
      </w:pPr>
      <w:rPr>
        <w:rFonts w:hint="default"/>
      </w:rPr>
    </w:lvl>
  </w:abstractNum>
  <w:abstractNum w:abstractNumId="25" w15:restartNumberingAfterBreak="0">
    <w:nsid w:val="5CA864BF"/>
    <w:multiLevelType w:val="hybridMultilevel"/>
    <w:tmpl w:val="D5AE122C"/>
    <w:name w:val="LT_Heading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FA05036"/>
    <w:multiLevelType w:val="hybridMultilevel"/>
    <w:tmpl w:val="73168392"/>
    <w:lvl w:ilvl="0" w:tplc="57DCF55C">
      <w:numFmt w:val="bullet"/>
      <w:lvlText w:val="-"/>
      <w:lvlJc w:val="left"/>
      <w:pPr>
        <w:ind w:left="720" w:hanging="360"/>
      </w:pPr>
      <w:rPr>
        <w:rFonts w:ascii="SymbolMT" w:eastAsia="SymbolMT" w:hAnsi="Calibri" w:cs="SymbolMT" w:hint="eastAsi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2331808"/>
    <w:multiLevelType w:val="multilevel"/>
    <w:tmpl w:val="F1BEA42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qainstruction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pStyle w:val="qainstruction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76F49FC"/>
    <w:multiLevelType w:val="hybridMultilevel"/>
    <w:tmpl w:val="76C6F65E"/>
    <w:lvl w:ilvl="0" w:tplc="2ED89050">
      <w:start w:val="1"/>
      <w:numFmt w:val="bullet"/>
      <w:pStyle w:val="qainstruction1"/>
      <w:lvlText w:val=""/>
      <w:lvlJc w:val="left"/>
      <w:pPr>
        <w:ind w:left="720" w:hanging="360"/>
      </w:pPr>
      <w:rPr>
        <w:rFonts w:ascii="Symbol" w:hAnsi="Symbol" w:hint="default"/>
      </w:rPr>
    </w:lvl>
    <w:lvl w:ilvl="1" w:tplc="F852F918">
      <w:start w:val="1"/>
      <w:numFmt w:val="bullet"/>
      <w:lvlText w:val="o"/>
      <w:lvlJc w:val="left"/>
      <w:pPr>
        <w:ind w:left="1440" w:hanging="360"/>
      </w:pPr>
      <w:rPr>
        <w:rFonts w:ascii="Courier New" w:hAnsi="Courier New" w:cs="Courier New" w:hint="default"/>
      </w:rPr>
    </w:lvl>
    <w:lvl w:ilvl="2" w:tplc="A5A8CD38">
      <w:start w:val="1"/>
      <w:numFmt w:val="bullet"/>
      <w:lvlText w:val=""/>
      <w:lvlJc w:val="left"/>
      <w:pPr>
        <w:ind w:left="2160" w:hanging="360"/>
      </w:pPr>
      <w:rPr>
        <w:rFonts w:ascii="Wingdings" w:hAnsi="Wingdings" w:hint="default"/>
      </w:rPr>
    </w:lvl>
    <w:lvl w:ilvl="3" w:tplc="99AE4914">
      <w:start w:val="1"/>
      <w:numFmt w:val="bullet"/>
      <w:lvlText w:val=""/>
      <w:lvlJc w:val="left"/>
      <w:pPr>
        <w:ind w:left="2880" w:hanging="360"/>
      </w:pPr>
      <w:rPr>
        <w:rFonts w:ascii="Symbol" w:hAnsi="Symbol" w:hint="default"/>
      </w:rPr>
    </w:lvl>
    <w:lvl w:ilvl="4" w:tplc="F68C0668" w:tentative="1">
      <w:start w:val="1"/>
      <w:numFmt w:val="bullet"/>
      <w:lvlText w:val="o"/>
      <w:lvlJc w:val="left"/>
      <w:pPr>
        <w:ind w:left="3600" w:hanging="360"/>
      </w:pPr>
      <w:rPr>
        <w:rFonts w:ascii="Courier New" w:hAnsi="Courier New" w:cs="Courier New" w:hint="default"/>
      </w:rPr>
    </w:lvl>
    <w:lvl w:ilvl="5" w:tplc="4372D96E" w:tentative="1">
      <w:start w:val="1"/>
      <w:numFmt w:val="bullet"/>
      <w:lvlText w:val=""/>
      <w:lvlJc w:val="left"/>
      <w:pPr>
        <w:ind w:left="4320" w:hanging="360"/>
      </w:pPr>
      <w:rPr>
        <w:rFonts w:ascii="Wingdings" w:hAnsi="Wingdings" w:hint="default"/>
      </w:rPr>
    </w:lvl>
    <w:lvl w:ilvl="6" w:tplc="F2E28E82" w:tentative="1">
      <w:start w:val="1"/>
      <w:numFmt w:val="bullet"/>
      <w:lvlText w:val=""/>
      <w:lvlJc w:val="left"/>
      <w:pPr>
        <w:ind w:left="5040" w:hanging="360"/>
      </w:pPr>
      <w:rPr>
        <w:rFonts w:ascii="Symbol" w:hAnsi="Symbol" w:hint="default"/>
      </w:rPr>
    </w:lvl>
    <w:lvl w:ilvl="7" w:tplc="A98A9958" w:tentative="1">
      <w:start w:val="1"/>
      <w:numFmt w:val="bullet"/>
      <w:lvlText w:val="o"/>
      <w:lvlJc w:val="left"/>
      <w:pPr>
        <w:ind w:left="5760" w:hanging="360"/>
      </w:pPr>
      <w:rPr>
        <w:rFonts w:ascii="Courier New" w:hAnsi="Courier New" w:cs="Courier New" w:hint="default"/>
      </w:rPr>
    </w:lvl>
    <w:lvl w:ilvl="8" w:tplc="609CA49E" w:tentative="1">
      <w:start w:val="1"/>
      <w:numFmt w:val="bullet"/>
      <w:lvlText w:val=""/>
      <w:lvlJc w:val="left"/>
      <w:pPr>
        <w:ind w:left="6480" w:hanging="360"/>
      </w:pPr>
      <w:rPr>
        <w:rFonts w:ascii="Wingdings" w:hAnsi="Wingdings" w:hint="default"/>
      </w:rPr>
    </w:lvl>
  </w:abstractNum>
  <w:abstractNum w:abstractNumId="30" w15:restartNumberingAfterBreak="0">
    <w:nsid w:val="6A521020"/>
    <w:multiLevelType w:val="singleLevel"/>
    <w:tmpl w:val="25940FFA"/>
    <w:lvl w:ilvl="0">
      <w:start w:val="1"/>
      <w:numFmt w:val="lowerLetter"/>
      <w:lvlRestart w:val="0"/>
      <w:lvlText w:val="%1"/>
      <w:lvlJc w:val="left"/>
      <w:pPr>
        <w:tabs>
          <w:tab w:val="num" w:pos="244"/>
        </w:tabs>
        <w:ind w:left="244" w:hanging="244"/>
      </w:pPr>
      <w:rPr>
        <w:rFonts w:ascii="Arial Narrow" w:hAnsi="Arial Narrow"/>
        <w:b w:val="0"/>
        <w:i/>
        <w:caps w:val="0"/>
        <w:strike w:val="0"/>
        <w:dstrike w:val="0"/>
        <w:outline w:val="0"/>
        <w:shadow w:val="0"/>
        <w:emboss w:val="0"/>
        <w:imprint w:val="0"/>
        <w:vanish w:val="0"/>
        <w:color w:val="000000"/>
        <w:sz w:val="18"/>
        <w:u w:val="none"/>
        <w:vertAlign w:val="baseline"/>
      </w:rPr>
    </w:lvl>
  </w:abstractNum>
  <w:abstractNum w:abstractNumId="31" w15:restartNumberingAfterBreak="0">
    <w:nsid w:val="72613446"/>
    <w:multiLevelType w:val="hybridMultilevel"/>
    <w:tmpl w:val="44141F2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7311220D"/>
    <w:multiLevelType w:val="hybridMultilevel"/>
    <w:tmpl w:val="E814E93A"/>
    <w:lvl w:ilvl="0" w:tplc="0C090001">
      <w:start w:val="1"/>
      <w:numFmt w:val="bullet"/>
      <w:pStyle w:val="ListBulletLevel2"/>
      <w:lvlText w:val=""/>
      <w:lvlJc w:val="left"/>
      <w:pPr>
        <w:ind w:left="720" w:hanging="360"/>
      </w:pPr>
      <w:rPr>
        <w:rFonts w:ascii="Symbol" w:hAnsi="Symbol" w:hint="default"/>
      </w:rPr>
    </w:lvl>
    <w:lvl w:ilvl="1" w:tplc="0C090003" w:tentative="1">
      <w:start w:val="1"/>
      <w:numFmt w:val="bullet"/>
      <w:pStyle w:val="qainstruction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C5C18E5"/>
    <w:multiLevelType w:val="hybridMultilevel"/>
    <w:tmpl w:val="2ABA6C74"/>
    <w:lvl w:ilvl="0" w:tplc="A1A84D3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F163DAC"/>
    <w:multiLevelType w:val="multilevel"/>
    <w:tmpl w:val="55CCF200"/>
    <w:lvl w:ilvl="0">
      <w:start w:val="1"/>
      <w:numFmt w:val="bullet"/>
      <w:lvlRestart w:val="0"/>
      <w:pStyle w:val="ListBulletLevel1"/>
      <w:lvlText w:val=""/>
      <w:lvlJc w:val="left"/>
      <w:pPr>
        <w:tabs>
          <w:tab w:val="num" w:pos="720"/>
        </w:tabs>
        <w:ind w:left="720" w:hanging="357"/>
      </w:pPr>
      <w:rPr>
        <w:rFonts w:ascii="Symbol" w:hAnsi="Symbol" w:hint="default"/>
      </w:rPr>
    </w:lvl>
    <w:lvl w:ilvl="1">
      <w:start w:val="1"/>
      <w:numFmt w:val="bullet"/>
      <w:lvlText w:val=""/>
      <w:lvlJc w:val="left"/>
      <w:pPr>
        <w:tabs>
          <w:tab w:val="num" w:pos="1083"/>
        </w:tabs>
        <w:ind w:left="1083" w:hanging="363"/>
      </w:pPr>
      <w:rPr>
        <w:rFonts w:ascii="Symbol" w:hAnsi="Symbol" w:hint="default"/>
      </w:rPr>
    </w:lvl>
    <w:lvl w:ilvl="2">
      <w:start w:val="1"/>
      <w:numFmt w:val="bullet"/>
      <w:lvlText w:val=""/>
      <w:lvlJc w:val="left"/>
      <w:pPr>
        <w:tabs>
          <w:tab w:val="num" w:pos="1440"/>
        </w:tabs>
        <w:ind w:left="1440" w:hanging="357"/>
      </w:pPr>
      <w:rPr>
        <w:rFonts w:ascii="Symbol" w:hAnsi="Symbol" w:hint="default"/>
      </w:rPr>
    </w:lvl>
    <w:lvl w:ilvl="3">
      <w:start w:val="1"/>
      <w:numFmt w:val="bullet"/>
      <w:lvlText w:val=""/>
      <w:lvlJc w:val="left"/>
      <w:pPr>
        <w:tabs>
          <w:tab w:val="num" w:pos="1803"/>
        </w:tabs>
        <w:ind w:left="1803" w:hanging="363"/>
      </w:pPr>
      <w:rPr>
        <w:rFonts w:ascii="Symbol" w:hAnsi="Symbol" w:hint="default"/>
      </w:rPr>
    </w:lvl>
    <w:lvl w:ilvl="4">
      <w:start w:val="1"/>
      <w:numFmt w:val="bullet"/>
      <w:lvlText w:val=""/>
      <w:lvlJc w:val="left"/>
      <w:pPr>
        <w:tabs>
          <w:tab w:val="num" w:pos="2160"/>
        </w:tabs>
        <w:ind w:left="2160" w:hanging="357"/>
      </w:pPr>
      <w:rPr>
        <w:rFonts w:ascii="Symbol" w:hAnsi="Symbol" w:hint="default"/>
      </w:rPr>
    </w:lvl>
    <w:lvl w:ilvl="5">
      <w:start w:val="1"/>
      <w:numFmt w:val="bullet"/>
      <w:lvlText w:val=""/>
      <w:lvlJc w:val="left"/>
      <w:pPr>
        <w:tabs>
          <w:tab w:val="num" w:pos="2523"/>
        </w:tabs>
        <w:ind w:left="2523" w:hanging="363"/>
      </w:pPr>
      <w:rPr>
        <w:rFonts w:ascii="Symbol" w:hAnsi="Symbol" w:hint="default"/>
      </w:rPr>
    </w:lvl>
    <w:lvl w:ilvl="6">
      <w:start w:val="1"/>
      <w:numFmt w:val="bullet"/>
      <w:lvlText w:val=""/>
      <w:lvlJc w:val="left"/>
      <w:pPr>
        <w:tabs>
          <w:tab w:val="num" w:pos="2880"/>
        </w:tabs>
        <w:ind w:left="2880" w:hanging="357"/>
      </w:pPr>
      <w:rPr>
        <w:rFonts w:ascii="Symbol" w:hAnsi="Symbol" w:hint="default"/>
      </w:rPr>
    </w:lvl>
    <w:lvl w:ilvl="7">
      <w:start w:val="1"/>
      <w:numFmt w:val="bullet"/>
      <w:lvlText w:val=""/>
      <w:lvlJc w:val="left"/>
      <w:pPr>
        <w:tabs>
          <w:tab w:val="num" w:pos="3243"/>
        </w:tabs>
        <w:ind w:left="3243" w:hanging="363"/>
      </w:pPr>
      <w:rPr>
        <w:rFonts w:ascii="Symbol" w:hAnsi="Symbol" w:hint="default"/>
      </w:rPr>
    </w:lvl>
    <w:lvl w:ilvl="8">
      <w:start w:val="1"/>
      <w:numFmt w:val="bullet"/>
      <w:lvlText w:val=""/>
      <w:lvlJc w:val="left"/>
      <w:pPr>
        <w:tabs>
          <w:tab w:val="num" w:pos="3600"/>
        </w:tabs>
        <w:ind w:left="3600" w:hanging="357"/>
      </w:pPr>
      <w:rPr>
        <w:rFonts w:ascii="Symbol" w:hAnsi="Symbol" w:hint="default"/>
      </w:rPr>
    </w:lvl>
  </w:abstractNum>
  <w:abstractNum w:abstractNumId="35" w15:restartNumberingAfterBreak="0">
    <w:nsid w:val="7F6176F6"/>
    <w:multiLevelType w:val="hybridMultilevel"/>
    <w:tmpl w:val="21ECC52E"/>
    <w:name w:val="LT_Heading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FB401D6"/>
    <w:multiLevelType w:val="hybridMultilevel"/>
    <w:tmpl w:val="270C463E"/>
    <w:lvl w:ilvl="0" w:tplc="335E03B6">
      <w:start w:val="1"/>
      <w:numFmt w:val="bullet"/>
      <w:pStyle w:val="ListAlphabeticalLevel2"/>
      <w:lvlText w:val=""/>
      <w:lvlJc w:val="left"/>
      <w:pPr>
        <w:ind w:left="720" w:hanging="360"/>
      </w:pPr>
      <w:rPr>
        <w:rFonts w:ascii="Symbol" w:hAnsi="Symbol" w:hint="default"/>
      </w:rPr>
    </w:lvl>
    <w:lvl w:ilvl="1" w:tplc="A8900E8A">
      <w:start w:val="1"/>
      <w:numFmt w:val="bullet"/>
      <w:lvlText w:val="o"/>
      <w:lvlJc w:val="left"/>
      <w:pPr>
        <w:ind w:left="1440" w:hanging="360"/>
      </w:pPr>
      <w:rPr>
        <w:rFonts w:ascii="Courier New" w:hAnsi="Courier New" w:cs="Courier New" w:hint="default"/>
      </w:rPr>
    </w:lvl>
    <w:lvl w:ilvl="2" w:tplc="1DFEED2A">
      <w:start w:val="1"/>
      <w:numFmt w:val="bullet"/>
      <w:lvlText w:val=""/>
      <w:lvlJc w:val="left"/>
      <w:pPr>
        <w:ind w:left="2160" w:hanging="360"/>
      </w:pPr>
      <w:rPr>
        <w:rFonts w:ascii="Wingdings" w:hAnsi="Wingdings" w:hint="default"/>
      </w:rPr>
    </w:lvl>
    <w:lvl w:ilvl="3" w:tplc="EBD601BC" w:tentative="1">
      <w:start w:val="1"/>
      <w:numFmt w:val="bullet"/>
      <w:lvlText w:val=""/>
      <w:lvlJc w:val="left"/>
      <w:pPr>
        <w:ind w:left="2880" w:hanging="360"/>
      </w:pPr>
      <w:rPr>
        <w:rFonts w:ascii="Symbol" w:hAnsi="Symbol" w:hint="default"/>
      </w:rPr>
    </w:lvl>
    <w:lvl w:ilvl="4" w:tplc="05780718" w:tentative="1">
      <w:start w:val="1"/>
      <w:numFmt w:val="bullet"/>
      <w:lvlText w:val="o"/>
      <w:lvlJc w:val="left"/>
      <w:pPr>
        <w:ind w:left="3600" w:hanging="360"/>
      </w:pPr>
      <w:rPr>
        <w:rFonts w:ascii="Courier New" w:hAnsi="Courier New" w:cs="Courier New" w:hint="default"/>
      </w:rPr>
    </w:lvl>
    <w:lvl w:ilvl="5" w:tplc="981A984E" w:tentative="1">
      <w:start w:val="1"/>
      <w:numFmt w:val="bullet"/>
      <w:lvlText w:val=""/>
      <w:lvlJc w:val="left"/>
      <w:pPr>
        <w:ind w:left="4320" w:hanging="360"/>
      </w:pPr>
      <w:rPr>
        <w:rFonts w:ascii="Wingdings" w:hAnsi="Wingdings" w:hint="default"/>
      </w:rPr>
    </w:lvl>
    <w:lvl w:ilvl="6" w:tplc="76F88F62" w:tentative="1">
      <w:start w:val="1"/>
      <w:numFmt w:val="bullet"/>
      <w:lvlText w:val=""/>
      <w:lvlJc w:val="left"/>
      <w:pPr>
        <w:ind w:left="5040" w:hanging="360"/>
      </w:pPr>
      <w:rPr>
        <w:rFonts w:ascii="Symbol" w:hAnsi="Symbol" w:hint="default"/>
      </w:rPr>
    </w:lvl>
    <w:lvl w:ilvl="7" w:tplc="16A87836" w:tentative="1">
      <w:start w:val="1"/>
      <w:numFmt w:val="bullet"/>
      <w:lvlText w:val="o"/>
      <w:lvlJc w:val="left"/>
      <w:pPr>
        <w:ind w:left="5760" w:hanging="360"/>
      </w:pPr>
      <w:rPr>
        <w:rFonts w:ascii="Courier New" w:hAnsi="Courier New" w:cs="Courier New" w:hint="default"/>
      </w:rPr>
    </w:lvl>
    <w:lvl w:ilvl="8" w:tplc="1B7CA894" w:tentative="1">
      <w:start w:val="1"/>
      <w:numFmt w:val="bullet"/>
      <w:lvlText w:val=""/>
      <w:lvlJc w:val="left"/>
      <w:pPr>
        <w:ind w:left="6480" w:hanging="360"/>
      </w:pPr>
      <w:rPr>
        <w:rFonts w:ascii="Wingdings" w:hAnsi="Wingdings" w:hint="default"/>
      </w:rPr>
    </w:lvl>
  </w:abstractNum>
  <w:num w:numId="1">
    <w:abstractNumId w:val="4"/>
  </w:num>
  <w:num w:numId="2">
    <w:abstractNumId w:val="24"/>
  </w:num>
  <w:num w:numId="3">
    <w:abstractNumId w:val="36"/>
  </w:num>
  <w:num w:numId="4">
    <w:abstractNumId w:val="31"/>
  </w:num>
  <w:num w:numId="5">
    <w:abstractNumId w:val="29"/>
  </w:num>
  <w:num w:numId="6">
    <w:abstractNumId w:val="32"/>
  </w:num>
  <w:num w:numId="7">
    <w:abstractNumId w:val="12"/>
  </w:num>
  <w:num w:numId="8">
    <w:abstractNumId w:val="28"/>
  </w:num>
  <w:num w:numId="9">
    <w:abstractNumId w:val="8"/>
  </w:num>
  <w:num w:numId="10">
    <w:abstractNumId w:val="27"/>
  </w:num>
  <w:num w:numId="11">
    <w:abstractNumId w:val="13"/>
  </w:num>
  <w:num w:numId="12">
    <w:abstractNumId w:val="11"/>
  </w:num>
  <w:num w:numId="13">
    <w:abstractNumId w:val="34"/>
  </w:num>
  <w:num w:numId="14">
    <w:abstractNumId w:val="7"/>
  </w:num>
  <w:num w:numId="15">
    <w:abstractNumId w:val="15"/>
  </w:num>
  <w:num w:numId="16">
    <w:abstractNumId w:val="1"/>
  </w:num>
  <w:num w:numId="17">
    <w:abstractNumId w:val="0"/>
  </w:num>
  <w:num w:numId="18">
    <w:abstractNumId w:val="3"/>
  </w:num>
  <w:num w:numId="19">
    <w:abstractNumId w:val="2"/>
  </w:num>
  <w:num w:numId="20">
    <w:abstractNumId w:val="18"/>
  </w:num>
  <w:num w:numId="21">
    <w:abstractNumId w:val="6"/>
  </w:num>
  <w:num w:numId="22">
    <w:abstractNumId w:val="9"/>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7"/>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0"/>
  </w:num>
  <w:num w:numId="30">
    <w:abstractNumId w:val="22"/>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24"/>
  </w:num>
  <w:num w:numId="34">
    <w:abstractNumId w:val="19"/>
  </w:num>
  <w:num w:numId="35">
    <w:abstractNumId w:val="33"/>
  </w:num>
  <w:num w:numId="36">
    <w:abstractNumId w:val="30"/>
  </w:num>
  <w:num w:numId="37">
    <w:abstractNumId w:val="14"/>
  </w:num>
  <w:num w:numId="38">
    <w:abstractNumId w:val="26"/>
  </w:num>
  <w:num w:numId="39">
    <w:abstractNumId w:val="25"/>
  </w:num>
  <w:num w:numId="40">
    <w:abstractNumId w:val="23"/>
  </w:num>
  <w:num w:numId="41">
    <w:abstractNumId w:val="21"/>
  </w:num>
  <w:num w:numId="42">
    <w:abstractNumId w:val="35"/>
  </w:num>
  <w:num w:numId="43">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60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3E5"/>
    <w:rsid w:val="00022325"/>
    <w:rsid w:val="00024098"/>
    <w:rsid w:val="0003690C"/>
    <w:rsid w:val="000423D7"/>
    <w:rsid w:val="000472B1"/>
    <w:rsid w:val="00056A16"/>
    <w:rsid w:val="000855D1"/>
    <w:rsid w:val="00090264"/>
    <w:rsid w:val="000911AA"/>
    <w:rsid w:val="00091B2B"/>
    <w:rsid w:val="00097241"/>
    <w:rsid w:val="000A238F"/>
    <w:rsid w:val="000A269A"/>
    <w:rsid w:val="000B539A"/>
    <w:rsid w:val="000B76F0"/>
    <w:rsid w:val="000C6A6C"/>
    <w:rsid w:val="000D4208"/>
    <w:rsid w:val="000E1A58"/>
    <w:rsid w:val="00103D23"/>
    <w:rsid w:val="0012230A"/>
    <w:rsid w:val="00127716"/>
    <w:rsid w:val="00135D67"/>
    <w:rsid w:val="0014013F"/>
    <w:rsid w:val="0014269F"/>
    <w:rsid w:val="001503C2"/>
    <w:rsid w:val="00154498"/>
    <w:rsid w:val="00156B9A"/>
    <w:rsid w:val="00176726"/>
    <w:rsid w:val="00194D6E"/>
    <w:rsid w:val="00195CFF"/>
    <w:rsid w:val="001A3992"/>
    <w:rsid w:val="001A52E4"/>
    <w:rsid w:val="001A613B"/>
    <w:rsid w:val="001B519B"/>
    <w:rsid w:val="001C1DE9"/>
    <w:rsid w:val="001C2F4A"/>
    <w:rsid w:val="001E40D6"/>
    <w:rsid w:val="001F690A"/>
    <w:rsid w:val="00200B68"/>
    <w:rsid w:val="002019E6"/>
    <w:rsid w:val="002245D3"/>
    <w:rsid w:val="002354C7"/>
    <w:rsid w:val="0024632F"/>
    <w:rsid w:val="00281CC4"/>
    <w:rsid w:val="002857A4"/>
    <w:rsid w:val="00292D82"/>
    <w:rsid w:val="002A24A3"/>
    <w:rsid w:val="002A7F9B"/>
    <w:rsid w:val="002B064E"/>
    <w:rsid w:val="002C5674"/>
    <w:rsid w:val="002C734B"/>
    <w:rsid w:val="002D3269"/>
    <w:rsid w:val="002D3D74"/>
    <w:rsid w:val="002E277D"/>
    <w:rsid w:val="00302271"/>
    <w:rsid w:val="00307108"/>
    <w:rsid w:val="003273D5"/>
    <w:rsid w:val="00327AB5"/>
    <w:rsid w:val="003328C1"/>
    <w:rsid w:val="00336F0B"/>
    <w:rsid w:val="00347D8E"/>
    <w:rsid w:val="003550FA"/>
    <w:rsid w:val="00366C42"/>
    <w:rsid w:val="003750DA"/>
    <w:rsid w:val="00376F52"/>
    <w:rsid w:val="00380B4A"/>
    <w:rsid w:val="0038188A"/>
    <w:rsid w:val="00385EAB"/>
    <w:rsid w:val="00397AA9"/>
    <w:rsid w:val="003C3FB2"/>
    <w:rsid w:val="003D5A12"/>
    <w:rsid w:val="003E3F40"/>
    <w:rsid w:val="003F08A1"/>
    <w:rsid w:val="003F0AD9"/>
    <w:rsid w:val="004032BD"/>
    <w:rsid w:val="00407FF3"/>
    <w:rsid w:val="00422E54"/>
    <w:rsid w:val="00425F6F"/>
    <w:rsid w:val="00431ACD"/>
    <w:rsid w:val="00433C8C"/>
    <w:rsid w:val="00436A4B"/>
    <w:rsid w:val="00443AE4"/>
    <w:rsid w:val="004518F4"/>
    <w:rsid w:val="00460B64"/>
    <w:rsid w:val="004618FF"/>
    <w:rsid w:val="004635C5"/>
    <w:rsid w:val="00466BF1"/>
    <w:rsid w:val="00471FDE"/>
    <w:rsid w:val="00472FA2"/>
    <w:rsid w:val="0047549D"/>
    <w:rsid w:val="00477BD3"/>
    <w:rsid w:val="00485F10"/>
    <w:rsid w:val="004A05C7"/>
    <w:rsid w:val="004A654A"/>
    <w:rsid w:val="004B273B"/>
    <w:rsid w:val="004D0FD8"/>
    <w:rsid w:val="004E6AE7"/>
    <w:rsid w:val="004F0E4A"/>
    <w:rsid w:val="005105FF"/>
    <w:rsid w:val="00512BA0"/>
    <w:rsid w:val="00514ED3"/>
    <w:rsid w:val="005469E8"/>
    <w:rsid w:val="005528DB"/>
    <w:rsid w:val="00556ADC"/>
    <w:rsid w:val="00560D82"/>
    <w:rsid w:val="00563A56"/>
    <w:rsid w:val="00563E91"/>
    <w:rsid w:val="00566A0F"/>
    <w:rsid w:val="00570C38"/>
    <w:rsid w:val="00575B20"/>
    <w:rsid w:val="005859A9"/>
    <w:rsid w:val="005B155A"/>
    <w:rsid w:val="005B5D8E"/>
    <w:rsid w:val="005C550E"/>
    <w:rsid w:val="005D288D"/>
    <w:rsid w:val="00616904"/>
    <w:rsid w:val="0062272E"/>
    <w:rsid w:val="0062537C"/>
    <w:rsid w:val="006300D9"/>
    <w:rsid w:val="006611C8"/>
    <w:rsid w:val="00664884"/>
    <w:rsid w:val="00673BF2"/>
    <w:rsid w:val="00687172"/>
    <w:rsid w:val="006A5163"/>
    <w:rsid w:val="006B335D"/>
    <w:rsid w:val="006B49F1"/>
    <w:rsid w:val="006B74E2"/>
    <w:rsid w:val="006C45B5"/>
    <w:rsid w:val="006C70BF"/>
    <w:rsid w:val="006D26BB"/>
    <w:rsid w:val="006D2966"/>
    <w:rsid w:val="006E7B31"/>
    <w:rsid w:val="006F1308"/>
    <w:rsid w:val="006F34DC"/>
    <w:rsid w:val="00701546"/>
    <w:rsid w:val="00703FA3"/>
    <w:rsid w:val="00707E4F"/>
    <w:rsid w:val="00717A2D"/>
    <w:rsid w:val="00717E34"/>
    <w:rsid w:val="00727DFC"/>
    <w:rsid w:val="00734065"/>
    <w:rsid w:val="00737435"/>
    <w:rsid w:val="00744556"/>
    <w:rsid w:val="00751FED"/>
    <w:rsid w:val="00752A50"/>
    <w:rsid w:val="00761D87"/>
    <w:rsid w:val="00763F30"/>
    <w:rsid w:val="0079017C"/>
    <w:rsid w:val="00797087"/>
    <w:rsid w:val="007A2556"/>
    <w:rsid w:val="007A6E38"/>
    <w:rsid w:val="007C4C57"/>
    <w:rsid w:val="007D03C7"/>
    <w:rsid w:val="007D1DB2"/>
    <w:rsid w:val="007D1F70"/>
    <w:rsid w:val="007E54B4"/>
    <w:rsid w:val="007E69ED"/>
    <w:rsid w:val="007F5866"/>
    <w:rsid w:val="008134FC"/>
    <w:rsid w:val="00822661"/>
    <w:rsid w:val="00825D2D"/>
    <w:rsid w:val="00827824"/>
    <w:rsid w:val="00835B37"/>
    <w:rsid w:val="00842C72"/>
    <w:rsid w:val="00847857"/>
    <w:rsid w:val="0085125A"/>
    <w:rsid w:val="00853A8C"/>
    <w:rsid w:val="00863424"/>
    <w:rsid w:val="008646BC"/>
    <w:rsid w:val="00870007"/>
    <w:rsid w:val="0087740C"/>
    <w:rsid w:val="00882323"/>
    <w:rsid w:val="00882EEE"/>
    <w:rsid w:val="00884CB2"/>
    <w:rsid w:val="008A44B5"/>
    <w:rsid w:val="008A6F9D"/>
    <w:rsid w:val="008B7E4D"/>
    <w:rsid w:val="008C1395"/>
    <w:rsid w:val="008D3D23"/>
    <w:rsid w:val="008D661E"/>
    <w:rsid w:val="008E1928"/>
    <w:rsid w:val="00902D2C"/>
    <w:rsid w:val="0093746D"/>
    <w:rsid w:val="009466D4"/>
    <w:rsid w:val="009500B9"/>
    <w:rsid w:val="00960CD5"/>
    <w:rsid w:val="0097795C"/>
    <w:rsid w:val="00981603"/>
    <w:rsid w:val="00991DE9"/>
    <w:rsid w:val="00997539"/>
    <w:rsid w:val="009A04E1"/>
    <w:rsid w:val="009A309B"/>
    <w:rsid w:val="009A30AC"/>
    <w:rsid w:val="009C3BFB"/>
    <w:rsid w:val="009D60F3"/>
    <w:rsid w:val="009E4A3A"/>
    <w:rsid w:val="009F1AE2"/>
    <w:rsid w:val="009F4900"/>
    <w:rsid w:val="00A0746E"/>
    <w:rsid w:val="00A27AF0"/>
    <w:rsid w:val="00A27E4F"/>
    <w:rsid w:val="00A37000"/>
    <w:rsid w:val="00A40986"/>
    <w:rsid w:val="00A41873"/>
    <w:rsid w:val="00A5269C"/>
    <w:rsid w:val="00A60773"/>
    <w:rsid w:val="00A62F6D"/>
    <w:rsid w:val="00A67B0A"/>
    <w:rsid w:val="00A70145"/>
    <w:rsid w:val="00A76630"/>
    <w:rsid w:val="00A84F2D"/>
    <w:rsid w:val="00A86171"/>
    <w:rsid w:val="00A86C72"/>
    <w:rsid w:val="00AA1248"/>
    <w:rsid w:val="00AC4DAF"/>
    <w:rsid w:val="00AE5799"/>
    <w:rsid w:val="00AE73A0"/>
    <w:rsid w:val="00B13268"/>
    <w:rsid w:val="00B14C17"/>
    <w:rsid w:val="00B5279C"/>
    <w:rsid w:val="00B70D37"/>
    <w:rsid w:val="00B95065"/>
    <w:rsid w:val="00B95A3F"/>
    <w:rsid w:val="00BA6BDC"/>
    <w:rsid w:val="00BB5002"/>
    <w:rsid w:val="00BC364A"/>
    <w:rsid w:val="00BC63E7"/>
    <w:rsid w:val="00BE1984"/>
    <w:rsid w:val="00BE7423"/>
    <w:rsid w:val="00BF0D4C"/>
    <w:rsid w:val="00BF29A6"/>
    <w:rsid w:val="00C06693"/>
    <w:rsid w:val="00C223F6"/>
    <w:rsid w:val="00C25EA3"/>
    <w:rsid w:val="00C301BA"/>
    <w:rsid w:val="00C43229"/>
    <w:rsid w:val="00C46EBD"/>
    <w:rsid w:val="00C618B9"/>
    <w:rsid w:val="00C72861"/>
    <w:rsid w:val="00C74B4D"/>
    <w:rsid w:val="00C77EA2"/>
    <w:rsid w:val="00C95448"/>
    <w:rsid w:val="00C971E9"/>
    <w:rsid w:val="00CA226D"/>
    <w:rsid w:val="00CA5C63"/>
    <w:rsid w:val="00CA6A37"/>
    <w:rsid w:val="00CA6CCF"/>
    <w:rsid w:val="00CA73C2"/>
    <w:rsid w:val="00CC3678"/>
    <w:rsid w:val="00CD2E75"/>
    <w:rsid w:val="00CD4D04"/>
    <w:rsid w:val="00CD52E2"/>
    <w:rsid w:val="00CF34CE"/>
    <w:rsid w:val="00CF7502"/>
    <w:rsid w:val="00D10AD4"/>
    <w:rsid w:val="00D255F4"/>
    <w:rsid w:val="00D31529"/>
    <w:rsid w:val="00D44BA0"/>
    <w:rsid w:val="00D538AB"/>
    <w:rsid w:val="00D6475B"/>
    <w:rsid w:val="00D708F3"/>
    <w:rsid w:val="00D70EC1"/>
    <w:rsid w:val="00D73317"/>
    <w:rsid w:val="00D75DD2"/>
    <w:rsid w:val="00D77902"/>
    <w:rsid w:val="00D84C9B"/>
    <w:rsid w:val="00D86276"/>
    <w:rsid w:val="00D86F8F"/>
    <w:rsid w:val="00D93431"/>
    <w:rsid w:val="00DA5B5D"/>
    <w:rsid w:val="00DA75FD"/>
    <w:rsid w:val="00DB30F1"/>
    <w:rsid w:val="00DC627A"/>
    <w:rsid w:val="00DD1FB2"/>
    <w:rsid w:val="00DE2723"/>
    <w:rsid w:val="00DE3FFB"/>
    <w:rsid w:val="00DE60D2"/>
    <w:rsid w:val="00DE672B"/>
    <w:rsid w:val="00DF5E99"/>
    <w:rsid w:val="00E112BE"/>
    <w:rsid w:val="00E24AC2"/>
    <w:rsid w:val="00E25D6F"/>
    <w:rsid w:val="00E32F0E"/>
    <w:rsid w:val="00E346F8"/>
    <w:rsid w:val="00E44659"/>
    <w:rsid w:val="00E53688"/>
    <w:rsid w:val="00E575BF"/>
    <w:rsid w:val="00E57CCD"/>
    <w:rsid w:val="00E71F4B"/>
    <w:rsid w:val="00E74A56"/>
    <w:rsid w:val="00E9222B"/>
    <w:rsid w:val="00E94BC2"/>
    <w:rsid w:val="00EA1A4B"/>
    <w:rsid w:val="00EB30C0"/>
    <w:rsid w:val="00EC0DFF"/>
    <w:rsid w:val="00ED0937"/>
    <w:rsid w:val="00ED2051"/>
    <w:rsid w:val="00EF2F75"/>
    <w:rsid w:val="00F1019F"/>
    <w:rsid w:val="00F524BC"/>
    <w:rsid w:val="00F66A13"/>
    <w:rsid w:val="00F71D23"/>
    <w:rsid w:val="00F77B7A"/>
    <w:rsid w:val="00F87C5A"/>
    <w:rsid w:val="00FA0624"/>
    <w:rsid w:val="00FA1E2B"/>
    <w:rsid w:val="00FA554F"/>
    <w:rsid w:val="00FB23E5"/>
    <w:rsid w:val="00FB69A1"/>
    <w:rsid w:val="00FD3E22"/>
    <w:rsid w:val="00FD4643"/>
    <w:rsid w:val="00FD704E"/>
    <w:rsid w:val="00FD7580"/>
    <w:rsid w:val="00FE43D5"/>
    <w:rsid w:val="00FE55F6"/>
    <w:rsid w:val="00FF6311"/>
    <w:rsid w:val="00FF71EF"/>
    <w:rsid w:val="06A5E5DE"/>
    <w:rsid w:val="0AED70E5"/>
    <w:rsid w:val="0FE97ED4"/>
    <w:rsid w:val="1972659B"/>
    <w:rsid w:val="2077D7A6"/>
    <w:rsid w:val="2AE0C498"/>
    <w:rsid w:val="2FE16C46"/>
    <w:rsid w:val="33D9A523"/>
    <w:rsid w:val="3830462A"/>
    <w:rsid w:val="3DC9796C"/>
    <w:rsid w:val="3FB0A870"/>
    <w:rsid w:val="47416C2A"/>
    <w:rsid w:val="4AB2920D"/>
    <w:rsid w:val="4B949C2A"/>
    <w:rsid w:val="60F39057"/>
    <w:rsid w:val="6A13D886"/>
    <w:rsid w:val="702E1734"/>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3066F925"/>
  <w15:docId w15:val="{97EC6EEE-774C-4126-9688-F12746B86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5065"/>
    <w:pPr>
      <w:spacing w:before="240" w:after="0" w:line="240" w:lineRule="auto"/>
    </w:pPr>
    <w:rPr>
      <w:rFonts w:ascii="Times New Roman" w:eastAsia="MS Mincho" w:hAnsi="Times New Roman" w:cs="Times New Roman"/>
      <w:color w:val="000000"/>
      <w:sz w:val="24"/>
      <w:szCs w:val="24"/>
      <w:lang w:val="en-US"/>
    </w:rPr>
  </w:style>
  <w:style w:type="paragraph" w:styleId="Heading1">
    <w:name w:val="heading 1"/>
    <w:aliases w:val="wcp_Heading1"/>
    <w:next w:val="Normal"/>
    <w:link w:val="Heading1Char"/>
    <w:qFormat/>
    <w:rsid w:val="00366C42"/>
    <w:pPr>
      <w:keepNext/>
      <w:pageBreakBefore/>
      <w:numPr>
        <w:numId w:val="14"/>
      </w:numPr>
      <w:spacing w:before="480" w:after="0" w:line="240" w:lineRule="auto"/>
      <w:outlineLvl w:val="0"/>
    </w:pPr>
    <w:rPr>
      <w:rFonts w:ascii="Arial" w:eastAsia="MS Gothic" w:hAnsi="Arial" w:cs="Arial"/>
      <w:b/>
      <w:bCs/>
      <w:caps/>
      <w:kern w:val="32"/>
      <w:sz w:val="28"/>
      <w:szCs w:val="32"/>
      <w:lang w:val="en-US"/>
    </w:rPr>
  </w:style>
  <w:style w:type="paragraph" w:styleId="Heading2">
    <w:name w:val="heading 2"/>
    <w:aliases w:val="wcp_Heading2"/>
    <w:basedOn w:val="Heading1"/>
    <w:next w:val="Normal"/>
    <w:link w:val="Heading2Char"/>
    <w:qFormat/>
    <w:rsid w:val="00366C42"/>
    <w:pPr>
      <w:pageBreakBefore w:val="0"/>
      <w:numPr>
        <w:ilvl w:val="1"/>
      </w:numPr>
      <w:outlineLvl w:val="1"/>
    </w:pPr>
    <w:rPr>
      <w:bCs w:val="0"/>
      <w:iCs/>
      <w:sz w:val="22"/>
      <w:szCs w:val="28"/>
    </w:rPr>
  </w:style>
  <w:style w:type="paragraph" w:styleId="Heading3">
    <w:name w:val="heading 3"/>
    <w:aliases w:val="wcp_Heading3"/>
    <w:basedOn w:val="Heading1"/>
    <w:next w:val="Normal"/>
    <w:link w:val="Heading3Char"/>
    <w:qFormat/>
    <w:rsid w:val="00366C42"/>
    <w:pPr>
      <w:pageBreakBefore w:val="0"/>
      <w:numPr>
        <w:ilvl w:val="2"/>
      </w:numPr>
      <w:spacing w:before="360"/>
      <w:outlineLvl w:val="2"/>
    </w:pPr>
    <w:rPr>
      <w:bCs w:val="0"/>
      <w:caps w:val="0"/>
      <w:sz w:val="22"/>
      <w:szCs w:val="26"/>
    </w:rPr>
  </w:style>
  <w:style w:type="paragraph" w:styleId="Heading4">
    <w:name w:val="heading 4"/>
    <w:aliases w:val="wcp_Heading4"/>
    <w:basedOn w:val="Heading1"/>
    <w:next w:val="Normal"/>
    <w:link w:val="Heading4Char"/>
    <w:qFormat/>
    <w:rsid w:val="00366C42"/>
    <w:pPr>
      <w:pageBreakBefore w:val="0"/>
      <w:numPr>
        <w:ilvl w:val="3"/>
      </w:numPr>
      <w:spacing w:before="360"/>
      <w:outlineLvl w:val="3"/>
    </w:pPr>
    <w:rPr>
      <w:bCs w:val="0"/>
      <w:i/>
      <w:caps w:val="0"/>
      <w:sz w:val="22"/>
      <w:szCs w:val="28"/>
    </w:rPr>
  </w:style>
  <w:style w:type="paragraph" w:styleId="Heading5">
    <w:name w:val="heading 5"/>
    <w:aliases w:val="wcp_Heading5"/>
    <w:basedOn w:val="Heading1"/>
    <w:next w:val="Normal"/>
    <w:link w:val="Heading5Char"/>
    <w:qFormat/>
    <w:rsid w:val="00366C42"/>
    <w:pPr>
      <w:pageBreakBefore w:val="0"/>
      <w:numPr>
        <w:ilvl w:val="4"/>
      </w:numPr>
      <w:spacing w:before="360"/>
      <w:outlineLvl w:val="4"/>
    </w:pPr>
    <w:rPr>
      <w:b w:val="0"/>
      <w:bCs w:val="0"/>
      <w:i/>
      <w:iCs/>
      <w:caps w:val="0"/>
      <w:sz w:val="22"/>
      <w:szCs w:val="26"/>
    </w:rPr>
  </w:style>
  <w:style w:type="paragraph" w:styleId="Heading6">
    <w:name w:val="heading 6"/>
    <w:aliases w:val="wcp_Heading6"/>
    <w:basedOn w:val="Heading1"/>
    <w:next w:val="Normal"/>
    <w:link w:val="Heading6Char"/>
    <w:qFormat/>
    <w:rsid w:val="00366C42"/>
    <w:pPr>
      <w:pageBreakBefore w:val="0"/>
      <w:numPr>
        <w:ilvl w:val="5"/>
      </w:numPr>
      <w:spacing w:before="360"/>
      <w:outlineLvl w:val="5"/>
    </w:pPr>
    <w:rPr>
      <w:b w:val="0"/>
      <w:bCs w:val="0"/>
      <w:caps w:val="0"/>
      <w:sz w:val="22"/>
      <w:szCs w:val="22"/>
    </w:rPr>
  </w:style>
  <w:style w:type="paragraph" w:styleId="Heading7">
    <w:name w:val="heading 7"/>
    <w:aliases w:val="wcp_Heading7"/>
    <w:basedOn w:val="Heading6"/>
    <w:next w:val="Normal"/>
    <w:link w:val="Heading7Char"/>
    <w:qFormat/>
    <w:rsid w:val="00366C42"/>
    <w:pPr>
      <w:numPr>
        <w:ilvl w:val="6"/>
      </w:numPr>
      <w:outlineLvl w:val="6"/>
    </w:pPr>
  </w:style>
  <w:style w:type="paragraph" w:styleId="Heading8">
    <w:name w:val="heading 8"/>
    <w:aliases w:val="wcp_Heading8"/>
    <w:basedOn w:val="Heading6"/>
    <w:next w:val="Normal"/>
    <w:link w:val="Heading8Char"/>
    <w:qFormat/>
    <w:rsid w:val="00366C42"/>
    <w:pPr>
      <w:numPr>
        <w:ilvl w:val="7"/>
      </w:numPr>
      <w:outlineLvl w:val="7"/>
    </w:pPr>
    <w:rPr>
      <w:iCs/>
    </w:rPr>
  </w:style>
  <w:style w:type="paragraph" w:styleId="Heading9">
    <w:name w:val="heading 9"/>
    <w:aliases w:val="wcp_Heading9,Heading9_Titre9"/>
    <w:basedOn w:val="Heading6"/>
    <w:next w:val="Normal"/>
    <w:link w:val="Heading9Char"/>
    <w:qFormat/>
    <w:rsid w:val="00366C42"/>
    <w:pPr>
      <w:numPr>
        <w:ilvl w:val="8"/>
      </w:numPr>
      <w:tabs>
        <w:tab w:val="left" w:pos="1797"/>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cp_Heading1 Char"/>
    <w:basedOn w:val="DefaultParagraphFont"/>
    <w:link w:val="Heading1"/>
    <w:rsid w:val="001A3992"/>
    <w:rPr>
      <w:rFonts w:ascii="Arial" w:eastAsia="MS Gothic" w:hAnsi="Arial" w:cs="Arial"/>
      <w:b/>
      <w:bCs/>
      <w:caps/>
      <w:kern w:val="32"/>
      <w:sz w:val="28"/>
      <w:szCs w:val="32"/>
      <w:lang w:val="en-US"/>
    </w:rPr>
  </w:style>
  <w:style w:type="character" w:customStyle="1" w:styleId="Heading2Char">
    <w:name w:val="Heading 2 Char"/>
    <w:aliases w:val="wcp_Heading2 Char"/>
    <w:basedOn w:val="DefaultParagraphFont"/>
    <w:link w:val="Heading2"/>
    <w:rsid w:val="001A3992"/>
    <w:rPr>
      <w:rFonts w:ascii="Arial" w:eastAsia="MS Gothic" w:hAnsi="Arial" w:cs="Arial"/>
      <w:b/>
      <w:iCs/>
      <w:caps/>
      <w:kern w:val="32"/>
      <w:szCs w:val="28"/>
      <w:lang w:val="en-US"/>
    </w:rPr>
  </w:style>
  <w:style w:type="character" w:customStyle="1" w:styleId="Heading3Char">
    <w:name w:val="Heading 3 Char"/>
    <w:aliases w:val="wcp_Heading3 Char"/>
    <w:basedOn w:val="DefaultParagraphFont"/>
    <w:link w:val="Heading3"/>
    <w:rsid w:val="001A3992"/>
    <w:rPr>
      <w:rFonts w:ascii="Arial" w:eastAsia="MS Gothic" w:hAnsi="Arial" w:cs="Arial"/>
      <w:b/>
      <w:kern w:val="32"/>
      <w:szCs w:val="26"/>
      <w:lang w:val="en-US"/>
    </w:rPr>
  </w:style>
  <w:style w:type="character" w:customStyle="1" w:styleId="Heading4Char">
    <w:name w:val="Heading 4 Char"/>
    <w:aliases w:val="wcp_Heading4 Char"/>
    <w:basedOn w:val="DefaultParagraphFont"/>
    <w:link w:val="Heading4"/>
    <w:rsid w:val="001A3992"/>
    <w:rPr>
      <w:rFonts w:ascii="Arial" w:eastAsia="MS Gothic" w:hAnsi="Arial" w:cs="Arial"/>
      <w:b/>
      <w:i/>
      <w:kern w:val="32"/>
      <w:szCs w:val="28"/>
      <w:lang w:val="en-US"/>
    </w:rPr>
  </w:style>
  <w:style w:type="character" w:customStyle="1" w:styleId="Heading5Char">
    <w:name w:val="Heading 5 Char"/>
    <w:aliases w:val="wcp_Heading5 Char"/>
    <w:basedOn w:val="DefaultParagraphFont"/>
    <w:link w:val="Heading5"/>
    <w:rsid w:val="001A3992"/>
    <w:rPr>
      <w:rFonts w:ascii="Arial" w:eastAsia="MS Gothic" w:hAnsi="Arial" w:cs="Arial"/>
      <w:i/>
      <w:iCs/>
      <w:kern w:val="32"/>
      <w:szCs w:val="26"/>
      <w:lang w:val="en-US"/>
    </w:rPr>
  </w:style>
  <w:style w:type="character" w:customStyle="1" w:styleId="Heading6Char">
    <w:name w:val="Heading 6 Char"/>
    <w:aliases w:val="wcp_Heading6 Char"/>
    <w:basedOn w:val="DefaultParagraphFont"/>
    <w:link w:val="Heading6"/>
    <w:rsid w:val="001A3992"/>
    <w:rPr>
      <w:rFonts w:ascii="Arial" w:eastAsia="MS Gothic" w:hAnsi="Arial" w:cs="Arial"/>
      <w:kern w:val="32"/>
      <w:lang w:val="en-US"/>
    </w:rPr>
  </w:style>
  <w:style w:type="character" w:customStyle="1" w:styleId="Heading7Char">
    <w:name w:val="Heading 7 Char"/>
    <w:aliases w:val="wcp_Heading7 Char"/>
    <w:basedOn w:val="DefaultParagraphFont"/>
    <w:link w:val="Heading7"/>
    <w:rsid w:val="001A3992"/>
    <w:rPr>
      <w:rFonts w:ascii="Arial" w:eastAsia="MS Gothic" w:hAnsi="Arial" w:cs="Arial"/>
      <w:kern w:val="32"/>
      <w:lang w:val="en-US"/>
    </w:rPr>
  </w:style>
  <w:style w:type="character" w:customStyle="1" w:styleId="Heading8Char">
    <w:name w:val="Heading 8 Char"/>
    <w:aliases w:val="wcp_Heading8 Char"/>
    <w:basedOn w:val="DefaultParagraphFont"/>
    <w:link w:val="Heading8"/>
    <w:rsid w:val="001A3992"/>
    <w:rPr>
      <w:rFonts w:ascii="Arial" w:eastAsia="MS Gothic" w:hAnsi="Arial" w:cs="Arial"/>
      <w:iCs/>
      <w:kern w:val="32"/>
      <w:lang w:val="en-US"/>
    </w:rPr>
  </w:style>
  <w:style w:type="character" w:customStyle="1" w:styleId="Heading9Char">
    <w:name w:val="Heading 9 Char"/>
    <w:aliases w:val="wcp_Heading9 Char,Heading9_Titre9 Char"/>
    <w:basedOn w:val="DefaultParagraphFont"/>
    <w:link w:val="Heading9"/>
    <w:rsid w:val="001A3992"/>
    <w:rPr>
      <w:rFonts w:ascii="Arial" w:eastAsia="MS Gothic" w:hAnsi="Arial" w:cs="Arial"/>
      <w:kern w:val="32"/>
      <w:lang w:val="en-US"/>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semiHidden/>
    <w:unhideWhenUsed/>
    <w:rsid w:val="001A3992"/>
    <w:rPr>
      <w:sz w:val="16"/>
      <w:szCs w:val="16"/>
    </w:rPr>
  </w:style>
  <w:style w:type="paragraph" w:styleId="CommentText">
    <w:name w:val="annotation text"/>
    <w:basedOn w:val="Normal"/>
    <w:link w:val="CommentTextChar"/>
    <w:unhideWhenUsed/>
    <w:rsid w:val="001A3992"/>
    <w:rPr>
      <w:rFonts w:ascii="Cambria" w:hAnsi="Cambria"/>
      <w:sz w:val="20"/>
      <w:szCs w:val="20"/>
    </w:rPr>
  </w:style>
  <w:style w:type="character" w:customStyle="1" w:styleId="CommentTextChar">
    <w:name w:val="Comment Text Char"/>
    <w:basedOn w:val="DefaultParagraphFont"/>
    <w:link w:val="CommentText"/>
    <w:rsid w:val="001A3992"/>
    <w:rPr>
      <w:rFonts w:ascii="Cambria" w:hAnsi="Cambria"/>
      <w:sz w:val="20"/>
      <w:szCs w:val="20"/>
    </w:rPr>
  </w:style>
  <w:style w:type="paragraph" w:styleId="FootnoteText">
    <w:name w:val="footnote text"/>
    <w:aliases w:val="wcp_Footnote"/>
    <w:basedOn w:val="Normal"/>
    <w:link w:val="FootnoteTextChar"/>
    <w:rsid w:val="00F77B7A"/>
    <w:pPr>
      <w:spacing w:before="20"/>
      <w:ind w:left="113" w:hanging="113"/>
    </w:pPr>
    <w:rPr>
      <w:sz w:val="22"/>
      <w:szCs w:val="20"/>
    </w:rPr>
  </w:style>
  <w:style w:type="character" w:customStyle="1" w:styleId="FootnoteTextChar">
    <w:name w:val="Footnote Text Char"/>
    <w:aliases w:val="wcp_Footnote Char"/>
    <w:basedOn w:val="DefaultParagraphFont"/>
    <w:link w:val="FootnoteText"/>
    <w:rsid w:val="001A3992"/>
    <w:rPr>
      <w:rFonts w:ascii="Times New Roman" w:eastAsia="MS Mincho" w:hAnsi="Times New Roman" w:cs="Times New Roman"/>
      <w:color w:val="000000"/>
      <w:szCs w:val="20"/>
      <w:lang w:val="en-US"/>
    </w:rPr>
  </w:style>
  <w:style w:type="character" w:styleId="FootnoteReference">
    <w:name w:val="footnote reference"/>
    <w:aliases w:val="wcpc_FootnoteMark"/>
    <w:rsid w:val="00F77B7A"/>
    <w:rPr>
      <w:rFonts w:ascii="Times New Roman" w:eastAsia="MS Mincho" w:hAnsi="Times New Roman"/>
      <w:color w:val="0000FF"/>
      <w:sz w:val="18"/>
      <w:vertAlign w:val="superscript"/>
    </w:rPr>
  </w:style>
  <w:style w:type="paragraph" w:styleId="ListBullet">
    <w:name w:val="List Bullet"/>
    <w:aliases w:val="wcp_ListBulleted1,List dot_point"/>
    <w:basedOn w:val="Normal"/>
    <w:rsid w:val="00F77B7A"/>
  </w:style>
  <w:style w:type="character" w:styleId="Hyperlink">
    <w:name w:val="Hyperlink"/>
    <w:uiPriority w:val="99"/>
    <w:rsid w:val="00F77B7A"/>
    <w:rPr>
      <w:color w:val="0000FF"/>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aliases w:val="wcp_Footer,Footer_Pied Page"/>
    <w:link w:val="FooterChar"/>
    <w:rsid w:val="00F77B7A"/>
    <w:pPr>
      <w:tabs>
        <w:tab w:val="right" w:pos="9469"/>
      </w:tabs>
      <w:spacing w:after="0" w:line="240" w:lineRule="auto"/>
    </w:pPr>
    <w:rPr>
      <w:rFonts w:ascii="Arial" w:eastAsia="MS Gothic" w:hAnsi="Arial" w:cs="Times New Roman"/>
      <w:sz w:val="18"/>
      <w:szCs w:val="20"/>
      <w:lang w:val="en-US"/>
    </w:rPr>
  </w:style>
  <w:style w:type="character" w:customStyle="1" w:styleId="FooterChar">
    <w:name w:val="Footer Char"/>
    <w:aliases w:val="wcp_Footer Char,Footer_Pied Page Char"/>
    <w:basedOn w:val="DefaultParagraphFont"/>
    <w:link w:val="Footer"/>
    <w:rsid w:val="001A3992"/>
    <w:rPr>
      <w:rFonts w:ascii="Arial" w:eastAsia="MS Gothic" w:hAnsi="Arial" w:cs="Times New Roman"/>
      <w:sz w:val="18"/>
      <w:szCs w:val="20"/>
      <w:lang w:val="en-US"/>
    </w:rPr>
  </w:style>
  <w:style w:type="paragraph" w:styleId="BalloonText">
    <w:name w:val="Balloon Text"/>
    <w:basedOn w:val="Normal"/>
    <w:link w:val="BalloonTextChar"/>
    <w:semiHidden/>
    <w:unhideWhenUsed/>
    <w:rsid w:val="001A3992"/>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aliases w:val="wcp_Header,Header_En tete"/>
    <w:link w:val="HeaderChar"/>
    <w:uiPriority w:val="99"/>
    <w:rsid w:val="00F77B7A"/>
    <w:pPr>
      <w:tabs>
        <w:tab w:val="left" w:pos="4536"/>
        <w:tab w:val="right" w:pos="9480"/>
      </w:tabs>
      <w:spacing w:after="0" w:line="240" w:lineRule="auto"/>
    </w:pPr>
    <w:rPr>
      <w:rFonts w:ascii="Arial" w:eastAsia="MS Gothic" w:hAnsi="Arial" w:cs="Times New Roman"/>
      <w:sz w:val="18"/>
      <w:szCs w:val="20"/>
      <w:lang w:val="en-US"/>
    </w:rPr>
  </w:style>
  <w:style w:type="character" w:customStyle="1" w:styleId="HeaderChar">
    <w:name w:val="Header Char"/>
    <w:aliases w:val="wcp_Header Char,Header_En tete Char"/>
    <w:basedOn w:val="DefaultParagraphFont"/>
    <w:link w:val="Header"/>
    <w:uiPriority w:val="99"/>
    <w:rsid w:val="00CA6CCF"/>
    <w:rPr>
      <w:rFonts w:ascii="Arial" w:eastAsia="MS Gothic" w:hAnsi="Arial" w:cs="Times New Roman"/>
      <w:sz w:val="18"/>
      <w:szCs w:val="20"/>
      <w:lang w:val="en-US"/>
    </w:rPr>
  </w:style>
  <w:style w:type="paragraph" w:customStyle="1" w:styleId="wcpTableContent">
    <w:name w:val="wcp_TableContent"/>
    <w:basedOn w:val="Normal"/>
    <w:link w:val="wcpTableContentCar"/>
    <w:rsid w:val="00C301BA"/>
    <w:pPr>
      <w:spacing w:before="40" w:after="40"/>
    </w:pPr>
    <w:rPr>
      <w:rFonts w:eastAsia="Times New Roman"/>
      <w:szCs w:val="20"/>
    </w:rPr>
  </w:style>
  <w:style w:type="paragraph" w:styleId="BodyTextIndent2">
    <w:name w:val="Body Text Indent 2"/>
    <w:basedOn w:val="Normal"/>
    <w:link w:val="BodyTextIndent2Char"/>
    <w:rsid w:val="000E1A58"/>
    <w:pPr>
      <w:ind w:left="567"/>
      <w:jc w:val="both"/>
    </w:pPr>
    <w:rPr>
      <w:rFonts w:ascii="Arial" w:eastAsia="Times New Roman" w:hAnsi="Arial"/>
      <w:szCs w:val="20"/>
      <w:lang w:val="en-GB"/>
    </w:rPr>
  </w:style>
  <w:style w:type="character" w:customStyle="1" w:styleId="BodyTextIndent2Char">
    <w:name w:val="Body Text Indent 2 Char"/>
    <w:basedOn w:val="DefaultParagraphFont"/>
    <w:link w:val="BodyTextIndent2"/>
    <w:rsid w:val="000E1A58"/>
    <w:rPr>
      <w:rFonts w:ascii="Arial" w:eastAsia="Times New Roman" w:hAnsi="Arial" w:cs="Times New Roman"/>
      <w:sz w:val="24"/>
      <w:szCs w:val="20"/>
      <w:lang w:val="en-GB"/>
    </w:rPr>
  </w:style>
  <w:style w:type="paragraph" w:styleId="BodyText">
    <w:name w:val="Body Text"/>
    <w:basedOn w:val="Normal"/>
    <w:link w:val="BodyTextChar"/>
    <w:unhideWhenUsed/>
    <w:rsid w:val="000E1A58"/>
    <w:pPr>
      <w:spacing w:after="120"/>
    </w:pPr>
  </w:style>
  <w:style w:type="character" w:customStyle="1" w:styleId="BodyTextChar">
    <w:name w:val="Body Text Char"/>
    <w:basedOn w:val="DefaultParagraphFont"/>
    <w:link w:val="BodyText"/>
    <w:uiPriority w:val="99"/>
    <w:semiHidden/>
    <w:rsid w:val="000E1A58"/>
  </w:style>
  <w:style w:type="paragraph" w:styleId="BodyText3">
    <w:name w:val="Body Text 3"/>
    <w:basedOn w:val="Normal"/>
    <w:link w:val="BodyText3Char"/>
    <w:unhideWhenUsed/>
    <w:rsid w:val="00514ED3"/>
    <w:pPr>
      <w:spacing w:after="120"/>
    </w:pPr>
    <w:rPr>
      <w:sz w:val="16"/>
      <w:szCs w:val="16"/>
    </w:rPr>
  </w:style>
  <w:style w:type="character" w:customStyle="1" w:styleId="BodyText3Char">
    <w:name w:val="Body Text 3 Char"/>
    <w:basedOn w:val="DefaultParagraphFont"/>
    <w:link w:val="BodyText3"/>
    <w:uiPriority w:val="99"/>
    <w:semiHidden/>
    <w:rsid w:val="00514ED3"/>
    <w:rPr>
      <w:sz w:val="16"/>
      <w:szCs w:val="16"/>
    </w:rPr>
  </w:style>
  <w:style w:type="paragraph" w:customStyle="1" w:styleId="Heading1NoTOC">
    <w:name w:val="Heading 1 NoTOC"/>
    <w:basedOn w:val="Heading1"/>
    <w:rsid w:val="00F77B7A"/>
    <w:pPr>
      <w:numPr>
        <w:numId w:val="0"/>
      </w:numPr>
      <w:outlineLvl w:val="9"/>
    </w:pPr>
  </w:style>
  <w:style w:type="paragraph" w:styleId="Title">
    <w:name w:val="Title"/>
    <w:aliases w:val="wcp_Title"/>
    <w:next w:val="Normal"/>
    <w:link w:val="TitleChar"/>
    <w:qFormat/>
    <w:rsid w:val="00F77B7A"/>
    <w:pPr>
      <w:keepNext/>
      <w:spacing w:before="600" w:after="480" w:line="240" w:lineRule="auto"/>
      <w:jc w:val="center"/>
      <w:outlineLvl w:val="0"/>
    </w:pPr>
    <w:rPr>
      <w:rFonts w:ascii="Arial" w:eastAsia="MS Gothic" w:hAnsi="Arial" w:cs="Arial"/>
      <w:b/>
      <w:bCs/>
      <w:caps/>
      <w:szCs w:val="32"/>
      <w:lang w:val="en-US"/>
    </w:rPr>
  </w:style>
  <w:style w:type="character" w:customStyle="1" w:styleId="TitleChar">
    <w:name w:val="Title Char"/>
    <w:aliases w:val="wcp_Title Char"/>
    <w:basedOn w:val="DefaultParagraphFont"/>
    <w:link w:val="Title"/>
    <w:rsid w:val="00C971E9"/>
    <w:rPr>
      <w:rFonts w:ascii="Arial" w:eastAsia="MS Gothic" w:hAnsi="Arial" w:cs="Arial"/>
      <w:b/>
      <w:bCs/>
      <w:caps/>
      <w:szCs w:val="32"/>
      <w:lang w:val="en-US"/>
    </w:rPr>
  </w:style>
  <w:style w:type="paragraph" w:customStyle="1" w:styleId="TitleNoToc">
    <w:name w:val="Title NoToc"/>
    <w:basedOn w:val="Title"/>
    <w:next w:val="Normal"/>
    <w:rsid w:val="00F77B7A"/>
    <w:pPr>
      <w:outlineLvl w:val="9"/>
    </w:pPr>
  </w:style>
  <w:style w:type="character" w:customStyle="1" w:styleId="InstructionsTextChar">
    <w:name w:val="Instructions Text Char"/>
    <w:link w:val="InstructionsText"/>
    <w:rsid w:val="00F77B7A"/>
    <w:rPr>
      <w:rFonts w:eastAsia="MS Mincho"/>
      <w:color w:val="000000"/>
      <w:sz w:val="24"/>
      <w:szCs w:val="24"/>
      <w:shd w:val="clear" w:color="auto" w:fill="FFCC66"/>
      <w:lang w:val="en-US"/>
    </w:rPr>
  </w:style>
  <w:style w:type="paragraph" w:customStyle="1" w:styleId="ListNumbered">
    <w:name w:val="List Numbered"/>
    <w:basedOn w:val="Normal"/>
    <w:rsid w:val="00F77B7A"/>
    <w:pPr>
      <w:numPr>
        <w:numId w:val="2"/>
      </w:numPr>
      <w:spacing w:before="120"/>
    </w:pPr>
  </w:style>
  <w:style w:type="paragraph" w:customStyle="1" w:styleId="ListBulletLevel1">
    <w:name w:val="List Bullet Level 1"/>
    <w:basedOn w:val="Normal"/>
    <w:rsid w:val="00F77B7A"/>
    <w:pPr>
      <w:numPr>
        <w:numId w:val="13"/>
      </w:numPr>
      <w:spacing w:before="120"/>
    </w:pPr>
  </w:style>
  <w:style w:type="paragraph" w:customStyle="1" w:styleId="ListAlphabeticalLevel1">
    <w:name w:val="List Alphabetical Level 1"/>
    <w:basedOn w:val="Normal"/>
    <w:rsid w:val="00F77B7A"/>
    <w:pPr>
      <w:numPr>
        <w:numId w:val="1"/>
      </w:numPr>
      <w:spacing w:before="120"/>
    </w:pPr>
  </w:style>
  <w:style w:type="paragraph" w:styleId="Bibliography">
    <w:name w:val="Bibliography"/>
    <w:basedOn w:val="Normal"/>
    <w:next w:val="Normal"/>
    <w:rsid w:val="00F77B7A"/>
    <w:pPr>
      <w:ind w:left="357" w:hanging="357"/>
    </w:pPr>
  </w:style>
  <w:style w:type="paragraph" w:customStyle="1" w:styleId="ListBulletLevel2">
    <w:name w:val="List Bullet Level 2"/>
    <w:basedOn w:val="Normal"/>
    <w:rsid w:val="00F77B7A"/>
    <w:pPr>
      <w:numPr>
        <w:numId w:val="6"/>
      </w:numPr>
      <w:spacing w:before="120"/>
    </w:pPr>
    <w:rPr>
      <w:szCs w:val="20"/>
    </w:rPr>
  </w:style>
  <w:style w:type="paragraph" w:styleId="Caption">
    <w:name w:val="caption"/>
    <w:aliases w:val="wcp_Caption"/>
    <w:next w:val="Normal"/>
    <w:qFormat/>
    <w:rsid w:val="00F77B7A"/>
    <w:pPr>
      <w:keepNext/>
      <w:spacing w:before="360" w:after="120" w:line="240" w:lineRule="auto"/>
      <w:jc w:val="center"/>
    </w:pPr>
    <w:rPr>
      <w:rFonts w:ascii="Arial" w:eastAsia="MS Gothic" w:hAnsi="Arial" w:cs="Arial"/>
      <w:b/>
      <w:bCs/>
      <w:sz w:val="20"/>
      <w:szCs w:val="20"/>
      <w:lang w:val="en-US"/>
    </w:rPr>
  </w:style>
  <w:style w:type="paragraph" w:customStyle="1" w:styleId="InstructionsText">
    <w:name w:val="Instructions Text"/>
    <w:basedOn w:val="Normal"/>
    <w:next w:val="Normal"/>
    <w:link w:val="InstructionsTextChar"/>
    <w:rsid w:val="00F77B7A"/>
    <w:pPr>
      <w:shd w:val="clear" w:color="auto" w:fill="FFCC66"/>
      <w:spacing w:before="40" w:after="40"/>
    </w:pPr>
    <w:rPr>
      <w:rFonts w:asciiTheme="minorHAnsi" w:hAnsiTheme="minorHAnsi" w:cstheme="minorBidi"/>
    </w:rPr>
  </w:style>
  <w:style w:type="paragraph" w:customStyle="1" w:styleId="Heading1NoNumbering">
    <w:name w:val="Heading 1 NoNumbering"/>
    <w:basedOn w:val="Heading1"/>
    <w:next w:val="Normal"/>
    <w:rsid w:val="00F77B7A"/>
    <w:pPr>
      <w:numPr>
        <w:numId w:val="12"/>
      </w:numPr>
    </w:pPr>
  </w:style>
  <w:style w:type="paragraph" w:customStyle="1" w:styleId="TblTextCenter">
    <w:name w:val="Tbl Text Center"/>
    <w:basedOn w:val="TblTextLeft"/>
    <w:rsid w:val="00F77B7A"/>
    <w:pPr>
      <w:jc w:val="center"/>
    </w:pPr>
  </w:style>
  <w:style w:type="paragraph" w:customStyle="1" w:styleId="TblTextLeft">
    <w:name w:val="Tbl Text Left"/>
    <w:rsid w:val="00F77B7A"/>
    <w:pPr>
      <w:spacing w:before="60" w:after="60" w:line="240" w:lineRule="auto"/>
    </w:pPr>
    <w:rPr>
      <w:rFonts w:ascii="Arial Narrow" w:eastAsia="MS Gothic" w:hAnsi="Arial Narrow" w:cs="Times New Roman"/>
      <w:sz w:val="20"/>
      <w:szCs w:val="20"/>
      <w:lang w:val="en-US"/>
    </w:rPr>
  </w:style>
  <w:style w:type="paragraph" w:customStyle="1" w:styleId="TblHeadingLeft">
    <w:name w:val="Tbl Heading Left"/>
    <w:rsid w:val="00F77B7A"/>
    <w:pPr>
      <w:spacing w:before="60" w:after="60" w:line="240" w:lineRule="auto"/>
    </w:pPr>
    <w:rPr>
      <w:rFonts w:ascii="Arial" w:eastAsia="MS Gothic" w:hAnsi="Arial" w:cs="Arial"/>
      <w:b/>
      <w:noProof/>
      <w:sz w:val="20"/>
      <w:szCs w:val="20"/>
      <w:lang w:val="de-DE"/>
    </w:rPr>
  </w:style>
  <w:style w:type="paragraph" w:customStyle="1" w:styleId="TblFigFootnote">
    <w:name w:val="Tbl Fig Footnote"/>
    <w:rsid w:val="00F77B7A"/>
    <w:pPr>
      <w:keepLines/>
      <w:adjustRightInd w:val="0"/>
      <w:snapToGrid w:val="0"/>
      <w:spacing w:before="20" w:after="20" w:line="240" w:lineRule="auto"/>
    </w:pPr>
    <w:rPr>
      <w:rFonts w:ascii="Arial Narrow" w:eastAsia="MS Gothic" w:hAnsi="Arial Narrow" w:cs="Times New Roman"/>
      <w:sz w:val="18"/>
      <w:szCs w:val="20"/>
      <w:lang w:val="en-US"/>
    </w:rPr>
  </w:style>
  <w:style w:type="paragraph" w:customStyle="1" w:styleId="TblHeadingCenter">
    <w:name w:val="Tbl Heading Center"/>
    <w:basedOn w:val="TblHeadingLeft"/>
    <w:rsid w:val="00F77B7A"/>
    <w:pPr>
      <w:jc w:val="center"/>
    </w:pPr>
  </w:style>
  <w:style w:type="paragraph" w:customStyle="1" w:styleId="HeaderLandscape">
    <w:name w:val="Header Landscape"/>
    <w:basedOn w:val="Header"/>
    <w:rsid w:val="00F77B7A"/>
    <w:pPr>
      <w:tabs>
        <w:tab w:val="clear" w:pos="4536"/>
        <w:tab w:val="clear" w:pos="9480"/>
        <w:tab w:val="left" w:pos="6804"/>
        <w:tab w:val="right" w:pos="14118"/>
      </w:tabs>
    </w:pPr>
  </w:style>
  <w:style w:type="paragraph" w:customStyle="1" w:styleId="FooterLandscape">
    <w:name w:val="Footer Landscape"/>
    <w:basedOn w:val="Footer"/>
    <w:rsid w:val="00F77B7A"/>
    <w:pPr>
      <w:tabs>
        <w:tab w:val="clear" w:pos="9469"/>
        <w:tab w:val="right" w:pos="14118"/>
      </w:tabs>
    </w:pPr>
  </w:style>
  <w:style w:type="character" w:customStyle="1" w:styleId="TblFigFootnoteReference">
    <w:name w:val="Tbl Fig Footnote Reference"/>
    <w:rsid w:val="00F77B7A"/>
    <w:rPr>
      <w:rFonts w:ascii="Arial Narrow" w:eastAsia="MS Gothic" w:hAnsi="Arial Narrow"/>
      <w:i/>
      <w:dstrike w:val="0"/>
      <w:noProof w:val="0"/>
      <w:position w:val="6"/>
      <w:sz w:val="18"/>
      <w:vertAlign w:val="baseline"/>
      <w:lang w:val="en-US"/>
    </w:rPr>
  </w:style>
  <w:style w:type="paragraph" w:customStyle="1" w:styleId="xCover">
    <w:name w:val="xCover"/>
    <w:rsid w:val="00F77B7A"/>
    <w:pPr>
      <w:spacing w:before="120" w:after="0" w:line="240" w:lineRule="auto"/>
    </w:pPr>
    <w:rPr>
      <w:rFonts w:ascii="Arial" w:eastAsia="MS Gothic" w:hAnsi="Arial" w:cs="Times New Roman"/>
      <w:sz w:val="20"/>
      <w:szCs w:val="20"/>
      <w:lang w:val="en-US"/>
    </w:rPr>
  </w:style>
  <w:style w:type="paragraph" w:customStyle="1" w:styleId="xCoverAddress">
    <w:name w:val="xCoverAddress"/>
    <w:basedOn w:val="xCover"/>
    <w:rsid w:val="00F77B7A"/>
    <w:pPr>
      <w:spacing w:before="0"/>
    </w:pPr>
  </w:style>
  <w:style w:type="paragraph" w:customStyle="1" w:styleId="xCoverDocType">
    <w:name w:val="xCoverDocType"/>
    <w:basedOn w:val="xCover"/>
    <w:rsid w:val="00F77B7A"/>
    <w:pPr>
      <w:spacing w:before="360"/>
      <w:jc w:val="center"/>
    </w:pPr>
    <w:rPr>
      <w:b/>
      <w:caps/>
      <w:sz w:val="28"/>
    </w:rPr>
  </w:style>
  <w:style w:type="paragraph" w:customStyle="1" w:styleId="xCoverDocTitle">
    <w:name w:val="xCoverDocTitle"/>
    <w:basedOn w:val="xCover"/>
    <w:rsid w:val="00F77B7A"/>
    <w:pPr>
      <w:spacing w:before="240"/>
      <w:jc w:val="center"/>
    </w:pPr>
    <w:rPr>
      <w:b/>
      <w:sz w:val="24"/>
    </w:rPr>
  </w:style>
  <w:style w:type="paragraph" w:styleId="EndnoteText">
    <w:name w:val="endnote text"/>
    <w:aliases w:val="wcp_Endnote,Ref list"/>
    <w:basedOn w:val="Normal"/>
    <w:link w:val="EndnoteTextChar"/>
    <w:semiHidden/>
    <w:rsid w:val="00F77B7A"/>
    <w:rPr>
      <w:sz w:val="22"/>
      <w:szCs w:val="20"/>
    </w:rPr>
  </w:style>
  <w:style w:type="character" w:customStyle="1" w:styleId="EndnoteTextChar">
    <w:name w:val="Endnote Text Char"/>
    <w:aliases w:val="wcp_Endnote Char,Ref list Char"/>
    <w:basedOn w:val="DefaultParagraphFont"/>
    <w:link w:val="EndnoteText"/>
    <w:semiHidden/>
    <w:rsid w:val="00C971E9"/>
    <w:rPr>
      <w:rFonts w:ascii="Times New Roman" w:eastAsia="MS Mincho" w:hAnsi="Times New Roman" w:cs="Times New Roman"/>
      <w:color w:val="000000"/>
      <w:szCs w:val="20"/>
      <w:lang w:val="en-US"/>
    </w:rPr>
  </w:style>
  <w:style w:type="character" w:styleId="EndnoteReference">
    <w:name w:val="endnote reference"/>
    <w:aliases w:val="wcpc_EndnoteMark,Ref CAll_Appel Ref"/>
    <w:semiHidden/>
    <w:rsid w:val="00F77B7A"/>
    <w:rPr>
      <w:vertAlign w:val="superscript"/>
    </w:rPr>
  </w:style>
  <w:style w:type="paragraph" w:styleId="MacroText">
    <w:name w:val="macro"/>
    <w:link w:val="MacroTextChar"/>
    <w:semiHidden/>
    <w:rsid w:val="00F77B7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US"/>
    </w:rPr>
  </w:style>
  <w:style w:type="character" w:customStyle="1" w:styleId="MacroTextChar">
    <w:name w:val="Macro Text Char"/>
    <w:basedOn w:val="DefaultParagraphFont"/>
    <w:link w:val="MacroText"/>
    <w:semiHidden/>
    <w:rsid w:val="00C971E9"/>
    <w:rPr>
      <w:rFonts w:ascii="Courier New" w:eastAsia="Times New Roman" w:hAnsi="Courier New" w:cs="Times New Roman"/>
      <w:sz w:val="20"/>
      <w:szCs w:val="20"/>
      <w:lang w:val="en-US"/>
    </w:rPr>
  </w:style>
  <w:style w:type="paragraph" w:styleId="TableofFigures">
    <w:name w:val="table of figures"/>
    <w:aliases w:val="wcp_TOF"/>
    <w:next w:val="Normal"/>
    <w:uiPriority w:val="99"/>
    <w:rsid w:val="00F77B7A"/>
    <w:pPr>
      <w:tabs>
        <w:tab w:val="right" w:leader="dot" w:pos="9468"/>
      </w:tabs>
      <w:spacing w:before="120" w:after="0" w:line="240" w:lineRule="auto"/>
    </w:pPr>
    <w:rPr>
      <w:rFonts w:ascii="Arial" w:eastAsia="Times New Roman" w:hAnsi="Arial" w:cs="Times New Roman"/>
      <w:sz w:val="20"/>
      <w:szCs w:val="20"/>
      <w:lang w:val="en-US"/>
    </w:rPr>
  </w:style>
  <w:style w:type="paragraph" w:styleId="TableofAuthorities">
    <w:name w:val="table of authorities"/>
    <w:basedOn w:val="Normal"/>
    <w:next w:val="Normal"/>
    <w:semiHidden/>
    <w:rsid w:val="00F77B7A"/>
    <w:pPr>
      <w:ind w:left="240" w:hanging="240"/>
    </w:pPr>
  </w:style>
  <w:style w:type="character" w:customStyle="1" w:styleId="ReplaceText">
    <w:name w:val="Replace Text"/>
    <w:rsid w:val="00F77B7A"/>
    <w:rPr>
      <w:color w:val="FF00FF"/>
    </w:rPr>
  </w:style>
  <w:style w:type="paragraph" w:styleId="TOC1">
    <w:name w:val="toc 1"/>
    <w:aliases w:val="wcp_TOC1"/>
    <w:next w:val="Normal"/>
    <w:uiPriority w:val="39"/>
    <w:rsid w:val="00F77B7A"/>
    <w:pPr>
      <w:tabs>
        <w:tab w:val="right" w:leader="dot" w:pos="9468"/>
      </w:tabs>
      <w:spacing w:before="240" w:after="0" w:line="240" w:lineRule="auto"/>
      <w:ind w:left="851" w:right="567" w:hanging="851"/>
    </w:pPr>
    <w:rPr>
      <w:rFonts w:ascii="Arial" w:eastAsia="Times New Roman" w:hAnsi="Arial" w:cs="Times New Roman"/>
      <w:b/>
      <w:caps/>
      <w:sz w:val="20"/>
      <w:szCs w:val="20"/>
      <w:lang w:val="en-US"/>
    </w:rPr>
  </w:style>
  <w:style w:type="paragraph" w:customStyle="1" w:styleId="ListAlphabeticalLevel2">
    <w:name w:val="List Alphabetical Level 2"/>
    <w:basedOn w:val="ListNumbered"/>
    <w:rsid w:val="00F77B7A"/>
    <w:pPr>
      <w:numPr>
        <w:numId w:val="3"/>
      </w:numPr>
    </w:pPr>
  </w:style>
  <w:style w:type="paragraph" w:styleId="Index1">
    <w:name w:val="index 1"/>
    <w:basedOn w:val="Normal"/>
    <w:next w:val="Normal"/>
    <w:semiHidden/>
    <w:rsid w:val="00F77B7A"/>
    <w:pPr>
      <w:tabs>
        <w:tab w:val="left" w:pos="1701"/>
        <w:tab w:val="left" w:pos="3402"/>
        <w:tab w:val="left" w:pos="5103"/>
      </w:tabs>
      <w:spacing w:before="0"/>
      <w:ind w:left="1701" w:hanging="1701"/>
    </w:pPr>
  </w:style>
  <w:style w:type="paragraph" w:styleId="TOAHeading">
    <w:name w:val="toa heading"/>
    <w:basedOn w:val="Normal"/>
    <w:next w:val="Normal"/>
    <w:semiHidden/>
    <w:rsid w:val="00F77B7A"/>
    <w:pPr>
      <w:spacing w:before="120"/>
    </w:pPr>
    <w:rPr>
      <w:rFonts w:ascii="Arial" w:hAnsi="Arial" w:cs="Arial"/>
      <w:b/>
      <w:bCs/>
    </w:rPr>
  </w:style>
  <w:style w:type="character" w:customStyle="1" w:styleId="Reference">
    <w:name w:val="Reference"/>
    <w:rsid w:val="00F77B7A"/>
    <w:rPr>
      <w:color w:val="0000FF"/>
    </w:rPr>
  </w:style>
  <w:style w:type="paragraph" w:customStyle="1" w:styleId="TblTextbulletedlist">
    <w:name w:val="Tbl Text bulleted list"/>
    <w:basedOn w:val="TblTextLeft"/>
    <w:rsid w:val="00F77B7A"/>
    <w:pPr>
      <w:numPr>
        <w:numId w:val="7"/>
      </w:numPr>
      <w:tabs>
        <w:tab w:val="left" w:pos="216"/>
      </w:tabs>
      <w:spacing w:before="0" w:after="0"/>
      <w:ind w:left="216" w:hanging="216"/>
    </w:pPr>
  </w:style>
  <w:style w:type="paragraph" w:styleId="TOC2">
    <w:name w:val="toc 2"/>
    <w:aliases w:val="wcp_TOC2"/>
    <w:basedOn w:val="TOC1"/>
    <w:next w:val="Normal"/>
    <w:uiPriority w:val="39"/>
    <w:rsid w:val="00F77B7A"/>
    <w:rPr>
      <w:b w:val="0"/>
    </w:rPr>
  </w:style>
  <w:style w:type="character" w:styleId="PageNumber">
    <w:name w:val="page number"/>
    <w:basedOn w:val="DefaultParagraphFont"/>
    <w:rsid w:val="00F77B7A"/>
  </w:style>
  <w:style w:type="paragraph" w:styleId="TOC3">
    <w:name w:val="toc 3"/>
    <w:aliases w:val="wcp_TOC3"/>
    <w:basedOn w:val="TOC1"/>
    <w:next w:val="Normal"/>
    <w:uiPriority w:val="39"/>
    <w:rsid w:val="00F77B7A"/>
    <w:pPr>
      <w:spacing w:before="120"/>
    </w:pPr>
    <w:rPr>
      <w:b w:val="0"/>
      <w:caps w:val="0"/>
    </w:rPr>
  </w:style>
  <w:style w:type="paragraph" w:styleId="TOC4">
    <w:name w:val="toc 4"/>
    <w:aliases w:val="wcp_TOC4"/>
    <w:basedOn w:val="TOC1"/>
    <w:next w:val="Normal"/>
    <w:uiPriority w:val="39"/>
    <w:rsid w:val="00F77B7A"/>
    <w:pPr>
      <w:spacing w:before="40"/>
    </w:pPr>
    <w:rPr>
      <w:b w:val="0"/>
      <w:caps w:val="0"/>
      <w:szCs w:val="22"/>
    </w:rPr>
  </w:style>
  <w:style w:type="paragraph" w:styleId="TOC5">
    <w:name w:val="toc 5"/>
    <w:aliases w:val="wcp_TOC5"/>
    <w:basedOn w:val="TOC1"/>
    <w:next w:val="Normal"/>
    <w:semiHidden/>
    <w:rsid w:val="00F77B7A"/>
    <w:pPr>
      <w:spacing w:before="0"/>
    </w:pPr>
    <w:rPr>
      <w:b w:val="0"/>
      <w:caps w:val="0"/>
    </w:rPr>
  </w:style>
  <w:style w:type="paragraph" w:styleId="TOC6">
    <w:name w:val="toc 6"/>
    <w:aliases w:val="wcp_TOC6"/>
    <w:basedOn w:val="TOC1"/>
    <w:next w:val="Normal"/>
    <w:semiHidden/>
    <w:rsid w:val="00F77B7A"/>
    <w:pPr>
      <w:spacing w:before="0"/>
    </w:pPr>
    <w:rPr>
      <w:b w:val="0"/>
      <w:caps w:val="0"/>
    </w:rPr>
  </w:style>
  <w:style w:type="paragraph" w:styleId="TOC7">
    <w:name w:val="toc 7"/>
    <w:aliases w:val="wcp_TOC7"/>
    <w:basedOn w:val="TOC6"/>
    <w:next w:val="Normal"/>
    <w:semiHidden/>
    <w:rsid w:val="00F77B7A"/>
  </w:style>
  <w:style w:type="paragraph" w:styleId="TOC8">
    <w:name w:val="toc 8"/>
    <w:aliases w:val="wcp_TOC8,wcp_TOC"/>
    <w:basedOn w:val="TOC6"/>
    <w:next w:val="Normal"/>
    <w:semiHidden/>
    <w:rsid w:val="00F77B7A"/>
  </w:style>
  <w:style w:type="paragraph" w:styleId="TOC9">
    <w:name w:val="toc 9"/>
    <w:aliases w:val="wcp_TOC9,TOC9_TM9"/>
    <w:basedOn w:val="TOC6"/>
    <w:next w:val="Normal"/>
    <w:semiHidden/>
    <w:rsid w:val="00F77B7A"/>
  </w:style>
  <w:style w:type="character" w:customStyle="1" w:styleId="TblFigFootnoteChar">
    <w:name w:val="Tbl Fig Footnote Char"/>
    <w:rsid w:val="00F77B7A"/>
    <w:rPr>
      <w:rFonts w:ascii="Arial Narrow" w:eastAsia="MS Gothic" w:hAnsi="Arial Narrow"/>
      <w:sz w:val="18"/>
      <w:lang w:val="en-US" w:eastAsia="en-US" w:bidi="ar-SA"/>
    </w:rPr>
  </w:style>
  <w:style w:type="character" w:styleId="FollowedHyperlink">
    <w:name w:val="FollowedHyperlink"/>
    <w:rsid w:val="00F77B7A"/>
    <w:rPr>
      <w:color w:val="800080"/>
      <w:u w:val="single"/>
    </w:rPr>
  </w:style>
  <w:style w:type="paragraph" w:styleId="BodyText2">
    <w:name w:val="Body Text 2"/>
    <w:basedOn w:val="Normal"/>
    <w:link w:val="BodyText2Char"/>
    <w:unhideWhenUsed/>
    <w:rsid w:val="00BC364A"/>
    <w:pPr>
      <w:spacing w:after="120" w:line="480" w:lineRule="auto"/>
    </w:pPr>
  </w:style>
  <w:style w:type="character" w:customStyle="1" w:styleId="BodyText2Char">
    <w:name w:val="Body Text 2 Char"/>
    <w:basedOn w:val="DefaultParagraphFont"/>
    <w:link w:val="BodyText2"/>
    <w:uiPriority w:val="99"/>
    <w:rsid w:val="00BC364A"/>
    <w:rPr>
      <w:rFonts w:ascii="Times New Roman" w:eastAsia="MS Mincho" w:hAnsi="Times New Roman" w:cs="Times New Roman"/>
      <w:color w:val="000000"/>
      <w:sz w:val="24"/>
      <w:szCs w:val="24"/>
      <w:lang w:val="en-US"/>
    </w:rPr>
  </w:style>
  <w:style w:type="paragraph" w:customStyle="1" w:styleId="wcpTableColHeader">
    <w:name w:val="wcp_TableColHeader"/>
    <w:basedOn w:val="Normal"/>
    <w:rsid w:val="000911AA"/>
    <w:pPr>
      <w:keepNext/>
      <w:spacing w:before="120" w:after="120"/>
      <w:jc w:val="center"/>
    </w:pPr>
    <w:rPr>
      <w:rFonts w:eastAsia="Times New Roman"/>
      <w:b/>
      <w:color w:val="auto"/>
      <w:sz w:val="22"/>
      <w:szCs w:val="20"/>
    </w:rPr>
  </w:style>
  <w:style w:type="character" w:customStyle="1" w:styleId="apple-converted-space">
    <w:name w:val="apple-converted-space"/>
    <w:basedOn w:val="DefaultParagraphFont"/>
    <w:rsid w:val="00CA73C2"/>
  </w:style>
  <w:style w:type="paragraph" w:customStyle="1" w:styleId="wcpBibliographicReference">
    <w:name w:val="wcp_BibliographicReference"/>
    <w:basedOn w:val="Normal"/>
    <w:rsid w:val="00A76630"/>
    <w:pPr>
      <w:spacing w:before="60"/>
      <w:ind w:left="567" w:hanging="567"/>
    </w:pPr>
    <w:rPr>
      <w:rFonts w:eastAsia="Times New Roman"/>
      <w:color w:val="auto"/>
      <w:szCs w:val="20"/>
    </w:rPr>
  </w:style>
  <w:style w:type="character" w:customStyle="1" w:styleId="wcpchyperlink">
    <w:name w:val="wcpc_hyperlink"/>
    <w:rsid w:val="00A76630"/>
    <w:rPr>
      <w:rFonts w:ascii="Times New Roman" w:hAnsi="Times New Roman" w:cs="Times New Roman"/>
      <w:color w:val="0000FF"/>
      <w:sz w:val="24"/>
      <w:bdr w:val="none" w:sz="0" w:space="0" w:color="auto"/>
      <w:shd w:val="clear" w:color="auto" w:fill="auto"/>
      <w:lang w:val="fr-FR"/>
    </w:rPr>
  </w:style>
  <w:style w:type="paragraph" w:styleId="ListNumber">
    <w:name w:val="List Number"/>
    <w:aliases w:val="wcp_ListNumbered1,List 1"/>
    <w:basedOn w:val="Normal"/>
    <w:rsid w:val="00F66A13"/>
    <w:pPr>
      <w:numPr>
        <w:numId w:val="15"/>
      </w:numPr>
      <w:spacing w:before="120"/>
    </w:pPr>
    <w:rPr>
      <w:rFonts w:eastAsia="Times New Roman"/>
      <w:color w:val="auto"/>
      <w:szCs w:val="20"/>
    </w:rPr>
  </w:style>
  <w:style w:type="paragraph" w:styleId="ListNumber2">
    <w:name w:val="List Number 2"/>
    <w:aliases w:val="wcp_ListNumbered2"/>
    <w:basedOn w:val="ListNumber"/>
    <w:rsid w:val="00F66A13"/>
    <w:pPr>
      <w:numPr>
        <w:numId w:val="16"/>
      </w:numPr>
      <w:tabs>
        <w:tab w:val="clear" w:pos="643"/>
        <w:tab w:val="num" w:pos="851"/>
      </w:tabs>
      <w:spacing w:before="60"/>
      <w:ind w:left="851" w:hanging="426"/>
    </w:pPr>
  </w:style>
  <w:style w:type="paragraph" w:customStyle="1" w:styleId="wcpTableRowHeader">
    <w:name w:val="wcp_TableRowHeader"/>
    <w:basedOn w:val="Normal"/>
    <w:rsid w:val="00F66A13"/>
    <w:pPr>
      <w:spacing w:before="40" w:after="40"/>
    </w:pPr>
    <w:rPr>
      <w:rFonts w:eastAsia="Times New Roman"/>
      <w:b/>
      <w:color w:val="auto"/>
      <w:sz w:val="22"/>
      <w:szCs w:val="20"/>
    </w:rPr>
  </w:style>
  <w:style w:type="paragraph" w:customStyle="1" w:styleId="wcpTablenote">
    <w:name w:val="wcp_Tablenote"/>
    <w:basedOn w:val="FootnoteText"/>
    <w:rsid w:val="00F66A13"/>
    <w:pPr>
      <w:spacing w:before="60"/>
      <w:ind w:left="850" w:hanging="850"/>
    </w:pPr>
    <w:rPr>
      <w:rFonts w:eastAsia="Times New Roman"/>
      <w:color w:val="auto"/>
      <w:sz w:val="20"/>
    </w:rPr>
  </w:style>
  <w:style w:type="paragraph" w:customStyle="1" w:styleId="wcpTableContentSmall">
    <w:name w:val="wcp_TableContentSmall"/>
    <w:basedOn w:val="wcpTableContent"/>
    <w:link w:val="wcpTableContentSmallCar"/>
    <w:rsid w:val="00F66A13"/>
    <w:rPr>
      <w:color w:val="auto"/>
      <w:sz w:val="18"/>
    </w:rPr>
  </w:style>
  <w:style w:type="character" w:customStyle="1" w:styleId="wcpTableContentCar">
    <w:name w:val="wcp_TableContent Car"/>
    <w:link w:val="wcpTableContent"/>
    <w:rsid w:val="00F66A13"/>
    <w:rPr>
      <w:rFonts w:ascii="Times New Roman" w:eastAsia="Times New Roman" w:hAnsi="Times New Roman" w:cs="Times New Roman"/>
      <w:color w:val="000000"/>
      <w:sz w:val="24"/>
      <w:szCs w:val="20"/>
      <w:lang w:val="en-US"/>
    </w:rPr>
  </w:style>
  <w:style w:type="character" w:customStyle="1" w:styleId="wcpTableContentSmallCar">
    <w:name w:val="wcp_TableContentSmall Car"/>
    <w:link w:val="wcpTableContentSmall"/>
    <w:locked/>
    <w:rsid w:val="00F66A13"/>
    <w:rPr>
      <w:rFonts w:ascii="Times New Roman" w:eastAsia="Times New Roman" w:hAnsi="Times New Roman" w:cs="Times New Roman"/>
      <w:sz w:val="18"/>
      <w:szCs w:val="20"/>
      <w:lang w:val="en-US"/>
    </w:rPr>
  </w:style>
  <w:style w:type="paragraph" w:styleId="ListNumber3">
    <w:name w:val="List Number 3"/>
    <w:aliases w:val="wcp_ListNumbered3"/>
    <w:basedOn w:val="Normal"/>
    <w:unhideWhenUsed/>
    <w:rsid w:val="00F66A13"/>
    <w:pPr>
      <w:numPr>
        <w:numId w:val="17"/>
      </w:numPr>
      <w:contextualSpacing/>
    </w:pPr>
  </w:style>
  <w:style w:type="paragraph" w:customStyle="1" w:styleId="wcpListSubText1">
    <w:name w:val="wcp_ListSubText1"/>
    <w:basedOn w:val="Normal"/>
    <w:rsid w:val="00F66A13"/>
    <w:pPr>
      <w:spacing w:before="120"/>
      <w:ind w:left="425"/>
    </w:pPr>
    <w:rPr>
      <w:rFonts w:eastAsia="Times New Roman"/>
      <w:color w:val="auto"/>
      <w:szCs w:val="20"/>
    </w:rPr>
  </w:style>
  <w:style w:type="paragraph" w:customStyle="1" w:styleId="wcpListSubText2">
    <w:name w:val="wcp_ListSubText2"/>
    <w:basedOn w:val="wcpListSubText1"/>
    <w:rsid w:val="00F66A13"/>
    <w:pPr>
      <w:ind w:left="851"/>
    </w:pPr>
  </w:style>
  <w:style w:type="paragraph" w:customStyle="1" w:styleId="wcpSubHeading">
    <w:name w:val="wcp_SubHeading"/>
    <w:basedOn w:val="Normal"/>
    <w:next w:val="Normal"/>
    <w:rsid w:val="00F66A13"/>
    <w:pPr>
      <w:keepNext/>
      <w:spacing w:before="120"/>
    </w:pPr>
    <w:rPr>
      <w:rFonts w:eastAsia="Times New Roman"/>
      <w:b/>
      <w:i/>
      <w:color w:val="auto"/>
      <w:szCs w:val="20"/>
    </w:rPr>
  </w:style>
  <w:style w:type="paragraph" w:styleId="CommentSubject">
    <w:name w:val="annotation subject"/>
    <w:basedOn w:val="CommentText"/>
    <w:next w:val="CommentText"/>
    <w:link w:val="CommentSubjectChar"/>
    <w:semiHidden/>
    <w:rsid w:val="00822661"/>
    <w:pPr>
      <w:spacing w:before="120"/>
    </w:pPr>
    <w:rPr>
      <w:rFonts w:ascii="Times New Roman" w:eastAsia="Times New Roman" w:hAnsi="Times New Roman"/>
      <w:b/>
      <w:bCs/>
      <w:color w:val="auto"/>
    </w:rPr>
  </w:style>
  <w:style w:type="character" w:customStyle="1" w:styleId="CommentSubjectChar">
    <w:name w:val="Comment Subject Char"/>
    <w:basedOn w:val="CommentTextChar"/>
    <w:link w:val="CommentSubject"/>
    <w:semiHidden/>
    <w:rsid w:val="00822661"/>
    <w:rPr>
      <w:rFonts w:ascii="Times New Roman" w:eastAsia="Times New Roman" w:hAnsi="Times New Roman" w:cs="Times New Roman"/>
      <w:b/>
      <w:bCs/>
      <w:sz w:val="20"/>
      <w:szCs w:val="20"/>
      <w:lang w:val="en-US"/>
    </w:rPr>
  </w:style>
  <w:style w:type="paragraph" w:customStyle="1" w:styleId="wcpData">
    <w:name w:val="wcp_Data"/>
    <w:basedOn w:val="wcpTableContent"/>
    <w:rsid w:val="00822661"/>
    <w:rPr>
      <w:rFonts w:ascii="Courier New" w:hAnsi="Courier New"/>
      <w:color w:val="auto"/>
      <w:sz w:val="20"/>
    </w:rPr>
  </w:style>
  <w:style w:type="paragraph" w:customStyle="1" w:styleId="wcpEquation">
    <w:name w:val="wcp_Equation"/>
    <w:basedOn w:val="Normal"/>
    <w:next w:val="Normal"/>
    <w:rsid w:val="00822661"/>
    <w:pPr>
      <w:spacing w:before="120"/>
    </w:pPr>
    <w:rPr>
      <w:rFonts w:eastAsia="Times New Roman"/>
      <w:color w:val="auto"/>
      <w:szCs w:val="20"/>
    </w:rPr>
  </w:style>
  <w:style w:type="paragraph" w:customStyle="1" w:styleId="wcpHiddenText">
    <w:name w:val="wcp_HiddenText"/>
    <w:basedOn w:val="Normal"/>
    <w:next w:val="Normal"/>
    <w:rsid w:val="00822661"/>
    <w:pPr>
      <w:spacing w:before="120"/>
    </w:pPr>
    <w:rPr>
      <w:rFonts w:eastAsia="Times New Roman"/>
      <w:i/>
      <w:vanish/>
      <w:color w:val="0000FF"/>
      <w:szCs w:val="20"/>
    </w:rPr>
  </w:style>
  <w:style w:type="paragraph" w:customStyle="1" w:styleId="wcpDottedLeaders">
    <w:name w:val="wcp_DottedLeaders"/>
    <w:basedOn w:val="Normal"/>
    <w:rsid w:val="00822661"/>
    <w:pPr>
      <w:tabs>
        <w:tab w:val="left" w:leader="dot" w:pos="6379"/>
        <w:tab w:val="decimal" w:pos="7371"/>
        <w:tab w:val="left" w:pos="7938"/>
      </w:tabs>
      <w:spacing w:before="120"/>
    </w:pPr>
    <w:rPr>
      <w:rFonts w:eastAsia="Times New Roman"/>
      <w:color w:val="auto"/>
      <w:szCs w:val="20"/>
    </w:rPr>
  </w:style>
  <w:style w:type="paragraph" w:customStyle="1" w:styleId="wcpListSubText3">
    <w:name w:val="wcp_ListSubText3"/>
    <w:basedOn w:val="wcpListSubText2"/>
    <w:rsid w:val="00822661"/>
    <w:pPr>
      <w:ind w:left="1276"/>
    </w:pPr>
  </w:style>
  <w:style w:type="paragraph" w:customStyle="1" w:styleId="wcpAbbreviation">
    <w:name w:val="wcp_Abbreviation"/>
    <w:basedOn w:val="Normal"/>
    <w:rsid w:val="00822661"/>
    <w:pPr>
      <w:spacing w:before="120"/>
      <w:ind w:left="1418" w:hanging="1418"/>
    </w:pPr>
    <w:rPr>
      <w:rFonts w:eastAsia="Times New Roman"/>
      <w:color w:val="auto"/>
      <w:szCs w:val="20"/>
    </w:rPr>
  </w:style>
  <w:style w:type="paragraph" w:styleId="ListBullet2">
    <w:name w:val="List Bullet 2"/>
    <w:aliases w:val="wcp_ListBulleted2,List dot_point 2"/>
    <w:basedOn w:val="ListBullet"/>
    <w:rsid w:val="00822661"/>
    <w:pPr>
      <w:numPr>
        <w:numId w:val="20"/>
      </w:numPr>
      <w:tabs>
        <w:tab w:val="left" w:pos="425"/>
        <w:tab w:val="left" w:pos="851"/>
      </w:tabs>
      <w:spacing w:before="60"/>
    </w:pPr>
    <w:rPr>
      <w:rFonts w:eastAsia="Times New Roman"/>
      <w:color w:val="auto"/>
      <w:szCs w:val="20"/>
    </w:rPr>
  </w:style>
  <w:style w:type="paragraph" w:styleId="ListBullet3">
    <w:name w:val="List Bullet 3"/>
    <w:aliases w:val="wcp_ListBulleted3,List dot_point 3"/>
    <w:basedOn w:val="ListBullet2"/>
    <w:rsid w:val="00822661"/>
    <w:pPr>
      <w:numPr>
        <w:numId w:val="21"/>
      </w:numPr>
      <w:tabs>
        <w:tab w:val="clear" w:pos="851"/>
      </w:tabs>
      <w:spacing w:before="0"/>
    </w:pPr>
  </w:style>
  <w:style w:type="paragraph" w:customStyle="1" w:styleId="wcpSubTitle">
    <w:name w:val="wcp_SubTitle"/>
    <w:basedOn w:val="Title"/>
    <w:next w:val="Normal"/>
    <w:rsid w:val="00822661"/>
    <w:pPr>
      <w:spacing w:before="0"/>
      <w:outlineLvl w:val="9"/>
    </w:pPr>
    <w:rPr>
      <w:rFonts w:ascii="Times New Roman" w:eastAsia="Times New Roman" w:hAnsi="Times New Roman" w:cs="Times New Roman"/>
      <w:bCs w:val="0"/>
      <w:caps w:val="0"/>
      <w:sz w:val="30"/>
      <w:szCs w:val="20"/>
    </w:rPr>
  </w:style>
  <w:style w:type="paragraph" w:customStyle="1" w:styleId="wcpObject">
    <w:name w:val="wcp_Object"/>
    <w:basedOn w:val="Normal"/>
    <w:next w:val="Normal"/>
    <w:rsid w:val="00822661"/>
    <w:pPr>
      <w:spacing w:before="120"/>
    </w:pPr>
    <w:rPr>
      <w:rFonts w:eastAsia="Times New Roman"/>
      <w:color w:val="auto"/>
      <w:szCs w:val="20"/>
    </w:rPr>
  </w:style>
  <w:style w:type="paragraph" w:customStyle="1" w:styleId="wcpQuote">
    <w:name w:val="wcp_Quote"/>
    <w:basedOn w:val="Normal"/>
    <w:next w:val="Normal"/>
    <w:rsid w:val="00822661"/>
    <w:pPr>
      <w:spacing w:before="120"/>
    </w:pPr>
    <w:rPr>
      <w:rFonts w:eastAsia="Times New Roman"/>
      <w:color w:val="auto"/>
      <w:szCs w:val="20"/>
    </w:rPr>
  </w:style>
  <w:style w:type="paragraph" w:styleId="Signature">
    <w:name w:val="Signature"/>
    <w:aliases w:val="wcp_HandwrittenSignature"/>
    <w:basedOn w:val="Normal"/>
    <w:next w:val="Normal"/>
    <w:link w:val="SignatureChar"/>
    <w:rsid w:val="00822661"/>
    <w:pPr>
      <w:framePr w:hSpace="142" w:vSpace="142" w:wrap="notBeside" w:vAnchor="text" w:hAnchor="text" w:y="1" w:anchorLock="1"/>
      <w:spacing w:before="120"/>
      <w:ind w:left="4252"/>
    </w:pPr>
    <w:rPr>
      <w:rFonts w:eastAsia="Times New Roman"/>
      <w:color w:val="auto"/>
      <w:szCs w:val="20"/>
    </w:rPr>
  </w:style>
  <w:style w:type="character" w:customStyle="1" w:styleId="SignatureChar">
    <w:name w:val="Signature Char"/>
    <w:aliases w:val="wcp_HandwrittenSignature Char"/>
    <w:basedOn w:val="DefaultParagraphFont"/>
    <w:link w:val="Signature"/>
    <w:rsid w:val="00822661"/>
    <w:rPr>
      <w:rFonts w:ascii="Times New Roman" w:eastAsia="Times New Roman" w:hAnsi="Times New Roman" w:cs="Times New Roman"/>
      <w:sz w:val="24"/>
      <w:szCs w:val="20"/>
      <w:lang w:val="en-US"/>
    </w:rPr>
  </w:style>
  <w:style w:type="character" w:customStyle="1" w:styleId="wcpcTablenoteMark">
    <w:name w:val="wcpc_TablenoteMark"/>
    <w:rsid w:val="00822661"/>
    <w:rPr>
      <w:rFonts w:ascii="Times New Roman" w:hAnsi="Times New Roman"/>
      <w:color w:val="auto"/>
      <w:spacing w:val="0"/>
      <w:w w:val="100"/>
      <w:kern w:val="0"/>
      <w:position w:val="0"/>
      <w:sz w:val="22"/>
      <w:u w:val="none"/>
      <w:effect w:val="none"/>
      <w:vertAlign w:val="superscript"/>
    </w:rPr>
  </w:style>
  <w:style w:type="paragraph" w:customStyle="1" w:styleId="wcpTOA">
    <w:name w:val="wcp_TOA"/>
    <w:basedOn w:val="Normal"/>
    <w:next w:val="Normal"/>
    <w:rsid w:val="00822661"/>
    <w:pPr>
      <w:spacing w:before="120"/>
    </w:pPr>
    <w:rPr>
      <w:rFonts w:eastAsia="Times New Roman"/>
      <w:color w:val="auto"/>
      <w:szCs w:val="20"/>
    </w:rPr>
  </w:style>
  <w:style w:type="character" w:customStyle="1" w:styleId="wcpWisdomInternal">
    <w:name w:val="wcp_WisdomInternal"/>
    <w:rsid w:val="00822661"/>
    <w:rPr>
      <w:rFonts w:ascii="Times New Roman" w:hAnsi="Times New Roman"/>
      <w:noProof/>
      <w:vanish/>
      <w:color w:val="800000"/>
      <w:sz w:val="16"/>
      <w:effect w:val="none"/>
      <w:bdr w:val="none" w:sz="0" w:space="0" w:color="auto"/>
      <w:vertAlign w:val="baseline"/>
    </w:rPr>
  </w:style>
  <w:style w:type="paragraph" w:styleId="Revision">
    <w:name w:val="Revision"/>
    <w:hidden/>
    <w:uiPriority w:val="99"/>
    <w:semiHidden/>
    <w:rsid w:val="00822661"/>
    <w:pPr>
      <w:spacing w:after="0" w:line="240" w:lineRule="auto"/>
    </w:pPr>
    <w:rPr>
      <w:rFonts w:ascii="Times New Roman" w:eastAsia="Times New Roman" w:hAnsi="Times New Roman" w:cs="Times New Roman"/>
      <w:sz w:val="24"/>
      <w:szCs w:val="20"/>
      <w:lang w:val="en-US"/>
    </w:rPr>
  </w:style>
  <w:style w:type="paragraph" w:customStyle="1" w:styleId="cliListing6">
    <w:name w:val="cli_Listing6"/>
    <w:basedOn w:val="wcpData"/>
    <w:rsid w:val="00822661"/>
    <w:pPr>
      <w:spacing w:before="0" w:after="0"/>
    </w:pPr>
    <w:rPr>
      <w:sz w:val="12"/>
    </w:rPr>
  </w:style>
  <w:style w:type="paragraph" w:customStyle="1" w:styleId="cliListing8">
    <w:name w:val="cli_Listing8"/>
    <w:basedOn w:val="wcpData"/>
    <w:rsid w:val="00822661"/>
    <w:pPr>
      <w:spacing w:before="0" w:after="0"/>
    </w:pPr>
    <w:rPr>
      <w:sz w:val="16"/>
    </w:rPr>
  </w:style>
  <w:style w:type="paragraph" w:customStyle="1" w:styleId="cliRTF10">
    <w:name w:val="cli_RTF10"/>
    <w:basedOn w:val="Normal"/>
    <w:rsid w:val="00822661"/>
    <w:pPr>
      <w:spacing w:before="0"/>
    </w:pPr>
    <w:rPr>
      <w:rFonts w:eastAsia="Times New Roman"/>
      <w:color w:val="auto"/>
      <w:sz w:val="20"/>
      <w:szCs w:val="20"/>
    </w:rPr>
  </w:style>
  <w:style w:type="paragraph" w:customStyle="1" w:styleId="cliRTF8">
    <w:name w:val="cli_RTF8"/>
    <w:basedOn w:val="Normal"/>
    <w:rsid w:val="00822661"/>
    <w:pPr>
      <w:spacing w:before="0"/>
    </w:pPr>
    <w:rPr>
      <w:rFonts w:eastAsia="Times New Roman"/>
      <w:color w:val="auto"/>
      <w:sz w:val="16"/>
      <w:szCs w:val="20"/>
    </w:rPr>
  </w:style>
  <w:style w:type="paragraph" w:customStyle="1" w:styleId="cliStatRef">
    <w:name w:val="cli_StatRef"/>
    <w:basedOn w:val="wcpData"/>
    <w:next w:val="Normal"/>
    <w:rsid w:val="00822661"/>
    <w:pPr>
      <w:spacing w:before="120" w:after="0"/>
    </w:pPr>
    <w:rPr>
      <w:sz w:val="12"/>
    </w:rPr>
  </w:style>
  <w:style w:type="paragraph" w:customStyle="1" w:styleId="wcpAnnotation">
    <w:name w:val="wcp_Annotation"/>
    <w:basedOn w:val="Normal"/>
    <w:rsid w:val="00822661"/>
    <w:pPr>
      <w:spacing w:before="120"/>
    </w:pPr>
    <w:rPr>
      <w:rFonts w:eastAsia="Times New Roman"/>
      <w:color w:val="auto"/>
      <w:szCs w:val="20"/>
    </w:rPr>
  </w:style>
  <w:style w:type="paragraph" w:styleId="ListNumber4">
    <w:name w:val="List Number 4"/>
    <w:aliases w:val="List 41"/>
    <w:basedOn w:val="Normal"/>
    <w:rsid w:val="00822661"/>
    <w:pPr>
      <w:tabs>
        <w:tab w:val="num" w:pos="1492"/>
      </w:tabs>
      <w:spacing w:before="120"/>
      <w:ind w:left="1492" w:hanging="360"/>
    </w:pPr>
    <w:rPr>
      <w:rFonts w:eastAsia="Times New Roman"/>
      <w:color w:val="auto"/>
      <w:szCs w:val="20"/>
    </w:rPr>
  </w:style>
  <w:style w:type="paragraph" w:styleId="ListNumber5">
    <w:name w:val="List Number 5"/>
    <w:aliases w:val="List 51"/>
    <w:basedOn w:val="Normal"/>
    <w:rsid w:val="00822661"/>
    <w:pPr>
      <w:tabs>
        <w:tab w:val="num" w:pos="926"/>
      </w:tabs>
      <w:spacing w:before="120"/>
      <w:ind w:left="926" w:hanging="360"/>
    </w:pPr>
    <w:rPr>
      <w:rFonts w:eastAsia="Times New Roman"/>
      <w:color w:val="auto"/>
      <w:szCs w:val="20"/>
    </w:rPr>
  </w:style>
  <w:style w:type="paragraph" w:customStyle="1" w:styleId="wcpLists">
    <w:name w:val="wcp_Lists"/>
    <w:basedOn w:val="Normal"/>
    <w:next w:val="Normal"/>
    <w:rsid w:val="00822661"/>
    <w:pPr>
      <w:keepNext/>
      <w:spacing w:before="0" w:after="480"/>
      <w:jc w:val="center"/>
      <w:outlineLvl w:val="0"/>
    </w:pPr>
    <w:rPr>
      <w:rFonts w:eastAsia="Times New Roman"/>
      <w:b/>
      <w:color w:val="auto"/>
      <w:sz w:val="30"/>
      <w:szCs w:val="20"/>
    </w:rPr>
  </w:style>
  <w:style w:type="character" w:customStyle="1" w:styleId="wcpcAuthoringInstruction">
    <w:name w:val="wcpc_AuthoringInstruction"/>
    <w:rsid w:val="00822661"/>
    <w:rPr>
      <w:i/>
      <w:vanish/>
      <w:color w:val="0000FF"/>
    </w:rPr>
  </w:style>
  <w:style w:type="character" w:styleId="Emphasis">
    <w:name w:val="Emphasis"/>
    <w:qFormat/>
    <w:rsid w:val="00822661"/>
    <w:rPr>
      <w:i/>
    </w:rPr>
  </w:style>
  <w:style w:type="paragraph" w:styleId="EnvelopeAddress">
    <w:name w:val="envelope address"/>
    <w:basedOn w:val="Normal"/>
    <w:rsid w:val="00822661"/>
    <w:pPr>
      <w:framePr w:w="7938" w:h="1985" w:hRule="exact" w:hSpace="141" w:wrap="auto" w:hAnchor="page" w:xAlign="center" w:yAlign="bottom"/>
      <w:spacing w:before="120"/>
      <w:ind w:left="2835"/>
    </w:pPr>
    <w:rPr>
      <w:rFonts w:ascii="Arial" w:eastAsia="Times New Roman" w:hAnsi="Arial"/>
      <w:color w:val="auto"/>
      <w:szCs w:val="20"/>
    </w:rPr>
  </w:style>
  <w:style w:type="paragraph" w:styleId="EnvelopeReturn">
    <w:name w:val="envelope return"/>
    <w:basedOn w:val="Normal"/>
    <w:rsid w:val="00822661"/>
    <w:pPr>
      <w:spacing w:before="120"/>
    </w:pPr>
    <w:rPr>
      <w:rFonts w:ascii="Arial" w:eastAsia="Times New Roman" w:hAnsi="Arial"/>
      <w:color w:val="auto"/>
      <w:sz w:val="20"/>
      <w:szCs w:val="20"/>
    </w:rPr>
  </w:style>
  <w:style w:type="paragraph" w:styleId="Date">
    <w:name w:val="Date"/>
    <w:basedOn w:val="Normal"/>
    <w:next w:val="Normal"/>
    <w:link w:val="DateChar"/>
    <w:rsid w:val="00822661"/>
    <w:pPr>
      <w:spacing w:before="120"/>
    </w:pPr>
    <w:rPr>
      <w:rFonts w:eastAsia="Times New Roman"/>
      <w:color w:val="auto"/>
      <w:szCs w:val="20"/>
    </w:rPr>
  </w:style>
  <w:style w:type="character" w:customStyle="1" w:styleId="DateChar">
    <w:name w:val="Date Char"/>
    <w:basedOn w:val="DefaultParagraphFont"/>
    <w:link w:val="Date"/>
    <w:rsid w:val="00822661"/>
    <w:rPr>
      <w:rFonts w:ascii="Times New Roman" w:eastAsia="Times New Roman" w:hAnsi="Times New Roman" w:cs="Times New Roman"/>
      <w:sz w:val="24"/>
      <w:szCs w:val="20"/>
      <w:lang w:val="en-US"/>
    </w:rPr>
  </w:style>
  <w:style w:type="character" w:styleId="Strong">
    <w:name w:val="Strong"/>
    <w:qFormat/>
    <w:rsid w:val="00822661"/>
    <w:rPr>
      <w:b/>
    </w:rPr>
  </w:style>
  <w:style w:type="paragraph" w:styleId="MessageHeader">
    <w:name w:val="Message Header"/>
    <w:basedOn w:val="Normal"/>
    <w:link w:val="MessageHeaderChar"/>
    <w:rsid w:val="00822661"/>
    <w:pPr>
      <w:pBdr>
        <w:top w:val="single" w:sz="6" w:space="1" w:color="auto"/>
        <w:left w:val="single" w:sz="6" w:space="1" w:color="auto"/>
        <w:bottom w:val="single" w:sz="6" w:space="1" w:color="auto"/>
        <w:right w:val="single" w:sz="6" w:space="1" w:color="auto"/>
      </w:pBdr>
      <w:shd w:val="pct20" w:color="auto" w:fill="auto"/>
      <w:spacing w:before="120"/>
      <w:ind w:left="1080" w:hanging="1080"/>
    </w:pPr>
    <w:rPr>
      <w:rFonts w:ascii="Arial" w:eastAsia="Times New Roman" w:hAnsi="Arial"/>
      <w:color w:val="auto"/>
      <w:szCs w:val="20"/>
    </w:rPr>
  </w:style>
  <w:style w:type="character" w:customStyle="1" w:styleId="MessageHeaderChar">
    <w:name w:val="Message Header Char"/>
    <w:basedOn w:val="DefaultParagraphFont"/>
    <w:link w:val="MessageHeader"/>
    <w:rsid w:val="00822661"/>
    <w:rPr>
      <w:rFonts w:ascii="Arial" w:eastAsia="Times New Roman" w:hAnsi="Arial" w:cs="Times New Roman"/>
      <w:sz w:val="24"/>
      <w:szCs w:val="20"/>
      <w:shd w:val="pct20" w:color="auto" w:fill="auto"/>
      <w:lang w:val="en-US"/>
    </w:rPr>
  </w:style>
  <w:style w:type="paragraph" w:styleId="DocumentMap">
    <w:name w:val="Document Map"/>
    <w:basedOn w:val="Normal"/>
    <w:link w:val="DocumentMapChar"/>
    <w:semiHidden/>
    <w:rsid w:val="00822661"/>
    <w:pPr>
      <w:shd w:val="clear" w:color="auto" w:fill="000080"/>
      <w:spacing w:before="120"/>
    </w:pPr>
    <w:rPr>
      <w:rFonts w:ascii="Tahoma" w:eastAsia="Times New Roman" w:hAnsi="Tahoma"/>
      <w:color w:val="auto"/>
      <w:szCs w:val="20"/>
    </w:rPr>
  </w:style>
  <w:style w:type="character" w:customStyle="1" w:styleId="DocumentMapChar">
    <w:name w:val="Document Map Char"/>
    <w:basedOn w:val="DefaultParagraphFont"/>
    <w:link w:val="DocumentMap"/>
    <w:semiHidden/>
    <w:rsid w:val="00822661"/>
    <w:rPr>
      <w:rFonts w:ascii="Tahoma" w:eastAsia="Times New Roman" w:hAnsi="Tahoma" w:cs="Times New Roman"/>
      <w:sz w:val="24"/>
      <w:szCs w:val="20"/>
      <w:shd w:val="clear" w:color="auto" w:fill="000080"/>
      <w:lang w:val="en-US"/>
    </w:rPr>
  </w:style>
  <w:style w:type="paragraph" w:styleId="Closing">
    <w:name w:val="Closing"/>
    <w:basedOn w:val="Normal"/>
    <w:link w:val="ClosingChar"/>
    <w:rsid w:val="00822661"/>
    <w:pPr>
      <w:spacing w:before="120"/>
      <w:ind w:left="4320"/>
    </w:pPr>
    <w:rPr>
      <w:rFonts w:eastAsia="Times New Roman"/>
      <w:color w:val="auto"/>
      <w:szCs w:val="20"/>
    </w:rPr>
  </w:style>
  <w:style w:type="character" w:customStyle="1" w:styleId="ClosingChar">
    <w:name w:val="Closing Char"/>
    <w:basedOn w:val="DefaultParagraphFont"/>
    <w:link w:val="Closing"/>
    <w:rsid w:val="00822661"/>
    <w:rPr>
      <w:rFonts w:ascii="Times New Roman" w:eastAsia="Times New Roman" w:hAnsi="Times New Roman" w:cs="Times New Roman"/>
      <w:sz w:val="24"/>
      <w:szCs w:val="20"/>
      <w:lang w:val="en-US"/>
    </w:rPr>
  </w:style>
  <w:style w:type="paragraph" w:styleId="Index2">
    <w:name w:val="index 2"/>
    <w:basedOn w:val="Normal"/>
    <w:next w:val="Normal"/>
    <w:semiHidden/>
    <w:rsid w:val="00822661"/>
    <w:pPr>
      <w:spacing w:before="120"/>
      <w:ind w:left="480" w:hanging="240"/>
    </w:pPr>
    <w:rPr>
      <w:rFonts w:eastAsia="Times New Roman"/>
      <w:color w:val="auto"/>
      <w:szCs w:val="20"/>
    </w:rPr>
  </w:style>
  <w:style w:type="paragraph" w:styleId="Index3">
    <w:name w:val="index 3"/>
    <w:basedOn w:val="Normal"/>
    <w:next w:val="Normal"/>
    <w:semiHidden/>
    <w:rsid w:val="00822661"/>
    <w:pPr>
      <w:spacing w:before="120"/>
      <w:ind w:left="720" w:hanging="240"/>
    </w:pPr>
    <w:rPr>
      <w:rFonts w:eastAsia="Times New Roman"/>
      <w:color w:val="auto"/>
      <w:szCs w:val="20"/>
    </w:rPr>
  </w:style>
  <w:style w:type="paragraph" w:styleId="Index4">
    <w:name w:val="index 4"/>
    <w:basedOn w:val="Normal"/>
    <w:next w:val="Normal"/>
    <w:semiHidden/>
    <w:rsid w:val="00822661"/>
    <w:pPr>
      <w:spacing w:before="120"/>
      <w:ind w:left="960" w:hanging="240"/>
    </w:pPr>
    <w:rPr>
      <w:rFonts w:eastAsia="Times New Roman"/>
      <w:color w:val="auto"/>
      <w:szCs w:val="20"/>
    </w:rPr>
  </w:style>
  <w:style w:type="paragraph" w:styleId="Index5">
    <w:name w:val="index 5"/>
    <w:basedOn w:val="Normal"/>
    <w:next w:val="Normal"/>
    <w:semiHidden/>
    <w:rsid w:val="00822661"/>
    <w:pPr>
      <w:spacing w:before="120"/>
      <w:ind w:left="1200" w:hanging="240"/>
    </w:pPr>
    <w:rPr>
      <w:rFonts w:eastAsia="Times New Roman"/>
      <w:color w:val="auto"/>
      <w:szCs w:val="20"/>
    </w:rPr>
  </w:style>
  <w:style w:type="paragraph" w:styleId="Index6">
    <w:name w:val="index 6"/>
    <w:basedOn w:val="Normal"/>
    <w:next w:val="Normal"/>
    <w:semiHidden/>
    <w:rsid w:val="00822661"/>
    <w:pPr>
      <w:spacing w:before="120"/>
      <w:ind w:left="1440" w:hanging="240"/>
    </w:pPr>
    <w:rPr>
      <w:rFonts w:eastAsia="Times New Roman"/>
      <w:color w:val="auto"/>
      <w:szCs w:val="20"/>
    </w:rPr>
  </w:style>
  <w:style w:type="paragraph" w:styleId="Index7">
    <w:name w:val="index 7"/>
    <w:basedOn w:val="Normal"/>
    <w:next w:val="Normal"/>
    <w:semiHidden/>
    <w:rsid w:val="00822661"/>
    <w:pPr>
      <w:spacing w:before="120"/>
      <w:ind w:left="1680" w:hanging="240"/>
    </w:pPr>
    <w:rPr>
      <w:rFonts w:eastAsia="Times New Roman"/>
      <w:color w:val="auto"/>
      <w:szCs w:val="20"/>
    </w:rPr>
  </w:style>
  <w:style w:type="paragraph" w:styleId="Index8">
    <w:name w:val="index 8"/>
    <w:basedOn w:val="Normal"/>
    <w:next w:val="Normal"/>
    <w:semiHidden/>
    <w:rsid w:val="00822661"/>
    <w:pPr>
      <w:spacing w:before="120"/>
      <w:ind w:left="1920" w:hanging="240"/>
    </w:pPr>
    <w:rPr>
      <w:rFonts w:eastAsia="Times New Roman"/>
      <w:color w:val="auto"/>
      <w:szCs w:val="20"/>
    </w:rPr>
  </w:style>
  <w:style w:type="paragraph" w:styleId="Index9">
    <w:name w:val="index 9"/>
    <w:basedOn w:val="Normal"/>
    <w:next w:val="Normal"/>
    <w:semiHidden/>
    <w:rsid w:val="00822661"/>
    <w:pPr>
      <w:spacing w:before="120"/>
      <w:ind w:left="2160" w:hanging="240"/>
    </w:pPr>
    <w:rPr>
      <w:rFonts w:eastAsia="Times New Roman"/>
      <w:color w:val="auto"/>
      <w:szCs w:val="20"/>
    </w:rPr>
  </w:style>
  <w:style w:type="paragraph" w:styleId="List">
    <w:name w:val="List"/>
    <w:basedOn w:val="Normal"/>
    <w:rsid w:val="00822661"/>
    <w:pPr>
      <w:spacing w:before="120"/>
      <w:ind w:left="360" w:hanging="360"/>
    </w:pPr>
    <w:rPr>
      <w:rFonts w:eastAsia="Times New Roman"/>
      <w:color w:val="auto"/>
      <w:szCs w:val="20"/>
    </w:rPr>
  </w:style>
  <w:style w:type="paragraph" w:styleId="List2">
    <w:name w:val="List 2"/>
    <w:basedOn w:val="Normal"/>
    <w:rsid w:val="00822661"/>
    <w:pPr>
      <w:spacing w:before="120"/>
      <w:ind w:left="720" w:hanging="360"/>
    </w:pPr>
    <w:rPr>
      <w:rFonts w:eastAsia="Times New Roman"/>
      <w:color w:val="auto"/>
      <w:szCs w:val="20"/>
    </w:rPr>
  </w:style>
  <w:style w:type="paragraph" w:styleId="List3">
    <w:name w:val="List 3"/>
    <w:basedOn w:val="Normal"/>
    <w:rsid w:val="00822661"/>
    <w:pPr>
      <w:spacing w:before="120"/>
      <w:ind w:left="1080" w:hanging="360"/>
    </w:pPr>
    <w:rPr>
      <w:rFonts w:eastAsia="Times New Roman"/>
      <w:color w:val="auto"/>
      <w:szCs w:val="20"/>
    </w:rPr>
  </w:style>
  <w:style w:type="paragraph" w:styleId="List4">
    <w:name w:val="List 4"/>
    <w:basedOn w:val="Normal"/>
    <w:rsid w:val="00822661"/>
    <w:pPr>
      <w:spacing w:before="120"/>
      <w:ind w:left="1440" w:hanging="360"/>
    </w:pPr>
    <w:rPr>
      <w:rFonts w:eastAsia="Times New Roman"/>
      <w:color w:val="auto"/>
      <w:szCs w:val="20"/>
    </w:rPr>
  </w:style>
  <w:style w:type="paragraph" w:styleId="List5">
    <w:name w:val="List 5"/>
    <w:basedOn w:val="Normal"/>
    <w:rsid w:val="00822661"/>
    <w:pPr>
      <w:spacing w:before="120"/>
      <w:ind w:left="1800" w:hanging="360"/>
    </w:pPr>
    <w:rPr>
      <w:rFonts w:eastAsia="Times New Roman"/>
      <w:color w:val="auto"/>
      <w:szCs w:val="20"/>
    </w:rPr>
  </w:style>
  <w:style w:type="paragraph" w:styleId="ListBullet4">
    <w:name w:val="List Bullet 4"/>
    <w:basedOn w:val="Normal"/>
    <w:rsid w:val="00822661"/>
    <w:pPr>
      <w:numPr>
        <w:numId w:val="18"/>
      </w:numPr>
      <w:spacing w:before="120"/>
    </w:pPr>
    <w:rPr>
      <w:rFonts w:eastAsia="Times New Roman"/>
      <w:color w:val="auto"/>
      <w:szCs w:val="20"/>
    </w:rPr>
  </w:style>
  <w:style w:type="paragraph" w:styleId="ListBullet5">
    <w:name w:val="List Bullet 5"/>
    <w:basedOn w:val="Normal"/>
    <w:rsid w:val="00822661"/>
    <w:pPr>
      <w:numPr>
        <w:numId w:val="19"/>
      </w:numPr>
      <w:spacing w:before="120"/>
    </w:pPr>
    <w:rPr>
      <w:rFonts w:eastAsia="Times New Roman"/>
      <w:color w:val="auto"/>
      <w:szCs w:val="20"/>
    </w:rPr>
  </w:style>
  <w:style w:type="paragraph" w:styleId="ListContinue">
    <w:name w:val="List Continue"/>
    <w:basedOn w:val="Normal"/>
    <w:rsid w:val="00822661"/>
    <w:pPr>
      <w:spacing w:before="120" w:after="120"/>
      <w:ind w:left="360"/>
    </w:pPr>
    <w:rPr>
      <w:rFonts w:eastAsia="Times New Roman"/>
      <w:color w:val="auto"/>
      <w:szCs w:val="20"/>
    </w:rPr>
  </w:style>
  <w:style w:type="paragraph" w:styleId="ListContinue2">
    <w:name w:val="List Continue 2"/>
    <w:basedOn w:val="Normal"/>
    <w:rsid w:val="00822661"/>
    <w:pPr>
      <w:spacing w:before="120" w:after="120"/>
      <w:ind w:left="720"/>
    </w:pPr>
    <w:rPr>
      <w:rFonts w:eastAsia="Times New Roman"/>
      <w:color w:val="auto"/>
      <w:szCs w:val="20"/>
    </w:rPr>
  </w:style>
  <w:style w:type="paragraph" w:styleId="ListContinue3">
    <w:name w:val="List Continue 3"/>
    <w:basedOn w:val="Normal"/>
    <w:rsid w:val="00822661"/>
    <w:pPr>
      <w:spacing w:before="120" w:after="120"/>
      <w:ind w:left="1080"/>
    </w:pPr>
    <w:rPr>
      <w:rFonts w:eastAsia="Times New Roman"/>
      <w:color w:val="auto"/>
      <w:szCs w:val="20"/>
    </w:rPr>
  </w:style>
  <w:style w:type="paragraph" w:styleId="ListContinue4">
    <w:name w:val="List Continue 4"/>
    <w:basedOn w:val="Normal"/>
    <w:rsid w:val="00822661"/>
    <w:pPr>
      <w:spacing w:before="120" w:after="120"/>
      <w:ind w:left="1440"/>
    </w:pPr>
    <w:rPr>
      <w:rFonts w:eastAsia="Times New Roman"/>
      <w:color w:val="auto"/>
      <w:szCs w:val="20"/>
    </w:rPr>
  </w:style>
  <w:style w:type="paragraph" w:styleId="ListContinue5">
    <w:name w:val="List Continue 5"/>
    <w:basedOn w:val="Normal"/>
    <w:rsid w:val="00822661"/>
    <w:pPr>
      <w:spacing w:before="120" w:after="120"/>
      <w:ind w:left="1800"/>
    </w:pPr>
    <w:rPr>
      <w:rFonts w:eastAsia="Times New Roman"/>
      <w:color w:val="auto"/>
      <w:szCs w:val="20"/>
    </w:rPr>
  </w:style>
  <w:style w:type="paragraph" w:styleId="BlockText">
    <w:name w:val="Block Text"/>
    <w:basedOn w:val="Normal"/>
    <w:rsid w:val="00822661"/>
    <w:pPr>
      <w:spacing w:before="120" w:after="120"/>
      <w:ind w:left="1440" w:right="1440"/>
    </w:pPr>
    <w:rPr>
      <w:rFonts w:eastAsia="Times New Roman"/>
      <w:color w:val="auto"/>
      <w:szCs w:val="20"/>
    </w:rPr>
  </w:style>
  <w:style w:type="character" w:styleId="LineNumber">
    <w:name w:val="line number"/>
    <w:basedOn w:val="DefaultParagraphFont"/>
    <w:rsid w:val="00822661"/>
  </w:style>
  <w:style w:type="paragraph" w:styleId="BodyTextFirstIndent">
    <w:name w:val="Body Text First Indent"/>
    <w:basedOn w:val="BodyText"/>
    <w:link w:val="BodyTextFirstIndentChar"/>
    <w:rsid w:val="00822661"/>
    <w:pPr>
      <w:spacing w:before="120"/>
      <w:ind w:firstLine="210"/>
    </w:pPr>
    <w:rPr>
      <w:rFonts w:eastAsia="Times New Roman"/>
      <w:color w:val="auto"/>
      <w:szCs w:val="20"/>
      <w:lang w:val="fr-FR"/>
    </w:rPr>
  </w:style>
  <w:style w:type="character" w:customStyle="1" w:styleId="BodyTextFirstIndentChar">
    <w:name w:val="Body Text First Indent Char"/>
    <w:basedOn w:val="BodyTextChar"/>
    <w:link w:val="BodyTextFirstIndent"/>
    <w:rsid w:val="00822661"/>
    <w:rPr>
      <w:rFonts w:ascii="Times New Roman" w:eastAsia="Times New Roman" w:hAnsi="Times New Roman" w:cs="Times New Roman"/>
      <w:sz w:val="24"/>
      <w:szCs w:val="20"/>
      <w:lang w:val="fr-FR"/>
    </w:rPr>
  </w:style>
  <w:style w:type="paragraph" w:styleId="BodyTextIndent">
    <w:name w:val="Body Text Indent"/>
    <w:basedOn w:val="Normal"/>
    <w:link w:val="BodyTextIndentChar"/>
    <w:rsid w:val="00822661"/>
    <w:pPr>
      <w:spacing w:before="120" w:after="120"/>
      <w:ind w:left="360"/>
    </w:pPr>
    <w:rPr>
      <w:rFonts w:eastAsia="Times New Roman"/>
      <w:color w:val="auto"/>
      <w:szCs w:val="20"/>
    </w:rPr>
  </w:style>
  <w:style w:type="character" w:customStyle="1" w:styleId="BodyTextIndentChar">
    <w:name w:val="Body Text Indent Char"/>
    <w:basedOn w:val="DefaultParagraphFont"/>
    <w:link w:val="BodyTextIndent"/>
    <w:rsid w:val="00822661"/>
    <w:rPr>
      <w:rFonts w:ascii="Times New Roman" w:eastAsia="Times New Roman" w:hAnsi="Times New Roman" w:cs="Times New Roman"/>
      <w:sz w:val="24"/>
      <w:szCs w:val="20"/>
      <w:lang w:val="en-US"/>
    </w:rPr>
  </w:style>
  <w:style w:type="paragraph" w:styleId="BodyTextIndent3">
    <w:name w:val="Body Text Indent 3"/>
    <w:basedOn w:val="Normal"/>
    <w:link w:val="BodyTextIndent3Char"/>
    <w:rsid w:val="00822661"/>
    <w:pPr>
      <w:spacing w:before="120" w:after="120"/>
      <w:ind w:left="360"/>
    </w:pPr>
    <w:rPr>
      <w:rFonts w:eastAsia="Times New Roman"/>
      <w:color w:val="auto"/>
      <w:sz w:val="16"/>
      <w:szCs w:val="20"/>
    </w:rPr>
  </w:style>
  <w:style w:type="character" w:customStyle="1" w:styleId="BodyTextIndent3Char">
    <w:name w:val="Body Text Indent 3 Char"/>
    <w:basedOn w:val="DefaultParagraphFont"/>
    <w:link w:val="BodyTextIndent3"/>
    <w:rsid w:val="00822661"/>
    <w:rPr>
      <w:rFonts w:ascii="Times New Roman" w:eastAsia="Times New Roman" w:hAnsi="Times New Roman" w:cs="Times New Roman"/>
      <w:sz w:val="16"/>
      <w:szCs w:val="20"/>
      <w:lang w:val="en-US"/>
    </w:rPr>
  </w:style>
  <w:style w:type="paragraph" w:styleId="BodyTextFirstIndent2">
    <w:name w:val="Body Text First Indent 2"/>
    <w:basedOn w:val="BodyTextIndent"/>
    <w:link w:val="BodyTextFirstIndent2Char"/>
    <w:rsid w:val="00822661"/>
    <w:pPr>
      <w:ind w:firstLine="210"/>
    </w:pPr>
  </w:style>
  <w:style w:type="character" w:customStyle="1" w:styleId="BodyTextFirstIndent2Char">
    <w:name w:val="Body Text First Indent 2 Char"/>
    <w:basedOn w:val="BodyTextIndentChar"/>
    <w:link w:val="BodyTextFirstIndent2"/>
    <w:rsid w:val="00822661"/>
    <w:rPr>
      <w:rFonts w:ascii="Times New Roman" w:eastAsia="Times New Roman" w:hAnsi="Times New Roman" w:cs="Times New Roman"/>
      <w:sz w:val="24"/>
      <w:szCs w:val="20"/>
      <w:lang w:val="en-US"/>
    </w:rPr>
  </w:style>
  <w:style w:type="paragraph" w:styleId="NormalIndent">
    <w:name w:val="Normal Indent"/>
    <w:basedOn w:val="Normal"/>
    <w:rsid w:val="00822661"/>
    <w:pPr>
      <w:spacing w:before="120"/>
      <w:ind w:left="708"/>
    </w:pPr>
    <w:rPr>
      <w:rFonts w:eastAsia="Times New Roman"/>
      <w:color w:val="auto"/>
      <w:szCs w:val="20"/>
    </w:rPr>
  </w:style>
  <w:style w:type="paragraph" w:styleId="Salutation">
    <w:name w:val="Salutation"/>
    <w:basedOn w:val="Normal"/>
    <w:next w:val="Normal"/>
    <w:link w:val="SalutationChar"/>
    <w:rsid w:val="00822661"/>
    <w:pPr>
      <w:spacing w:before="120"/>
    </w:pPr>
    <w:rPr>
      <w:rFonts w:eastAsia="Times New Roman"/>
      <w:color w:val="auto"/>
      <w:szCs w:val="20"/>
    </w:rPr>
  </w:style>
  <w:style w:type="character" w:customStyle="1" w:styleId="SalutationChar">
    <w:name w:val="Salutation Char"/>
    <w:basedOn w:val="DefaultParagraphFont"/>
    <w:link w:val="Salutation"/>
    <w:rsid w:val="00822661"/>
    <w:rPr>
      <w:rFonts w:ascii="Times New Roman" w:eastAsia="Times New Roman" w:hAnsi="Times New Roman" w:cs="Times New Roman"/>
      <w:sz w:val="24"/>
      <w:szCs w:val="20"/>
      <w:lang w:val="en-US"/>
    </w:rPr>
  </w:style>
  <w:style w:type="paragraph" w:styleId="Subtitle">
    <w:name w:val="Subtitle"/>
    <w:basedOn w:val="Normal"/>
    <w:link w:val="SubtitleChar"/>
    <w:qFormat/>
    <w:rsid w:val="00822661"/>
    <w:pPr>
      <w:spacing w:before="120" w:after="60"/>
      <w:jc w:val="center"/>
      <w:outlineLvl w:val="1"/>
    </w:pPr>
    <w:rPr>
      <w:rFonts w:ascii="Arial" w:eastAsia="Times New Roman" w:hAnsi="Arial"/>
      <w:color w:val="auto"/>
      <w:szCs w:val="20"/>
    </w:rPr>
  </w:style>
  <w:style w:type="character" w:customStyle="1" w:styleId="SubtitleChar">
    <w:name w:val="Subtitle Char"/>
    <w:basedOn w:val="DefaultParagraphFont"/>
    <w:link w:val="Subtitle"/>
    <w:rsid w:val="00822661"/>
    <w:rPr>
      <w:rFonts w:ascii="Arial" w:eastAsia="Times New Roman" w:hAnsi="Arial" w:cs="Times New Roman"/>
      <w:sz w:val="24"/>
      <w:szCs w:val="20"/>
      <w:lang w:val="en-US"/>
    </w:rPr>
  </w:style>
  <w:style w:type="paragraph" w:styleId="PlainText">
    <w:name w:val="Plain Text"/>
    <w:basedOn w:val="Normal"/>
    <w:link w:val="PlainTextChar"/>
    <w:rsid w:val="00822661"/>
    <w:pPr>
      <w:spacing w:before="120"/>
    </w:pPr>
    <w:rPr>
      <w:rFonts w:ascii="Courier New" w:eastAsia="Times New Roman" w:hAnsi="Courier New"/>
      <w:color w:val="auto"/>
      <w:sz w:val="20"/>
      <w:szCs w:val="20"/>
    </w:rPr>
  </w:style>
  <w:style w:type="character" w:customStyle="1" w:styleId="PlainTextChar">
    <w:name w:val="Plain Text Char"/>
    <w:basedOn w:val="DefaultParagraphFont"/>
    <w:link w:val="PlainText"/>
    <w:rsid w:val="00822661"/>
    <w:rPr>
      <w:rFonts w:ascii="Courier New" w:eastAsia="Times New Roman" w:hAnsi="Courier New" w:cs="Times New Roman"/>
      <w:sz w:val="20"/>
      <w:szCs w:val="20"/>
      <w:lang w:val="en-US"/>
    </w:rPr>
  </w:style>
  <w:style w:type="paragraph" w:styleId="NoteHeading">
    <w:name w:val="Note Heading"/>
    <w:basedOn w:val="Normal"/>
    <w:next w:val="Normal"/>
    <w:link w:val="NoteHeadingChar"/>
    <w:rsid w:val="00822661"/>
    <w:pPr>
      <w:spacing w:before="120"/>
    </w:pPr>
    <w:rPr>
      <w:rFonts w:eastAsia="Times New Roman"/>
      <w:color w:val="auto"/>
      <w:szCs w:val="20"/>
    </w:rPr>
  </w:style>
  <w:style w:type="character" w:customStyle="1" w:styleId="NoteHeadingChar">
    <w:name w:val="Note Heading Char"/>
    <w:basedOn w:val="DefaultParagraphFont"/>
    <w:link w:val="NoteHeading"/>
    <w:rsid w:val="00822661"/>
    <w:rPr>
      <w:rFonts w:ascii="Times New Roman" w:eastAsia="Times New Roman" w:hAnsi="Times New Roman" w:cs="Times New Roman"/>
      <w:sz w:val="24"/>
      <w:szCs w:val="20"/>
      <w:lang w:val="en-US"/>
    </w:rPr>
  </w:style>
  <w:style w:type="paragraph" w:styleId="IndexHeading">
    <w:name w:val="index heading"/>
    <w:basedOn w:val="Normal"/>
    <w:next w:val="Index1"/>
    <w:semiHidden/>
    <w:rsid w:val="00822661"/>
    <w:pPr>
      <w:spacing w:before="120"/>
    </w:pPr>
    <w:rPr>
      <w:rFonts w:ascii="Arial" w:eastAsia="Times New Roman" w:hAnsi="Arial"/>
      <w:b/>
      <w:color w:val="auto"/>
      <w:szCs w:val="20"/>
    </w:rPr>
  </w:style>
  <w:style w:type="paragraph" w:customStyle="1" w:styleId="wcpLegend">
    <w:name w:val="wcp_Legend"/>
    <w:basedOn w:val="Normal"/>
    <w:rsid w:val="00822661"/>
    <w:pPr>
      <w:spacing w:before="120"/>
    </w:pPr>
    <w:rPr>
      <w:rFonts w:eastAsia="Times New Roman"/>
      <w:color w:val="auto"/>
      <w:szCs w:val="20"/>
    </w:rPr>
  </w:style>
  <w:style w:type="character" w:customStyle="1" w:styleId="wcpcBibliographicReferenceMark">
    <w:name w:val="wcpc_BibliographicReferenceMark"/>
    <w:rsid w:val="00822661"/>
    <w:rPr>
      <w:rFonts w:ascii="Times New Roman" w:hAnsi="Times New Roman"/>
      <w:dstrike w:val="0"/>
      <w:color w:val="auto"/>
      <w:spacing w:val="0"/>
      <w:w w:val="100"/>
      <w:kern w:val="0"/>
      <w:position w:val="0"/>
      <w:sz w:val="24"/>
      <w:u w:val="none"/>
      <w:effect w:val="none"/>
      <w:vertAlign w:val="baseline"/>
    </w:rPr>
  </w:style>
  <w:style w:type="paragraph" w:customStyle="1" w:styleId="wcpNote">
    <w:name w:val="wcp_Note"/>
    <w:basedOn w:val="Normal"/>
    <w:rsid w:val="00822661"/>
    <w:pPr>
      <w:spacing w:before="120"/>
    </w:pPr>
    <w:rPr>
      <w:rFonts w:eastAsia="Times New Roman"/>
      <w:color w:val="auto"/>
      <w:szCs w:val="20"/>
    </w:rPr>
  </w:style>
  <w:style w:type="paragraph" w:customStyle="1" w:styleId="wcpAttachmentTitle">
    <w:name w:val="wcp_AttachmentTitle"/>
    <w:basedOn w:val="Normal"/>
    <w:next w:val="Normal"/>
    <w:rsid w:val="00822661"/>
    <w:pPr>
      <w:keepNext/>
      <w:spacing w:before="360" w:after="240"/>
    </w:pPr>
    <w:rPr>
      <w:rFonts w:eastAsia="Times New Roman"/>
      <w:b/>
      <w:color w:val="auto"/>
      <w:szCs w:val="20"/>
    </w:rPr>
  </w:style>
  <w:style w:type="paragraph" w:customStyle="1" w:styleId="qainstruction1">
    <w:name w:val="qa_instruction1"/>
    <w:basedOn w:val="Heading1"/>
    <w:rsid w:val="00822661"/>
    <w:pPr>
      <w:keepNext w:val="0"/>
      <w:pageBreakBefore w:val="0"/>
      <w:numPr>
        <w:numId w:val="5"/>
      </w:numPr>
      <w:spacing w:before="120"/>
      <w:outlineLvl w:val="9"/>
    </w:pPr>
    <w:rPr>
      <w:rFonts w:ascii="Times New Roman" w:eastAsia="Times New Roman" w:hAnsi="Times New Roman" w:cs="Times New Roman"/>
      <w:b w:val="0"/>
      <w:bCs w:val="0"/>
      <w:caps w:val="0"/>
      <w:kern w:val="0"/>
      <w:sz w:val="24"/>
      <w:szCs w:val="20"/>
    </w:rPr>
  </w:style>
  <w:style w:type="paragraph" w:customStyle="1" w:styleId="qainstruction2">
    <w:name w:val="qa_instruction2"/>
    <w:basedOn w:val="Heading2"/>
    <w:rsid w:val="00822661"/>
    <w:pPr>
      <w:keepNext w:val="0"/>
      <w:numPr>
        <w:numId w:val="6"/>
      </w:numPr>
      <w:spacing w:before="120"/>
      <w:outlineLvl w:val="9"/>
    </w:pPr>
    <w:rPr>
      <w:rFonts w:ascii="Times New Roman" w:eastAsia="Times New Roman" w:hAnsi="Times New Roman" w:cs="Times New Roman"/>
      <w:b w:val="0"/>
      <w:iCs w:val="0"/>
      <w:caps w:val="0"/>
      <w:kern w:val="0"/>
      <w:sz w:val="24"/>
      <w:szCs w:val="20"/>
    </w:rPr>
  </w:style>
  <w:style w:type="paragraph" w:customStyle="1" w:styleId="qainstruction3">
    <w:name w:val="qa_instruction3"/>
    <w:basedOn w:val="Heading3"/>
    <w:rsid w:val="00822661"/>
    <w:pPr>
      <w:keepNext w:val="0"/>
      <w:numPr>
        <w:numId w:val="7"/>
      </w:numPr>
      <w:spacing w:before="120"/>
      <w:outlineLvl w:val="9"/>
    </w:pPr>
    <w:rPr>
      <w:rFonts w:ascii="Times New Roman" w:eastAsia="Times New Roman" w:hAnsi="Times New Roman" w:cs="Times New Roman"/>
      <w:b w:val="0"/>
      <w:kern w:val="0"/>
      <w:sz w:val="24"/>
      <w:szCs w:val="20"/>
    </w:rPr>
  </w:style>
  <w:style w:type="paragraph" w:customStyle="1" w:styleId="qainstruction4">
    <w:name w:val="qa_instruction4"/>
    <w:basedOn w:val="Heading4"/>
    <w:rsid w:val="00822661"/>
    <w:pPr>
      <w:keepNext w:val="0"/>
      <w:numPr>
        <w:numId w:val="8"/>
      </w:numPr>
      <w:spacing w:before="120"/>
      <w:outlineLvl w:val="9"/>
    </w:pPr>
    <w:rPr>
      <w:rFonts w:ascii="Times New Roman" w:eastAsia="Times New Roman" w:hAnsi="Times New Roman" w:cs="Times New Roman"/>
      <w:b w:val="0"/>
      <w:i w:val="0"/>
      <w:kern w:val="0"/>
      <w:sz w:val="24"/>
      <w:szCs w:val="20"/>
    </w:rPr>
  </w:style>
  <w:style w:type="paragraph" w:styleId="NormalWeb">
    <w:name w:val="Normal (Web)"/>
    <w:basedOn w:val="Normal"/>
    <w:rsid w:val="00822661"/>
    <w:pPr>
      <w:spacing w:before="100" w:beforeAutospacing="1" w:after="100" w:afterAutospacing="1"/>
    </w:pPr>
    <w:rPr>
      <w:rFonts w:ascii="Arial Unicode MS" w:eastAsia="Arial Unicode MS" w:hAnsi="Arial Unicode MS" w:cs="Arial Unicode MS"/>
      <w:color w:val="auto"/>
      <w:lang w:val="en-GB"/>
    </w:rPr>
  </w:style>
  <w:style w:type="paragraph" w:customStyle="1" w:styleId="qainstruction5">
    <w:name w:val="qa_instruction5"/>
    <w:basedOn w:val="Heading5"/>
    <w:rsid w:val="00822661"/>
    <w:pPr>
      <w:keepNext w:val="0"/>
      <w:numPr>
        <w:numId w:val="9"/>
      </w:numPr>
      <w:spacing w:before="120"/>
      <w:outlineLvl w:val="9"/>
    </w:pPr>
    <w:rPr>
      <w:rFonts w:ascii="Times New Roman" w:eastAsia="Times New Roman" w:hAnsi="Times New Roman" w:cs="Times New Roman"/>
      <w:i w:val="0"/>
      <w:iCs w:val="0"/>
      <w:kern w:val="0"/>
      <w:sz w:val="24"/>
      <w:szCs w:val="20"/>
    </w:rPr>
  </w:style>
  <w:style w:type="paragraph" w:customStyle="1" w:styleId="qainstruction6">
    <w:name w:val="qa_instruction6"/>
    <w:basedOn w:val="Heading6"/>
    <w:rsid w:val="00822661"/>
    <w:pPr>
      <w:keepNext w:val="0"/>
      <w:numPr>
        <w:numId w:val="10"/>
      </w:numPr>
      <w:spacing w:before="120"/>
      <w:outlineLvl w:val="9"/>
    </w:pPr>
    <w:rPr>
      <w:rFonts w:ascii="Times New Roman" w:eastAsia="Times New Roman" w:hAnsi="Times New Roman" w:cs="Times New Roman"/>
      <w:kern w:val="0"/>
      <w:sz w:val="24"/>
      <w:szCs w:val="20"/>
    </w:rPr>
  </w:style>
  <w:style w:type="paragraph" w:customStyle="1" w:styleId="qainstruction7">
    <w:name w:val="qa_instruction7"/>
    <w:basedOn w:val="Heading7"/>
    <w:rsid w:val="00822661"/>
    <w:pPr>
      <w:keepNext w:val="0"/>
      <w:numPr>
        <w:numId w:val="11"/>
      </w:numPr>
      <w:tabs>
        <w:tab w:val="left" w:pos="1418"/>
      </w:tabs>
      <w:spacing w:before="120"/>
      <w:outlineLvl w:val="9"/>
    </w:pPr>
    <w:rPr>
      <w:rFonts w:ascii="Times New Roman" w:eastAsia="Times New Roman" w:hAnsi="Times New Roman" w:cs="Times New Roman"/>
      <w:kern w:val="0"/>
      <w:sz w:val="24"/>
      <w:szCs w:val="20"/>
    </w:rPr>
  </w:style>
  <w:style w:type="paragraph" w:customStyle="1" w:styleId="qainstruction8">
    <w:name w:val="qa_instruction8"/>
    <w:basedOn w:val="Heading8"/>
    <w:rsid w:val="00822661"/>
    <w:pPr>
      <w:keepNext w:val="0"/>
      <w:numPr>
        <w:numId w:val="12"/>
      </w:numPr>
      <w:tabs>
        <w:tab w:val="left" w:pos="1559"/>
      </w:tabs>
      <w:spacing w:before="120"/>
      <w:outlineLvl w:val="9"/>
    </w:pPr>
    <w:rPr>
      <w:rFonts w:ascii="Times New Roman" w:eastAsia="Times New Roman" w:hAnsi="Times New Roman" w:cs="Times New Roman"/>
      <w:iCs w:val="0"/>
      <w:kern w:val="0"/>
      <w:sz w:val="24"/>
      <w:szCs w:val="20"/>
    </w:rPr>
  </w:style>
  <w:style w:type="paragraph" w:customStyle="1" w:styleId="wcpTableColHeaderSmall">
    <w:name w:val="wcp_TableColHeaderSmall"/>
    <w:basedOn w:val="wcpTableColHeader"/>
    <w:rsid w:val="00822661"/>
    <w:rPr>
      <w:sz w:val="18"/>
    </w:rPr>
  </w:style>
  <w:style w:type="paragraph" w:customStyle="1" w:styleId="wcpTableRowHeaderSmall">
    <w:name w:val="wcp_TableRowHeaderSmall"/>
    <w:basedOn w:val="wcpTableRowHeader"/>
    <w:rsid w:val="00822661"/>
    <w:rPr>
      <w:sz w:val="18"/>
    </w:rPr>
  </w:style>
  <w:style w:type="paragraph" w:customStyle="1" w:styleId="wcpTOCTitle">
    <w:name w:val="wcp_TOCTitle"/>
    <w:basedOn w:val="wcpSubTitle"/>
    <w:rsid w:val="00822661"/>
    <w:pPr>
      <w:outlineLvl w:val="8"/>
    </w:pPr>
  </w:style>
  <w:style w:type="paragraph" w:customStyle="1" w:styleId="avpqmtCoverPageLabel">
    <w:name w:val="avpqmt_CoverPageLabel"/>
    <w:basedOn w:val="Normal"/>
    <w:rsid w:val="00822661"/>
    <w:pPr>
      <w:spacing w:before="120"/>
    </w:pPr>
    <w:rPr>
      <w:rFonts w:eastAsia="Times New Roman"/>
      <w:color w:val="auto"/>
      <w:szCs w:val="20"/>
    </w:rPr>
  </w:style>
  <w:style w:type="paragraph" w:customStyle="1" w:styleId="Level1">
    <w:name w:val="Level 1"/>
    <w:basedOn w:val="Normal"/>
    <w:rsid w:val="00822661"/>
    <w:pPr>
      <w:widowControl w:val="0"/>
      <w:spacing w:before="0"/>
    </w:pPr>
    <w:rPr>
      <w:rFonts w:eastAsia="Times New Roman"/>
      <w:color w:val="auto"/>
      <w:szCs w:val="20"/>
    </w:rPr>
  </w:style>
  <w:style w:type="paragraph" w:customStyle="1" w:styleId="PARAGR1">
    <w:name w:val="PARAGR. 1"/>
    <w:rsid w:val="00822661"/>
    <w:pPr>
      <w:spacing w:after="0" w:line="340" w:lineRule="exact"/>
      <w:jc w:val="both"/>
    </w:pPr>
    <w:rPr>
      <w:rFonts w:ascii="Arial" w:eastAsia="Times New Roman" w:hAnsi="Arial" w:cs="Times New Roman"/>
      <w:sz w:val="24"/>
      <w:szCs w:val="20"/>
      <w:lang w:val="fr-FR"/>
    </w:rPr>
  </w:style>
  <w:style w:type="character" w:customStyle="1" w:styleId="highlight">
    <w:name w:val="highlight"/>
    <w:rsid w:val="00822661"/>
  </w:style>
  <w:style w:type="paragraph" w:customStyle="1" w:styleId="Default">
    <w:name w:val="Default"/>
    <w:rsid w:val="00822661"/>
    <w:pPr>
      <w:autoSpaceDE w:val="0"/>
      <w:autoSpaceDN w:val="0"/>
      <w:adjustRightInd w:val="0"/>
      <w:spacing w:after="0" w:line="240" w:lineRule="auto"/>
    </w:pPr>
    <w:rPr>
      <w:rFonts w:ascii="Frutiger LT 57 Cn" w:eastAsia="Times New Roman" w:hAnsi="Frutiger LT 57 Cn" w:cs="Frutiger LT 57 Cn"/>
      <w:color w:val="000000"/>
      <w:sz w:val="24"/>
      <w:szCs w:val="24"/>
      <w:lang w:val="fr-FR" w:eastAsia="fr-FR"/>
    </w:rPr>
  </w:style>
  <w:style w:type="paragraph" w:customStyle="1" w:styleId="EndNoteBibliography">
    <w:name w:val="EndNote Bibliography"/>
    <w:basedOn w:val="Normal"/>
    <w:link w:val="EndNoteBibliographyChar"/>
    <w:rsid w:val="00822661"/>
    <w:pPr>
      <w:spacing w:before="0" w:after="200"/>
    </w:pPr>
    <w:rPr>
      <w:rFonts w:ascii="Calibri" w:eastAsia="Calibri" w:hAnsi="Calibri" w:cs="Calibri"/>
      <w:noProof/>
      <w:color w:val="auto"/>
      <w:sz w:val="22"/>
      <w:szCs w:val="22"/>
    </w:rPr>
  </w:style>
  <w:style w:type="character" w:customStyle="1" w:styleId="EndNoteBibliographyChar">
    <w:name w:val="EndNote Bibliography Char"/>
    <w:link w:val="EndNoteBibliography"/>
    <w:rsid w:val="00822661"/>
    <w:rPr>
      <w:rFonts w:ascii="Calibri" w:eastAsia="Calibri" w:hAnsi="Calibri" w:cs="Calibri"/>
      <w:noProof/>
      <w:lang w:val="en-US"/>
    </w:rPr>
  </w:style>
  <w:style w:type="character" w:styleId="UnresolvedMention">
    <w:name w:val="Unresolved Mention"/>
    <w:uiPriority w:val="99"/>
    <w:semiHidden/>
    <w:unhideWhenUsed/>
    <w:rsid w:val="00822661"/>
    <w:rPr>
      <w:color w:val="605E5C"/>
      <w:shd w:val="clear" w:color="auto" w:fill="E1DFDD"/>
    </w:rPr>
  </w:style>
  <w:style w:type="paragraph" w:customStyle="1" w:styleId="AmmCorpsTexte">
    <w:name w:val="AmmCorpsTexte"/>
    <w:basedOn w:val="Normal"/>
    <w:link w:val="AmmCorpsTexteCar"/>
    <w:qFormat/>
    <w:rsid w:val="00822661"/>
    <w:pPr>
      <w:spacing w:before="0" w:after="120"/>
      <w:jc w:val="both"/>
    </w:pPr>
    <w:rPr>
      <w:rFonts w:ascii="Arial" w:eastAsia="Times New Roman" w:hAnsi="Arial"/>
      <w:color w:val="auto"/>
      <w:sz w:val="20"/>
      <w:szCs w:val="20"/>
      <w:lang w:val="fr-FR" w:eastAsia="fr-FR"/>
    </w:rPr>
  </w:style>
  <w:style w:type="character" w:customStyle="1" w:styleId="AmmCorpsTexteCar">
    <w:name w:val="AmmCorpsTexte Car"/>
    <w:link w:val="AmmCorpsTexte"/>
    <w:rsid w:val="00822661"/>
    <w:rPr>
      <w:rFonts w:ascii="Arial" w:eastAsia="Times New Roman" w:hAnsi="Arial" w:cs="Times New Roman"/>
      <w:sz w:val="20"/>
      <w:szCs w:val="20"/>
      <w:lang w:val="fr-FR" w:eastAsia="fr-FR"/>
    </w:rPr>
  </w:style>
  <w:style w:type="paragraph" w:customStyle="1" w:styleId="AmmCorpsTexteGras">
    <w:name w:val="AmmCorpsTexteGras"/>
    <w:basedOn w:val="AmmCorpsTexte"/>
    <w:link w:val="AmmCorpsTexteGrasCar"/>
    <w:rsid w:val="00FD7580"/>
    <w:rPr>
      <w:b/>
      <w:bCs/>
      <w:lang w:val="en-GB"/>
    </w:rPr>
  </w:style>
  <w:style w:type="character" w:customStyle="1" w:styleId="AmmCorpsTexteGrasCar">
    <w:name w:val="AmmCorpsTexteGras Car"/>
    <w:link w:val="AmmCorpsTexteGras"/>
    <w:rsid w:val="00FD7580"/>
    <w:rPr>
      <w:rFonts w:ascii="Arial" w:eastAsia="Times New Roman" w:hAnsi="Arial" w:cs="Times New Roman"/>
      <w:b/>
      <w:bCs/>
      <w:sz w:val="20"/>
      <w:szCs w:val="20"/>
      <w:lang w:val="en-GB" w:eastAsia="fr-FR"/>
    </w:rPr>
  </w:style>
  <w:style w:type="paragraph" w:styleId="E-mailSignature">
    <w:name w:val="E-mail Signature"/>
    <w:basedOn w:val="Normal"/>
    <w:link w:val="E-mailSignatureChar"/>
    <w:uiPriority w:val="99"/>
    <w:semiHidden/>
    <w:unhideWhenUsed/>
    <w:rsid w:val="00981603"/>
    <w:pPr>
      <w:spacing w:before="0"/>
    </w:pPr>
  </w:style>
  <w:style w:type="character" w:customStyle="1" w:styleId="E-mailSignatureChar">
    <w:name w:val="E-mail Signature Char"/>
    <w:basedOn w:val="DefaultParagraphFont"/>
    <w:link w:val="E-mailSignature"/>
    <w:uiPriority w:val="99"/>
    <w:semiHidden/>
    <w:rsid w:val="00981603"/>
    <w:rPr>
      <w:rFonts w:ascii="Times New Roman" w:eastAsia="MS Mincho" w:hAnsi="Times New Roman" w:cs="Times New Roman"/>
      <w:color w:val="000000"/>
      <w:sz w:val="24"/>
      <w:szCs w:val="24"/>
      <w:lang w:val="en-US"/>
    </w:rPr>
  </w:style>
  <w:style w:type="paragraph" w:styleId="HTMLAddress">
    <w:name w:val="HTML Address"/>
    <w:basedOn w:val="Normal"/>
    <w:link w:val="HTMLAddressChar"/>
    <w:uiPriority w:val="99"/>
    <w:semiHidden/>
    <w:unhideWhenUsed/>
    <w:rsid w:val="00981603"/>
    <w:pPr>
      <w:spacing w:before="0"/>
    </w:pPr>
    <w:rPr>
      <w:i/>
      <w:iCs/>
    </w:rPr>
  </w:style>
  <w:style w:type="character" w:customStyle="1" w:styleId="HTMLAddressChar">
    <w:name w:val="HTML Address Char"/>
    <w:basedOn w:val="DefaultParagraphFont"/>
    <w:link w:val="HTMLAddress"/>
    <w:uiPriority w:val="99"/>
    <w:semiHidden/>
    <w:rsid w:val="00981603"/>
    <w:rPr>
      <w:rFonts w:ascii="Times New Roman" w:eastAsia="MS Mincho" w:hAnsi="Times New Roman" w:cs="Times New Roman"/>
      <w:i/>
      <w:iCs/>
      <w:color w:val="000000"/>
      <w:sz w:val="24"/>
      <w:szCs w:val="24"/>
      <w:lang w:val="en-US"/>
    </w:rPr>
  </w:style>
  <w:style w:type="paragraph" w:styleId="HTMLPreformatted">
    <w:name w:val="HTML Preformatted"/>
    <w:basedOn w:val="Normal"/>
    <w:link w:val="HTMLPreformattedChar"/>
    <w:uiPriority w:val="99"/>
    <w:semiHidden/>
    <w:unhideWhenUsed/>
    <w:rsid w:val="00981603"/>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81603"/>
    <w:rPr>
      <w:rFonts w:ascii="Consolas" w:eastAsia="MS Mincho" w:hAnsi="Consolas" w:cs="Times New Roman"/>
      <w:color w:val="000000"/>
      <w:sz w:val="20"/>
      <w:szCs w:val="20"/>
      <w:lang w:val="en-US"/>
    </w:rPr>
  </w:style>
  <w:style w:type="paragraph" w:styleId="IntenseQuote">
    <w:name w:val="Intense Quote"/>
    <w:basedOn w:val="Normal"/>
    <w:next w:val="Normal"/>
    <w:link w:val="IntenseQuoteChar"/>
    <w:uiPriority w:val="30"/>
    <w:qFormat/>
    <w:rsid w:val="0098160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81603"/>
    <w:rPr>
      <w:rFonts w:ascii="Times New Roman" w:eastAsia="MS Mincho" w:hAnsi="Times New Roman" w:cs="Times New Roman"/>
      <w:i/>
      <w:iCs/>
      <w:color w:val="4F81BD" w:themeColor="accent1"/>
      <w:sz w:val="24"/>
      <w:szCs w:val="24"/>
      <w:lang w:val="en-US"/>
    </w:rPr>
  </w:style>
  <w:style w:type="paragraph" w:styleId="NoSpacing">
    <w:name w:val="No Spacing"/>
    <w:uiPriority w:val="1"/>
    <w:qFormat/>
    <w:rsid w:val="00981603"/>
    <w:pPr>
      <w:spacing w:after="0" w:line="240" w:lineRule="auto"/>
    </w:pPr>
    <w:rPr>
      <w:rFonts w:ascii="Times New Roman" w:eastAsia="MS Mincho" w:hAnsi="Times New Roman" w:cs="Times New Roman"/>
      <w:color w:val="000000"/>
      <w:sz w:val="24"/>
      <w:szCs w:val="24"/>
      <w:lang w:val="en-US"/>
    </w:rPr>
  </w:style>
  <w:style w:type="paragraph" w:styleId="Quote">
    <w:name w:val="Quote"/>
    <w:basedOn w:val="Normal"/>
    <w:next w:val="Normal"/>
    <w:link w:val="QuoteChar"/>
    <w:uiPriority w:val="29"/>
    <w:qFormat/>
    <w:rsid w:val="0098160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81603"/>
    <w:rPr>
      <w:rFonts w:ascii="Times New Roman" w:eastAsia="MS Mincho" w:hAnsi="Times New Roman" w:cs="Times New Roman"/>
      <w:i/>
      <w:iCs/>
      <w:color w:val="404040" w:themeColor="text1" w:themeTint="BF"/>
      <w:sz w:val="24"/>
      <w:szCs w:val="24"/>
      <w:lang w:val="en-US"/>
    </w:rPr>
  </w:style>
  <w:style w:type="paragraph" w:styleId="TOCHeading">
    <w:name w:val="TOC Heading"/>
    <w:basedOn w:val="Heading1"/>
    <w:next w:val="Normal"/>
    <w:uiPriority w:val="39"/>
    <w:semiHidden/>
    <w:unhideWhenUsed/>
    <w:qFormat/>
    <w:rsid w:val="00981603"/>
    <w:pPr>
      <w:keepLines/>
      <w:pageBreakBefore w:val="0"/>
      <w:numPr>
        <w:numId w:val="0"/>
      </w:numPr>
      <w:spacing w:before="240"/>
      <w:outlineLvl w:val="9"/>
    </w:pPr>
    <w:rPr>
      <w:rFonts w:asciiTheme="majorHAnsi" w:eastAsiaTheme="majorEastAsia" w:hAnsiTheme="majorHAnsi" w:cstheme="majorBidi"/>
      <w:b w:val="0"/>
      <w:bCs w:val="0"/>
      <w:caps w:val="0"/>
      <w:color w:val="365F91" w:themeColor="accent1" w:themeShade="BF"/>
      <w:kern w:val="0"/>
      <w:sz w:val="32"/>
    </w:rPr>
  </w:style>
  <w:style w:type="table" w:customStyle="1" w:styleId="TableGrid2">
    <w:name w:val="Table Grid2"/>
    <w:basedOn w:val="TableNormal"/>
    <w:uiPriority w:val="59"/>
    <w:rsid w:val="00835B37"/>
    <w:pPr>
      <w:spacing w:after="0" w:line="240" w:lineRule="auto"/>
    </w:pPr>
    <w:rPr>
      <w:rFonts w:ascii="Calibri" w:eastAsia="Cambria" w:hAnsi="Calibri" w:cs="Times New Roman"/>
    </w:rPr>
    <w:tblPr>
      <w:tblInd w:w="0" w:type="nil"/>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9918">
      <w:bodyDiv w:val="1"/>
      <w:marLeft w:val="0"/>
      <w:marRight w:val="0"/>
      <w:marTop w:val="0"/>
      <w:marBottom w:val="0"/>
      <w:divBdr>
        <w:top w:val="none" w:sz="0" w:space="0" w:color="auto"/>
        <w:left w:val="none" w:sz="0" w:space="0" w:color="auto"/>
        <w:bottom w:val="none" w:sz="0" w:space="0" w:color="auto"/>
        <w:right w:val="none" w:sz="0" w:space="0" w:color="auto"/>
      </w:divBdr>
    </w:div>
    <w:div w:id="23672858">
      <w:bodyDiv w:val="1"/>
      <w:marLeft w:val="0"/>
      <w:marRight w:val="0"/>
      <w:marTop w:val="0"/>
      <w:marBottom w:val="0"/>
      <w:divBdr>
        <w:top w:val="none" w:sz="0" w:space="0" w:color="auto"/>
        <w:left w:val="none" w:sz="0" w:space="0" w:color="auto"/>
        <w:bottom w:val="none" w:sz="0" w:space="0" w:color="auto"/>
        <w:right w:val="none" w:sz="0" w:space="0" w:color="auto"/>
      </w:divBdr>
    </w:div>
    <w:div w:id="31865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A9BB7A0625CBD4AA1B5E3566FAC756C" ma:contentTypeVersion="7" ma:contentTypeDescription="Create a new document." ma:contentTypeScope="" ma:versionID="ef19be8ef1ebc35d2c240063d1551ff4">
  <xsd:schema xmlns:xsd="http://www.w3.org/2001/XMLSchema" xmlns:xs="http://www.w3.org/2001/XMLSchema" xmlns:p="http://schemas.microsoft.com/office/2006/metadata/properties" xmlns:ns2="3ca758c5-3090-46db-aadb-8cad22fbb6ba" xmlns:ns3="38adfbca-b18e-4ad0-b47d-31f69137281d" targetNamespace="http://schemas.microsoft.com/office/2006/metadata/properties" ma:root="true" ma:fieldsID="bfc20a78a36f2da7cae4da10790f74d2" ns2:_="" ns3:_="">
    <xsd:import namespace="3ca758c5-3090-46db-aadb-8cad22fbb6ba"/>
    <xsd:import namespace="38adfbca-b18e-4ad0-b47d-31f6913728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758c5-3090-46db-aadb-8cad22fbb6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Status" ma:index="14" nillable="true" ma:displayName="Status" ma:default="Pending" ma:format="Dropdown" ma:internalName="Status">
      <xsd:simpleType>
        <xsd:restriction base="dms:Choice">
          <xsd:enumeration value="Pending"/>
          <xsd:enumeration value="Approved"/>
          <xsd:enumeration value="Rejected"/>
        </xsd:restriction>
      </xsd:simpleType>
    </xsd:element>
  </xsd:schema>
  <xsd:schema xmlns:xsd="http://www.w3.org/2001/XMLSchema" xmlns:xs="http://www.w3.org/2001/XMLSchema" xmlns:dms="http://schemas.microsoft.com/office/2006/documentManagement/types" xmlns:pc="http://schemas.microsoft.com/office/infopath/2007/PartnerControls" targetNamespace="38adfbca-b18e-4ad0-b47d-31f6913728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3ca758c5-3090-46db-aadb-8cad22fbb6ba">Pending</Status>
  </documentManagement>
</p:properties>
</file>

<file path=customXml/itemProps1.xml><?xml version="1.0" encoding="utf-8"?>
<ds:datastoreItem xmlns:ds="http://schemas.openxmlformats.org/officeDocument/2006/customXml" ds:itemID="{397D99A7-902B-4A0B-B258-699DBB2D8CBC}">
  <ds:schemaRefs>
    <ds:schemaRef ds:uri="http://schemas.openxmlformats.org/officeDocument/2006/bibliography"/>
  </ds:schemaRefs>
</ds:datastoreItem>
</file>

<file path=customXml/itemProps2.xml><?xml version="1.0" encoding="utf-8"?>
<ds:datastoreItem xmlns:ds="http://schemas.openxmlformats.org/officeDocument/2006/customXml" ds:itemID="{BB7FC019-A196-4583-B75F-DD090E695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758c5-3090-46db-aadb-8cad22fbb6ba"/>
    <ds:schemaRef ds:uri="38adfbca-b18e-4ad0-b47d-31f691372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E4270B-62D7-4FCD-9680-0D54DD0AB091}">
  <ds:schemaRefs>
    <ds:schemaRef ds:uri="http://schemas.microsoft.com/sharepoint/v3/contenttype/forms"/>
  </ds:schemaRefs>
</ds:datastoreItem>
</file>

<file path=customXml/itemProps4.xml><?xml version="1.0" encoding="utf-8"?>
<ds:datastoreItem xmlns:ds="http://schemas.openxmlformats.org/officeDocument/2006/customXml" ds:itemID="{89C92569-EFA8-4EF6-8345-CACFA6E06C1D}">
  <ds:schemaRefs>
    <ds:schemaRef ds:uri="http://schemas.microsoft.com/office/2006/documentManagement/types"/>
    <ds:schemaRef ds:uri="http://purl.org/dc/dcmitype/"/>
    <ds:schemaRef ds:uri="http://schemas.microsoft.com/office/2006/metadata/properties"/>
    <ds:schemaRef ds:uri="38adfbca-b18e-4ad0-b47d-31f69137281d"/>
    <ds:schemaRef ds:uri="http://purl.org/dc/terms/"/>
    <ds:schemaRef ds:uri="http://purl.org/dc/elements/1.1/"/>
    <ds:schemaRef ds:uri="http://schemas.microsoft.com/office/infopath/2007/PartnerControls"/>
    <ds:schemaRef ds:uri="http://www.w3.org/XML/1998/namespace"/>
    <ds:schemaRef ds:uri="http://schemas.openxmlformats.org/package/2006/metadata/core-properties"/>
    <ds:schemaRef ds:uri="3ca758c5-3090-46db-aadb-8cad22fbb6ba"/>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21</Pages>
  <Words>4921</Words>
  <Characters>27709</Characters>
  <Application>Microsoft Office Word</Application>
  <DocSecurity>0</DocSecurity>
  <Lines>532</Lines>
  <Paragraphs>261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Verorab</dc:title>
  <dc:subject/>
  <dc:creator/>
  <cp:keywords/>
  <dc:description/>
  <cp:lastModifiedBy>PITKIN, Brendan</cp:lastModifiedBy>
  <cp:revision>14</cp:revision>
  <cp:lastPrinted>2022-04-29T05:54:00Z</cp:lastPrinted>
  <dcterms:created xsi:type="dcterms:W3CDTF">2022-09-13T12:27:00Z</dcterms:created>
  <dcterms:modified xsi:type="dcterms:W3CDTF">2023-05-11T04:48:00Z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Type of Document</vt:lpwstr>
  </property>
  <property fmtid="{D5CDD505-2E9C-101B-9397-08002B2CF9AE}" pid="3" name="INN">
    <vt:lpwstr>INN</vt:lpwstr>
  </property>
  <property fmtid="{D5CDD505-2E9C-101B-9397-08002B2CF9AE}" pid="4" name="Date">
    <vt:lpwstr>Date</vt:lpwstr>
  </property>
  <property fmtid="{D5CDD505-2E9C-101B-9397-08002B2CF9AE}" pid="5" name="Product Code">
    <vt:lpwstr>Product Code / Study Number</vt:lpwstr>
  </property>
  <property fmtid="{D5CDD505-2E9C-101B-9397-08002B2CF9AE}" pid="6" name="LastRefNum">
    <vt:i4>0</vt:i4>
  </property>
  <property fmtid="{D5CDD505-2E9C-101B-9397-08002B2CF9AE}" pid="7" name="https">
    <vt:lpwstr>1</vt:lpwstr>
  </property>
  <property fmtid="{D5CDD505-2E9C-101B-9397-08002B2CF9AE}" pid="8" name="Custom1">
    <vt:lpwstr/>
  </property>
  <property fmtid="{D5CDD505-2E9C-101B-9397-08002B2CF9AE}" pid="9" name="Custom2">
    <vt:lpwstr/>
  </property>
  <property fmtid="{D5CDD505-2E9C-101B-9397-08002B2CF9AE}" pid="10" name="Custom3">
    <vt:lpwstr/>
  </property>
  <property fmtid="{D5CDD505-2E9C-101B-9397-08002B2CF9AE}" pid="11" name="Custom4">
    <vt:lpwstr/>
  </property>
  <property fmtid="{D5CDD505-2E9C-101B-9397-08002B2CF9AE}" pid="12" name="ContentTypeId">
    <vt:lpwstr>0x0101007A9BB7A0625CBD4AA1B5E3566FAC756C</vt:lpwstr>
  </property>
  <property fmtid="{D5CDD505-2E9C-101B-9397-08002B2CF9AE}" pid="13" name="_NewReviewCycle">
    <vt:lpwstr/>
  </property>
</Properties>
</file>