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page" w:horzAnchor="margin" w:tblpY="3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20"/>
      </w:tblGrid>
      <w:tr w:rsidR="00F02AEC" w:rsidRPr="003C742E" w14:paraId="08AE1D54" w14:textId="77777777" w:rsidTr="00346EC2">
        <w:trPr>
          <w:trHeight w:val="1558"/>
        </w:trPr>
        <w:tc>
          <w:tcPr>
            <w:tcW w:w="8720" w:type="dxa"/>
          </w:tcPr>
          <w:p w14:paraId="2538A211" w14:textId="25D29548" w:rsidR="00F02AEC" w:rsidRPr="003C742E" w:rsidRDefault="00346EC2" w:rsidP="007452E8">
            <w:pPr>
              <w:pStyle w:val="Title"/>
            </w:pPr>
            <w:r w:rsidRPr="003C742E">
              <w:t xml:space="preserve">Australian Public Assessment Report for </w:t>
            </w:r>
            <w:r w:rsidR="006B6782" w:rsidRPr="003C742E">
              <w:t>Spikevax</w:t>
            </w:r>
          </w:p>
        </w:tc>
      </w:tr>
      <w:tr w:rsidR="00F02AEC" w:rsidRPr="003C742E" w14:paraId="318A40A3" w14:textId="77777777" w:rsidTr="00346EC2">
        <w:trPr>
          <w:trHeight w:val="995"/>
        </w:trPr>
        <w:tc>
          <w:tcPr>
            <w:tcW w:w="8720" w:type="dxa"/>
          </w:tcPr>
          <w:p w14:paraId="1AA7C701" w14:textId="0BC4E3B3" w:rsidR="00F02AEC" w:rsidRPr="003C742E" w:rsidRDefault="00346EC2" w:rsidP="007452E8">
            <w:pPr>
              <w:pStyle w:val="Subtitle"/>
              <w:ind w:left="0"/>
            </w:pPr>
            <w:r w:rsidRPr="003C742E">
              <w:t xml:space="preserve">Active ingredient: </w:t>
            </w:r>
            <w:r w:rsidR="006B6782" w:rsidRPr="003C742E">
              <w:t>Elasomeran</w:t>
            </w:r>
          </w:p>
        </w:tc>
      </w:tr>
      <w:tr w:rsidR="00346EC2" w:rsidRPr="006907D5" w14:paraId="362CCAE4" w14:textId="77777777" w:rsidTr="007452E8">
        <w:trPr>
          <w:trHeight w:val="1916"/>
        </w:trPr>
        <w:tc>
          <w:tcPr>
            <w:tcW w:w="8720" w:type="dxa"/>
          </w:tcPr>
          <w:p w14:paraId="709C45C0" w14:textId="62C3332C" w:rsidR="00346EC2" w:rsidRPr="00A008B9" w:rsidRDefault="00346EC2" w:rsidP="007452E8">
            <w:pPr>
              <w:pStyle w:val="Subtitle"/>
              <w:ind w:left="0"/>
            </w:pPr>
            <w:r w:rsidRPr="00A008B9">
              <w:t xml:space="preserve">Sponsor: </w:t>
            </w:r>
            <w:r w:rsidR="006B6782" w:rsidRPr="00A008B9">
              <w:t>Moderna Australia Pty Ltd</w:t>
            </w:r>
          </w:p>
        </w:tc>
      </w:tr>
      <w:tr w:rsidR="00F02AEC" w:rsidRPr="003C742E" w14:paraId="37F2AA1F" w14:textId="77777777" w:rsidTr="007452E8">
        <w:tc>
          <w:tcPr>
            <w:tcW w:w="8720" w:type="dxa"/>
          </w:tcPr>
          <w:p w14:paraId="1FDE8DCD" w14:textId="0D206C5C" w:rsidR="00F02AEC" w:rsidRPr="003C742E" w:rsidRDefault="000E0911" w:rsidP="007452E8">
            <w:pPr>
              <w:pStyle w:val="Date"/>
            </w:pPr>
            <w:r>
              <w:t>May</w:t>
            </w:r>
            <w:r w:rsidRPr="003C742E">
              <w:t xml:space="preserve"> </w:t>
            </w:r>
            <w:r w:rsidR="006B6782" w:rsidRPr="003C742E">
              <w:t>2023</w:t>
            </w:r>
          </w:p>
        </w:tc>
      </w:tr>
    </w:tbl>
    <w:p w14:paraId="73752706" w14:textId="77777777" w:rsidR="00F02AEC" w:rsidRPr="003C742E" w:rsidRDefault="00F02AEC" w:rsidP="007452E8">
      <w:pPr>
        <w:pStyle w:val="ListBullet"/>
        <w:numPr>
          <w:ilvl w:val="0"/>
          <w:numId w:val="0"/>
        </w:numPr>
        <w:sectPr w:rsidR="00F02AEC" w:rsidRPr="003C742E" w:rsidSect="00CB0550">
          <w:headerReference w:type="default" r:id="rId11"/>
          <w:footerReference w:type="default" r:id="rId12"/>
          <w:headerReference w:type="first" r:id="rId13"/>
          <w:footerReference w:type="first" r:id="rId14"/>
          <w:pgSz w:w="11906" w:h="16838"/>
          <w:pgMar w:top="1440" w:right="1440" w:bottom="1440" w:left="1440" w:header="708" w:footer="708" w:gutter="0"/>
          <w:cols w:space="708"/>
          <w:titlePg/>
          <w:docGrid w:linePitch="360"/>
        </w:sectPr>
      </w:pPr>
    </w:p>
    <w:p w14:paraId="2170A423" w14:textId="77777777" w:rsidR="00346EC2" w:rsidRPr="003C742E" w:rsidRDefault="00346EC2" w:rsidP="00346EC2">
      <w:pPr>
        <w:pStyle w:val="NonTOCHeading20"/>
      </w:pPr>
      <w:r w:rsidRPr="003C742E">
        <w:lastRenderedPageBreak/>
        <w:t>About the Therapeutic Goods Administration (TGA)</w:t>
      </w:r>
    </w:p>
    <w:p w14:paraId="79558AE9" w14:textId="77777777" w:rsidR="00346EC2" w:rsidRPr="003C742E" w:rsidRDefault="00346EC2" w:rsidP="0056766D">
      <w:pPr>
        <w:pStyle w:val="ListBullet"/>
      </w:pPr>
      <w:r w:rsidRPr="003C742E">
        <w:t>The Therapeutic Goods Administration (TGA) is part of the Australian Government Department of Health and Aged Care and is responsible for regulating therapeutic goods, including medicines, medical devices, and biologicals.</w:t>
      </w:r>
    </w:p>
    <w:p w14:paraId="61BEFDB6" w14:textId="77777777" w:rsidR="00346EC2" w:rsidRPr="003C742E" w:rsidRDefault="00346EC2" w:rsidP="00346EC2">
      <w:pPr>
        <w:pStyle w:val="ListBullet"/>
      </w:pPr>
      <w:r w:rsidRPr="003C742E">
        <w:t xml:space="preserve">The TGA administers the </w:t>
      </w:r>
      <w:r w:rsidRPr="003C742E">
        <w:rPr>
          <w:i/>
          <w:iCs/>
        </w:rPr>
        <w:t>Therapeutic Goods Act 1989</w:t>
      </w:r>
      <w:r w:rsidRPr="003C742E">
        <w:t xml:space="preserve"> (the Act), applying a risk management approach designed to ensure therapeutic goods supplied in Australia meet acceptable standards of quality, safety, and efficacy.</w:t>
      </w:r>
    </w:p>
    <w:p w14:paraId="77180CB3" w14:textId="77777777" w:rsidR="00346EC2" w:rsidRPr="003C742E" w:rsidRDefault="00346EC2" w:rsidP="00346EC2">
      <w:pPr>
        <w:pStyle w:val="ListBullet"/>
      </w:pPr>
      <w:r w:rsidRPr="003C742E">
        <w:t>The work of the TGA is based on applying scientific and clinical expertise to decision-making, to ensure that the benefits to the Australian public outweigh any risks associated with the use of therapeutic goods.</w:t>
      </w:r>
    </w:p>
    <w:p w14:paraId="70AC2A35" w14:textId="77777777" w:rsidR="00346EC2" w:rsidRPr="003C742E" w:rsidRDefault="00346EC2" w:rsidP="00346EC2">
      <w:pPr>
        <w:pStyle w:val="ListBullet"/>
      </w:pPr>
      <w:r w:rsidRPr="003C742E">
        <w:t>The TGA relies on the public, healthcare professionals and industry to report problems with therapeutic goods. The TGA investigates reports received to determine any necessary regulatory action.</w:t>
      </w:r>
    </w:p>
    <w:p w14:paraId="17DC24C6" w14:textId="0D39F246" w:rsidR="00346EC2" w:rsidRPr="003C742E" w:rsidRDefault="00346EC2" w:rsidP="00346EC2">
      <w:pPr>
        <w:pStyle w:val="ListBullet"/>
      </w:pPr>
      <w:r w:rsidRPr="003C742E">
        <w:t xml:space="preserve">To report a problem with a therapeutic good, please see the information on the </w:t>
      </w:r>
      <w:hyperlink r:id="rId15" w:history="1">
        <w:r w:rsidRPr="003C742E">
          <w:rPr>
            <w:rStyle w:val="Hyperlink"/>
          </w:rPr>
          <w:t>TGA website</w:t>
        </w:r>
      </w:hyperlink>
      <w:r w:rsidRPr="003C742E">
        <w:t>.</w:t>
      </w:r>
    </w:p>
    <w:p w14:paraId="737B7A99" w14:textId="77777777" w:rsidR="00346EC2" w:rsidRPr="003C742E" w:rsidRDefault="00346EC2" w:rsidP="00346EC2">
      <w:pPr>
        <w:pStyle w:val="NonTOCHeading20"/>
      </w:pPr>
      <w:bookmarkStart w:id="0" w:name="OLE_LINK37"/>
      <w:r w:rsidRPr="003C742E">
        <w:t>About AusPARs</w:t>
      </w:r>
    </w:p>
    <w:p w14:paraId="631B2209" w14:textId="03101FEF" w:rsidR="00346EC2" w:rsidRPr="003C742E" w:rsidRDefault="00346EC2" w:rsidP="00346EC2">
      <w:pPr>
        <w:pStyle w:val="ListBullet"/>
      </w:pPr>
      <w:r w:rsidRPr="003C742E">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16" w:history="1">
        <w:r w:rsidRPr="003C742E">
          <w:rPr>
            <w:rStyle w:val="Hyperlink"/>
          </w:rPr>
          <w:t>Australian Public Assessment Report (AusPAR) guidance</w:t>
        </w:r>
      </w:hyperlink>
      <w:r w:rsidRPr="003C742E">
        <w:t>.</w:t>
      </w:r>
    </w:p>
    <w:p w14:paraId="22F5A730" w14:textId="77777777" w:rsidR="00346EC2" w:rsidRPr="003C742E" w:rsidRDefault="00346EC2" w:rsidP="00346EC2">
      <w:pPr>
        <w:pStyle w:val="ListBullet"/>
      </w:pPr>
      <w:r w:rsidRPr="003C742E">
        <w:t>AusPARs are prepared and published by the TGA.</w:t>
      </w:r>
    </w:p>
    <w:p w14:paraId="451B8FD7" w14:textId="77777777" w:rsidR="00346EC2" w:rsidRPr="003C742E" w:rsidRDefault="00346EC2" w:rsidP="00346EC2">
      <w:pPr>
        <w:pStyle w:val="ListBullet"/>
      </w:pPr>
      <w:r w:rsidRPr="003C742E">
        <w:t>AusPARs are static documents that provide information that relates to a submission at a particular point in time. The publication of an AusPAR is an important part of the transparency of the TGA’s decision-making process.</w:t>
      </w:r>
    </w:p>
    <w:p w14:paraId="4D69F5CF" w14:textId="77777777" w:rsidR="00346EC2" w:rsidRPr="003C742E" w:rsidRDefault="00346EC2" w:rsidP="00346EC2">
      <w:pPr>
        <w:pStyle w:val="ListBullet"/>
      </w:pPr>
      <w:r w:rsidRPr="003C742E">
        <w:t>A new AusPAR may be provided to reflect changes to indications or major variations to a prescription medicine subject to evaluation by the TGA.</w:t>
      </w:r>
    </w:p>
    <w:bookmarkEnd w:id="0"/>
    <w:p w14:paraId="7067011F" w14:textId="510D5C5C" w:rsidR="00F02AEC" w:rsidRPr="003C742E" w:rsidRDefault="00F02AEC" w:rsidP="00FE087C">
      <w:pPr>
        <w:pStyle w:val="LegalSubheading"/>
        <w:spacing w:before="3600"/>
      </w:pPr>
      <w:r w:rsidRPr="003C742E">
        <w:t>Copyright</w:t>
      </w:r>
    </w:p>
    <w:p w14:paraId="170A8A5D" w14:textId="155C45EE" w:rsidR="00175CD8" w:rsidRPr="003C742E" w:rsidRDefault="00F02AEC" w:rsidP="00346EC2">
      <w:pPr>
        <w:pStyle w:val="LegalCopy"/>
        <w:rPr>
          <w:rFonts w:cs="Arial"/>
        </w:rPr>
      </w:pPr>
      <w:r w:rsidRPr="003C742E">
        <w:rPr>
          <w:rFonts w:cs="Arial"/>
        </w:rPr>
        <w:t>© Commonwealth of Australia 202</w:t>
      </w:r>
      <w:r w:rsidR="00E47E0C" w:rsidRPr="003C742E">
        <w:rPr>
          <w:rFonts w:cs="Arial"/>
        </w:rPr>
        <w:t>3</w:t>
      </w:r>
      <w:r w:rsidRPr="003C742E">
        <w:rPr>
          <w:rFonts w:cs="Arial"/>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3C742E">
        <w:rPr>
          <w:rFonts w:cs="Arial"/>
          <w:i/>
        </w:rPr>
        <w:t>Copyright Act 1968</w:t>
      </w:r>
      <w:r w:rsidRPr="003C742E">
        <w:rPr>
          <w:rFonts w:cs="Arial"/>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7" w:history="1">
        <w:r w:rsidRPr="003C742E">
          <w:rPr>
            <w:rStyle w:val="Hyperlink"/>
            <w:rFonts w:cs="Arial"/>
          </w:rPr>
          <w:t>tga.copyright@tga.gov.au</w:t>
        </w:r>
      </w:hyperlink>
      <w:r w:rsidRPr="003C742E">
        <w:rPr>
          <w:rFonts w:cs="Arial"/>
        </w:rPr>
        <w:t>&gt;.</w:t>
      </w:r>
    </w:p>
    <w:sdt>
      <w:sdtPr>
        <w:rPr>
          <w:rFonts w:ascii="Cambria" w:eastAsiaTheme="minorHAnsi" w:hAnsi="Cambria" w:cstheme="minorBidi"/>
          <w:b w:val="0"/>
          <w:color w:val="auto"/>
          <w:sz w:val="22"/>
          <w:szCs w:val="22"/>
        </w:rPr>
        <w:id w:val="21514769"/>
        <w:docPartObj>
          <w:docPartGallery w:val="Table of Contents"/>
          <w:docPartUnique/>
        </w:docPartObj>
      </w:sdtPr>
      <w:sdtEndPr>
        <w:rPr>
          <w:szCs w:val="20"/>
        </w:rPr>
      </w:sdtEndPr>
      <w:sdtContent>
        <w:p w14:paraId="0A6ADA2B" w14:textId="77777777" w:rsidR="00F02AEC" w:rsidRPr="003C742E" w:rsidRDefault="00F02AEC" w:rsidP="007452E8">
          <w:pPr>
            <w:pStyle w:val="NonTOCheading2"/>
          </w:pPr>
          <w:r w:rsidRPr="003C742E">
            <w:t>Contents</w:t>
          </w:r>
        </w:p>
        <w:p w14:paraId="6AA3CC37" w14:textId="7839C5BE" w:rsidR="0005046B" w:rsidRDefault="00F02AEC">
          <w:pPr>
            <w:pStyle w:val="TOC1"/>
            <w:rPr>
              <w:rFonts w:asciiTheme="minorHAnsi" w:eastAsiaTheme="minorEastAsia" w:hAnsiTheme="minorHAnsi" w:cstheme="minorBidi"/>
              <w:b w:val="0"/>
              <w:noProof/>
              <w:color w:val="auto"/>
              <w:sz w:val="22"/>
              <w:szCs w:val="22"/>
              <w:lang w:eastAsia="en-AU"/>
            </w:rPr>
          </w:pPr>
          <w:r w:rsidRPr="003C742E">
            <w:fldChar w:fldCharType="begin"/>
          </w:r>
          <w:r w:rsidRPr="003C742E">
            <w:instrText xml:space="preserve"> TOC \h \z \u \t "Heading 2,1,Heading 3,2,Heading 4,3" </w:instrText>
          </w:r>
          <w:r w:rsidRPr="003C742E">
            <w:fldChar w:fldCharType="separate"/>
          </w:r>
          <w:hyperlink w:anchor="_Toc134622037" w:history="1">
            <w:r w:rsidR="0005046B" w:rsidRPr="00BB71DF">
              <w:rPr>
                <w:rStyle w:val="Hyperlink"/>
                <w:noProof/>
              </w:rPr>
              <w:t>List of abbreviations</w:t>
            </w:r>
            <w:r w:rsidR="0005046B">
              <w:rPr>
                <w:noProof/>
                <w:webHidden/>
              </w:rPr>
              <w:tab/>
            </w:r>
            <w:r w:rsidR="0005046B">
              <w:rPr>
                <w:noProof/>
                <w:webHidden/>
              </w:rPr>
              <w:fldChar w:fldCharType="begin"/>
            </w:r>
            <w:r w:rsidR="0005046B">
              <w:rPr>
                <w:noProof/>
                <w:webHidden/>
              </w:rPr>
              <w:instrText xml:space="preserve"> PAGEREF _Toc134622037 \h </w:instrText>
            </w:r>
            <w:r w:rsidR="0005046B">
              <w:rPr>
                <w:noProof/>
                <w:webHidden/>
              </w:rPr>
            </w:r>
            <w:r w:rsidR="0005046B">
              <w:rPr>
                <w:noProof/>
                <w:webHidden/>
              </w:rPr>
              <w:fldChar w:fldCharType="separate"/>
            </w:r>
            <w:r w:rsidR="0005046B">
              <w:rPr>
                <w:noProof/>
                <w:webHidden/>
              </w:rPr>
              <w:t>4</w:t>
            </w:r>
            <w:r w:rsidR="0005046B">
              <w:rPr>
                <w:noProof/>
                <w:webHidden/>
              </w:rPr>
              <w:fldChar w:fldCharType="end"/>
            </w:r>
          </w:hyperlink>
        </w:p>
        <w:p w14:paraId="28DE401C" w14:textId="4D1A0120" w:rsidR="0005046B" w:rsidRDefault="009809E2">
          <w:pPr>
            <w:pStyle w:val="TOC1"/>
            <w:rPr>
              <w:rFonts w:asciiTheme="minorHAnsi" w:eastAsiaTheme="minorEastAsia" w:hAnsiTheme="minorHAnsi" w:cstheme="minorBidi"/>
              <w:b w:val="0"/>
              <w:noProof/>
              <w:color w:val="auto"/>
              <w:sz w:val="22"/>
              <w:szCs w:val="22"/>
              <w:lang w:eastAsia="en-AU"/>
            </w:rPr>
          </w:pPr>
          <w:hyperlink w:anchor="_Toc134622038" w:history="1">
            <w:r w:rsidR="0005046B" w:rsidRPr="00BB71DF">
              <w:rPr>
                <w:rStyle w:val="Hyperlink"/>
                <w:noProof/>
              </w:rPr>
              <w:t>Product submission</w:t>
            </w:r>
            <w:r w:rsidR="0005046B">
              <w:rPr>
                <w:noProof/>
                <w:webHidden/>
              </w:rPr>
              <w:tab/>
            </w:r>
            <w:r w:rsidR="0005046B">
              <w:rPr>
                <w:noProof/>
                <w:webHidden/>
              </w:rPr>
              <w:fldChar w:fldCharType="begin"/>
            </w:r>
            <w:r w:rsidR="0005046B">
              <w:rPr>
                <w:noProof/>
                <w:webHidden/>
              </w:rPr>
              <w:instrText xml:space="preserve"> PAGEREF _Toc134622038 \h </w:instrText>
            </w:r>
            <w:r w:rsidR="0005046B">
              <w:rPr>
                <w:noProof/>
                <w:webHidden/>
              </w:rPr>
            </w:r>
            <w:r w:rsidR="0005046B">
              <w:rPr>
                <w:noProof/>
                <w:webHidden/>
              </w:rPr>
              <w:fldChar w:fldCharType="separate"/>
            </w:r>
            <w:r w:rsidR="0005046B">
              <w:rPr>
                <w:noProof/>
                <w:webHidden/>
              </w:rPr>
              <w:t>6</w:t>
            </w:r>
            <w:r w:rsidR="0005046B">
              <w:rPr>
                <w:noProof/>
                <w:webHidden/>
              </w:rPr>
              <w:fldChar w:fldCharType="end"/>
            </w:r>
          </w:hyperlink>
        </w:p>
        <w:p w14:paraId="714E3BC0" w14:textId="13616870" w:rsidR="0005046B" w:rsidRDefault="009809E2">
          <w:pPr>
            <w:pStyle w:val="TOC2"/>
            <w:rPr>
              <w:rFonts w:asciiTheme="minorHAnsi" w:eastAsiaTheme="minorEastAsia" w:hAnsiTheme="minorHAnsi" w:cstheme="minorBidi"/>
              <w:b w:val="0"/>
              <w:noProof/>
              <w:color w:val="auto"/>
              <w:sz w:val="22"/>
              <w:szCs w:val="22"/>
              <w:lang w:eastAsia="en-AU"/>
            </w:rPr>
          </w:pPr>
          <w:hyperlink w:anchor="_Toc134622039" w:history="1">
            <w:r w:rsidR="0005046B" w:rsidRPr="00BB71DF">
              <w:rPr>
                <w:rStyle w:val="Hyperlink"/>
                <w:noProof/>
                <w:lang w:eastAsia="en-AU"/>
              </w:rPr>
              <w:t>Submission details</w:t>
            </w:r>
            <w:r w:rsidR="0005046B">
              <w:rPr>
                <w:noProof/>
                <w:webHidden/>
              </w:rPr>
              <w:tab/>
            </w:r>
            <w:r w:rsidR="0005046B">
              <w:rPr>
                <w:noProof/>
                <w:webHidden/>
              </w:rPr>
              <w:fldChar w:fldCharType="begin"/>
            </w:r>
            <w:r w:rsidR="0005046B">
              <w:rPr>
                <w:noProof/>
                <w:webHidden/>
              </w:rPr>
              <w:instrText xml:space="preserve"> PAGEREF _Toc134622039 \h </w:instrText>
            </w:r>
            <w:r w:rsidR="0005046B">
              <w:rPr>
                <w:noProof/>
                <w:webHidden/>
              </w:rPr>
            </w:r>
            <w:r w:rsidR="0005046B">
              <w:rPr>
                <w:noProof/>
                <w:webHidden/>
              </w:rPr>
              <w:fldChar w:fldCharType="separate"/>
            </w:r>
            <w:r w:rsidR="0005046B">
              <w:rPr>
                <w:noProof/>
                <w:webHidden/>
              </w:rPr>
              <w:t>6</w:t>
            </w:r>
            <w:r w:rsidR="0005046B">
              <w:rPr>
                <w:noProof/>
                <w:webHidden/>
              </w:rPr>
              <w:fldChar w:fldCharType="end"/>
            </w:r>
          </w:hyperlink>
        </w:p>
        <w:p w14:paraId="61571CD3" w14:textId="27862516" w:rsidR="0005046B" w:rsidRDefault="009809E2">
          <w:pPr>
            <w:pStyle w:val="TOC2"/>
            <w:rPr>
              <w:rFonts w:asciiTheme="minorHAnsi" w:eastAsiaTheme="minorEastAsia" w:hAnsiTheme="minorHAnsi" w:cstheme="minorBidi"/>
              <w:b w:val="0"/>
              <w:noProof/>
              <w:color w:val="auto"/>
              <w:sz w:val="22"/>
              <w:szCs w:val="22"/>
              <w:lang w:eastAsia="en-AU"/>
            </w:rPr>
          </w:pPr>
          <w:hyperlink w:anchor="_Toc134622040" w:history="1">
            <w:r w:rsidR="0005046B" w:rsidRPr="00BB71DF">
              <w:rPr>
                <w:rStyle w:val="Hyperlink"/>
                <w:noProof/>
              </w:rPr>
              <w:t>Product background</w:t>
            </w:r>
            <w:r w:rsidR="0005046B">
              <w:rPr>
                <w:noProof/>
                <w:webHidden/>
              </w:rPr>
              <w:tab/>
            </w:r>
            <w:r w:rsidR="0005046B">
              <w:rPr>
                <w:noProof/>
                <w:webHidden/>
              </w:rPr>
              <w:fldChar w:fldCharType="begin"/>
            </w:r>
            <w:r w:rsidR="0005046B">
              <w:rPr>
                <w:noProof/>
                <w:webHidden/>
              </w:rPr>
              <w:instrText xml:space="preserve"> PAGEREF _Toc134622040 \h </w:instrText>
            </w:r>
            <w:r w:rsidR="0005046B">
              <w:rPr>
                <w:noProof/>
                <w:webHidden/>
              </w:rPr>
            </w:r>
            <w:r w:rsidR="0005046B">
              <w:rPr>
                <w:noProof/>
                <w:webHidden/>
              </w:rPr>
              <w:fldChar w:fldCharType="separate"/>
            </w:r>
            <w:r w:rsidR="0005046B">
              <w:rPr>
                <w:noProof/>
                <w:webHidden/>
              </w:rPr>
              <w:t>8</w:t>
            </w:r>
            <w:r w:rsidR="0005046B">
              <w:rPr>
                <w:noProof/>
                <w:webHidden/>
              </w:rPr>
              <w:fldChar w:fldCharType="end"/>
            </w:r>
          </w:hyperlink>
        </w:p>
        <w:p w14:paraId="65F9B007" w14:textId="31CB9E10" w:rsidR="0005046B" w:rsidRDefault="009809E2">
          <w:pPr>
            <w:pStyle w:val="TOC3"/>
            <w:rPr>
              <w:rFonts w:asciiTheme="minorHAnsi" w:eastAsiaTheme="minorEastAsia" w:hAnsiTheme="minorHAnsi" w:cstheme="minorBidi"/>
              <w:b w:val="0"/>
              <w:noProof/>
              <w:color w:val="auto"/>
              <w:szCs w:val="22"/>
              <w:lang w:eastAsia="en-AU"/>
            </w:rPr>
          </w:pPr>
          <w:hyperlink w:anchor="_Toc134622041" w:history="1">
            <w:r w:rsidR="0005046B" w:rsidRPr="00BB71DF">
              <w:rPr>
                <w:rStyle w:val="Hyperlink"/>
                <w:noProof/>
              </w:rPr>
              <w:t>Spikevax COVID-19 vaccine (elasomeran)</w:t>
            </w:r>
            <w:r w:rsidR="0005046B">
              <w:rPr>
                <w:noProof/>
                <w:webHidden/>
              </w:rPr>
              <w:tab/>
            </w:r>
            <w:r w:rsidR="0005046B">
              <w:rPr>
                <w:noProof/>
                <w:webHidden/>
              </w:rPr>
              <w:fldChar w:fldCharType="begin"/>
            </w:r>
            <w:r w:rsidR="0005046B">
              <w:rPr>
                <w:noProof/>
                <w:webHidden/>
              </w:rPr>
              <w:instrText xml:space="preserve"> PAGEREF _Toc134622041 \h </w:instrText>
            </w:r>
            <w:r w:rsidR="0005046B">
              <w:rPr>
                <w:noProof/>
                <w:webHidden/>
              </w:rPr>
            </w:r>
            <w:r w:rsidR="0005046B">
              <w:rPr>
                <w:noProof/>
                <w:webHidden/>
              </w:rPr>
              <w:fldChar w:fldCharType="separate"/>
            </w:r>
            <w:r w:rsidR="0005046B">
              <w:rPr>
                <w:noProof/>
                <w:webHidden/>
              </w:rPr>
              <w:t>11</w:t>
            </w:r>
            <w:r w:rsidR="0005046B">
              <w:rPr>
                <w:noProof/>
                <w:webHidden/>
              </w:rPr>
              <w:fldChar w:fldCharType="end"/>
            </w:r>
          </w:hyperlink>
        </w:p>
        <w:p w14:paraId="36E2F388" w14:textId="128CFD97" w:rsidR="0005046B" w:rsidRDefault="009809E2">
          <w:pPr>
            <w:pStyle w:val="TOC2"/>
            <w:rPr>
              <w:rFonts w:asciiTheme="minorHAnsi" w:eastAsiaTheme="minorEastAsia" w:hAnsiTheme="minorHAnsi" w:cstheme="minorBidi"/>
              <w:b w:val="0"/>
              <w:noProof/>
              <w:color w:val="auto"/>
              <w:sz w:val="22"/>
              <w:szCs w:val="22"/>
              <w:lang w:eastAsia="en-AU"/>
            </w:rPr>
          </w:pPr>
          <w:hyperlink w:anchor="_Toc134622042" w:history="1">
            <w:r w:rsidR="0005046B" w:rsidRPr="00BB71DF">
              <w:rPr>
                <w:rStyle w:val="Hyperlink"/>
                <w:noProof/>
              </w:rPr>
              <w:t>Regulatory status</w:t>
            </w:r>
            <w:r w:rsidR="0005046B">
              <w:rPr>
                <w:noProof/>
                <w:webHidden/>
              </w:rPr>
              <w:tab/>
            </w:r>
            <w:r w:rsidR="0005046B">
              <w:rPr>
                <w:noProof/>
                <w:webHidden/>
              </w:rPr>
              <w:fldChar w:fldCharType="begin"/>
            </w:r>
            <w:r w:rsidR="0005046B">
              <w:rPr>
                <w:noProof/>
                <w:webHidden/>
              </w:rPr>
              <w:instrText xml:space="preserve"> PAGEREF _Toc134622042 \h </w:instrText>
            </w:r>
            <w:r w:rsidR="0005046B">
              <w:rPr>
                <w:noProof/>
                <w:webHidden/>
              </w:rPr>
            </w:r>
            <w:r w:rsidR="0005046B">
              <w:rPr>
                <w:noProof/>
                <w:webHidden/>
              </w:rPr>
              <w:fldChar w:fldCharType="separate"/>
            </w:r>
            <w:r w:rsidR="0005046B">
              <w:rPr>
                <w:noProof/>
                <w:webHidden/>
              </w:rPr>
              <w:t>11</w:t>
            </w:r>
            <w:r w:rsidR="0005046B">
              <w:rPr>
                <w:noProof/>
                <w:webHidden/>
              </w:rPr>
              <w:fldChar w:fldCharType="end"/>
            </w:r>
          </w:hyperlink>
        </w:p>
        <w:p w14:paraId="3BA56CF7" w14:textId="17968C9C" w:rsidR="0005046B" w:rsidRDefault="009809E2">
          <w:pPr>
            <w:pStyle w:val="TOC2"/>
            <w:rPr>
              <w:rFonts w:asciiTheme="minorHAnsi" w:eastAsiaTheme="minorEastAsia" w:hAnsiTheme="minorHAnsi" w:cstheme="minorBidi"/>
              <w:b w:val="0"/>
              <w:noProof/>
              <w:color w:val="auto"/>
              <w:sz w:val="22"/>
              <w:szCs w:val="22"/>
              <w:lang w:eastAsia="en-AU"/>
            </w:rPr>
          </w:pPr>
          <w:hyperlink w:anchor="_Toc134622043" w:history="1">
            <w:r w:rsidR="0005046B" w:rsidRPr="00BB71DF">
              <w:rPr>
                <w:rStyle w:val="Hyperlink"/>
                <w:noProof/>
              </w:rPr>
              <w:t>Product Information</w:t>
            </w:r>
            <w:r w:rsidR="0005046B">
              <w:rPr>
                <w:noProof/>
                <w:webHidden/>
              </w:rPr>
              <w:tab/>
            </w:r>
            <w:r w:rsidR="0005046B">
              <w:rPr>
                <w:noProof/>
                <w:webHidden/>
              </w:rPr>
              <w:fldChar w:fldCharType="begin"/>
            </w:r>
            <w:r w:rsidR="0005046B">
              <w:rPr>
                <w:noProof/>
                <w:webHidden/>
              </w:rPr>
              <w:instrText xml:space="preserve"> PAGEREF _Toc134622043 \h </w:instrText>
            </w:r>
            <w:r w:rsidR="0005046B">
              <w:rPr>
                <w:noProof/>
                <w:webHidden/>
              </w:rPr>
            </w:r>
            <w:r w:rsidR="0005046B">
              <w:rPr>
                <w:noProof/>
                <w:webHidden/>
              </w:rPr>
              <w:fldChar w:fldCharType="separate"/>
            </w:r>
            <w:r w:rsidR="0005046B">
              <w:rPr>
                <w:noProof/>
                <w:webHidden/>
              </w:rPr>
              <w:t>12</w:t>
            </w:r>
            <w:r w:rsidR="0005046B">
              <w:rPr>
                <w:noProof/>
                <w:webHidden/>
              </w:rPr>
              <w:fldChar w:fldCharType="end"/>
            </w:r>
          </w:hyperlink>
        </w:p>
        <w:p w14:paraId="54522149" w14:textId="55A1BD39" w:rsidR="0005046B" w:rsidRDefault="009809E2">
          <w:pPr>
            <w:pStyle w:val="TOC1"/>
            <w:rPr>
              <w:rFonts w:asciiTheme="minorHAnsi" w:eastAsiaTheme="minorEastAsia" w:hAnsiTheme="minorHAnsi" w:cstheme="minorBidi"/>
              <w:b w:val="0"/>
              <w:noProof/>
              <w:color w:val="auto"/>
              <w:sz w:val="22"/>
              <w:szCs w:val="22"/>
              <w:lang w:eastAsia="en-AU"/>
            </w:rPr>
          </w:pPr>
          <w:hyperlink w:anchor="_Toc134622044" w:history="1">
            <w:r w:rsidR="0005046B" w:rsidRPr="00BB71DF">
              <w:rPr>
                <w:rStyle w:val="Hyperlink"/>
                <w:noProof/>
              </w:rPr>
              <w:t>Registration timeline</w:t>
            </w:r>
            <w:r w:rsidR="0005046B">
              <w:rPr>
                <w:noProof/>
                <w:webHidden/>
              </w:rPr>
              <w:tab/>
            </w:r>
            <w:r w:rsidR="0005046B">
              <w:rPr>
                <w:noProof/>
                <w:webHidden/>
              </w:rPr>
              <w:fldChar w:fldCharType="begin"/>
            </w:r>
            <w:r w:rsidR="0005046B">
              <w:rPr>
                <w:noProof/>
                <w:webHidden/>
              </w:rPr>
              <w:instrText xml:space="preserve"> PAGEREF _Toc134622044 \h </w:instrText>
            </w:r>
            <w:r w:rsidR="0005046B">
              <w:rPr>
                <w:noProof/>
                <w:webHidden/>
              </w:rPr>
            </w:r>
            <w:r w:rsidR="0005046B">
              <w:rPr>
                <w:noProof/>
                <w:webHidden/>
              </w:rPr>
              <w:fldChar w:fldCharType="separate"/>
            </w:r>
            <w:r w:rsidR="0005046B">
              <w:rPr>
                <w:noProof/>
                <w:webHidden/>
              </w:rPr>
              <w:t>12</w:t>
            </w:r>
            <w:r w:rsidR="0005046B">
              <w:rPr>
                <w:noProof/>
                <w:webHidden/>
              </w:rPr>
              <w:fldChar w:fldCharType="end"/>
            </w:r>
          </w:hyperlink>
        </w:p>
        <w:p w14:paraId="6DD3DA63" w14:textId="6AD974AD" w:rsidR="0005046B" w:rsidRDefault="009809E2">
          <w:pPr>
            <w:pStyle w:val="TOC1"/>
            <w:rPr>
              <w:rFonts w:asciiTheme="minorHAnsi" w:eastAsiaTheme="minorEastAsia" w:hAnsiTheme="minorHAnsi" w:cstheme="minorBidi"/>
              <w:b w:val="0"/>
              <w:noProof/>
              <w:color w:val="auto"/>
              <w:sz w:val="22"/>
              <w:szCs w:val="22"/>
              <w:lang w:eastAsia="en-AU"/>
            </w:rPr>
          </w:pPr>
          <w:hyperlink w:anchor="_Toc134622045" w:history="1">
            <w:r w:rsidR="0005046B" w:rsidRPr="00BB71DF">
              <w:rPr>
                <w:rStyle w:val="Hyperlink"/>
                <w:noProof/>
              </w:rPr>
              <w:t>Submission overview and risk/benefit assessment</w:t>
            </w:r>
            <w:r w:rsidR="0005046B">
              <w:rPr>
                <w:noProof/>
                <w:webHidden/>
              </w:rPr>
              <w:tab/>
            </w:r>
            <w:r w:rsidR="0005046B">
              <w:rPr>
                <w:noProof/>
                <w:webHidden/>
              </w:rPr>
              <w:fldChar w:fldCharType="begin"/>
            </w:r>
            <w:r w:rsidR="0005046B">
              <w:rPr>
                <w:noProof/>
                <w:webHidden/>
              </w:rPr>
              <w:instrText xml:space="preserve"> PAGEREF _Toc134622045 \h </w:instrText>
            </w:r>
            <w:r w:rsidR="0005046B">
              <w:rPr>
                <w:noProof/>
                <w:webHidden/>
              </w:rPr>
            </w:r>
            <w:r w:rsidR="0005046B">
              <w:rPr>
                <w:noProof/>
                <w:webHidden/>
              </w:rPr>
              <w:fldChar w:fldCharType="separate"/>
            </w:r>
            <w:r w:rsidR="0005046B">
              <w:rPr>
                <w:noProof/>
                <w:webHidden/>
              </w:rPr>
              <w:t>13</w:t>
            </w:r>
            <w:r w:rsidR="0005046B">
              <w:rPr>
                <w:noProof/>
                <w:webHidden/>
              </w:rPr>
              <w:fldChar w:fldCharType="end"/>
            </w:r>
          </w:hyperlink>
        </w:p>
        <w:p w14:paraId="736E053E" w14:textId="69B9C8D6" w:rsidR="0005046B" w:rsidRDefault="009809E2">
          <w:pPr>
            <w:pStyle w:val="TOC2"/>
            <w:rPr>
              <w:rFonts w:asciiTheme="minorHAnsi" w:eastAsiaTheme="minorEastAsia" w:hAnsiTheme="minorHAnsi" w:cstheme="minorBidi"/>
              <w:b w:val="0"/>
              <w:noProof/>
              <w:color w:val="auto"/>
              <w:sz w:val="22"/>
              <w:szCs w:val="22"/>
              <w:lang w:eastAsia="en-AU"/>
            </w:rPr>
          </w:pPr>
          <w:hyperlink w:anchor="_Toc134622046" w:history="1">
            <w:r w:rsidR="0005046B" w:rsidRPr="00BB71DF">
              <w:rPr>
                <w:rStyle w:val="Hyperlink"/>
                <w:noProof/>
              </w:rPr>
              <w:t>Quality</w:t>
            </w:r>
            <w:r w:rsidR="0005046B">
              <w:rPr>
                <w:noProof/>
                <w:webHidden/>
              </w:rPr>
              <w:tab/>
            </w:r>
            <w:r w:rsidR="0005046B">
              <w:rPr>
                <w:noProof/>
                <w:webHidden/>
              </w:rPr>
              <w:fldChar w:fldCharType="begin"/>
            </w:r>
            <w:r w:rsidR="0005046B">
              <w:rPr>
                <w:noProof/>
                <w:webHidden/>
              </w:rPr>
              <w:instrText xml:space="preserve"> PAGEREF _Toc134622046 \h </w:instrText>
            </w:r>
            <w:r w:rsidR="0005046B">
              <w:rPr>
                <w:noProof/>
                <w:webHidden/>
              </w:rPr>
            </w:r>
            <w:r w:rsidR="0005046B">
              <w:rPr>
                <w:noProof/>
                <w:webHidden/>
              </w:rPr>
              <w:fldChar w:fldCharType="separate"/>
            </w:r>
            <w:r w:rsidR="0005046B">
              <w:rPr>
                <w:noProof/>
                <w:webHidden/>
              </w:rPr>
              <w:t>14</w:t>
            </w:r>
            <w:r w:rsidR="0005046B">
              <w:rPr>
                <w:noProof/>
                <w:webHidden/>
              </w:rPr>
              <w:fldChar w:fldCharType="end"/>
            </w:r>
          </w:hyperlink>
        </w:p>
        <w:p w14:paraId="5ECC1056" w14:textId="45A865D8" w:rsidR="0005046B" w:rsidRDefault="009809E2">
          <w:pPr>
            <w:pStyle w:val="TOC2"/>
            <w:rPr>
              <w:rFonts w:asciiTheme="minorHAnsi" w:eastAsiaTheme="minorEastAsia" w:hAnsiTheme="minorHAnsi" w:cstheme="minorBidi"/>
              <w:b w:val="0"/>
              <w:noProof/>
              <w:color w:val="auto"/>
              <w:sz w:val="22"/>
              <w:szCs w:val="22"/>
              <w:lang w:eastAsia="en-AU"/>
            </w:rPr>
          </w:pPr>
          <w:hyperlink w:anchor="_Toc134622047" w:history="1">
            <w:r w:rsidR="0005046B" w:rsidRPr="00BB71DF">
              <w:rPr>
                <w:rStyle w:val="Hyperlink"/>
                <w:noProof/>
              </w:rPr>
              <w:t>Nonclinical</w:t>
            </w:r>
            <w:r w:rsidR="0005046B">
              <w:rPr>
                <w:noProof/>
                <w:webHidden/>
              </w:rPr>
              <w:tab/>
            </w:r>
            <w:r w:rsidR="0005046B">
              <w:rPr>
                <w:noProof/>
                <w:webHidden/>
              </w:rPr>
              <w:fldChar w:fldCharType="begin"/>
            </w:r>
            <w:r w:rsidR="0005046B">
              <w:rPr>
                <w:noProof/>
                <w:webHidden/>
              </w:rPr>
              <w:instrText xml:space="preserve"> PAGEREF _Toc134622047 \h </w:instrText>
            </w:r>
            <w:r w:rsidR="0005046B">
              <w:rPr>
                <w:noProof/>
                <w:webHidden/>
              </w:rPr>
            </w:r>
            <w:r w:rsidR="0005046B">
              <w:rPr>
                <w:noProof/>
                <w:webHidden/>
              </w:rPr>
              <w:fldChar w:fldCharType="separate"/>
            </w:r>
            <w:r w:rsidR="0005046B">
              <w:rPr>
                <w:noProof/>
                <w:webHidden/>
              </w:rPr>
              <w:t>14</w:t>
            </w:r>
            <w:r w:rsidR="0005046B">
              <w:rPr>
                <w:noProof/>
                <w:webHidden/>
              </w:rPr>
              <w:fldChar w:fldCharType="end"/>
            </w:r>
          </w:hyperlink>
        </w:p>
        <w:p w14:paraId="559B93F9" w14:textId="24BDC54D" w:rsidR="0005046B" w:rsidRDefault="009809E2">
          <w:pPr>
            <w:pStyle w:val="TOC2"/>
            <w:rPr>
              <w:rFonts w:asciiTheme="minorHAnsi" w:eastAsiaTheme="minorEastAsia" w:hAnsiTheme="minorHAnsi" w:cstheme="minorBidi"/>
              <w:b w:val="0"/>
              <w:noProof/>
              <w:color w:val="auto"/>
              <w:sz w:val="22"/>
              <w:szCs w:val="22"/>
              <w:lang w:eastAsia="en-AU"/>
            </w:rPr>
          </w:pPr>
          <w:hyperlink w:anchor="_Toc134622048" w:history="1">
            <w:r w:rsidR="0005046B" w:rsidRPr="00BB71DF">
              <w:rPr>
                <w:rStyle w:val="Hyperlink"/>
                <w:noProof/>
              </w:rPr>
              <w:t>Clinical</w:t>
            </w:r>
            <w:r w:rsidR="0005046B">
              <w:rPr>
                <w:noProof/>
                <w:webHidden/>
              </w:rPr>
              <w:tab/>
            </w:r>
            <w:r w:rsidR="0005046B">
              <w:rPr>
                <w:noProof/>
                <w:webHidden/>
              </w:rPr>
              <w:fldChar w:fldCharType="begin"/>
            </w:r>
            <w:r w:rsidR="0005046B">
              <w:rPr>
                <w:noProof/>
                <w:webHidden/>
              </w:rPr>
              <w:instrText xml:space="preserve"> PAGEREF _Toc134622048 \h </w:instrText>
            </w:r>
            <w:r w:rsidR="0005046B">
              <w:rPr>
                <w:noProof/>
                <w:webHidden/>
              </w:rPr>
            </w:r>
            <w:r w:rsidR="0005046B">
              <w:rPr>
                <w:noProof/>
                <w:webHidden/>
              </w:rPr>
              <w:fldChar w:fldCharType="separate"/>
            </w:r>
            <w:r w:rsidR="0005046B">
              <w:rPr>
                <w:noProof/>
                <w:webHidden/>
              </w:rPr>
              <w:t>14</w:t>
            </w:r>
            <w:r w:rsidR="0005046B">
              <w:rPr>
                <w:noProof/>
                <w:webHidden/>
              </w:rPr>
              <w:fldChar w:fldCharType="end"/>
            </w:r>
          </w:hyperlink>
        </w:p>
        <w:p w14:paraId="4C88A467" w14:textId="263C30C7" w:rsidR="0005046B" w:rsidRDefault="009809E2">
          <w:pPr>
            <w:pStyle w:val="TOC3"/>
            <w:rPr>
              <w:rFonts w:asciiTheme="minorHAnsi" w:eastAsiaTheme="minorEastAsia" w:hAnsiTheme="minorHAnsi" w:cstheme="minorBidi"/>
              <w:b w:val="0"/>
              <w:noProof/>
              <w:color w:val="auto"/>
              <w:szCs w:val="22"/>
              <w:lang w:eastAsia="en-AU"/>
            </w:rPr>
          </w:pPr>
          <w:hyperlink w:anchor="_Toc134622049" w:history="1">
            <w:r w:rsidR="0005046B" w:rsidRPr="00BB71DF">
              <w:rPr>
                <w:rStyle w:val="Hyperlink"/>
                <w:noProof/>
              </w:rPr>
              <w:t>Summary of clinical studies</w:t>
            </w:r>
            <w:r w:rsidR="0005046B">
              <w:rPr>
                <w:noProof/>
                <w:webHidden/>
              </w:rPr>
              <w:tab/>
            </w:r>
            <w:r w:rsidR="0005046B">
              <w:rPr>
                <w:noProof/>
                <w:webHidden/>
              </w:rPr>
              <w:fldChar w:fldCharType="begin"/>
            </w:r>
            <w:r w:rsidR="0005046B">
              <w:rPr>
                <w:noProof/>
                <w:webHidden/>
              </w:rPr>
              <w:instrText xml:space="preserve"> PAGEREF _Toc134622049 \h </w:instrText>
            </w:r>
            <w:r w:rsidR="0005046B">
              <w:rPr>
                <w:noProof/>
                <w:webHidden/>
              </w:rPr>
            </w:r>
            <w:r w:rsidR="0005046B">
              <w:rPr>
                <w:noProof/>
                <w:webHidden/>
              </w:rPr>
              <w:fldChar w:fldCharType="separate"/>
            </w:r>
            <w:r w:rsidR="0005046B">
              <w:rPr>
                <w:noProof/>
                <w:webHidden/>
              </w:rPr>
              <w:t>14</w:t>
            </w:r>
            <w:r w:rsidR="0005046B">
              <w:rPr>
                <w:noProof/>
                <w:webHidden/>
              </w:rPr>
              <w:fldChar w:fldCharType="end"/>
            </w:r>
          </w:hyperlink>
        </w:p>
        <w:p w14:paraId="3117E14E" w14:textId="48AA509A" w:rsidR="0005046B" w:rsidRDefault="009809E2">
          <w:pPr>
            <w:pStyle w:val="TOC3"/>
            <w:rPr>
              <w:rFonts w:asciiTheme="minorHAnsi" w:eastAsiaTheme="minorEastAsia" w:hAnsiTheme="minorHAnsi" w:cstheme="minorBidi"/>
              <w:b w:val="0"/>
              <w:noProof/>
              <w:color w:val="auto"/>
              <w:szCs w:val="22"/>
              <w:lang w:eastAsia="en-AU"/>
            </w:rPr>
          </w:pPr>
          <w:hyperlink w:anchor="_Toc134622050" w:history="1">
            <w:r w:rsidR="0005046B" w:rsidRPr="00BB71DF">
              <w:rPr>
                <w:rStyle w:val="Hyperlink"/>
                <w:noProof/>
              </w:rPr>
              <w:t>Clinical studies in adult populations</w:t>
            </w:r>
            <w:r w:rsidR="0005046B">
              <w:rPr>
                <w:noProof/>
                <w:webHidden/>
              </w:rPr>
              <w:tab/>
            </w:r>
            <w:r w:rsidR="0005046B">
              <w:rPr>
                <w:noProof/>
                <w:webHidden/>
              </w:rPr>
              <w:fldChar w:fldCharType="begin"/>
            </w:r>
            <w:r w:rsidR="0005046B">
              <w:rPr>
                <w:noProof/>
                <w:webHidden/>
              </w:rPr>
              <w:instrText xml:space="preserve"> PAGEREF _Toc134622050 \h </w:instrText>
            </w:r>
            <w:r w:rsidR="0005046B">
              <w:rPr>
                <w:noProof/>
                <w:webHidden/>
              </w:rPr>
            </w:r>
            <w:r w:rsidR="0005046B">
              <w:rPr>
                <w:noProof/>
                <w:webHidden/>
              </w:rPr>
              <w:fldChar w:fldCharType="separate"/>
            </w:r>
            <w:r w:rsidR="0005046B">
              <w:rPr>
                <w:noProof/>
                <w:webHidden/>
              </w:rPr>
              <w:t>20</w:t>
            </w:r>
            <w:r w:rsidR="0005046B">
              <w:rPr>
                <w:noProof/>
                <w:webHidden/>
              </w:rPr>
              <w:fldChar w:fldCharType="end"/>
            </w:r>
          </w:hyperlink>
        </w:p>
        <w:p w14:paraId="7C2B37A9" w14:textId="570E0D49" w:rsidR="0005046B" w:rsidRDefault="009809E2">
          <w:pPr>
            <w:pStyle w:val="TOC3"/>
            <w:rPr>
              <w:rFonts w:asciiTheme="minorHAnsi" w:eastAsiaTheme="minorEastAsia" w:hAnsiTheme="minorHAnsi" w:cstheme="minorBidi"/>
              <w:b w:val="0"/>
              <w:noProof/>
              <w:color w:val="auto"/>
              <w:szCs w:val="22"/>
              <w:lang w:eastAsia="en-AU"/>
            </w:rPr>
          </w:pPr>
          <w:hyperlink w:anchor="_Toc134622051" w:history="1">
            <w:r w:rsidR="0005046B" w:rsidRPr="00BB71DF">
              <w:rPr>
                <w:rStyle w:val="Hyperlink"/>
                <w:noProof/>
              </w:rPr>
              <w:t>Clinical studies in adolescent populations</w:t>
            </w:r>
            <w:r w:rsidR="0005046B">
              <w:rPr>
                <w:noProof/>
                <w:webHidden/>
              </w:rPr>
              <w:tab/>
            </w:r>
            <w:r w:rsidR="0005046B">
              <w:rPr>
                <w:noProof/>
                <w:webHidden/>
              </w:rPr>
              <w:fldChar w:fldCharType="begin"/>
            </w:r>
            <w:r w:rsidR="0005046B">
              <w:rPr>
                <w:noProof/>
                <w:webHidden/>
              </w:rPr>
              <w:instrText xml:space="preserve"> PAGEREF _Toc134622051 \h </w:instrText>
            </w:r>
            <w:r w:rsidR="0005046B">
              <w:rPr>
                <w:noProof/>
                <w:webHidden/>
              </w:rPr>
            </w:r>
            <w:r w:rsidR="0005046B">
              <w:rPr>
                <w:noProof/>
                <w:webHidden/>
              </w:rPr>
              <w:fldChar w:fldCharType="separate"/>
            </w:r>
            <w:r w:rsidR="0005046B">
              <w:rPr>
                <w:noProof/>
                <w:webHidden/>
              </w:rPr>
              <w:t>35</w:t>
            </w:r>
            <w:r w:rsidR="0005046B">
              <w:rPr>
                <w:noProof/>
                <w:webHidden/>
              </w:rPr>
              <w:fldChar w:fldCharType="end"/>
            </w:r>
          </w:hyperlink>
        </w:p>
        <w:p w14:paraId="210355CB" w14:textId="7FA6DED1" w:rsidR="0005046B" w:rsidRDefault="009809E2">
          <w:pPr>
            <w:pStyle w:val="TOC3"/>
            <w:rPr>
              <w:rFonts w:asciiTheme="minorHAnsi" w:eastAsiaTheme="minorEastAsia" w:hAnsiTheme="minorHAnsi" w:cstheme="minorBidi"/>
              <w:b w:val="0"/>
              <w:noProof/>
              <w:color w:val="auto"/>
              <w:szCs w:val="22"/>
              <w:lang w:eastAsia="en-AU"/>
            </w:rPr>
          </w:pPr>
          <w:hyperlink w:anchor="_Toc134622052" w:history="1">
            <w:r w:rsidR="0005046B" w:rsidRPr="00BB71DF">
              <w:rPr>
                <w:rStyle w:val="Hyperlink"/>
                <w:noProof/>
              </w:rPr>
              <w:t>Clinical studies in paediatric populations</w:t>
            </w:r>
            <w:r w:rsidR="0005046B">
              <w:rPr>
                <w:noProof/>
                <w:webHidden/>
              </w:rPr>
              <w:tab/>
            </w:r>
            <w:r w:rsidR="0005046B">
              <w:rPr>
                <w:noProof/>
                <w:webHidden/>
              </w:rPr>
              <w:fldChar w:fldCharType="begin"/>
            </w:r>
            <w:r w:rsidR="0005046B">
              <w:rPr>
                <w:noProof/>
                <w:webHidden/>
              </w:rPr>
              <w:instrText xml:space="preserve"> PAGEREF _Toc134622052 \h </w:instrText>
            </w:r>
            <w:r w:rsidR="0005046B">
              <w:rPr>
                <w:noProof/>
                <w:webHidden/>
              </w:rPr>
            </w:r>
            <w:r w:rsidR="0005046B">
              <w:rPr>
                <w:noProof/>
                <w:webHidden/>
              </w:rPr>
              <w:fldChar w:fldCharType="separate"/>
            </w:r>
            <w:r w:rsidR="0005046B">
              <w:rPr>
                <w:noProof/>
                <w:webHidden/>
              </w:rPr>
              <w:t>47</w:t>
            </w:r>
            <w:r w:rsidR="0005046B">
              <w:rPr>
                <w:noProof/>
                <w:webHidden/>
              </w:rPr>
              <w:fldChar w:fldCharType="end"/>
            </w:r>
          </w:hyperlink>
        </w:p>
        <w:p w14:paraId="17FF08EB" w14:textId="19CFA289" w:rsidR="0005046B" w:rsidRDefault="009809E2">
          <w:pPr>
            <w:pStyle w:val="TOC2"/>
            <w:rPr>
              <w:rFonts w:asciiTheme="minorHAnsi" w:eastAsiaTheme="minorEastAsia" w:hAnsiTheme="minorHAnsi" w:cstheme="minorBidi"/>
              <w:b w:val="0"/>
              <w:noProof/>
              <w:color w:val="auto"/>
              <w:sz w:val="22"/>
              <w:szCs w:val="22"/>
              <w:lang w:eastAsia="en-AU"/>
            </w:rPr>
          </w:pPr>
          <w:hyperlink w:anchor="_Toc134622053" w:history="1">
            <w:r w:rsidR="0005046B" w:rsidRPr="00BB71DF">
              <w:rPr>
                <w:rStyle w:val="Hyperlink"/>
                <w:noProof/>
                <w:lang w:eastAsia="en-AU"/>
              </w:rPr>
              <w:t>Risk management plan</w:t>
            </w:r>
            <w:r w:rsidR="0005046B">
              <w:rPr>
                <w:noProof/>
                <w:webHidden/>
              </w:rPr>
              <w:tab/>
            </w:r>
            <w:r w:rsidR="0005046B">
              <w:rPr>
                <w:noProof/>
                <w:webHidden/>
              </w:rPr>
              <w:fldChar w:fldCharType="begin"/>
            </w:r>
            <w:r w:rsidR="0005046B">
              <w:rPr>
                <w:noProof/>
                <w:webHidden/>
              </w:rPr>
              <w:instrText xml:space="preserve"> PAGEREF _Toc134622053 \h </w:instrText>
            </w:r>
            <w:r w:rsidR="0005046B">
              <w:rPr>
                <w:noProof/>
                <w:webHidden/>
              </w:rPr>
            </w:r>
            <w:r w:rsidR="0005046B">
              <w:rPr>
                <w:noProof/>
                <w:webHidden/>
              </w:rPr>
              <w:fldChar w:fldCharType="separate"/>
            </w:r>
            <w:r w:rsidR="0005046B">
              <w:rPr>
                <w:noProof/>
                <w:webHidden/>
              </w:rPr>
              <w:t>51</w:t>
            </w:r>
            <w:r w:rsidR="0005046B">
              <w:rPr>
                <w:noProof/>
                <w:webHidden/>
              </w:rPr>
              <w:fldChar w:fldCharType="end"/>
            </w:r>
          </w:hyperlink>
        </w:p>
        <w:p w14:paraId="2E05CD61" w14:textId="6148AF5C" w:rsidR="0005046B" w:rsidRDefault="009809E2">
          <w:pPr>
            <w:pStyle w:val="TOC2"/>
            <w:rPr>
              <w:rFonts w:asciiTheme="minorHAnsi" w:eastAsiaTheme="minorEastAsia" w:hAnsiTheme="minorHAnsi" w:cstheme="minorBidi"/>
              <w:b w:val="0"/>
              <w:noProof/>
              <w:color w:val="auto"/>
              <w:sz w:val="22"/>
              <w:szCs w:val="22"/>
              <w:lang w:eastAsia="en-AU"/>
            </w:rPr>
          </w:pPr>
          <w:hyperlink w:anchor="_Toc134622054" w:history="1">
            <w:r w:rsidR="0005046B" w:rsidRPr="00BB71DF">
              <w:rPr>
                <w:rStyle w:val="Hyperlink"/>
                <w:noProof/>
              </w:rPr>
              <w:t>Risk-benefit analysis</w:t>
            </w:r>
            <w:r w:rsidR="0005046B">
              <w:rPr>
                <w:noProof/>
                <w:webHidden/>
              </w:rPr>
              <w:tab/>
            </w:r>
            <w:r w:rsidR="0005046B">
              <w:rPr>
                <w:noProof/>
                <w:webHidden/>
              </w:rPr>
              <w:fldChar w:fldCharType="begin"/>
            </w:r>
            <w:r w:rsidR="0005046B">
              <w:rPr>
                <w:noProof/>
                <w:webHidden/>
              </w:rPr>
              <w:instrText xml:space="preserve"> PAGEREF _Toc134622054 \h </w:instrText>
            </w:r>
            <w:r w:rsidR="0005046B">
              <w:rPr>
                <w:noProof/>
                <w:webHidden/>
              </w:rPr>
            </w:r>
            <w:r w:rsidR="0005046B">
              <w:rPr>
                <w:noProof/>
                <w:webHidden/>
              </w:rPr>
              <w:fldChar w:fldCharType="separate"/>
            </w:r>
            <w:r w:rsidR="0005046B">
              <w:rPr>
                <w:noProof/>
                <w:webHidden/>
              </w:rPr>
              <w:t>52</w:t>
            </w:r>
            <w:r w:rsidR="0005046B">
              <w:rPr>
                <w:noProof/>
                <w:webHidden/>
              </w:rPr>
              <w:fldChar w:fldCharType="end"/>
            </w:r>
          </w:hyperlink>
        </w:p>
        <w:p w14:paraId="2FA4C9F2" w14:textId="7550594A" w:rsidR="0005046B" w:rsidRDefault="009809E2">
          <w:pPr>
            <w:pStyle w:val="TOC3"/>
            <w:rPr>
              <w:rFonts w:asciiTheme="minorHAnsi" w:eastAsiaTheme="minorEastAsia" w:hAnsiTheme="minorHAnsi" w:cstheme="minorBidi"/>
              <w:b w:val="0"/>
              <w:noProof/>
              <w:color w:val="auto"/>
              <w:szCs w:val="22"/>
              <w:lang w:eastAsia="en-AU"/>
            </w:rPr>
          </w:pPr>
          <w:hyperlink w:anchor="_Toc134622055" w:history="1">
            <w:r w:rsidR="0005046B" w:rsidRPr="00BB71DF">
              <w:rPr>
                <w:rStyle w:val="Hyperlink"/>
                <w:noProof/>
              </w:rPr>
              <w:t>Delegate’s considerations</w:t>
            </w:r>
            <w:r w:rsidR="0005046B">
              <w:rPr>
                <w:noProof/>
                <w:webHidden/>
              </w:rPr>
              <w:tab/>
            </w:r>
            <w:r w:rsidR="0005046B">
              <w:rPr>
                <w:noProof/>
                <w:webHidden/>
              </w:rPr>
              <w:fldChar w:fldCharType="begin"/>
            </w:r>
            <w:r w:rsidR="0005046B">
              <w:rPr>
                <w:noProof/>
                <w:webHidden/>
              </w:rPr>
              <w:instrText xml:space="preserve"> PAGEREF _Toc134622055 \h </w:instrText>
            </w:r>
            <w:r w:rsidR="0005046B">
              <w:rPr>
                <w:noProof/>
                <w:webHidden/>
              </w:rPr>
            </w:r>
            <w:r w:rsidR="0005046B">
              <w:rPr>
                <w:noProof/>
                <w:webHidden/>
              </w:rPr>
              <w:fldChar w:fldCharType="separate"/>
            </w:r>
            <w:r w:rsidR="0005046B">
              <w:rPr>
                <w:noProof/>
                <w:webHidden/>
              </w:rPr>
              <w:t>52</w:t>
            </w:r>
            <w:r w:rsidR="0005046B">
              <w:rPr>
                <w:noProof/>
                <w:webHidden/>
              </w:rPr>
              <w:fldChar w:fldCharType="end"/>
            </w:r>
          </w:hyperlink>
        </w:p>
        <w:p w14:paraId="5FE41C3C" w14:textId="281257E8" w:rsidR="0005046B" w:rsidRDefault="009809E2">
          <w:pPr>
            <w:pStyle w:val="TOC3"/>
            <w:rPr>
              <w:rFonts w:asciiTheme="minorHAnsi" w:eastAsiaTheme="minorEastAsia" w:hAnsiTheme="minorHAnsi" w:cstheme="minorBidi"/>
              <w:b w:val="0"/>
              <w:noProof/>
              <w:color w:val="auto"/>
              <w:szCs w:val="22"/>
              <w:lang w:eastAsia="en-AU"/>
            </w:rPr>
          </w:pPr>
          <w:hyperlink w:anchor="_Toc134622056" w:history="1">
            <w:r w:rsidR="0005046B" w:rsidRPr="00BB71DF">
              <w:rPr>
                <w:rStyle w:val="Hyperlink"/>
                <w:noProof/>
              </w:rPr>
              <w:t>Proposed action</w:t>
            </w:r>
            <w:r w:rsidR="0005046B">
              <w:rPr>
                <w:noProof/>
                <w:webHidden/>
              </w:rPr>
              <w:tab/>
            </w:r>
            <w:r w:rsidR="0005046B">
              <w:rPr>
                <w:noProof/>
                <w:webHidden/>
              </w:rPr>
              <w:fldChar w:fldCharType="begin"/>
            </w:r>
            <w:r w:rsidR="0005046B">
              <w:rPr>
                <w:noProof/>
                <w:webHidden/>
              </w:rPr>
              <w:instrText xml:space="preserve"> PAGEREF _Toc134622056 \h </w:instrText>
            </w:r>
            <w:r w:rsidR="0005046B">
              <w:rPr>
                <w:noProof/>
                <w:webHidden/>
              </w:rPr>
            </w:r>
            <w:r w:rsidR="0005046B">
              <w:rPr>
                <w:noProof/>
                <w:webHidden/>
              </w:rPr>
              <w:fldChar w:fldCharType="separate"/>
            </w:r>
            <w:r w:rsidR="0005046B">
              <w:rPr>
                <w:noProof/>
                <w:webHidden/>
              </w:rPr>
              <w:t>60</w:t>
            </w:r>
            <w:r w:rsidR="0005046B">
              <w:rPr>
                <w:noProof/>
                <w:webHidden/>
              </w:rPr>
              <w:fldChar w:fldCharType="end"/>
            </w:r>
          </w:hyperlink>
        </w:p>
        <w:p w14:paraId="4D1C0309" w14:textId="491E824B" w:rsidR="0005046B" w:rsidRDefault="009809E2">
          <w:pPr>
            <w:pStyle w:val="TOC3"/>
            <w:rPr>
              <w:rFonts w:asciiTheme="minorHAnsi" w:eastAsiaTheme="minorEastAsia" w:hAnsiTheme="minorHAnsi" w:cstheme="minorBidi"/>
              <w:b w:val="0"/>
              <w:noProof/>
              <w:color w:val="auto"/>
              <w:szCs w:val="22"/>
              <w:lang w:eastAsia="en-AU"/>
            </w:rPr>
          </w:pPr>
          <w:hyperlink w:anchor="_Toc134622057" w:history="1">
            <w:r w:rsidR="0005046B" w:rsidRPr="00BB71DF">
              <w:rPr>
                <w:rStyle w:val="Hyperlink"/>
                <w:noProof/>
              </w:rPr>
              <w:t>Advisory Committee considerations</w:t>
            </w:r>
            <w:r w:rsidR="0005046B">
              <w:rPr>
                <w:noProof/>
                <w:webHidden/>
              </w:rPr>
              <w:tab/>
            </w:r>
            <w:r w:rsidR="0005046B">
              <w:rPr>
                <w:noProof/>
                <w:webHidden/>
              </w:rPr>
              <w:fldChar w:fldCharType="begin"/>
            </w:r>
            <w:r w:rsidR="0005046B">
              <w:rPr>
                <w:noProof/>
                <w:webHidden/>
              </w:rPr>
              <w:instrText xml:space="preserve"> PAGEREF _Toc134622057 \h </w:instrText>
            </w:r>
            <w:r w:rsidR="0005046B">
              <w:rPr>
                <w:noProof/>
                <w:webHidden/>
              </w:rPr>
            </w:r>
            <w:r w:rsidR="0005046B">
              <w:rPr>
                <w:noProof/>
                <w:webHidden/>
              </w:rPr>
              <w:fldChar w:fldCharType="separate"/>
            </w:r>
            <w:r w:rsidR="0005046B">
              <w:rPr>
                <w:noProof/>
                <w:webHidden/>
              </w:rPr>
              <w:t>61</w:t>
            </w:r>
            <w:r w:rsidR="0005046B">
              <w:rPr>
                <w:noProof/>
                <w:webHidden/>
              </w:rPr>
              <w:fldChar w:fldCharType="end"/>
            </w:r>
          </w:hyperlink>
        </w:p>
        <w:p w14:paraId="46AD56EC" w14:textId="2B3D910F" w:rsidR="0005046B" w:rsidRDefault="009809E2">
          <w:pPr>
            <w:pStyle w:val="TOC1"/>
            <w:rPr>
              <w:rFonts w:asciiTheme="minorHAnsi" w:eastAsiaTheme="minorEastAsia" w:hAnsiTheme="minorHAnsi" w:cstheme="minorBidi"/>
              <w:b w:val="0"/>
              <w:noProof/>
              <w:color w:val="auto"/>
              <w:sz w:val="22"/>
              <w:szCs w:val="22"/>
              <w:lang w:eastAsia="en-AU"/>
            </w:rPr>
          </w:pPr>
          <w:hyperlink w:anchor="_Toc134622058" w:history="1">
            <w:r w:rsidR="0005046B" w:rsidRPr="00BB71DF">
              <w:rPr>
                <w:rStyle w:val="Hyperlink"/>
                <w:noProof/>
              </w:rPr>
              <w:t>Outcome</w:t>
            </w:r>
            <w:r w:rsidR="0005046B">
              <w:rPr>
                <w:noProof/>
                <w:webHidden/>
              </w:rPr>
              <w:tab/>
            </w:r>
            <w:r w:rsidR="0005046B">
              <w:rPr>
                <w:noProof/>
                <w:webHidden/>
              </w:rPr>
              <w:fldChar w:fldCharType="begin"/>
            </w:r>
            <w:r w:rsidR="0005046B">
              <w:rPr>
                <w:noProof/>
                <w:webHidden/>
              </w:rPr>
              <w:instrText xml:space="preserve"> PAGEREF _Toc134622058 \h </w:instrText>
            </w:r>
            <w:r w:rsidR="0005046B">
              <w:rPr>
                <w:noProof/>
                <w:webHidden/>
              </w:rPr>
            </w:r>
            <w:r w:rsidR="0005046B">
              <w:rPr>
                <w:noProof/>
                <w:webHidden/>
              </w:rPr>
              <w:fldChar w:fldCharType="separate"/>
            </w:r>
            <w:r w:rsidR="0005046B">
              <w:rPr>
                <w:noProof/>
                <w:webHidden/>
              </w:rPr>
              <w:t>62</w:t>
            </w:r>
            <w:r w:rsidR="0005046B">
              <w:rPr>
                <w:noProof/>
                <w:webHidden/>
              </w:rPr>
              <w:fldChar w:fldCharType="end"/>
            </w:r>
          </w:hyperlink>
        </w:p>
        <w:p w14:paraId="02EC6FBC" w14:textId="6EC0F261" w:rsidR="0005046B" w:rsidRDefault="009809E2">
          <w:pPr>
            <w:pStyle w:val="TOC2"/>
            <w:rPr>
              <w:rFonts w:asciiTheme="minorHAnsi" w:eastAsiaTheme="minorEastAsia" w:hAnsiTheme="minorHAnsi" w:cstheme="minorBidi"/>
              <w:b w:val="0"/>
              <w:noProof/>
              <w:color w:val="auto"/>
              <w:sz w:val="22"/>
              <w:szCs w:val="22"/>
              <w:lang w:eastAsia="en-AU"/>
            </w:rPr>
          </w:pPr>
          <w:hyperlink w:anchor="_Toc134622059" w:history="1">
            <w:r w:rsidR="0005046B" w:rsidRPr="00BB71DF">
              <w:rPr>
                <w:rStyle w:val="Hyperlink"/>
                <w:noProof/>
              </w:rPr>
              <w:t>Specific conditions of registration applying to these goods</w:t>
            </w:r>
            <w:r w:rsidR="0005046B">
              <w:rPr>
                <w:noProof/>
                <w:webHidden/>
              </w:rPr>
              <w:tab/>
            </w:r>
            <w:r w:rsidR="0005046B">
              <w:rPr>
                <w:noProof/>
                <w:webHidden/>
              </w:rPr>
              <w:fldChar w:fldCharType="begin"/>
            </w:r>
            <w:r w:rsidR="0005046B">
              <w:rPr>
                <w:noProof/>
                <w:webHidden/>
              </w:rPr>
              <w:instrText xml:space="preserve"> PAGEREF _Toc134622059 \h </w:instrText>
            </w:r>
            <w:r w:rsidR="0005046B">
              <w:rPr>
                <w:noProof/>
                <w:webHidden/>
              </w:rPr>
            </w:r>
            <w:r w:rsidR="0005046B">
              <w:rPr>
                <w:noProof/>
                <w:webHidden/>
              </w:rPr>
              <w:fldChar w:fldCharType="separate"/>
            </w:r>
            <w:r w:rsidR="0005046B">
              <w:rPr>
                <w:noProof/>
                <w:webHidden/>
              </w:rPr>
              <w:t>63</w:t>
            </w:r>
            <w:r w:rsidR="0005046B">
              <w:rPr>
                <w:noProof/>
                <w:webHidden/>
              </w:rPr>
              <w:fldChar w:fldCharType="end"/>
            </w:r>
          </w:hyperlink>
        </w:p>
        <w:p w14:paraId="43872429" w14:textId="5050EDD6" w:rsidR="0005046B" w:rsidRDefault="009809E2">
          <w:pPr>
            <w:pStyle w:val="TOC1"/>
            <w:rPr>
              <w:rFonts w:asciiTheme="minorHAnsi" w:eastAsiaTheme="minorEastAsia" w:hAnsiTheme="minorHAnsi" w:cstheme="minorBidi"/>
              <w:b w:val="0"/>
              <w:noProof/>
              <w:color w:val="auto"/>
              <w:sz w:val="22"/>
              <w:szCs w:val="22"/>
              <w:lang w:eastAsia="en-AU"/>
            </w:rPr>
          </w:pPr>
          <w:hyperlink w:anchor="_Toc134622060" w:history="1">
            <w:r w:rsidR="0005046B" w:rsidRPr="00BB71DF">
              <w:rPr>
                <w:rStyle w:val="Hyperlink"/>
                <w:noProof/>
              </w:rPr>
              <w:t>Attachment 1. Product Information</w:t>
            </w:r>
            <w:r w:rsidR="0005046B">
              <w:rPr>
                <w:noProof/>
                <w:webHidden/>
              </w:rPr>
              <w:tab/>
            </w:r>
            <w:r w:rsidR="0005046B">
              <w:rPr>
                <w:noProof/>
                <w:webHidden/>
              </w:rPr>
              <w:fldChar w:fldCharType="begin"/>
            </w:r>
            <w:r w:rsidR="0005046B">
              <w:rPr>
                <w:noProof/>
                <w:webHidden/>
              </w:rPr>
              <w:instrText xml:space="preserve"> PAGEREF _Toc134622060 \h </w:instrText>
            </w:r>
            <w:r w:rsidR="0005046B">
              <w:rPr>
                <w:noProof/>
                <w:webHidden/>
              </w:rPr>
            </w:r>
            <w:r w:rsidR="0005046B">
              <w:rPr>
                <w:noProof/>
                <w:webHidden/>
              </w:rPr>
              <w:fldChar w:fldCharType="separate"/>
            </w:r>
            <w:r w:rsidR="0005046B">
              <w:rPr>
                <w:noProof/>
                <w:webHidden/>
              </w:rPr>
              <w:t>64</w:t>
            </w:r>
            <w:r w:rsidR="0005046B">
              <w:rPr>
                <w:noProof/>
                <w:webHidden/>
              </w:rPr>
              <w:fldChar w:fldCharType="end"/>
            </w:r>
          </w:hyperlink>
        </w:p>
        <w:p w14:paraId="77659F2D" w14:textId="328320D3" w:rsidR="00F02AEC" w:rsidRPr="003C742E" w:rsidRDefault="00F02AEC" w:rsidP="007452E8">
          <w:r w:rsidRPr="003C742E">
            <w:fldChar w:fldCharType="end"/>
          </w:r>
        </w:p>
      </w:sdtContent>
    </w:sdt>
    <w:p w14:paraId="10987AE2" w14:textId="77777777" w:rsidR="00F02AEC" w:rsidRPr="003C742E" w:rsidRDefault="00F02AEC" w:rsidP="007452E8">
      <w:r w:rsidRPr="003C742E">
        <w:br w:type="page"/>
      </w:r>
    </w:p>
    <w:p w14:paraId="1E73AB93" w14:textId="77777777" w:rsidR="00324B33" w:rsidRPr="003C742E" w:rsidRDefault="00324B33" w:rsidP="00324B33">
      <w:pPr>
        <w:pStyle w:val="Heading2"/>
      </w:pPr>
      <w:bookmarkStart w:id="1" w:name="_Toc98931917"/>
      <w:bookmarkStart w:id="2" w:name="_Toc103679287"/>
      <w:bookmarkStart w:id="3" w:name="_Toc134622037"/>
      <w:bookmarkStart w:id="4" w:name="_Toc323739589"/>
      <w:bookmarkStart w:id="5" w:name="_Toc356305216"/>
      <w:r w:rsidRPr="003C742E">
        <w:lastRenderedPageBreak/>
        <w:t>List of abbreviations</w:t>
      </w:r>
      <w:bookmarkEnd w:id="1"/>
      <w:bookmarkEnd w:id="2"/>
      <w:bookmarkEnd w:id="3"/>
    </w:p>
    <w:tbl>
      <w:tblPr>
        <w:tblStyle w:val="TableTGAblue2023"/>
        <w:tblW w:w="5000" w:type="pct"/>
        <w:tblLook w:val="04A0" w:firstRow="1" w:lastRow="0" w:firstColumn="1" w:lastColumn="0" w:noHBand="0" w:noVBand="1"/>
      </w:tblPr>
      <w:tblGrid>
        <w:gridCol w:w="2174"/>
        <w:gridCol w:w="6886"/>
      </w:tblGrid>
      <w:tr w:rsidR="00324B33" w:rsidRPr="003C742E" w14:paraId="2117AEF6" w14:textId="77777777" w:rsidTr="00BD5DBD">
        <w:trPr>
          <w:cnfStyle w:val="100000000000" w:firstRow="1" w:lastRow="0" w:firstColumn="0" w:lastColumn="0" w:oddVBand="0" w:evenVBand="0" w:oddHBand="0" w:evenHBand="0" w:firstRowFirstColumn="0" w:firstRowLastColumn="0" w:lastRowFirstColumn="0" w:lastRowLastColumn="0"/>
          <w:trHeight w:val="447"/>
        </w:trPr>
        <w:tc>
          <w:tcPr>
            <w:cnfStyle w:val="001000000000" w:firstRow="0" w:lastRow="0" w:firstColumn="1" w:lastColumn="0" w:oddVBand="0" w:evenVBand="0" w:oddHBand="0" w:evenHBand="0" w:firstRowFirstColumn="0" w:firstRowLastColumn="0" w:lastRowFirstColumn="0" w:lastRowLastColumn="0"/>
            <w:tcW w:w="1200" w:type="pct"/>
          </w:tcPr>
          <w:p w14:paraId="1207B6A7" w14:textId="67F7D360" w:rsidR="00324B33" w:rsidRPr="003C742E" w:rsidRDefault="00324B33" w:rsidP="00324B33">
            <w:pPr>
              <w:rPr>
                <w:szCs w:val="22"/>
              </w:rPr>
            </w:pPr>
            <w:r w:rsidRPr="003C742E">
              <w:rPr>
                <w:szCs w:val="22"/>
              </w:rPr>
              <w:t>Abbreviation</w:t>
            </w:r>
          </w:p>
        </w:tc>
        <w:tc>
          <w:tcPr>
            <w:tcW w:w="3800" w:type="pct"/>
          </w:tcPr>
          <w:p w14:paraId="4CF6D0CD" w14:textId="2974FA0B" w:rsidR="00324B33" w:rsidRPr="003C742E" w:rsidRDefault="00324B33" w:rsidP="00324B33">
            <w:pPr>
              <w:cnfStyle w:val="100000000000" w:firstRow="1" w:lastRow="0" w:firstColumn="0" w:lastColumn="0" w:oddVBand="0" w:evenVBand="0" w:oddHBand="0" w:evenHBand="0" w:firstRowFirstColumn="0" w:firstRowLastColumn="0" w:lastRowFirstColumn="0" w:lastRowLastColumn="0"/>
              <w:rPr>
                <w:szCs w:val="22"/>
              </w:rPr>
            </w:pPr>
            <w:r w:rsidRPr="003C742E">
              <w:rPr>
                <w:szCs w:val="22"/>
              </w:rPr>
              <w:t>Meaning</w:t>
            </w:r>
          </w:p>
        </w:tc>
      </w:tr>
      <w:tr w:rsidR="003C742E" w:rsidRPr="003C742E" w14:paraId="751B880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4212F88" w14:textId="3FA1AF78" w:rsidR="003C742E" w:rsidRPr="003C742E" w:rsidRDefault="003C742E" w:rsidP="003C742E">
            <w:r w:rsidRPr="003C742E">
              <w:t>ACV</w:t>
            </w:r>
          </w:p>
        </w:tc>
        <w:tc>
          <w:tcPr>
            <w:tcW w:w="3800" w:type="pct"/>
          </w:tcPr>
          <w:p w14:paraId="482957D6" w14:textId="38D5642A"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Advisory Committee on Vaccines</w:t>
            </w:r>
          </w:p>
        </w:tc>
      </w:tr>
      <w:tr w:rsidR="003C742E" w:rsidRPr="003C742E" w14:paraId="75CA4B12"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FD6405F" w14:textId="6D70635D" w:rsidR="003C742E" w:rsidRPr="003C742E" w:rsidRDefault="003C742E" w:rsidP="003C742E">
            <w:r w:rsidRPr="003C742E">
              <w:t>AE</w:t>
            </w:r>
          </w:p>
        </w:tc>
        <w:tc>
          <w:tcPr>
            <w:tcW w:w="3800" w:type="pct"/>
          </w:tcPr>
          <w:p w14:paraId="4970571A" w14:textId="0BA0EB43"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Adverse event</w:t>
            </w:r>
          </w:p>
        </w:tc>
      </w:tr>
      <w:tr w:rsidR="003C742E" w:rsidRPr="003C742E" w14:paraId="710BEB3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318D2D2" w14:textId="376E2236" w:rsidR="003C742E" w:rsidRPr="003C742E" w:rsidRDefault="003C742E" w:rsidP="003C742E">
            <w:r w:rsidRPr="003C742E">
              <w:t>AESI</w:t>
            </w:r>
          </w:p>
        </w:tc>
        <w:tc>
          <w:tcPr>
            <w:tcW w:w="3800" w:type="pct"/>
          </w:tcPr>
          <w:p w14:paraId="1A5CB156" w14:textId="1723464A"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Adverse event of special interest</w:t>
            </w:r>
          </w:p>
        </w:tc>
      </w:tr>
      <w:tr w:rsidR="003C742E" w:rsidRPr="003C742E" w14:paraId="1F73C8C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3D08972" w14:textId="26AE7EE5" w:rsidR="003C742E" w:rsidRPr="003C742E" w:rsidRDefault="003C742E" w:rsidP="003C742E">
            <w:r w:rsidRPr="003C742E">
              <w:t>ARTG</w:t>
            </w:r>
          </w:p>
        </w:tc>
        <w:tc>
          <w:tcPr>
            <w:tcW w:w="3800" w:type="pct"/>
          </w:tcPr>
          <w:p w14:paraId="4235A7D1" w14:textId="0F46EFD6"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bookmarkStart w:id="6" w:name="_Hlk132986330"/>
            <w:r w:rsidRPr="003C742E">
              <w:t>Australian Register of Therapeutic Goods</w:t>
            </w:r>
            <w:bookmarkEnd w:id="6"/>
          </w:p>
        </w:tc>
      </w:tr>
      <w:tr w:rsidR="003C742E" w:rsidRPr="003C742E" w14:paraId="1C1ED1A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8E54AC4" w14:textId="5CC067DD" w:rsidR="003C742E" w:rsidRPr="003C742E" w:rsidRDefault="003C742E" w:rsidP="003C742E">
            <w:r w:rsidRPr="003C742E">
              <w:t>CDC</w:t>
            </w:r>
          </w:p>
        </w:tc>
        <w:tc>
          <w:tcPr>
            <w:tcW w:w="3800" w:type="pct"/>
          </w:tcPr>
          <w:p w14:paraId="3F7239C3" w14:textId="5C5D7F39"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Centers for Disease Control and Prevention (United States of America)</w:t>
            </w:r>
          </w:p>
        </w:tc>
      </w:tr>
      <w:tr w:rsidR="003C742E" w:rsidRPr="003C742E" w14:paraId="5C3A177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3E35BA7" w14:textId="09E683CE" w:rsidR="003C742E" w:rsidRPr="003C742E" w:rsidRDefault="003C742E" w:rsidP="003C742E">
            <w:r w:rsidRPr="003C742E">
              <w:t>CHMP</w:t>
            </w:r>
          </w:p>
        </w:tc>
        <w:tc>
          <w:tcPr>
            <w:tcW w:w="3800" w:type="pct"/>
          </w:tcPr>
          <w:p w14:paraId="443FBCC8" w14:textId="6B5B1DFF"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Committee for Medicinal Products for Human Use (European Medicines Agency, European Union)</w:t>
            </w:r>
          </w:p>
        </w:tc>
      </w:tr>
      <w:tr w:rsidR="003C742E" w:rsidRPr="003C742E" w14:paraId="4F22C9F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54E373" w14:textId="219AA744" w:rsidR="003C742E" w:rsidRPr="003C742E" w:rsidRDefault="003C742E" w:rsidP="003C742E">
            <w:r w:rsidRPr="003C742E">
              <w:t>CI</w:t>
            </w:r>
          </w:p>
        </w:tc>
        <w:tc>
          <w:tcPr>
            <w:tcW w:w="3800" w:type="pct"/>
          </w:tcPr>
          <w:p w14:paraId="40A68400" w14:textId="450F9745"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Confidence interval</w:t>
            </w:r>
          </w:p>
        </w:tc>
      </w:tr>
      <w:tr w:rsidR="003C742E" w:rsidRPr="003C742E" w14:paraId="30A1491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A1AD1E9" w14:textId="022B1B6B" w:rsidR="003C742E" w:rsidRPr="003C742E" w:rsidRDefault="003C742E" w:rsidP="003C742E">
            <w:r w:rsidRPr="003C742E">
              <w:t>CMI</w:t>
            </w:r>
          </w:p>
        </w:tc>
        <w:tc>
          <w:tcPr>
            <w:tcW w:w="3800" w:type="pct"/>
          </w:tcPr>
          <w:p w14:paraId="71F3CA35" w14:textId="4AC79A2F"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Consumer Medicines Information</w:t>
            </w:r>
          </w:p>
        </w:tc>
      </w:tr>
      <w:tr w:rsidR="003C742E" w:rsidRPr="003C742E" w14:paraId="1C0EA9C6"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A06EA9A" w14:textId="6672CD66" w:rsidR="003C742E" w:rsidRPr="003C742E" w:rsidRDefault="003C742E" w:rsidP="003C742E">
            <w:r w:rsidRPr="003C742E">
              <w:t>COVID-19</w:t>
            </w:r>
          </w:p>
        </w:tc>
        <w:tc>
          <w:tcPr>
            <w:tcW w:w="3800" w:type="pct"/>
          </w:tcPr>
          <w:p w14:paraId="0662EC44" w14:textId="5D3EA81B"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Coronavirus disease 2019</w:t>
            </w:r>
          </w:p>
        </w:tc>
      </w:tr>
      <w:tr w:rsidR="003C742E" w:rsidRPr="003C742E" w14:paraId="2E08D0B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333E581" w14:textId="47C3FCC8" w:rsidR="003C742E" w:rsidRPr="003C742E" w:rsidRDefault="003C742E" w:rsidP="003C742E">
            <w:r w:rsidRPr="003C742E">
              <w:rPr>
                <w:lang w:eastAsia="ja-JP"/>
              </w:rPr>
              <w:t>CPMP</w:t>
            </w:r>
          </w:p>
        </w:tc>
        <w:tc>
          <w:tcPr>
            <w:tcW w:w="3800" w:type="pct"/>
          </w:tcPr>
          <w:p w14:paraId="38F870B6" w14:textId="44C570DA"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rPr>
                <w:lang w:eastAsia="ja-JP"/>
              </w:rPr>
              <w:t xml:space="preserve">Committee for Proprietary Medicinal Products </w:t>
            </w:r>
            <w:r w:rsidRPr="003C742E">
              <w:t>(European Medicines Agency, European Union)</w:t>
            </w:r>
          </w:p>
        </w:tc>
      </w:tr>
      <w:tr w:rsidR="003C742E" w:rsidRPr="003C742E" w14:paraId="7EF298B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5C103E2" w14:textId="6587401F" w:rsidR="003C742E" w:rsidRPr="003C742E" w:rsidRDefault="003C742E" w:rsidP="003C742E">
            <w:pPr>
              <w:rPr>
                <w:lang w:eastAsia="ja-JP"/>
              </w:rPr>
            </w:pPr>
            <w:r w:rsidRPr="003C742E">
              <w:t>DLP</w:t>
            </w:r>
          </w:p>
        </w:tc>
        <w:tc>
          <w:tcPr>
            <w:tcW w:w="3800" w:type="pct"/>
          </w:tcPr>
          <w:p w14:paraId="68BEE8B7" w14:textId="10B3D8CE"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rPr>
                <w:lang w:eastAsia="ja-JP"/>
              </w:rPr>
            </w:pPr>
            <w:bookmarkStart w:id="7" w:name="_Hlk133240892"/>
            <w:r w:rsidRPr="003C742E">
              <w:t>Data lock point</w:t>
            </w:r>
            <w:bookmarkEnd w:id="7"/>
          </w:p>
        </w:tc>
      </w:tr>
      <w:tr w:rsidR="003C742E" w:rsidRPr="003C742E" w14:paraId="72AA4F5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FC931D" w14:textId="5E910DC2" w:rsidR="003C742E" w:rsidRPr="003C742E" w:rsidRDefault="003C742E" w:rsidP="003C742E">
            <w:r w:rsidRPr="003C742E">
              <w:t>DP</w:t>
            </w:r>
          </w:p>
        </w:tc>
        <w:tc>
          <w:tcPr>
            <w:tcW w:w="3800" w:type="pct"/>
          </w:tcPr>
          <w:p w14:paraId="48A4BB17" w14:textId="5546EE73" w:rsidR="003C742E" w:rsidRPr="003C742E" w:rsidRDefault="00551F6B" w:rsidP="003C742E">
            <w:pPr>
              <w:cnfStyle w:val="000000000000" w:firstRow="0" w:lastRow="0" w:firstColumn="0" w:lastColumn="0" w:oddVBand="0" w:evenVBand="0" w:oddHBand="0" w:evenHBand="0" w:firstRowFirstColumn="0" w:firstRowLastColumn="0" w:lastRowFirstColumn="0" w:lastRowLastColumn="0"/>
            </w:pPr>
            <w:r w:rsidRPr="003C742E">
              <w:t xml:space="preserve">Drug </w:t>
            </w:r>
            <w:r w:rsidR="003C742E" w:rsidRPr="003C742E">
              <w:t>product</w:t>
            </w:r>
          </w:p>
        </w:tc>
      </w:tr>
      <w:tr w:rsidR="003C742E" w:rsidRPr="003C742E" w14:paraId="02600E35"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722FB0D" w14:textId="52CD7CDB" w:rsidR="003C742E" w:rsidRPr="003C742E" w:rsidRDefault="003C742E" w:rsidP="003C742E">
            <w:r w:rsidRPr="003C742E">
              <w:t>EMA</w:t>
            </w:r>
          </w:p>
        </w:tc>
        <w:tc>
          <w:tcPr>
            <w:tcW w:w="3800" w:type="pct"/>
          </w:tcPr>
          <w:p w14:paraId="5405ECF3" w14:textId="303BB0A8"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European Medicines Agency (European Union)</w:t>
            </w:r>
          </w:p>
        </w:tc>
      </w:tr>
      <w:tr w:rsidR="003C742E" w:rsidRPr="003C742E" w14:paraId="1B41959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4037A0" w14:textId="7CF4E15D" w:rsidR="003C742E" w:rsidRPr="003C742E" w:rsidRDefault="003C742E" w:rsidP="003C742E">
            <w:r w:rsidRPr="003C742E">
              <w:t>EMEA</w:t>
            </w:r>
          </w:p>
        </w:tc>
        <w:tc>
          <w:tcPr>
            <w:tcW w:w="3800" w:type="pct"/>
          </w:tcPr>
          <w:p w14:paraId="36A2B68A" w14:textId="59769FCD"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European Medicines Evaluation Agency (European Union)</w:t>
            </w:r>
          </w:p>
        </w:tc>
      </w:tr>
      <w:tr w:rsidR="003C742E" w:rsidRPr="003C742E" w14:paraId="7FA1B3A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7C83C03" w14:textId="36DD4E6B" w:rsidR="003C742E" w:rsidRPr="003C742E" w:rsidRDefault="003C742E" w:rsidP="003C742E">
            <w:r w:rsidRPr="003C742E">
              <w:t>FDA</w:t>
            </w:r>
          </w:p>
        </w:tc>
        <w:tc>
          <w:tcPr>
            <w:tcW w:w="3800" w:type="pct"/>
          </w:tcPr>
          <w:p w14:paraId="07B32BBD" w14:textId="63163BA1"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Food and Drug Administration (United States of America)</w:t>
            </w:r>
          </w:p>
        </w:tc>
      </w:tr>
      <w:tr w:rsidR="003C742E" w:rsidRPr="003C742E" w14:paraId="03BDC6A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996D41A" w14:textId="688CBF10" w:rsidR="003C742E" w:rsidRPr="003C742E" w:rsidRDefault="003C742E" w:rsidP="003C742E">
            <w:r w:rsidRPr="003C742E">
              <w:t>GM</w:t>
            </w:r>
          </w:p>
        </w:tc>
        <w:tc>
          <w:tcPr>
            <w:tcW w:w="3800" w:type="pct"/>
          </w:tcPr>
          <w:p w14:paraId="4A539667" w14:textId="7A8AA4AC"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Geometric mean</w:t>
            </w:r>
          </w:p>
        </w:tc>
      </w:tr>
      <w:tr w:rsidR="003C742E" w:rsidRPr="003C742E" w14:paraId="13817C7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00BCDDB" w14:textId="33DC4ED9" w:rsidR="003C742E" w:rsidRPr="003C742E" w:rsidRDefault="003C742E" w:rsidP="003C742E">
            <w:r w:rsidRPr="003C742E">
              <w:t>GMC</w:t>
            </w:r>
          </w:p>
        </w:tc>
        <w:tc>
          <w:tcPr>
            <w:tcW w:w="3800" w:type="pct"/>
          </w:tcPr>
          <w:p w14:paraId="7FE51C74" w14:textId="25C9B81F"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Geometric mean concentration</w:t>
            </w:r>
          </w:p>
        </w:tc>
      </w:tr>
      <w:tr w:rsidR="003C742E" w:rsidRPr="003C742E" w14:paraId="1EDB920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12CE5D6" w14:textId="46A93635" w:rsidR="003C742E" w:rsidRPr="003C742E" w:rsidRDefault="003C742E" w:rsidP="003C742E">
            <w:r w:rsidRPr="003C742E">
              <w:t>GMFR</w:t>
            </w:r>
          </w:p>
        </w:tc>
        <w:tc>
          <w:tcPr>
            <w:tcW w:w="3800" w:type="pct"/>
          </w:tcPr>
          <w:p w14:paraId="027A09EE" w14:textId="64916AE4"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bookmarkStart w:id="8" w:name="_Hlk133231705"/>
            <w:r w:rsidRPr="003C742E">
              <w:t>Geometric mean fold rise</w:t>
            </w:r>
            <w:bookmarkEnd w:id="8"/>
          </w:p>
        </w:tc>
      </w:tr>
      <w:tr w:rsidR="00551F6B" w:rsidRPr="003C742E" w14:paraId="547396A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968F091" w14:textId="73497FDA" w:rsidR="00551F6B" w:rsidRPr="003C742E" w:rsidRDefault="00551F6B" w:rsidP="003C742E">
            <w:r w:rsidRPr="00551F6B">
              <w:t>GMI</w:t>
            </w:r>
          </w:p>
        </w:tc>
        <w:tc>
          <w:tcPr>
            <w:tcW w:w="3800" w:type="pct"/>
          </w:tcPr>
          <w:p w14:paraId="29E1BF46" w14:textId="243729A7" w:rsidR="00551F6B" w:rsidRPr="003C742E" w:rsidRDefault="00551F6B" w:rsidP="003C742E">
            <w:pPr>
              <w:cnfStyle w:val="000000000000" w:firstRow="0" w:lastRow="0" w:firstColumn="0" w:lastColumn="0" w:oddVBand="0" w:evenVBand="0" w:oddHBand="0" w:evenHBand="0" w:firstRowFirstColumn="0" w:firstRowLastColumn="0" w:lastRowFirstColumn="0" w:lastRowLastColumn="0"/>
            </w:pPr>
            <w:r w:rsidRPr="00551F6B">
              <w:t>Geometric mean increase</w:t>
            </w:r>
          </w:p>
        </w:tc>
      </w:tr>
      <w:tr w:rsidR="003C742E" w:rsidRPr="003C742E" w14:paraId="20082EE7"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3B72A95" w14:textId="39BE8C4A" w:rsidR="003C742E" w:rsidRPr="003C742E" w:rsidRDefault="003C742E" w:rsidP="003C742E">
            <w:r w:rsidRPr="003C742E">
              <w:t>GMT</w:t>
            </w:r>
          </w:p>
        </w:tc>
        <w:tc>
          <w:tcPr>
            <w:tcW w:w="3800" w:type="pct"/>
          </w:tcPr>
          <w:p w14:paraId="54E9950E" w14:textId="5E18B618"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Geometric mean titre</w:t>
            </w:r>
          </w:p>
        </w:tc>
      </w:tr>
      <w:tr w:rsidR="003C742E" w:rsidRPr="003C742E" w14:paraId="78EBF68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9A2F39F" w14:textId="750E8DEF" w:rsidR="003C742E" w:rsidRPr="003C742E" w:rsidRDefault="003C742E" w:rsidP="003C742E">
            <w:r w:rsidRPr="003C742E">
              <w:t>GMR</w:t>
            </w:r>
          </w:p>
        </w:tc>
        <w:tc>
          <w:tcPr>
            <w:tcW w:w="3800" w:type="pct"/>
          </w:tcPr>
          <w:p w14:paraId="2B691233" w14:textId="4A67F426"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Geometric mean ratio</w:t>
            </w:r>
          </w:p>
        </w:tc>
      </w:tr>
      <w:tr w:rsidR="003C742E" w:rsidRPr="003C742E" w14:paraId="104F1B6C"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4D6884B" w14:textId="110E260E" w:rsidR="003C742E" w:rsidRPr="003C742E" w:rsidRDefault="003C742E" w:rsidP="003C742E">
            <w:r w:rsidRPr="003C742E">
              <w:t>GVP</w:t>
            </w:r>
          </w:p>
        </w:tc>
        <w:tc>
          <w:tcPr>
            <w:tcW w:w="3800" w:type="pct"/>
          </w:tcPr>
          <w:p w14:paraId="153794AB" w14:textId="66D6AF2A"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Good Pharmacovigilance Practices</w:t>
            </w:r>
          </w:p>
        </w:tc>
      </w:tr>
      <w:tr w:rsidR="003C742E" w:rsidRPr="003C742E" w14:paraId="393ECA0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075514A" w14:textId="0F44AB97" w:rsidR="003C742E" w:rsidRPr="003C742E" w:rsidRDefault="003C742E" w:rsidP="003C742E">
            <w:r w:rsidRPr="003C742E">
              <w:t>ID</w:t>
            </w:r>
            <w:r w:rsidRPr="003C742E">
              <w:rPr>
                <w:vertAlign w:val="subscript"/>
              </w:rPr>
              <w:t>50</w:t>
            </w:r>
          </w:p>
        </w:tc>
        <w:tc>
          <w:tcPr>
            <w:tcW w:w="3800" w:type="pct"/>
          </w:tcPr>
          <w:p w14:paraId="3FBC636B" w14:textId="58778AC8"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bookmarkStart w:id="9" w:name="_Hlk80611318"/>
            <w:r w:rsidRPr="003C742E">
              <w:t>50% inhibitory dose</w:t>
            </w:r>
            <w:bookmarkEnd w:id="9"/>
          </w:p>
        </w:tc>
      </w:tr>
      <w:tr w:rsidR="003C742E" w:rsidRPr="003C742E" w14:paraId="243ECDE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115A68" w14:textId="6FCCCDD4" w:rsidR="003C742E" w:rsidRPr="003C742E" w:rsidRDefault="003C742E" w:rsidP="003C742E">
            <w:r w:rsidRPr="003C742E">
              <w:t>MAAE</w:t>
            </w:r>
          </w:p>
        </w:tc>
        <w:tc>
          <w:tcPr>
            <w:tcW w:w="3800" w:type="pct"/>
          </w:tcPr>
          <w:p w14:paraId="0CC60873" w14:textId="1F0121D3"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bookmarkStart w:id="10" w:name="_Hlk133240184"/>
            <w:r w:rsidRPr="003C742E">
              <w:t>Medically attended adverse event</w:t>
            </w:r>
            <w:bookmarkEnd w:id="10"/>
          </w:p>
        </w:tc>
      </w:tr>
      <w:tr w:rsidR="003C742E" w:rsidRPr="003C742E" w14:paraId="76EA492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6DC4D07" w14:textId="097B4D09" w:rsidR="003C742E" w:rsidRPr="003C742E" w:rsidRDefault="003C742E" w:rsidP="003C742E">
            <w:bookmarkStart w:id="11" w:name="_Hlk133239915"/>
            <w:r w:rsidRPr="003C742E">
              <w:t>MedDRA</w:t>
            </w:r>
            <w:bookmarkEnd w:id="11"/>
          </w:p>
        </w:tc>
        <w:tc>
          <w:tcPr>
            <w:tcW w:w="3800" w:type="pct"/>
          </w:tcPr>
          <w:p w14:paraId="4C83CA07" w14:textId="5A46FA48"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Medical Dictionary for Regulatory Activities</w:t>
            </w:r>
          </w:p>
        </w:tc>
      </w:tr>
      <w:tr w:rsidR="003C742E" w:rsidRPr="003C742E" w14:paraId="391B1CA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A038CCB" w14:textId="6FFC75D8" w:rsidR="003C742E" w:rsidRPr="003C742E" w:rsidRDefault="003C742E" w:rsidP="003C742E">
            <w:r w:rsidRPr="003C742E">
              <w:t>MIS-C</w:t>
            </w:r>
          </w:p>
        </w:tc>
        <w:tc>
          <w:tcPr>
            <w:tcW w:w="3800" w:type="pct"/>
          </w:tcPr>
          <w:p w14:paraId="253D3B5D" w14:textId="4341C991"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bookmarkStart w:id="12" w:name="_Hlk133239354"/>
            <w:r w:rsidRPr="003C742E">
              <w:t>Multisystem inflammatory syndrome in children</w:t>
            </w:r>
            <w:bookmarkEnd w:id="12"/>
          </w:p>
        </w:tc>
      </w:tr>
      <w:tr w:rsidR="003C742E" w:rsidRPr="003C742E" w14:paraId="05204E2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E844E6" w14:textId="4DDEA14F" w:rsidR="003C742E" w:rsidRPr="003C742E" w:rsidRDefault="003C742E" w:rsidP="003C742E">
            <w:r w:rsidRPr="003C742E">
              <w:t>mITT1</w:t>
            </w:r>
          </w:p>
        </w:tc>
        <w:tc>
          <w:tcPr>
            <w:tcW w:w="3800" w:type="pct"/>
          </w:tcPr>
          <w:p w14:paraId="61A8004C" w14:textId="70DF212C"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bookmarkStart w:id="13" w:name="_Hlk90919075"/>
            <w:r w:rsidRPr="003C742E">
              <w:t>Modified intent-to-treat</w:t>
            </w:r>
            <w:bookmarkEnd w:id="13"/>
            <w:r w:rsidRPr="003C742E">
              <w:t> 1</w:t>
            </w:r>
          </w:p>
        </w:tc>
      </w:tr>
      <w:tr w:rsidR="003C742E" w:rsidRPr="003C742E" w14:paraId="3FB356B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193949B" w14:textId="3B088E25" w:rsidR="003C742E" w:rsidRPr="003C742E" w:rsidRDefault="003C742E" w:rsidP="003C742E">
            <w:r w:rsidRPr="003C742E">
              <w:t>mRNA</w:t>
            </w:r>
          </w:p>
        </w:tc>
        <w:tc>
          <w:tcPr>
            <w:tcW w:w="3800" w:type="pct"/>
          </w:tcPr>
          <w:p w14:paraId="25B8DAEC" w14:textId="5241F057"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bookmarkStart w:id="14" w:name="_Hlk132986488"/>
            <w:r w:rsidRPr="003C742E">
              <w:t>Messenger ribonucleic acid</w:t>
            </w:r>
            <w:bookmarkEnd w:id="14"/>
          </w:p>
        </w:tc>
      </w:tr>
      <w:tr w:rsidR="003C742E" w:rsidRPr="003C742E" w14:paraId="0B3DC53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7F86160" w14:textId="1AA91C70" w:rsidR="003C742E" w:rsidRPr="003C742E" w:rsidRDefault="003C742E" w:rsidP="003C742E">
            <w:r w:rsidRPr="003C742E">
              <w:t>PI</w:t>
            </w:r>
          </w:p>
        </w:tc>
        <w:tc>
          <w:tcPr>
            <w:tcW w:w="3800" w:type="pct"/>
          </w:tcPr>
          <w:p w14:paraId="2EBC5CB8" w14:textId="64B4BD4B"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Product Information</w:t>
            </w:r>
          </w:p>
        </w:tc>
      </w:tr>
      <w:tr w:rsidR="003C742E" w:rsidRPr="003C742E" w14:paraId="3CA06648"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EF1A734" w14:textId="5AEB6B3D" w:rsidR="003C742E" w:rsidRPr="003C742E" w:rsidRDefault="003C742E" w:rsidP="003C742E">
            <w:r w:rsidRPr="003C742E">
              <w:t>PSUR</w:t>
            </w:r>
          </w:p>
        </w:tc>
        <w:tc>
          <w:tcPr>
            <w:tcW w:w="3800" w:type="pct"/>
          </w:tcPr>
          <w:p w14:paraId="67A83FB1" w14:textId="147DF9B3"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Periodic safety update report</w:t>
            </w:r>
          </w:p>
        </w:tc>
      </w:tr>
      <w:tr w:rsidR="003C742E" w:rsidRPr="003C742E" w14:paraId="2EC7470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7565F43B" w14:textId="3FE10924" w:rsidR="003C742E" w:rsidRPr="003C742E" w:rsidRDefault="003C742E" w:rsidP="003C742E">
            <w:r w:rsidRPr="003C742E">
              <w:lastRenderedPageBreak/>
              <w:t>PsVNA</w:t>
            </w:r>
          </w:p>
        </w:tc>
        <w:tc>
          <w:tcPr>
            <w:tcW w:w="3800" w:type="pct"/>
          </w:tcPr>
          <w:p w14:paraId="63577F9B" w14:textId="37287E00"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Pseudotyped virus neutralisation assay</w:t>
            </w:r>
          </w:p>
        </w:tc>
      </w:tr>
      <w:tr w:rsidR="003C742E" w:rsidRPr="003C742E" w14:paraId="5440EAB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84BA214" w14:textId="2BEA03F5" w:rsidR="003C742E" w:rsidRPr="003C742E" w:rsidRDefault="003C742E" w:rsidP="003C742E">
            <w:r w:rsidRPr="003C742E">
              <w:t>RMP</w:t>
            </w:r>
          </w:p>
        </w:tc>
        <w:tc>
          <w:tcPr>
            <w:tcW w:w="3800" w:type="pct"/>
          </w:tcPr>
          <w:p w14:paraId="6895C203" w14:textId="4BA68DFE"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Risk management plan</w:t>
            </w:r>
          </w:p>
        </w:tc>
      </w:tr>
      <w:tr w:rsidR="003C742E" w:rsidRPr="003C742E" w14:paraId="7CE8D22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21FD49F" w14:textId="4FA227C2" w:rsidR="003C742E" w:rsidRPr="003C742E" w:rsidRDefault="003C742E" w:rsidP="003C742E">
            <w:r w:rsidRPr="003C742E">
              <w:t>RT-PCR</w:t>
            </w:r>
          </w:p>
        </w:tc>
        <w:tc>
          <w:tcPr>
            <w:tcW w:w="3800" w:type="pct"/>
          </w:tcPr>
          <w:p w14:paraId="5A2C9F51" w14:textId="1ADC1931"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bookmarkStart w:id="15" w:name="_Hlk80801579"/>
            <w:r w:rsidRPr="003C742E">
              <w:t>Reverse transcription-polymerase chain reaction</w:t>
            </w:r>
            <w:bookmarkEnd w:id="15"/>
          </w:p>
        </w:tc>
      </w:tr>
      <w:tr w:rsidR="003C742E" w:rsidRPr="003C742E" w14:paraId="005AE82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C80CBA4" w14:textId="24E7CD41" w:rsidR="003C742E" w:rsidRPr="003C742E" w:rsidRDefault="003C742E" w:rsidP="003C742E">
            <w:r w:rsidRPr="003C742E">
              <w:t>SAE</w:t>
            </w:r>
          </w:p>
        </w:tc>
        <w:tc>
          <w:tcPr>
            <w:tcW w:w="3800" w:type="pct"/>
          </w:tcPr>
          <w:p w14:paraId="6411223A" w14:textId="6BB9F70D"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Serious adverse event</w:t>
            </w:r>
          </w:p>
        </w:tc>
      </w:tr>
      <w:tr w:rsidR="003C742E" w:rsidRPr="003C742E" w14:paraId="591CF78F"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6FE8C13A" w14:textId="6F3AD8FF" w:rsidR="003C742E" w:rsidRPr="003C742E" w:rsidRDefault="003C742E" w:rsidP="003C742E">
            <w:r w:rsidRPr="003C742E">
              <w:t>SARS-CoV-2</w:t>
            </w:r>
          </w:p>
        </w:tc>
        <w:tc>
          <w:tcPr>
            <w:tcW w:w="3800" w:type="pct"/>
          </w:tcPr>
          <w:p w14:paraId="4F49B120" w14:textId="3FA3A134"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Severe acute respiratory syndrome coronavirus 2</w:t>
            </w:r>
          </w:p>
        </w:tc>
      </w:tr>
      <w:tr w:rsidR="003C742E" w:rsidRPr="003C742E" w14:paraId="2D3501D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8695327" w14:textId="3A3202CA" w:rsidR="003C742E" w:rsidRPr="003C742E" w:rsidRDefault="003C742E" w:rsidP="003C742E">
            <w:r w:rsidRPr="003C742E">
              <w:t>SMQ</w:t>
            </w:r>
          </w:p>
        </w:tc>
        <w:tc>
          <w:tcPr>
            <w:tcW w:w="3800" w:type="pct"/>
          </w:tcPr>
          <w:p w14:paraId="3BA7BE1C" w14:textId="2BA1C046"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bookmarkStart w:id="16" w:name="_Hlk133241238"/>
            <w:r w:rsidRPr="003C742E">
              <w:t>Standardised Medical Dictionary for Regulatory Activities Queries</w:t>
            </w:r>
            <w:bookmarkEnd w:id="16"/>
          </w:p>
        </w:tc>
      </w:tr>
      <w:tr w:rsidR="003C742E" w:rsidRPr="003C742E" w14:paraId="1C572F79"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7E7AD38" w14:textId="0DC1AE32" w:rsidR="003C742E" w:rsidRPr="003C742E" w:rsidRDefault="003C742E" w:rsidP="003C742E">
            <w:r w:rsidRPr="003C742E">
              <w:t>S-2P</w:t>
            </w:r>
          </w:p>
        </w:tc>
        <w:tc>
          <w:tcPr>
            <w:tcW w:w="3800" w:type="pct"/>
          </w:tcPr>
          <w:p w14:paraId="4DED1BFA" w14:textId="5A446F5B"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SARS-CoV-2 spike protein modified with 2 proline substitutions within the heptad repeat 1 domain</w:t>
            </w:r>
          </w:p>
        </w:tc>
      </w:tr>
      <w:tr w:rsidR="003C742E" w:rsidRPr="003C742E" w14:paraId="3FD5469B"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F0AA4CB" w14:textId="7A5BA6AF" w:rsidR="003C742E" w:rsidRPr="003C742E" w:rsidRDefault="003C742E" w:rsidP="003C742E">
            <w:r w:rsidRPr="003C742E">
              <w:t>Study P201</w:t>
            </w:r>
          </w:p>
        </w:tc>
        <w:tc>
          <w:tcPr>
            <w:tcW w:w="3800" w:type="pct"/>
          </w:tcPr>
          <w:p w14:paraId="3660EF9E" w14:textId="29168E99"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Study mRNA-1273-P201</w:t>
            </w:r>
          </w:p>
        </w:tc>
      </w:tr>
      <w:tr w:rsidR="003C742E" w:rsidRPr="003C742E" w14:paraId="055F44EE"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4C393BE1" w14:textId="61694358" w:rsidR="003C742E" w:rsidRPr="003C742E" w:rsidRDefault="003C742E" w:rsidP="003C742E">
            <w:r w:rsidRPr="003C742E">
              <w:t>Study P203</w:t>
            </w:r>
          </w:p>
        </w:tc>
        <w:tc>
          <w:tcPr>
            <w:tcW w:w="3800" w:type="pct"/>
          </w:tcPr>
          <w:p w14:paraId="4ABB0FF0" w14:textId="1E4976EA"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Study mRNA-1273-P203</w:t>
            </w:r>
          </w:p>
        </w:tc>
      </w:tr>
      <w:tr w:rsidR="003C742E" w:rsidRPr="003C742E" w14:paraId="46416FF3"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5103670" w14:textId="0363B0B9" w:rsidR="003C742E" w:rsidRPr="003C742E" w:rsidRDefault="003C742E" w:rsidP="003C742E">
            <w:r w:rsidRPr="003C742E">
              <w:t>Study P204</w:t>
            </w:r>
          </w:p>
        </w:tc>
        <w:tc>
          <w:tcPr>
            <w:tcW w:w="3800" w:type="pct"/>
          </w:tcPr>
          <w:p w14:paraId="4A053EA7" w14:textId="227F6826"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Study mRNA-1273-P204</w:t>
            </w:r>
          </w:p>
        </w:tc>
      </w:tr>
      <w:tr w:rsidR="003C742E" w:rsidRPr="003C742E" w14:paraId="541948AD"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3FE04192" w14:textId="0CCB4376" w:rsidR="003C742E" w:rsidRPr="003C742E" w:rsidRDefault="003C742E" w:rsidP="003C742E">
            <w:r w:rsidRPr="003C742E">
              <w:t>Study P301</w:t>
            </w:r>
          </w:p>
        </w:tc>
        <w:tc>
          <w:tcPr>
            <w:tcW w:w="3800" w:type="pct"/>
          </w:tcPr>
          <w:p w14:paraId="19405568" w14:textId="6CE7CE8C"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r w:rsidRPr="003C742E">
              <w:t>Study mRNA-1273-P301</w:t>
            </w:r>
          </w:p>
        </w:tc>
      </w:tr>
      <w:tr w:rsidR="003C742E" w:rsidRPr="003C742E" w14:paraId="41E7419A"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00BAA820" w14:textId="13EBB20B" w:rsidR="003C742E" w:rsidRPr="003C742E" w:rsidRDefault="003C742E" w:rsidP="003C742E">
            <w:r w:rsidRPr="003C742E">
              <w:t>TEAE</w:t>
            </w:r>
          </w:p>
        </w:tc>
        <w:tc>
          <w:tcPr>
            <w:tcW w:w="3800" w:type="pct"/>
          </w:tcPr>
          <w:p w14:paraId="13D08767" w14:textId="541A1A19"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bookmarkStart w:id="17" w:name="_Hlk133231442"/>
            <w:r w:rsidRPr="003C742E">
              <w:t>Treatment emergent adverse event</w:t>
            </w:r>
            <w:bookmarkEnd w:id="17"/>
          </w:p>
        </w:tc>
      </w:tr>
      <w:tr w:rsidR="003C742E" w:rsidRPr="003C742E" w14:paraId="46CF9C21"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18E1A5A6" w14:textId="08682394" w:rsidR="003C742E" w:rsidRPr="003C742E" w:rsidRDefault="003C742E" w:rsidP="003C742E">
            <w:r w:rsidRPr="003C742E">
              <w:t>TGA</w:t>
            </w:r>
          </w:p>
        </w:tc>
        <w:tc>
          <w:tcPr>
            <w:tcW w:w="3800" w:type="pct"/>
          </w:tcPr>
          <w:p w14:paraId="239C860E" w14:textId="1E2986DC"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pPr>
            <w:bookmarkStart w:id="18" w:name="_Hlk132986384"/>
            <w:r w:rsidRPr="003C742E">
              <w:t>Therapeutic Goods Administration</w:t>
            </w:r>
            <w:bookmarkEnd w:id="18"/>
          </w:p>
        </w:tc>
      </w:tr>
      <w:tr w:rsidR="003C742E" w:rsidRPr="003C742E" w14:paraId="633648C4"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5A474267" w14:textId="3A277233" w:rsidR="003C742E" w:rsidRPr="003C742E" w:rsidRDefault="003C742E" w:rsidP="003C742E">
            <w:pPr>
              <w:rPr>
                <w:lang w:val="en-US" w:eastAsia="ja-JP"/>
              </w:rPr>
            </w:pPr>
            <w:r w:rsidRPr="003C742E">
              <w:t>US(A)</w:t>
            </w:r>
          </w:p>
        </w:tc>
        <w:tc>
          <w:tcPr>
            <w:tcW w:w="3800" w:type="pct"/>
          </w:tcPr>
          <w:p w14:paraId="7ACB4580" w14:textId="1654E4EC"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rPr>
                <w:lang w:val="en-US" w:eastAsia="ja-JP"/>
              </w:rPr>
            </w:pPr>
            <w:r w:rsidRPr="003C742E">
              <w:t>United States (of America)</w:t>
            </w:r>
          </w:p>
        </w:tc>
      </w:tr>
      <w:tr w:rsidR="003C742E" w:rsidRPr="003C742E" w14:paraId="2C313BF0" w14:textId="77777777" w:rsidTr="00BD5DBD">
        <w:trPr>
          <w:trHeight w:val="386"/>
        </w:trPr>
        <w:tc>
          <w:tcPr>
            <w:cnfStyle w:val="001000000000" w:firstRow="0" w:lastRow="0" w:firstColumn="1" w:lastColumn="0" w:oddVBand="0" w:evenVBand="0" w:oddHBand="0" w:evenHBand="0" w:firstRowFirstColumn="0" w:firstRowLastColumn="0" w:lastRowFirstColumn="0" w:lastRowLastColumn="0"/>
            <w:tcW w:w="1200" w:type="pct"/>
          </w:tcPr>
          <w:p w14:paraId="2B18C964" w14:textId="77D52FD7" w:rsidR="003C742E" w:rsidRPr="003C742E" w:rsidRDefault="003C742E" w:rsidP="003C742E">
            <w:pPr>
              <w:rPr>
                <w:lang w:val="en-US" w:eastAsia="ja-JP"/>
              </w:rPr>
            </w:pPr>
            <w:r w:rsidRPr="003C742E">
              <w:t>WHO</w:t>
            </w:r>
          </w:p>
        </w:tc>
        <w:tc>
          <w:tcPr>
            <w:tcW w:w="3800" w:type="pct"/>
          </w:tcPr>
          <w:p w14:paraId="70F2C30A" w14:textId="48993A26" w:rsidR="003C742E" w:rsidRPr="003C742E" w:rsidRDefault="003C742E" w:rsidP="003C742E">
            <w:pPr>
              <w:cnfStyle w:val="000000000000" w:firstRow="0" w:lastRow="0" w:firstColumn="0" w:lastColumn="0" w:oddVBand="0" w:evenVBand="0" w:oddHBand="0" w:evenHBand="0" w:firstRowFirstColumn="0" w:firstRowLastColumn="0" w:lastRowFirstColumn="0" w:lastRowLastColumn="0"/>
              <w:rPr>
                <w:lang w:val="en-US" w:eastAsia="ja-JP"/>
              </w:rPr>
            </w:pPr>
            <w:r w:rsidRPr="003C742E">
              <w:t>World Health Organization</w:t>
            </w:r>
          </w:p>
        </w:tc>
      </w:tr>
    </w:tbl>
    <w:p w14:paraId="7378F926" w14:textId="77777777" w:rsidR="00324B33" w:rsidRPr="003C742E" w:rsidRDefault="00324B33" w:rsidP="00324B33"/>
    <w:p w14:paraId="02FB1F38" w14:textId="77777777" w:rsidR="00324B33" w:rsidRPr="003C742E" w:rsidRDefault="00324B33" w:rsidP="00324B33">
      <w:pPr>
        <w:spacing w:after="200" w:line="0" w:lineRule="auto"/>
        <w:rPr>
          <w:b/>
          <w:i/>
          <w:sz w:val="24"/>
          <w:szCs w:val="24"/>
        </w:rPr>
      </w:pPr>
      <w:r w:rsidRPr="003C742E">
        <w:rPr>
          <w:b/>
          <w:i/>
          <w:sz w:val="24"/>
          <w:szCs w:val="24"/>
        </w:rPr>
        <w:br w:type="page"/>
      </w:r>
    </w:p>
    <w:p w14:paraId="44C2A39C" w14:textId="77777777" w:rsidR="00324B33" w:rsidRPr="003C742E" w:rsidRDefault="00324B33" w:rsidP="00324B33">
      <w:pPr>
        <w:pStyle w:val="Heading2"/>
      </w:pPr>
      <w:bookmarkStart w:id="19" w:name="_Toc103679288"/>
      <w:bookmarkStart w:id="20" w:name="_Toc134622038"/>
      <w:r w:rsidRPr="003C742E">
        <w:lastRenderedPageBreak/>
        <w:t>Product submission</w:t>
      </w:r>
      <w:bookmarkEnd w:id="19"/>
      <w:bookmarkEnd w:id="20"/>
    </w:p>
    <w:p w14:paraId="21D559DF" w14:textId="77777777" w:rsidR="00324B33" w:rsidRPr="003C742E" w:rsidRDefault="00324B33" w:rsidP="00324B33">
      <w:pPr>
        <w:pStyle w:val="Heading3"/>
        <w:rPr>
          <w:lang w:eastAsia="en-AU"/>
        </w:rPr>
      </w:pPr>
      <w:bookmarkStart w:id="21" w:name="_Toc247691502"/>
      <w:bookmarkStart w:id="22" w:name="_Toc314842483"/>
      <w:bookmarkStart w:id="23" w:name="_Toc103679289"/>
      <w:bookmarkStart w:id="24" w:name="_Toc134622039"/>
      <w:r w:rsidRPr="003C742E">
        <w:rPr>
          <w:lang w:eastAsia="en-AU"/>
        </w:rPr>
        <w:t>Submission details</w:t>
      </w:r>
      <w:bookmarkEnd w:id="21"/>
      <w:bookmarkEnd w:id="22"/>
      <w:bookmarkEnd w:id="23"/>
      <w:bookmarkEnd w:id="24"/>
    </w:p>
    <w:tbl>
      <w:tblPr>
        <w:tblW w:w="5000" w:type="pct"/>
        <w:tblLook w:val="01E0" w:firstRow="1" w:lastRow="1" w:firstColumn="1" w:lastColumn="1" w:noHBand="0" w:noVBand="0"/>
      </w:tblPr>
      <w:tblGrid>
        <w:gridCol w:w="2861"/>
        <w:gridCol w:w="6209"/>
      </w:tblGrid>
      <w:tr w:rsidR="00324B33" w:rsidRPr="003C742E" w14:paraId="77D11C95" w14:textId="77777777" w:rsidTr="00F865A7">
        <w:tc>
          <w:tcPr>
            <w:tcW w:w="1577" w:type="pct"/>
          </w:tcPr>
          <w:p w14:paraId="10E57D62" w14:textId="77777777" w:rsidR="00324B33" w:rsidRPr="003C742E" w:rsidRDefault="00324B33" w:rsidP="007452E8">
            <w:pPr>
              <w:rPr>
                <w:i/>
                <w:szCs w:val="22"/>
              </w:rPr>
            </w:pPr>
            <w:r w:rsidRPr="003C742E">
              <w:rPr>
                <w:i/>
                <w:szCs w:val="22"/>
              </w:rPr>
              <w:t>Type of submission:</w:t>
            </w:r>
          </w:p>
        </w:tc>
        <w:tc>
          <w:tcPr>
            <w:tcW w:w="3423" w:type="pct"/>
          </w:tcPr>
          <w:p w14:paraId="4F07C303" w14:textId="49305526" w:rsidR="00324B33" w:rsidRPr="003C742E" w:rsidRDefault="006B6782" w:rsidP="007452E8">
            <w:pPr>
              <w:rPr>
                <w:szCs w:val="22"/>
              </w:rPr>
            </w:pPr>
            <w:bookmarkStart w:id="25" w:name="_Hlk132283908"/>
            <w:r w:rsidRPr="003C742E">
              <w:rPr>
                <w:szCs w:val="22"/>
              </w:rPr>
              <w:t>Transition from provisional registration to full registration</w:t>
            </w:r>
            <w:bookmarkEnd w:id="25"/>
          </w:p>
        </w:tc>
      </w:tr>
      <w:tr w:rsidR="00324B33" w:rsidRPr="003C742E" w14:paraId="13482B61" w14:textId="77777777" w:rsidTr="00F865A7">
        <w:tc>
          <w:tcPr>
            <w:tcW w:w="1577" w:type="pct"/>
          </w:tcPr>
          <w:p w14:paraId="2C427FCF" w14:textId="59191F4C" w:rsidR="00324B33" w:rsidRPr="003C742E" w:rsidRDefault="00324B33" w:rsidP="007452E8">
            <w:pPr>
              <w:rPr>
                <w:i/>
                <w:szCs w:val="22"/>
              </w:rPr>
            </w:pPr>
            <w:r w:rsidRPr="003C742E">
              <w:rPr>
                <w:i/>
                <w:szCs w:val="22"/>
              </w:rPr>
              <w:t>Product name:</w:t>
            </w:r>
          </w:p>
        </w:tc>
        <w:tc>
          <w:tcPr>
            <w:tcW w:w="3423" w:type="pct"/>
          </w:tcPr>
          <w:p w14:paraId="0E2DEF76" w14:textId="07F3504E" w:rsidR="00324B33" w:rsidRPr="003C742E" w:rsidRDefault="006B6782" w:rsidP="007452E8">
            <w:pPr>
              <w:rPr>
                <w:szCs w:val="22"/>
              </w:rPr>
            </w:pPr>
            <w:r w:rsidRPr="003C742E">
              <w:rPr>
                <w:szCs w:val="22"/>
              </w:rPr>
              <w:t>Spikevax</w:t>
            </w:r>
          </w:p>
        </w:tc>
      </w:tr>
      <w:tr w:rsidR="00324B33" w:rsidRPr="003C742E" w14:paraId="01255B5B" w14:textId="77777777" w:rsidTr="00F865A7">
        <w:tc>
          <w:tcPr>
            <w:tcW w:w="1577" w:type="pct"/>
          </w:tcPr>
          <w:p w14:paraId="52B4F3D7" w14:textId="3CF612D6" w:rsidR="00324B33" w:rsidRPr="003C742E" w:rsidRDefault="00324B33" w:rsidP="007452E8">
            <w:pPr>
              <w:rPr>
                <w:i/>
                <w:szCs w:val="22"/>
              </w:rPr>
            </w:pPr>
            <w:r w:rsidRPr="003C742E">
              <w:rPr>
                <w:i/>
                <w:szCs w:val="22"/>
              </w:rPr>
              <w:t>Active ingredient:</w:t>
            </w:r>
          </w:p>
        </w:tc>
        <w:tc>
          <w:tcPr>
            <w:tcW w:w="3423" w:type="pct"/>
          </w:tcPr>
          <w:p w14:paraId="02FB6383" w14:textId="005ED521" w:rsidR="00324B33" w:rsidRPr="003C742E" w:rsidRDefault="005E435C" w:rsidP="007452E8">
            <w:pPr>
              <w:rPr>
                <w:szCs w:val="22"/>
              </w:rPr>
            </w:pPr>
            <w:r w:rsidRPr="003C742E">
              <w:rPr>
                <w:szCs w:val="22"/>
              </w:rPr>
              <w:t>Elasomeran</w:t>
            </w:r>
          </w:p>
        </w:tc>
      </w:tr>
      <w:tr w:rsidR="00324B33" w:rsidRPr="003C742E" w14:paraId="219A281B" w14:textId="77777777" w:rsidTr="00F865A7">
        <w:tc>
          <w:tcPr>
            <w:tcW w:w="1577" w:type="pct"/>
          </w:tcPr>
          <w:p w14:paraId="112E5F78" w14:textId="77777777" w:rsidR="00324B33" w:rsidRPr="003C742E" w:rsidRDefault="00324B33" w:rsidP="007452E8">
            <w:pPr>
              <w:rPr>
                <w:i/>
                <w:szCs w:val="22"/>
              </w:rPr>
            </w:pPr>
            <w:r w:rsidRPr="003C742E">
              <w:rPr>
                <w:i/>
                <w:szCs w:val="22"/>
              </w:rPr>
              <w:t>Decision:</w:t>
            </w:r>
          </w:p>
        </w:tc>
        <w:tc>
          <w:tcPr>
            <w:tcW w:w="3423" w:type="pct"/>
          </w:tcPr>
          <w:p w14:paraId="3B114BEA" w14:textId="3986FBC8" w:rsidR="00324B33" w:rsidRPr="003C742E" w:rsidRDefault="00324B33" w:rsidP="00D55F64">
            <w:r w:rsidRPr="003C742E">
              <w:t>Approved</w:t>
            </w:r>
          </w:p>
        </w:tc>
      </w:tr>
      <w:tr w:rsidR="00AE1947" w:rsidRPr="003C742E" w14:paraId="32B72632" w14:textId="77777777" w:rsidTr="00F865A7">
        <w:tc>
          <w:tcPr>
            <w:tcW w:w="1577" w:type="pct"/>
          </w:tcPr>
          <w:p w14:paraId="332A5CD5" w14:textId="59001573" w:rsidR="00AE1947" w:rsidRPr="003C742E" w:rsidRDefault="00AE1947" w:rsidP="0014446B">
            <w:pPr>
              <w:rPr>
                <w:i/>
                <w:szCs w:val="22"/>
              </w:rPr>
            </w:pPr>
            <w:r w:rsidRPr="003C742E">
              <w:rPr>
                <w:i/>
                <w:szCs w:val="22"/>
              </w:rPr>
              <w:t>Date of decision:</w:t>
            </w:r>
          </w:p>
        </w:tc>
        <w:tc>
          <w:tcPr>
            <w:tcW w:w="3423" w:type="pct"/>
          </w:tcPr>
          <w:p w14:paraId="7B381CD6" w14:textId="16528782" w:rsidR="00AE1947" w:rsidRPr="003C742E" w:rsidRDefault="00D55F64" w:rsidP="00D55F64">
            <w:r w:rsidRPr="003C742E">
              <w:t>21 April 2023</w:t>
            </w:r>
          </w:p>
        </w:tc>
      </w:tr>
      <w:tr w:rsidR="00324B33" w:rsidRPr="003C742E" w14:paraId="60A25F5A" w14:textId="77777777" w:rsidTr="00F865A7">
        <w:tc>
          <w:tcPr>
            <w:tcW w:w="1577" w:type="pct"/>
          </w:tcPr>
          <w:p w14:paraId="5C5E4CBA" w14:textId="77777777" w:rsidR="00324B33" w:rsidRPr="003C742E" w:rsidRDefault="00324B33" w:rsidP="007452E8">
            <w:pPr>
              <w:rPr>
                <w:i/>
                <w:szCs w:val="22"/>
              </w:rPr>
            </w:pPr>
            <w:r w:rsidRPr="003C742E">
              <w:rPr>
                <w:i/>
                <w:szCs w:val="22"/>
              </w:rPr>
              <w:t>Date of entry onto ARTG:</w:t>
            </w:r>
          </w:p>
        </w:tc>
        <w:tc>
          <w:tcPr>
            <w:tcW w:w="3423" w:type="pct"/>
          </w:tcPr>
          <w:p w14:paraId="28B270E9" w14:textId="2FE9C33D" w:rsidR="00324B33" w:rsidRPr="000E4A70" w:rsidRDefault="00647E95" w:rsidP="000E4A70">
            <w:r w:rsidRPr="000E4A70">
              <w:t>24 April 2023</w:t>
            </w:r>
          </w:p>
        </w:tc>
      </w:tr>
      <w:tr w:rsidR="00324B33" w:rsidRPr="003C742E" w14:paraId="547E08D7" w14:textId="77777777" w:rsidTr="00F865A7">
        <w:tc>
          <w:tcPr>
            <w:tcW w:w="1577" w:type="pct"/>
          </w:tcPr>
          <w:p w14:paraId="5030EF30" w14:textId="47EF9293" w:rsidR="00324B33" w:rsidRPr="003C742E" w:rsidRDefault="00324B33" w:rsidP="007452E8">
            <w:pPr>
              <w:rPr>
                <w:i/>
                <w:szCs w:val="22"/>
              </w:rPr>
            </w:pPr>
            <w:r w:rsidRPr="003C742E">
              <w:rPr>
                <w:i/>
                <w:szCs w:val="22"/>
              </w:rPr>
              <w:t>ARTG numbers:</w:t>
            </w:r>
          </w:p>
        </w:tc>
        <w:tc>
          <w:tcPr>
            <w:tcW w:w="3423" w:type="pct"/>
          </w:tcPr>
          <w:p w14:paraId="0054E912" w14:textId="74A5DCCF" w:rsidR="00324B33" w:rsidRPr="003C742E" w:rsidRDefault="005E435C" w:rsidP="005E435C">
            <w:r w:rsidRPr="003C742E">
              <w:t>370599, 388244 and 388245</w:t>
            </w:r>
          </w:p>
        </w:tc>
      </w:tr>
      <w:tr w:rsidR="00324B33" w:rsidRPr="003C742E" w14:paraId="7618393F" w14:textId="77777777" w:rsidTr="00F865A7">
        <w:tc>
          <w:tcPr>
            <w:tcW w:w="1577" w:type="pct"/>
          </w:tcPr>
          <w:p w14:paraId="6C24CEB6" w14:textId="4BC113CB" w:rsidR="00E47E0C" w:rsidRPr="003C742E" w:rsidRDefault="00324B33" w:rsidP="007452E8">
            <w:pPr>
              <w:rPr>
                <w:rStyle w:val="Hyperlink"/>
                <w:i/>
                <w:szCs w:val="22"/>
              </w:rPr>
            </w:pPr>
            <w:r w:rsidRPr="003C742E">
              <w:rPr>
                <w:rFonts w:ascii="Wingdings 3" w:hAnsi="Wingdings 3"/>
                <w:szCs w:val="22"/>
                <w:lang w:eastAsia="en-AU"/>
              </w:rPr>
              <w:t></w:t>
            </w:r>
            <w:hyperlink r:id="rId18" w:history="1">
              <w:r w:rsidRPr="003C742E">
                <w:rPr>
                  <w:rStyle w:val="Hyperlink"/>
                  <w:i/>
                  <w:szCs w:val="22"/>
                </w:rPr>
                <w:t>Black Triangle Scheme</w:t>
              </w:r>
            </w:hyperlink>
          </w:p>
          <w:p w14:paraId="02260DE2" w14:textId="1FC334AE" w:rsidR="00324B33" w:rsidRPr="003C742E" w:rsidRDefault="00E47E0C" w:rsidP="007452E8">
            <w:pPr>
              <w:rPr>
                <w:i/>
                <w:szCs w:val="22"/>
              </w:rPr>
            </w:pPr>
            <w:r w:rsidRPr="003C742E">
              <w:rPr>
                <w:i/>
                <w:szCs w:val="22"/>
              </w:rPr>
              <w:t xml:space="preserve">for </w:t>
            </w:r>
            <w:r w:rsidR="007B04DE" w:rsidRPr="003C742E">
              <w:rPr>
                <w:i/>
                <w:szCs w:val="22"/>
              </w:rPr>
              <w:t>the current</w:t>
            </w:r>
            <w:r w:rsidRPr="003C742E">
              <w:rPr>
                <w:i/>
                <w:szCs w:val="22"/>
              </w:rPr>
              <w:t xml:space="preserve"> submission</w:t>
            </w:r>
            <w:r w:rsidR="00324B33" w:rsidRPr="003C742E">
              <w:rPr>
                <w:i/>
                <w:szCs w:val="22"/>
              </w:rPr>
              <w:t>:</w:t>
            </w:r>
          </w:p>
        </w:tc>
        <w:tc>
          <w:tcPr>
            <w:tcW w:w="3423" w:type="pct"/>
          </w:tcPr>
          <w:p w14:paraId="08EF3693" w14:textId="75F91B05" w:rsidR="00324B33" w:rsidRPr="000E4A70" w:rsidRDefault="00324B33" w:rsidP="000E4A70">
            <w:r w:rsidRPr="000E4A70">
              <w:t>Yes</w:t>
            </w:r>
            <w:r w:rsidR="00647E95" w:rsidRPr="000E4A70">
              <w:t>.</w:t>
            </w:r>
          </w:p>
          <w:p w14:paraId="6FF3C6A2" w14:textId="708E8C05" w:rsidR="00324B33" w:rsidRPr="003C742E" w:rsidRDefault="00324B33">
            <w:r w:rsidRPr="000E4A70">
              <w:t>This product will remain in the scheme for 5 years, starting on the date the product is first supplied in Australia</w:t>
            </w:r>
            <w:r w:rsidR="00647E95" w:rsidRPr="000E4A70">
              <w:t>.</w:t>
            </w:r>
          </w:p>
        </w:tc>
      </w:tr>
      <w:tr w:rsidR="00324B33" w:rsidRPr="003C742E" w14:paraId="179E09FE" w14:textId="77777777" w:rsidTr="00F865A7">
        <w:tc>
          <w:tcPr>
            <w:tcW w:w="1577" w:type="pct"/>
          </w:tcPr>
          <w:p w14:paraId="1A592498" w14:textId="77777777" w:rsidR="00324B33" w:rsidRPr="003C742E" w:rsidRDefault="00324B33" w:rsidP="007452E8">
            <w:pPr>
              <w:rPr>
                <w:i/>
                <w:szCs w:val="22"/>
              </w:rPr>
            </w:pPr>
            <w:r w:rsidRPr="003C742E">
              <w:rPr>
                <w:i/>
                <w:szCs w:val="22"/>
              </w:rPr>
              <w:t>Sponsor’s name and address:</w:t>
            </w:r>
          </w:p>
        </w:tc>
        <w:tc>
          <w:tcPr>
            <w:tcW w:w="3423" w:type="pct"/>
          </w:tcPr>
          <w:p w14:paraId="6297B64B" w14:textId="77777777" w:rsidR="005E435C" w:rsidRPr="003C742E" w:rsidRDefault="005E435C" w:rsidP="005E435C">
            <w:pPr>
              <w:rPr>
                <w:szCs w:val="22"/>
              </w:rPr>
            </w:pPr>
            <w:r w:rsidRPr="003C742E">
              <w:rPr>
                <w:szCs w:val="22"/>
              </w:rPr>
              <w:t>Moderna Australia Pty Ltd</w:t>
            </w:r>
          </w:p>
          <w:p w14:paraId="71394B1D" w14:textId="77777777" w:rsidR="005E435C" w:rsidRPr="003C742E" w:rsidRDefault="005E435C" w:rsidP="005E435C">
            <w:pPr>
              <w:rPr>
                <w:szCs w:val="22"/>
              </w:rPr>
            </w:pPr>
            <w:r w:rsidRPr="003C742E">
              <w:rPr>
                <w:szCs w:val="22"/>
              </w:rPr>
              <w:t>Level 6, 60 Martin Place</w:t>
            </w:r>
          </w:p>
          <w:p w14:paraId="68DD94B0" w14:textId="6EDBD624" w:rsidR="00324B33" w:rsidRPr="003C742E" w:rsidRDefault="005E435C" w:rsidP="005E435C">
            <w:pPr>
              <w:rPr>
                <w:szCs w:val="22"/>
              </w:rPr>
            </w:pPr>
            <w:r w:rsidRPr="003C742E">
              <w:rPr>
                <w:szCs w:val="22"/>
              </w:rPr>
              <w:t>Sydney NSW, 2000</w:t>
            </w:r>
          </w:p>
        </w:tc>
      </w:tr>
      <w:tr w:rsidR="00324B33" w:rsidRPr="003C742E" w14:paraId="5322B989" w14:textId="77777777" w:rsidTr="00F865A7">
        <w:tc>
          <w:tcPr>
            <w:tcW w:w="1577" w:type="pct"/>
          </w:tcPr>
          <w:p w14:paraId="24F217E3" w14:textId="59A9C047" w:rsidR="00324B33" w:rsidRPr="003C742E" w:rsidRDefault="00324B33" w:rsidP="007452E8">
            <w:pPr>
              <w:rPr>
                <w:i/>
                <w:szCs w:val="22"/>
              </w:rPr>
            </w:pPr>
            <w:r w:rsidRPr="003C742E">
              <w:rPr>
                <w:i/>
                <w:szCs w:val="22"/>
              </w:rPr>
              <w:t>Dose form:</w:t>
            </w:r>
          </w:p>
        </w:tc>
        <w:tc>
          <w:tcPr>
            <w:tcW w:w="3423" w:type="pct"/>
          </w:tcPr>
          <w:p w14:paraId="768B254C" w14:textId="1688134B" w:rsidR="00324B33" w:rsidRPr="003C742E" w:rsidRDefault="005E435C" w:rsidP="005E435C">
            <w:pPr>
              <w:rPr>
                <w:szCs w:val="22"/>
              </w:rPr>
            </w:pPr>
            <w:r w:rsidRPr="003C742E">
              <w:rPr>
                <w:szCs w:val="22"/>
              </w:rPr>
              <w:t>Suspension for injection</w:t>
            </w:r>
          </w:p>
        </w:tc>
      </w:tr>
      <w:tr w:rsidR="00324B33" w:rsidRPr="003C742E" w14:paraId="115243E6" w14:textId="77777777" w:rsidTr="00F865A7">
        <w:tc>
          <w:tcPr>
            <w:tcW w:w="1577" w:type="pct"/>
          </w:tcPr>
          <w:p w14:paraId="7634B062" w14:textId="2BCDC4CE" w:rsidR="00324B33" w:rsidRPr="003C742E" w:rsidRDefault="00324B33" w:rsidP="007452E8">
            <w:pPr>
              <w:rPr>
                <w:i/>
                <w:szCs w:val="22"/>
              </w:rPr>
            </w:pPr>
            <w:r w:rsidRPr="003C742E">
              <w:rPr>
                <w:i/>
                <w:szCs w:val="22"/>
              </w:rPr>
              <w:t>Strengths:</w:t>
            </w:r>
          </w:p>
        </w:tc>
        <w:tc>
          <w:tcPr>
            <w:tcW w:w="3423" w:type="pct"/>
          </w:tcPr>
          <w:p w14:paraId="5E5F83DB" w14:textId="7C6026C3" w:rsidR="00324B33" w:rsidRPr="003C742E" w:rsidRDefault="005E435C" w:rsidP="007452E8">
            <w:pPr>
              <w:rPr>
                <w:szCs w:val="22"/>
              </w:rPr>
            </w:pPr>
            <w:r w:rsidRPr="003C742E">
              <w:rPr>
                <w:szCs w:val="22"/>
              </w:rPr>
              <w:t>0.1 mg/mL and 0.2 mg/mL</w:t>
            </w:r>
          </w:p>
        </w:tc>
      </w:tr>
      <w:tr w:rsidR="00324B33" w:rsidRPr="003C742E" w14:paraId="34B07BA6" w14:textId="77777777" w:rsidTr="00F865A7">
        <w:tc>
          <w:tcPr>
            <w:tcW w:w="1577" w:type="pct"/>
          </w:tcPr>
          <w:p w14:paraId="1C039224" w14:textId="0125B6D4" w:rsidR="00324B33" w:rsidRPr="003C742E" w:rsidRDefault="00324B33" w:rsidP="007452E8">
            <w:pPr>
              <w:rPr>
                <w:i/>
                <w:szCs w:val="22"/>
              </w:rPr>
            </w:pPr>
            <w:r w:rsidRPr="003C742E">
              <w:rPr>
                <w:i/>
                <w:szCs w:val="22"/>
              </w:rPr>
              <w:t>Containers:</w:t>
            </w:r>
          </w:p>
        </w:tc>
        <w:tc>
          <w:tcPr>
            <w:tcW w:w="3423" w:type="pct"/>
          </w:tcPr>
          <w:p w14:paraId="500A42C6" w14:textId="3DF16197" w:rsidR="00324B33" w:rsidRPr="003C742E" w:rsidRDefault="005E435C" w:rsidP="007452E8">
            <w:pPr>
              <w:rPr>
                <w:szCs w:val="22"/>
              </w:rPr>
            </w:pPr>
            <w:r w:rsidRPr="003C742E">
              <w:rPr>
                <w:szCs w:val="22"/>
              </w:rPr>
              <w:t>Vial and prefilled syringe</w:t>
            </w:r>
          </w:p>
        </w:tc>
      </w:tr>
      <w:tr w:rsidR="00324B33" w:rsidRPr="003C742E" w14:paraId="176B6773" w14:textId="77777777" w:rsidTr="00F865A7">
        <w:tc>
          <w:tcPr>
            <w:tcW w:w="1577" w:type="pct"/>
          </w:tcPr>
          <w:p w14:paraId="71846159" w14:textId="50A3DE8F" w:rsidR="00324B33" w:rsidRPr="003C742E" w:rsidRDefault="00324B33" w:rsidP="007452E8">
            <w:pPr>
              <w:rPr>
                <w:i/>
                <w:szCs w:val="22"/>
              </w:rPr>
            </w:pPr>
            <w:r w:rsidRPr="003C742E">
              <w:rPr>
                <w:i/>
                <w:szCs w:val="22"/>
              </w:rPr>
              <w:t>Pack size:</w:t>
            </w:r>
          </w:p>
        </w:tc>
        <w:tc>
          <w:tcPr>
            <w:tcW w:w="3423" w:type="pct"/>
          </w:tcPr>
          <w:p w14:paraId="7E978F8F" w14:textId="37D3BB97" w:rsidR="00324B33" w:rsidRPr="003C742E" w:rsidRDefault="005E435C" w:rsidP="007452E8">
            <w:pPr>
              <w:rPr>
                <w:szCs w:val="22"/>
              </w:rPr>
            </w:pPr>
            <w:r w:rsidRPr="003C742E">
              <w:rPr>
                <w:szCs w:val="22"/>
              </w:rPr>
              <w:t>10</w:t>
            </w:r>
          </w:p>
        </w:tc>
      </w:tr>
      <w:tr w:rsidR="00324B33" w:rsidRPr="003C742E" w14:paraId="19A2544A" w14:textId="77777777" w:rsidTr="00F865A7">
        <w:tc>
          <w:tcPr>
            <w:tcW w:w="1577" w:type="pct"/>
          </w:tcPr>
          <w:p w14:paraId="0E6C5C0E" w14:textId="7DB3FC66" w:rsidR="00324B33" w:rsidRPr="003C742E" w:rsidRDefault="00324B33" w:rsidP="007452E8">
            <w:pPr>
              <w:rPr>
                <w:i/>
                <w:szCs w:val="22"/>
              </w:rPr>
            </w:pPr>
            <w:r w:rsidRPr="003C742E">
              <w:rPr>
                <w:i/>
                <w:szCs w:val="22"/>
              </w:rPr>
              <w:t>Approved therapeutic use</w:t>
            </w:r>
            <w:r w:rsidR="00E47E0C" w:rsidRPr="003C742E">
              <w:rPr>
                <w:i/>
                <w:szCs w:val="22"/>
              </w:rPr>
              <w:t xml:space="preserve"> </w:t>
            </w:r>
            <w:r w:rsidR="007B04DE" w:rsidRPr="003C742E">
              <w:rPr>
                <w:i/>
                <w:szCs w:val="22"/>
              </w:rPr>
              <w:t>for the current</w:t>
            </w:r>
            <w:r w:rsidR="00E47E0C" w:rsidRPr="003C742E">
              <w:rPr>
                <w:i/>
                <w:szCs w:val="22"/>
              </w:rPr>
              <w:t xml:space="preserve"> submission</w:t>
            </w:r>
            <w:r w:rsidRPr="003C742E">
              <w:rPr>
                <w:i/>
                <w:szCs w:val="22"/>
              </w:rPr>
              <w:t>:</w:t>
            </w:r>
          </w:p>
        </w:tc>
        <w:tc>
          <w:tcPr>
            <w:tcW w:w="3423" w:type="pct"/>
          </w:tcPr>
          <w:p w14:paraId="2F4D6BCF" w14:textId="12064AC6" w:rsidR="00D55F64" w:rsidRPr="003C742E" w:rsidRDefault="00D55F64" w:rsidP="00D55F64">
            <w:pPr>
              <w:rPr>
                <w:i/>
                <w:iCs/>
              </w:rPr>
            </w:pPr>
            <w:r w:rsidRPr="003C742E">
              <w:rPr>
                <w:i/>
                <w:iCs/>
              </w:rPr>
              <w:t>Spikevax (elasomeran) COVID-19 Vaccine is indicated for:</w:t>
            </w:r>
          </w:p>
          <w:p w14:paraId="1C50C949" w14:textId="166F3D36" w:rsidR="00D55F64" w:rsidRPr="003C742E" w:rsidRDefault="00D55F64" w:rsidP="00D55F64">
            <w:pPr>
              <w:rPr>
                <w:i/>
                <w:iCs/>
              </w:rPr>
            </w:pPr>
            <w:r w:rsidRPr="003C742E">
              <w:rPr>
                <w:i/>
                <w:iCs/>
              </w:rPr>
              <w:t>Active immunisation to prevent coronavirus disease 2019 (COVID-19) caused by SARS-CoV-2 in individuals 6 years of age and older.</w:t>
            </w:r>
          </w:p>
          <w:p w14:paraId="6E143E2E" w14:textId="6246A5EC" w:rsidR="00D55F64" w:rsidRPr="003C742E" w:rsidRDefault="00D55F64" w:rsidP="00D55F64">
            <w:r w:rsidRPr="003C742E">
              <w:rPr>
                <w:i/>
                <w:iCs/>
              </w:rPr>
              <w:t>The use of this vaccine should be in accordance with official recommendations.</w:t>
            </w:r>
          </w:p>
        </w:tc>
      </w:tr>
      <w:tr w:rsidR="00324B33" w:rsidRPr="003C742E" w14:paraId="5AFDEED3" w14:textId="77777777" w:rsidTr="00F865A7">
        <w:tc>
          <w:tcPr>
            <w:tcW w:w="1577" w:type="pct"/>
          </w:tcPr>
          <w:p w14:paraId="03884BD1" w14:textId="3772B7B3" w:rsidR="00324B33" w:rsidRPr="003C742E" w:rsidRDefault="00324B33" w:rsidP="007452E8">
            <w:pPr>
              <w:rPr>
                <w:i/>
                <w:szCs w:val="22"/>
              </w:rPr>
            </w:pPr>
            <w:r w:rsidRPr="003C742E">
              <w:rPr>
                <w:i/>
                <w:szCs w:val="22"/>
              </w:rPr>
              <w:t>Route of administration:</w:t>
            </w:r>
          </w:p>
        </w:tc>
        <w:tc>
          <w:tcPr>
            <w:tcW w:w="3423" w:type="pct"/>
          </w:tcPr>
          <w:p w14:paraId="1ED1357E" w14:textId="1C276589" w:rsidR="00324B33" w:rsidRPr="003C742E" w:rsidRDefault="005E435C" w:rsidP="007452E8">
            <w:pPr>
              <w:rPr>
                <w:szCs w:val="22"/>
              </w:rPr>
            </w:pPr>
            <w:r w:rsidRPr="003C742E">
              <w:rPr>
                <w:szCs w:val="22"/>
              </w:rPr>
              <w:t>Intramuscular</w:t>
            </w:r>
          </w:p>
        </w:tc>
      </w:tr>
      <w:tr w:rsidR="00E15923" w:rsidRPr="003C742E" w14:paraId="70D7E9FA" w14:textId="77777777" w:rsidTr="00F865A7">
        <w:tc>
          <w:tcPr>
            <w:tcW w:w="1577" w:type="pct"/>
          </w:tcPr>
          <w:p w14:paraId="5ABFFC80" w14:textId="77777777" w:rsidR="00E15923" w:rsidRPr="003C742E" w:rsidRDefault="00E15923" w:rsidP="00E15923">
            <w:pPr>
              <w:rPr>
                <w:i/>
                <w:szCs w:val="22"/>
              </w:rPr>
            </w:pPr>
            <w:r w:rsidRPr="003C742E">
              <w:rPr>
                <w:i/>
                <w:szCs w:val="22"/>
              </w:rPr>
              <w:t>Dosage:</w:t>
            </w:r>
          </w:p>
        </w:tc>
        <w:tc>
          <w:tcPr>
            <w:tcW w:w="3423" w:type="pct"/>
          </w:tcPr>
          <w:p w14:paraId="31B9E92C" w14:textId="6106AB09" w:rsidR="00E15923" w:rsidRPr="003C742E" w:rsidRDefault="00E15923" w:rsidP="00E15923">
            <w:pPr>
              <w:rPr>
                <w:b/>
                <w:bCs/>
              </w:rPr>
            </w:pPr>
            <w:r w:rsidRPr="003C742E">
              <w:rPr>
                <w:b/>
                <w:bCs/>
              </w:rPr>
              <w:t>Primary series</w:t>
            </w:r>
          </w:p>
          <w:p w14:paraId="57DC7387" w14:textId="279E89BD" w:rsidR="00E15923" w:rsidRPr="003C742E" w:rsidRDefault="00E15923" w:rsidP="00E15923">
            <w:pPr>
              <w:rPr>
                <w:i/>
                <w:iCs/>
              </w:rPr>
            </w:pPr>
            <w:r w:rsidRPr="003C742E">
              <w:rPr>
                <w:i/>
                <w:iCs/>
              </w:rPr>
              <w:t xml:space="preserve">Individuals 6 months </w:t>
            </w:r>
            <w:r w:rsidR="002E3156">
              <w:rPr>
                <w:i/>
                <w:iCs/>
              </w:rPr>
              <w:t>to &lt;</w:t>
            </w:r>
            <w:r w:rsidR="002E3156" w:rsidRPr="003C742E">
              <w:rPr>
                <w:i/>
                <w:iCs/>
              </w:rPr>
              <w:t xml:space="preserve"> </w:t>
            </w:r>
            <w:r w:rsidRPr="003C742E">
              <w:rPr>
                <w:i/>
                <w:iCs/>
              </w:rPr>
              <w:t>6 years of age</w:t>
            </w:r>
          </w:p>
          <w:p w14:paraId="5ABB8E33" w14:textId="76B6BC05" w:rsidR="00E15923" w:rsidRPr="003C742E" w:rsidRDefault="00E15923" w:rsidP="00E15923">
            <w:r w:rsidRPr="003C742E">
              <w:t xml:space="preserve">Spikevax is administered as a course of 2 doses (0.25 mL, </w:t>
            </w:r>
            <w:r w:rsidR="000C3AAA" w:rsidRPr="003C742E">
              <w:t xml:space="preserve">25 µg </w:t>
            </w:r>
            <w:r w:rsidRPr="003C742E">
              <w:t>each)</w:t>
            </w:r>
            <w:r w:rsidR="00837574">
              <w:t xml:space="preserve"> </w:t>
            </w:r>
            <w:r w:rsidR="00280D55">
              <w:t xml:space="preserve">from 0.1 mg/mL </w:t>
            </w:r>
            <w:r w:rsidR="00647E95" w:rsidRPr="00647E95">
              <w:t>multi</w:t>
            </w:r>
            <w:r w:rsidR="00647E95">
              <w:t>-</w:t>
            </w:r>
            <w:r w:rsidR="00647E95" w:rsidRPr="00647E95">
              <w:t xml:space="preserve">dose vial </w:t>
            </w:r>
            <w:r w:rsidR="000762BD">
              <w:t>(blue top)</w:t>
            </w:r>
            <w:r w:rsidR="00280D55">
              <w:t>.</w:t>
            </w:r>
          </w:p>
          <w:p w14:paraId="4432F841" w14:textId="5B5803B3" w:rsidR="00E15923" w:rsidRPr="003C742E" w:rsidRDefault="00E15923" w:rsidP="00E15923">
            <w:pPr>
              <w:rPr>
                <w:i/>
                <w:iCs/>
              </w:rPr>
            </w:pPr>
            <w:r w:rsidRPr="003C742E">
              <w:rPr>
                <w:i/>
                <w:iCs/>
              </w:rPr>
              <w:t xml:space="preserve">Individuals 6 </w:t>
            </w:r>
            <w:r w:rsidR="00C558E4">
              <w:rPr>
                <w:i/>
                <w:iCs/>
              </w:rPr>
              <w:t>years to &lt;</w:t>
            </w:r>
            <w:r w:rsidRPr="003C742E">
              <w:rPr>
                <w:i/>
                <w:iCs/>
              </w:rPr>
              <w:t xml:space="preserve"> 12 years of age</w:t>
            </w:r>
          </w:p>
          <w:p w14:paraId="726AA316" w14:textId="5A92DBD8" w:rsidR="00E15923" w:rsidRDefault="00E15923" w:rsidP="00E15923">
            <w:bookmarkStart w:id="26" w:name="OLE_LINK1"/>
            <w:r w:rsidRPr="003C742E">
              <w:t xml:space="preserve">Spikevax is administered as a course of 2 doses (0.25 mL, </w:t>
            </w:r>
            <w:r w:rsidR="000C3AAA" w:rsidRPr="003C742E">
              <w:t>50</w:t>
            </w:r>
            <w:r w:rsidR="00BC2AF2" w:rsidRPr="003C742E">
              <w:t> </w:t>
            </w:r>
            <w:r w:rsidR="000C3AAA" w:rsidRPr="003C742E">
              <w:t xml:space="preserve">µg </w:t>
            </w:r>
            <w:r w:rsidRPr="003C742E">
              <w:t>each)</w:t>
            </w:r>
            <w:r w:rsidR="00280D55">
              <w:t xml:space="preserve"> </w:t>
            </w:r>
            <w:bookmarkEnd w:id="26"/>
            <w:r w:rsidR="00280D55">
              <w:t xml:space="preserve">from </w:t>
            </w:r>
            <w:r w:rsidR="00F34A77">
              <w:t xml:space="preserve">0.2 mg/mL </w:t>
            </w:r>
            <w:r w:rsidR="00647E95" w:rsidRPr="00647E95">
              <w:t>multi-dose vial</w:t>
            </w:r>
            <w:r w:rsidR="00F34A77">
              <w:t xml:space="preserve"> (red top)</w:t>
            </w:r>
            <w:r w:rsidRPr="003C742E">
              <w:t>.</w:t>
            </w:r>
          </w:p>
          <w:p w14:paraId="04FD9BA4" w14:textId="22C1BF05" w:rsidR="00F34A77" w:rsidRPr="003154A3" w:rsidRDefault="00F34A77" w:rsidP="003154A3">
            <w:r>
              <w:t xml:space="preserve">Spikevax is administered as a course of 2 doses (0.5 mL, 50 µg each) from 0.1 mg/mL </w:t>
            </w:r>
            <w:r w:rsidR="00647E95" w:rsidRPr="00647E95">
              <w:t>multi-dose vial</w:t>
            </w:r>
            <w:r>
              <w:t xml:space="preserve"> (blue top).</w:t>
            </w:r>
          </w:p>
          <w:p w14:paraId="7FFF7C26" w14:textId="4F5D90E9" w:rsidR="00E15923" w:rsidRPr="003C742E" w:rsidRDefault="00E15923" w:rsidP="00E15923">
            <w:pPr>
              <w:rPr>
                <w:i/>
                <w:iCs/>
              </w:rPr>
            </w:pPr>
            <w:r w:rsidRPr="003C742E">
              <w:rPr>
                <w:i/>
                <w:iCs/>
              </w:rPr>
              <w:t>Individuals 12 years of age and older</w:t>
            </w:r>
          </w:p>
          <w:p w14:paraId="074AB312" w14:textId="5C2737CC" w:rsidR="00E15923" w:rsidRPr="003C742E" w:rsidRDefault="00E15923" w:rsidP="00E15923">
            <w:r w:rsidRPr="003C742E">
              <w:lastRenderedPageBreak/>
              <w:t xml:space="preserve">Spikevax is administered as a course of 2 doses (0.5 mL, </w:t>
            </w:r>
            <w:r w:rsidR="000C3AAA" w:rsidRPr="003C742E">
              <w:t xml:space="preserve">100 µg </w:t>
            </w:r>
            <w:r w:rsidRPr="003C742E">
              <w:t>each)</w:t>
            </w:r>
            <w:r w:rsidR="005C5469">
              <w:t xml:space="preserve"> from 0.2 mg/mL </w:t>
            </w:r>
            <w:r w:rsidR="00647E95" w:rsidRPr="00647E95">
              <w:t>multi-dose vial</w:t>
            </w:r>
            <w:r w:rsidR="005C5469">
              <w:t xml:space="preserve"> (red top)</w:t>
            </w:r>
            <w:r w:rsidRPr="003C742E">
              <w:t>.</w:t>
            </w:r>
          </w:p>
          <w:p w14:paraId="57C4775B" w14:textId="77777777" w:rsidR="00E15923" w:rsidRPr="003C742E" w:rsidRDefault="00E15923" w:rsidP="00E15923">
            <w:r w:rsidRPr="003C742E">
              <w:t>It is recommended to administer the second dose 28 days after the first dose (see Section 4.4 Special warnings and precautions for use and Section 5.1 Pharmacodynamic properties of the Product Information).</w:t>
            </w:r>
          </w:p>
          <w:p w14:paraId="2723B248" w14:textId="77777777" w:rsidR="00E15923" w:rsidRPr="003C742E" w:rsidRDefault="00E15923" w:rsidP="00E15923">
            <w:pPr>
              <w:rPr>
                <w:i/>
                <w:iCs/>
              </w:rPr>
            </w:pPr>
            <w:r w:rsidRPr="003C742E">
              <w:rPr>
                <w:i/>
                <w:iCs/>
              </w:rPr>
              <w:t>Immunocompromised individuals</w:t>
            </w:r>
          </w:p>
          <w:p w14:paraId="1F7B2DEE" w14:textId="21E4AC25" w:rsidR="00E15923" w:rsidRPr="003C742E" w:rsidRDefault="00E15923" w:rsidP="00E15923">
            <w:r w:rsidRPr="003C742E">
              <w:t>A third dose of Spikevax (same quantity as the first two dose</w:t>
            </w:r>
            <w:r w:rsidR="000C3AAA" w:rsidRPr="003C742E">
              <w:t>s</w:t>
            </w:r>
            <w:r w:rsidRPr="003C742E">
              <w:t>) administered at least 28 days following the first two doses of this vaccine is authorised for administration to individuals who have undergone solid organ transplantation, or who are diagnosed with conditions that are considered to have an equivalent level of immunocompromise.</w:t>
            </w:r>
          </w:p>
          <w:p w14:paraId="539DB8A9" w14:textId="658592E3" w:rsidR="00E15923" w:rsidRPr="003C742E" w:rsidRDefault="00E15923" w:rsidP="00E15923">
            <w:pPr>
              <w:rPr>
                <w:b/>
                <w:bCs/>
              </w:rPr>
            </w:pPr>
            <w:r w:rsidRPr="003C742E">
              <w:rPr>
                <w:b/>
                <w:bCs/>
              </w:rPr>
              <w:t>Booster dose</w:t>
            </w:r>
          </w:p>
          <w:p w14:paraId="06BF481B" w14:textId="67946CB7" w:rsidR="00E15923" w:rsidRPr="003C742E" w:rsidRDefault="00E15923" w:rsidP="00E15923">
            <w:pPr>
              <w:rPr>
                <w:i/>
                <w:iCs/>
              </w:rPr>
            </w:pPr>
            <w:r w:rsidRPr="003C742E">
              <w:rPr>
                <w:i/>
                <w:iCs/>
              </w:rPr>
              <w:t xml:space="preserve">Individuals 12 </w:t>
            </w:r>
            <w:r w:rsidR="00E615D4">
              <w:rPr>
                <w:i/>
                <w:iCs/>
              </w:rPr>
              <w:t>years to &lt;</w:t>
            </w:r>
            <w:r w:rsidR="00E615D4" w:rsidRPr="003C742E">
              <w:rPr>
                <w:i/>
                <w:iCs/>
              </w:rPr>
              <w:t xml:space="preserve"> </w:t>
            </w:r>
            <w:r w:rsidRPr="003C742E">
              <w:rPr>
                <w:i/>
                <w:iCs/>
              </w:rPr>
              <w:t>18 years of age</w:t>
            </w:r>
          </w:p>
          <w:p w14:paraId="5060EC6D" w14:textId="72D5A23F" w:rsidR="00E15923" w:rsidRPr="003C742E" w:rsidRDefault="00E15923" w:rsidP="00E15923">
            <w:r w:rsidRPr="003C742E">
              <w:t xml:space="preserve">Spikevax is administered as a single booster dose </w:t>
            </w:r>
            <w:r w:rsidR="000C3AAA" w:rsidRPr="003C742E">
              <w:t xml:space="preserve">(0.25 mL, 50 µg each) </w:t>
            </w:r>
            <w:r w:rsidR="00722317">
              <w:t xml:space="preserve">from 0.2 mg/mL </w:t>
            </w:r>
            <w:r w:rsidR="00647E95" w:rsidRPr="00647E95">
              <w:t>multi-dose vial</w:t>
            </w:r>
            <w:r w:rsidR="00722317">
              <w:t xml:space="preserve"> (red top)</w:t>
            </w:r>
            <w:r w:rsidR="00722317" w:rsidRPr="003C742E">
              <w:t xml:space="preserve"> </w:t>
            </w:r>
            <w:r w:rsidRPr="003C742E">
              <w:t>at least 5</w:t>
            </w:r>
            <w:r w:rsidR="00F755B0">
              <w:t> </w:t>
            </w:r>
            <w:r w:rsidRPr="003C742E">
              <w:t>months after completing a primary series.</w:t>
            </w:r>
          </w:p>
          <w:p w14:paraId="64C203E2" w14:textId="5CEEA135" w:rsidR="00E15923" w:rsidRPr="003C742E" w:rsidRDefault="00E15923" w:rsidP="00E15923">
            <w:pPr>
              <w:rPr>
                <w:i/>
                <w:iCs/>
              </w:rPr>
            </w:pPr>
            <w:r w:rsidRPr="003C742E">
              <w:rPr>
                <w:i/>
                <w:iCs/>
              </w:rPr>
              <w:t>Individuals 18 years of age and older</w:t>
            </w:r>
          </w:p>
          <w:p w14:paraId="4DEAB082" w14:textId="1AC55EA4" w:rsidR="000C3AAA" w:rsidRPr="003C742E" w:rsidRDefault="000C3AAA" w:rsidP="00516475">
            <w:r w:rsidRPr="003C742E">
              <w:t xml:space="preserve">Spikevax is administered as a single booster dose (0.25 mL or 0.5 mL, 50 µg each) </w:t>
            </w:r>
            <w:r w:rsidR="00664DBE">
              <w:t xml:space="preserve">from 0.2 mg/mL </w:t>
            </w:r>
            <w:r w:rsidR="00647E95" w:rsidRPr="00647E95">
              <w:t>multi-dose vial</w:t>
            </w:r>
            <w:r w:rsidR="00664DBE">
              <w:t xml:space="preserve"> (red top) or </w:t>
            </w:r>
            <w:r w:rsidR="000762BD">
              <w:t xml:space="preserve">from 0.1 mg/mL </w:t>
            </w:r>
            <w:r w:rsidR="00647E95" w:rsidRPr="00647E95">
              <w:t>multi-dose vial</w:t>
            </w:r>
            <w:r w:rsidR="000762BD">
              <w:t xml:space="preserve"> (blue top)</w:t>
            </w:r>
            <w:r w:rsidR="0068581B">
              <w:t xml:space="preserve"> </w:t>
            </w:r>
            <w:r w:rsidR="00EB3FCF">
              <w:t>/</w:t>
            </w:r>
            <w:r w:rsidR="00585630">
              <w:t xml:space="preserve"> </w:t>
            </w:r>
            <w:r w:rsidR="00585630" w:rsidRPr="00585630">
              <w:t>prefilled syringe</w:t>
            </w:r>
            <w:r w:rsidR="00EB3FCF">
              <w:t xml:space="preserve"> </w:t>
            </w:r>
            <w:r w:rsidR="000762BD">
              <w:t>respectively</w:t>
            </w:r>
            <w:r w:rsidR="00664DBE" w:rsidRPr="003C742E">
              <w:t xml:space="preserve"> </w:t>
            </w:r>
            <w:r w:rsidRPr="003C742E">
              <w:t>at least 6 months after completing a primary series.</w:t>
            </w:r>
          </w:p>
          <w:p w14:paraId="02D882F5" w14:textId="77777777" w:rsidR="00E15923" w:rsidRPr="003C742E" w:rsidRDefault="00E15923" w:rsidP="00516475">
            <w:r w:rsidRPr="003C742E">
              <w:t>The decision when and for whom to implement a booster (third dose) of Spikevax should be made based on available vaccine safety and effectiveness data (see Sections 4.4 Special warning and precautions for use and Section 5.1 Pharmacodynamic properties of the Product Information), in accordance with official recommendations.</w:t>
            </w:r>
          </w:p>
          <w:p w14:paraId="3D0B2D5C" w14:textId="47249220" w:rsidR="00E15923" w:rsidRPr="0005046B" w:rsidRDefault="00E15923" w:rsidP="0068581B">
            <w:r w:rsidRPr="0068581B">
              <w:t>For further information regarding dosage (including the interchangeability of Spikevax with</w:t>
            </w:r>
            <w:r w:rsidRPr="0005046B">
              <w:t xml:space="preserve"> other COVID-19 vaccines), refer to the Product Information.</w:t>
            </w:r>
          </w:p>
        </w:tc>
      </w:tr>
      <w:tr w:rsidR="00E15923" w:rsidRPr="003C742E" w14:paraId="24DC408E" w14:textId="77777777" w:rsidTr="00F865A7">
        <w:tc>
          <w:tcPr>
            <w:tcW w:w="1577" w:type="pct"/>
          </w:tcPr>
          <w:p w14:paraId="26380792" w14:textId="77777777" w:rsidR="00E15923" w:rsidRPr="003C742E" w:rsidRDefault="00E15923" w:rsidP="00E15923">
            <w:pPr>
              <w:rPr>
                <w:i/>
                <w:szCs w:val="22"/>
              </w:rPr>
            </w:pPr>
            <w:r w:rsidRPr="003C742E">
              <w:rPr>
                <w:i/>
                <w:szCs w:val="22"/>
              </w:rPr>
              <w:lastRenderedPageBreak/>
              <w:t>Pregnancy category:</w:t>
            </w:r>
          </w:p>
        </w:tc>
        <w:tc>
          <w:tcPr>
            <w:tcW w:w="3423" w:type="pct"/>
          </w:tcPr>
          <w:p w14:paraId="0FAD2DD9" w14:textId="016A16FE" w:rsidR="00E15923" w:rsidRPr="003C742E" w:rsidRDefault="00E15923" w:rsidP="00E15923">
            <w:r w:rsidRPr="003C742E">
              <w:t>B1</w:t>
            </w:r>
          </w:p>
          <w:p w14:paraId="5D6DC2C6" w14:textId="77777777" w:rsidR="00E15923" w:rsidRPr="003C742E" w:rsidRDefault="00E15923" w:rsidP="00E15923">
            <w:r w:rsidRPr="003C742E">
              <w:t>Drugs which have been taken by only a limited number of pregnant women and women of childbearing age, without an increase in the frequency of malformation or other direct or indirect harmful effects on the human fetus having been observed.</w:t>
            </w:r>
          </w:p>
          <w:p w14:paraId="56D61340" w14:textId="77777777" w:rsidR="00E15923" w:rsidRPr="003C742E" w:rsidRDefault="00E15923" w:rsidP="00E15923">
            <w:r w:rsidRPr="003C742E">
              <w:t>Studies in animals have not shown evidence of an increased occurrence of fetal damage.</w:t>
            </w:r>
          </w:p>
          <w:p w14:paraId="5E2AA3D6" w14:textId="6F7C9134" w:rsidR="00E15923" w:rsidRPr="003C742E" w:rsidRDefault="00E15923" w:rsidP="00E15923">
            <w:r w:rsidRPr="003C742E">
              <w:t xml:space="preserve">The use of any medicine during pregnancy requires careful consideration of both risks and benefits by the treating health professional. This must not be used as the sole basis of decision making in the use of medicines during pregnancy. The TGA </w:t>
            </w:r>
            <w:r w:rsidRPr="003C742E">
              <w:lastRenderedPageBreak/>
              <w:t>does not provide advice on the use of medicines in pregnancy for specific cases. More information is available from obstetric drug information services in your State or Territory.</w:t>
            </w:r>
          </w:p>
        </w:tc>
      </w:tr>
    </w:tbl>
    <w:p w14:paraId="51F2479F" w14:textId="77777777" w:rsidR="00324B33" w:rsidRPr="003C742E" w:rsidRDefault="00324B33" w:rsidP="00324B33">
      <w:pPr>
        <w:pStyle w:val="Heading3"/>
      </w:pPr>
      <w:bookmarkStart w:id="27" w:name="_Toc247691503"/>
      <w:bookmarkStart w:id="28" w:name="_Toc314842484"/>
      <w:bookmarkStart w:id="29" w:name="_Toc103679290"/>
      <w:bookmarkStart w:id="30" w:name="_Toc134622040"/>
      <w:r w:rsidRPr="003C742E">
        <w:lastRenderedPageBreak/>
        <w:t>Product background</w:t>
      </w:r>
      <w:bookmarkEnd w:id="27"/>
      <w:bookmarkEnd w:id="28"/>
      <w:bookmarkEnd w:id="29"/>
      <w:bookmarkEnd w:id="30"/>
    </w:p>
    <w:p w14:paraId="56B27CF2" w14:textId="7039A5B6" w:rsidR="00324B33" w:rsidRPr="003C742E" w:rsidRDefault="00324B33" w:rsidP="00324B33">
      <w:pPr>
        <w:rPr>
          <w:szCs w:val="22"/>
        </w:rPr>
      </w:pPr>
      <w:r w:rsidRPr="003C742E">
        <w:rPr>
          <w:szCs w:val="22"/>
        </w:rPr>
        <w:t xml:space="preserve">This AusPAR describes the submission by </w:t>
      </w:r>
      <w:r w:rsidR="0014446B" w:rsidRPr="003C742E">
        <w:rPr>
          <w:szCs w:val="22"/>
        </w:rPr>
        <w:t>Moderna Australia Pty Ltd</w:t>
      </w:r>
      <w:r w:rsidRPr="003C742E">
        <w:rPr>
          <w:szCs w:val="22"/>
        </w:rPr>
        <w:t xml:space="preserve"> (the sponsor) to register </w:t>
      </w:r>
      <w:r w:rsidR="006B6782" w:rsidRPr="003C742E">
        <w:rPr>
          <w:szCs w:val="22"/>
        </w:rPr>
        <w:t xml:space="preserve">Spikevax </w:t>
      </w:r>
      <w:r w:rsidRPr="003C742E">
        <w:rPr>
          <w:szCs w:val="22"/>
        </w:rPr>
        <w:t>(</w:t>
      </w:r>
      <w:r w:rsidR="0014446B" w:rsidRPr="003C742E">
        <w:rPr>
          <w:szCs w:val="22"/>
        </w:rPr>
        <w:t>elasomeran</w:t>
      </w:r>
      <w:r w:rsidRPr="003C742E">
        <w:rPr>
          <w:szCs w:val="22"/>
        </w:rPr>
        <w:t xml:space="preserve">) </w:t>
      </w:r>
      <w:r w:rsidR="005E435C" w:rsidRPr="003C742E">
        <w:rPr>
          <w:szCs w:val="22"/>
        </w:rPr>
        <w:t>0.1 mg/mL and 0.2 mg/mL</w:t>
      </w:r>
      <w:r w:rsidRPr="003C742E">
        <w:rPr>
          <w:szCs w:val="22"/>
        </w:rPr>
        <w:t xml:space="preserve">, </w:t>
      </w:r>
      <w:r w:rsidR="005E435C" w:rsidRPr="003C742E">
        <w:rPr>
          <w:szCs w:val="22"/>
        </w:rPr>
        <w:t>suspension for injection</w:t>
      </w:r>
      <w:r w:rsidR="00D62877" w:rsidRPr="003C742E">
        <w:rPr>
          <w:szCs w:val="22"/>
        </w:rPr>
        <w:t xml:space="preserve">, </w:t>
      </w:r>
      <w:r w:rsidR="005E435C" w:rsidRPr="003C742E">
        <w:rPr>
          <w:szCs w:val="22"/>
        </w:rPr>
        <w:t>vial and prefilled syringe</w:t>
      </w:r>
      <w:r w:rsidRPr="003C742E">
        <w:rPr>
          <w:szCs w:val="22"/>
        </w:rPr>
        <w:t xml:space="preserve"> for the following proposed indication:</w:t>
      </w:r>
      <w:r w:rsidR="00D63760" w:rsidRPr="003C742E">
        <w:rPr>
          <w:rStyle w:val="FootnoteReference"/>
          <w:szCs w:val="22"/>
        </w:rPr>
        <w:footnoteReference w:id="1"/>
      </w:r>
    </w:p>
    <w:p w14:paraId="734F14CB" w14:textId="2DDEFE8A" w:rsidR="005E435C" w:rsidRPr="003C742E" w:rsidRDefault="005E435C" w:rsidP="005E435C">
      <w:pPr>
        <w:ind w:left="720"/>
        <w:rPr>
          <w:i/>
          <w:iCs/>
        </w:rPr>
      </w:pPr>
      <w:r w:rsidRPr="003C742E">
        <w:rPr>
          <w:i/>
          <w:iCs/>
        </w:rPr>
        <w:t>Active immunisation to prevent coronavirus disease 2019 (COVID-19) caused by SARS</w:t>
      </w:r>
      <w:r w:rsidR="00BC2AF2" w:rsidRPr="003C742E">
        <w:rPr>
          <w:i/>
          <w:iCs/>
        </w:rPr>
        <w:noBreakHyphen/>
      </w:r>
      <w:r w:rsidRPr="003C742E">
        <w:rPr>
          <w:i/>
          <w:iCs/>
        </w:rPr>
        <w:t>CoV</w:t>
      </w:r>
      <w:r w:rsidR="00BC2AF2" w:rsidRPr="003C742E">
        <w:rPr>
          <w:i/>
          <w:iCs/>
        </w:rPr>
        <w:noBreakHyphen/>
      </w:r>
      <w:r w:rsidRPr="003C742E">
        <w:rPr>
          <w:i/>
          <w:iCs/>
        </w:rPr>
        <w:t>2 in individuals 6 years of age and older.</w:t>
      </w:r>
    </w:p>
    <w:p w14:paraId="66EF3DC6" w14:textId="2C0C99FD" w:rsidR="005E435C" w:rsidRPr="003C742E" w:rsidRDefault="005E435C" w:rsidP="005E435C">
      <w:pPr>
        <w:ind w:left="720"/>
        <w:rPr>
          <w:i/>
          <w:iCs/>
        </w:rPr>
      </w:pPr>
      <w:r w:rsidRPr="003C742E">
        <w:rPr>
          <w:i/>
          <w:iCs/>
        </w:rPr>
        <w:t>The use of this vaccine should be in accordance with official recommendations.</w:t>
      </w:r>
    </w:p>
    <w:p w14:paraId="3532D0E4" w14:textId="02E43313" w:rsidR="005E435C" w:rsidRPr="003C742E" w:rsidRDefault="00A439C3" w:rsidP="005E435C">
      <w:bookmarkStart w:id="31" w:name="_Toc314842485"/>
      <w:bookmarkStart w:id="32" w:name="_Toc247691504"/>
      <w:r w:rsidRPr="003C742E">
        <w:t>Coronavirus disease 2019 (</w:t>
      </w:r>
      <w:r w:rsidR="005E435C" w:rsidRPr="003C742E">
        <w:t>COVID-19</w:t>
      </w:r>
      <w:r w:rsidRPr="003C742E">
        <w:t>)</w:t>
      </w:r>
      <w:r w:rsidR="005E435C" w:rsidRPr="003C742E">
        <w:t xml:space="preserve"> is a disease</w:t>
      </w:r>
      <w:r w:rsidR="00C56E16">
        <w:t xml:space="preserve"> </w:t>
      </w:r>
      <w:r w:rsidR="005E435C" w:rsidRPr="003C742E">
        <w:t xml:space="preserve">caused by infection with </w:t>
      </w:r>
      <w:r w:rsidR="000116E8" w:rsidRPr="003C742E">
        <w:t>severe acute respiratory syndrome coronavirus 2 (</w:t>
      </w:r>
      <w:r w:rsidR="005E435C" w:rsidRPr="003C742E">
        <w:t>SARS-CoV-2</w:t>
      </w:r>
      <w:r w:rsidR="000116E8" w:rsidRPr="003C742E">
        <w:t>)</w:t>
      </w:r>
      <w:r w:rsidR="005E435C" w:rsidRPr="003C742E">
        <w:t>,</w:t>
      </w:r>
      <w:r w:rsidR="00C56E16">
        <w:t xml:space="preserve"> </w:t>
      </w:r>
      <w:r w:rsidR="005E435C" w:rsidRPr="003C742E">
        <w:t>which was first recognised internationally in late 2019 and in Australia by early 2020</w:t>
      </w:r>
      <w:r w:rsidR="00C56E16">
        <w:t>, and is the cause of an ongoing global pandemic</w:t>
      </w:r>
      <w:r w:rsidR="005E435C" w:rsidRPr="003C742E">
        <w:t>.</w:t>
      </w:r>
      <w:r w:rsidR="00C56E16">
        <w:rPr>
          <w:rStyle w:val="FootnoteReference"/>
        </w:rPr>
        <w:footnoteReference w:id="2"/>
      </w:r>
      <w:r w:rsidR="005E435C" w:rsidRPr="003C742E">
        <w:t xml:space="preserve"> It manifest</w:t>
      </w:r>
      <w:r w:rsidR="004569E6">
        <w:t>s</w:t>
      </w:r>
      <w:r w:rsidR="005E435C" w:rsidRPr="003C742E">
        <w:t xml:space="preserve"> </w:t>
      </w:r>
      <w:r w:rsidR="004569E6">
        <w:t>with</w:t>
      </w:r>
      <w:r w:rsidR="005E435C" w:rsidRPr="003C742E">
        <w:t xml:space="preserve"> respiratory, systemic and other organ</w:t>
      </w:r>
      <w:r w:rsidR="001705C1" w:rsidRPr="003C742E">
        <w:t xml:space="preserve"> </w:t>
      </w:r>
      <w:r w:rsidR="005E435C" w:rsidRPr="003C742E">
        <w:t>related symptomatology.</w:t>
      </w:r>
      <w:r w:rsidRPr="003C742E">
        <w:t xml:space="preserve"> </w:t>
      </w:r>
      <w:r w:rsidR="005E435C" w:rsidRPr="003C742E">
        <w:t>Disease severity is mainly related to respiratory presentations, and generally increases with age. Mortality in unvaccinated individuals with untreated disease is rare in childhood but increases steeply beyond 60 years of age.</w:t>
      </w:r>
      <w:r w:rsidR="00C56E16">
        <w:rPr>
          <w:rStyle w:val="FootnoteReference"/>
        </w:rPr>
        <w:footnoteReference w:id="3"/>
      </w:r>
    </w:p>
    <w:p w14:paraId="22D16027" w14:textId="77777777" w:rsidR="00A439C3" w:rsidRPr="003C742E" w:rsidRDefault="005E435C" w:rsidP="005E435C">
      <w:r w:rsidRPr="003C742E">
        <w:t>In the absence of highly effective prophylactic or therapeutic medicines, active immunisation through vaccination represents the best means of preventing hospitalisation and deaths at an individual level and controlling the pandemic at a societal level.</w:t>
      </w:r>
    </w:p>
    <w:p w14:paraId="652B6A59" w14:textId="07880EF6" w:rsidR="005E435C" w:rsidRPr="003C742E" w:rsidRDefault="005E435C" w:rsidP="005E435C">
      <w:r w:rsidRPr="003C742E">
        <w:t>Emerging mutated SARS-CoV-2 variants</w:t>
      </w:r>
      <w:r w:rsidR="002D3808">
        <w:t xml:space="preserve"> (both identified variants</w:t>
      </w:r>
      <w:r w:rsidRPr="003C742E">
        <w:t xml:space="preserve"> of concern</w:t>
      </w:r>
      <w:r w:rsidR="002D3808">
        <w:t>, and future variants)</w:t>
      </w:r>
      <w:r w:rsidRPr="003C742E">
        <w:t xml:space="preserve"> pose challenges for current vaccination strategies, which until recently have been based on inducing immunity to the non-mutated spike</w:t>
      </w:r>
      <w:r w:rsidR="00B2387D">
        <w:t xml:space="preserve"> </w:t>
      </w:r>
      <w:r w:rsidRPr="003C742E">
        <w:t>protein that was sequenced in the original wildtype virus.</w:t>
      </w:r>
      <w:r w:rsidR="00A439C3" w:rsidRPr="003C742E">
        <w:t xml:space="preserve"> </w:t>
      </w:r>
      <w:r w:rsidRPr="003C742E">
        <w:t xml:space="preserve">In November 2021, the Omicron variant (B.1.1.529; BA.1) emerged as the most antigenically divergent variant at the time with </w:t>
      </w:r>
      <w:r w:rsidR="00A439C3" w:rsidRPr="003C742E">
        <w:t>more than</w:t>
      </w:r>
      <w:r w:rsidRPr="003C742E">
        <w:t xml:space="preserve"> 30 mutations in the </w:t>
      </w:r>
      <w:r w:rsidR="00B2387D" w:rsidRPr="00B2387D">
        <w:t xml:space="preserve">spike </w:t>
      </w:r>
      <w:r w:rsidRPr="003C742E">
        <w:t xml:space="preserve">protein, granting it transmissibility advantages. Soon after its emergence, </w:t>
      </w:r>
      <w:r w:rsidR="00A439C3" w:rsidRPr="003C742E">
        <w:t xml:space="preserve">the </w:t>
      </w:r>
      <w:r w:rsidRPr="003C742E">
        <w:t xml:space="preserve">Omicron </w:t>
      </w:r>
      <w:r w:rsidR="00A439C3" w:rsidRPr="003C742E">
        <w:t xml:space="preserve">variant </w:t>
      </w:r>
      <w:r w:rsidRPr="003C742E">
        <w:t xml:space="preserve">rapidly became dominant worldwide. This was followed by </w:t>
      </w:r>
      <w:r w:rsidR="00A439C3" w:rsidRPr="003C742E">
        <w:t xml:space="preserve">the </w:t>
      </w:r>
      <w:r w:rsidRPr="003C742E">
        <w:t>emergence of various Omicron subvariants (BA.2, BA.2.75.2, BA.2.12.1, BA.4, BA.5, BQ.1.1, XBB.1 and others). As of January</w:t>
      </w:r>
      <w:r w:rsidR="002D3808">
        <w:t> </w:t>
      </w:r>
      <w:r w:rsidRPr="003C742E">
        <w:t xml:space="preserve">2023, </w:t>
      </w:r>
      <w:r w:rsidR="002D3808">
        <w:t xml:space="preserve">the Omicron </w:t>
      </w:r>
      <w:r w:rsidRPr="003C742E">
        <w:t xml:space="preserve">BA.5 subvariant remains one of the major lineages in the </w:t>
      </w:r>
      <w:r w:rsidR="00516475" w:rsidRPr="003C742E">
        <w:t>United States</w:t>
      </w:r>
      <w:r w:rsidR="002D3808">
        <w:t xml:space="preserve"> of America</w:t>
      </w:r>
      <w:r w:rsidR="00516475" w:rsidRPr="003C742E">
        <w:t xml:space="preserve"> (</w:t>
      </w:r>
      <w:r w:rsidRPr="003C742E">
        <w:t>US</w:t>
      </w:r>
      <w:r w:rsidR="002D3808">
        <w:t>A</w:t>
      </w:r>
      <w:r w:rsidR="00516475" w:rsidRPr="003C742E">
        <w:t>)</w:t>
      </w:r>
      <w:r w:rsidRPr="003C742E">
        <w:t xml:space="preserve"> but has been largely taken over by BQ and XBB subvariants.</w:t>
      </w:r>
      <w:r w:rsidR="002D3808">
        <w:rPr>
          <w:rStyle w:val="FootnoteReference"/>
        </w:rPr>
        <w:footnoteReference w:id="4"/>
      </w:r>
    </w:p>
    <w:p w14:paraId="52229F7D" w14:textId="5B8D5B42" w:rsidR="005E435C" w:rsidRPr="003C742E" w:rsidRDefault="00AD2F31" w:rsidP="005E435C">
      <w:r w:rsidRPr="003C742E">
        <w:t xml:space="preserve">Coronavirus disease 2019 </w:t>
      </w:r>
      <w:r w:rsidR="005E435C" w:rsidRPr="003C742E">
        <w:t>continues to be a significant public health issue to Australians. As of 2</w:t>
      </w:r>
      <w:r w:rsidR="00174D55">
        <w:t> May</w:t>
      </w:r>
      <w:r w:rsidR="005E435C" w:rsidRPr="003C742E">
        <w:t xml:space="preserve"> 2023, </w:t>
      </w:r>
      <w:r w:rsidR="00174D55">
        <w:t xml:space="preserve">for </w:t>
      </w:r>
      <w:r w:rsidR="005E435C" w:rsidRPr="003C742E">
        <w:t>the 7-day rolling average</w:t>
      </w:r>
      <w:r w:rsidR="00174D55">
        <w:t xml:space="preserve">, </w:t>
      </w:r>
      <w:r w:rsidR="00174D55" w:rsidRPr="00174D55">
        <w:t>31,115 cases of COVID-19</w:t>
      </w:r>
      <w:r w:rsidR="00174D55">
        <w:t xml:space="preserve"> were reported across Australia (</w:t>
      </w:r>
      <w:r w:rsidR="00174D55" w:rsidRPr="00174D55">
        <w:t>an average of 4445 cases per day</w:t>
      </w:r>
      <w:r w:rsidR="00174D55">
        <w:t>), of which 2315 cases</w:t>
      </w:r>
      <w:r w:rsidRPr="003C742E">
        <w:t xml:space="preserve"> </w:t>
      </w:r>
      <w:r w:rsidR="00174D55">
        <w:t xml:space="preserve">were </w:t>
      </w:r>
      <w:r w:rsidRPr="003C742E">
        <w:t xml:space="preserve">hospitalised, </w:t>
      </w:r>
      <w:r w:rsidR="00174D55">
        <w:t>71 cases</w:t>
      </w:r>
      <w:r w:rsidR="00174D55" w:rsidRPr="003C742E">
        <w:t xml:space="preserve"> </w:t>
      </w:r>
      <w:r w:rsidRPr="003C742E">
        <w:lastRenderedPageBreak/>
        <w:t xml:space="preserve">admitted to </w:t>
      </w:r>
      <w:r w:rsidR="00174D55">
        <w:t>intensive care</w:t>
      </w:r>
      <w:r w:rsidRPr="003C742E">
        <w:t xml:space="preserve"> and </w:t>
      </w:r>
      <w:r w:rsidR="00174D55">
        <w:t xml:space="preserve">there were </w:t>
      </w:r>
      <w:r w:rsidR="0092510E">
        <w:t>five</w:t>
      </w:r>
      <w:r w:rsidRPr="003C742E">
        <w:t xml:space="preserve"> deaths.</w:t>
      </w:r>
      <w:bookmarkStart w:id="33" w:name="_Ref134205042"/>
      <w:r w:rsidR="005E435C" w:rsidRPr="003C742E">
        <w:rPr>
          <w:vertAlign w:val="superscript"/>
        </w:rPr>
        <w:footnoteReference w:id="5"/>
      </w:r>
      <w:bookmarkEnd w:id="33"/>
      <w:r w:rsidRPr="003C742E">
        <w:t xml:space="preserve"> </w:t>
      </w:r>
      <w:r w:rsidR="005E435C" w:rsidRPr="003C742E">
        <w:t xml:space="preserve">Cumulatively, there have been </w:t>
      </w:r>
      <w:r w:rsidR="0092510E" w:rsidRPr="0092510E">
        <w:t xml:space="preserve">11,210,651 </w:t>
      </w:r>
      <w:r w:rsidR="005E435C" w:rsidRPr="003C742E">
        <w:t xml:space="preserve">confirmed cases and </w:t>
      </w:r>
      <w:r w:rsidR="0092510E" w:rsidRPr="0092510E">
        <w:t xml:space="preserve">20,119 </w:t>
      </w:r>
      <w:r w:rsidR="005E435C" w:rsidRPr="003C742E">
        <w:t xml:space="preserve">deaths in Australia due to COVID-19 as of </w:t>
      </w:r>
      <w:r w:rsidR="0092510E">
        <w:t>3</w:t>
      </w:r>
      <w:r w:rsidR="0092510E" w:rsidRPr="003C742E">
        <w:t xml:space="preserve"> </w:t>
      </w:r>
      <w:r w:rsidR="0092510E">
        <w:t>May</w:t>
      </w:r>
      <w:r w:rsidR="0092510E" w:rsidRPr="003C742E">
        <w:t xml:space="preserve"> </w:t>
      </w:r>
      <w:r w:rsidR="005E435C" w:rsidRPr="003C742E">
        <w:t>2023.</w:t>
      </w:r>
      <w:r w:rsidR="005E435C" w:rsidRPr="003C742E">
        <w:rPr>
          <w:vertAlign w:val="superscript"/>
        </w:rPr>
        <w:footnoteReference w:id="6"/>
      </w:r>
    </w:p>
    <w:p w14:paraId="6F5D0F56" w14:textId="383C9FD4" w:rsidR="009700F9" w:rsidRPr="003C742E" w:rsidRDefault="0092510E" w:rsidP="009700F9">
      <w:pPr>
        <w:spacing w:before="120" w:line="240" w:lineRule="atLeast"/>
      </w:pPr>
      <w:r>
        <w:t>As of 2 May 2023, o</w:t>
      </w:r>
      <w:r w:rsidRPr="0092510E">
        <w:t>ver 66.7 million total vaccine doses have be</w:t>
      </w:r>
      <w:r>
        <w:t>en administered since the COVID</w:t>
      </w:r>
      <w:r>
        <w:noBreakHyphen/>
      </w:r>
      <w:r w:rsidRPr="0092510E">
        <w:t>19 Vaccination program began in February 2021</w:t>
      </w:r>
      <w:r>
        <w:t>.</w:t>
      </w:r>
      <w:r w:rsidRPr="003154A3">
        <w:rPr>
          <w:vertAlign w:val="superscript"/>
        </w:rPr>
        <w:fldChar w:fldCharType="begin"/>
      </w:r>
      <w:r w:rsidRPr="003154A3">
        <w:rPr>
          <w:vertAlign w:val="superscript"/>
        </w:rPr>
        <w:instrText xml:space="preserve"> NOTEREF _Ref134205042 \h </w:instrText>
      </w:r>
      <w:r>
        <w:rPr>
          <w:vertAlign w:val="superscript"/>
        </w:rPr>
        <w:instrText xml:space="preserve"> \* MERGEFORMAT </w:instrText>
      </w:r>
      <w:r w:rsidRPr="003154A3">
        <w:rPr>
          <w:vertAlign w:val="superscript"/>
        </w:rPr>
      </w:r>
      <w:r w:rsidRPr="003154A3">
        <w:rPr>
          <w:vertAlign w:val="superscript"/>
        </w:rPr>
        <w:fldChar w:fldCharType="separate"/>
      </w:r>
      <w:r w:rsidR="0005046B">
        <w:rPr>
          <w:vertAlign w:val="superscript"/>
        </w:rPr>
        <w:t>5</w:t>
      </w:r>
      <w:r w:rsidRPr="003154A3">
        <w:rPr>
          <w:vertAlign w:val="superscript"/>
        </w:rPr>
        <w:fldChar w:fldCharType="end"/>
      </w:r>
      <w:r>
        <w:t xml:space="preserve"> The b</w:t>
      </w:r>
      <w:r w:rsidR="00AD2F31" w:rsidRPr="003C742E">
        <w:t>enefits of receiving COVID-19 vaccine has been well established.</w:t>
      </w:r>
      <w:r w:rsidR="00AD2F31" w:rsidRPr="003C742E">
        <w:rPr>
          <w:vertAlign w:val="superscript"/>
        </w:rPr>
        <w:footnoteReference w:id="7"/>
      </w:r>
      <w:r w:rsidR="00AD2F31" w:rsidRPr="003C742E">
        <w:t xml:space="preserve"> These include protection from SARS-CoV-2 infection as well as progression to severe COVID-19 and death. </w:t>
      </w:r>
      <w:r w:rsidR="00E552E4" w:rsidRPr="003C742E">
        <w:rPr>
          <w:rFonts w:eastAsia="Cambria"/>
          <w:szCs w:val="22"/>
        </w:rPr>
        <w:t xml:space="preserve">At the time that this submission was considered, </w:t>
      </w:r>
      <w:r w:rsidR="00E552E4" w:rsidRPr="003C742E">
        <w:t>t</w:t>
      </w:r>
      <w:r w:rsidR="005E435C" w:rsidRPr="003C742E">
        <w:t xml:space="preserve">here </w:t>
      </w:r>
      <w:r w:rsidR="00E552E4" w:rsidRPr="003C742E">
        <w:t>were</w:t>
      </w:r>
      <w:r w:rsidR="005E435C" w:rsidRPr="003C742E">
        <w:t xml:space="preserve"> </w:t>
      </w:r>
      <w:r w:rsidR="00E552E4" w:rsidRPr="003C742E">
        <w:t>5</w:t>
      </w:r>
      <w:r w:rsidR="00E552E4" w:rsidRPr="003C742E">
        <w:rPr>
          <w:rFonts w:eastAsia="Cambria"/>
          <w:szCs w:val="22"/>
        </w:rPr>
        <w:t xml:space="preserve"> monovalent (see </w:t>
      </w:r>
      <w:r w:rsidR="00E552E4" w:rsidRPr="003C742E">
        <w:rPr>
          <w:rFonts w:eastAsia="Cambria"/>
          <w:szCs w:val="22"/>
        </w:rPr>
        <w:fldChar w:fldCharType="begin"/>
      </w:r>
      <w:r w:rsidR="00E552E4" w:rsidRPr="003C742E">
        <w:rPr>
          <w:rFonts w:eastAsia="Cambria"/>
          <w:szCs w:val="22"/>
        </w:rPr>
        <w:instrText xml:space="preserve"> REF _Ref118212276 \h  \* MERGEFORMAT </w:instrText>
      </w:r>
      <w:r w:rsidR="00E552E4" w:rsidRPr="003C742E">
        <w:rPr>
          <w:rFonts w:eastAsia="Cambria"/>
          <w:szCs w:val="22"/>
        </w:rPr>
      </w:r>
      <w:r w:rsidR="00E552E4" w:rsidRPr="003C742E">
        <w:rPr>
          <w:rFonts w:eastAsia="Cambria"/>
          <w:szCs w:val="22"/>
        </w:rPr>
        <w:fldChar w:fldCharType="separate"/>
      </w:r>
      <w:r w:rsidR="0005046B" w:rsidRPr="0005046B">
        <w:rPr>
          <w:rFonts w:eastAsia="Cambria"/>
        </w:rPr>
        <w:t xml:space="preserve">Table </w:t>
      </w:r>
      <w:r w:rsidR="0005046B" w:rsidRPr="0005046B">
        <w:rPr>
          <w:rFonts w:eastAsia="Cambria"/>
          <w:noProof/>
        </w:rPr>
        <w:t>1</w:t>
      </w:r>
      <w:r w:rsidR="00E552E4" w:rsidRPr="003C742E">
        <w:rPr>
          <w:rFonts w:eastAsia="Cambria"/>
          <w:szCs w:val="22"/>
        </w:rPr>
        <w:fldChar w:fldCharType="end"/>
      </w:r>
      <w:r w:rsidR="00E552E4" w:rsidRPr="003C742E">
        <w:rPr>
          <w:rFonts w:eastAsia="Cambria"/>
          <w:szCs w:val="22"/>
        </w:rPr>
        <w:t xml:space="preserve"> below) and 4 bivalent (see </w:t>
      </w:r>
      <w:r w:rsidR="00E552E4" w:rsidRPr="003C742E">
        <w:rPr>
          <w:rFonts w:eastAsia="Cambria"/>
          <w:szCs w:val="22"/>
        </w:rPr>
        <w:fldChar w:fldCharType="begin"/>
      </w:r>
      <w:r w:rsidR="00E552E4" w:rsidRPr="003C742E">
        <w:rPr>
          <w:rFonts w:eastAsia="Cambria"/>
          <w:szCs w:val="22"/>
        </w:rPr>
        <w:instrText xml:space="preserve"> REF _Ref118212285 \h  \* MERGEFORMAT </w:instrText>
      </w:r>
      <w:r w:rsidR="00E552E4" w:rsidRPr="003C742E">
        <w:rPr>
          <w:rFonts w:eastAsia="Cambria"/>
          <w:szCs w:val="22"/>
        </w:rPr>
      </w:r>
      <w:r w:rsidR="00E552E4" w:rsidRPr="003C742E">
        <w:rPr>
          <w:rFonts w:eastAsia="Cambria"/>
          <w:szCs w:val="22"/>
        </w:rPr>
        <w:fldChar w:fldCharType="separate"/>
      </w:r>
      <w:r w:rsidR="0005046B" w:rsidRPr="0005046B">
        <w:rPr>
          <w:rFonts w:eastAsia="Cambria"/>
        </w:rPr>
        <w:t xml:space="preserve">Table </w:t>
      </w:r>
      <w:r w:rsidR="0005046B" w:rsidRPr="0005046B">
        <w:rPr>
          <w:rFonts w:eastAsia="Cambria"/>
          <w:noProof/>
        </w:rPr>
        <w:t>2</w:t>
      </w:r>
      <w:r w:rsidR="00E552E4" w:rsidRPr="003C742E">
        <w:rPr>
          <w:rFonts w:eastAsia="Cambria"/>
          <w:szCs w:val="22"/>
        </w:rPr>
        <w:fldChar w:fldCharType="end"/>
      </w:r>
      <w:r w:rsidR="00E552E4" w:rsidRPr="003C742E">
        <w:rPr>
          <w:rFonts w:eastAsia="Cambria"/>
          <w:szCs w:val="22"/>
        </w:rPr>
        <w:t xml:space="preserve"> below) COVID-19 vaccines</w:t>
      </w:r>
      <w:r w:rsidR="00E552E4" w:rsidRPr="003C742E">
        <w:t xml:space="preserve"> </w:t>
      </w:r>
      <w:r w:rsidR="00E552E4" w:rsidRPr="003C742E">
        <w:rPr>
          <w:rFonts w:eastAsia="Cambria"/>
          <w:szCs w:val="22"/>
        </w:rPr>
        <w:t>were provisionally approved and registered in Australia</w:t>
      </w:r>
      <w:bookmarkStart w:id="34" w:name="_Ref91015597"/>
      <w:r w:rsidR="009700F9" w:rsidRPr="003C742E">
        <w:t>.</w:t>
      </w:r>
      <w:r w:rsidR="005E435C" w:rsidRPr="003C742E">
        <w:rPr>
          <w:vertAlign w:val="superscript"/>
        </w:rPr>
        <w:footnoteReference w:id="8"/>
      </w:r>
      <w:bookmarkEnd w:id="34"/>
      <w:r w:rsidR="00AD2F31" w:rsidRPr="003C742E">
        <w:rPr>
          <w:vertAlign w:val="superscript"/>
        </w:rPr>
        <w:t>,</w:t>
      </w:r>
      <w:r w:rsidR="00AD2F31" w:rsidRPr="003C742E">
        <w:rPr>
          <w:rStyle w:val="FootnoteReference"/>
        </w:rPr>
        <w:footnoteReference w:id="9"/>
      </w:r>
      <w:r w:rsidR="009700F9" w:rsidRPr="003C742E">
        <w:rPr>
          <w:vertAlign w:val="superscript"/>
        </w:rPr>
        <w:t xml:space="preserve"> </w:t>
      </w:r>
      <w:r w:rsidR="00E552E4" w:rsidRPr="003C742E">
        <w:t>A</w:t>
      </w:r>
      <w:r w:rsidR="009700F9" w:rsidRPr="003C742E">
        <w:rPr>
          <w:rFonts w:eastAsia="Cambria"/>
          <w:szCs w:val="22"/>
        </w:rPr>
        <w:t xml:space="preserve"> bivalent vaccine targets two coronavirus </w:t>
      </w:r>
      <w:r w:rsidR="00E552E4" w:rsidRPr="003C742E">
        <w:rPr>
          <w:rFonts w:eastAsia="Cambria"/>
          <w:szCs w:val="22"/>
        </w:rPr>
        <w:t>variants</w:t>
      </w:r>
      <w:r w:rsidR="009700F9" w:rsidRPr="003C742E">
        <w:rPr>
          <w:rFonts w:eastAsia="Cambria"/>
          <w:szCs w:val="22"/>
        </w:rPr>
        <w:t>, as opposed to a monovalent vaccine that targets only one variant.</w:t>
      </w:r>
    </w:p>
    <w:p w14:paraId="6022462F" w14:textId="1C48A9E5" w:rsidR="009700F9" w:rsidRPr="007D0354" w:rsidRDefault="009700F9" w:rsidP="007D0354">
      <w:pPr>
        <w:pStyle w:val="TableTitle"/>
      </w:pPr>
      <w:bookmarkStart w:id="35" w:name="_Ref118212276"/>
      <w:r w:rsidRPr="007D0354">
        <w:t xml:space="preserve">Table </w:t>
      </w:r>
      <w:r w:rsidR="009809E2">
        <w:fldChar w:fldCharType="begin"/>
      </w:r>
      <w:r w:rsidR="009809E2">
        <w:instrText xml:space="preserve"> SEQ Table \* ARABIC </w:instrText>
      </w:r>
      <w:r w:rsidR="009809E2">
        <w:fldChar w:fldCharType="separate"/>
      </w:r>
      <w:r w:rsidR="0005046B">
        <w:rPr>
          <w:noProof/>
        </w:rPr>
        <w:t>1</w:t>
      </w:r>
      <w:r w:rsidR="009809E2">
        <w:rPr>
          <w:noProof/>
        </w:rPr>
        <w:fldChar w:fldCharType="end"/>
      </w:r>
      <w:bookmarkEnd w:id="35"/>
      <w:r w:rsidRPr="007D0354">
        <w:t>: Provisional approvals for monovalent COVID-19 vaccines in Australia</w:t>
      </w:r>
    </w:p>
    <w:tbl>
      <w:tblPr>
        <w:tblStyle w:val="TableTGAblue"/>
        <w:tblW w:w="0" w:type="auto"/>
        <w:tblLayout w:type="fixed"/>
        <w:tblLook w:val="04A0" w:firstRow="1" w:lastRow="0" w:firstColumn="1" w:lastColumn="0" w:noHBand="0" w:noVBand="1"/>
      </w:tblPr>
      <w:tblGrid>
        <w:gridCol w:w="2330"/>
        <w:gridCol w:w="6598"/>
      </w:tblGrid>
      <w:tr w:rsidR="009700F9" w:rsidRPr="003C742E" w14:paraId="6A0093D9" w14:textId="77777777" w:rsidTr="00F755B0">
        <w:trPr>
          <w:cnfStyle w:val="100000000000" w:firstRow="1" w:lastRow="0" w:firstColumn="0" w:lastColumn="0" w:oddVBand="0" w:evenVBand="0" w:oddHBand="0" w:evenHBand="0" w:firstRowFirstColumn="0" w:firstRowLastColumn="0" w:lastRowFirstColumn="0" w:lastRowLastColumn="0"/>
        </w:trPr>
        <w:tc>
          <w:tcPr>
            <w:tcW w:w="8928" w:type="dxa"/>
            <w:gridSpan w:val="2"/>
          </w:tcPr>
          <w:p w14:paraId="1DEB614D" w14:textId="77777777" w:rsidR="009700F9" w:rsidRPr="003C742E" w:rsidRDefault="009700F9" w:rsidP="009700F9">
            <w:pPr>
              <w:pStyle w:val="TableText"/>
              <w:rPr>
                <w:color w:val="FFFFFF" w:themeColor="background1"/>
              </w:rPr>
            </w:pPr>
            <w:r w:rsidRPr="003C742E">
              <w:rPr>
                <w:color w:val="FFFFFF" w:themeColor="background1"/>
              </w:rPr>
              <w:t>Monovalent COVID-19 vaccines provisionally approved in Australia</w:t>
            </w:r>
          </w:p>
        </w:tc>
      </w:tr>
      <w:tr w:rsidR="009700F9" w:rsidRPr="003C742E" w14:paraId="114D4B9A" w14:textId="77777777" w:rsidTr="00F755B0">
        <w:tc>
          <w:tcPr>
            <w:tcW w:w="8928" w:type="dxa"/>
            <w:gridSpan w:val="2"/>
          </w:tcPr>
          <w:p w14:paraId="46A1E904" w14:textId="77777777" w:rsidR="009700F9" w:rsidRPr="003C742E" w:rsidRDefault="009700F9" w:rsidP="00F755B0">
            <w:pPr>
              <w:pStyle w:val="TableText"/>
              <w:rPr>
                <w:b/>
                <w:bCs/>
              </w:rPr>
            </w:pPr>
            <w:r w:rsidRPr="003C742E">
              <w:rPr>
                <w:b/>
                <w:bCs/>
              </w:rPr>
              <w:t>Comirnaty COVID-19 Vaccine</w:t>
            </w:r>
          </w:p>
          <w:p w14:paraId="4C750CC1" w14:textId="2B212CBD" w:rsidR="009700F9" w:rsidRPr="003C742E" w:rsidRDefault="009700F9" w:rsidP="00F755B0">
            <w:pPr>
              <w:pStyle w:val="TableText"/>
            </w:pPr>
            <w:r w:rsidRPr="003C742E">
              <w:t xml:space="preserve">Active ingredient: tozinameran; formerly known as </w:t>
            </w:r>
            <w:r w:rsidRPr="003C742E">
              <w:rPr>
                <w:iCs/>
              </w:rPr>
              <w:t>BNT162b2</w:t>
            </w:r>
            <w:r w:rsidR="00E552E4" w:rsidRPr="003C742E">
              <w:rPr>
                <w:iCs/>
              </w:rPr>
              <w:t xml:space="preserve"> (mRNA)</w:t>
            </w:r>
          </w:p>
          <w:p w14:paraId="41771AD6" w14:textId="77777777" w:rsidR="009700F9" w:rsidRPr="003C742E" w:rsidRDefault="009700F9" w:rsidP="00F755B0">
            <w:pPr>
              <w:pStyle w:val="TableText"/>
            </w:pPr>
            <w:r w:rsidRPr="003C742E">
              <w:t>Sponsor: Pfizer Australia Pty Ltd</w:t>
            </w:r>
          </w:p>
        </w:tc>
      </w:tr>
      <w:tr w:rsidR="009700F9" w:rsidRPr="003C742E" w14:paraId="1F7ABFC9" w14:textId="77777777" w:rsidTr="00F755B0">
        <w:tc>
          <w:tcPr>
            <w:tcW w:w="2330" w:type="dxa"/>
            <w:vAlign w:val="center"/>
          </w:tcPr>
          <w:p w14:paraId="79F39812" w14:textId="77777777" w:rsidR="00E552E4" w:rsidRPr="003C742E" w:rsidRDefault="009700F9" w:rsidP="00F755B0">
            <w:pPr>
              <w:pStyle w:val="TableText"/>
            </w:pPr>
            <w:r w:rsidRPr="003C742E">
              <w:t>25 February 2021</w:t>
            </w:r>
          </w:p>
          <w:p w14:paraId="5D5A0DD6" w14:textId="68E9802A" w:rsidR="009700F9" w:rsidRPr="003C742E" w:rsidRDefault="009700F9" w:rsidP="00F755B0">
            <w:pPr>
              <w:pStyle w:val="TableText"/>
            </w:pPr>
            <w:r w:rsidRPr="003C742E">
              <w:t>(</w:t>
            </w:r>
            <w:r w:rsidR="00E552E4" w:rsidRPr="003C742E">
              <w:t>initial</w:t>
            </w:r>
            <w:r w:rsidRPr="003C742E">
              <w:t xml:space="preserve"> registration)</w:t>
            </w:r>
          </w:p>
        </w:tc>
        <w:tc>
          <w:tcPr>
            <w:tcW w:w="6598" w:type="dxa"/>
          </w:tcPr>
          <w:p w14:paraId="62D1C21A" w14:textId="08CC4F93" w:rsidR="009700F9" w:rsidRPr="003C742E" w:rsidRDefault="009700F9" w:rsidP="00F755B0">
            <w:pPr>
              <w:pStyle w:val="TableText"/>
            </w:pPr>
            <w:r w:rsidRPr="003C742E">
              <w:t>Primary series: for individuals aged 16 years and over (</w:t>
            </w:r>
            <w:hyperlink r:id="rId19" w:history="1">
              <w:r w:rsidRPr="003C742E">
                <w:rPr>
                  <w:color w:val="0000FF"/>
                  <w:u w:val="single"/>
                </w:rPr>
                <w:t>AusPAR</w:t>
              </w:r>
            </w:hyperlink>
            <w:r w:rsidRPr="003C742E">
              <w:t>)</w:t>
            </w:r>
          </w:p>
          <w:p w14:paraId="02D2CB9C" w14:textId="2974030E" w:rsidR="00E552E4" w:rsidRPr="003C742E" w:rsidRDefault="009700F9" w:rsidP="00F755B0">
            <w:pPr>
              <w:pStyle w:val="TableText"/>
            </w:pPr>
            <w:r w:rsidRPr="003C742E">
              <w:t>New product: 30 µg/0.3 mL concentrated suspension for injection</w:t>
            </w:r>
          </w:p>
          <w:p w14:paraId="241046D9" w14:textId="1C51A279" w:rsidR="009700F9" w:rsidRPr="003C742E" w:rsidRDefault="009700F9" w:rsidP="00F755B0">
            <w:pPr>
              <w:pStyle w:val="TableText"/>
            </w:pPr>
            <w:r w:rsidRPr="003C742E">
              <w:t>ARTG number: 346290</w:t>
            </w:r>
          </w:p>
        </w:tc>
      </w:tr>
      <w:tr w:rsidR="009700F9" w:rsidRPr="003C742E" w14:paraId="6DF7B815" w14:textId="77777777" w:rsidTr="00F755B0">
        <w:tc>
          <w:tcPr>
            <w:tcW w:w="2330" w:type="dxa"/>
            <w:vAlign w:val="center"/>
          </w:tcPr>
          <w:p w14:paraId="431C4A67" w14:textId="77777777" w:rsidR="009700F9" w:rsidRPr="003C742E" w:rsidRDefault="009700F9" w:rsidP="00F755B0">
            <w:pPr>
              <w:pStyle w:val="TableText"/>
            </w:pPr>
            <w:r w:rsidRPr="003C742E">
              <w:t>22 July 2021</w:t>
            </w:r>
          </w:p>
        </w:tc>
        <w:tc>
          <w:tcPr>
            <w:tcW w:w="6598" w:type="dxa"/>
          </w:tcPr>
          <w:p w14:paraId="2F5F16BA" w14:textId="21157FCA" w:rsidR="009700F9" w:rsidRPr="003C742E" w:rsidRDefault="009700F9" w:rsidP="00F755B0">
            <w:pPr>
              <w:pStyle w:val="TableText"/>
            </w:pPr>
            <w:r w:rsidRPr="003C742E">
              <w:t>Primary series: for individuals aged 12 years and over (</w:t>
            </w:r>
            <w:hyperlink r:id="rId20" w:history="1">
              <w:r w:rsidRPr="003C742E">
                <w:rPr>
                  <w:color w:val="0000FF"/>
                  <w:u w:val="single"/>
                </w:rPr>
                <w:t>AusPAR</w:t>
              </w:r>
            </w:hyperlink>
            <w:r w:rsidRPr="003C742E">
              <w:t>)</w:t>
            </w:r>
          </w:p>
        </w:tc>
      </w:tr>
      <w:tr w:rsidR="009700F9" w:rsidRPr="003C742E" w14:paraId="388A8A59" w14:textId="77777777" w:rsidTr="00F755B0">
        <w:tc>
          <w:tcPr>
            <w:tcW w:w="2330" w:type="dxa"/>
            <w:vAlign w:val="center"/>
          </w:tcPr>
          <w:p w14:paraId="535DE7A7" w14:textId="77777777" w:rsidR="009700F9" w:rsidRPr="003C742E" w:rsidRDefault="009700F9" w:rsidP="00F755B0">
            <w:pPr>
              <w:pStyle w:val="TableText"/>
            </w:pPr>
            <w:r w:rsidRPr="003C742E">
              <w:t>26 October 2021</w:t>
            </w:r>
          </w:p>
        </w:tc>
        <w:tc>
          <w:tcPr>
            <w:tcW w:w="6598" w:type="dxa"/>
          </w:tcPr>
          <w:p w14:paraId="548CCC68" w14:textId="50D42380" w:rsidR="009700F9" w:rsidRPr="003C742E" w:rsidRDefault="009700F9" w:rsidP="00F755B0">
            <w:pPr>
              <w:pStyle w:val="TableText"/>
            </w:pPr>
            <w:r w:rsidRPr="003C742E">
              <w:t>Booster dose: for individuals aged 18 years and over (</w:t>
            </w:r>
            <w:hyperlink r:id="rId21" w:history="1">
              <w:r w:rsidRPr="003C742E">
                <w:rPr>
                  <w:color w:val="0000FF"/>
                  <w:u w:val="single"/>
                </w:rPr>
                <w:t>AusPAR</w:t>
              </w:r>
            </w:hyperlink>
            <w:r w:rsidRPr="003C742E">
              <w:t>)</w:t>
            </w:r>
          </w:p>
        </w:tc>
      </w:tr>
      <w:tr w:rsidR="009700F9" w:rsidRPr="003C742E" w14:paraId="424EF74F" w14:textId="77777777" w:rsidTr="00F755B0">
        <w:tc>
          <w:tcPr>
            <w:tcW w:w="2330" w:type="dxa"/>
            <w:vAlign w:val="center"/>
          </w:tcPr>
          <w:p w14:paraId="35EA46A2" w14:textId="77777777" w:rsidR="009700F9" w:rsidRPr="003C742E" w:rsidRDefault="009700F9" w:rsidP="00F755B0">
            <w:pPr>
              <w:pStyle w:val="TableText"/>
            </w:pPr>
            <w:r w:rsidRPr="003C742E">
              <w:t>3 December 2021</w:t>
            </w:r>
          </w:p>
        </w:tc>
        <w:tc>
          <w:tcPr>
            <w:tcW w:w="6598" w:type="dxa"/>
          </w:tcPr>
          <w:p w14:paraId="77A48792" w14:textId="7562CB66" w:rsidR="009700F9" w:rsidRPr="003C742E" w:rsidRDefault="009700F9" w:rsidP="00F755B0">
            <w:pPr>
              <w:pStyle w:val="TableText"/>
            </w:pPr>
            <w:r w:rsidRPr="003C742E">
              <w:t>Primary series: for individuals aged 5 years and over (</w:t>
            </w:r>
            <w:hyperlink r:id="rId22" w:history="1">
              <w:r w:rsidRPr="003C742E">
                <w:rPr>
                  <w:color w:val="0000FF"/>
                  <w:u w:val="single"/>
                </w:rPr>
                <w:t>AusPAR</w:t>
              </w:r>
            </w:hyperlink>
            <w:r w:rsidRPr="003C742E">
              <w:t>)</w:t>
            </w:r>
          </w:p>
          <w:p w14:paraId="02C39C39" w14:textId="60E6CA8F" w:rsidR="00B94C17" w:rsidRPr="003C742E" w:rsidRDefault="009700F9" w:rsidP="00F755B0">
            <w:pPr>
              <w:pStyle w:val="TableText"/>
            </w:pPr>
            <w:r w:rsidRPr="003C742E">
              <w:t>New strength/formulation: (Tris/sucrose buffer formulation), 10 µg/0.2 mL, 30 µg/0.3 mL</w:t>
            </w:r>
          </w:p>
          <w:p w14:paraId="7DF1DA41" w14:textId="7AEA1F67" w:rsidR="009700F9" w:rsidRPr="003C742E" w:rsidRDefault="009700F9" w:rsidP="00F755B0">
            <w:pPr>
              <w:pStyle w:val="TableText"/>
            </w:pPr>
            <w:r w:rsidRPr="003C742E">
              <w:t>ARTG numbers: 377110, 377111</w:t>
            </w:r>
          </w:p>
        </w:tc>
      </w:tr>
      <w:tr w:rsidR="009700F9" w:rsidRPr="003C742E" w14:paraId="7A6BF0D9" w14:textId="77777777" w:rsidTr="00F755B0">
        <w:tc>
          <w:tcPr>
            <w:tcW w:w="2330" w:type="dxa"/>
            <w:vAlign w:val="center"/>
          </w:tcPr>
          <w:p w14:paraId="6A7269BD" w14:textId="77777777" w:rsidR="009700F9" w:rsidRPr="003C742E" w:rsidRDefault="009700F9" w:rsidP="00F755B0">
            <w:pPr>
              <w:pStyle w:val="TableText"/>
            </w:pPr>
            <w:r w:rsidRPr="003C742E">
              <w:t>27 January 2022</w:t>
            </w:r>
          </w:p>
        </w:tc>
        <w:tc>
          <w:tcPr>
            <w:tcW w:w="6598" w:type="dxa"/>
          </w:tcPr>
          <w:p w14:paraId="424F61E9" w14:textId="6A220974" w:rsidR="009700F9" w:rsidRPr="003C742E" w:rsidRDefault="009700F9" w:rsidP="00F755B0">
            <w:pPr>
              <w:pStyle w:val="TableText"/>
            </w:pPr>
            <w:r w:rsidRPr="003C742E">
              <w:t>Booster dose: for individuals aged 16 to 17 years old (</w:t>
            </w:r>
            <w:hyperlink r:id="rId23" w:history="1">
              <w:r w:rsidRPr="003C742E">
                <w:rPr>
                  <w:color w:val="0000FF"/>
                  <w:u w:val="single"/>
                </w:rPr>
                <w:t>AusPAR</w:t>
              </w:r>
            </w:hyperlink>
            <w:r w:rsidRPr="003C742E">
              <w:t>)</w:t>
            </w:r>
          </w:p>
        </w:tc>
      </w:tr>
      <w:tr w:rsidR="009700F9" w:rsidRPr="003C742E" w14:paraId="48789602" w14:textId="77777777" w:rsidTr="00F755B0">
        <w:tc>
          <w:tcPr>
            <w:tcW w:w="2330" w:type="dxa"/>
            <w:vAlign w:val="center"/>
          </w:tcPr>
          <w:p w14:paraId="1A03A06F" w14:textId="77777777" w:rsidR="009700F9" w:rsidRPr="003C742E" w:rsidRDefault="009700F9" w:rsidP="00F755B0">
            <w:pPr>
              <w:pStyle w:val="TableText"/>
            </w:pPr>
            <w:r w:rsidRPr="003C742E">
              <w:t>7 April 2022</w:t>
            </w:r>
          </w:p>
        </w:tc>
        <w:tc>
          <w:tcPr>
            <w:tcW w:w="6598" w:type="dxa"/>
          </w:tcPr>
          <w:p w14:paraId="182E6F82" w14:textId="36D19BA8" w:rsidR="009700F9" w:rsidRPr="003C742E" w:rsidRDefault="009700F9" w:rsidP="00F755B0">
            <w:pPr>
              <w:pStyle w:val="TableText"/>
            </w:pPr>
            <w:r w:rsidRPr="003C742E">
              <w:t>Booster dose: for individuals aged 12 to 15 years old (</w:t>
            </w:r>
            <w:hyperlink r:id="rId24" w:history="1">
              <w:r w:rsidRPr="003C742E">
                <w:rPr>
                  <w:color w:val="0000FF"/>
                  <w:u w:val="single"/>
                </w:rPr>
                <w:t>AusPAR</w:t>
              </w:r>
            </w:hyperlink>
            <w:r w:rsidRPr="003C742E">
              <w:t>)</w:t>
            </w:r>
          </w:p>
        </w:tc>
      </w:tr>
      <w:tr w:rsidR="009700F9" w:rsidRPr="003C742E" w14:paraId="3B014B11" w14:textId="77777777" w:rsidTr="00F755B0">
        <w:tc>
          <w:tcPr>
            <w:tcW w:w="2330" w:type="dxa"/>
            <w:vAlign w:val="center"/>
          </w:tcPr>
          <w:p w14:paraId="551FA504" w14:textId="77777777" w:rsidR="009700F9" w:rsidRPr="003C742E" w:rsidRDefault="009700F9" w:rsidP="00F755B0">
            <w:pPr>
              <w:pStyle w:val="TableText"/>
            </w:pPr>
            <w:r w:rsidRPr="003C742E">
              <w:t>20 September 2022</w:t>
            </w:r>
          </w:p>
        </w:tc>
        <w:tc>
          <w:tcPr>
            <w:tcW w:w="6598" w:type="dxa"/>
          </w:tcPr>
          <w:p w14:paraId="3A0A5F93" w14:textId="224D40D1" w:rsidR="009700F9" w:rsidRPr="003C742E" w:rsidRDefault="009700F9" w:rsidP="00F755B0">
            <w:pPr>
              <w:pStyle w:val="TableText"/>
            </w:pPr>
            <w:r w:rsidRPr="003C742E">
              <w:t>Booster dose: for individuals aged 5 to 11 years old (</w:t>
            </w:r>
            <w:hyperlink r:id="rId25" w:history="1">
              <w:r w:rsidRPr="003C742E">
                <w:rPr>
                  <w:color w:val="0000FF"/>
                  <w:u w:val="single"/>
                </w:rPr>
                <w:t>AusPAR</w:t>
              </w:r>
            </w:hyperlink>
            <w:r w:rsidRPr="003C742E">
              <w:t>)</w:t>
            </w:r>
          </w:p>
        </w:tc>
      </w:tr>
      <w:tr w:rsidR="009700F9" w:rsidRPr="003C742E" w14:paraId="1F716B56" w14:textId="77777777" w:rsidTr="00F755B0">
        <w:tc>
          <w:tcPr>
            <w:tcW w:w="2330" w:type="dxa"/>
            <w:vAlign w:val="center"/>
          </w:tcPr>
          <w:p w14:paraId="3BA99BA6" w14:textId="77777777" w:rsidR="009700F9" w:rsidRPr="003C742E" w:rsidRDefault="009700F9" w:rsidP="00F755B0">
            <w:pPr>
              <w:pStyle w:val="TableText"/>
            </w:pPr>
            <w:r w:rsidRPr="003C742E">
              <w:t>29 September 2022</w:t>
            </w:r>
          </w:p>
        </w:tc>
        <w:tc>
          <w:tcPr>
            <w:tcW w:w="6598" w:type="dxa"/>
          </w:tcPr>
          <w:p w14:paraId="74C50C4A" w14:textId="08BC6207" w:rsidR="009700F9" w:rsidRPr="003C742E" w:rsidRDefault="009700F9" w:rsidP="00F755B0">
            <w:pPr>
              <w:pStyle w:val="TableText"/>
            </w:pPr>
            <w:r w:rsidRPr="003C742E">
              <w:t>Primary series: for individuals aged 6 months and over (</w:t>
            </w:r>
            <w:hyperlink r:id="rId26" w:history="1">
              <w:r w:rsidRPr="003C742E">
                <w:rPr>
                  <w:color w:val="0000FF"/>
                  <w:u w:val="single"/>
                </w:rPr>
                <w:t>AusPAR</w:t>
              </w:r>
            </w:hyperlink>
            <w:r w:rsidRPr="003C742E">
              <w:t>)</w:t>
            </w:r>
          </w:p>
          <w:p w14:paraId="2A613EB2" w14:textId="6FAF0C33" w:rsidR="00E552E4" w:rsidRPr="003C742E" w:rsidRDefault="009700F9" w:rsidP="00F755B0">
            <w:pPr>
              <w:pStyle w:val="TableText"/>
            </w:pPr>
            <w:r w:rsidRPr="003C742E">
              <w:t>New strength: 3 µg/0.2 mL concentrated suspension for injection (Tris/sucrose formulation</w:t>
            </w:r>
            <w:r w:rsidR="00E552E4" w:rsidRPr="003C742E">
              <w:t>)</w:t>
            </w:r>
          </w:p>
          <w:p w14:paraId="46755CAE" w14:textId="755A75AC" w:rsidR="009700F9" w:rsidRPr="003C742E" w:rsidRDefault="009700F9" w:rsidP="00F755B0">
            <w:pPr>
              <w:pStyle w:val="TableText"/>
            </w:pPr>
            <w:r w:rsidRPr="003C742E">
              <w:t>ARTG number: 393433</w:t>
            </w:r>
          </w:p>
        </w:tc>
      </w:tr>
      <w:tr w:rsidR="009700F9" w:rsidRPr="003C742E" w14:paraId="04ECD17D" w14:textId="77777777" w:rsidTr="00F755B0">
        <w:tc>
          <w:tcPr>
            <w:tcW w:w="8928" w:type="dxa"/>
            <w:gridSpan w:val="2"/>
          </w:tcPr>
          <w:p w14:paraId="69C78FD0" w14:textId="3E0960B0" w:rsidR="009700F9" w:rsidRPr="003C742E" w:rsidRDefault="009700F9" w:rsidP="00F755B0">
            <w:pPr>
              <w:pStyle w:val="TableText"/>
            </w:pPr>
            <w:r w:rsidRPr="003C742E">
              <w:rPr>
                <w:b/>
                <w:bCs/>
              </w:rPr>
              <w:t>Vaxzevria COVID-19 vaccine</w:t>
            </w:r>
            <w:r w:rsidRPr="003C742E">
              <w:t xml:space="preserve"> (</w:t>
            </w:r>
            <w:hyperlink r:id="rId27" w:history="1">
              <w:r w:rsidRPr="003C742E">
                <w:rPr>
                  <w:color w:val="0000FF"/>
                  <w:u w:val="single"/>
                </w:rPr>
                <w:t>formerly</w:t>
              </w:r>
            </w:hyperlink>
            <w:r w:rsidRPr="003C742E">
              <w:t xml:space="preserve"> AstraZeneca COVID-19 vaccine)</w:t>
            </w:r>
          </w:p>
          <w:p w14:paraId="27E52104" w14:textId="77777777" w:rsidR="009700F9" w:rsidRPr="003C742E" w:rsidRDefault="009700F9" w:rsidP="00F755B0">
            <w:pPr>
              <w:pStyle w:val="TableText"/>
            </w:pPr>
            <w:r w:rsidRPr="003C742E">
              <w:t>Active ingredient: ChAdOx1 (viral vector)</w:t>
            </w:r>
          </w:p>
          <w:p w14:paraId="1C3052FF" w14:textId="77777777" w:rsidR="009700F9" w:rsidRPr="003C742E" w:rsidRDefault="009700F9" w:rsidP="00F755B0">
            <w:pPr>
              <w:pStyle w:val="TableText"/>
            </w:pPr>
            <w:r w:rsidRPr="003C742E">
              <w:t>Sponsor: AstraZeneca Pty Ltd</w:t>
            </w:r>
          </w:p>
        </w:tc>
      </w:tr>
      <w:tr w:rsidR="009700F9" w:rsidRPr="003C742E" w14:paraId="5274CE05" w14:textId="77777777" w:rsidTr="00F755B0">
        <w:tc>
          <w:tcPr>
            <w:tcW w:w="2330" w:type="dxa"/>
            <w:vAlign w:val="center"/>
          </w:tcPr>
          <w:p w14:paraId="77B8AB25" w14:textId="77777777" w:rsidR="00E552E4" w:rsidRPr="003C742E" w:rsidRDefault="009700F9" w:rsidP="00F755B0">
            <w:pPr>
              <w:pStyle w:val="TableText"/>
            </w:pPr>
            <w:r w:rsidRPr="003C742E">
              <w:t>15 February 2021</w:t>
            </w:r>
          </w:p>
          <w:p w14:paraId="0C2D5B84" w14:textId="41C683BC" w:rsidR="009700F9" w:rsidRPr="003C742E" w:rsidRDefault="009700F9" w:rsidP="00F755B0">
            <w:pPr>
              <w:pStyle w:val="TableText"/>
            </w:pPr>
            <w:r w:rsidRPr="003C742E">
              <w:t>(initial registration)</w:t>
            </w:r>
          </w:p>
        </w:tc>
        <w:tc>
          <w:tcPr>
            <w:tcW w:w="6598" w:type="dxa"/>
          </w:tcPr>
          <w:p w14:paraId="431C85C9" w14:textId="08CF17FB" w:rsidR="009700F9" w:rsidRPr="003C742E" w:rsidRDefault="009700F9" w:rsidP="00F755B0">
            <w:pPr>
              <w:pStyle w:val="TableText"/>
            </w:pPr>
            <w:r w:rsidRPr="003C742E">
              <w:t>Primary series: for individuals aged 18 years and over (</w:t>
            </w:r>
            <w:hyperlink r:id="rId28" w:history="1">
              <w:r w:rsidRPr="003C742E">
                <w:rPr>
                  <w:color w:val="0000FF"/>
                  <w:u w:val="single"/>
                </w:rPr>
                <w:t>AusPAR</w:t>
              </w:r>
            </w:hyperlink>
            <w:r w:rsidRPr="003C742E">
              <w:t>)</w:t>
            </w:r>
          </w:p>
          <w:p w14:paraId="21EC4403" w14:textId="16C95751" w:rsidR="00E552E4" w:rsidRPr="003C742E" w:rsidRDefault="009700F9" w:rsidP="00F755B0">
            <w:pPr>
              <w:pStyle w:val="TableText"/>
            </w:pPr>
            <w:r w:rsidRPr="003C742E">
              <w:t>New product: 1 x 10</w:t>
            </w:r>
            <w:r w:rsidRPr="003C742E">
              <w:rPr>
                <w:vertAlign w:val="superscript"/>
              </w:rPr>
              <w:t>11</w:t>
            </w:r>
            <w:r w:rsidRPr="003C742E">
              <w:t xml:space="preserve"> viral particles/mL, solution for injection</w:t>
            </w:r>
          </w:p>
          <w:p w14:paraId="384537A7" w14:textId="1F01C4EC" w:rsidR="009700F9" w:rsidRPr="003C742E" w:rsidRDefault="009700F9" w:rsidP="00F755B0">
            <w:pPr>
              <w:pStyle w:val="TableText"/>
            </w:pPr>
            <w:r w:rsidRPr="003C742E">
              <w:t>ARTG number: 349072</w:t>
            </w:r>
          </w:p>
        </w:tc>
      </w:tr>
      <w:tr w:rsidR="009700F9" w:rsidRPr="003C742E" w14:paraId="7070B0A3" w14:textId="77777777" w:rsidTr="00F755B0">
        <w:tc>
          <w:tcPr>
            <w:tcW w:w="2330" w:type="dxa"/>
            <w:vAlign w:val="center"/>
          </w:tcPr>
          <w:p w14:paraId="6610732D" w14:textId="77777777" w:rsidR="009700F9" w:rsidRPr="003C742E" w:rsidRDefault="009700F9" w:rsidP="00F755B0">
            <w:pPr>
              <w:pStyle w:val="TableText"/>
            </w:pPr>
            <w:r w:rsidRPr="003C742E">
              <w:t>8 February 2022</w:t>
            </w:r>
          </w:p>
        </w:tc>
        <w:tc>
          <w:tcPr>
            <w:tcW w:w="6598" w:type="dxa"/>
          </w:tcPr>
          <w:p w14:paraId="201F6BA1" w14:textId="0BD7BC12" w:rsidR="009700F9" w:rsidRPr="003C742E" w:rsidRDefault="009700F9" w:rsidP="00F755B0">
            <w:pPr>
              <w:pStyle w:val="TableText"/>
            </w:pPr>
            <w:r w:rsidRPr="003C742E">
              <w:t>Booster dose: for individuals aged 18 years and over (</w:t>
            </w:r>
            <w:hyperlink r:id="rId29" w:history="1">
              <w:r w:rsidRPr="003C742E">
                <w:rPr>
                  <w:color w:val="0000FF"/>
                  <w:u w:val="single"/>
                </w:rPr>
                <w:t>AusPAR</w:t>
              </w:r>
            </w:hyperlink>
            <w:r w:rsidRPr="003C742E">
              <w:t>)</w:t>
            </w:r>
          </w:p>
        </w:tc>
      </w:tr>
      <w:tr w:rsidR="009700F9" w:rsidRPr="003C742E" w14:paraId="7E2BA7A3" w14:textId="77777777" w:rsidTr="00F755B0">
        <w:tc>
          <w:tcPr>
            <w:tcW w:w="8928" w:type="dxa"/>
            <w:gridSpan w:val="2"/>
          </w:tcPr>
          <w:p w14:paraId="7F039210" w14:textId="77777777" w:rsidR="009700F9" w:rsidRPr="003C742E" w:rsidRDefault="009700F9" w:rsidP="00F755B0">
            <w:pPr>
              <w:pStyle w:val="TableText"/>
              <w:rPr>
                <w:b/>
                <w:bCs/>
              </w:rPr>
            </w:pPr>
            <w:r w:rsidRPr="003C742E">
              <w:rPr>
                <w:b/>
                <w:bCs/>
              </w:rPr>
              <w:lastRenderedPageBreak/>
              <w:t>COVID-19 Vaccine Janssen</w:t>
            </w:r>
          </w:p>
          <w:p w14:paraId="47077868" w14:textId="77777777" w:rsidR="009700F9" w:rsidRPr="003C742E" w:rsidRDefault="009700F9" w:rsidP="00F755B0">
            <w:pPr>
              <w:pStyle w:val="TableText"/>
            </w:pPr>
            <w:r w:rsidRPr="003C742E">
              <w:t>Active ingredient: Ad26.COV2.S (viral vector)</w:t>
            </w:r>
          </w:p>
          <w:p w14:paraId="04A30CB8" w14:textId="77777777" w:rsidR="009700F9" w:rsidRPr="003C742E" w:rsidRDefault="009700F9" w:rsidP="00F755B0">
            <w:pPr>
              <w:pStyle w:val="TableText"/>
            </w:pPr>
            <w:r w:rsidRPr="003C742E">
              <w:t>Sponsor: Janssen-Cilag Pty Ltd</w:t>
            </w:r>
          </w:p>
        </w:tc>
      </w:tr>
      <w:tr w:rsidR="009700F9" w:rsidRPr="003C742E" w14:paraId="1867D69B" w14:textId="77777777" w:rsidTr="00F755B0">
        <w:tc>
          <w:tcPr>
            <w:tcW w:w="2330" w:type="dxa"/>
            <w:vAlign w:val="center"/>
          </w:tcPr>
          <w:p w14:paraId="791B4611" w14:textId="77777777" w:rsidR="00E552E4" w:rsidRPr="003C742E" w:rsidRDefault="009700F9" w:rsidP="00F755B0">
            <w:pPr>
              <w:pStyle w:val="TableText"/>
            </w:pPr>
            <w:r w:rsidRPr="003C742E">
              <w:t>25 June 2021</w:t>
            </w:r>
          </w:p>
          <w:p w14:paraId="6BCB0C47" w14:textId="66BCEE9F" w:rsidR="009700F9" w:rsidRPr="003C742E" w:rsidRDefault="009700F9" w:rsidP="00F755B0">
            <w:pPr>
              <w:pStyle w:val="TableText"/>
            </w:pPr>
            <w:r w:rsidRPr="003C742E">
              <w:t>(initial registration)</w:t>
            </w:r>
          </w:p>
        </w:tc>
        <w:tc>
          <w:tcPr>
            <w:tcW w:w="6598" w:type="dxa"/>
          </w:tcPr>
          <w:p w14:paraId="67A2E791" w14:textId="6E56C7BE" w:rsidR="009700F9" w:rsidRPr="003C742E" w:rsidRDefault="009700F9" w:rsidP="00F755B0">
            <w:pPr>
              <w:pStyle w:val="TableText"/>
            </w:pPr>
            <w:r w:rsidRPr="003C742E">
              <w:t>Primary series: for individuals aged 18 years and over (</w:t>
            </w:r>
            <w:hyperlink r:id="rId30" w:history="1">
              <w:r w:rsidRPr="003C742E">
                <w:rPr>
                  <w:color w:val="0000FF"/>
                  <w:u w:val="single"/>
                </w:rPr>
                <w:t>AusPAR</w:t>
              </w:r>
            </w:hyperlink>
            <w:r w:rsidRPr="003C742E">
              <w:t>)</w:t>
            </w:r>
          </w:p>
          <w:p w14:paraId="0E30ECAA" w14:textId="31C81469" w:rsidR="00E552E4" w:rsidRPr="003C742E" w:rsidRDefault="009700F9" w:rsidP="00F755B0">
            <w:pPr>
              <w:pStyle w:val="TableText"/>
            </w:pPr>
            <w:r w:rsidRPr="003C742E">
              <w:t>New product: 5 x 10</w:t>
            </w:r>
            <w:r w:rsidRPr="003C742E">
              <w:rPr>
                <w:vertAlign w:val="superscript"/>
              </w:rPr>
              <w:t>10</w:t>
            </w:r>
            <w:r w:rsidRPr="003C742E">
              <w:t xml:space="preserve"> virus particles/ 0.5 mL, suspension for intramuscular injection</w:t>
            </w:r>
          </w:p>
          <w:p w14:paraId="6F9A958B" w14:textId="180EE341" w:rsidR="009700F9" w:rsidRPr="003C742E" w:rsidRDefault="009700F9" w:rsidP="00F755B0">
            <w:pPr>
              <w:pStyle w:val="TableText"/>
            </w:pPr>
            <w:r w:rsidRPr="003C742E">
              <w:t>ARTG number: 350150</w:t>
            </w:r>
          </w:p>
        </w:tc>
      </w:tr>
      <w:tr w:rsidR="009700F9" w:rsidRPr="003C742E" w14:paraId="0B9B309C" w14:textId="77777777" w:rsidTr="00F755B0">
        <w:tc>
          <w:tcPr>
            <w:tcW w:w="8928" w:type="dxa"/>
            <w:gridSpan w:val="2"/>
          </w:tcPr>
          <w:p w14:paraId="6BF866BD" w14:textId="77777777" w:rsidR="009700F9" w:rsidRPr="003C742E" w:rsidRDefault="009700F9" w:rsidP="00F755B0">
            <w:pPr>
              <w:pStyle w:val="TableText"/>
              <w:rPr>
                <w:b/>
                <w:bCs/>
              </w:rPr>
            </w:pPr>
            <w:r w:rsidRPr="003C742E">
              <w:rPr>
                <w:b/>
                <w:bCs/>
              </w:rPr>
              <w:t>Spikevax COVID-19 vaccine</w:t>
            </w:r>
          </w:p>
          <w:p w14:paraId="338A45D0" w14:textId="77777777" w:rsidR="009700F9" w:rsidRPr="003C742E" w:rsidRDefault="009700F9" w:rsidP="00F755B0">
            <w:pPr>
              <w:pStyle w:val="TableText"/>
            </w:pPr>
            <w:r w:rsidRPr="003C742E">
              <w:t>Active ingredient: elasomeran (mRNA)</w:t>
            </w:r>
          </w:p>
          <w:p w14:paraId="5AA51ECB" w14:textId="77777777" w:rsidR="009700F9" w:rsidRPr="003C742E" w:rsidRDefault="009700F9" w:rsidP="00F755B0">
            <w:pPr>
              <w:pStyle w:val="TableText"/>
            </w:pPr>
            <w:r w:rsidRPr="003C742E">
              <w:t>Sponsor: Moderna Australia Pty Ltd</w:t>
            </w:r>
          </w:p>
        </w:tc>
      </w:tr>
      <w:tr w:rsidR="009700F9" w:rsidRPr="003C742E" w14:paraId="12649BE2" w14:textId="77777777" w:rsidTr="00F755B0">
        <w:tc>
          <w:tcPr>
            <w:tcW w:w="2330" w:type="dxa"/>
            <w:vAlign w:val="center"/>
          </w:tcPr>
          <w:p w14:paraId="64991A9F" w14:textId="77777777" w:rsidR="00E552E4" w:rsidRPr="003C742E" w:rsidRDefault="009700F9" w:rsidP="00F755B0">
            <w:pPr>
              <w:pStyle w:val="TableText"/>
            </w:pPr>
            <w:r w:rsidRPr="003C742E">
              <w:t>9 August 2021</w:t>
            </w:r>
          </w:p>
          <w:p w14:paraId="5BA4827F" w14:textId="2DD878A5" w:rsidR="009700F9" w:rsidRPr="003C742E" w:rsidRDefault="009700F9" w:rsidP="00F755B0">
            <w:pPr>
              <w:pStyle w:val="TableText"/>
            </w:pPr>
            <w:r w:rsidRPr="003C742E">
              <w:t>(initial registration)</w:t>
            </w:r>
          </w:p>
        </w:tc>
        <w:tc>
          <w:tcPr>
            <w:tcW w:w="6598" w:type="dxa"/>
          </w:tcPr>
          <w:p w14:paraId="512F3A52" w14:textId="1239AFA0" w:rsidR="009700F9" w:rsidRPr="003C742E" w:rsidRDefault="009700F9" w:rsidP="00F755B0">
            <w:pPr>
              <w:pStyle w:val="TableText"/>
            </w:pPr>
            <w:r w:rsidRPr="003C742E">
              <w:t>Primary series: for individuals aged 18 years and over (</w:t>
            </w:r>
            <w:hyperlink r:id="rId31" w:history="1">
              <w:r w:rsidRPr="003C742E">
                <w:rPr>
                  <w:color w:val="0000FF"/>
                  <w:u w:val="single"/>
                </w:rPr>
                <w:t>AusPAR</w:t>
              </w:r>
            </w:hyperlink>
            <w:r w:rsidRPr="003C742E">
              <w:t>)</w:t>
            </w:r>
          </w:p>
          <w:p w14:paraId="7499C27C" w14:textId="236EC6AE" w:rsidR="00E552E4" w:rsidRPr="003C742E" w:rsidRDefault="009700F9" w:rsidP="00F755B0">
            <w:pPr>
              <w:pStyle w:val="TableText"/>
            </w:pPr>
            <w:r w:rsidRPr="003C742E">
              <w:t>New product: 0.2 mg/mL, suspension for injection</w:t>
            </w:r>
          </w:p>
          <w:p w14:paraId="1BDD431E" w14:textId="34532406" w:rsidR="009700F9" w:rsidRPr="003C742E" w:rsidRDefault="009700F9" w:rsidP="00F755B0">
            <w:pPr>
              <w:pStyle w:val="TableText"/>
            </w:pPr>
            <w:r w:rsidRPr="003C742E">
              <w:t>ARTG number: 370599</w:t>
            </w:r>
          </w:p>
        </w:tc>
      </w:tr>
      <w:tr w:rsidR="009700F9" w:rsidRPr="003C742E" w14:paraId="26384C8F" w14:textId="77777777" w:rsidTr="00F755B0">
        <w:tc>
          <w:tcPr>
            <w:tcW w:w="2330" w:type="dxa"/>
            <w:vAlign w:val="center"/>
          </w:tcPr>
          <w:p w14:paraId="38BCF99B" w14:textId="77777777" w:rsidR="009700F9" w:rsidRPr="003C742E" w:rsidRDefault="009700F9" w:rsidP="00F755B0">
            <w:pPr>
              <w:pStyle w:val="TableText"/>
            </w:pPr>
            <w:r w:rsidRPr="003C742E">
              <w:t>3 September 2021</w:t>
            </w:r>
          </w:p>
        </w:tc>
        <w:tc>
          <w:tcPr>
            <w:tcW w:w="6598" w:type="dxa"/>
          </w:tcPr>
          <w:p w14:paraId="44C0743E" w14:textId="4A133A4E" w:rsidR="009700F9" w:rsidRPr="003C742E" w:rsidRDefault="009700F9" w:rsidP="00F755B0">
            <w:pPr>
              <w:pStyle w:val="TableText"/>
            </w:pPr>
            <w:r w:rsidRPr="003C742E">
              <w:t>Primary series: for individuals aged 12 years and over (</w:t>
            </w:r>
            <w:hyperlink r:id="rId32" w:history="1">
              <w:r w:rsidRPr="003C742E">
                <w:rPr>
                  <w:color w:val="0000FF"/>
                  <w:u w:val="single"/>
                </w:rPr>
                <w:t>AusPAR</w:t>
              </w:r>
            </w:hyperlink>
            <w:r w:rsidRPr="003C742E">
              <w:t>)</w:t>
            </w:r>
          </w:p>
        </w:tc>
      </w:tr>
      <w:tr w:rsidR="009700F9" w:rsidRPr="003C742E" w14:paraId="4727D8C5" w14:textId="77777777" w:rsidTr="00F755B0">
        <w:tc>
          <w:tcPr>
            <w:tcW w:w="2330" w:type="dxa"/>
            <w:vAlign w:val="center"/>
          </w:tcPr>
          <w:p w14:paraId="58DDE237" w14:textId="77777777" w:rsidR="009700F9" w:rsidRPr="003C742E" w:rsidRDefault="009700F9" w:rsidP="00F755B0">
            <w:pPr>
              <w:pStyle w:val="TableText"/>
            </w:pPr>
            <w:r w:rsidRPr="003C742E">
              <w:t>7 December 2021</w:t>
            </w:r>
          </w:p>
        </w:tc>
        <w:tc>
          <w:tcPr>
            <w:tcW w:w="6598" w:type="dxa"/>
          </w:tcPr>
          <w:p w14:paraId="533C30C5" w14:textId="5EB0B07B" w:rsidR="009700F9" w:rsidRPr="003C742E" w:rsidRDefault="009700F9" w:rsidP="00F755B0">
            <w:pPr>
              <w:pStyle w:val="TableText"/>
            </w:pPr>
            <w:r w:rsidRPr="003C742E">
              <w:t>Booster dose: for individuals aged 18 years and over (</w:t>
            </w:r>
            <w:hyperlink r:id="rId33" w:history="1">
              <w:r w:rsidRPr="003C742E">
                <w:rPr>
                  <w:color w:val="0000FF"/>
                  <w:u w:val="single"/>
                </w:rPr>
                <w:t>AusPAR</w:t>
              </w:r>
            </w:hyperlink>
            <w:r w:rsidRPr="003C742E">
              <w:t>)</w:t>
            </w:r>
          </w:p>
        </w:tc>
      </w:tr>
      <w:tr w:rsidR="009700F9" w:rsidRPr="003C742E" w14:paraId="42F8B1FA" w14:textId="77777777" w:rsidTr="00F755B0">
        <w:tc>
          <w:tcPr>
            <w:tcW w:w="2330" w:type="dxa"/>
            <w:vAlign w:val="center"/>
          </w:tcPr>
          <w:p w14:paraId="5EB3EA49" w14:textId="77777777" w:rsidR="009700F9" w:rsidRPr="003C742E" w:rsidRDefault="009700F9" w:rsidP="00F755B0">
            <w:pPr>
              <w:pStyle w:val="TableText"/>
            </w:pPr>
            <w:r w:rsidRPr="003C742E">
              <w:t>17 February 2022</w:t>
            </w:r>
          </w:p>
        </w:tc>
        <w:tc>
          <w:tcPr>
            <w:tcW w:w="6598" w:type="dxa"/>
          </w:tcPr>
          <w:p w14:paraId="372FE1DD" w14:textId="3B6F38F9" w:rsidR="009700F9" w:rsidRPr="003C742E" w:rsidRDefault="009700F9" w:rsidP="00F755B0">
            <w:pPr>
              <w:pStyle w:val="TableText"/>
            </w:pPr>
            <w:r w:rsidRPr="003C742E">
              <w:t>Primary series: for individuals aged 6 years and over (</w:t>
            </w:r>
            <w:hyperlink r:id="rId34" w:history="1">
              <w:r w:rsidRPr="003C742E">
                <w:rPr>
                  <w:color w:val="0000FF"/>
                  <w:u w:val="single"/>
                </w:rPr>
                <w:t>AusPAR</w:t>
              </w:r>
            </w:hyperlink>
            <w:r w:rsidRPr="003C742E">
              <w:t>)</w:t>
            </w:r>
          </w:p>
        </w:tc>
      </w:tr>
      <w:tr w:rsidR="009700F9" w:rsidRPr="003C742E" w14:paraId="7BDCB852" w14:textId="77777777" w:rsidTr="00F755B0">
        <w:tc>
          <w:tcPr>
            <w:tcW w:w="2330" w:type="dxa"/>
            <w:vAlign w:val="center"/>
          </w:tcPr>
          <w:p w14:paraId="59D0A3BA" w14:textId="77777777" w:rsidR="009700F9" w:rsidRPr="003C742E" w:rsidRDefault="009700F9" w:rsidP="00F755B0">
            <w:pPr>
              <w:pStyle w:val="TableText"/>
            </w:pPr>
            <w:r w:rsidRPr="003C742E">
              <w:t>19 July 2022</w:t>
            </w:r>
          </w:p>
        </w:tc>
        <w:tc>
          <w:tcPr>
            <w:tcW w:w="6598" w:type="dxa"/>
          </w:tcPr>
          <w:p w14:paraId="34260398" w14:textId="34E97D94" w:rsidR="009700F9" w:rsidRPr="003C742E" w:rsidRDefault="009700F9" w:rsidP="00F755B0">
            <w:pPr>
              <w:pStyle w:val="TableText"/>
            </w:pPr>
            <w:r w:rsidRPr="003C742E">
              <w:t>Primary series: for individuals aged 6 months and over (</w:t>
            </w:r>
            <w:hyperlink r:id="rId35" w:history="1">
              <w:r w:rsidRPr="003C742E">
                <w:rPr>
                  <w:color w:val="0000FF"/>
                  <w:u w:val="single"/>
                </w:rPr>
                <w:t>AusPAR</w:t>
              </w:r>
            </w:hyperlink>
            <w:r w:rsidRPr="003C742E">
              <w:t>)</w:t>
            </w:r>
          </w:p>
          <w:p w14:paraId="683EDB93" w14:textId="77777777" w:rsidR="00E552E4" w:rsidRPr="003C742E" w:rsidRDefault="009700F9" w:rsidP="00F755B0">
            <w:pPr>
              <w:pStyle w:val="TableText"/>
            </w:pPr>
            <w:r w:rsidRPr="003C742E">
              <w:t>New strength: 0.1 mg/mL suspension for injection</w:t>
            </w:r>
          </w:p>
          <w:p w14:paraId="31649CB6" w14:textId="26C4D57D" w:rsidR="009700F9" w:rsidRPr="003C742E" w:rsidRDefault="009700F9" w:rsidP="00F755B0">
            <w:pPr>
              <w:pStyle w:val="TableText"/>
            </w:pPr>
            <w:r w:rsidRPr="003C742E">
              <w:t>ARTG numbers: 388244, 388245</w:t>
            </w:r>
          </w:p>
        </w:tc>
      </w:tr>
      <w:tr w:rsidR="009700F9" w:rsidRPr="003C742E" w14:paraId="77A98A42" w14:textId="77777777" w:rsidTr="00F755B0">
        <w:tc>
          <w:tcPr>
            <w:tcW w:w="2330" w:type="dxa"/>
          </w:tcPr>
          <w:p w14:paraId="5D98298F" w14:textId="77777777" w:rsidR="009700F9" w:rsidRPr="003C742E" w:rsidRDefault="009700F9" w:rsidP="00F755B0">
            <w:pPr>
              <w:pStyle w:val="TableText"/>
            </w:pPr>
            <w:r w:rsidRPr="003C742E">
              <w:t>19 October 2022</w:t>
            </w:r>
          </w:p>
        </w:tc>
        <w:tc>
          <w:tcPr>
            <w:tcW w:w="6598" w:type="dxa"/>
          </w:tcPr>
          <w:p w14:paraId="317F31E2" w14:textId="7C83576D" w:rsidR="009700F9" w:rsidRPr="003C742E" w:rsidRDefault="009700F9" w:rsidP="00F755B0">
            <w:pPr>
              <w:pStyle w:val="TableText"/>
            </w:pPr>
            <w:r w:rsidRPr="003C742E">
              <w:t>Booster dose: for individuals aged 12 years and over (</w:t>
            </w:r>
            <w:hyperlink r:id="rId36" w:history="1">
              <w:r w:rsidRPr="003C742E">
                <w:rPr>
                  <w:rStyle w:val="Hyperlink"/>
                </w:rPr>
                <w:t>AusPAR</w:t>
              </w:r>
            </w:hyperlink>
            <w:r w:rsidRPr="003C742E">
              <w:t>)</w:t>
            </w:r>
          </w:p>
        </w:tc>
      </w:tr>
      <w:tr w:rsidR="009700F9" w:rsidRPr="003C742E" w14:paraId="23E18D04" w14:textId="77777777" w:rsidTr="00F755B0">
        <w:tc>
          <w:tcPr>
            <w:tcW w:w="8928" w:type="dxa"/>
            <w:gridSpan w:val="2"/>
          </w:tcPr>
          <w:p w14:paraId="7A59868B" w14:textId="77777777" w:rsidR="009700F9" w:rsidRPr="003C742E" w:rsidRDefault="009700F9" w:rsidP="00F755B0">
            <w:pPr>
              <w:pStyle w:val="TableText"/>
              <w:rPr>
                <w:b/>
                <w:bCs/>
              </w:rPr>
            </w:pPr>
            <w:r w:rsidRPr="003C742E">
              <w:rPr>
                <w:b/>
                <w:bCs/>
              </w:rPr>
              <w:t>Nuvaxovid COVID-19 vaccine</w:t>
            </w:r>
          </w:p>
          <w:p w14:paraId="578B8E89" w14:textId="77777777" w:rsidR="009700F9" w:rsidRPr="003C742E" w:rsidRDefault="009700F9" w:rsidP="00F755B0">
            <w:pPr>
              <w:pStyle w:val="TableText"/>
            </w:pPr>
            <w:r w:rsidRPr="003C742E">
              <w:t>Active ingredient: SARS-CoV-2 rS vaccine with Matrix-M1 adjuvant (protein vaccine)</w:t>
            </w:r>
          </w:p>
          <w:p w14:paraId="1FE80A58" w14:textId="77777777" w:rsidR="009700F9" w:rsidRPr="003C742E" w:rsidRDefault="009700F9" w:rsidP="00F755B0">
            <w:pPr>
              <w:pStyle w:val="TableText"/>
            </w:pPr>
            <w:r w:rsidRPr="003C742E">
              <w:t>Sponsor: Biocelect Pty Ltd (on behalf of Novavax Inc)</w:t>
            </w:r>
          </w:p>
        </w:tc>
      </w:tr>
      <w:tr w:rsidR="009700F9" w:rsidRPr="003C742E" w14:paraId="5CD81709" w14:textId="77777777" w:rsidTr="00F755B0">
        <w:tc>
          <w:tcPr>
            <w:tcW w:w="2330" w:type="dxa"/>
            <w:vAlign w:val="center"/>
          </w:tcPr>
          <w:p w14:paraId="432FF840" w14:textId="77777777" w:rsidR="00E552E4" w:rsidRPr="003C742E" w:rsidRDefault="009700F9" w:rsidP="00F755B0">
            <w:pPr>
              <w:pStyle w:val="TableText"/>
            </w:pPr>
            <w:r w:rsidRPr="003C742E">
              <w:t>19 January 2022</w:t>
            </w:r>
          </w:p>
          <w:p w14:paraId="1EEB8B07" w14:textId="7081EB62" w:rsidR="009700F9" w:rsidRPr="003C742E" w:rsidRDefault="009700F9" w:rsidP="00F755B0">
            <w:pPr>
              <w:pStyle w:val="TableText"/>
            </w:pPr>
            <w:r w:rsidRPr="003C742E">
              <w:t>(initial registration)</w:t>
            </w:r>
          </w:p>
        </w:tc>
        <w:tc>
          <w:tcPr>
            <w:tcW w:w="6598" w:type="dxa"/>
          </w:tcPr>
          <w:p w14:paraId="4D414457" w14:textId="55BDE76F" w:rsidR="009700F9" w:rsidRPr="003C742E" w:rsidRDefault="009700F9" w:rsidP="00F755B0">
            <w:pPr>
              <w:pStyle w:val="TableText"/>
            </w:pPr>
            <w:r w:rsidRPr="003C742E">
              <w:t>Primary series: for individuals aged 18 years and over (</w:t>
            </w:r>
            <w:hyperlink r:id="rId37" w:history="1">
              <w:r w:rsidRPr="003C742E">
                <w:rPr>
                  <w:color w:val="0000FF"/>
                  <w:u w:val="single"/>
                </w:rPr>
                <w:t>AusPAR</w:t>
              </w:r>
            </w:hyperlink>
            <w:r w:rsidRPr="003C742E">
              <w:t>)</w:t>
            </w:r>
          </w:p>
          <w:p w14:paraId="094AFC60" w14:textId="77777777" w:rsidR="00E552E4" w:rsidRPr="003C742E" w:rsidRDefault="009700F9" w:rsidP="00F755B0">
            <w:pPr>
              <w:pStyle w:val="TableText"/>
            </w:pPr>
            <w:r w:rsidRPr="003C742E">
              <w:t>New product: 5 µg/0.5mL, suspension for injection</w:t>
            </w:r>
          </w:p>
          <w:p w14:paraId="5BE78B4E" w14:textId="7A6B8144" w:rsidR="009700F9" w:rsidRPr="003C742E" w:rsidRDefault="009700F9" w:rsidP="00F755B0">
            <w:pPr>
              <w:pStyle w:val="TableText"/>
            </w:pPr>
            <w:r w:rsidRPr="003C742E">
              <w:t>ARTG number: 355139</w:t>
            </w:r>
          </w:p>
        </w:tc>
      </w:tr>
      <w:tr w:rsidR="009700F9" w:rsidRPr="003C742E" w14:paraId="7BCD86FD" w14:textId="77777777" w:rsidTr="00F755B0">
        <w:tc>
          <w:tcPr>
            <w:tcW w:w="2330" w:type="dxa"/>
            <w:vAlign w:val="center"/>
          </w:tcPr>
          <w:p w14:paraId="68F89D18" w14:textId="77777777" w:rsidR="009700F9" w:rsidRPr="003C742E" w:rsidRDefault="009700F9" w:rsidP="00F755B0">
            <w:pPr>
              <w:pStyle w:val="TableText"/>
            </w:pPr>
            <w:r w:rsidRPr="003C742E">
              <w:t>9 June 2022</w:t>
            </w:r>
          </w:p>
        </w:tc>
        <w:tc>
          <w:tcPr>
            <w:tcW w:w="6598" w:type="dxa"/>
          </w:tcPr>
          <w:p w14:paraId="24AF7FFB" w14:textId="71646A75" w:rsidR="009700F9" w:rsidRPr="003C742E" w:rsidRDefault="009700F9" w:rsidP="00F755B0">
            <w:pPr>
              <w:pStyle w:val="TableText"/>
            </w:pPr>
            <w:r w:rsidRPr="003C742E">
              <w:t>Booster dose: for individuals aged 18 years and over as homologous vaccination (</w:t>
            </w:r>
            <w:hyperlink r:id="rId38" w:history="1">
              <w:r w:rsidRPr="003C742E">
                <w:rPr>
                  <w:color w:val="0000FF"/>
                  <w:u w:val="single"/>
                </w:rPr>
                <w:t>AusPAR</w:t>
              </w:r>
            </w:hyperlink>
            <w:r w:rsidRPr="003C742E">
              <w:t>)</w:t>
            </w:r>
          </w:p>
        </w:tc>
      </w:tr>
      <w:tr w:rsidR="009700F9" w:rsidRPr="003C742E" w14:paraId="5B201F61" w14:textId="77777777" w:rsidTr="00F755B0">
        <w:tc>
          <w:tcPr>
            <w:tcW w:w="2330" w:type="dxa"/>
            <w:vAlign w:val="center"/>
          </w:tcPr>
          <w:p w14:paraId="2C51C806" w14:textId="77777777" w:rsidR="009700F9" w:rsidRPr="003C742E" w:rsidRDefault="009700F9" w:rsidP="00F755B0">
            <w:pPr>
              <w:pStyle w:val="TableText"/>
            </w:pPr>
            <w:r w:rsidRPr="003C742E">
              <w:t>22 July 2022</w:t>
            </w:r>
          </w:p>
        </w:tc>
        <w:tc>
          <w:tcPr>
            <w:tcW w:w="6598" w:type="dxa"/>
          </w:tcPr>
          <w:p w14:paraId="58735210" w14:textId="3455023E" w:rsidR="009700F9" w:rsidRPr="003C742E" w:rsidRDefault="009700F9" w:rsidP="00F755B0">
            <w:pPr>
              <w:pStyle w:val="TableText"/>
            </w:pPr>
            <w:r w:rsidRPr="003C742E">
              <w:t>Primary series: for individuals aged 12 years and over (</w:t>
            </w:r>
            <w:hyperlink r:id="rId39" w:history="1">
              <w:r w:rsidRPr="003C742E">
                <w:rPr>
                  <w:color w:val="0000FF"/>
                  <w:u w:val="single"/>
                </w:rPr>
                <w:t>AusPAR</w:t>
              </w:r>
            </w:hyperlink>
            <w:r w:rsidRPr="003C742E">
              <w:t>)</w:t>
            </w:r>
          </w:p>
        </w:tc>
      </w:tr>
    </w:tbl>
    <w:p w14:paraId="65C067F8" w14:textId="568A8CCB" w:rsidR="001872C7" w:rsidRPr="003C742E" w:rsidRDefault="001872C7" w:rsidP="003C742E">
      <w:pPr>
        <w:pStyle w:val="TableDescription"/>
      </w:pPr>
      <w:r w:rsidRPr="003C742E">
        <w:t>Abbreviations: AusPAR = Australian Public Assessment Report; ARTG = Australian Register of Therapeutic Goods; COVID-19 = coronavirus disease 2019; mRNA = messenger ribonucleic acid; TGA = Therapeutic Goods Administration.</w:t>
      </w:r>
    </w:p>
    <w:p w14:paraId="41784090" w14:textId="25C3DB4A" w:rsidR="009700F9" w:rsidRPr="003C742E" w:rsidRDefault="009700F9" w:rsidP="003C742E">
      <w:pPr>
        <w:pStyle w:val="TableDescription"/>
      </w:pPr>
      <w:r w:rsidRPr="003C742E">
        <w:t>A primary vaccine series involves the vaccine doses needed for initial protection against COVID-19 disease. Typically, a primary COVID-19 vaccine series of 2 doses of the vaccine given 8 to 12 weeks apart. In most situations, the primary course consists of two doses of the same vaccine. In certain age groups or situations, the number of vaccine doses in a primary series may vary. For people with severe immunocompromise, a primary course is defined as 3 doses of a COVID-19 vaccine. ‘Third’ doses are not booster doses, but an additional dose given such as to those considered to be severely immunocompromised.</w:t>
      </w:r>
    </w:p>
    <w:p w14:paraId="3D51BE90" w14:textId="0166CF7D" w:rsidR="009700F9" w:rsidRPr="003C742E" w:rsidRDefault="009700F9" w:rsidP="003C742E">
      <w:pPr>
        <w:pStyle w:val="TableDescription"/>
      </w:pPr>
      <w:r w:rsidRPr="003C742E">
        <w:t>A booster dose refers to an additional vaccine dose given after the primary vaccine course. The first booster will refer to the first additional vaccine dose given after completing a 2-dose (or sometimes 3</w:t>
      </w:r>
      <w:r w:rsidRPr="003C742E">
        <w:noBreakHyphen/>
        <w:t>dose) primary vaccine course.</w:t>
      </w:r>
    </w:p>
    <w:p w14:paraId="04086385" w14:textId="77777777" w:rsidR="009700F9" w:rsidRPr="003C742E" w:rsidRDefault="009700F9" w:rsidP="003C742E">
      <w:pPr>
        <w:pStyle w:val="TableDescription"/>
      </w:pPr>
      <w:r w:rsidRPr="003C742E">
        <w:t>Note: The single dose COVID-19 Vaccine Janssen has been provisionally approved, but isn’t currently being used in Australia.</w:t>
      </w:r>
    </w:p>
    <w:p w14:paraId="50DEAA8D" w14:textId="03404602" w:rsidR="009700F9" w:rsidRDefault="009700F9" w:rsidP="003C742E">
      <w:pPr>
        <w:pStyle w:val="TableDescription"/>
      </w:pPr>
      <w:r w:rsidRPr="003C742E">
        <w:t xml:space="preserve">Further information on vaccines can be found on the TGA website at </w:t>
      </w:r>
      <w:hyperlink r:id="rId40" w:history="1">
        <w:r w:rsidRPr="003C742E">
          <w:t>COVID-19 vaccines</w:t>
        </w:r>
      </w:hyperlink>
      <w:r w:rsidRPr="003C742E">
        <w:t xml:space="preserve">, </w:t>
      </w:r>
      <w:hyperlink r:id="rId41" w:history="1">
        <w:r w:rsidRPr="003C742E">
          <w:t>The Australian Immunisation Handbook</w:t>
        </w:r>
      </w:hyperlink>
      <w:r w:rsidRPr="003C742E">
        <w:t xml:space="preserve"> or at the </w:t>
      </w:r>
      <w:hyperlink r:id="rId42" w:history="1">
        <w:r w:rsidRPr="003C742E">
          <w:t>Australian Government Department of Health and Aged Care</w:t>
        </w:r>
      </w:hyperlink>
      <w:r w:rsidRPr="003C742E">
        <w:t xml:space="preserve"> website.</w:t>
      </w:r>
    </w:p>
    <w:p w14:paraId="7E668F3D" w14:textId="2608B468" w:rsidR="0092510E" w:rsidRPr="0092510E" w:rsidRDefault="0092510E" w:rsidP="003154A3">
      <w:r>
        <w:br w:type="page"/>
      </w:r>
    </w:p>
    <w:p w14:paraId="390D6B59" w14:textId="05A3BC0C" w:rsidR="009700F9" w:rsidRPr="003C742E" w:rsidRDefault="009700F9" w:rsidP="003C742E">
      <w:pPr>
        <w:pStyle w:val="TableTitle"/>
      </w:pPr>
      <w:bookmarkStart w:id="36" w:name="_Ref118212285"/>
      <w:r w:rsidRPr="003C742E">
        <w:lastRenderedPageBreak/>
        <w:t xml:space="preserve">Table </w:t>
      </w:r>
      <w:r w:rsidR="009809E2">
        <w:fldChar w:fldCharType="begin"/>
      </w:r>
      <w:r w:rsidR="009809E2">
        <w:instrText xml:space="preserve"> SEQ Table \* ARABIC </w:instrText>
      </w:r>
      <w:r w:rsidR="009809E2">
        <w:fldChar w:fldCharType="separate"/>
      </w:r>
      <w:r w:rsidR="0005046B">
        <w:rPr>
          <w:noProof/>
        </w:rPr>
        <w:t>2</w:t>
      </w:r>
      <w:r w:rsidR="009809E2">
        <w:rPr>
          <w:noProof/>
        </w:rPr>
        <w:fldChar w:fldCharType="end"/>
      </w:r>
      <w:bookmarkEnd w:id="36"/>
      <w:r w:rsidRPr="003C742E">
        <w:t>: Provisional approvals for bivalent COVID-19 vaccines in Australia</w:t>
      </w:r>
    </w:p>
    <w:tbl>
      <w:tblPr>
        <w:tblStyle w:val="TableTGAblue"/>
        <w:tblW w:w="8720" w:type="dxa"/>
        <w:tblLayout w:type="fixed"/>
        <w:tblLook w:val="04A0" w:firstRow="1" w:lastRow="0" w:firstColumn="1" w:lastColumn="0" w:noHBand="0" w:noVBand="1"/>
      </w:tblPr>
      <w:tblGrid>
        <w:gridCol w:w="2330"/>
        <w:gridCol w:w="6390"/>
      </w:tblGrid>
      <w:tr w:rsidR="009700F9" w:rsidRPr="003C742E" w14:paraId="5F501BE1" w14:textId="77777777" w:rsidTr="00F755B0">
        <w:trPr>
          <w:cnfStyle w:val="100000000000" w:firstRow="1" w:lastRow="0" w:firstColumn="0" w:lastColumn="0" w:oddVBand="0" w:evenVBand="0" w:oddHBand="0" w:evenHBand="0" w:firstRowFirstColumn="0" w:firstRowLastColumn="0" w:lastRowFirstColumn="0" w:lastRowLastColumn="0"/>
        </w:trPr>
        <w:tc>
          <w:tcPr>
            <w:tcW w:w="8720" w:type="dxa"/>
            <w:gridSpan w:val="2"/>
          </w:tcPr>
          <w:p w14:paraId="52DC0F9F" w14:textId="77777777" w:rsidR="009700F9" w:rsidRPr="003C742E" w:rsidRDefault="009700F9" w:rsidP="009700F9">
            <w:pPr>
              <w:pStyle w:val="TableText"/>
            </w:pPr>
            <w:r w:rsidRPr="003C742E">
              <w:rPr>
                <w:color w:val="FFFFFF" w:themeColor="background1"/>
              </w:rPr>
              <w:t>Bivalent COVID-19 vaccines provisionally approved in Australia</w:t>
            </w:r>
          </w:p>
        </w:tc>
      </w:tr>
      <w:tr w:rsidR="009700F9" w:rsidRPr="003C742E" w14:paraId="5C87E22D" w14:textId="77777777" w:rsidTr="00F755B0">
        <w:tc>
          <w:tcPr>
            <w:tcW w:w="8720" w:type="dxa"/>
            <w:gridSpan w:val="2"/>
          </w:tcPr>
          <w:p w14:paraId="1F4A6DC4" w14:textId="317F9906" w:rsidR="009700F9" w:rsidRPr="003C742E" w:rsidRDefault="009700F9" w:rsidP="009700F9">
            <w:pPr>
              <w:pStyle w:val="TableText"/>
              <w:rPr>
                <w:b/>
                <w:bCs/>
              </w:rPr>
            </w:pPr>
            <w:r w:rsidRPr="003C742E">
              <w:rPr>
                <w:b/>
                <w:bCs/>
              </w:rPr>
              <w:t>Spikevax Bivalent Original/Omicron COVID-19 vaccine</w:t>
            </w:r>
          </w:p>
          <w:p w14:paraId="0561C8AE" w14:textId="77777777" w:rsidR="009700F9" w:rsidRPr="003C742E" w:rsidRDefault="009700F9" w:rsidP="009700F9">
            <w:pPr>
              <w:pStyle w:val="TableText"/>
            </w:pPr>
            <w:r w:rsidRPr="003C742E">
              <w:t>Active ingredients: elasomeran and imelasomeran (mRNA)</w:t>
            </w:r>
          </w:p>
          <w:p w14:paraId="135C71D6" w14:textId="77777777" w:rsidR="009700F9" w:rsidRPr="003C742E" w:rsidRDefault="009700F9" w:rsidP="009700F9">
            <w:pPr>
              <w:pStyle w:val="TableText"/>
            </w:pPr>
            <w:r w:rsidRPr="003C742E">
              <w:t>Sponsor: Moderna Australia Pty Ltd</w:t>
            </w:r>
          </w:p>
        </w:tc>
      </w:tr>
      <w:tr w:rsidR="009700F9" w:rsidRPr="003C742E" w14:paraId="779EA816" w14:textId="77777777" w:rsidTr="00F755B0">
        <w:tc>
          <w:tcPr>
            <w:tcW w:w="2330" w:type="dxa"/>
          </w:tcPr>
          <w:p w14:paraId="4874BD61" w14:textId="77777777" w:rsidR="00E552E4" w:rsidRPr="003C742E" w:rsidRDefault="009700F9" w:rsidP="009700F9">
            <w:pPr>
              <w:pStyle w:val="TableText"/>
            </w:pPr>
            <w:r w:rsidRPr="003C742E">
              <w:t>29 August 2022</w:t>
            </w:r>
          </w:p>
          <w:p w14:paraId="63FCC478" w14:textId="0DC7E3A4" w:rsidR="009700F9" w:rsidRPr="003C742E" w:rsidRDefault="009700F9" w:rsidP="009700F9">
            <w:pPr>
              <w:pStyle w:val="TableText"/>
            </w:pPr>
            <w:r w:rsidRPr="003C742E">
              <w:t>(initial registration)</w:t>
            </w:r>
          </w:p>
        </w:tc>
        <w:tc>
          <w:tcPr>
            <w:tcW w:w="6390" w:type="dxa"/>
          </w:tcPr>
          <w:p w14:paraId="730A0D8D" w14:textId="53CA6F2D" w:rsidR="009700F9" w:rsidRPr="003C742E" w:rsidRDefault="009700F9" w:rsidP="009700F9">
            <w:pPr>
              <w:pStyle w:val="TableText"/>
            </w:pPr>
            <w:r w:rsidRPr="003C742E">
              <w:t>Booster dose: for individuals aged 18 years and over (</w:t>
            </w:r>
            <w:hyperlink r:id="rId43" w:history="1">
              <w:r w:rsidRPr="003C742E">
                <w:rPr>
                  <w:rStyle w:val="Hyperlink"/>
                </w:rPr>
                <w:t>AusPAR</w:t>
              </w:r>
            </w:hyperlink>
            <w:r w:rsidRPr="003C742E">
              <w:t>)</w:t>
            </w:r>
          </w:p>
          <w:p w14:paraId="706A82AA" w14:textId="70574161" w:rsidR="00E552E4" w:rsidRPr="003C742E" w:rsidRDefault="009700F9" w:rsidP="009700F9">
            <w:pPr>
              <w:pStyle w:val="TableText"/>
            </w:pPr>
            <w:r w:rsidRPr="003C742E">
              <w:t>New product: 0.1 mg/mL suspension for injection. Each 0.5 mL dose contains 25 µg of elasomeran and 25 µg of imelasomeran</w:t>
            </w:r>
          </w:p>
          <w:p w14:paraId="63B6D1E2" w14:textId="4AE5E40C" w:rsidR="009700F9" w:rsidRPr="003C742E" w:rsidRDefault="009700F9" w:rsidP="009700F9">
            <w:pPr>
              <w:pStyle w:val="TableText"/>
            </w:pPr>
            <w:r w:rsidRPr="003C742E">
              <w:t>ARTG number: 389513</w:t>
            </w:r>
          </w:p>
        </w:tc>
      </w:tr>
      <w:tr w:rsidR="009700F9" w:rsidRPr="003C742E" w14:paraId="6069046A" w14:textId="77777777" w:rsidTr="00F755B0">
        <w:tc>
          <w:tcPr>
            <w:tcW w:w="8720" w:type="dxa"/>
            <w:gridSpan w:val="2"/>
          </w:tcPr>
          <w:p w14:paraId="4BF0553E" w14:textId="526BF17B" w:rsidR="009700F9" w:rsidRPr="003C742E" w:rsidRDefault="009700F9" w:rsidP="009700F9">
            <w:pPr>
              <w:pStyle w:val="TableText"/>
              <w:rPr>
                <w:b/>
                <w:bCs/>
              </w:rPr>
            </w:pPr>
            <w:r w:rsidRPr="003C742E">
              <w:rPr>
                <w:b/>
                <w:bCs/>
              </w:rPr>
              <w:t>Spikevax Bivalent Original/Omicron BA.4-5 COVID-19 vaccine</w:t>
            </w:r>
          </w:p>
          <w:p w14:paraId="1F37A6DB" w14:textId="77777777" w:rsidR="009700F9" w:rsidRPr="003C742E" w:rsidRDefault="009700F9" w:rsidP="009700F9">
            <w:pPr>
              <w:pStyle w:val="TableText"/>
            </w:pPr>
            <w:r w:rsidRPr="003C742E">
              <w:t>Active ingredients: elasomeran and davesomeran</w:t>
            </w:r>
          </w:p>
          <w:p w14:paraId="3E33B30E" w14:textId="68FB0481" w:rsidR="009700F9" w:rsidRPr="003C742E" w:rsidRDefault="009700F9" w:rsidP="009700F9">
            <w:pPr>
              <w:pStyle w:val="TableText"/>
            </w:pPr>
            <w:r w:rsidRPr="003C742E">
              <w:t>Sponsor: Moderna Australia Pty Ltd</w:t>
            </w:r>
          </w:p>
        </w:tc>
      </w:tr>
      <w:tr w:rsidR="009700F9" w:rsidRPr="003C742E" w14:paraId="5A17F851" w14:textId="77777777" w:rsidTr="00F755B0">
        <w:tc>
          <w:tcPr>
            <w:tcW w:w="2330" w:type="dxa"/>
          </w:tcPr>
          <w:p w14:paraId="782AB3EC" w14:textId="77777777" w:rsidR="009700F9" w:rsidRPr="003C742E" w:rsidRDefault="009700F9" w:rsidP="009700F9">
            <w:pPr>
              <w:pStyle w:val="TableText"/>
            </w:pPr>
            <w:r w:rsidRPr="003C742E">
              <w:t>20 February 2023</w:t>
            </w:r>
          </w:p>
          <w:p w14:paraId="238E219E" w14:textId="19456CA8" w:rsidR="009700F9" w:rsidRPr="003C742E" w:rsidRDefault="009700F9" w:rsidP="009700F9">
            <w:pPr>
              <w:pStyle w:val="TableText"/>
            </w:pPr>
            <w:r w:rsidRPr="003C742E">
              <w:t>(initial registration)</w:t>
            </w:r>
          </w:p>
        </w:tc>
        <w:tc>
          <w:tcPr>
            <w:tcW w:w="6390" w:type="dxa"/>
          </w:tcPr>
          <w:p w14:paraId="4DB004BE" w14:textId="1817F0E3" w:rsidR="009700F9" w:rsidRPr="003C742E" w:rsidRDefault="009700F9" w:rsidP="009700F9">
            <w:pPr>
              <w:pStyle w:val="TableText"/>
            </w:pPr>
            <w:r w:rsidRPr="003C742E">
              <w:t>Booster dose: for individuals aged 12 years and over (</w:t>
            </w:r>
            <w:hyperlink r:id="rId44" w:history="1">
              <w:r w:rsidRPr="003C742E">
                <w:rPr>
                  <w:rStyle w:val="Hyperlink"/>
                </w:rPr>
                <w:t>AusPAR</w:t>
              </w:r>
            </w:hyperlink>
            <w:r w:rsidRPr="003C742E">
              <w:t>)</w:t>
            </w:r>
          </w:p>
          <w:p w14:paraId="664B0862" w14:textId="5E742743" w:rsidR="009700F9" w:rsidRPr="003C742E" w:rsidRDefault="009700F9" w:rsidP="009700F9">
            <w:pPr>
              <w:pStyle w:val="TableText"/>
            </w:pPr>
            <w:r w:rsidRPr="003C742E">
              <w:t>New product: 0.1 mg/mL suspension for injection. Each 0.5 mL dose contains 25 µg of elasomeran and 25 µg of davesomeran</w:t>
            </w:r>
          </w:p>
          <w:p w14:paraId="1EAC7BD9" w14:textId="504EBB6D" w:rsidR="009700F9" w:rsidRPr="003C742E" w:rsidRDefault="009700F9" w:rsidP="009700F9">
            <w:pPr>
              <w:pStyle w:val="TableText"/>
            </w:pPr>
            <w:r w:rsidRPr="003C742E">
              <w:t>ARTG number: 399552</w:t>
            </w:r>
          </w:p>
        </w:tc>
      </w:tr>
      <w:tr w:rsidR="009700F9" w:rsidRPr="003C742E" w14:paraId="623943F3" w14:textId="77777777" w:rsidTr="00F755B0">
        <w:tc>
          <w:tcPr>
            <w:tcW w:w="8720" w:type="dxa"/>
            <w:gridSpan w:val="2"/>
          </w:tcPr>
          <w:p w14:paraId="1CA33DCB" w14:textId="77777777" w:rsidR="009700F9" w:rsidRPr="003C742E" w:rsidRDefault="009700F9" w:rsidP="009700F9">
            <w:pPr>
              <w:pStyle w:val="TableText"/>
              <w:rPr>
                <w:b/>
                <w:bCs/>
              </w:rPr>
            </w:pPr>
            <w:r w:rsidRPr="003C742E">
              <w:rPr>
                <w:b/>
                <w:bCs/>
              </w:rPr>
              <w:t>Comirnaty Original/Omicron BA.1 COVID-19 vaccine</w:t>
            </w:r>
          </w:p>
          <w:p w14:paraId="3D865A81" w14:textId="77777777" w:rsidR="009700F9" w:rsidRPr="003C742E" w:rsidRDefault="009700F9" w:rsidP="009700F9">
            <w:pPr>
              <w:pStyle w:val="TableText"/>
            </w:pPr>
            <w:r w:rsidRPr="003C742E">
              <w:t>Active ingredients: tozinameran and riltozinameran (mRNA)</w:t>
            </w:r>
          </w:p>
          <w:p w14:paraId="664AE4D2" w14:textId="77777777" w:rsidR="009700F9" w:rsidRPr="003C742E" w:rsidRDefault="009700F9" w:rsidP="009700F9">
            <w:pPr>
              <w:pStyle w:val="TableText"/>
            </w:pPr>
            <w:r w:rsidRPr="003C742E">
              <w:t>Sponsor: Pfizer Australia Pty Ltd</w:t>
            </w:r>
          </w:p>
        </w:tc>
      </w:tr>
      <w:tr w:rsidR="009700F9" w:rsidRPr="003C742E" w14:paraId="0A028B81" w14:textId="77777777" w:rsidTr="00F755B0">
        <w:tc>
          <w:tcPr>
            <w:tcW w:w="2330" w:type="dxa"/>
          </w:tcPr>
          <w:p w14:paraId="1D3387CF" w14:textId="77777777" w:rsidR="009700F9" w:rsidRPr="003C742E" w:rsidRDefault="009700F9" w:rsidP="009700F9">
            <w:pPr>
              <w:pStyle w:val="TableText"/>
            </w:pPr>
            <w:r w:rsidRPr="003C742E">
              <w:t>28 October 2022</w:t>
            </w:r>
          </w:p>
          <w:p w14:paraId="49F09E30" w14:textId="5CEDD5CE" w:rsidR="00E552E4" w:rsidRPr="003C742E" w:rsidRDefault="00E552E4" w:rsidP="009700F9">
            <w:pPr>
              <w:pStyle w:val="TableText"/>
            </w:pPr>
            <w:r w:rsidRPr="003C742E">
              <w:t>(initial registration)</w:t>
            </w:r>
          </w:p>
        </w:tc>
        <w:tc>
          <w:tcPr>
            <w:tcW w:w="6390" w:type="dxa"/>
          </w:tcPr>
          <w:p w14:paraId="2EF17A45" w14:textId="6980EF48" w:rsidR="009700F9" w:rsidRPr="003C742E" w:rsidRDefault="009700F9" w:rsidP="009700F9">
            <w:pPr>
              <w:pStyle w:val="TableText"/>
            </w:pPr>
            <w:r w:rsidRPr="003C742E">
              <w:t>Booster dose for individuals aged 18 years and over (</w:t>
            </w:r>
            <w:hyperlink r:id="rId45" w:history="1">
              <w:r w:rsidRPr="003C742E">
                <w:rPr>
                  <w:rStyle w:val="Hyperlink"/>
                </w:rPr>
                <w:t>AusPAR</w:t>
              </w:r>
            </w:hyperlink>
            <w:r w:rsidRPr="003C742E">
              <w:t>)</w:t>
            </w:r>
          </w:p>
          <w:p w14:paraId="66C1096A" w14:textId="77777777" w:rsidR="00E552E4" w:rsidRPr="003C742E" w:rsidRDefault="009700F9" w:rsidP="009700F9">
            <w:pPr>
              <w:pStyle w:val="TableText"/>
            </w:pPr>
            <w:r w:rsidRPr="003C742E">
              <w:t>New Product: 30 µg/0.3 mL suspension for injection. Each 0.3 mL dose contains 15 µg of tozinameran and 15 µg of riltozinameran</w:t>
            </w:r>
          </w:p>
          <w:p w14:paraId="00EC72F3" w14:textId="687189D1" w:rsidR="009700F9" w:rsidRPr="003C742E" w:rsidRDefault="009700F9" w:rsidP="009700F9">
            <w:pPr>
              <w:pStyle w:val="TableText"/>
            </w:pPr>
            <w:r w:rsidRPr="003C742E">
              <w:t>ARTG number: 394890</w:t>
            </w:r>
          </w:p>
        </w:tc>
      </w:tr>
      <w:tr w:rsidR="009700F9" w:rsidRPr="003C742E" w14:paraId="2C4658EF" w14:textId="77777777" w:rsidTr="00F755B0">
        <w:tc>
          <w:tcPr>
            <w:tcW w:w="8720" w:type="dxa"/>
            <w:gridSpan w:val="2"/>
          </w:tcPr>
          <w:p w14:paraId="1EAE8253" w14:textId="77777777" w:rsidR="009700F9" w:rsidRPr="003C742E" w:rsidRDefault="009700F9" w:rsidP="009700F9">
            <w:pPr>
              <w:pStyle w:val="TableText"/>
              <w:rPr>
                <w:b/>
                <w:bCs/>
              </w:rPr>
            </w:pPr>
            <w:r w:rsidRPr="003C742E">
              <w:rPr>
                <w:b/>
                <w:bCs/>
              </w:rPr>
              <w:t>Comirnaty Original/Omicron BA.4-5 COVID-19 vaccine</w:t>
            </w:r>
          </w:p>
          <w:p w14:paraId="27CA5A72" w14:textId="77777777" w:rsidR="009700F9" w:rsidRPr="003C742E" w:rsidRDefault="009700F9" w:rsidP="009700F9">
            <w:pPr>
              <w:pStyle w:val="TableText"/>
            </w:pPr>
            <w:r w:rsidRPr="003C742E">
              <w:t>Active ingredients: tozinameran and famtozinameran (mRNA)</w:t>
            </w:r>
          </w:p>
          <w:p w14:paraId="18FC90A9" w14:textId="77777777" w:rsidR="009700F9" w:rsidRPr="003C742E" w:rsidRDefault="009700F9" w:rsidP="009700F9">
            <w:pPr>
              <w:pStyle w:val="TableText"/>
            </w:pPr>
            <w:r w:rsidRPr="003C742E">
              <w:t>Sponsor: Pfizer Australia Pty Ltd</w:t>
            </w:r>
          </w:p>
        </w:tc>
      </w:tr>
      <w:tr w:rsidR="009700F9" w:rsidRPr="003C742E" w14:paraId="7C5C1667" w14:textId="77777777" w:rsidTr="00F755B0">
        <w:tc>
          <w:tcPr>
            <w:tcW w:w="2330" w:type="dxa"/>
          </w:tcPr>
          <w:p w14:paraId="739D023E" w14:textId="77777777" w:rsidR="009700F9" w:rsidRPr="003C742E" w:rsidRDefault="009700F9" w:rsidP="009700F9">
            <w:pPr>
              <w:pStyle w:val="TableText"/>
            </w:pPr>
            <w:r w:rsidRPr="003C742E">
              <w:t>20 January 2023</w:t>
            </w:r>
          </w:p>
          <w:p w14:paraId="21CE8721" w14:textId="696C070C" w:rsidR="00E552E4" w:rsidRPr="003C742E" w:rsidRDefault="00E552E4" w:rsidP="009700F9">
            <w:pPr>
              <w:pStyle w:val="TableText"/>
            </w:pPr>
            <w:r w:rsidRPr="003C742E">
              <w:t>(initial registration)</w:t>
            </w:r>
          </w:p>
        </w:tc>
        <w:tc>
          <w:tcPr>
            <w:tcW w:w="6390" w:type="dxa"/>
          </w:tcPr>
          <w:p w14:paraId="0B22C4F6" w14:textId="12688D8D" w:rsidR="009700F9" w:rsidRPr="003C742E" w:rsidRDefault="009700F9" w:rsidP="009700F9">
            <w:pPr>
              <w:pStyle w:val="TableText"/>
            </w:pPr>
            <w:r w:rsidRPr="003C742E">
              <w:t>Booster dose: for individuals aged 12 years and over (</w:t>
            </w:r>
            <w:hyperlink r:id="rId46" w:history="1">
              <w:r w:rsidRPr="003C742E">
                <w:rPr>
                  <w:rStyle w:val="Hyperlink"/>
                </w:rPr>
                <w:t>AusPAR</w:t>
              </w:r>
            </w:hyperlink>
            <w:r w:rsidRPr="003C742E">
              <w:t>)</w:t>
            </w:r>
          </w:p>
          <w:p w14:paraId="03EC831E" w14:textId="77777777" w:rsidR="00E552E4" w:rsidRPr="003C742E" w:rsidRDefault="009700F9" w:rsidP="009700F9">
            <w:pPr>
              <w:pStyle w:val="TableText"/>
            </w:pPr>
            <w:r w:rsidRPr="003C742E">
              <w:t>New Product: 30 µg/0.3 mL suspension for injection. Each 0.3 mL dose contains 15 µg of tozinameran and 15 µg of famtozinameran</w:t>
            </w:r>
          </w:p>
          <w:p w14:paraId="4FEAC388" w14:textId="72AA2223" w:rsidR="009700F9" w:rsidRPr="003C742E" w:rsidRDefault="009700F9" w:rsidP="009700F9">
            <w:pPr>
              <w:pStyle w:val="TableText"/>
            </w:pPr>
            <w:r w:rsidRPr="003C742E">
              <w:t>ARTG number: 400874</w:t>
            </w:r>
          </w:p>
        </w:tc>
      </w:tr>
    </w:tbl>
    <w:p w14:paraId="5DA4792C" w14:textId="1DB4692A" w:rsidR="001872C7" w:rsidRPr="003C742E" w:rsidRDefault="001872C7" w:rsidP="003C742E">
      <w:pPr>
        <w:pStyle w:val="TableDescription"/>
      </w:pPr>
      <w:r w:rsidRPr="003C742E">
        <w:t>Abbreviations: AusPAR = Australian Public Assessment Report; ARTG = Australian Register of Therapeutic Goods; COVID-19 = coronavirus disease 2019; mRNA = messenger ribonucleic acid; TGA = Therapeutic Goods Administration.</w:t>
      </w:r>
    </w:p>
    <w:p w14:paraId="0D460B77" w14:textId="4FD5903A" w:rsidR="00A93647" w:rsidRDefault="00A93647" w:rsidP="003154A3">
      <w:pPr>
        <w:pStyle w:val="Heading4"/>
      </w:pPr>
      <w:bookmarkStart w:id="37" w:name="_Toc134622041"/>
      <w:r>
        <w:t>Spikevax COVID-19 vaccine (elasomeran)</w:t>
      </w:r>
      <w:bookmarkEnd w:id="37"/>
    </w:p>
    <w:p w14:paraId="68EBCF85" w14:textId="7076812A" w:rsidR="000116E8" w:rsidRPr="003C742E" w:rsidRDefault="005E435C" w:rsidP="000116E8">
      <w:pPr>
        <w:pStyle w:val="CommentText"/>
      </w:pPr>
      <w:r w:rsidRPr="003C742E">
        <w:t xml:space="preserve">Spikevax (elasomeran) </w:t>
      </w:r>
      <w:r w:rsidR="000116E8" w:rsidRPr="003C742E">
        <w:t>is comprised of synthetic mRNA encoding the full</w:t>
      </w:r>
      <w:r w:rsidR="000116E8" w:rsidRPr="003C742E">
        <w:noBreakHyphen/>
        <w:t xml:space="preserve">length SARS-CoV-2 </w:t>
      </w:r>
      <w:r w:rsidR="00B2387D" w:rsidRPr="00B2387D">
        <w:t>spike</w:t>
      </w:r>
      <w:r w:rsidR="00B2387D">
        <w:t xml:space="preserve"> </w:t>
      </w:r>
      <w:r w:rsidR="000116E8" w:rsidRPr="003C742E">
        <w:t xml:space="preserve">protein modified with two proline substitutions. The mRNA is encapsulated in lipid nanoparticles, which facilitates the synthetic mRNA to enter host cells. </w:t>
      </w:r>
      <w:r w:rsidRPr="003C742E">
        <w:t xml:space="preserve">Once the vaccine is injected, cells </w:t>
      </w:r>
      <w:r w:rsidR="000116E8" w:rsidRPr="003C742E">
        <w:t xml:space="preserve">can </w:t>
      </w:r>
      <w:r w:rsidRPr="003C742E">
        <w:t>take up the lipid nanoparticle containing the mRNA</w:t>
      </w:r>
      <w:r w:rsidR="000116E8" w:rsidRPr="003C742E">
        <w:t xml:space="preserve">, express it </w:t>
      </w:r>
      <w:r w:rsidRPr="003C742E">
        <w:t>into a protein chain that resembles the vir</w:t>
      </w:r>
      <w:r w:rsidR="008D7C69" w:rsidRPr="003C742E">
        <w:t>al</w:t>
      </w:r>
      <w:r w:rsidRPr="003C742E">
        <w:t xml:space="preserve"> spike protein</w:t>
      </w:r>
      <w:r w:rsidR="000116E8" w:rsidRPr="003C742E">
        <w:t xml:space="preserve"> and present the viral antigen onto the cell surface</w:t>
      </w:r>
      <w:r w:rsidRPr="003C742E">
        <w:t xml:space="preserve">. This elicits host’s antibody and </w:t>
      </w:r>
      <w:r w:rsidR="008D7C69" w:rsidRPr="003C742E">
        <w:t xml:space="preserve">triggers </w:t>
      </w:r>
      <w:r w:rsidRPr="003C742E">
        <w:t>cellular immune responses, which may contribute to protection against COVID-19</w:t>
      </w:r>
      <w:r w:rsidR="000116E8" w:rsidRPr="003C742E">
        <w:t xml:space="preserve"> caused by SARS-CoV-2</w:t>
      </w:r>
      <w:r w:rsidRPr="003C742E">
        <w:t>.</w:t>
      </w:r>
    </w:p>
    <w:p w14:paraId="0D615854" w14:textId="77777777" w:rsidR="00324B33" w:rsidRPr="003C742E" w:rsidRDefault="00324B33" w:rsidP="00324B33">
      <w:pPr>
        <w:pStyle w:val="Heading3"/>
      </w:pPr>
      <w:bookmarkStart w:id="38" w:name="_Toc103679291"/>
      <w:bookmarkStart w:id="39" w:name="_Toc134622042"/>
      <w:r w:rsidRPr="003C742E">
        <w:t>Regulatory status</w:t>
      </w:r>
      <w:bookmarkEnd w:id="31"/>
      <w:bookmarkEnd w:id="32"/>
      <w:bookmarkEnd w:id="38"/>
      <w:bookmarkEnd w:id="39"/>
    </w:p>
    <w:p w14:paraId="2555A999" w14:textId="041E15A8" w:rsidR="002E56E7" w:rsidRDefault="00AD2F31" w:rsidP="00AD2F31">
      <w:r w:rsidRPr="003C742E">
        <w:t xml:space="preserve">The initial provisional registration of </w:t>
      </w:r>
      <w:r w:rsidR="009700F9" w:rsidRPr="003C742E">
        <w:t>Spikevax</w:t>
      </w:r>
      <w:r w:rsidRPr="003C742E">
        <w:t xml:space="preserve"> was approved by the TGA for use as a primary series in individuals aged 18 years and older on 9 August 2021</w:t>
      </w:r>
      <w:r w:rsidR="002E56E7">
        <w:t>. Use as a primary series was later expanded to</w:t>
      </w:r>
      <w:r w:rsidRPr="003C742E">
        <w:t xml:space="preserve"> </w:t>
      </w:r>
      <w:r w:rsidR="002E56E7">
        <w:t xml:space="preserve">include </w:t>
      </w:r>
      <w:r w:rsidRPr="003C742E">
        <w:t>individuals aged 12 years and older on 3 September 2021</w:t>
      </w:r>
      <w:r w:rsidR="002E56E7">
        <w:t>. U</w:t>
      </w:r>
      <w:r w:rsidR="002E56E7" w:rsidRPr="003C742E">
        <w:t xml:space="preserve">se as a primary series </w:t>
      </w:r>
      <w:r w:rsidR="002E56E7">
        <w:t xml:space="preserve">was further expanded to include </w:t>
      </w:r>
      <w:r w:rsidR="002E56E7" w:rsidRPr="003C742E">
        <w:t>individuals aged 6 years and older on 17 February 2022</w:t>
      </w:r>
      <w:r w:rsidR="002E56E7">
        <w:t xml:space="preserve">, and then to include </w:t>
      </w:r>
      <w:r w:rsidR="002E56E7" w:rsidRPr="003C742E">
        <w:t>individuals aged 6 months and older on 19 July 2022</w:t>
      </w:r>
      <w:r w:rsidR="002E56E7">
        <w:t>.</w:t>
      </w:r>
    </w:p>
    <w:p w14:paraId="41AA450A" w14:textId="30624B02" w:rsidR="002E56E7" w:rsidRDefault="002E56E7" w:rsidP="002E56E7">
      <w:r>
        <w:t>The use of Spikevax as</w:t>
      </w:r>
      <w:r w:rsidR="00AD2F31" w:rsidRPr="003C742E">
        <w:t xml:space="preserve"> a booster dose for individuals 18 years of age and older, and </w:t>
      </w:r>
      <w:r>
        <w:t xml:space="preserve">use of </w:t>
      </w:r>
      <w:r w:rsidR="00AD2F31" w:rsidRPr="003C742E">
        <w:t xml:space="preserve">a third dose for immunocompromised patients </w:t>
      </w:r>
      <w:r>
        <w:t>was approved on</w:t>
      </w:r>
      <w:r w:rsidRPr="003C742E">
        <w:t xml:space="preserve"> </w:t>
      </w:r>
      <w:r w:rsidR="00AD2F31" w:rsidRPr="003C742E">
        <w:t>7</w:t>
      </w:r>
      <w:r w:rsidR="009700F9" w:rsidRPr="003C742E">
        <w:t> </w:t>
      </w:r>
      <w:r w:rsidR="00AD2F31" w:rsidRPr="003C742E">
        <w:t>December 2021</w:t>
      </w:r>
      <w:r>
        <w:t xml:space="preserve">. This was later expanded </w:t>
      </w:r>
      <w:r w:rsidRPr="003C742E">
        <w:t xml:space="preserve">to </w:t>
      </w:r>
      <w:r>
        <w:t>allow for</w:t>
      </w:r>
      <w:r w:rsidRPr="003C742E">
        <w:t xml:space="preserve"> booster dose</w:t>
      </w:r>
      <w:r>
        <w:t>s in</w:t>
      </w:r>
      <w:r w:rsidRPr="003C742E">
        <w:t xml:space="preserve"> individuals 12 years of age and older on 19</w:t>
      </w:r>
      <w:r>
        <w:t> October </w:t>
      </w:r>
      <w:r w:rsidRPr="003C742E">
        <w:t>2022.</w:t>
      </w:r>
    </w:p>
    <w:p w14:paraId="4B9FBF2D" w14:textId="1696C5A4" w:rsidR="00A93647" w:rsidRPr="003C742E" w:rsidRDefault="00A93647" w:rsidP="00AD2F31">
      <w:r>
        <w:lastRenderedPageBreak/>
        <w:fldChar w:fldCharType="begin"/>
      </w:r>
      <w:r>
        <w:instrText xml:space="preserve"> REF _Ref118212276 \h </w:instrText>
      </w:r>
      <w:r>
        <w:fldChar w:fldCharType="separate"/>
      </w:r>
      <w:r w:rsidR="0005046B" w:rsidRPr="007D0354">
        <w:t xml:space="preserve">Table </w:t>
      </w:r>
      <w:r w:rsidR="0005046B">
        <w:rPr>
          <w:noProof/>
        </w:rPr>
        <w:t>1</w:t>
      </w:r>
      <w:r>
        <w:fldChar w:fldCharType="end"/>
      </w:r>
      <w:r>
        <w:t xml:space="preserve"> (shown above) outlines the registration history of Spikevax along with links to AusPARs detailing the evaluation and approval process for each major submission.</w:t>
      </w:r>
    </w:p>
    <w:p w14:paraId="1BCD693F" w14:textId="3128F32E" w:rsidR="00AD2F31" w:rsidRPr="003C742E" w:rsidRDefault="00AD2F31" w:rsidP="00AD2F31">
      <w:r w:rsidRPr="003C742E">
        <w:t>This submission is for the transition from provisional registration to full registration of the Spikevax products listed above.</w:t>
      </w:r>
      <w:r w:rsidR="00A93647">
        <w:t xml:space="preserve"> Further information on the </w:t>
      </w:r>
      <w:hyperlink r:id="rId47" w:history="1">
        <w:r w:rsidR="00A93647" w:rsidRPr="00A93647">
          <w:rPr>
            <w:rStyle w:val="Hyperlink"/>
          </w:rPr>
          <w:t>COVID-19 vaccine approval process</w:t>
        </w:r>
      </w:hyperlink>
      <w:r w:rsidR="00A93647">
        <w:t xml:space="preserve"> can be found on the TGA website.</w:t>
      </w:r>
    </w:p>
    <w:p w14:paraId="0AD13AC2" w14:textId="54A2AB24" w:rsidR="00424CAC" w:rsidRPr="003C742E" w:rsidRDefault="00324B33" w:rsidP="00424CAC">
      <w:r w:rsidRPr="003C742E">
        <w:t xml:space="preserve">At the time the TGA considered this submission, </w:t>
      </w:r>
      <w:r w:rsidR="00424CAC" w:rsidRPr="003C742E">
        <w:t>full authorisation of Spikevax</w:t>
      </w:r>
      <w:r w:rsidRPr="003C742E">
        <w:t xml:space="preserve"> had been approved in </w:t>
      </w:r>
      <w:r w:rsidR="00424CAC" w:rsidRPr="003C742E">
        <w:t>the United States of America on 31 January 2022 for</w:t>
      </w:r>
      <w:r w:rsidR="00576E31">
        <w:t xml:space="preserve"> use in</w:t>
      </w:r>
      <w:r w:rsidR="00424CAC" w:rsidRPr="003C742E">
        <w:t xml:space="preserve"> individuals </w:t>
      </w:r>
      <w:r w:rsidR="00576E31">
        <w:t xml:space="preserve">aged </w:t>
      </w:r>
      <w:r w:rsidR="00424CAC" w:rsidRPr="003C742E">
        <w:t>18</w:t>
      </w:r>
      <w:r w:rsidR="00576E31">
        <w:t> </w:t>
      </w:r>
      <w:r w:rsidR="00424CAC" w:rsidRPr="003C742E">
        <w:t>years and older</w:t>
      </w:r>
      <w:r w:rsidR="00576E31">
        <w:t>. Full authorisation was</w:t>
      </w:r>
      <w:r w:rsidR="00424CAC" w:rsidRPr="003C742E">
        <w:t xml:space="preserve"> approved in the European Union on 15</w:t>
      </w:r>
      <w:r w:rsidR="00576E31">
        <w:t> </w:t>
      </w:r>
      <w:r w:rsidR="00424CAC" w:rsidRPr="003C742E">
        <w:t>September</w:t>
      </w:r>
      <w:r w:rsidR="00576E31">
        <w:t> </w:t>
      </w:r>
      <w:r w:rsidR="00424CAC" w:rsidRPr="003C742E">
        <w:t>2022 for individuals 6 years and older</w:t>
      </w:r>
      <w:r w:rsidR="00576E31">
        <w:t>,</w:t>
      </w:r>
      <w:r w:rsidR="00424CAC" w:rsidRPr="003C742E">
        <w:t xml:space="preserve"> and on 20 October 2022 for individuals </w:t>
      </w:r>
      <w:r w:rsidR="00576E31">
        <w:t xml:space="preserve">from </w:t>
      </w:r>
      <w:r w:rsidR="00424CAC" w:rsidRPr="003C742E">
        <w:t>6 months to less than 6</w:t>
      </w:r>
      <w:r w:rsidR="00576E31">
        <w:t> </w:t>
      </w:r>
      <w:r w:rsidR="00424CAC" w:rsidRPr="003C742E">
        <w:t>years</w:t>
      </w:r>
      <w:r w:rsidR="00576E31">
        <w:t xml:space="preserve"> of age. I</w:t>
      </w:r>
      <w:r w:rsidR="00424CAC" w:rsidRPr="003C742E">
        <w:t>n Canada</w:t>
      </w:r>
      <w:r w:rsidR="00576E31">
        <w:t>, full authorisation was granted</w:t>
      </w:r>
      <w:r w:rsidR="00424CAC" w:rsidRPr="003C742E">
        <w:t xml:space="preserve"> on 16</w:t>
      </w:r>
      <w:r w:rsidR="00576E31">
        <w:t> </w:t>
      </w:r>
      <w:r w:rsidR="00424CAC" w:rsidRPr="003C742E">
        <w:t>September</w:t>
      </w:r>
      <w:r w:rsidR="00576E31">
        <w:t> </w:t>
      </w:r>
      <w:r w:rsidR="00424CAC" w:rsidRPr="003C742E">
        <w:t xml:space="preserve">2021 for individuals </w:t>
      </w:r>
      <w:r w:rsidR="00576E31">
        <w:t xml:space="preserve">aged </w:t>
      </w:r>
      <w:r w:rsidR="00424CAC" w:rsidRPr="003C742E">
        <w:t>12</w:t>
      </w:r>
      <w:r w:rsidR="00576E31">
        <w:t> </w:t>
      </w:r>
      <w:r w:rsidR="00424CAC" w:rsidRPr="003C742E">
        <w:t>years and older</w:t>
      </w:r>
      <w:r w:rsidR="00576E31">
        <w:t xml:space="preserve">; </w:t>
      </w:r>
      <w:r w:rsidR="00424CAC" w:rsidRPr="003C742E">
        <w:t xml:space="preserve">17 March 2022 for individuals </w:t>
      </w:r>
      <w:r w:rsidR="00576E31">
        <w:t xml:space="preserve">aged from </w:t>
      </w:r>
      <w:r w:rsidR="00424CAC" w:rsidRPr="003C742E">
        <w:t>6 years to less than 12 years</w:t>
      </w:r>
      <w:r w:rsidR="00576E31">
        <w:t xml:space="preserve"> of age</w:t>
      </w:r>
      <w:r w:rsidR="00424CAC" w:rsidRPr="003C742E">
        <w:t>,</w:t>
      </w:r>
      <w:r w:rsidR="00576E31">
        <w:t xml:space="preserve"> and on</w:t>
      </w:r>
      <w:r w:rsidR="00424CAC" w:rsidRPr="003C742E">
        <w:t xml:space="preserve"> 14</w:t>
      </w:r>
      <w:r w:rsidR="00576E31">
        <w:t> </w:t>
      </w:r>
      <w:r w:rsidR="00424CAC" w:rsidRPr="003C742E">
        <w:t>July</w:t>
      </w:r>
      <w:r w:rsidR="00576E31">
        <w:t> </w:t>
      </w:r>
      <w:r w:rsidR="00424CAC" w:rsidRPr="003C742E">
        <w:t xml:space="preserve">2022 for individuals </w:t>
      </w:r>
      <w:r w:rsidR="00576E31">
        <w:t xml:space="preserve">aged from </w:t>
      </w:r>
      <w:r w:rsidR="00424CAC" w:rsidRPr="003C742E">
        <w:t>6 months to less than 6</w:t>
      </w:r>
      <w:r w:rsidR="00576E31">
        <w:t> </w:t>
      </w:r>
      <w:r w:rsidR="00424CAC" w:rsidRPr="003C742E">
        <w:t>years</w:t>
      </w:r>
      <w:r w:rsidR="00576E31">
        <w:t xml:space="preserve"> of age</w:t>
      </w:r>
      <w:r w:rsidR="00424CAC" w:rsidRPr="003C742E">
        <w:t>.</w:t>
      </w:r>
    </w:p>
    <w:p w14:paraId="064CCADF" w14:textId="33C6EFFB" w:rsidR="00324B33" w:rsidRPr="003C742E" w:rsidRDefault="00324B33" w:rsidP="00324B33">
      <w:pPr>
        <w:pStyle w:val="Heading3"/>
      </w:pPr>
      <w:bookmarkStart w:id="40" w:name="_Toc103679292"/>
      <w:bookmarkStart w:id="41" w:name="_Toc134622043"/>
      <w:r w:rsidRPr="003C742E">
        <w:t>Product Information</w:t>
      </w:r>
      <w:bookmarkEnd w:id="40"/>
      <w:bookmarkEnd w:id="41"/>
    </w:p>
    <w:p w14:paraId="4B0F7D57" w14:textId="69CADFDA" w:rsidR="00324B33" w:rsidRPr="003C742E" w:rsidRDefault="00324B33" w:rsidP="00324B33">
      <w:pPr>
        <w:rPr>
          <w:szCs w:val="22"/>
        </w:rPr>
      </w:pPr>
      <w:bookmarkStart w:id="42" w:name="_Toc504480011"/>
      <w:r w:rsidRPr="003C742E">
        <w:rPr>
          <w:szCs w:val="22"/>
        </w:rPr>
        <w:t xml:space="preserve">The </w:t>
      </w:r>
      <w:hyperlink r:id="rId48" w:history="1">
        <w:r w:rsidRPr="003C742E">
          <w:rPr>
            <w:rStyle w:val="Hyperlink"/>
            <w:szCs w:val="22"/>
          </w:rPr>
          <w:t>Product Information</w:t>
        </w:r>
      </w:hyperlink>
      <w:r w:rsidRPr="003C742E">
        <w:rPr>
          <w:szCs w:val="22"/>
        </w:rPr>
        <w:t xml:space="preserve"> (</w:t>
      </w:r>
      <w:hyperlink r:id="rId49" w:history="1">
        <w:r w:rsidRPr="003C742E">
          <w:rPr>
            <w:rStyle w:val="Hyperlink"/>
            <w:szCs w:val="22"/>
          </w:rPr>
          <w:t>PI</w:t>
        </w:r>
      </w:hyperlink>
      <w:r w:rsidRPr="003C742E">
        <w:rPr>
          <w:szCs w:val="22"/>
        </w:rPr>
        <w:t>) approved with the submission which is described in this AusPAR can be found as Attachment 1. For the most recent PI</w:t>
      </w:r>
      <w:r w:rsidR="00A93DC6" w:rsidRPr="003C742E">
        <w:rPr>
          <w:szCs w:val="22"/>
        </w:rPr>
        <w:t xml:space="preserve"> and </w:t>
      </w:r>
      <w:hyperlink r:id="rId50" w:history="1">
        <w:r w:rsidR="00A93DC6" w:rsidRPr="003C742E">
          <w:rPr>
            <w:rStyle w:val="Hyperlink"/>
            <w:szCs w:val="22"/>
          </w:rPr>
          <w:t>Consumer Medicines Information</w:t>
        </w:r>
      </w:hyperlink>
      <w:r w:rsidR="00A93DC6" w:rsidRPr="003C742E">
        <w:rPr>
          <w:szCs w:val="22"/>
        </w:rPr>
        <w:t xml:space="preserve"> (CMI)</w:t>
      </w:r>
      <w:r w:rsidRPr="003C742E">
        <w:rPr>
          <w:szCs w:val="22"/>
        </w:rPr>
        <w:t xml:space="preserve">, please refer to the TGA </w:t>
      </w:r>
      <w:hyperlink r:id="rId51" w:history="1">
        <w:r w:rsidRPr="003C742E">
          <w:rPr>
            <w:rStyle w:val="Hyperlink"/>
            <w:szCs w:val="22"/>
          </w:rPr>
          <w:t>PI/CMI search facility.</w:t>
        </w:r>
      </w:hyperlink>
    </w:p>
    <w:p w14:paraId="6D92589C" w14:textId="77777777" w:rsidR="00324B33" w:rsidRPr="003C742E" w:rsidRDefault="00324B33" w:rsidP="00324B33">
      <w:pPr>
        <w:pStyle w:val="Heading2"/>
      </w:pPr>
      <w:bookmarkStart w:id="43" w:name="_Toc103679293"/>
      <w:bookmarkStart w:id="44" w:name="_Toc134622044"/>
      <w:r w:rsidRPr="003C742E">
        <w:t>Registration timeline</w:t>
      </w:r>
      <w:bookmarkEnd w:id="42"/>
      <w:bookmarkEnd w:id="43"/>
      <w:bookmarkEnd w:id="44"/>
    </w:p>
    <w:p w14:paraId="225E3D87" w14:textId="1F3070CE" w:rsidR="00324B33" w:rsidRPr="003C742E" w:rsidRDefault="00324B33" w:rsidP="00324B33">
      <w:pPr>
        <w:rPr>
          <w:szCs w:val="22"/>
        </w:rPr>
      </w:pPr>
      <w:r w:rsidRPr="003C742E">
        <w:rPr>
          <w:szCs w:val="22"/>
        </w:rPr>
        <w:t>The following table captures the key steps and dates for this submission.</w:t>
      </w:r>
    </w:p>
    <w:p w14:paraId="06850328" w14:textId="26FA9DD7" w:rsidR="00C22214" w:rsidRPr="003C742E" w:rsidRDefault="00C22214" w:rsidP="00C22214">
      <w:pPr>
        <w:rPr>
          <w:szCs w:val="22"/>
        </w:rPr>
      </w:pPr>
      <w:r w:rsidRPr="003C742E">
        <w:rPr>
          <w:szCs w:val="22"/>
        </w:rPr>
        <w:t>Data were provided as a rolling submission. Under normal circumstances, TGA's assessment (for both provisional and general registration) begins once all information to support registration is available. As part of the Department of Health and Aged Care's response to the pandemic, the TGA has agreed to accept rolling data for COVID-19 vaccines and treatments, to enable early evaluation of data as it becomes available.</w:t>
      </w:r>
      <w:r w:rsidR="00576E31">
        <w:rPr>
          <w:szCs w:val="22"/>
        </w:rPr>
        <w:t xml:space="preserve"> </w:t>
      </w:r>
      <w:r w:rsidR="00576E31">
        <w:t xml:space="preserve">Further information on the </w:t>
      </w:r>
      <w:hyperlink r:id="rId52" w:history="1">
        <w:r w:rsidR="00576E31" w:rsidRPr="00A93647">
          <w:rPr>
            <w:rStyle w:val="Hyperlink"/>
          </w:rPr>
          <w:t>COVID-19 vaccine approval process</w:t>
        </w:r>
      </w:hyperlink>
      <w:r w:rsidR="00576E31">
        <w:t xml:space="preserve"> can be found on the TGA website.</w:t>
      </w:r>
    </w:p>
    <w:p w14:paraId="6B65B370" w14:textId="260DCD80" w:rsidR="00E952A9" w:rsidRPr="003C742E" w:rsidRDefault="00E952A9" w:rsidP="003C742E">
      <w:pPr>
        <w:pStyle w:val="TableTitle"/>
      </w:pPr>
      <w:r w:rsidRPr="003C742E">
        <w:t xml:space="preserve">Table </w:t>
      </w:r>
      <w:r w:rsidR="009809E2">
        <w:fldChar w:fldCharType="begin"/>
      </w:r>
      <w:r w:rsidR="009809E2">
        <w:instrText xml:space="preserve"> SEQ Table \* ARABIC </w:instrText>
      </w:r>
      <w:r w:rsidR="009809E2">
        <w:fldChar w:fldCharType="separate"/>
      </w:r>
      <w:r w:rsidR="0005046B">
        <w:rPr>
          <w:noProof/>
        </w:rPr>
        <w:t>3</w:t>
      </w:r>
      <w:r w:rsidR="009809E2">
        <w:rPr>
          <w:noProof/>
        </w:rPr>
        <w:fldChar w:fldCharType="end"/>
      </w:r>
      <w:r w:rsidR="003C742E">
        <w:t>:</w:t>
      </w:r>
      <w:r w:rsidR="002D5274" w:rsidRPr="003C742E">
        <w:t xml:space="preserve"> Timeline for Submission PM-2022-05374-1-2</w:t>
      </w:r>
    </w:p>
    <w:tbl>
      <w:tblPr>
        <w:tblStyle w:val="TableTGAblue2023"/>
        <w:tblW w:w="8780" w:type="dxa"/>
        <w:tblLook w:val="04A0" w:firstRow="1" w:lastRow="0" w:firstColumn="1" w:lastColumn="0" w:noHBand="0" w:noVBand="1"/>
      </w:tblPr>
      <w:tblGrid>
        <w:gridCol w:w="4390"/>
        <w:gridCol w:w="4390"/>
      </w:tblGrid>
      <w:tr w:rsidR="00C22214" w:rsidRPr="003C742E" w14:paraId="1E6392AD" w14:textId="77777777" w:rsidTr="00C2221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390" w:type="dxa"/>
          </w:tcPr>
          <w:p w14:paraId="37E60B8C" w14:textId="0D831017" w:rsidR="00C22214" w:rsidRPr="003C742E" w:rsidRDefault="00C22214" w:rsidP="00C22214">
            <w:pPr>
              <w:rPr>
                <w:szCs w:val="22"/>
              </w:rPr>
            </w:pPr>
            <w:r w:rsidRPr="003C742E">
              <w:rPr>
                <w:szCs w:val="22"/>
              </w:rPr>
              <w:t>Description</w:t>
            </w:r>
          </w:p>
        </w:tc>
        <w:tc>
          <w:tcPr>
            <w:tcW w:w="4390" w:type="dxa"/>
          </w:tcPr>
          <w:p w14:paraId="0F55D5BA" w14:textId="780CEEDC" w:rsidR="00C22214" w:rsidRPr="003C742E" w:rsidRDefault="00C22214" w:rsidP="00C22214">
            <w:pPr>
              <w:cnfStyle w:val="100000000000" w:firstRow="1" w:lastRow="0" w:firstColumn="0" w:lastColumn="0" w:oddVBand="0" w:evenVBand="0" w:oddHBand="0" w:evenHBand="0" w:firstRowFirstColumn="0" w:firstRowLastColumn="0" w:lastRowFirstColumn="0" w:lastRowLastColumn="0"/>
              <w:rPr>
                <w:szCs w:val="22"/>
              </w:rPr>
            </w:pPr>
            <w:r w:rsidRPr="003C742E">
              <w:rPr>
                <w:szCs w:val="22"/>
              </w:rPr>
              <w:t>Date</w:t>
            </w:r>
          </w:p>
        </w:tc>
      </w:tr>
      <w:tr w:rsidR="00C22214" w:rsidRPr="003C742E" w14:paraId="25F5A953"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0BB7432" w14:textId="2CD65A5B" w:rsidR="00C22214" w:rsidRPr="003C742E" w:rsidRDefault="00C22214" w:rsidP="00C22214">
            <w:pPr>
              <w:rPr>
                <w:szCs w:val="22"/>
              </w:rPr>
            </w:pPr>
            <w:r w:rsidRPr="003C742E">
              <w:rPr>
                <w:szCs w:val="22"/>
              </w:rPr>
              <w:t>Submission dossier accepted and first round evaluation commenced</w:t>
            </w:r>
          </w:p>
        </w:tc>
        <w:tc>
          <w:tcPr>
            <w:tcW w:w="4390" w:type="dxa"/>
          </w:tcPr>
          <w:p w14:paraId="026568FA" w14:textId="13689BCB" w:rsidR="00C22214" w:rsidRPr="003C742E" w:rsidRDefault="009700F9" w:rsidP="00C22214">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C742E">
              <w:rPr>
                <w:color w:val="000000" w:themeColor="text1"/>
                <w:szCs w:val="22"/>
              </w:rPr>
              <w:t>19 January 2023</w:t>
            </w:r>
          </w:p>
        </w:tc>
      </w:tr>
      <w:tr w:rsidR="00C22214" w:rsidRPr="003C742E" w14:paraId="66817B4D"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43F1966F" w14:textId="36552DC6" w:rsidR="00C22214" w:rsidRPr="003C742E" w:rsidRDefault="00C22214" w:rsidP="00C22214">
            <w:pPr>
              <w:rPr>
                <w:szCs w:val="22"/>
              </w:rPr>
            </w:pPr>
            <w:r w:rsidRPr="003C742E">
              <w:rPr>
                <w:szCs w:val="22"/>
              </w:rPr>
              <w:t>Evaluation completed</w:t>
            </w:r>
          </w:p>
        </w:tc>
        <w:tc>
          <w:tcPr>
            <w:tcW w:w="4390" w:type="dxa"/>
          </w:tcPr>
          <w:p w14:paraId="2624F31D" w14:textId="0AACA15E" w:rsidR="00C22214" w:rsidRPr="003C742E" w:rsidRDefault="009700F9" w:rsidP="00C22214">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C742E">
              <w:rPr>
                <w:color w:val="000000" w:themeColor="text1"/>
                <w:szCs w:val="22"/>
              </w:rPr>
              <w:t>24 April 2023</w:t>
            </w:r>
          </w:p>
        </w:tc>
      </w:tr>
      <w:tr w:rsidR="00C22214" w:rsidRPr="003C742E" w14:paraId="4F6872C6"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013F36F2" w14:textId="3249973A" w:rsidR="00C22214" w:rsidRPr="003C742E" w:rsidRDefault="00C22214" w:rsidP="00C22214">
            <w:pPr>
              <w:rPr>
                <w:szCs w:val="22"/>
              </w:rPr>
            </w:pPr>
            <w:r w:rsidRPr="003C742E">
              <w:rPr>
                <w:color w:val="000000" w:themeColor="text1"/>
                <w:szCs w:val="22"/>
              </w:rPr>
              <w:t>Delegate’s Overall benefit-risk assessment and request for Advisory Committee advice</w:t>
            </w:r>
          </w:p>
        </w:tc>
        <w:tc>
          <w:tcPr>
            <w:tcW w:w="4390" w:type="dxa"/>
          </w:tcPr>
          <w:p w14:paraId="712B89B3" w14:textId="5BA9B983" w:rsidR="00C22214" w:rsidRPr="003C742E" w:rsidRDefault="00E552E4" w:rsidP="00C22214">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C742E">
              <w:rPr>
                <w:color w:val="000000" w:themeColor="text1"/>
                <w:szCs w:val="22"/>
              </w:rPr>
              <w:t>30 March 2023</w:t>
            </w:r>
          </w:p>
        </w:tc>
      </w:tr>
      <w:tr w:rsidR="00C22214" w:rsidRPr="003C742E" w14:paraId="3E7B1E31"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50B30FD" w14:textId="67CFF919" w:rsidR="00C22214" w:rsidRPr="003C742E" w:rsidRDefault="00C22214" w:rsidP="00C22214">
            <w:pPr>
              <w:rPr>
                <w:szCs w:val="22"/>
              </w:rPr>
            </w:pPr>
            <w:r w:rsidRPr="003C742E">
              <w:rPr>
                <w:szCs w:val="22"/>
              </w:rPr>
              <w:t>Sponsor’s pre-Advisory Committee response</w:t>
            </w:r>
          </w:p>
        </w:tc>
        <w:tc>
          <w:tcPr>
            <w:tcW w:w="4390" w:type="dxa"/>
          </w:tcPr>
          <w:p w14:paraId="69631301" w14:textId="0F584D9B" w:rsidR="009700F9" w:rsidRPr="003C742E" w:rsidRDefault="007F4CA7" w:rsidP="00E552E4">
            <w:pPr>
              <w:cnfStyle w:val="000000000000" w:firstRow="0" w:lastRow="0" w:firstColumn="0" w:lastColumn="0" w:oddVBand="0" w:evenVBand="0" w:oddHBand="0" w:evenHBand="0" w:firstRowFirstColumn="0" w:firstRowLastColumn="0" w:lastRowFirstColumn="0" w:lastRowLastColumn="0"/>
              <w:rPr>
                <w:color w:val="000000" w:themeColor="text1"/>
              </w:rPr>
            </w:pPr>
            <w:r w:rsidRPr="003C742E">
              <w:rPr>
                <w:color w:val="000000" w:themeColor="text1"/>
              </w:rPr>
              <w:t>4 April 2023</w:t>
            </w:r>
          </w:p>
        </w:tc>
      </w:tr>
      <w:tr w:rsidR="00C22214" w:rsidRPr="003C742E" w14:paraId="075CCA22"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6FFA2C67" w14:textId="30942334" w:rsidR="00C22214" w:rsidRPr="003C742E" w:rsidRDefault="00C22214" w:rsidP="00C22214">
            <w:pPr>
              <w:rPr>
                <w:szCs w:val="22"/>
              </w:rPr>
            </w:pPr>
            <w:r w:rsidRPr="003C742E">
              <w:rPr>
                <w:szCs w:val="22"/>
              </w:rPr>
              <w:t>Advisory Committee meeting</w:t>
            </w:r>
          </w:p>
        </w:tc>
        <w:tc>
          <w:tcPr>
            <w:tcW w:w="4390" w:type="dxa"/>
          </w:tcPr>
          <w:p w14:paraId="6B8655BD" w14:textId="66F4BC8D" w:rsidR="00C22214" w:rsidRPr="003C742E" w:rsidRDefault="00E552E4" w:rsidP="00C22214">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C742E">
              <w:rPr>
                <w:color w:val="000000" w:themeColor="text1"/>
                <w:szCs w:val="22"/>
              </w:rPr>
              <w:t>12 April 2023</w:t>
            </w:r>
          </w:p>
        </w:tc>
      </w:tr>
      <w:tr w:rsidR="00C22214" w:rsidRPr="003C742E" w14:paraId="7EF4EDFC"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E268797" w14:textId="3E1743AE" w:rsidR="00C22214" w:rsidRPr="003C742E" w:rsidRDefault="00C22214" w:rsidP="00C22214">
            <w:pPr>
              <w:rPr>
                <w:szCs w:val="22"/>
              </w:rPr>
            </w:pPr>
            <w:r w:rsidRPr="003C742E">
              <w:rPr>
                <w:szCs w:val="22"/>
              </w:rPr>
              <w:t>Registration decision (Outcome)</w:t>
            </w:r>
          </w:p>
        </w:tc>
        <w:tc>
          <w:tcPr>
            <w:tcW w:w="4390" w:type="dxa"/>
          </w:tcPr>
          <w:p w14:paraId="472C5C42" w14:textId="6B1E2AF5" w:rsidR="00C22214" w:rsidRPr="003C742E" w:rsidRDefault="007F4CA7" w:rsidP="00C22214">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C742E">
              <w:rPr>
                <w:color w:val="000000" w:themeColor="text1"/>
              </w:rPr>
              <w:t>21 April 2023</w:t>
            </w:r>
          </w:p>
        </w:tc>
      </w:tr>
      <w:tr w:rsidR="00C22214" w:rsidRPr="003C742E" w14:paraId="7545F43F"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A313219" w14:textId="13622BD8" w:rsidR="00C22214" w:rsidRPr="003C742E" w:rsidRDefault="0013132F" w:rsidP="00C22214">
            <w:pPr>
              <w:rPr>
                <w:szCs w:val="22"/>
              </w:rPr>
            </w:pPr>
            <w:r w:rsidRPr="003C742E">
              <w:t>Administrative activities and registration on the ARTG completed</w:t>
            </w:r>
          </w:p>
        </w:tc>
        <w:tc>
          <w:tcPr>
            <w:tcW w:w="4390" w:type="dxa"/>
          </w:tcPr>
          <w:p w14:paraId="6C5BA7F2" w14:textId="4EB185F3" w:rsidR="00C22214" w:rsidRPr="003C742E" w:rsidRDefault="001006A1" w:rsidP="003154A3">
            <w:pPr>
              <w:cnfStyle w:val="000000000000" w:firstRow="0" w:lastRow="0" w:firstColumn="0" w:lastColumn="0" w:oddVBand="0" w:evenVBand="0" w:oddHBand="0" w:evenHBand="0" w:firstRowFirstColumn="0" w:firstRowLastColumn="0" w:lastRowFirstColumn="0" w:lastRowLastColumn="0"/>
              <w:rPr>
                <w:color w:val="000000" w:themeColor="text1"/>
                <w:szCs w:val="22"/>
              </w:rPr>
            </w:pPr>
            <w:r>
              <w:t>24 April 2023</w:t>
            </w:r>
          </w:p>
        </w:tc>
      </w:tr>
      <w:tr w:rsidR="00C22214" w:rsidRPr="003C742E" w14:paraId="2B3F361E" w14:textId="77777777" w:rsidTr="00C22214">
        <w:tc>
          <w:tcPr>
            <w:cnfStyle w:val="001000000000" w:firstRow="0" w:lastRow="0" w:firstColumn="1" w:lastColumn="0" w:oddVBand="0" w:evenVBand="0" w:oddHBand="0" w:evenHBand="0" w:firstRowFirstColumn="0" w:firstRowLastColumn="0" w:lastRowFirstColumn="0" w:lastRowLastColumn="0"/>
            <w:tcW w:w="4390" w:type="dxa"/>
          </w:tcPr>
          <w:p w14:paraId="1FD7EBAF" w14:textId="261EDACC" w:rsidR="00C22214" w:rsidRPr="003C742E" w:rsidRDefault="00C22214" w:rsidP="00C22214">
            <w:pPr>
              <w:rPr>
                <w:szCs w:val="22"/>
              </w:rPr>
            </w:pPr>
            <w:r w:rsidRPr="003C742E">
              <w:rPr>
                <w:szCs w:val="22"/>
              </w:rPr>
              <w:lastRenderedPageBreak/>
              <w:t>Number of working days from submission dossier acceptance to registration decision*</w:t>
            </w:r>
          </w:p>
        </w:tc>
        <w:tc>
          <w:tcPr>
            <w:tcW w:w="4390" w:type="dxa"/>
          </w:tcPr>
          <w:p w14:paraId="397960F5" w14:textId="75D0AE69" w:rsidR="00C22214" w:rsidRPr="003C742E" w:rsidRDefault="007F4CA7" w:rsidP="00C22214">
            <w:pPr>
              <w:cnfStyle w:val="000000000000" w:firstRow="0" w:lastRow="0" w:firstColumn="0" w:lastColumn="0" w:oddVBand="0" w:evenVBand="0" w:oddHBand="0" w:evenHBand="0" w:firstRowFirstColumn="0" w:firstRowLastColumn="0" w:lastRowFirstColumn="0" w:lastRowLastColumn="0"/>
              <w:rPr>
                <w:color w:val="000000" w:themeColor="text1"/>
                <w:szCs w:val="22"/>
              </w:rPr>
            </w:pPr>
            <w:r w:rsidRPr="003C742E">
              <w:rPr>
                <w:color w:val="000000" w:themeColor="text1"/>
              </w:rPr>
              <w:t>63</w:t>
            </w:r>
          </w:p>
        </w:tc>
      </w:tr>
    </w:tbl>
    <w:p w14:paraId="34E07584" w14:textId="77777777" w:rsidR="00C22214" w:rsidRPr="003C742E" w:rsidRDefault="00C22214" w:rsidP="00C22214">
      <w:pPr>
        <w:pStyle w:val="TableDescription"/>
      </w:pPr>
      <w:r w:rsidRPr="003C742E">
        <w:t>*Statutory timeframe for standard submissions is 255 working days</w:t>
      </w:r>
    </w:p>
    <w:p w14:paraId="220925F1" w14:textId="77777777" w:rsidR="00C22214" w:rsidRPr="003C742E" w:rsidRDefault="00C22214" w:rsidP="00C22214">
      <w:pPr>
        <w:pStyle w:val="Heading2"/>
      </w:pPr>
      <w:bookmarkStart w:id="45" w:name="_Toc196046504"/>
      <w:bookmarkStart w:id="46" w:name="_Toc247691527"/>
      <w:bookmarkStart w:id="47" w:name="_Toc314842510"/>
      <w:bookmarkStart w:id="48" w:name="_Toc103679294"/>
      <w:bookmarkStart w:id="49" w:name="_Toc134622045"/>
      <w:r w:rsidRPr="003C742E">
        <w:t>Submission overview and risk/benefit assessment</w:t>
      </w:r>
      <w:bookmarkEnd w:id="45"/>
      <w:bookmarkEnd w:id="46"/>
      <w:bookmarkEnd w:id="47"/>
      <w:bookmarkEnd w:id="48"/>
      <w:bookmarkEnd w:id="49"/>
    </w:p>
    <w:p w14:paraId="540151FC" w14:textId="77777777" w:rsidR="00C22214" w:rsidRPr="003C742E" w:rsidRDefault="00C22214" w:rsidP="00BD5DBD">
      <w:pPr>
        <w:rPr>
          <w:szCs w:val="22"/>
        </w:rPr>
      </w:pPr>
      <w:bookmarkStart w:id="50" w:name="_Toc247691528"/>
      <w:bookmarkStart w:id="51" w:name="_Toc314842511"/>
      <w:r w:rsidRPr="003C742E">
        <w:rPr>
          <w:szCs w:val="22"/>
        </w:rPr>
        <w:t>A summary of the TGA’s assessment for this submission is provided below.</w:t>
      </w:r>
    </w:p>
    <w:p w14:paraId="668E3E84" w14:textId="23ABE4CF" w:rsidR="007072A1" w:rsidRPr="003C742E" w:rsidRDefault="007072A1" w:rsidP="00E552E4">
      <w:r w:rsidRPr="003C742E">
        <w:t>Relevant guidelines or guidance documents referred to by the Delegate are listed below:</w:t>
      </w:r>
    </w:p>
    <w:p w14:paraId="322284C7" w14:textId="77777777" w:rsidR="00B32335" w:rsidRPr="003C742E" w:rsidRDefault="00B32335" w:rsidP="00B32335">
      <w:pPr>
        <w:pStyle w:val="ListBullet"/>
        <w:rPr>
          <w:lang w:eastAsia="ja-JP"/>
        </w:rPr>
      </w:pPr>
      <w:r w:rsidRPr="003C742E">
        <w:rPr>
          <w:lang w:eastAsia="ja-JP"/>
        </w:rPr>
        <w:t>European Medicines Agency (EMA), Committee for human medicinal products (CHMP), EMA considerations on COVID-19 vaccine approval, EMA/592928/2020,</w:t>
      </w:r>
      <w:r w:rsidRPr="003C742E">
        <w:rPr>
          <w:rStyle w:val="Hyperlink"/>
          <w:lang w:eastAsia="ja-JP"/>
        </w:rPr>
        <w:t xml:space="preserve"> </w:t>
      </w:r>
      <w:r w:rsidRPr="003C742E">
        <w:rPr>
          <w:lang w:eastAsia="ja-JP"/>
        </w:rPr>
        <w:t>16 November 2020.</w:t>
      </w:r>
    </w:p>
    <w:p w14:paraId="723031B0" w14:textId="77777777" w:rsidR="00B32335" w:rsidRPr="003C742E" w:rsidRDefault="00B32335" w:rsidP="00B32335">
      <w:pPr>
        <w:pStyle w:val="ListBullet"/>
        <w:rPr>
          <w:lang w:eastAsia="ja-JP"/>
        </w:rPr>
      </w:pPr>
      <w:r w:rsidRPr="003C742E">
        <w:rPr>
          <w:lang w:eastAsia="ja-JP"/>
        </w:rPr>
        <w:t>European Medicines Evaluation Agency (EMEA), Committee for Medicinal Products for Human Use (CHMP), Guidelines on Clinical Evaluation of New Vaccines, EMEA/CHMP/VWP/164653/2005, 18 October 2006.</w:t>
      </w:r>
    </w:p>
    <w:p w14:paraId="3DEF2533" w14:textId="77777777" w:rsidR="00B32335" w:rsidRPr="003C742E" w:rsidRDefault="00B32335" w:rsidP="00B32335">
      <w:pPr>
        <w:pStyle w:val="ListBullet"/>
        <w:rPr>
          <w:lang w:eastAsia="ja-JP"/>
        </w:rPr>
      </w:pPr>
      <w:r w:rsidRPr="003C742E">
        <w:rPr>
          <w:lang w:eastAsia="ja-JP"/>
        </w:rPr>
        <w:t>European Medicines Evaluation Agency (EMEA), Committee for Proprietary Medicinal Products (CPMP), Points to Consider on Applications with 1. Meta-Analyses; 2. One Pivotal Study, CPMP/EWP/2330/99, 31 May 2001.</w:t>
      </w:r>
    </w:p>
    <w:p w14:paraId="1A72DD89" w14:textId="77777777" w:rsidR="00B32335" w:rsidRPr="003C742E" w:rsidRDefault="00B32335" w:rsidP="00B32335">
      <w:pPr>
        <w:pStyle w:val="ListBullet"/>
        <w:rPr>
          <w:lang w:eastAsia="ja-JP"/>
        </w:rPr>
      </w:pPr>
      <w:r w:rsidRPr="003C742E">
        <w:rPr>
          <w:lang w:eastAsia="ja-JP"/>
        </w:rPr>
        <w:t>European Medicines Evaluation Agency (EMEA), Committee for Proprietary Medicinal Products (CPMP), Points to Consider on Switching Between Superiority and Non-inferiority, CPMP/EWP/482/99,</w:t>
      </w:r>
      <w:r w:rsidRPr="003C742E">
        <w:t xml:space="preserve"> </w:t>
      </w:r>
      <w:r w:rsidRPr="003C742E">
        <w:rPr>
          <w:lang w:eastAsia="ja-JP"/>
        </w:rPr>
        <w:t>27 July 2000.</w:t>
      </w:r>
    </w:p>
    <w:p w14:paraId="37EE94D0" w14:textId="6FBAC9FB" w:rsidR="008D7C69" w:rsidRPr="003C742E" w:rsidRDefault="00B32335" w:rsidP="00E552E4">
      <w:pPr>
        <w:pStyle w:val="ListBullet"/>
        <w:rPr>
          <w:lang w:eastAsia="ja-JP"/>
        </w:rPr>
      </w:pPr>
      <w:r w:rsidRPr="003C742E">
        <w:rPr>
          <w:lang w:eastAsia="ja-JP"/>
        </w:rPr>
        <w:t>Therapeutic Goods Administration (</w:t>
      </w:r>
      <w:r w:rsidR="008D7C69" w:rsidRPr="003C742E">
        <w:rPr>
          <w:lang w:eastAsia="ja-JP"/>
        </w:rPr>
        <w:t>TGA</w:t>
      </w:r>
      <w:r w:rsidRPr="003C742E">
        <w:rPr>
          <w:lang w:eastAsia="ja-JP"/>
        </w:rPr>
        <w:t>)</w:t>
      </w:r>
      <w:r w:rsidR="008D7C69" w:rsidRPr="003C742E">
        <w:rPr>
          <w:lang w:eastAsia="ja-JP"/>
        </w:rPr>
        <w:t>, Access Consortium: Alignment with ICMRA Consensus on Immunobridging for Authorising New COVID-19 Vaccines, 14 September 2021.</w:t>
      </w:r>
    </w:p>
    <w:p w14:paraId="32D71FDB" w14:textId="77777777" w:rsidR="00B32335" w:rsidRPr="003C742E" w:rsidRDefault="00B32335" w:rsidP="00B32335">
      <w:pPr>
        <w:pStyle w:val="ListBullet"/>
        <w:rPr>
          <w:lang w:eastAsia="ja-JP"/>
        </w:rPr>
      </w:pPr>
      <w:r w:rsidRPr="003C742E">
        <w:rPr>
          <w:lang w:eastAsia="ja-JP"/>
        </w:rPr>
        <w:t>Therapeutic Goods Administration (TGA), Access Consortium Statement on COVID-19 Vaccines Evidence, 4 December 2020</w:t>
      </w:r>
    </w:p>
    <w:p w14:paraId="70E15702" w14:textId="73FAD76F" w:rsidR="008D7C69" w:rsidRDefault="00B32335" w:rsidP="00E552E4">
      <w:pPr>
        <w:pStyle w:val="ListBullet"/>
        <w:rPr>
          <w:lang w:eastAsia="ja-JP"/>
        </w:rPr>
      </w:pPr>
      <w:r w:rsidRPr="003C742E">
        <w:rPr>
          <w:lang w:eastAsia="ja-JP"/>
        </w:rPr>
        <w:t>Therapeutic Goods Administration (TGA)</w:t>
      </w:r>
      <w:r w:rsidR="008D7C69" w:rsidRPr="003C742E">
        <w:rPr>
          <w:lang w:eastAsia="ja-JP"/>
        </w:rPr>
        <w:t>, Points to Consider for Strain Changes in Authorised COVID-19 Vaccines in an Ongoing SARS-COV-2 Pandemic, 5 March 2021</w:t>
      </w:r>
    </w:p>
    <w:p w14:paraId="7927C2FE" w14:textId="6777ACC5" w:rsidR="00551F6B" w:rsidRPr="003C742E" w:rsidRDefault="00551F6B" w:rsidP="00E552E4">
      <w:pPr>
        <w:pStyle w:val="ListBullet"/>
        <w:rPr>
          <w:lang w:eastAsia="ja-JP"/>
        </w:rPr>
      </w:pPr>
      <w:r w:rsidRPr="00551F6B">
        <w:rPr>
          <w:lang w:eastAsia="ja-JP"/>
        </w:rPr>
        <w:t>Therapeutic Goods Administration</w:t>
      </w:r>
      <w:r w:rsidRPr="003C742E">
        <w:rPr>
          <w:lang w:eastAsia="ja-JP"/>
        </w:rPr>
        <w:t>(TGA),</w:t>
      </w:r>
      <w:r w:rsidRPr="00551F6B">
        <w:rPr>
          <w:lang w:eastAsia="ja-JP"/>
        </w:rPr>
        <w:t xml:space="preserve"> Provisional Registration Extension </w:t>
      </w:r>
      <w:r>
        <w:rPr>
          <w:lang w:eastAsia="ja-JP"/>
        </w:rPr>
        <w:t>a</w:t>
      </w:r>
      <w:r w:rsidRPr="00551F6B">
        <w:rPr>
          <w:lang w:eastAsia="ja-JP"/>
        </w:rPr>
        <w:t xml:space="preserve">nd Transition </w:t>
      </w:r>
      <w:r>
        <w:rPr>
          <w:lang w:eastAsia="ja-JP"/>
        </w:rPr>
        <w:t>t</w:t>
      </w:r>
      <w:r w:rsidRPr="00551F6B">
        <w:rPr>
          <w:lang w:eastAsia="ja-JP"/>
        </w:rPr>
        <w:t>o Full Registration, A Step-</w:t>
      </w:r>
      <w:r>
        <w:rPr>
          <w:lang w:eastAsia="ja-JP"/>
        </w:rPr>
        <w:t>b</w:t>
      </w:r>
      <w:r w:rsidRPr="00551F6B">
        <w:rPr>
          <w:lang w:eastAsia="ja-JP"/>
        </w:rPr>
        <w:t xml:space="preserve">y-Step Guide </w:t>
      </w:r>
      <w:r>
        <w:rPr>
          <w:lang w:eastAsia="ja-JP"/>
        </w:rPr>
        <w:t>f</w:t>
      </w:r>
      <w:r w:rsidRPr="00551F6B">
        <w:rPr>
          <w:lang w:eastAsia="ja-JP"/>
        </w:rPr>
        <w:t>or Prescription Medicines, 21 January 2021.</w:t>
      </w:r>
    </w:p>
    <w:p w14:paraId="4A42B91A" w14:textId="77777777" w:rsidR="00B32335" w:rsidRPr="003C742E" w:rsidRDefault="00B32335" w:rsidP="00B32335">
      <w:pPr>
        <w:pStyle w:val="ListBullet"/>
        <w:rPr>
          <w:lang w:eastAsia="ja-JP"/>
        </w:rPr>
      </w:pPr>
      <w:r w:rsidRPr="003C742E">
        <w:rPr>
          <w:lang w:eastAsia="ja-JP"/>
        </w:rPr>
        <w:t>United States Food and Drug Administration (FDA), COVID-19: Developing Drugs and Biological Products for Treatment or Prevention: Guidance for Industry, February 2021.</w:t>
      </w:r>
    </w:p>
    <w:p w14:paraId="1403A18B" w14:textId="77777777" w:rsidR="00B32335" w:rsidRPr="003C742E" w:rsidRDefault="00B32335" w:rsidP="00B32335">
      <w:pPr>
        <w:pStyle w:val="ListBullet"/>
        <w:rPr>
          <w:lang w:eastAsia="ja-JP"/>
        </w:rPr>
      </w:pPr>
      <w:r w:rsidRPr="003C742E">
        <w:rPr>
          <w:lang w:eastAsia="ja-JP"/>
        </w:rPr>
        <w:t>United States Food and Drug Administration (FDA), Development and Licensure of Vaccines to Prevent COVID-19: Guidance for Industry, June 2020.</w:t>
      </w:r>
    </w:p>
    <w:p w14:paraId="326C6F66" w14:textId="65C33C15" w:rsidR="00E552E4" w:rsidRPr="003C742E" w:rsidRDefault="00E552E4" w:rsidP="00E552E4">
      <w:pPr>
        <w:pStyle w:val="ListBullet"/>
        <w:rPr>
          <w:lang w:eastAsia="ja-JP"/>
        </w:rPr>
      </w:pPr>
      <w:r w:rsidRPr="003C742E">
        <w:rPr>
          <w:lang w:eastAsia="ja-JP"/>
        </w:rPr>
        <w:t>U</w:t>
      </w:r>
      <w:r w:rsidR="00B32335" w:rsidRPr="003C742E">
        <w:rPr>
          <w:lang w:eastAsia="ja-JP"/>
        </w:rPr>
        <w:t>nited States Food and Drug Administration (</w:t>
      </w:r>
      <w:r w:rsidRPr="003C742E">
        <w:rPr>
          <w:lang w:eastAsia="ja-JP"/>
        </w:rPr>
        <w:t>FDA</w:t>
      </w:r>
      <w:r w:rsidR="00B32335" w:rsidRPr="003C742E">
        <w:rPr>
          <w:lang w:eastAsia="ja-JP"/>
        </w:rPr>
        <w:t>)</w:t>
      </w:r>
      <w:r w:rsidR="008D7C69" w:rsidRPr="003C742E">
        <w:rPr>
          <w:lang w:eastAsia="ja-JP"/>
        </w:rPr>
        <w:t>,</w:t>
      </w:r>
      <w:r w:rsidRPr="003C742E">
        <w:rPr>
          <w:lang w:eastAsia="ja-JP"/>
        </w:rPr>
        <w:t xml:space="preserve"> Emergency </w:t>
      </w:r>
      <w:r w:rsidR="008D7C69" w:rsidRPr="003C742E">
        <w:rPr>
          <w:lang w:eastAsia="ja-JP"/>
        </w:rPr>
        <w:t xml:space="preserve">Use Authorisation for Vaccines to Prevent </w:t>
      </w:r>
      <w:r w:rsidRPr="003C742E">
        <w:rPr>
          <w:lang w:eastAsia="ja-JP"/>
        </w:rPr>
        <w:t xml:space="preserve">COVID-19: </w:t>
      </w:r>
      <w:r w:rsidR="008D7C69" w:rsidRPr="003C742E">
        <w:rPr>
          <w:lang w:eastAsia="ja-JP"/>
        </w:rPr>
        <w:t>Guidance for Industry, 31 March 2022.</w:t>
      </w:r>
    </w:p>
    <w:p w14:paraId="1874948B" w14:textId="359E93FD" w:rsidR="00E552E4" w:rsidRPr="003C742E" w:rsidRDefault="00B32335" w:rsidP="00E552E4">
      <w:pPr>
        <w:pStyle w:val="ListBullet"/>
        <w:rPr>
          <w:lang w:eastAsia="ja-JP"/>
        </w:rPr>
      </w:pPr>
      <w:r w:rsidRPr="003C742E">
        <w:rPr>
          <w:lang w:eastAsia="ja-JP"/>
        </w:rPr>
        <w:t xml:space="preserve">United States Food and Drug Administration (FDA), </w:t>
      </w:r>
      <w:r w:rsidR="00E552E4" w:rsidRPr="003C742E">
        <w:rPr>
          <w:lang w:eastAsia="ja-JP"/>
        </w:rPr>
        <w:t>Toxicity Grading Scale for Health Adult and Adolescent Volunteers Enrolled in Preventive Vaccine Clinical Trials</w:t>
      </w:r>
      <w:r w:rsidRPr="003C742E">
        <w:rPr>
          <w:lang w:eastAsia="ja-JP"/>
        </w:rPr>
        <w:t>,</w:t>
      </w:r>
      <w:r w:rsidR="00E552E4" w:rsidRPr="003C742E">
        <w:rPr>
          <w:lang w:eastAsia="ja-JP"/>
        </w:rPr>
        <w:t xml:space="preserve"> Guidance for Industry</w:t>
      </w:r>
      <w:r w:rsidRPr="003C742E">
        <w:rPr>
          <w:lang w:eastAsia="ja-JP"/>
        </w:rPr>
        <w:t>,</w:t>
      </w:r>
      <w:r w:rsidR="00E552E4" w:rsidRPr="003C742E">
        <w:rPr>
          <w:lang w:eastAsia="ja-JP"/>
        </w:rPr>
        <w:t xml:space="preserve"> September 2007.</w:t>
      </w:r>
    </w:p>
    <w:p w14:paraId="00D7911D" w14:textId="7A916EFA" w:rsidR="00B32335" w:rsidRPr="003C742E" w:rsidRDefault="00B32335" w:rsidP="00B32335">
      <w:pPr>
        <w:pStyle w:val="ListBullet"/>
      </w:pPr>
      <w:r w:rsidRPr="003C742E">
        <w:rPr>
          <w:lang w:eastAsia="ja-JP"/>
        </w:rPr>
        <w:t>World Health Organization (WHO),</w:t>
      </w:r>
      <w:r w:rsidRPr="003C742E">
        <w:t xml:space="preserve"> </w:t>
      </w:r>
      <w:hyperlink r:id="rId53" w:history="1">
        <w:r w:rsidRPr="003C742E">
          <w:rPr>
            <w:rStyle w:val="Hyperlink"/>
            <w:color w:val="000000" w:themeColor="text1"/>
            <w:u w:val="none"/>
          </w:rPr>
          <w:t>Design of Vaccine Efficacy Trials to be Used During Public Health Emergencies - Points of Consideration and Key Principles</w:t>
        </w:r>
      </w:hyperlink>
      <w:r w:rsidRPr="003C742E">
        <w:rPr>
          <w:rStyle w:val="Hyperlink"/>
          <w:color w:val="000000" w:themeColor="text1"/>
          <w:u w:val="none"/>
        </w:rPr>
        <w:t>, no date.</w:t>
      </w:r>
    </w:p>
    <w:p w14:paraId="62ABEB24" w14:textId="77777777" w:rsidR="00B32335" w:rsidRPr="003C742E" w:rsidRDefault="00B32335" w:rsidP="00B32335">
      <w:pPr>
        <w:pStyle w:val="ListBullet"/>
        <w:rPr>
          <w:lang w:eastAsia="ja-JP"/>
        </w:rPr>
      </w:pPr>
      <w:r w:rsidRPr="003C742E">
        <w:rPr>
          <w:lang w:eastAsia="ja-JP"/>
        </w:rPr>
        <w:lastRenderedPageBreak/>
        <w:t>World Health Organization (WHO), Evaluation of COVID-19 Vaccine Effectiveness, Interim Guidance, 17 March 2021.</w:t>
      </w:r>
    </w:p>
    <w:p w14:paraId="5711509B" w14:textId="77777777" w:rsidR="00B32335" w:rsidRPr="003C742E" w:rsidRDefault="00B32335" w:rsidP="00B32335">
      <w:pPr>
        <w:pStyle w:val="ListBullet"/>
        <w:rPr>
          <w:lang w:eastAsia="ja-JP"/>
        </w:rPr>
      </w:pPr>
      <w:r w:rsidRPr="003C742E">
        <w:rPr>
          <w:lang w:eastAsia="ja-JP"/>
        </w:rPr>
        <w:t>World Health Organization (WHO): Guidelines on Clinical Evaluation of Vaccines: Regulatory Expectations, WHO Technical Report Series 1004, Annex 9, 2017,</w:t>
      </w:r>
      <w:r w:rsidRPr="003C742E">
        <w:t xml:space="preserve"> </w:t>
      </w:r>
      <w:r w:rsidRPr="003C742E">
        <w:rPr>
          <w:lang w:eastAsia="ja-JP"/>
        </w:rPr>
        <w:t>21 October 2020.</w:t>
      </w:r>
    </w:p>
    <w:p w14:paraId="37F5A1C0" w14:textId="77777777" w:rsidR="00C22214" w:rsidRPr="003C742E" w:rsidRDefault="00C22214" w:rsidP="00C22214">
      <w:pPr>
        <w:pStyle w:val="Heading3"/>
      </w:pPr>
      <w:bookmarkStart w:id="52" w:name="_Toc103679295"/>
      <w:bookmarkStart w:id="53" w:name="_Toc134622046"/>
      <w:r w:rsidRPr="003C742E">
        <w:t>Quality</w:t>
      </w:r>
      <w:bookmarkEnd w:id="50"/>
      <w:bookmarkEnd w:id="51"/>
      <w:bookmarkEnd w:id="52"/>
      <w:bookmarkEnd w:id="53"/>
    </w:p>
    <w:p w14:paraId="201081E4" w14:textId="0FB405A6" w:rsidR="00E552E4" w:rsidRPr="003C742E" w:rsidRDefault="00E552E4" w:rsidP="00E552E4">
      <w:r w:rsidRPr="003C742E">
        <w:t xml:space="preserve">Spikevax is a lipid nanoparticle encapsulated </w:t>
      </w:r>
      <w:r w:rsidR="001872C7" w:rsidRPr="003C742E">
        <w:t>messenger ribonucleic acid (</w:t>
      </w:r>
      <w:r w:rsidRPr="003C742E">
        <w:t>mRNA</w:t>
      </w:r>
      <w:r w:rsidR="001872C7" w:rsidRPr="003C742E">
        <w:t>)</w:t>
      </w:r>
      <w:r w:rsidR="001705C1" w:rsidRPr="003C742E">
        <w:t xml:space="preserve"> </w:t>
      </w:r>
      <w:r w:rsidRPr="003C742E">
        <w:t>based vaccine.</w:t>
      </w:r>
    </w:p>
    <w:p w14:paraId="1895C711" w14:textId="44A3770F" w:rsidR="00E552E4" w:rsidRPr="003C742E" w:rsidRDefault="00E552E4" w:rsidP="00E552E4">
      <w:r w:rsidRPr="003C742E">
        <w:t>The drug product is an mRNA-lipid complex dispersion that contains the drug substance. The drug product is supplied in multidose vial at 0.2 mg/mL (10 doses of 0.5 mL per vial or 20 doses of 0.25 mL per vial); multidose vial at 0.1 mg/mL (10 doses of 0.25 mL per vial); and single dose prefilled syringe at 0.1 mg/mL.</w:t>
      </w:r>
    </w:p>
    <w:p w14:paraId="47EC9746" w14:textId="17F58D44" w:rsidR="00E552E4" w:rsidRPr="003C742E" w:rsidRDefault="00E552E4" w:rsidP="00E552E4">
      <w:r w:rsidRPr="003C742E">
        <w:t xml:space="preserve">The recommended shelf life for the drug substance is 12 months from date of manufacture when stored under </w:t>
      </w:r>
      <w:r w:rsidRPr="003C742E">
        <w:noBreakHyphen/>
        <w:t xml:space="preserve">90° C to -60°C. The recommended shelf life for the drug product is 9 months from the date of manufacture. The recommended storage condition for the drug product is -50°C to </w:t>
      </w:r>
      <w:r w:rsidRPr="003C742E">
        <w:noBreakHyphen/>
        <w:t>15°C as long-term storage condition, which can include up to 30 days of storage at 2°C to 8°C in unopened or unpunctured vial and protected from light at the point of care site. Up to 24 hours additional in-use time at 8°C to 25°C in unopened or unpunctured vial on the day of dose administration.</w:t>
      </w:r>
    </w:p>
    <w:p w14:paraId="23C13795" w14:textId="5441CA07" w:rsidR="005E435C" w:rsidRPr="003C742E" w:rsidRDefault="00E552E4" w:rsidP="00E552E4">
      <w:r w:rsidRPr="003C742E">
        <w:t>O</w:t>
      </w:r>
      <w:r w:rsidR="005E435C" w:rsidRPr="003C742E">
        <w:t xml:space="preserve">utstanding issues </w:t>
      </w:r>
      <w:r w:rsidRPr="003C742E">
        <w:t xml:space="preserve">identified in the quality evaluation have been </w:t>
      </w:r>
      <w:r w:rsidR="005E435C" w:rsidRPr="003C742E">
        <w:t>resolved prior to registration.</w:t>
      </w:r>
      <w:r w:rsidRPr="003C742E">
        <w:t xml:space="preserve"> </w:t>
      </w:r>
      <w:r w:rsidR="005E435C" w:rsidRPr="003C742E">
        <w:t xml:space="preserve">The </w:t>
      </w:r>
      <w:r w:rsidRPr="003C742E">
        <w:t xml:space="preserve">quality evaluation </w:t>
      </w:r>
      <w:r w:rsidR="005E435C" w:rsidRPr="003C742E">
        <w:t xml:space="preserve">has confirmed that the </w:t>
      </w:r>
      <w:r w:rsidRPr="003C742E">
        <w:t>s</w:t>
      </w:r>
      <w:r w:rsidR="005E435C" w:rsidRPr="003C742E">
        <w:t>ponsor has provided adequate information to ensure the product’s quality under full registration. It is recommended that the product</w:t>
      </w:r>
      <w:r w:rsidR="00497DBD" w:rsidRPr="003C742E">
        <w:t>s applied in this submission are</w:t>
      </w:r>
      <w:r w:rsidR="005E435C" w:rsidRPr="003C742E">
        <w:t xml:space="preserve"> suitable for approval with regard to manufacturing quality, however there are specific conditions for approval</w:t>
      </w:r>
      <w:r w:rsidR="00497DBD" w:rsidRPr="003C742E">
        <w:t>.</w:t>
      </w:r>
    </w:p>
    <w:p w14:paraId="2BE90AAE" w14:textId="77777777" w:rsidR="00C22214" w:rsidRPr="003C742E" w:rsidRDefault="00C22214" w:rsidP="00C22214">
      <w:pPr>
        <w:pStyle w:val="Heading3"/>
      </w:pPr>
      <w:bookmarkStart w:id="54" w:name="_Toc314842512"/>
      <w:bookmarkStart w:id="55" w:name="_Toc103679296"/>
      <w:bookmarkStart w:id="56" w:name="_Toc134622047"/>
      <w:r w:rsidRPr="003C742E">
        <w:t>Nonclinical</w:t>
      </w:r>
      <w:bookmarkEnd w:id="54"/>
      <w:bookmarkEnd w:id="55"/>
      <w:bookmarkEnd w:id="56"/>
    </w:p>
    <w:p w14:paraId="7B4386FB" w14:textId="1239970C" w:rsidR="005E435C" w:rsidRPr="003C742E" w:rsidRDefault="005E435C" w:rsidP="005E435C">
      <w:r w:rsidRPr="003C742E">
        <w:t>The nonclinical evaluat</w:t>
      </w:r>
      <w:r w:rsidR="00E552E4" w:rsidRPr="003C742E">
        <w:t>ion</w:t>
      </w:r>
      <w:r w:rsidRPr="003C742E">
        <w:t xml:space="preserve"> has confirmed the following:</w:t>
      </w:r>
    </w:p>
    <w:p w14:paraId="689E37D4" w14:textId="0B7C11EB" w:rsidR="005E435C" w:rsidRPr="003C742E" w:rsidRDefault="005E435C" w:rsidP="005E435C">
      <w:pPr>
        <w:pStyle w:val="ListBullet"/>
      </w:pPr>
      <w:r w:rsidRPr="003C742E">
        <w:t xml:space="preserve">There are no nonclinical objections to transition from provisional registration to full registration of the </w:t>
      </w:r>
      <w:r w:rsidR="00E552E4" w:rsidRPr="003C742E">
        <w:t>Spikevax COVID-19 vaccine (</w:t>
      </w:r>
      <w:r w:rsidRPr="003C742E">
        <w:t>elasomeran</w:t>
      </w:r>
      <w:r w:rsidR="00E552E4" w:rsidRPr="003C742E">
        <w:t>)</w:t>
      </w:r>
      <w:r w:rsidRPr="003C742E">
        <w:t>.</w:t>
      </w:r>
    </w:p>
    <w:p w14:paraId="18D0A88B" w14:textId="13E81C71" w:rsidR="005E435C" w:rsidRPr="003C742E" w:rsidRDefault="005E435C" w:rsidP="00E552E4">
      <w:pPr>
        <w:pStyle w:val="ListBullet"/>
      </w:pPr>
      <w:r w:rsidRPr="003C742E">
        <w:t xml:space="preserve">There are no new nonclinical statements, and existing nonclinical statements in the proposed Product Information accompanying the </w:t>
      </w:r>
      <w:r w:rsidR="00E552E4" w:rsidRPr="003C742E">
        <w:t>s</w:t>
      </w:r>
      <w:r w:rsidRPr="003C742E">
        <w:t xml:space="preserve">ponsor’s letter </w:t>
      </w:r>
      <w:r w:rsidR="00E552E4" w:rsidRPr="003C742E">
        <w:t>(</w:t>
      </w:r>
      <w:r w:rsidRPr="003C742E">
        <w:t>dated 13</w:t>
      </w:r>
      <w:r w:rsidR="00E552E4" w:rsidRPr="003C742E">
        <w:t> </w:t>
      </w:r>
      <w:r w:rsidRPr="003C742E">
        <w:t>December</w:t>
      </w:r>
      <w:r w:rsidR="00E552E4" w:rsidRPr="003C742E">
        <w:t> </w:t>
      </w:r>
      <w:r w:rsidRPr="003C742E">
        <w:t>2022</w:t>
      </w:r>
      <w:r w:rsidR="00E552E4" w:rsidRPr="003C742E">
        <w:t>)</w:t>
      </w:r>
      <w:r w:rsidRPr="003C742E">
        <w:t xml:space="preserve"> do not require evaluation or comment.</w:t>
      </w:r>
    </w:p>
    <w:p w14:paraId="17DE9EE3" w14:textId="68A2E1B8" w:rsidR="005E435C" w:rsidRPr="003C742E" w:rsidRDefault="005E435C" w:rsidP="005E435C">
      <w:pPr>
        <w:pStyle w:val="ListBullet"/>
      </w:pPr>
      <w:r w:rsidRPr="003C742E">
        <w:t xml:space="preserve">Whilst the sponsor did not submit </w:t>
      </w:r>
      <w:bookmarkStart w:id="57" w:name="_Hlk131021212"/>
      <w:r w:rsidRPr="003C742E">
        <w:t>all the requested data (study reports and/or published data) which were requested during the provisional registration</w:t>
      </w:r>
      <w:bookmarkEnd w:id="57"/>
      <w:r w:rsidRPr="003C742E">
        <w:t>, for evaluation in this submission, this is not considered a major deficiency. Submission of the</w:t>
      </w:r>
      <w:r w:rsidR="003154A3">
        <w:t xml:space="preserve"> </w:t>
      </w:r>
      <w:r w:rsidR="005568F2">
        <w:t>study</w:t>
      </w:r>
      <w:r w:rsidR="005568F2" w:rsidRPr="003C742E">
        <w:t xml:space="preserve"> </w:t>
      </w:r>
      <w:r w:rsidRPr="003C742E">
        <w:t>reports</w:t>
      </w:r>
      <w:r w:rsidR="00F26B4F">
        <w:t xml:space="preserve"> </w:t>
      </w:r>
      <w:r w:rsidR="00E552E4" w:rsidRPr="003C742E">
        <w:t xml:space="preserve">or </w:t>
      </w:r>
      <w:r w:rsidRPr="003C742E">
        <w:t>publication post-approval is acceptable.</w:t>
      </w:r>
    </w:p>
    <w:p w14:paraId="35B580A5" w14:textId="69B9BE44" w:rsidR="00C22214" w:rsidRPr="003C742E" w:rsidRDefault="00C22214" w:rsidP="008804CF">
      <w:pPr>
        <w:pStyle w:val="Heading3"/>
      </w:pPr>
      <w:bookmarkStart w:id="58" w:name="_Toc247691530"/>
      <w:bookmarkStart w:id="59" w:name="_Toc314842513"/>
      <w:bookmarkStart w:id="60" w:name="_Toc103679297"/>
      <w:bookmarkStart w:id="61" w:name="_Toc134622048"/>
      <w:r w:rsidRPr="003C742E">
        <w:t>Clinical</w:t>
      </w:r>
      <w:bookmarkEnd w:id="58"/>
      <w:bookmarkEnd w:id="59"/>
      <w:bookmarkEnd w:id="60"/>
      <w:bookmarkEnd w:id="61"/>
    </w:p>
    <w:p w14:paraId="32B0DEDA" w14:textId="77777777" w:rsidR="00C22214" w:rsidRPr="003C742E" w:rsidRDefault="00C22214" w:rsidP="00433318">
      <w:pPr>
        <w:pStyle w:val="Heading4"/>
      </w:pPr>
      <w:bookmarkStart w:id="62" w:name="_Toc98931928"/>
      <w:bookmarkStart w:id="63" w:name="_Toc134622049"/>
      <w:r w:rsidRPr="003C742E">
        <w:t>Summary of clinical studies</w:t>
      </w:r>
      <w:bookmarkEnd w:id="62"/>
      <w:bookmarkEnd w:id="63"/>
    </w:p>
    <w:p w14:paraId="1CE7A5D2" w14:textId="2D3340BB" w:rsidR="00CF6BBC" w:rsidRPr="003C742E" w:rsidRDefault="00574623" w:rsidP="005E435C">
      <w:r>
        <w:t>At submission t</w:t>
      </w:r>
      <w:r w:rsidR="00C22214" w:rsidRPr="003C742E">
        <w:t xml:space="preserve">he clinical dossier </w:t>
      </w:r>
      <w:r w:rsidR="00CF6BBC" w:rsidRPr="003C742E">
        <w:t>consisted of</w:t>
      </w:r>
      <w:r w:rsidR="00F27F2E" w:rsidRPr="003C742E">
        <w:t>:</w:t>
      </w:r>
    </w:p>
    <w:p w14:paraId="1721F914" w14:textId="4B4EB150" w:rsidR="00F27F2E" w:rsidRPr="00F40587" w:rsidRDefault="00F27F2E" w:rsidP="003154A3">
      <w:pPr>
        <w:pStyle w:val="Bulletlist"/>
      </w:pPr>
      <w:r w:rsidRPr="00F40587">
        <w:t>One Phase I study: Study DMID-20-0003</w:t>
      </w:r>
    </w:p>
    <w:p w14:paraId="2DA3D5D7" w14:textId="2EC55079" w:rsidR="00F27F2E" w:rsidRPr="00F40587" w:rsidRDefault="00F27F2E" w:rsidP="003154A3">
      <w:pPr>
        <w:pStyle w:val="Bulletlist"/>
      </w:pPr>
      <w:r w:rsidRPr="00F40587">
        <w:t xml:space="preserve">One Phase IIa study: </w:t>
      </w:r>
      <w:r w:rsidRPr="00246043">
        <w:t>Study m</w:t>
      </w:r>
      <w:r w:rsidRPr="00F40587">
        <w:t>RNA-1273-P201</w:t>
      </w:r>
      <w:r w:rsidR="00453F5D">
        <w:t xml:space="preserve"> </w:t>
      </w:r>
      <w:r w:rsidRPr="00F40587">
        <w:t>(</w:t>
      </w:r>
      <w:r w:rsidR="002E56E7">
        <w:t xml:space="preserve">abbreviated </w:t>
      </w:r>
      <w:r w:rsidR="00D509CA">
        <w:t>as</w:t>
      </w:r>
      <w:r w:rsidRPr="00F40587">
        <w:t xml:space="preserve"> Study P201)</w:t>
      </w:r>
    </w:p>
    <w:p w14:paraId="4153A592" w14:textId="77777777" w:rsidR="00D509CA" w:rsidRDefault="00F27F2E" w:rsidP="003154A3">
      <w:pPr>
        <w:pStyle w:val="Bulletlist"/>
      </w:pPr>
      <w:r w:rsidRPr="003154A3">
        <w:lastRenderedPageBreak/>
        <w:t>Two Phase II/III studies:</w:t>
      </w:r>
    </w:p>
    <w:p w14:paraId="39147809" w14:textId="438B8111" w:rsidR="00D509CA" w:rsidRDefault="00F27F2E" w:rsidP="003154A3">
      <w:pPr>
        <w:pStyle w:val="Bulletlist"/>
        <w:numPr>
          <w:ilvl w:val="1"/>
          <w:numId w:val="8"/>
        </w:numPr>
      </w:pPr>
      <w:r w:rsidRPr="00522282">
        <w:t xml:space="preserve">Study mRNA-1273-P203 (Study P203), </w:t>
      </w:r>
      <w:r w:rsidR="00D509CA">
        <w:t>and</w:t>
      </w:r>
    </w:p>
    <w:p w14:paraId="10579586" w14:textId="343EC31F" w:rsidR="00F27F2E" w:rsidRPr="00522282" w:rsidRDefault="00F27F2E" w:rsidP="003154A3">
      <w:pPr>
        <w:pStyle w:val="Bulletlist"/>
        <w:numPr>
          <w:ilvl w:val="1"/>
          <w:numId w:val="8"/>
        </w:numPr>
      </w:pPr>
      <w:r w:rsidRPr="00522282">
        <w:t>Study mRNA-1273-P204 (Study P204)</w:t>
      </w:r>
    </w:p>
    <w:p w14:paraId="46622364" w14:textId="1083136B" w:rsidR="00C22214" w:rsidRPr="003154A3" w:rsidRDefault="00F27F2E" w:rsidP="003154A3">
      <w:pPr>
        <w:pStyle w:val="Bulletlist"/>
      </w:pPr>
      <w:r w:rsidRPr="00F40587">
        <w:t xml:space="preserve">One </w:t>
      </w:r>
      <w:r w:rsidR="00CF6BBC" w:rsidRPr="003154A3">
        <w:t xml:space="preserve">Phase III </w:t>
      </w:r>
      <w:r w:rsidRPr="003154A3">
        <w:t xml:space="preserve">study: </w:t>
      </w:r>
      <w:r w:rsidR="00497DBD" w:rsidRPr="003154A3">
        <w:t>Study mRNA-1273-P301 (</w:t>
      </w:r>
      <w:r w:rsidRPr="00A43D72">
        <w:t>Study P301</w:t>
      </w:r>
      <w:r w:rsidRPr="003154A3">
        <w:t>).</w:t>
      </w:r>
    </w:p>
    <w:p w14:paraId="636929CB" w14:textId="2C406501" w:rsidR="005E435C" w:rsidRPr="003C742E" w:rsidRDefault="005E435C" w:rsidP="00D72C23">
      <w:bookmarkStart w:id="64" w:name="_Toc314842514"/>
      <w:r w:rsidRPr="003C742E">
        <w:t xml:space="preserve">The clinical conditions of </w:t>
      </w:r>
      <w:r w:rsidR="00453F5D">
        <w:t xml:space="preserve">moving from </w:t>
      </w:r>
      <w:r w:rsidRPr="003C742E">
        <w:t xml:space="preserve">provisional </w:t>
      </w:r>
      <w:r w:rsidR="00453F5D">
        <w:t xml:space="preserve">to full </w:t>
      </w:r>
      <w:r w:rsidRPr="003C742E">
        <w:t xml:space="preserve">registration for </w:t>
      </w:r>
      <w:r w:rsidR="009700F9" w:rsidRPr="003C742E">
        <w:t>Spikevax</w:t>
      </w:r>
      <w:r w:rsidRPr="003C742E">
        <w:t xml:space="preserve"> are listed in </w:t>
      </w:r>
      <w:r w:rsidR="00B32335" w:rsidRPr="003C742E">
        <w:fldChar w:fldCharType="begin"/>
      </w:r>
      <w:r w:rsidR="00B32335" w:rsidRPr="003C742E">
        <w:instrText xml:space="preserve"> REF _Ref132633482 \h </w:instrText>
      </w:r>
      <w:r w:rsidR="00D72C23" w:rsidRPr="003C742E">
        <w:instrText xml:space="preserve"> \* MERGEFORMAT </w:instrText>
      </w:r>
      <w:r w:rsidR="00B32335" w:rsidRPr="003C742E">
        <w:fldChar w:fldCharType="separate"/>
      </w:r>
      <w:r w:rsidR="0005046B" w:rsidRPr="007D0354">
        <w:t xml:space="preserve">Table </w:t>
      </w:r>
      <w:r w:rsidR="0005046B">
        <w:t>4</w:t>
      </w:r>
      <w:r w:rsidR="00B32335" w:rsidRPr="003C742E">
        <w:fldChar w:fldCharType="end"/>
      </w:r>
      <w:r w:rsidR="001E1DC3" w:rsidRPr="003C742E">
        <w:t xml:space="preserve"> (paediatric population)</w:t>
      </w:r>
      <w:r w:rsidR="000C3AAA" w:rsidRPr="003C742E">
        <w:t>,</w:t>
      </w:r>
      <w:r w:rsidR="00D72C23" w:rsidRPr="003C742E">
        <w:t xml:space="preserve"> </w:t>
      </w:r>
      <w:r w:rsidR="00D72C23" w:rsidRPr="003C742E">
        <w:fldChar w:fldCharType="begin"/>
      </w:r>
      <w:r w:rsidR="00D72C23" w:rsidRPr="003C742E">
        <w:instrText xml:space="preserve"> REF _Ref132903391 \h </w:instrText>
      </w:r>
      <w:r w:rsidR="003C742E" w:rsidRPr="003C742E">
        <w:instrText xml:space="preserve"> \* MERGEFORMAT </w:instrText>
      </w:r>
      <w:r w:rsidR="00D72C23" w:rsidRPr="003C742E">
        <w:fldChar w:fldCharType="separate"/>
      </w:r>
      <w:r w:rsidR="0005046B" w:rsidRPr="003C742E">
        <w:t xml:space="preserve">Table </w:t>
      </w:r>
      <w:r w:rsidR="0005046B">
        <w:rPr>
          <w:noProof/>
        </w:rPr>
        <w:t>5</w:t>
      </w:r>
      <w:r w:rsidR="00D72C23" w:rsidRPr="003C742E">
        <w:fldChar w:fldCharType="end"/>
      </w:r>
      <w:r w:rsidR="001E1DC3" w:rsidRPr="003C742E">
        <w:t xml:space="preserve"> (adolescent population), </w:t>
      </w:r>
      <w:r w:rsidR="00D72C23" w:rsidRPr="003C742E">
        <w:fldChar w:fldCharType="begin"/>
      </w:r>
      <w:r w:rsidR="00D72C23" w:rsidRPr="003C742E">
        <w:instrText xml:space="preserve"> REF _Ref132903401 \h </w:instrText>
      </w:r>
      <w:r w:rsidR="003C742E" w:rsidRPr="003C742E">
        <w:instrText xml:space="preserve"> \* MERGEFORMAT </w:instrText>
      </w:r>
      <w:r w:rsidR="00D72C23" w:rsidRPr="003C742E">
        <w:fldChar w:fldCharType="separate"/>
      </w:r>
      <w:r w:rsidR="0005046B" w:rsidRPr="003C742E">
        <w:t xml:space="preserve">Table </w:t>
      </w:r>
      <w:r w:rsidR="0005046B">
        <w:rPr>
          <w:noProof/>
        </w:rPr>
        <w:t>6</w:t>
      </w:r>
      <w:r w:rsidR="00D72C23" w:rsidRPr="003C742E">
        <w:fldChar w:fldCharType="end"/>
      </w:r>
      <w:r w:rsidR="001E1DC3" w:rsidRPr="003C742E">
        <w:t xml:space="preserve"> (adult population)</w:t>
      </w:r>
      <w:r w:rsidR="001A39CE" w:rsidRPr="003C742E">
        <w:t xml:space="preserve"> </w:t>
      </w:r>
      <w:r w:rsidR="001E1DC3" w:rsidRPr="003C742E">
        <w:t xml:space="preserve">and </w:t>
      </w:r>
      <w:r w:rsidR="001E1DC3" w:rsidRPr="003C742E">
        <w:fldChar w:fldCharType="begin"/>
      </w:r>
      <w:r w:rsidR="001E1DC3" w:rsidRPr="003C742E">
        <w:instrText xml:space="preserve"> REF _Ref132896435 \h </w:instrText>
      </w:r>
      <w:r w:rsidR="00D72C23" w:rsidRPr="003C742E">
        <w:instrText xml:space="preserve"> \* MERGEFORMAT </w:instrText>
      </w:r>
      <w:r w:rsidR="001E1DC3" w:rsidRPr="003C742E">
        <w:fldChar w:fldCharType="separate"/>
      </w:r>
      <w:r w:rsidR="0005046B" w:rsidRPr="003C742E">
        <w:t xml:space="preserve">Table </w:t>
      </w:r>
      <w:r w:rsidR="0005046B">
        <w:t>7</w:t>
      </w:r>
      <w:r w:rsidR="001E1DC3" w:rsidRPr="003C742E">
        <w:fldChar w:fldCharType="end"/>
      </w:r>
      <w:r w:rsidR="001E1DC3" w:rsidRPr="003C742E">
        <w:t xml:space="preserve"> (confirmatory trial) </w:t>
      </w:r>
      <w:r w:rsidRPr="003C742E">
        <w:t>below, along with information on availability of clinical data to transition to full registration.</w:t>
      </w:r>
    </w:p>
    <w:p w14:paraId="54754602" w14:textId="50E13436" w:rsidR="005E435C" w:rsidRPr="007D0354" w:rsidRDefault="00B32335" w:rsidP="007D0354">
      <w:pPr>
        <w:pStyle w:val="TableTitle"/>
      </w:pPr>
      <w:bookmarkStart w:id="65" w:name="_Ref132633482"/>
      <w:r w:rsidRPr="007D0354">
        <w:t xml:space="preserve">Table </w:t>
      </w:r>
      <w:r w:rsidR="009809E2">
        <w:fldChar w:fldCharType="begin"/>
      </w:r>
      <w:r w:rsidR="009809E2">
        <w:instrText xml:space="preserve"> SEQ Table \* ARABIC </w:instrText>
      </w:r>
      <w:r w:rsidR="009809E2">
        <w:fldChar w:fldCharType="separate"/>
      </w:r>
      <w:r w:rsidR="0005046B">
        <w:rPr>
          <w:noProof/>
        </w:rPr>
        <w:t>4</w:t>
      </w:r>
      <w:r w:rsidR="009809E2">
        <w:rPr>
          <w:noProof/>
        </w:rPr>
        <w:fldChar w:fldCharType="end"/>
      </w:r>
      <w:bookmarkEnd w:id="65"/>
      <w:r w:rsidR="005E435C" w:rsidRPr="007D0354">
        <w:t>: Availability of clinical data</w:t>
      </w:r>
      <w:r w:rsidR="000C3AAA" w:rsidRPr="007D0354">
        <w:t xml:space="preserve"> for paediatric population (6 months to 11 years of age) </w:t>
      </w:r>
      <w:r w:rsidR="005E435C" w:rsidRPr="007D0354">
        <w:t>to transition from provisional to full registration</w:t>
      </w:r>
    </w:p>
    <w:tbl>
      <w:tblPr>
        <w:tblStyle w:val="TableGrid"/>
        <w:tblW w:w="0" w:type="auto"/>
        <w:tblLook w:val="04A0" w:firstRow="1" w:lastRow="0" w:firstColumn="1" w:lastColumn="0" w:noHBand="0" w:noVBand="1"/>
      </w:tblPr>
      <w:tblGrid>
        <w:gridCol w:w="3681"/>
        <w:gridCol w:w="5335"/>
      </w:tblGrid>
      <w:tr w:rsidR="000C3AAA" w:rsidRPr="003C742E" w14:paraId="001AE916" w14:textId="77777777" w:rsidTr="00F755B0">
        <w:tc>
          <w:tcPr>
            <w:tcW w:w="3681" w:type="dxa"/>
          </w:tcPr>
          <w:p w14:paraId="786CB671" w14:textId="77777777" w:rsidR="000C3AAA" w:rsidRPr="003C742E" w:rsidRDefault="000C3AAA" w:rsidP="000C3AAA">
            <w:pPr>
              <w:pStyle w:val="TableText"/>
              <w:rPr>
                <w:b/>
                <w:bCs/>
              </w:rPr>
            </w:pPr>
            <w:r w:rsidRPr="003C742E">
              <w:rPr>
                <w:b/>
                <w:bCs/>
              </w:rPr>
              <w:t>Specific conditions</w:t>
            </w:r>
          </w:p>
        </w:tc>
        <w:tc>
          <w:tcPr>
            <w:tcW w:w="5335" w:type="dxa"/>
          </w:tcPr>
          <w:p w14:paraId="7DA00CE0" w14:textId="77777777" w:rsidR="000C3AAA" w:rsidRPr="003C742E" w:rsidRDefault="000C3AAA" w:rsidP="000C3AAA">
            <w:pPr>
              <w:pStyle w:val="TableText"/>
              <w:rPr>
                <w:b/>
                <w:bCs/>
              </w:rPr>
            </w:pPr>
            <w:r w:rsidRPr="003C742E">
              <w:rPr>
                <w:b/>
                <w:bCs/>
              </w:rPr>
              <w:t>Availability of clinical data</w:t>
            </w:r>
          </w:p>
        </w:tc>
      </w:tr>
      <w:tr w:rsidR="000C3AAA" w:rsidRPr="003C742E" w14:paraId="0580162A" w14:textId="77777777" w:rsidTr="00F755B0">
        <w:tc>
          <w:tcPr>
            <w:tcW w:w="3681" w:type="dxa"/>
          </w:tcPr>
          <w:p w14:paraId="60288DC2" w14:textId="77777777" w:rsidR="000C3AAA" w:rsidRPr="003C742E" w:rsidRDefault="000C3AAA" w:rsidP="000C3AAA">
            <w:pPr>
              <w:pStyle w:val="TableText"/>
            </w:pPr>
            <w:r w:rsidRPr="003C742E">
              <w:t>Submit the interim and final analysis of Study mRNA-1273 P204 and the CSR for Study P204 when available</w:t>
            </w:r>
          </w:p>
        </w:tc>
        <w:tc>
          <w:tcPr>
            <w:tcW w:w="5335" w:type="dxa"/>
          </w:tcPr>
          <w:p w14:paraId="5625DC45" w14:textId="2753662F" w:rsidR="000C3AAA" w:rsidRPr="003C742E" w:rsidRDefault="000C3AAA" w:rsidP="000C3AAA">
            <w:pPr>
              <w:pStyle w:val="TableText"/>
            </w:pPr>
            <w:r w:rsidRPr="003C742E">
              <w:t>The final CSR for the randomised, placebo-controlled, observer-blind study mRNA-1273-P204 is expected to be available for submission 31 March 2024</w:t>
            </w:r>
          </w:p>
        </w:tc>
      </w:tr>
    </w:tbl>
    <w:p w14:paraId="5E22094B" w14:textId="3B273DA8" w:rsidR="001A39CE" w:rsidRPr="003C742E" w:rsidRDefault="000C3AAA" w:rsidP="003C742E">
      <w:pPr>
        <w:pStyle w:val="TableDescription"/>
      </w:pPr>
      <w:r w:rsidRPr="003C742E">
        <w:t>Abbreviations: CSR = clinical study report; mRNA-1273 = Spikevax (elasomeran) COVID-19 vaccine drug development name.</w:t>
      </w:r>
      <w:bookmarkStart w:id="66" w:name="_Ref132893819"/>
    </w:p>
    <w:p w14:paraId="11A7D9CA" w14:textId="114EE921" w:rsidR="000C3AAA" w:rsidRPr="003C742E" w:rsidRDefault="000C3AAA" w:rsidP="003C742E">
      <w:pPr>
        <w:pStyle w:val="TableTitle"/>
      </w:pPr>
      <w:bookmarkStart w:id="67" w:name="_Ref132903391"/>
      <w:r w:rsidRPr="003C742E">
        <w:t xml:space="preserve">Table </w:t>
      </w:r>
      <w:r w:rsidR="009809E2">
        <w:fldChar w:fldCharType="begin"/>
      </w:r>
      <w:r w:rsidR="009809E2">
        <w:instrText xml:space="preserve"> SEQ Table \* ARABIC </w:instrText>
      </w:r>
      <w:r w:rsidR="009809E2">
        <w:fldChar w:fldCharType="separate"/>
      </w:r>
      <w:r w:rsidR="0005046B">
        <w:rPr>
          <w:noProof/>
        </w:rPr>
        <w:t>5</w:t>
      </w:r>
      <w:r w:rsidR="009809E2">
        <w:rPr>
          <w:noProof/>
        </w:rPr>
        <w:fldChar w:fldCharType="end"/>
      </w:r>
      <w:bookmarkEnd w:id="66"/>
      <w:bookmarkEnd w:id="67"/>
      <w:r w:rsidRPr="003C742E">
        <w:t xml:space="preserve">: Availability of clinical data for adolescent </w:t>
      </w:r>
      <w:r w:rsidR="001A39CE" w:rsidRPr="003C742E">
        <w:t>population (12 through 18 years of age)</w:t>
      </w:r>
      <w:r w:rsidRPr="003C742E">
        <w:t xml:space="preserve"> to transition from provisional to full registration</w:t>
      </w:r>
    </w:p>
    <w:tbl>
      <w:tblPr>
        <w:tblStyle w:val="TableGrid"/>
        <w:tblW w:w="0" w:type="auto"/>
        <w:tblLook w:val="04A0" w:firstRow="1" w:lastRow="0" w:firstColumn="1" w:lastColumn="0" w:noHBand="0" w:noVBand="1"/>
      </w:tblPr>
      <w:tblGrid>
        <w:gridCol w:w="3681"/>
        <w:gridCol w:w="5335"/>
      </w:tblGrid>
      <w:tr w:rsidR="000C3AAA" w:rsidRPr="003C742E" w14:paraId="6058D1B3" w14:textId="77777777" w:rsidTr="00F755B0">
        <w:tc>
          <w:tcPr>
            <w:tcW w:w="3681" w:type="dxa"/>
          </w:tcPr>
          <w:p w14:paraId="18F1D00B" w14:textId="77777777" w:rsidR="000C3AAA" w:rsidRPr="003C742E" w:rsidRDefault="000C3AAA" w:rsidP="001A39CE">
            <w:pPr>
              <w:pStyle w:val="TableText"/>
              <w:rPr>
                <w:b/>
                <w:bCs/>
              </w:rPr>
            </w:pPr>
            <w:r w:rsidRPr="003C742E">
              <w:rPr>
                <w:b/>
                <w:bCs/>
              </w:rPr>
              <w:t>Specific conditions</w:t>
            </w:r>
          </w:p>
        </w:tc>
        <w:tc>
          <w:tcPr>
            <w:tcW w:w="5335" w:type="dxa"/>
          </w:tcPr>
          <w:p w14:paraId="0FC70007" w14:textId="77777777" w:rsidR="000C3AAA" w:rsidRPr="003C742E" w:rsidRDefault="000C3AAA" w:rsidP="001A39CE">
            <w:pPr>
              <w:pStyle w:val="TableText"/>
              <w:rPr>
                <w:b/>
                <w:bCs/>
              </w:rPr>
            </w:pPr>
            <w:r w:rsidRPr="003C742E">
              <w:rPr>
                <w:b/>
                <w:bCs/>
              </w:rPr>
              <w:t>Availability of clinical data</w:t>
            </w:r>
          </w:p>
        </w:tc>
      </w:tr>
      <w:tr w:rsidR="000C3AAA" w:rsidRPr="003C742E" w14:paraId="1865D38E" w14:textId="77777777" w:rsidTr="00F755B0">
        <w:tc>
          <w:tcPr>
            <w:tcW w:w="3681" w:type="dxa"/>
          </w:tcPr>
          <w:p w14:paraId="4A71B2F8" w14:textId="77777777" w:rsidR="000C3AAA" w:rsidRPr="003C742E" w:rsidRDefault="000C3AAA" w:rsidP="001A39CE">
            <w:pPr>
              <w:pStyle w:val="TableText"/>
            </w:pPr>
            <w:r w:rsidRPr="003C742E">
              <w:t>Submit safety data for all adolescents 12 to17 years of age in study P203, 6-months post Dose 2, when the data become available.</w:t>
            </w:r>
          </w:p>
        </w:tc>
        <w:tc>
          <w:tcPr>
            <w:tcW w:w="5335" w:type="dxa"/>
          </w:tcPr>
          <w:p w14:paraId="06EBA000" w14:textId="77777777" w:rsidR="000C3AAA" w:rsidRPr="003C742E" w:rsidRDefault="000C3AAA" w:rsidP="001A39CE">
            <w:pPr>
              <w:pStyle w:val="TableText"/>
            </w:pPr>
            <w:r w:rsidRPr="003C742E">
              <w:t>A CSR for study P203 with 6 months post Dose 2 follow-up for all subjects was submitted to the TGA on 4 November 2022. This CSR included safety data of 2378 participants (95.7%) that have been followed for ≥ 168 days (6 months) or more after Dose 2.</w:t>
            </w:r>
          </w:p>
        </w:tc>
      </w:tr>
      <w:tr w:rsidR="000C3AAA" w:rsidRPr="003C742E" w14:paraId="3A4097DB" w14:textId="77777777" w:rsidTr="00F755B0">
        <w:tc>
          <w:tcPr>
            <w:tcW w:w="3681" w:type="dxa"/>
          </w:tcPr>
          <w:p w14:paraId="1571A0DE" w14:textId="77777777" w:rsidR="000C3AAA" w:rsidRPr="003C742E" w:rsidRDefault="000C3AAA" w:rsidP="001A39CE">
            <w:pPr>
              <w:pStyle w:val="TableText"/>
            </w:pPr>
            <w:r w:rsidRPr="003C742E">
              <w:t>Submit CSR of Study P203 (interim and final), including data up to 24 months after Dose 2 in adolescents 12 to17 years of age, when the data become available.</w:t>
            </w:r>
          </w:p>
        </w:tc>
        <w:tc>
          <w:tcPr>
            <w:tcW w:w="5335" w:type="dxa"/>
          </w:tcPr>
          <w:p w14:paraId="4335138E" w14:textId="77777777" w:rsidR="000C3AAA" w:rsidRPr="003C742E" w:rsidRDefault="000C3AAA" w:rsidP="001A39CE">
            <w:pPr>
              <w:pStyle w:val="TableText"/>
            </w:pPr>
            <w:r w:rsidRPr="003C742E">
              <w:t>Interim long-term safety and effectiveness CSR for study P203 Parts A and B was submitted to the TGA on 4 November 2022. As the pandemic evolved and the need for booster doses was evident, Study P203 was amended to offer booster doses to all participants. As such, the follow-up for the primary series doses is limited. Therefore, we believe the CSR that has been submitted with 6 months of safety follow-up is sufficient to transition to full registration for the primary series.</w:t>
            </w:r>
          </w:p>
          <w:p w14:paraId="663BFD2F" w14:textId="77777777" w:rsidR="000C3AAA" w:rsidRPr="003C742E" w:rsidRDefault="000C3AAA" w:rsidP="001A39CE">
            <w:pPr>
              <w:pStyle w:val="TableText"/>
            </w:pPr>
            <w:r w:rsidRPr="003C742E">
              <w:t>The final CSR including follow up after the booster phase (Part C) is planned for 31 July 2024. As concluded in the EMA assessment report dated 16 August 2022, results from 6 months of follow-up from Study P203 evaluating the overall safety profile of mRNA-1273 in the adolescents aged ≥ 12 to &lt; 18 years are generally consistent with the findings to date in the Phase III Study P301 in adults 18 years of age and older. No new safety signals have been observed so far and it is not expected that the remaining outstanding data in P203 will alter the benefit risk profile of Spikevax in this age group.</w:t>
            </w:r>
          </w:p>
          <w:p w14:paraId="266CE2AC" w14:textId="77777777" w:rsidR="000C3AAA" w:rsidRPr="003C742E" w:rsidRDefault="000C3AAA" w:rsidP="001A39CE">
            <w:pPr>
              <w:pStyle w:val="TableText"/>
            </w:pPr>
            <w:r w:rsidRPr="003C742E">
              <w:t>The EMA was of the opinion that the comprehensive existing data package for this vaccine warrants transformation of the previous conditional approval into a full marketing authorisation.</w:t>
            </w:r>
          </w:p>
        </w:tc>
      </w:tr>
      <w:tr w:rsidR="000C3AAA" w:rsidRPr="003C742E" w14:paraId="73C72EE1" w14:textId="77777777" w:rsidTr="00F755B0">
        <w:tc>
          <w:tcPr>
            <w:tcW w:w="3681" w:type="dxa"/>
          </w:tcPr>
          <w:p w14:paraId="5B0E8F50" w14:textId="77777777" w:rsidR="000C3AAA" w:rsidRPr="003C742E" w:rsidRDefault="000C3AAA" w:rsidP="001A39CE">
            <w:pPr>
              <w:pStyle w:val="TableText"/>
            </w:pPr>
            <w:r w:rsidRPr="003C742E">
              <w:lastRenderedPageBreak/>
              <w:t>Submit safety data in relation to follow-up at 6 months post-Dose 2 for all original Spikevax recipients and at 6 months</w:t>
            </w:r>
          </w:p>
          <w:p w14:paraId="589CD956" w14:textId="77777777" w:rsidR="000C3AAA" w:rsidRPr="003C742E" w:rsidRDefault="000C3AAA" w:rsidP="001A39CE">
            <w:pPr>
              <w:pStyle w:val="TableText"/>
            </w:pPr>
            <w:r w:rsidRPr="003C742E">
              <w:t>post-Dose 4 for original placebo</w:t>
            </w:r>
          </w:p>
          <w:p w14:paraId="144A99F4" w14:textId="77777777" w:rsidR="000C3AAA" w:rsidRPr="003C742E" w:rsidRDefault="000C3AAA" w:rsidP="001A39CE">
            <w:pPr>
              <w:pStyle w:val="TableText"/>
            </w:pPr>
            <w:r w:rsidRPr="003C742E">
              <w:t>recipients subsequently vaccinated with Spikevax, when the analysis is available.</w:t>
            </w:r>
          </w:p>
        </w:tc>
        <w:tc>
          <w:tcPr>
            <w:tcW w:w="5335" w:type="dxa"/>
          </w:tcPr>
          <w:p w14:paraId="0D00D3BA" w14:textId="0C3E5501" w:rsidR="000C3AAA" w:rsidRPr="003C742E" w:rsidRDefault="000C3AAA">
            <w:pPr>
              <w:pStyle w:val="TableText"/>
            </w:pPr>
            <w:r w:rsidRPr="003C742E">
              <w:t xml:space="preserve">Due to the 2:1 (mRNA-1273:placebo) randomisation ratio and the substantial attrition of the participants in the placebo group as these participants sought non-study vaccine, only 91 participants who were originally randomised to placebo stayed in the study and received mRNA-1273 in Part B of the Study (doses 3 and 4). </w:t>
            </w:r>
            <w:r w:rsidR="00453F5D">
              <w:t>The sponsor</w:t>
            </w:r>
            <w:r w:rsidR="00453F5D" w:rsidRPr="003C742E">
              <w:t xml:space="preserve"> </w:t>
            </w:r>
            <w:r w:rsidRPr="003C742E">
              <w:t>believe</w:t>
            </w:r>
            <w:r w:rsidR="003154A3">
              <w:t>s</w:t>
            </w:r>
            <w:r w:rsidRPr="003C742E">
              <w:t xml:space="preserve"> the limited data from this small subset of participants will not inform further on the benefit risk profile of Spikevax in this age group.</w:t>
            </w:r>
          </w:p>
        </w:tc>
      </w:tr>
      <w:tr w:rsidR="000C3AAA" w:rsidRPr="003C742E" w14:paraId="753A73C5" w14:textId="77777777" w:rsidTr="00F755B0">
        <w:tc>
          <w:tcPr>
            <w:tcW w:w="3681" w:type="dxa"/>
          </w:tcPr>
          <w:p w14:paraId="3B5E634D" w14:textId="77777777" w:rsidR="000C3AAA" w:rsidRPr="003C742E" w:rsidRDefault="000C3AAA" w:rsidP="001A39CE">
            <w:pPr>
              <w:pStyle w:val="TableText"/>
            </w:pPr>
            <w:r w:rsidRPr="003C742E">
              <w:t>Submit the final analysis of the Booster Phase (Part 1C-1) of Study P203 and the CSR when</w:t>
            </w:r>
          </w:p>
          <w:p w14:paraId="2F145AAA" w14:textId="77777777" w:rsidR="000C3AAA" w:rsidRPr="003C742E" w:rsidRDefault="000C3AAA" w:rsidP="001A39CE">
            <w:pPr>
              <w:pStyle w:val="TableText"/>
            </w:pPr>
            <w:r w:rsidRPr="003C742E">
              <w:t>available.</w:t>
            </w:r>
          </w:p>
        </w:tc>
        <w:tc>
          <w:tcPr>
            <w:tcW w:w="5335" w:type="dxa"/>
          </w:tcPr>
          <w:p w14:paraId="3AE6EF7E" w14:textId="77777777" w:rsidR="000C3AAA" w:rsidRPr="003C742E" w:rsidRDefault="000C3AAA" w:rsidP="001A39CE">
            <w:pPr>
              <w:pStyle w:val="TableText"/>
            </w:pPr>
            <w:r w:rsidRPr="003C742E">
              <w:t>The final analysis of the Booster Phase (Part 1C-1) of Study P203 will be available in February 2023.</w:t>
            </w:r>
          </w:p>
          <w:p w14:paraId="487E9668" w14:textId="77777777" w:rsidR="000C3AAA" w:rsidRPr="003C742E" w:rsidRDefault="000C3AAA" w:rsidP="001A39CE">
            <w:pPr>
              <w:pStyle w:val="TableText"/>
            </w:pPr>
            <w:r w:rsidRPr="003C742E">
              <w:t>The final CSR, including follow up after the booster phase (Part C), of study P203 is planned for 31 July 2024.</w:t>
            </w:r>
          </w:p>
          <w:p w14:paraId="3B5CE142" w14:textId="77777777" w:rsidR="000C3AAA" w:rsidRPr="003C742E" w:rsidRDefault="000C3AAA" w:rsidP="001A39CE">
            <w:pPr>
              <w:pStyle w:val="TableText"/>
            </w:pPr>
            <w:r w:rsidRPr="003C742E">
              <w:t>The final CSR can be provided as a post approval commitment to the TGA, similar to the European Union.</w:t>
            </w:r>
          </w:p>
        </w:tc>
      </w:tr>
    </w:tbl>
    <w:p w14:paraId="5B6DE8EB" w14:textId="5002B9E3" w:rsidR="001E1DC3" w:rsidRPr="003C742E" w:rsidRDefault="001A39CE" w:rsidP="003C742E">
      <w:pPr>
        <w:pStyle w:val="TableDescription"/>
      </w:pPr>
      <w:r w:rsidRPr="003C742E">
        <w:t>Abbreviations: CSR = clinical study report; EMA = European Medicines Agency; mRNA-1273 = Spikevax (elasomeran) COVID-19 vaccine drug development name.</w:t>
      </w:r>
      <w:bookmarkStart w:id="68" w:name="_Ref132893988"/>
    </w:p>
    <w:p w14:paraId="6A7DE30B" w14:textId="2ADBA76E" w:rsidR="001A39CE" w:rsidRPr="003C742E" w:rsidRDefault="001A39CE" w:rsidP="001A39CE">
      <w:pPr>
        <w:pStyle w:val="TableTitle"/>
      </w:pPr>
      <w:bookmarkStart w:id="69" w:name="_Ref132903401"/>
      <w:r w:rsidRPr="003C742E">
        <w:t xml:space="preserve">Table </w:t>
      </w:r>
      <w:r w:rsidR="009809E2">
        <w:fldChar w:fldCharType="begin"/>
      </w:r>
      <w:r w:rsidR="009809E2">
        <w:instrText xml:space="preserve"> SEQ Table \* ARABIC </w:instrText>
      </w:r>
      <w:r w:rsidR="009809E2">
        <w:fldChar w:fldCharType="separate"/>
      </w:r>
      <w:r w:rsidR="0005046B">
        <w:rPr>
          <w:noProof/>
        </w:rPr>
        <w:t>6</w:t>
      </w:r>
      <w:r w:rsidR="009809E2">
        <w:rPr>
          <w:noProof/>
        </w:rPr>
        <w:fldChar w:fldCharType="end"/>
      </w:r>
      <w:bookmarkEnd w:id="68"/>
      <w:bookmarkEnd w:id="69"/>
      <w:r w:rsidRPr="003C742E">
        <w:t>: Availability of clinical data for adult population (18 years of age and older) to transition from provisional to full registration</w:t>
      </w:r>
    </w:p>
    <w:tbl>
      <w:tblPr>
        <w:tblStyle w:val="TableGrid"/>
        <w:tblW w:w="0" w:type="auto"/>
        <w:tblLook w:val="04A0" w:firstRow="1" w:lastRow="0" w:firstColumn="1" w:lastColumn="0" w:noHBand="0" w:noVBand="1"/>
      </w:tblPr>
      <w:tblGrid>
        <w:gridCol w:w="2405"/>
        <w:gridCol w:w="6611"/>
      </w:tblGrid>
      <w:tr w:rsidR="001E1DC3" w:rsidRPr="003C742E" w14:paraId="07B99447" w14:textId="77777777" w:rsidTr="001E1DC3">
        <w:tc>
          <w:tcPr>
            <w:tcW w:w="2405" w:type="dxa"/>
          </w:tcPr>
          <w:p w14:paraId="500A70E2" w14:textId="77777777" w:rsidR="001E1DC3" w:rsidRPr="003C742E" w:rsidRDefault="001E1DC3" w:rsidP="001E1DC3">
            <w:pPr>
              <w:pStyle w:val="TableText"/>
              <w:rPr>
                <w:b/>
                <w:bCs/>
              </w:rPr>
            </w:pPr>
            <w:r w:rsidRPr="003C742E">
              <w:rPr>
                <w:b/>
                <w:bCs/>
              </w:rPr>
              <w:t>Specific conditions</w:t>
            </w:r>
          </w:p>
        </w:tc>
        <w:tc>
          <w:tcPr>
            <w:tcW w:w="6611" w:type="dxa"/>
          </w:tcPr>
          <w:p w14:paraId="3B996B63" w14:textId="77777777" w:rsidR="001E1DC3" w:rsidRPr="003C742E" w:rsidRDefault="001E1DC3" w:rsidP="001E1DC3">
            <w:pPr>
              <w:pStyle w:val="TableText"/>
              <w:rPr>
                <w:b/>
                <w:bCs/>
              </w:rPr>
            </w:pPr>
            <w:r w:rsidRPr="003C742E">
              <w:rPr>
                <w:b/>
                <w:bCs/>
              </w:rPr>
              <w:t>Availability of clinical data</w:t>
            </w:r>
          </w:p>
        </w:tc>
      </w:tr>
      <w:tr w:rsidR="001E1DC3" w:rsidRPr="003C742E" w14:paraId="551FFCD3" w14:textId="77777777" w:rsidTr="001E1DC3">
        <w:tc>
          <w:tcPr>
            <w:tcW w:w="2405" w:type="dxa"/>
          </w:tcPr>
          <w:p w14:paraId="757A1D10" w14:textId="657D27BB" w:rsidR="001E1DC3" w:rsidRPr="003C742E" w:rsidRDefault="001E1DC3" w:rsidP="001E1DC3">
            <w:pPr>
              <w:pStyle w:val="TableText"/>
            </w:pPr>
            <w:r w:rsidRPr="003C742E">
              <w:t xml:space="preserve">Submit safety analysis at 6 months post Dose 2 from </w:t>
            </w:r>
            <w:r w:rsidR="00453F5D">
              <w:t xml:space="preserve">the </w:t>
            </w:r>
            <w:r w:rsidRPr="003C742E">
              <w:t>Phase II</w:t>
            </w:r>
            <w:r w:rsidR="00453F5D">
              <w:t xml:space="preserve"> S</w:t>
            </w:r>
            <w:r w:rsidRPr="003C742E">
              <w:t>tudy</w:t>
            </w:r>
            <w:r w:rsidR="00453F5D">
              <w:t xml:space="preserve"> P201 </w:t>
            </w:r>
            <w:r w:rsidRPr="003C742E">
              <w:t>when the analysis is available</w:t>
            </w:r>
          </w:p>
        </w:tc>
        <w:tc>
          <w:tcPr>
            <w:tcW w:w="6611" w:type="dxa"/>
          </w:tcPr>
          <w:p w14:paraId="68B9F4A2" w14:textId="77777777" w:rsidR="001E1DC3" w:rsidRPr="003C742E" w:rsidRDefault="001E1DC3" w:rsidP="001E1DC3">
            <w:pPr>
              <w:pStyle w:val="TableText"/>
              <w:rPr>
                <w:b/>
                <w:bCs/>
              </w:rPr>
            </w:pPr>
            <w:r w:rsidRPr="003C742E">
              <w:rPr>
                <w:b/>
                <w:bCs/>
              </w:rPr>
              <w:t>Phase I Study DMID-20-0003:</w:t>
            </w:r>
          </w:p>
          <w:p w14:paraId="40EAD493" w14:textId="77777777" w:rsidR="001E1DC3" w:rsidRPr="003C742E" w:rsidRDefault="001E1DC3" w:rsidP="001E1DC3">
            <w:pPr>
              <w:pStyle w:val="TableText"/>
            </w:pPr>
            <w:r w:rsidRPr="003C742E">
              <w:t>The final clinical study report was submitted in to TGA on 4 November 2022.</w:t>
            </w:r>
          </w:p>
          <w:p w14:paraId="0BE9F08F" w14:textId="77777777" w:rsidR="001E1DC3" w:rsidRPr="003C742E" w:rsidRDefault="001E1DC3" w:rsidP="001E1DC3">
            <w:pPr>
              <w:pStyle w:val="TableText"/>
              <w:rPr>
                <w:b/>
                <w:bCs/>
              </w:rPr>
            </w:pPr>
            <w:r w:rsidRPr="003C742E">
              <w:rPr>
                <w:b/>
                <w:bCs/>
              </w:rPr>
              <w:t>Phase II Study P201:</w:t>
            </w:r>
          </w:p>
          <w:p w14:paraId="28BE59AB" w14:textId="77777777" w:rsidR="001E1DC3" w:rsidRPr="003C742E" w:rsidRDefault="001E1DC3" w:rsidP="001E1DC3">
            <w:pPr>
              <w:pStyle w:val="TableText"/>
            </w:pPr>
            <w:r w:rsidRPr="003C742E">
              <w:t>The following data, including follow up safety data at 6 months was submitted to TGA on 27 June 2022:</w:t>
            </w:r>
          </w:p>
          <w:p w14:paraId="2982C60C" w14:textId="2478F4B9" w:rsidR="001E1DC3" w:rsidRPr="003C742E" w:rsidRDefault="001E1DC3" w:rsidP="00D10BAB">
            <w:pPr>
              <w:pStyle w:val="TableText"/>
              <w:numPr>
                <w:ilvl w:val="0"/>
                <w:numId w:val="10"/>
              </w:numPr>
            </w:pPr>
            <w:r w:rsidRPr="003C742E">
              <w:t>Primary analysis clinical study report dated 23 February 2021</w:t>
            </w:r>
          </w:p>
          <w:p w14:paraId="18F4746E" w14:textId="6403510F" w:rsidR="001E1DC3" w:rsidRPr="003C742E" w:rsidRDefault="001E1DC3" w:rsidP="00D10BAB">
            <w:pPr>
              <w:pStyle w:val="TableText"/>
              <w:numPr>
                <w:ilvl w:val="0"/>
                <w:numId w:val="10"/>
              </w:numPr>
            </w:pPr>
            <w:r w:rsidRPr="003C742E">
              <w:t>Primary analysis clinical study report addendum 1 (end of Part A immunogenicity and safety) dated 13 August 2021</w:t>
            </w:r>
          </w:p>
          <w:p w14:paraId="75237108" w14:textId="6DFE8B25" w:rsidR="001E1DC3" w:rsidRPr="003C742E" w:rsidRDefault="001E1DC3" w:rsidP="00D10BAB">
            <w:pPr>
              <w:pStyle w:val="TableText"/>
              <w:numPr>
                <w:ilvl w:val="0"/>
                <w:numId w:val="10"/>
              </w:numPr>
            </w:pPr>
            <w:r w:rsidRPr="003C742E">
              <w:t>Primary analysis clinical study report addendum 2 (Part B immunogenicity and safety) dated 24 May 2022.</w:t>
            </w:r>
          </w:p>
          <w:p w14:paraId="6BB42E46" w14:textId="77777777" w:rsidR="001E1DC3" w:rsidRPr="003C742E" w:rsidRDefault="001E1DC3" w:rsidP="001E1DC3">
            <w:pPr>
              <w:pStyle w:val="TableText"/>
            </w:pPr>
            <w:r w:rsidRPr="003C742E">
              <w:t>The final clinical study report for Part C was submitted to TGA on 28 September 2022. This CSR addendum 3 (Part C) provided safety and immunogenicity results for Part C and is considered the last study report</w:t>
            </w:r>
          </w:p>
          <w:p w14:paraId="7A6022B2" w14:textId="15511B9A" w:rsidR="001E1DC3" w:rsidRPr="003C742E" w:rsidRDefault="001E1DC3" w:rsidP="001E1DC3">
            <w:pPr>
              <w:pStyle w:val="TableText"/>
            </w:pPr>
            <w:r w:rsidRPr="003C742E">
              <w:t xml:space="preserve">for </w:t>
            </w:r>
            <w:r w:rsidR="00453F5D">
              <w:t xml:space="preserve">Study </w:t>
            </w:r>
            <w:r w:rsidRPr="003C742E">
              <w:t>P201 marking the completion of the study.</w:t>
            </w:r>
          </w:p>
        </w:tc>
      </w:tr>
      <w:tr w:rsidR="001E1DC3" w:rsidRPr="003C742E" w14:paraId="7F3D3D06" w14:textId="77777777" w:rsidTr="001E1DC3">
        <w:tc>
          <w:tcPr>
            <w:tcW w:w="2405" w:type="dxa"/>
          </w:tcPr>
          <w:p w14:paraId="473315BA" w14:textId="77777777" w:rsidR="001E1DC3" w:rsidRPr="003C742E" w:rsidRDefault="001E1DC3" w:rsidP="001E1DC3">
            <w:pPr>
              <w:pStyle w:val="TableText"/>
            </w:pPr>
            <w:r w:rsidRPr="003C742E">
              <w:t>Submit the clinical study report for Study P301 (Phase III) and Study P201 (Phase II) when ready.</w:t>
            </w:r>
          </w:p>
          <w:p w14:paraId="0DD549B4" w14:textId="77777777" w:rsidR="001E1DC3" w:rsidRPr="003C742E" w:rsidRDefault="001E1DC3" w:rsidP="001E1DC3">
            <w:pPr>
              <w:pStyle w:val="TableText"/>
            </w:pPr>
            <w:r w:rsidRPr="003C742E">
              <w:t>Please also submit the final report for these studies with 24 months follow up duration when it became available.</w:t>
            </w:r>
          </w:p>
        </w:tc>
        <w:tc>
          <w:tcPr>
            <w:tcW w:w="6611" w:type="dxa"/>
          </w:tcPr>
          <w:p w14:paraId="4A793CA8" w14:textId="3A4C1739" w:rsidR="001E1DC3" w:rsidRPr="003C742E" w:rsidRDefault="001E1DC3" w:rsidP="001E1DC3">
            <w:pPr>
              <w:pStyle w:val="TableText"/>
              <w:rPr>
                <w:b/>
                <w:bCs/>
              </w:rPr>
            </w:pPr>
            <w:r w:rsidRPr="003C742E">
              <w:rPr>
                <w:b/>
                <w:bCs/>
              </w:rPr>
              <w:t>Phase III Study P301:</w:t>
            </w:r>
          </w:p>
          <w:p w14:paraId="25EA0DCA" w14:textId="1F1FCCAF" w:rsidR="001E1DC3" w:rsidRPr="003C742E" w:rsidRDefault="001E1DC3" w:rsidP="001E1DC3">
            <w:pPr>
              <w:pStyle w:val="TableText"/>
            </w:pPr>
            <w:r w:rsidRPr="003C742E">
              <w:t>The clinical study report (Part A) and addendum 1 dated 5 August 2021 were submitted to TGA on 27 August 2021, and 15 September 2021.</w:t>
            </w:r>
          </w:p>
          <w:p w14:paraId="5667C222" w14:textId="27B00541" w:rsidR="001E1DC3" w:rsidRPr="003C742E" w:rsidRDefault="001E1DC3" w:rsidP="001E1DC3">
            <w:pPr>
              <w:pStyle w:val="TableText"/>
            </w:pPr>
            <w:r w:rsidRPr="003C742E">
              <w:t xml:space="preserve">Long-term follow-up Part B and C interim clinical study report is included in this submission. This includes 6 months follow up on more than 3000 participants and will be the last piece of primary series data from </w:t>
            </w:r>
            <w:r w:rsidR="00453F5D">
              <w:t xml:space="preserve">Study </w:t>
            </w:r>
            <w:r w:rsidRPr="003C742E">
              <w:t>P301.</w:t>
            </w:r>
          </w:p>
          <w:p w14:paraId="658F7C13" w14:textId="0D6A17BD" w:rsidR="001E1DC3" w:rsidRPr="003C742E" w:rsidRDefault="001E1DC3" w:rsidP="001E1DC3">
            <w:pPr>
              <w:pStyle w:val="TableText"/>
            </w:pPr>
            <w:r w:rsidRPr="003C742E">
              <w:t xml:space="preserve">The final clinical study report is planned for </w:t>
            </w:r>
            <w:r w:rsidR="00574623">
              <w:t>Dec</w:t>
            </w:r>
            <w:r w:rsidR="00585630">
              <w:t>ember</w:t>
            </w:r>
            <w:r w:rsidRPr="003C742E">
              <w:t xml:space="preserve"> 2023.</w:t>
            </w:r>
          </w:p>
          <w:p w14:paraId="4C97CA0E" w14:textId="21FC284C" w:rsidR="001E1DC3" w:rsidRPr="003C742E" w:rsidRDefault="001E1DC3" w:rsidP="001E1DC3">
            <w:pPr>
              <w:pStyle w:val="TableText"/>
            </w:pPr>
            <w:r w:rsidRPr="003C742E">
              <w:t>This CSR will report on the remaining follow up post boost.</w:t>
            </w:r>
          </w:p>
          <w:p w14:paraId="762F5D2A" w14:textId="155ABF6C" w:rsidR="001E1DC3" w:rsidRPr="003C742E" w:rsidRDefault="001E1DC3" w:rsidP="001E1DC3">
            <w:pPr>
              <w:pStyle w:val="TableText"/>
            </w:pPr>
            <w:r w:rsidRPr="003C742E">
              <w:t xml:space="preserve">As concluded in the EMA assessment report dated 16 August 2022, </w:t>
            </w:r>
            <w:r w:rsidR="00453F5D">
              <w:t>S</w:t>
            </w:r>
            <w:r w:rsidRPr="003C742E">
              <w:t>tudy</w:t>
            </w:r>
            <w:r w:rsidR="00453F5D">
              <w:t> </w:t>
            </w:r>
            <w:r w:rsidRPr="003C742E">
              <w:t>P301 continues to follow the safety and effectiveness of the 2-dose primary series of mRNA- 1273 in adults 18 years of age and older for 24 months.</w:t>
            </w:r>
          </w:p>
          <w:p w14:paraId="12160B8C" w14:textId="22FAA7A9" w:rsidR="001E1DC3" w:rsidRPr="003C742E" w:rsidRDefault="001E1DC3" w:rsidP="001E1DC3">
            <w:pPr>
              <w:pStyle w:val="TableText"/>
            </w:pPr>
            <w:r w:rsidRPr="003C742E">
              <w:t xml:space="preserve">Data summarising 6 months post dose 2 follow up have been provided and the safety profile demonstrated no unexpected reactogenicity or any new safety signals. It is not expected that the remaining outstanding data in </w:t>
            </w:r>
            <w:r w:rsidR="00453F5D">
              <w:t xml:space="preserve">Study </w:t>
            </w:r>
            <w:r w:rsidRPr="003C742E">
              <w:t>P301 will alter the benefit risk profile of Spikevax.</w:t>
            </w:r>
          </w:p>
          <w:p w14:paraId="72C5B3ED" w14:textId="5152060E" w:rsidR="001E1DC3" w:rsidRPr="003C742E" w:rsidRDefault="001E1DC3" w:rsidP="001E1DC3">
            <w:pPr>
              <w:pStyle w:val="TableText"/>
            </w:pPr>
            <w:r w:rsidRPr="003C742E">
              <w:t xml:space="preserve">Consequently, </w:t>
            </w:r>
            <w:r w:rsidR="00453F5D">
              <w:t xml:space="preserve">Study </w:t>
            </w:r>
            <w:r w:rsidRPr="003C742E">
              <w:t xml:space="preserve">P301 was reclassified as a category 3 study (post-approval commitment) in the </w:t>
            </w:r>
            <w:r w:rsidR="00D10BAB" w:rsidRPr="003C742E">
              <w:t>EU.</w:t>
            </w:r>
          </w:p>
          <w:p w14:paraId="25948289" w14:textId="77777777" w:rsidR="001E1DC3" w:rsidRPr="003C742E" w:rsidRDefault="001E1DC3" w:rsidP="001E1DC3">
            <w:pPr>
              <w:pStyle w:val="TableText"/>
            </w:pPr>
            <w:r w:rsidRPr="003C742E">
              <w:lastRenderedPageBreak/>
              <w:t>The EMA was of the opinion that the comprehensive existing data package for this vaccine warrants transformation of the current conditional approval into a full marketing authorisation. The sponsor believes that the existing data will also be sufficient to transition to full registration in Australia.</w:t>
            </w:r>
          </w:p>
          <w:p w14:paraId="4D6089ED" w14:textId="77777777" w:rsidR="001E1DC3" w:rsidRPr="003C742E" w:rsidRDefault="001E1DC3" w:rsidP="001E1DC3">
            <w:pPr>
              <w:pStyle w:val="TableText"/>
              <w:rPr>
                <w:b/>
                <w:bCs/>
              </w:rPr>
            </w:pPr>
            <w:r w:rsidRPr="003C742E">
              <w:rPr>
                <w:b/>
                <w:bCs/>
              </w:rPr>
              <w:t>Phase II Study P201:</w:t>
            </w:r>
          </w:p>
          <w:p w14:paraId="0B981FDE" w14:textId="77777777" w:rsidR="001E1DC3" w:rsidRPr="003C742E" w:rsidRDefault="001E1DC3" w:rsidP="001E1DC3">
            <w:pPr>
              <w:pStyle w:val="TableText"/>
            </w:pPr>
            <w:r w:rsidRPr="003C742E">
              <w:t>The following clinical study reports were submitted to TGA on 27 June 2022:</w:t>
            </w:r>
          </w:p>
          <w:p w14:paraId="660B4829" w14:textId="6A31DA78" w:rsidR="001E1DC3" w:rsidRPr="003C742E" w:rsidRDefault="001E1DC3" w:rsidP="00D10BAB">
            <w:pPr>
              <w:pStyle w:val="TableText"/>
              <w:numPr>
                <w:ilvl w:val="0"/>
                <w:numId w:val="11"/>
              </w:numPr>
            </w:pPr>
            <w:r w:rsidRPr="003C742E">
              <w:t>Primary analysis clinical study report dated 23 February 2021</w:t>
            </w:r>
          </w:p>
          <w:p w14:paraId="59DC35CB" w14:textId="37E31A5A" w:rsidR="001E1DC3" w:rsidRPr="003C742E" w:rsidRDefault="001E1DC3" w:rsidP="00D10BAB">
            <w:pPr>
              <w:pStyle w:val="TableText"/>
              <w:numPr>
                <w:ilvl w:val="0"/>
                <w:numId w:val="11"/>
              </w:numPr>
            </w:pPr>
            <w:r w:rsidRPr="003C742E">
              <w:t>Primary analysis clinical study report addendum 1 (end of Part A immunogenicity and safety) dated 13 August 2021</w:t>
            </w:r>
          </w:p>
          <w:p w14:paraId="700891F9" w14:textId="748D6669" w:rsidR="001E1DC3" w:rsidRPr="003C742E" w:rsidRDefault="001E1DC3" w:rsidP="00D10BAB">
            <w:pPr>
              <w:pStyle w:val="TableText"/>
              <w:numPr>
                <w:ilvl w:val="0"/>
                <w:numId w:val="11"/>
              </w:numPr>
            </w:pPr>
            <w:r w:rsidRPr="003C742E">
              <w:t>Primary analysis clinical study report addendum 2 (Part B immunogenicity and safety) dated 24 May 2022.</w:t>
            </w:r>
          </w:p>
          <w:p w14:paraId="13D4E682" w14:textId="77777777" w:rsidR="001E1DC3" w:rsidRPr="003C742E" w:rsidRDefault="001E1DC3" w:rsidP="001E1DC3">
            <w:pPr>
              <w:pStyle w:val="TableText"/>
            </w:pPr>
            <w:r w:rsidRPr="003C742E">
              <w:t>Part A is primary series and Part B and C are booster reports.</w:t>
            </w:r>
          </w:p>
          <w:p w14:paraId="699BD62D" w14:textId="556E548C" w:rsidR="001E1DC3" w:rsidRPr="003C742E" w:rsidRDefault="001E1DC3" w:rsidP="001E1DC3">
            <w:pPr>
              <w:pStyle w:val="TableText"/>
            </w:pPr>
            <w:r w:rsidRPr="003C742E">
              <w:t>The final clinical study report for Part C was submitted to TGA on 28</w:t>
            </w:r>
            <w:r w:rsidR="00453F5D">
              <w:t> </w:t>
            </w:r>
            <w:r w:rsidRPr="003C742E">
              <w:t>September 2022. This CSR addendum 3 (Part C) provided safety and immunogenicity results for Part C and is considered the last study report for P201 marking the completion of the study.</w:t>
            </w:r>
          </w:p>
          <w:p w14:paraId="1A746B18" w14:textId="2E208D20" w:rsidR="001E1DC3" w:rsidRPr="003C742E" w:rsidRDefault="001E1DC3" w:rsidP="001E1DC3">
            <w:pPr>
              <w:pStyle w:val="TableText"/>
            </w:pPr>
            <w:r w:rsidRPr="003C742E">
              <w:t>In the response to questions submitted to TGA on 29 July 2022 and 9</w:t>
            </w:r>
            <w:r w:rsidR="00453F5D">
              <w:t> </w:t>
            </w:r>
            <w:r w:rsidRPr="003C742E">
              <w:t xml:space="preserve">August 2022, it was clarified that 24 months follow up was not planned for </w:t>
            </w:r>
            <w:r w:rsidR="00453F5D">
              <w:t>S</w:t>
            </w:r>
            <w:r w:rsidRPr="003C742E">
              <w:t>tudy P201 according to the protocol.</w:t>
            </w:r>
          </w:p>
        </w:tc>
      </w:tr>
      <w:tr w:rsidR="001E1DC3" w:rsidRPr="003C742E" w14:paraId="7670CA35" w14:textId="77777777" w:rsidTr="001E1DC3">
        <w:tc>
          <w:tcPr>
            <w:tcW w:w="2405" w:type="dxa"/>
          </w:tcPr>
          <w:p w14:paraId="6B5B100E" w14:textId="3C5C2945" w:rsidR="001E1DC3" w:rsidRPr="003C742E" w:rsidRDefault="001E1DC3" w:rsidP="001E1DC3">
            <w:pPr>
              <w:pStyle w:val="TableText"/>
            </w:pPr>
            <w:r w:rsidRPr="003C742E">
              <w:lastRenderedPageBreak/>
              <w:t xml:space="preserve">Submit the immunogenicity data for Study </w:t>
            </w:r>
            <w:r w:rsidR="00516475" w:rsidRPr="003C742E">
              <w:t>P</w:t>
            </w:r>
            <w:r w:rsidRPr="003C742E">
              <w:t>301</w:t>
            </w:r>
          </w:p>
        </w:tc>
        <w:tc>
          <w:tcPr>
            <w:tcW w:w="6611" w:type="dxa"/>
          </w:tcPr>
          <w:p w14:paraId="1F83D31D" w14:textId="7284A107" w:rsidR="001E1DC3" w:rsidRPr="003C742E" w:rsidRDefault="001E1DC3" w:rsidP="001E1DC3">
            <w:pPr>
              <w:pStyle w:val="TableText"/>
            </w:pPr>
            <w:r w:rsidRPr="003C742E">
              <w:t>This data was included in P301 clinical study report (Part A) and addendum 1 dated 5 August 2021, which were submitted to TGA on 27 August 2021 and 15 September 2021.</w:t>
            </w:r>
          </w:p>
          <w:p w14:paraId="1F46B3EA" w14:textId="77777777" w:rsidR="001E1DC3" w:rsidRPr="003C742E" w:rsidRDefault="001E1DC3" w:rsidP="001E1DC3">
            <w:pPr>
              <w:pStyle w:val="TableText"/>
            </w:pPr>
            <w:r w:rsidRPr="003C742E">
              <w:t>Long-term follow-up Part B and C interim clinical study report is included in this submission.</w:t>
            </w:r>
          </w:p>
        </w:tc>
      </w:tr>
      <w:tr w:rsidR="001E1DC3" w:rsidRPr="003C742E" w14:paraId="513F25B1" w14:textId="77777777" w:rsidTr="001E1DC3">
        <w:tc>
          <w:tcPr>
            <w:tcW w:w="2405" w:type="dxa"/>
          </w:tcPr>
          <w:p w14:paraId="600A47EA" w14:textId="4C6B534A" w:rsidR="001E1DC3" w:rsidRPr="003C742E" w:rsidRDefault="001E1DC3" w:rsidP="001E1DC3">
            <w:pPr>
              <w:pStyle w:val="TableText"/>
            </w:pPr>
            <w:r w:rsidRPr="003C742E">
              <w:t>When available, please provide further data relating to vaccine efficacy against asymptomatic disease, efficacy against SARS</w:t>
            </w:r>
            <w:r w:rsidRPr="003C742E">
              <w:noBreakHyphen/>
              <w:t>CoV-2 transmission, vaccine efficacy in immunocompromised subjects, efficacy in subjects with autoimmune conditions, efficacy against variants of concern, pregnant women, lactating mothers, and information relating to post market safety and effectiveness studies should be provided to TGA to update the Product information.</w:t>
            </w:r>
          </w:p>
        </w:tc>
        <w:tc>
          <w:tcPr>
            <w:tcW w:w="6611" w:type="dxa"/>
          </w:tcPr>
          <w:p w14:paraId="0575D52C" w14:textId="77777777" w:rsidR="001E1DC3" w:rsidRPr="003C742E" w:rsidRDefault="001E1DC3" w:rsidP="001E1DC3">
            <w:pPr>
              <w:pStyle w:val="TableText"/>
            </w:pPr>
            <w:r w:rsidRPr="003C742E">
              <w:t>As per this condition, further data is only to be provided, when available. Please find below information on the availability of the data.</w:t>
            </w:r>
          </w:p>
          <w:p w14:paraId="147FA173" w14:textId="77777777" w:rsidR="001E1DC3" w:rsidRPr="003C742E" w:rsidRDefault="001E1DC3" w:rsidP="001E1DC3">
            <w:pPr>
              <w:pStyle w:val="TableText"/>
              <w:rPr>
                <w:b/>
                <w:bCs/>
              </w:rPr>
            </w:pPr>
            <w:r w:rsidRPr="003C742E">
              <w:rPr>
                <w:b/>
                <w:bCs/>
              </w:rPr>
              <w:t>Vaccine efficacy against asymptomatic disease:</w:t>
            </w:r>
          </w:p>
          <w:p w14:paraId="7F616F8C" w14:textId="125015B0" w:rsidR="001E1DC3" w:rsidRPr="003C742E" w:rsidRDefault="001E1DC3" w:rsidP="001E1DC3">
            <w:pPr>
              <w:pStyle w:val="TableText"/>
            </w:pPr>
            <w:r w:rsidRPr="003C742E">
              <w:t>This data was included in P301 clinical study report (Part A) dated 5 August 2021, which was submitted to TGA on 27 August 2021 and 15 September 2021.</w:t>
            </w:r>
          </w:p>
          <w:p w14:paraId="58014598" w14:textId="77777777" w:rsidR="001E1DC3" w:rsidRPr="003C742E" w:rsidRDefault="001E1DC3" w:rsidP="001E1DC3">
            <w:pPr>
              <w:pStyle w:val="TableText"/>
            </w:pPr>
            <w:r w:rsidRPr="003C742E">
              <w:t>Long-term follow-up Part B and Part C interim clinical study report is included in this submission.</w:t>
            </w:r>
          </w:p>
          <w:p w14:paraId="43D7BC40" w14:textId="77777777" w:rsidR="001E1DC3" w:rsidRPr="003C742E" w:rsidRDefault="001E1DC3" w:rsidP="001E1DC3">
            <w:pPr>
              <w:pStyle w:val="TableText"/>
              <w:rPr>
                <w:b/>
                <w:bCs/>
              </w:rPr>
            </w:pPr>
            <w:r w:rsidRPr="003C742E">
              <w:rPr>
                <w:b/>
                <w:bCs/>
              </w:rPr>
              <w:t>Efficacy against SARS-CoV-2 transmission:</w:t>
            </w:r>
          </w:p>
          <w:p w14:paraId="465DA988" w14:textId="77777777" w:rsidR="001E1DC3" w:rsidRPr="003C742E" w:rsidRDefault="001E1DC3" w:rsidP="001E1DC3">
            <w:pPr>
              <w:pStyle w:val="TableText"/>
            </w:pPr>
            <w:r w:rsidRPr="003C742E">
              <w:t>No transmission data are available or planned as this was not part of any study design.</w:t>
            </w:r>
          </w:p>
          <w:p w14:paraId="123DAEC9" w14:textId="77777777" w:rsidR="001E1DC3" w:rsidRPr="003C742E" w:rsidRDefault="001E1DC3" w:rsidP="001E1DC3">
            <w:pPr>
              <w:pStyle w:val="TableText"/>
              <w:rPr>
                <w:b/>
                <w:bCs/>
              </w:rPr>
            </w:pPr>
            <w:r w:rsidRPr="003C742E">
              <w:rPr>
                <w:b/>
                <w:bCs/>
              </w:rPr>
              <w:t>Vaccine efficacy in immunocompromised subjects:</w:t>
            </w:r>
          </w:p>
          <w:p w14:paraId="63670978" w14:textId="5DCA3FC5" w:rsidR="001E1DC3" w:rsidRPr="003C742E" w:rsidRDefault="001E1DC3" w:rsidP="001E1DC3">
            <w:pPr>
              <w:pStyle w:val="TableText"/>
            </w:pPr>
            <w:r w:rsidRPr="003C742E">
              <w:t xml:space="preserve">A </w:t>
            </w:r>
            <w:r w:rsidR="00453F5D">
              <w:t xml:space="preserve">Study </w:t>
            </w:r>
            <w:r w:rsidRPr="003C742E">
              <w:t>P901 manuscript for vaccine efficacy in immunocompromised patients who have completed a 3-dose Spikevax primary vaccination scheme was submitted to TGA on 9 August 2022.</w:t>
            </w:r>
          </w:p>
          <w:p w14:paraId="02E32022" w14:textId="18CC1029" w:rsidR="001E1DC3" w:rsidRPr="003C742E" w:rsidRDefault="00453F5D" w:rsidP="001E1DC3">
            <w:pPr>
              <w:pStyle w:val="TableText"/>
            </w:pPr>
            <w:r>
              <w:t xml:space="preserve">Study </w:t>
            </w:r>
            <w:r w:rsidR="001E1DC3" w:rsidRPr="003C742E">
              <w:t>P304 is a Phase III study in adult solid organ transplant recipients. This study was included in the clinical study plan. As P304 is not a key study, and other data in IC patients has already been provided in the P901 manuscript, we believe the P304 study report will not be</w:t>
            </w:r>
          </w:p>
          <w:p w14:paraId="5E545C2A" w14:textId="77777777" w:rsidR="001E1DC3" w:rsidRPr="003C742E" w:rsidRDefault="001E1DC3" w:rsidP="001E1DC3">
            <w:pPr>
              <w:pStyle w:val="TableText"/>
            </w:pPr>
            <w:r w:rsidRPr="003C742E">
              <w:t>required to transition to full registration. The final clinical study report is planned for 31 January 2024.</w:t>
            </w:r>
          </w:p>
          <w:p w14:paraId="6560B0B8" w14:textId="77777777" w:rsidR="001E1DC3" w:rsidRPr="003C742E" w:rsidRDefault="001E1DC3" w:rsidP="001E1DC3">
            <w:pPr>
              <w:pStyle w:val="TableText"/>
              <w:rPr>
                <w:b/>
                <w:bCs/>
              </w:rPr>
            </w:pPr>
            <w:r w:rsidRPr="003C742E">
              <w:rPr>
                <w:b/>
                <w:bCs/>
              </w:rPr>
              <w:t>Efficacy in subjects with autoimmune conditions:</w:t>
            </w:r>
          </w:p>
          <w:p w14:paraId="49685E2E" w14:textId="77777777" w:rsidR="001E1DC3" w:rsidRPr="003C742E" w:rsidRDefault="001E1DC3" w:rsidP="001E1DC3">
            <w:pPr>
              <w:pStyle w:val="TableText"/>
            </w:pPr>
            <w:r w:rsidRPr="003C742E">
              <w:t>No data of autoimmune conditions are available or planned as this was not part of any study design.</w:t>
            </w:r>
          </w:p>
          <w:p w14:paraId="43F1F4A9" w14:textId="77777777" w:rsidR="001E1DC3" w:rsidRPr="003C742E" w:rsidRDefault="001E1DC3" w:rsidP="001E1DC3">
            <w:pPr>
              <w:pStyle w:val="TableText"/>
              <w:rPr>
                <w:b/>
                <w:bCs/>
              </w:rPr>
            </w:pPr>
            <w:r w:rsidRPr="003C742E">
              <w:rPr>
                <w:b/>
                <w:bCs/>
              </w:rPr>
              <w:t>Efficacy against variants of concern:</w:t>
            </w:r>
          </w:p>
          <w:p w14:paraId="7682B5C7" w14:textId="7F8E0557" w:rsidR="00453F5D" w:rsidRPr="003C742E" w:rsidRDefault="00453F5D" w:rsidP="001E1DC3">
            <w:pPr>
              <w:pStyle w:val="TableText"/>
            </w:pPr>
            <w:r>
              <w:t xml:space="preserve">Study </w:t>
            </w:r>
            <w:r w:rsidR="001E1DC3" w:rsidRPr="003C742E">
              <w:t>P901 manuscript titled ‘Tseng et al 2022 Nature Med- Effectiveness of mRNA-1273 against SARS-CoV-2 Omicron and Delta variants’</w:t>
            </w:r>
            <w:bookmarkStart w:id="70" w:name="_Ref133247212"/>
            <w:r w:rsidR="00B2387D">
              <w:rPr>
                <w:rStyle w:val="FootnoteReference"/>
              </w:rPr>
              <w:footnoteReference w:id="10"/>
            </w:r>
            <w:bookmarkEnd w:id="70"/>
            <w:r w:rsidR="001E1DC3" w:rsidRPr="003C742E">
              <w:t xml:space="preserve"> was submitted to TGA on 27 June 2022.</w:t>
            </w:r>
          </w:p>
          <w:p w14:paraId="27D30713" w14:textId="77777777" w:rsidR="001E1DC3" w:rsidRPr="003C742E" w:rsidRDefault="001E1DC3" w:rsidP="001E1DC3">
            <w:pPr>
              <w:pStyle w:val="TableText"/>
              <w:rPr>
                <w:b/>
                <w:bCs/>
              </w:rPr>
            </w:pPr>
            <w:r w:rsidRPr="003C742E">
              <w:rPr>
                <w:b/>
                <w:bCs/>
              </w:rPr>
              <w:t>Pregnant women:</w:t>
            </w:r>
          </w:p>
          <w:p w14:paraId="0CF98126" w14:textId="5B357868" w:rsidR="001E1DC3" w:rsidRPr="003C742E" w:rsidRDefault="001E1DC3" w:rsidP="001E1DC3">
            <w:pPr>
              <w:pStyle w:val="TableText"/>
            </w:pPr>
            <w:r w:rsidRPr="003C742E">
              <w:lastRenderedPageBreak/>
              <w:t>A review of all available evidence on vaccination in pregnant women and breastfeeding was conducted following a request from EMA. The data was submitted to TGA during evaluation of the Category 1 type A submission PM-2022-02203-1-2 for Spikevax Bivalent Original/Omicron, refer to the consolidation sequence dated 1 September 2022. A Category 1 Type J</w:t>
            </w:r>
            <w:r w:rsidR="00B2387D">
              <w:t>;</w:t>
            </w:r>
            <w:r w:rsidR="00B2387D">
              <w:rPr>
                <w:rStyle w:val="FootnoteReference"/>
              </w:rPr>
              <w:footnoteReference w:id="11"/>
            </w:r>
            <w:r w:rsidRPr="003C742E">
              <w:t xml:space="preserve"> Submission PM-2022-03942-1-2 to make the same changes to the Spikevax PI was submitted to TGA on 13 September 2022 and approved by TGA on 10 October 2022.</w:t>
            </w:r>
          </w:p>
          <w:p w14:paraId="4FD34B39" w14:textId="1FDA8791" w:rsidR="001E1DC3" w:rsidRPr="003C742E" w:rsidRDefault="001E1DC3" w:rsidP="001E1DC3">
            <w:pPr>
              <w:pStyle w:val="TableText"/>
            </w:pPr>
            <w:r w:rsidRPr="003C742E">
              <w:t>Study P902 (an observational pregnancy outcome study/pregnancy registry) was included in the original clinical study plan. This study was removed from the EU-RMP v</w:t>
            </w:r>
            <w:r w:rsidR="00D10BAB" w:rsidRPr="003C742E">
              <w:t xml:space="preserve">ersion </w:t>
            </w:r>
            <w:r w:rsidRPr="003C742E">
              <w:t>4.2 submitted to TGA on 8 July 2022 during the Category 1 type A submission PM-2022-02203-1-2 for Spikevax Bivalent Original/Omicron. Enrolment of study P902 has been insufficient to meet study objectives, and further challenges are expected given limited use of Spikevax in individuals &lt; 30 years of age in some European countries.</w:t>
            </w:r>
          </w:p>
          <w:p w14:paraId="77F9AA70" w14:textId="729ECE1B" w:rsidR="001E1DC3" w:rsidRPr="003C742E" w:rsidRDefault="001E1DC3" w:rsidP="001E1DC3">
            <w:pPr>
              <w:pStyle w:val="TableText"/>
            </w:pPr>
            <w:r w:rsidRPr="003C742E">
              <w:t xml:space="preserve">Further data concerning safety in pregnancy will be obtained based on the ongoing </w:t>
            </w:r>
            <w:r w:rsidR="00453F5D">
              <w:t xml:space="preserve">Study </w:t>
            </w:r>
            <w:r w:rsidRPr="003C742E">
              <w:t>P905 in Europe and the new secondary database study in the US</w:t>
            </w:r>
            <w:r w:rsidR="00453F5D">
              <w:t>A</w:t>
            </w:r>
            <w:r w:rsidRPr="003C742E">
              <w:t xml:space="preserve"> (</w:t>
            </w:r>
            <w:r w:rsidR="00453F5D">
              <w:t xml:space="preserve">Study </w:t>
            </w:r>
            <w:r w:rsidRPr="003C742E">
              <w:t xml:space="preserve">P919). The final study report for </w:t>
            </w:r>
            <w:r w:rsidR="00453F5D">
              <w:t>S</w:t>
            </w:r>
            <w:r w:rsidRPr="003C742E">
              <w:t xml:space="preserve">tudy P905 is planned for 31 December 2023 and the final study report for </w:t>
            </w:r>
            <w:r w:rsidR="00453F5D">
              <w:t>S</w:t>
            </w:r>
            <w:r w:rsidRPr="003C742E">
              <w:t>tudy P919 is planned for 31 March 2024.</w:t>
            </w:r>
          </w:p>
          <w:p w14:paraId="400C77A2" w14:textId="62D35B92" w:rsidR="001E1DC3" w:rsidRPr="003C742E" w:rsidRDefault="001E1DC3" w:rsidP="001E1DC3">
            <w:pPr>
              <w:pStyle w:val="TableText"/>
            </w:pPr>
            <w:r w:rsidRPr="003C742E">
              <w:t xml:space="preserve">As data relating to pregnant women has already been provided to TGA in Submissions PM-2022-02203-1-2 and PM-2022-03942-1-2, </w:t>
            </w:r>
            <w:r w:rsidR="00453F5D">
              <w:t>the sponsor</w:t>
            </w:r>
            <w:r w:rsidR="00453F5D" w:rsidRPr="003C742E">
              <w:t xml:space="preserve"> </w:t>
            </w:r>
            <w:r w:rsidRPr="003C742E">
              <w:t>believe</w:t>
            </w:r>
            <w:r w:rsidR="00453F5D">
              <w:t>s</w:t>
            </w:r>
            <w:r w:rsidRPr="003C742E">
              <w:t xml:space="preserve"> this data will be sufficient to transition to full registration.</w:t>
            </w:r>
          </w:p>
          <w:p w14:paraId="39565FE3" w14:textId="77777777" w:rsidR="001E1DC3" w:rsidRPr="003C742E" w:rsidRDefault="001E1DC3" w:rsidP="001E1DC3">
            <w:pPr>
              <w:pStyle w:val="TableText"/>
              <w:rPr>
                <w:b/>
                <w:bCs/>
              </w:rPr>
            </w:pPr>
            <w:r w:rsidRPr="003C742E">
              <w:rPr>
                <w:b/>
                <w:bCs/>
              </w:rPr>
              <w:t>Lactating mothers:</w:t>
            </w:r>
          </w:p>
          <w:p w14:paraId="41A95FBB" w14:textId="657DD313" w:rsidR="001E1DC3" w:rsidRPr="003C742E" w:rsidRDefault="001E1DC3" w:rsidP="001E1DC3">
            <w:pPr>
              <w:pStyle w:val="TableText"/>
            </w:pPr>
            <w:r w:rsidRPr="003C742E">
              <w:t>A review of all available evidence on vaccination in pregnant women and breastfeeding was conducted following a request from EMA. The data was submitted to TGA during evaluation of the Category 1 Type A</w:t>
            </w:r>
            <w:r w:rsidR="00B2387D">
              <w:t>;</w:t>
            </w:r>
            <w:r w:rsidR="00B2387D">
              <w:rPr>
                <w:rStyle w:val="FootnoteReference"/>
              </w:rPr>
              <w:footnoteReference w:id="12"/>
            </w:r>
            <w:r w:rsidRPr="003C742E">
              <w:t xml:space="preserve"> </w:t>
            </w:r>
            <w:r w:rsidR="00B2387D" w:rsidRPr="003C742E">
              <w:t xml:space="preserve">Submission </w:t>
            </w:r>
            <w:r w:rsidRPr="003C742E">
              <w:t>PM-2022-02203-1-2 for Spikevax Bivalent Original/Omicron, refer to the consolidation sequence dated 1 September 2022. A Category 1 Type J Submission PM-2022-03942-1-2 to make the same changes to the Spikevax PI was submitted to TGA on 13 September 2022 and approved by TGA on 10 October 2022.</w:t>
            </w:r>
          </w:p>
          <w:p w14:paraId="19CA61BA" w14:textId="77777777" w:rsidR="001E1DC3" w:rsidRPr="003C742E" w:rsidRDefault="001E1DC3" w:rsidP="001E1DC3">
            <w:pPr>
              <w:pStyle w:val="TableText"/>
              <w:rPr>
                <w:b/>
                <w:bCs/>
              </w:rPr>
            </w:pPr>
            <w:r w:rsidRPr="003C742E">
              <w:rPr>
                <w:b/>
                <w:bCs/>
              </w:rPr>
              <w:t>Information relating to post-market safety and effectiveness studies:</w:t>
            </w:r>
          </w:p>
          <w:p w14:paraId="0413D96B" w14:textId="0FFEE7F9" w:rsidR="001E1DC3" w:rsidRPr="003C742E" w:rsidRDefault="001E1DC3" w:rsidP="001E1DC3">
            <w:pPr>
              <w:pStyle w:val="TableText"/>
            </w:pPr>
            <w:r w:rsidRPr="003C742E">
              <w:t>P903 is a US PASS, an active safety surveillance study. This study was included in the clinical study plan. A EU</w:t>
            </w:r>
            <w:r w:rsidR="00766807">
              <w:t xml:space="preserve"> </w:t>
            </w:r>
            <w:r w:rsidRPr="003C742E">
              <w:t>RTQ</w:t>
            </w:r>
            <w:r w:rsidR="00766807">
              <w:t xml:space="preserve"> </w:t>
            </w:r>
            <w:r w:rsidRPr="003C742E">
              <w:t xml:space="preserve">document referencing the </w:t>
            </w:r>
            <w:r w:rsidR="00766807">
              <w:t xml:space="preserve">Study </w:t>
            </w:r>
            <w:r w:rsidRPr="003C742E">
              <w:t xml:space="preserve">P903 interim CSR </w:t>
            </w:r>
            <w:r w:rsidR="00D10BAB" w:rsidRPr="003C742E">
              <w:t xml:space="preserve">Number </w:t>
            </w:r>
            <w:r w:rsidRPr="003C742E">
              <w:t>5 was submitted to TGA via email on 22</w:t>
            </w:r>
            <w:r w:rsidR="00766807">
              <w:t> </w:t>
            </w:r>
            <w:r w:rsidRPr="003C742E">
              <w:t>June 2022 during evaluation of the adolescent booster Submission PM</w:t>
            </w:r>
            <w:r w:rsidR="00766807">
              <w:noBreakHyphen/>
            </w:r>
            <w:r w:rsidRPr="003C742E">
              <w:t>2022-00685-1-2.</w:t>
            </w:r>
          </w:p>
          <w:p w14:paraId="08887DDF" w14:textId="77777777" w:rsidR="001E1DC3" w:rsidRPr="003C742E" w:rsidRDefault="001E1DC3" w:rsidP="001E1DC3">
            <w:pPr>
              <w:pStyle w:val="TableText"/>
            </w:pPr>
            <w:r w:rsidRPr="003C742E">
              <w:t>The final clinical study report is planned for 30 June 2023.</w:t>
            </w:r>
          </w:p>
          <w:p w14:paraId="775176A0" w14:textId="4FFD1EC3" w:rsidR="001E1DC3" w:rsidRPr="003C742E" w:rsidRDefault="001E1DC3" w:rsidP="001E1DC3">
            <w:pPr>
              <w:pStyle w:val="TableText"/>
            </w:pPr>
            <w:r w:rsidRPr="003C742E">
              <w:t xml:space="preserve">If preferred by TGA, interim updates from the PASS </w:t>
            </w:r>
            <w:r w:rsidR="00766807">
              <w:t>S</w:t>
            </w:r>
            <w:r w:rsidRPr="003C742E">
              <w:t>tudy P903 can be provided with the application to transition to full registration.</w:t>
            </w:r>
          </w:p>
          <w:p w14:paraId="0B40D52F" w14:textId="3C91F89B" w:rsidR="001E1DC3" w:rsidRPr="003C742E" w:rsidRDefault="001E1DC3">
            <w:pPr>
              <w:pStyle w:val="TableText"/>
            </w:pPr>
            <w:r w:rsidRPr="003C742E">
              <w:t xml:space="preserve">Regarding the post-market effectiveness study, refer to the </w:t>
            </w:r>
            <w:r w:rsidR="00766807">
              <w:t xml:space="preserve">Study </w:t>
            </w:r>
            <w:r w:rsidRPr="003C742E">
              <w:t>P901 mentioned below.</w:t>
            </w:r>
          </w:p>
        </w:tc>
      </w:tr>
      <w:tr w:rsidR="001E1DC3" w:rsidRPr="003C742E" w14:paraId="6A89726D" w14:textId="77777777" w:rsidTr="00A43D72">
        <w:trPr>
          <w:cantSplit/>
        </w:trPr>
        <w:tc>
          <w:tcPr>
            <w:tcW w:w="2405" w:type="dxa"/>
          </w:tcPr>
          <w:p w14:paraId="7E95EB49" w14:textId="77777777" w:rsidR="001E1DC3" w:rsidRPr="003C742E" w:rsidRDefault="001E1DC3" w:rsidP="001E1DC3">
            <w:pPr>
              <w:pStyle w:val="TableText"/>
            </w:pPr>
            <w:r w:rsidRPr="003C742E">
              <w:lastRenderedPageBreak/>
              <w:t>Please also provide Real world post market global/local efficacy data, when available.</w:t>
            </w:r>
          </w:p>
        </w:tc>
        <w:tc>
          <w:tcPr>
            <w:tcW w:w="6611" w:type="dxa"/>
          </w:tcPr>
          <w:p w14:paraId="5870569D" w14:textId="4448B201" w:rsidR="001E1DC3" w:rsidRPr="003C742E" w:rsidRDefault="00766807" w:rsidP="001E1DC3">
            <w:pPr>
              <w:pStyle w:val="TableText"/>
            </w:pPr>
            <w:r>
              <w:t xml:space="preserve">Study </w:t>
            </w:r>
            <w:r w:rsidR="001E1DC3" w:rsidRPr="003C742E">
              <w:t xml:space="preserve">P901 is the real-world study of the effectiveness of </w:t>
            </w:r>
            <w:r>
              <w:t>the sponsor’s</w:t>
            </w:r>
            <w:r w:rsidRPr="003C742E">
              <w:t xml:space="preserve"> </w:t>
            </w:r>
            <w:r w:rsidR="001E1DC3" w:rsidRPr="003C742E">
              <w:t>COVID-19 vaccine in the US</w:t>
            </w:r>
            <w:r>
              <w:t>A</w:t>
            </w:r>
            <w:r w:rsidR="001E1DC3" w:rsidRPr="003C742E">
              <w:t>. This study was included in the clinical study plan.</w:t>
            </w:r>
          </w:p>
          <w:p w14:paraId="68B7B20E" w14:textId="73905B75" w:rsidR="001E1DC3" w:rsidRPr="003C742E" w:rsidRDefault="001E1DC3" w:rsidP="001E1DC3">
            <w:pPr>
              <w:pStyle w:val="TableText"/>
            </w:pPr>
            <w:r w:rsidRPr="003C742E">
              <w:t xml:space="preserve">The following </w:t>
            </w:r>
            <w:r w:rsidR="00766807">
              <w:t xml:space="preserve">Study </w:t>
            </w:r>
            <w:r w:rsidRPr="003C742E">
              <w:t xml:space="preserve">P901 manuscript was submitted to </w:t>
            </w:r>
            <w:r w:rsidR="00766807">
              <w:t xml:space="preserve">the </w:t>
            </w:r>
            <w:r w:rsidRPr="003C742E">
              <w:t>TGA on 27</w:t>
            </w:r>
            <w:r w:rsidR="00766807">
              <w:t> </w:t>
            </w:r>
            <w:r w:rsidRPr="003C742E">
              <w:t>June</w:t>
            </w:r>
            <w:r w:rsidR="00766807">
              <w:t> </w:t>
            </w:r>
            <w:r w:rsidRPr="003C742E">
              <w:t>2022:</w:t>
            </w:r>
          </w:p>
          <w:p w14:paraId="6A36A7F0" w14:textId="7F19F6BA" w:rsidR="001E1DC3" w:rsidRPr="003C742E" w:rsidRDefault="001E1DC3" w:rsidP="00D10BAB">
            <w:pPr>
              <w:pStyle w:val="TableText"/>
              <w:numPr>
                <w:ilvl w:val="0"/>
                <w:numId w:val="12"/>
              </w:numPr>
            </w:pPr>
            <w:r w:rsidRPr="003C742E">
              <w:t>Tseng et al</w:t>
            </w:r>
            <w:r w:rsidR="00766807">
              <w:t>.</w:t>
            </w:r>
            <w:r w:rsidRPr="003C742E">
              <w:t xml:space="preserve"> </w:t>
            </w:r>
            <w:r w:rsidR="00766807">
              <w:t>(</w:t>
            </w:r>
            <w:r w:rsidRPr="003C742E">
              <w:t>2022</w:t>
            </w:r>
            <w:r w:rsidR="00766807">
              <w:t>)</w:t>
            </w:r>
            <w:r w:rsidRPr="003C742E">
              <w:t xml:space="preserve"> Nature Med - Effectiveness of mRNA-1273 against SARS-CoV-2 Omicron and Delta variants</w:t>
            </w:r>
            <w:r w:rsidR="00B2387D">
              <w:t>.</w:t>
            </w:r>
            <w:r w:rsidRPr="003C742E">
              <w:t xml:space="preserve"> All other available </w:t>
            </w:r>
            <w:r w:rsidR="00766807">
              <w:t xml:space="preserve">Study </w:t>
            </w:r>
            <w:r w:rsidRPr="003C742E">
              <w:t xml:space="preserve">P901 manuscripts/reports were submitted to </w:t>
            </w:r>
            <w:r w:rsidR="00766807">
              <w:t xml:space="preserve">the </w:t>
            </w:r>
            <w:r w:rsidRPr="003C742E">
              <w:t>TGA on 9 August 2022:</w:t>
            </w:r>
          </w:p>
          <w:p w14:paraId="4DD58EC2" w14:textId="2E91B38F" w:rsidR="001E1DC3" w:rsidRPr="003C742E" w:rsidRDefault="001E1DC3" w:rsidP="00D10BAB">
            <w:pPr>
              <w:pStyle w:val="TableText"/>
              <w:numPr>
                <w:ilvl w:val="0"/>
                <w:numId w:val="12"/>
              </w:numPr>
            </w:pPr>
            <w:r w:rsidRPr="003C742E">
              <w:t xml:space="preserve">First and second interim report for the </w:t>
            </w:r>
            <w:r w:rsidR="00766807">
              <w:t xml:space="preserve">real world Study </w:t>
            </w:r>
            <w:r w:rsidRPr="003C742E">
              <w:t>P901</w:t>
            </w:r>
            <w:r w:rsidR="00766807">
              <w:t>.</w:t>
            </w:r>
          </w:p>
          <w:p w14:paraId="14D289E3" w14:textId="62125152" w:rsidR="001E1DC3" w:rsidRPr="003C742E" w:rsidRDefault="00766807" w:rsidP="00D10BAB">
            <w:pPr>
              <w:pStyle w:val="TableText"/>
              <w:numPr>
                <w:ilvl w:val="0"/>
                <w:numId w:val="12"/>
              </w:numPr>
            </w:pPr>
            <w:r>
              <w:t xml:space="preserve">Study </w:t>
            </w:r>
            <w:r w:rsidR="001E1DC3" w:rsidRPr="003C742E">
              <w:t>P901 manuscript for VE in immunocompromised patients who have completed a 3-dose Spikevax primary vaccination scheme.</w:t>
            </w:r>
          </w:p>
          <w:p w14:paraId="6C008209" w14:textId="397966CB" w:rsidR="001E1DC3" w:rsidRPr="003C742E" w:rsidRDefault="00766807" w:rsidP="00D10BAB">
            <w:pPr>
              <w:pStyle w:val="TableText"/>
              <w:numPr>
                <w:ilvl w:val="0"/>
                <w:numId w:val="12"/>
              </w:numPr>
            </w:pPr>
            <w:r>
              <w:t xml:space="preserve">Study </w:t>
            </w:r>
            <w:r w:rsidR="001E1DC3" w:rsidRPr="003C742E">
              <w:t>P901 Manuscript for VE in patients who have received a 50</w:t>
            </w:r>
            <w:r>
              <w:t> </w:t>
            </w:r>
            <w:r w:rsidR="001E1DC3" w:rsidRPr="003C742E">
              <w:t>μg booster dose.</w:t>
            </w:r>
          </w:p>
        </w:tc>
      </w:tr>
    </w:tbl>
    <w:p w14:paraId="35F7B3D0" w14:textId="6A7CEEE0" w:rsidR="001E1DC3" w:rsidRPr="003C742E" w:rsidRDefault="00D10BAB" w:rsidP="003C742E">
      <w:pPr>
        <w:pStyle w:val="TableDescription"/>
      </w:pPr>
      <w:r w:rsidRPr="003C742E">
        <w:t>Abbreviations: COVID-19 = coronavirus disease 2019; CSR = clinical study report; EMA = European Medicines Agency; EU = European Union; mRNA-1273 = Spikevax (elasomeran) COVID-19 vaccine drug development name; PASS = post</w:t>
      </w:r>
      <w:r w:rsidR="00422D8E" w:rsidRPr="003C742E">
        <w:noBreakHyphen/>
      </w:r>
      <w:r w:rsidRPr="003C742E">
        <w:t>authorisation safety study, PI = Product Information; RMP = risk management plan; RTQ = response to question; SARS-CoV-2 = severe acute respiratory syndrome coronavirus 2; US</w:t>
      </w:r>
      <w:r w:rsidR="00A43D72">
        <w:t>A</w:t>
      </w:r>
      <w:r w:rsidR="00422D8E" w:rsidRPr="003C742E">
        <w:t xml:space="preserve"> </w:t>
      </w:r>
      <w:r w:rsidRPr="003C742E">
        <w:t>= United States</w:t>
      </w:r>
      <w:r w:rsidR="00A43D72">
        <w:t xml:space="preserve"> of America</w:t>
      </w:r>
      <w:r w:rsidRPr="003C742E">
        <w:t>; VE = vaccine efficacy.</w:t>
      </w:r>
    </w:p>
    <w:p w14:paraId="4E9CC7ED" w14:textId="1AD6C4C2" w:rsidR="001E1DC3" w:rsidRPr="003C742E" w:rsidRDefault="001E1DC3" w:rsidP="001E1DC3">
      <w:pPr>
        <w:pStyle w:val="TableTitle"/>
      </w:pPr>
      <w:bookmarkStart w:id="71" w:name="_Ref132896435"/>
      <w:r w:rsidRPr="003C742E">
        <w:t xml:space="preserve">Table </w:t>
      </w:r>
      <w:r w:rsidR="009809E2">
        <w:fldChar w:fldCharType="begin"/>
      </w:r>
      <w:r w:rsidR="009809E2">
        <w:instrText xml:space="preserve"> SEQ Table \* ARABIC </w:instrText>
      </w:r>
      <w:r w:rsidR="009809E2">
        <w:fldChar w:fldCharType="separate"/>
      </w:r>
      <w:r w:rsidR="0005046B">
        <w:rPr>
          <w:noProof/>
        </w:rPr>
        <w:t>7</w:t>
      </w:r>
      <w:r w:rsidR="009809E2">
        <w:rPr>
          <w:noProof/>
        </w:rPr>
        <w:fldChar w:fldCharType="end"/>
      </w:r>
      <w:bookmarkEnd w:id="71"/>
      <w:r w:rsidRPr="003C742E">
        <w:t>: Availability of clinical confirmatory trial data to transition from provisional to full registration</w:t>
      </w:r>
    </w:p>
    <w:tbl>
      <w:tblPr>
        <w:tblStyle w:val="TableGrid"/>
        <w:tblW w:w="0" w:type="auto"/>
        <w:tblLook w:val="04A0" w:firstRow="1" w:lastRow="0" w:firstColumn="1" w:lastColumn="0" w:noHBand="0" w:noVBand="1"/>
      </w:tblPr>
      <w:tblGrid>
        <w:gridCol w:w="4815"/>
        <w:gridCol w:w="4201"/>
      </w:tblGrid>
      <w:tr w:rsidR="001E1DC3" w:rsidRPr="003C742E" w14:paraId="23542539" w14:textId="77777777" w:rsidTr="001E1DC3">
        <w:tc>
          <w:tcPr>
            <w:tcW w:w="4815" w:type="dxa"/>
          </w:tcPr>
          <w:p w14:paraId="6FAEB00E" w14:textId="77777777" w:rsidR="001E1DC3" w:rsidRPr="003C742E" w:rsidRDefault="001E1DC3" w:rsidP="001E1DC3">
            <w:pPr>
              <w:pStyle w:val="TableText"/>
              <w:rPr>
                <w:b/>
                <w:bCs/>
              </w:rPr>
            </w:pPr>
            <w:r w:rsidRPr="003C742E">
              <w:rPr>
                <w:b/>
                <w:bCs/>
              </w:rPr>
              <w:t>Specific conditions</w:t>
            </w:r>
          </w:p>
        </w:tc>
        <w:tc>
          <w:tcPr>
            <w:tcW w:w="4201" w:type="dxa"/>
          </w:tcPr>
          <w:p w14:paraId="1BA4FB94" w14:textId="77777777" w:rsidR="001E1DC3" w:rsidRPr="003C742E" w:rsidRDefault="001E1DC3" w:rsidP="001E1DC3">
            <w:pPr>
              <w:pStyle w:val="TableText"/>
              <w:rPr>
                <w:b/>
                <w:bCs/>
              </w:rPr>
            </w:pPr>
            <w:r w:rsidRPr="003C742E">
              <w:rPr>
                <w:b/>
                <w:bCs/>
              </w:rPr>
              <w:t>Availability of clinical data</w:t>
            </w:r>
          </w:p>
        </w:tc>
      </w:tr>
      <w:tr w:rsidR="001E1DC3" w:rsidRPr="003C742E" w14:paraId="1A13B5AA" w14:textId="77777777" w:rsidTr="001E1DC3">
        <w:tc>
          <w:tcPr>
            <w:tcW w:w="4815" w:type="dxa"/>
          </w:tcPr>
          <w:p w14:paraId="6E24C7FB" w14:textId="6495EEC3" w:rsidR="001E1DC3" w:rsidRPr="003C742E" w:rsidRDefault="001E1DC3" w:rsidP="001E1DC3">
            <w:pPr>
              <w:pStyle w:val="TableText"/>
            </w:pPr>
            <w:r w:rsidRPr="003C742E">
              <w:t>Confirmatory trial data (as identified in the sponsor’s plan to submit comprehensive clinical data on the safety and efficacy of the medicine before the end of the 6 years that would start on the day that registration would commence) must be provided.</w:t>
            </w:r>
          </w:p>
        </w:tc>
        <w:tc>
          <w:tcPr>
            <w:tcW w:w="4201" w:type="dxa"/>
          </w:tcPr>
          <w:p w14:paraId="1418E4F1" w14:textId="249F414F" w:rsidR="001E1DC3" w:rsidRPr="003C742E" w:rsidRDefault="001E1DC3" w:rsidP="001E1DC3">
            <w:pPr>
              <w:pStyle w:val="TableText"/>
            </w:pPr>
            <w:r w:rsidRPr="003C742E">
              <w:t>All clinical studies relating to adults and adolescents as identified in the original Clinical Study Plan are already discussed above.</w:t>
            </w:r>
          </w:p>
        </w:tc>
      </w:tr>
    </w:tbl>
    <w:p w14:paraId="0A43F2AB" w14:textId="719C9777" w:rsidR="00D10BAB" w:rsidRPr="003C742E" w:rsidRDefault="00D10BAB" w:rsidP="00A43D72">
      <w:pPr>
        <w:spacing w:before="240"/>
      </w:pPr>
      <w:r w:rsidRPr="003C742E">
        <w:t xml:space="preserve">In response to a request for information by the TGA, the sponsor provide the expected due dates for the final study reports for Studies P301, 203, and 204 and a brief study synopsis for each study and description of information that are currently pending (see update provided to the TGA on 23 March 2023 in </w:t>
      </w:r>
      <w:r w:rsidRPr="003C742E">
        <w:fldChar w:fldCharType="begin"/>
      </w:r>
      <w:r w:rsidRPr="003C742E">
        <w:instrText xml:space="preserve"> REF _Ref132897901 \h </w:instrText>
      </w:r>
      <w:r w:rsidR="003C742E" w:rsidRPr="003C742E">
        <w:instrText xml:space="preserve"> \* MERGEFORMAT </w:instrText>
      </w:r>
      <w:r w:rsidRPr="003C742E">
        <w:fldChar w:fldCharType="separate"/>
      </w:r>
      <w:r w:rsidR="0005046B" w:rsidRPr="003C742E">
        <w:t xml:space="preserve">Table </w:t>
      </w:r>
      <w:r w:rsidR="0005046B">
        <w:rPr>
          <w:noProof/>
        </w:rPr>
        <w:t>8</w:t>
      </w:r>
      <w:r w:rsidRPr="003C742E">
        <w:fldChar w:fldCharType="end"/>
      </w:r>
      <w:r w:rsidRPr="003C742E">
        <w:t xml:space="preserve"> below.</w:t>
      </w:r>
    </w:p>
    <w:p w14:paraId="55983824" w14:textId="07B20D91" w:rsidR="00D10BAB" w:rsidRPr="003C742E" w:rsidRDefault="00D10BAB" w:rsidP="00D10BAB">
      <w:pPr>
        <w:pStyle w:val="TableTitle"/>
      </w:pPr>
      <w:bookmarkStart w:id="72" w:name="_Ref132897901"/>
      <w:r w:rsidRPr="003C742E">
        <w:t xml:space="preserve">Table </w:t>
      </w:r>
      <w:r w:rsidR="009809E2">
        <w:fldChar w:fldCharType="begin"/>
      </w:r>
      <w:r w:rsidR="009809E2">
        <w:instrText xml:space="preserve"> SEQ Table \* ARABIC </w:instrText>
      </w:r>
      <w:r w:rsidR="009809E2">
        <w:fldChar w:fldCharType="separate"/>
      </w:r>
      <w:r w:rsidR="0005046B">
        <w:rPr>
          <w:noProof/>
        </w:rPr>
        <w:t>8</w:t>
      </w:r>
      <w:r w:rsidR="009809E2">
        <w:rPr>
          <w:noProof/>
        </w:rPr>
        <w:fldChar w:fldCharType="end"/>
      </w:r>
      <w:bookmarkEnd w:id="72"/>
      <w:r w:rsidRPr="003C742E">
        <w:t>: Studies P301, P203 and P204 Study synopsis and summary of pending information</w:t>
      </w:r>
    </w:p>
    <w:tbl>
      <w:tblPr>
        <w:tblStyle w:val="TableGrid"/>
        <w:tblW w:w="0" w:type="auto"/>
        <w:tblLayout w:type="fixed"/>
        <w:tblLook w:val="04A0" w:firstRow="1" w:lastRow="0" w:firstColumn="1" w:lastColumn="0" w:noHBand="0" w:noVBand="1"/>
      </w:tblPr>
      <w:tblGrid>
        <w:gridCol w:w="2122"/>
        <w:gridCol w:w="1417"/>
        <w:gridCol w:w="1701"/>
        <w:gridCol w:w="3776"/>
      </w:tblGrid>
      <w:tr w:rsidR="00D10BAB" w:rsidRPr="003C742E" w14:paraId="37E3837A" w14:textId="77777777" w:rsidTr="00D10BAB">
        <w:tc>
          <w:tcPr>
            <w:tcW w:w="2122" w:type="dxa"/>
          </w:tcPr>
          <w:p w14:paraId="1FB9B675" w14:textId="069B6398" w:rsidR="00D10BAB" w:rsidRPr="003C742E" w:rsidRDefault="00D10BAB" w:rsidP="00D10BAB">
            <w:pPr>
              <w:pStyle w:val="TableText"/>
              <w:rPr>
                <w:b/>
                <w:bCs/>
              </w:rPr>
            </w:pPr>
            <w:r w:rsidRPr="003C742E">
              <w:rPr>
                <w:b/>
                <w:bCs/>
              </w:rPr>
              <w:t>Study number and title</w:t>
            </w:r>
          </w:p>
        </w:tc>
        <w:tc>
          <w:tcPr>
            <w:tcW w:w="1417" w:type="dxa"/>
          </w:tcPr>
          <w:p w14:paraId="76AC02F0" w14:textId="769E009B" w:rsidR="00D10BAB" w:rsidRPr="003C742E" w:rsidRDefault="00D10BAB" w:rsidP="00D10BAB">
            <w:pPr>
              <w:pStyle w:val="TableText"/>
              <w:rPr>
                <w:b/>
                <w:bCs/>
              </w:rPr>
            </w:pPr>
            <w:r w:rsidRPr="003C742E">
              <w:rPr>
                <w:b/>
                <w:bCs/>
              </w:rPr>
              <w:t>Anticipated date: final study report</w:t>
            </w:r>
          </w:p>
        </w:tc>
        <w:tc>
          <w:tcPr>
            <w:tcW w:w="1701" w:type="dxa"/>
          </w:tcPr>
          <w:p w14:paraId="3FF9AA6C" w14:textId="014D820A" w:rsidR="00D10BAB" w:rsidRPr="003C742E" w:rsidRDefault="00D10BAB" w:rsidP="00D10BAB">
            <w:pPr>
              <w:pStyle w:val="TableText"/>
              <w:rPr>
                <w:b/>
                <w:bCs/>
              </w:rPr>
            </w:pPr>
            <w:r w:rsidRPr="003C742E">
              <w:rPr>
                <w:b/>
                <w:bCs/>
              </w:rPr>
              <w:t>Brief study synopsis</w:t>
            </w:r>
          </w:p>
        </w:tc>
        <w:tc>
          <w:tcPr>
            <w:tcW w:w="3776" w:type="dxa"/>
          </w:tcPr>
          <w:p w14:paraId="26E4F04D" w14:textId="1CDA2908" w:rsidR="00D10BAB" w:rsidRPr="003C742E" w:rsidRDefault="00D10BAB" w:rsidP="00D10BAB">
            <w:pPr>
              <w:pStyle w:val="TableText"/>
              <w:rPr>
                <w:b/>
                <w:bCs/>
              </w:rPr>
            </w:pPr>
            <w:r w:rsidRPr="003C742E">
              <w:rPr>
                <w:b/>
                <w:bCs/>
              </w:rPr>
              <w:t>Information expected: final study report</w:t>
            </w:r>
          </w:p>
        </w:tc>
      </w:tr>
      <w:tr w:rsidR="00D10BAB" w:rsidRPr="003C742E" w14:paraId="1B65B8F8" w14:textId="77777777" w:rsidTr="00A43D72">
        <w:tc>
          <w:tcPr>
            <w:tcW w:w="2122" w:type="dxa"/>
          </w:tcPr>
          <w:p w14:paraId="2E37C06E" w14:textId="79DF0DA9" w:rsidR="00D10BAB" w:rsidRPr="003C742E" w:rsidRDefault="00D10BAB" w:rsidP="00F40587">
            <w:pPr>
              <w:pStyle w:val="TableText"/>
            </w:pPr>
            <w:r w:rsidRPr="003C742E">
              <w:t>Study P301 a Phase III, randomised, stratified, observer blind, placebo controlled study to evaluate the efficacy, safety, and immunogenicity of mRNA-1273 SARS</w:t>
            </w:r>
            <w:r w:rsidRPr="003C742E">
              <w:noBreakHyphen/>
              <w:t>CoV</w:t>
            </w:r>
            <w:r w:rsidRPr="003C742E">
              <w:noBreakHyphen/>
              <w:t>2 vaccine in adults aged 18 years and older</w:t>
            </w:r>
          </w:p>
        </w:tc>
        <w:tc>
          <w:tcPr>
            <w:tcW w:w="1417" w:type="dxa"/>
          </w:tcPr>
          <w:p w14:paraId="2BDDFF06" w14:textId="77777777" w:rsidR="00D10BAB" w:rsidRPr="003C742E" w:rsidRDefault="00D10BAB">
            <w:pPr>
              <w:pStyle w:val="TableText"/>
            </w:pPr>
            <w:r w:rsidRPr="003C742E">
              <w:t>19 December 2023</w:t>
            </w:r>
          </w:p>
        </w:tc>
        <w:tc>
          <w:tcPr>
            <w:tcW w:w="1701" w:type="dxa"/>
          </w:tcPr>
          <w:p w14:paraId="7E8D5275" w14:textId="7D6507BE" w:rsidR="00D10BAB" w:rsidRPr="003C742E" w:rsidRDefault="00D10BAB">
            <w:pPr>
              <w:pStyle w:val="TableText"/>
            </w:pPr>
            <w:r w:rsidRPr="003C742E">
              <w:t>Evaluate long-term safety data, immunogenicity data and COVID</w:t>
            </w:r>
            <w:r w:rsidRPr="003C742E">
              <w:noBreakHyphen/>
              <w:t>19 incidence rates</w:t>
            </w:r>
          </w:p>
        </w:tc>
        <w:tc>
          <w:tcPr>
            <w:tcW w:w="3776" w:type="dxa"/>
          </w:tcPr>
          <w:p w14:paraId="0EA14513" w14:textId="7F27CC43" w:rsidR="00D10BAB" w:rsidRPr="003C742E" w:rsidRDefault="00D10BAB">
            <w:pPr>
              <w:pStyle w:val="TableText"/>
            </w:pPr>
            <w:r w:rsidRPr="003C742E">
              <w:t>The final study report which will be clinical study report Addendum 3 (open label observational phase (Part B) and Booster dose phase (Part C)) will include:</w:t>
            </w:r>
          </w:p>
          <w:p w14:paraId="5BE39309" w14:textId="7828B1FD" w:rsidR="00D10BAB" w:rsidRPr="003C742E" w:rsidRDefault="00D10BAB">
            <w:pPr>
              <w:pStyle w:val="TableText"/>
              <w:numPr>
                <w:ilvl w:val="0"/>
                <w:numId w:val="13"/>
              </w:numPr>
            </w:pPr>
            <w:r w:rsidRPr="003C742E">
              <w:t>Part B long-term safety</w:t>
            </w:r>
          </w:p>
          <w:p w14:paraId="448CB5C2" w14:textId="5E670990" w:rsidR="00D10BAB" w:rsidRPr="003C742E" w:rsidRDefault="00D10BAB">
            <w:pPr>
              <w:pStyle w:val="TableText"/>
              <w:numPr>
                <w:ilvl w:val="0"/>
                <w:numId w:val="13"/>
              </w:numPr>
            </w:pPr>
            <w:r w:rsidRPr="003C742E">
              <w:t>Part C long-term safety of Spikevax booster dose</w:t>
            </w:r>
          </w:p>
          <w:p w14:paraId="6525A61F" w14:textId="7C740692" w:rsidR="00D10BAB" w:rsidRPr="003C742E" w:rsidRDefault="00D10BAB">
            <w:pPr>
              <w:pStyle w:val="TableText"/>
              <w:numPr>
                <w:ilvl w:val="0"/>
                <w:numId w:val="13"/>
              </w:numPr>
            </w:pPr>
            <w:r w:rsidRPr="003C742E">
              <w:t>Immunogenicity at late timepoints after Spikevax primary series (Day 209)</w:t>
            </w:r>
          </w:p>
          <w:p w14:paraId="7062DA83" w14:textId="059B214E" w:rsidR="00D10BAB" w:rsidRPr="003C742E" w:rsidRDefault="00D10BAB">
            <w:pPr>
              <w:pStyle w:val="TableText"/>
              <w:numPr>
                <w:ilvl w:val="0"/>
                <w:numId w:val="13"/>
              </w:numPr>
            </w:pPr>
            <w:r w:rsidRPr="003C742E">
              <w:t>• Immunogenicity at late timepoints after Spikevax booster (booster dose-Day 181)</w:t>
            </w:r>
          </w:p>
        </w:tc>
      </w:tr>
      <w:tr w:rsidR="00D10BAB" w:rsidRPr="003C742E" w14:paraId="1C8D3A8D" w14:textId="77777777" w:rsidTr="00D10BAB">
        <w:tc>
          <w:tcPr>
            <w:tcW w:w="2122" w:type="dxa"/>
          </w:tcPr>
          <w:p w14:paraId="2875D2CB" w14:textId="3907D0BA" w:rsidR="00D10BAB" w:rsidRPr="003C742E" w:rsidRDefault="00D10BAB" w:rsidP="00D10BAB">
            <w:pPr>
              <w:pStyle w:val="TableText"/>
            </w:pPr>
            <w:r w:rsidRPr="003C742E">
              <w:lastRenderedPageBreak/>
              <w:t>Study P203 a phase II/III, randomised, observer blind, placebo controlled study to evaluate the safety, reactogenicity, and effectiveness of mRNA-1273 SARS</w:t>
            </w:r>
            <w:r w:rsidRPr="003C742E">
              <w:noBreakHyphen/>
              <w:t>CoV-2 vaccine in healthy adolescents 12 to &lt; 18 years of age</w:t>
            </w:r>
          </w:p>
        </w:tc>
        <w:tc>
          <w:tcPr>
            <w:tcW w:w="1417" w:type="dxa"/>
          </w:tcPr>
          <w:p w14:paraId="4B248146" w14:textId="77777777" w:rsidR="00D10BAB" w:rsidRPr="003C742E" w:rsidRDefault="00D10BAB" w:rsidP="00D10BAB">
            <w:pPr>
              <w:pStyle w:val="TableText"/>
            </w:pPr>
            <w:r w:rsidRPr="003C742E">
              <w:t>15 July 2025</w:t>
            </w:r>
          </w:p>
        </w:tc>
        <w:tc>
          <w:tcPr>
            <w:tcW w:w="1701" w:type="dxa"/>
          </w:tcPr>
          <w:p w14:paraId="528037DD" w14:textId="77777777" w:rsidR="00D10BAB" w:rsidRPr="003C742E" w:rsidRDefault="00D10BAB" w:rsidP="00D10BAB">
            <w:pPr>
              <w:pStyle w:val="TableText"/>
            </w:pPr>
            <w:r w:rsidRPr="003C742E">
              <w:t>Evaluate the safety, reactogenicity, and effectiveness of Spikevax. Assess safety and immunogenicity of mRNA</w:t>
            </w:r>
            <w:r w:rsidRPr="003C742E">
              <w:noBreakHyphen/>
              <w:t>1273.222</w:t>
            </w:r>
          </w:p>
        </w:tc>
        <w:tc>
          <w:tcPr>
            <w:tcW w:w="3776" w:type="dxa"/>
          </w:tcPr>
          <w:p w14:paraId="1A9D79B8" w14:textId="77777777" w:rsidR="00D10BAB" w:rsidRPr="003C742E" w:rsidRDefault="00D10BAB" w:rsidP="00D10BAB">
            <w:pPr>
              <w:pStyle w:val="TableText"/>
            </w:pPr>
            <w:r w:rsidRPr="003C742E">
              <w:t>The final study report which will be an addendum to the completed Spikevax primary series CSR (Part 1A and Part 1B) will include:</w:t>
            </w:r>
          </w:p>
          <w:p w14:paraId="48C362CD" w14:textId="224722EC" w:rsidR="00D10BAB" w:rsidRPr="003C742E" w:rsidRDefault="00D10BAB" w:rsidP="00D10BAB">
            <w:pPr>
              <w:pStyle w:val="TableText"/>
              <w:numPr>
                <w:ilvl w:val="0"/>
                <w:numId w:val="14"/>
              </w:numPr>
            </w:pPr>
            <w:r w:rsidRPr="003C742E">
              <w:t>Part 1C-1 booster long-term immunogenicity and safety of Spikevax booster dose</w:t>
            </w:r>
          </w:p>
          <w:p w14:paraId="0AB232AF" w14:textId="5E8F64ED" w:rsidR="00D10BAB" w:rsidRPr="003C742E" w:rsidRDefault="00D10BAB" w:rsidP="00D10BAB">
            <w:pPr>
              <w:pStyle w:val="TableText"/>
              <w:numPr>
                <w:ilvl w:val="0"/>
                <w:numId w:val="14"/>
              </w:numPr>
            </w:pPr>
            <w:r w:rsidRPr="003C742E">
              <w:t>Part 1C-2: primary and secondary objectives of safety and immunogenicity of Spikevax booster as specified in the protocol</w:t>
            </w:r>
          </w:p>
          <w:p w14:paraId="714F1FBD" w14:textId="1E137B2C" w:rsidR="00D10BAB" w:rsidRPr="003C742E" w:rsidRDefault="00D10BAB" w:rsidP="00D10BAB">
            <w:pPr>
              <w:pStyle w:val="TableText"/>
              <w:numPr>
                <w:ilvl w:val="0"/>
                <w:numId w:val="14"/>
              </w:numPr>
            </w:pPr>
            <w:r w:rsidRPr="003C742E">
              <w:t>Part 2: primary and secondary objectives of safety and immunogenicity of Spikevax low dose primary series of as specified in the protocol</w:t>
            </w:r>
          </w:p>
          <w:p w14:paraId="2ACCBCEB" w14:textId="77777777" w:rsidR="00D10BAB" w:rsidRPr="003C742E" w:rsidRDefault="00D10BAB" w:rsidP="00D10BAB">
            <w:pPr>
              <w:pStyle w:val="TableText"/>
              <w:numPr>
                <w:ilvl w:val="0"/>
                <w:numId w:val="14"/>
              </w:numPr>
            </w:pPr>
            <w:r w:rsidRPr="003C742E">
              <w:t>Part 3: Primary and Secondary Objectives of Safety and Immunogenicity of low dose primary series of mRNA</w:t>
            </w:r>
            <w:r w:rsidRPr="003C742E">
              <w:noBreakHyphen/>
              <w:t>1273.222 as specified in the protocol</w:t>
            </w:r>
          </w:p>
          <w:p w14:paraId="03819066" w14:textId="108FB148" w:rsidR="00D10BAB" w:rsidRPr="003C742E" w:rsidRDefault="00D10BAB" w:rsidP="00D10BAB">
            <w:pPr>
              <w:pStyle w:val="TableText"/>
            </w:pPr>
            <w:r w:rsidRPr="003C742E">
              <w:t>Note: Exploratory objectives/endpoints or analyses may also be included in the final study report</w:t>
            </w:r>
          </w:p>
        </w:tc>
      </w:tr>
      <w:tr w:rsidR="00D10BAB" w:rsidRPr="003C742E" w14:paraId="3D8A9601" w14:textId="77777777" w:rsidTr="00D10BAB">
        <w:tc>
          <w:tcPr>
            <w:tcW w:w="2122" w:type="dxa"/>
          </w:tcPr>
          <w:p w14:paraId="710BEE1D" w14:textId="55E4F0DF" w:rsidR="00D10BAB" w:rsidRPr="003C742E" w:rsidRDefault="00D10BAB" w:rsidP="00D10BAB">
            <w:pPr>
              <w:pStyle w:val="TableText"/>
            </w:pPr>
            <w:r w:rsidRPr="003C742E">
              <w:t xml:space="preserve">Study P204 </w:t>
            </w:r>
            <w:r w:rsidR="006D7F18">
              <w:t>a P</w:t>
            </w:r>
            <w:r w:rsidRPr="003C742E">
              <w:t>hase II/III, two part, open label, dose escalation, age de</w:t>
            </w:r>
            <w:r w:rsidRPr="003C742E">
              <w:noBreakHyphen/>
              <w:t>escalation and subsequent randomised, observer blind, placebo controlled expansion study to evaluate the safety, tolerability, reactogenicity, and effectiveness of mRNA</w:t>
            </w:r>
            <w:r w:rsidRPr="003C742E">
              <w:noBreakHyphen/>
              <w:t>1273 in healthy children 6 months to less than 12 years of age</w:t>
            </w:r>
          </w:p>
        </w:tc>
        <w:tc>
          <w:tcPr>
            <w:tcW w:w="1417" w:type="dxa"/>
          </w:tcPr>
          <w:p w14:paraId="71BAC5E5" w14:textId="77777777" w:rsidR="00D10BAB" w:rsidRPr="003C742E" w:rsidRDefault="00D10BAB" w:rsidP="00D10BAB">
            <w:pPr>
              <w:pStyle w:val="TableText"/>
            </w:pPr>
            <w:r w:rsidRPr="003C742E">
              <w:t>31 March 2024</w:t>
            </w:r>
          </w:p>
        </w:tc>
        <w:tc>
          <w:tcPr>
            <w:tcW w:w="1701" w:type="dxa"/>
          </w:tcPr>
          <w:p w14:paraId="2546C9AB" w14:textId="77777777" w:rsidR="00D10BAB" w:rsidRPr="003C742E" w:rsidRDefault="00D10BAB" w:rsidP="00D10BAB">
            <w:pPr>
              <w:pStyle w:val="TableText"/>
            </w:pPr>
            <w:r w:rsidRPr="003C742E">
              <w:t>Safety, tolerability, reactogenicity, and effectiveness of up to 3 doses of mRNA-1273 in healthy children 6 months to less than 12 years of age</w:t>
            </w:r>
          </w:p>
        </w:tc>
        <w:tc>
          <w:tcPr>
            <w:tcW w:w="3776" w:type="dxa"/>
          </w:tcPr>
          <w:p w14:paraId="27B3791E" w14:textId="72BE74A6" w:rsidR="00D10BAB" w:rsidRPr="003C742E" w:rsidRDefault="00D10BAB" w:rsidP="00D10BAB">
            <w:pPr>
              <w:pStyle w:val="TableText"/>
            </w:pPr>
            <w:r w:rsidRPr="003C742E">
              <w:t>The final study report which will be an addendum to the Spikevax primary series CSR (Part 1 and Part 2) will include:</w:t>
            </w:r>
          </w:p>
          <w:p w14:paraId="2B3A3F21" w14:textId="6C690CBD" w:rsidR="00D10BAB" w:rsidRPr="003C742E" w:rsidRDefault="00D10BAB" w:rsidP="00D10BAB">
            <w:pPr>
              <w:pStyle w:val="TableText"/>
              <w:numPr>
                <w:ilvl w:val="0"/>
                <w:numId w:val="15"/>
              </w:numPr>
            </w:pPr>
            <w:r w:rsidRPr="003C742E">
              <w:t>Part 1 and Part 2: Booster dose Spikevax long-term immunogenicity and safety; booster dose mRNA-1273.214 safety, in children 6 months to less than 12 years of age</w:t>
            </w:r>
          </w:p>
          <w:p w14:paraId="26B250E7" w14:textId="691E507E" w:rsidR="00D10BAB" w:rsidRPr="003C742E" w:rsidRDefault="00D10BAB" w:rsidP="00D10BAB">
            <w:pPr>
              <w:pStyle w:val="TableText"/>
              <w:numPr>
                <w:ilvl w:val="0"/>
                <w:numId w:val="15"/>
              </w:numPr>
            </w:pPr>
            <w:r w:rsidRPr="003C742E">
              <w:t>Part 3: Spikevax low dose primary series and a third dose immunogenicity and safety in children 6 to less than 12 years of age.</w:t>
            </w:r>
          </w:p>
          <w:p w14:paraId="21D683CA" w14:textId="77777777" w:rsidR="00D10BAB" w:rsidRPr="003C742E" w:rsidRDefault="00D10BAB" w:rsidP="00D10BAB">
            <w:pPr>
              <w:pStyle w:val="TableText"/>
            </w:pPr>
            <w:r w:rsidRPr="003C742E">
              <w:t>Note: Spikevax primary series analyses including long-term follow-up in Part 1 and Part 2 will be included in interim CSR in July 2023.</w:t>
            </w:r>
          </w:p>
        </w:tc>
      </w:tr>
    </w:tbl>
    <w:p w14:paraId="5ED80683" w14:textId="69E02288" w:rsidR="00497DBD" w:rsidRPr="003C742E" w:rsidRDefault="00D10BAB" w:rsidP="003C742E">
      <w:pPr>
        <w:pStyle w:val="TableDescription"/>
      </w:pPr>
      <w:r w:rsidRPr="003C742E">
        <w:t>Abbreviations: COVID-19 = coronavirus disease 2019; CSR = clinical study report; mRNA-1273 = Spikevax (elasomeran) COVID-19 vaccine drug development name; SARS-CoV-2 = severe acute respiratory syndrome coronavirus-2.</w:t>
      </w:r>
    </w:p>
    <w:p w14:paraId="1A95F51B" w14:textId="4AF9919F" w:rsidR="006D7F18" w:rsidRDefault="00497DBD" w:rsidP="00D03EE9">
      <w:pPr>
        <w:pStyle w:val="Heading4"/>
      </w:pPr>
      <w:bookmarkStart w:id="73" w:name="_Toc134622050"/>
      <w:r w:rsidRPr="00D03EE9">
        <w:t xml:space="preserve">Clinical studies </w:t>
      </w:r>
      <w:r w:rsidR="006D7F18">
        <w:t>i</w:t>
      </w:r>
      <w:r w:rsidRPr="00D03EE9">
        <w:t>n a</w:t>
      </w:r>
      <w:r w:rsidR="005E435C" w:rsidRPr="00D03EE9">
        <w:t>dult</w:t>
      </w:r>
      <w:r w:rsidRPr="00D03EE9">
        <w:t xml:space="preserve"> population</w:t>
      </w:r>
      <w:r w:rsidR="006D7F18">
        <w:t>s</w:t>
      </w:r>
      <w:bookmarkEnd w:id="73"/>
    </w:p>
    <w:p w14:paraId="174FF114" w14:textId="2A7D21B9" w:rsidR="005E435C" w:rsidRPr="00D03EE9" w:rsidRDefault="006D7F18" w:rsidP="00A43D72">
      <w:r>
        <w:t xml:space="preserve">Adult population is defined as those </w:t>
      </w:r>
      <w:r w:rsidR="005E435C" w:rsidRPr="00D03EE9">
        <w:t>18 year</w:t>
      </w:r>
      <w:r>
        <w:t>s</w:t>
      </w:r>
      <w:r w:rsidR="005E435C" w:rsidRPr="00D03EE9">
        <w:t xml:space="preserve"> of age </w:t>
      </w:r>
      <w:r>
        <w:t>or</w:t>
      </w:r>
      <w:r w:rsidRPr="00D03EE9">
        <w:t xml:space="preserve"> </w:t>
      </w:r>
      <w:r>
        <w:t>older.</w:t>
      </w:r>
    </w:p>
    <w:p w14:paraId="70E0588A" w14:textId="77777777" w:rsidR="005E435C" w:rsidRPr="00D03EE9" w:rsidRDefault="005E435C" w:rsidP="00D91801">
      <w:pPr>
        <w:pStyle w:val="Heading5"/>
      </w:pPr>
      <w:r w:rsidRPr="00D03EE9">
        <w:lastRenderedPageBreak/>
        <w:t>Study DMID-20-</w:t>
      </w:r>
      <w:r w:rsidRPr="00D91801">
        <w:t>0003</w:t>
      </w:r>
    </w:p>
    <w:p w14:paraId="69B1A2E3" w14:textId="3E5CA599" w:rsidR="005E435C" w:rsidRPr="003C742E" w:rsidRDefault="00497DBD" w:rsidP="005E435C">
      <w:r w:rsidRPr="003C742E">
        <w:t xml:space="preserve">Study DMID-20-0003 is a </w:t>
      </w:r>
      <w:r w:rsidR="005E435C" w:rsidRPr="003C742E">
        <w:t xml:space="preserve">Phase I, </w:t>
      </w:r>
      <w:r w:rsidRPr="003C742E">
        <w:t xml:space="preserve">open label, dose ranging study of the safety and immunogenicity of </w:t>
      </w:r>
      <w:r w:rsidR="005E435C" w:rsidRPr="003C742E">
        <w:t>2019</w:t>
      </w:r>
      <w:r w:rsidR="00B2387D">
        <w:t xml:space="preserve"> </w:t>
      </w:r>
      <w:r w:rsidR="00B2387D" w:rsidRPr="00B2387D">
        <w:t xml:space="preserve">novel coronavirus </w:t>
      </w:r>
      <w:r w:rsidRPr="003C742E">
        <w:t>v</w:t>
      </w:r>
      <w:r w:rsidR="005E435C" w:rsidRPr="003C742E">
        <w:t xml:space="preserve">accine (mRNA-1273) in </w:t>
      </w:r>
      <w:r w:rsidRPr="003C742E">
        <w:t>healthy adults.</w:t>
      </w:r>
      <w:bookmarkStart w:id="74" w:name="_Ref134437403"/>
      <w:r w:rsidR="00246043">
        <w:rPr>
          <w:rStyle w:val="FootnoteReference"/>
        </w:rPr>
        <w:footnoteReference w:id="13"/>
      </w:r>
      <w:bookmarkEnd w:id="74"/>
    </w:p>
    <w:p w14:paraId="5EC2C8F0" w14:textId="38DA7E4D" w:rsidR="005E435C" w:rsidRPr="003C742E" w:rsidRDefault="00497DBD" w:rsidP="005E435C">
      <w:r w:rsidRPr="003C742E">
        <w:t xml:space="preserve">The final clinical study report </w:t>
      </w:r>
      <w:r w:rsidR="005E435C" w:rsidRPr="003C742E">
        <w:t>(</w:t>
      </w:r>
      <w:r w:rsidRPr="003C742E">
        <w:t xml:space="preserve">conducted </w:t>
      </w:r>
      <w:r w:rsidR="005E435C" w:rsidRPr="003C742E">
        <w:t>6 months post</w:t>
      </w:r>
      <w:r w:rsidRPr="003C742E">
        <w:t>-</w:t>
      </w:r>
      <w:r w:rsidR="005E435C" w:rsidRPr="003C742E">
        <w:t>Dose 2</w:t>
      </w:r>
      <w:r w:rsidR="006D7F18">
        <w:t xml:space="preserve"> of vaccine</w:t>
      </w:r>
      <w:r w:rsidR="005E435C" w:rsidRPr="003C742E">
        <w:t xml:space="preserve">) </w:t>
      </w:r>
      <w:r w:rsidRPr="003C742E">
        <w:t xml:space="preserve">was </w:t>
      </w:r>
      <w:r w:rsidR="005E435C" w:rsidRPr="003C742E">
        <w:t xml:space="preserve">provided </w:t>
      </w:r>
      <w:r w:rsidRPr="003C742E">
        <w:t xml:space="preserve">to the TGA </w:t>
      </w:r>
      <w:r w:rsidR="005E435C" w:rsidRPr="003C742E">
        <w:t>on 4</w:t>
      </w:r>
      <w:r w:rsidRPr="003C742E">
        <w:t> </w:t>
      </w:r>
      <w:r w:rsidR="005E435C" w:rsidRPr="003C742E">
        <w:t>November 2022. The clinical study report provided the interim analysis of safety and immunogenicity data through the data cut-off date of 7 October 2020 (data freeze date) and includes data through Day 119 for Cohorts 1 through 5, 7, and 8 and through Day 57 for Cohorts</w:t>
      </w:r>
      <w:r w:rsidRPr="003C742E">
        <w:t> </w:t>
      </w:r>
      <w:r w:rsidR="005E435C" w:rsidRPr="003C742E">
        <w:t>10, 11, and 12.</w:t>
      </w:r>
    </w:p>
    <w:p w14:paraId="2ED507C8" w14:textId="41874ADE" w:rsidR="00A15C0C" w:rsidRPr="007D0354" w:rsidRDefault="00A15C0C" w:rsidP="007D0354">
      <w:pPr>
        <w:pStyle w:val="TableTitle"/>
      </w:pPr>
      <w:r w:rsidRPr="007D0354">
        <w:t xml:space="preserve">Table </w:t>
      </w:r>
      <w:r w:rsidR="009809E2">
        <w:fldChar w:fldCharType="begin"/>
      </w:r>
      <w:r w:rsidR="009809E2">
        <w:instrText xml:space="preserve"> SEQ Table \* ARABIC </w:instrText>
      </w:r>
      <w:r w:rsidR="009809E2">
        <w:fldChar w:fldCharType="separate"/>
      </w:r>
      <w:r w:rsidR="0005046B">
        <w:rPr>
          <w:noProof/>
        </w:rPr>
        <w:t>9</w:t>
      </w:r>
      <w:r w:rsidR="009809E2">
        <w:rPr>
          <w:noProof/>
        </w:rPr>
        <w:fldChar w:fldCharType="end"/>
      </w:r>
      <w:r w:rsidRPr="007D0354">
        <w:t xml:space="preserve">: </w:t>
      </w:r>
      <w:r w:rsidR="005C7616" w:rsidRPr="007D0354">
        <w:t>Study DMID-20-0003 Primary and secondary objectives and endpoints</w:t>
      </w:r>
    </w:p>
    <w:p w14:paraId="2D6C21BD" w14:textId="4BD11298" w:rsidR="005C7616" w:rsidRPr="003C742E" w:rsidRDefault="005C7616" w:rsidP="007D0354">
      <w:r w:rsidRPr="003C742E">
        <w:rPr>
          <w:noProof/>
          <w:lang w:val="en-GB" w:eastAsia="en-GB"/>
        </w:rPr>
        <w:drawing>
          <wp:inline distT="0" distB="0" distL="0" distR="0" wp14:anchorId="2EC31CBF" wp14:editId="23C53CE0">
            <wp:extent cx="5759450" cy="2887980"/>
            <wp:effectExtent l="0" t="0" r="0" b="7620"/>
            <wp:docPr id="20" name="Picture 20" descr="Table 9: Study DMID-20-0003 Primary and secondary objectives an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able 9: Study DMID-20-0003 Primary and secondary objectives and endpoints"/>
                    <pic:cNvPicPr/>
                  </pic:nvPicPr>
                  <pic:blipFill>
                    <a:blip r:embed="rId54"/>
                    <a:stretch>
                      <a:fillRect/>
                    </a:stretch>
                  </pic:blipFill>
                  <pic:spPr>
                    <a:xfrm>
                      <a:off x="0" y="0"/>
                      <a:ext cx="5759450" cy="2887980"/>
                    </a:xfrm>
                    <a:prstGeom prst="rect">
                      <a:avLst/>
                    </a:prstGeom>
                  </pic:spPr>
                </pic:pic>
              </a:graphicData>
            </a:graphic>
          </wp:inline>
        </w:drawing>
      </w:r>
    </w:p>
    <w:p w14:paraId="71A37D4B" w14:textId="5FFEDC41" w:rsidR="005E435C" w:rsidRPr="003C742E" w:rsidRDefault="005C7616" w:rsidP="003C742E">
      <w:pPr>
        <w:pStyle w:val="TableDescription"/>
      </w:pPr>
      <w:r w:rsidRPr="003C742E">
        <w:t>Abbreviations: AE = adverse event; ELISA = enzyme-linked immunosorbent assay; GMFR = geometric mean fold rise; GMT = geometric mean titer; IgG = immunoglobulin G; MAAE = medically attended adverse event; mRNA-1273 = Spikevax (elasomeran) COVID-19 vaccine drug development name; NOCMC = new onset of chronic medical condition; S = spike; SAE = serious adverse event; SARS-CoV-2 = severe acute respiratory syndrome coronavirus 2.</w:t>
      </w:r>
    </w:p>
    <w:p w14:paraId="280AABD8" w14:textId="0580C0CF" w:rsidR="005E435C" w:rsidRPr="003C742E" w:rsidRDefault="00B2387D" w:rsidP="005E435C">
      <w:r>
        <w:t xml:space="preserve">In this study, </w:t>
      </w:r>
      <w:r w:rsidR="005E435C" w:rsidRPr="003C742E">
        <w:t>25 μg, 50 μg, 100 μg, and 250 μg of mRNA-1273</w:t>
      </w:r>
      <w:r w:rsidR="00246043">
        <w:t>;</w:t>
      </w:r>
      <w:r w:rsidR="00246043">
        <w:rPr>
          <w:rStyle w:val="FootnoteReference"/>
        </w:rPr>
        <w:footnoteReference w:id="14"/>
      </w:r>
      <w:r w:rsidR="00A15C0C" w:rsidRPr="003C742E">
        <w:t xml:space="preserve"> </w:t>
      </w:r>
      <w:r w:rsidR="005E435C" w:rsidRPr="003C742E">
        <w:t xml:space="preserve">administered as an </w:t>
      </w:r>
      <w:r w:rsidR="00A15C0C" w:rsidRPr="003C742E">
        <w:t>intramuscular</w:t>
      </w:r>
      <w:r w:rsidR="005E435C" w:rsidRPr="003C742E">
        <w:t xml:space="preserve"> injection (0.5</w:t>
      </w:r>
      <w:r w:rsidR="00A15C0C" w:rsidRPr="003C742E">
        <w:t> </w:t>
      </w:r>
      <w:r w:rsidR="005E435C" w:rsidRPr="003C742E">
        <w:t>mL) into the deltoid muscle on a 2-dose injection schedule on Day 1 and Day 29, with a 28</w:t>
      </w:r>
      <w:r w:rsidR="00A15C0C" w:rsidRPr="003C742E">
        <w:noBreakHyphen/>
      </w:r>
      <w:r w:rsidR="005E435C" w:rsidRPr="003C742E">
        <w:t>day interval between doses. The second dose of study vaccine was administered preferably in the same arm as the first dose.</w:t>
      </w:r>
    </w:p>
    <w:p w14:paraId="15B1CC2B" w14:textId="73951C99" w:rsidR="005E435C" w:rsidRPr="00D91801" w:rsidRDefault="00497DBD" w:rsidP="00D91801">
      <w:pPr>
        <w:pStyle w:val="Heading6"/>
      </w:pPr>
      <w:r w:rsidRPr="00D91801">
        <w:t>Safety</w:t>
      </w:r>
    </w:p>
    <w:p w14:paraId="60F24C56" w14:textId="040E3DE4" w:rsidR="005E435C" w:rsidRPr="003C742E" w:rsidRDefault="00A15C0C" w:rsidP="005E435C">
      <w:r w:rsidRPr="003C742E">
        <w:t xml:space="preserve">Study results demonstrated that </w:t>
      </w:r>
      <w:r w:rsidR="005E435C" w:rsidRPr="003C742E">
        <w:t xml:space="preserve">mRNA-1273 </w:t>
      </w:r>
      <w:r w:rsidR="00246043">
        <w:t xml:space="preserve">vaccine </w:t>
      </w:r>
      <w:r w:rsidR="005E435C" w:rsidRPr="003C742E">
        <w:t xml:space="preserve">administered </w:t>
      </w:r>
      <w:r w:rsidRPr="003C742E">
        <w:t>with</w:t>
      </w:r>
      <w:r w:rsidR="005E435C" w:rsidRPr="003C742E">
        <w:t xml:space="preserve"> 2 doses 28</w:t>
      </w:r>
      <w:r w:rsidRPr="003C742E">
        <w:t xml:space="preserve"> </w:t>
      </w:r>
      <w:r w:rsidR="005E435C" w:rsidRPr="003C742E">
        <w:t>days apart, was safe and immunogenic in healthy adult participants aged 18 years</w:t>
      </w:r>
      <w:r w:rsidRPr="003C742E">
        <w:t xml:space="preserve"> and older</w:t>
      </w:r>
      <w:r w:rsidR="005E435C" w:rsidRPr="003C742E">
        <w:t>. After mRNA</w:t>
      </w:r>
      <w:r w:rsidR="00246043">
        <w:noBreakHyphen/>
      </w:r>
      <w:r w:rsidR="005E435C" w:rsidRPr="003C742E">
        <w:t xml:space="preserve">1273 </w:t>
      </w:r>
      <w:r w:rsidR="00246043">
        <w:t xml:space="preserve">vaccine </w:t>
      </w:r>
      <w:r w:rsidR="005E435C" w:rsidRPr="003C742E">
        <w:t xml:space="preserve">administration, fatigue, headache, myalgia, feverishness, and injection site pain were the most commonly reported solicited systemic and local </w:t>
      </w:r>
      <w:r w:rsidR="001872C7" w:rsidRPr="003C742E">
        <w:t>adverse reactions</w:t>
      </w:r>
      <w:r w:rsidR="005E435C" w:rsidRPr="003C742E">
        <w:t xml:space="preserve">, with higher incidence noted after the second injection than after the first injection for the solicited systemic </w:t>
      </w:r>
      <w:r w:rsidR="00246043">
        <w:t>adverse reactions</w:t>
      </w:r>
      <w:r w:rsidR="00246043" w:rsidRPr="003C742E" w:rsidDel="00246043">
        <w:t xml:space="preserve"> </w:t>
      </w:r>
      <w:r w:rsidR="005E435C" w:rsidRPr="003C742E">
        <w:t xml:space="preserve">. Most of the solicited </w:t>
      </w:r>
      <w:r w:rsidR="00246043" w:rsidRPr="003C742E">
        <w:t>adverse reactions</w:t>
      </w:r>
      <w:r w:rsidR="00246043" w:rsidRPr="003C742E" w:rsidDel="00246043">
        <w:t xml:space="preserve"> </w:t>
      </w:r>
      <w:r w:rsidR="005E435C" w:rsidRPr="003C742E">
        <w:t xml:space="preserve">were mild or moderate. severe solicited </w:t>
      </w:r>
      <w:r w:rsidR="00246043" w:rsidRPr="003C742E">
        <w:t>adverse reactions</w:t>
      </w:r>
      <w:r w:rsidR="00246043" w:rsidRPr="003C742E" w:rsidDel="00246043">
        <w:t xml:space="preserve"> </w:t>
      </w:r>
      <w:r w:rsidR="005E435C" w:rsidRPr="003C742E">
        <w:t xml:space="preserve">predominantly occurred at the highest dose </w:t>
      </w:r>
      <w:r w:rsidRPr="003C742E">
        <w:t xml:space="preserve">of </w:t>
      </w:r>
      <w:r w:rsidR="005E435C" w:rsidRPr="003C742E">
        <w:t xml:space="preserve">(250 μg). The </w:t>
      </w:r>
      <w:r w:rsidR="00246043" w:rsidRPr="003C742E">
        <w:t>adverse reactions</w:t>
      </w:r>
      <w:r w:rsidR="00246043" w:rsidRPr="003C742E" w:rsidDel="00246043">
        <w:t xml:space="preserve"> </w:t>
      </w:r>
      <w:r w:rsidR="005E435C" w:rsidRPr="003C742E">
        <w:t xml:space="preserve">lasted a median of 2 days or less. In general, </w:t>
      </w:r>
      <w:r w:rsidR="00246043" w:rsidRPr="003C742E">
        <w:t>adverse reactions</w:t>
      </w:r>
      <w:r w:rsidR="00246043" w:rsidRPr="003C742E" w:rsidDel="00246043">
        <w:t xml:space="preserve"> </w:t>
      </w:r>
      <w:r w:rsidR="005E435C" w:rsidRPr="003C742E">
        <w:t xml:space="preserve">were less severe and less commonly reported in older than in younger adults. All unsolicited </w:t>
      </w:r>
      <w:r w:rsidR="001872C7" w:rsidRPr="003C742E">
        <w:t>adverse events (</w:t>
      </w:r>
      <w:r w:rsidR="005E435C" w:rsidRPr="003C742E">
        <w:t>AEs</w:t>
      </w:r>
      <w:r w:rsidR="001872C7" w:rsidRPr="003C742E">
        <w:t>)</w:t>
      </w:r>
      <w:r w:rsidR="005E435C" w:rsidRPr="003C742E">
        <w:t xml:space="preserve"> related to mRNA</w:t>
      </w:r>
      <w:r w:rsidRPr="003C742E">
        <w:noBreakHyphen/>
      </w:r>
      <w:r w:rsidR="005E435C" w:rsidRPr="003C742E">
        <w:t xml:space="preserve">1273 </w:t>
      </w:r>
      <w:r w:rsidR="00246043">
        <w:t xml:space="preserve">vaccine </w:t>
      </w:r>
      <w:r w:rsidR="005E435C" w:rsidRPr="003C742E">
        <w:t xml:space="preserve">were mild or moderate in severity, except for </w:t>
      </w:r>
      <w:r w:rsidR="005E435C" w:rsidRPr="003C742E">
        <w:lastRenderedPageBreak/>
        <w:t>2</w:t>
      </w:r>
      <w:r w:rsidR="00246043">
        <w:t> </w:t>
      </w:r>
      <w:r w:rsidR="005E435C" w:rsidRPr="003C742E">
        <w:t xml:space="preserve">severe AEs reported in </w:t>
      </w:r>
      <w:r w:rsidRPr="003C742E">
        <w:t>one</w:t>
      </w:r>
      <w:r w:rsidR="005E435C" w:rsidRPr="003C742E">
        <w:t xml:space="preserve"> participant </w:t>
      </w:r>
      <w:r w:rsidRPr="003C742E">
        <w:t>from</w:t>
      </w:r>
      <w:r w:rsidR="005E435C" w:rsidRPr="003C742E">
        <w:t xml:space="preserve"> the 250</w:t>
      </w:r>
      <w:r w:rsidRPr="003C742E">
        <w:t> </w:t>
      </w:r>
      <w:r w:rsidR="005E435C" w:rsidRPr="003C742E">
        <w:t>μg vaccination group (18 to 55 years of age group)</w:t>
      </w:r>
      <w:r w:rsidR="00246043">
        <w:t xml:space="preserve"> in this study</w:t>
      </w:r>
      <w:r w:rsidR="005E435C" w:rsidRPr="003C742E">
        <w:t>.</w:t>
      </w:r>
    </w:p>
    <w:p w14:paraId="4A675A5B" w14:textId="06BD75EB" w:rsidR="005E435C" w:rsidRPr="00D91801" w:rsidRDefault="005E435C" w:rsidP="00D91801">
      <w:pPr>
        <w:pStyle w:val="Heading6"/>
      </w:pPr>
      <w:r w:rsidRPr="00D91801">
        <w:t>Immunogenicity</w:t>
      </w:r>
    </w:p>
    <w:p w14:paraId="7A022A19" w14:textId="38A21E43" w:rsidR="005E435C" w:rsidRPr="003C742E" w:rsidRDefault="00A15C0C" w:rsidP="00A64A37">
      <w:r w:rsidRPr="003C742E">
        <w:t xml:space="preserve">The study showed that </w:t>
      </w:r>
      <w:r w:rsidR="005E435C" w:rsidRPr="003C742E">
        <w:t xml:space="preserve">mRNA-1273 </w:t>
      </w:r>
      <w:r w:rsidR="00246043">
        <w:t xml:space="preserve">vaccine </w:t>
      </w:r>
      <w:r w:rsidR="005E435C" w:rsidRPr="003C742E">
        <w:t>induced robust binding antibody responses (</w:t>
      </w:r>
      <w:r w:rsidR="00A64A37" w:rsidRPr="003C742E">
        <w:t>SARS</w:t>
      </w:r>
      <w:r w:rsidR="00246043">
        <w:noBreakHyphen/>
      </w:r>
      <w:r w:rsidR="00A64A37" w:rsidRPr="003C742E">
        <w:t>CoV-2 spike protein modified with 2 proline substitutions within the heptad repeat</w:t>
      </w:r>
      <w:r w:rsidR="00246043">
        <w:t>-1</w:t>
      </w:r>
      <w:r w:rsidR="00A64A37" w:rsidRPr="003C742E">
        <w:t xml:space="preserve"> domain (</w:t>
      </w:r>
      <w:r w:rsidR="005E435C" w:rsidRPr="003C742E">
        <w:t>S-2P</w:t>
      </w:r>
      <w:r w:rsidR="00A64A37" w:rsidRPr="003C742E">
        <w:t>)</w:t>
      </w:r>
      <w:r w:rsidR="005E435C" w:rsidRPr="003C742E">
        <w:t xml:space="preserve"> and </w:t>
      </w:r>
      <w:r w:rsidR="00BC2AF2" w:rsidRPr="003C742E">
        <w:t>receptor binding domain</w:t>
      </w:r>
      <w:r w:rsidR="005E435C" w:rsidRPr="003C742E">
        <w:t xml:space="preserve"> specific) after 2 injections</w:t>
      </w:r>
      <w:r w:rsidR="00246043">
        <w:t xml:space="preserve"> of vaccine</w:t>
      </w:r>
      <w:r w:rsidR="005E435C" w:rsidRPr="003C742E">
        <w:t>. Notably, 100</w:t>
      </w:r>
      <w:r w:rsidR="00246043">
        <w:t> </w:t>
      </w:r>
      <w:r w:rsidR="005E435C" w:rsidRPr="003C742E">
        <w:t xml:space="preserve">μg of mRNA-1273 </w:t>
      </w:r>
      <w:r w:rsidR="00246043">
        <w:t xml:space="preserve">vaccine </w:t>
      </w:r>
      <w:r w:rsidR="005E435C" w:rsidRPr="003C742E">
        <w:t>resulted in numerically higher S</w:t>
      </w:r>
      <w:r w:rsidRPr="003C742E">
        <w:noBreakHyphen/>
      </w:r>
      <w:r w:rsidR="005E435C" w:rsidRPr="003C742E">
        <w:t xml:space="preserve">2P specific binding </w:t>
      </w:r>
      <w:r w:rsidRPr="003C742E">
        <w:t>titres</w:t>
      </w:r>
      <w:r w:rsidR="005E435C" w:rsidRPr="003C742E">
        <w:t xml:space="preserve"> than 25</w:t>
      </w:r>
      <w:r w:rsidR="00246043">
        <w:t> </w:t>
      </w:r>
      <w:r w:rsidR="005E435C" w:rsidRPr="003C742E">
        <w:t xml:space="preserve">μg and 50 μg of mRNA-1273 </w:t>
      </w:r>
      <w:r w:rsidR="00246043">
        <w:t xml:space="preserve">vaccine </w:t>
      </w:r>
      <w:r w:rsidR="005E435C" w:rsidRPr="003C742E">
        <w:t>in all age groups</w:t>
      </w:r>
      <w:r w:rsidRPr="003C742E">
        <w:t>,</w:t>
      </w:r>
      <w:r w:rsidR="005E435C" w:rsidRPr="003C742E">
        <w:t xml:space="preserve"> and higher </w:t>
      </w:r>
      <w:r w:rsidR="00BC2AF2" w:rsidRPr="003C742E">
        <w:t xml:space="preserve">receptor binding domain </w:t>
      </w:r>
      <w:r w:rsidR="005E435C" w:rsidRPr="003C742E">
        <w:t xml:space="preserve">specific binding </w:t>
      </w:r>
      <w:r w:rsidRPr="003C742E">
        <w:t>titres</w:t>
      </w:r>
      <w:r w:rsidR="005E435C" w:rsidRPr="003C742E">
        <w:t xml:space="preserve"> in participants aged </w:t>
      </w:r>
      <w:r w:rsidRPr="003C742E">
        <w:t>over</w:t>
      </w:r>
      <w:r w:rsidR="005E435C" w:rsidRPr="003C742E">
        <w:t xml:space="preserve"> 55 years. Two injections of mRNA</w:t>
      </w:r>
      <w:r w:rsidR="00B046EA" w:rsidRPr="003C742E">
        <w:noBreakHyphen/>
      </w:r>
      <w:r w:rsidR="005E435C" w:rsidRPr="003C742E">
        <w:t xml:space="preserve">1273 </w:t>
      </w:r>
      <w:r w:rsidR="00246043">
        <w:t xml:space="preserve">vaccine </w:t>
      </w:r>
      <w:r w:rsidR="005E435C" w:rsidRPr="003C742E">
        <w:t>induced robust neutrali</w:t>
      </w:r>
      <w:r w:rsidRPr="003C742E">
        <w:t>s</w:t>
      </w:r>
      <w:r w:rsidR="005E435C" w:rsidRPr="003C742E">
        <w:t>ing antibody responses. The neutrali</w:t>
      </w:r>
      <w:r w:rsidRPr="003C742E">
        <w:t>s</w:t>
      </w:r>
      <w:r w:rsidR="005E435C" w:rsidRPr="003C742E">
        <w:t>ing antibody response increased marginally after the first injection but increased substantially after the second injection. The neutrali</w:t>
      </w:r>
      <w:r w:rsidRPr="003C742E">
        <w:t>s</w:t>
      </w:r>
      <w:r w:rsidR="005E435C" w:rsidRPr="003C742E">
        <w:t>ing antibody response (assessed by a pseudovirus neutrali</w:t>
      </w:r>
      <w:r w:rsidRPr="003C742E">
        <w:t>s</w:t>
      </w:r>
      <w:r w:rsidR="005E435C" w:rsidRPr="003C742E">
        <w:t>ation assay) at the 100</w:t>
      </w:r>
      <w:r w:rsidR="001372E8" w:rsidRPr="003C742E">
        <w:t> </w:t>
      </w:r>
      <w:r w:rsidR="005E435C" w:rsidRPr="003C742E">
        <w:t xml:space="preserve">μg mRNA-1273 </w:t>
      </w:r>
      <w:r w:rsidR="00246043">
        <w:t xml:space="preserve">vaccine </w:t>
      </w:r>
      <w:r w:rsidR="005E435C" w:rsidRPr="003C742E">
        <w:t xml:space="preserve">dose level was similar to that at the 250 μg mRNA-1273 </w:t>
      </w:r>
      <w:r w:rsidR="00246043">
        <w:t xml:space="preserve">vaccine </w:t>
      </w:r>
      <w:r w:rsidR="005E435C" w:rsidRPr="003C742E">
        <w:t>dose level in the 18 to 55 years of age group and numerically higher than that observed at the 25 μg and 50</w:t>
      </w:r>
      <w:r w:rsidR="00246043">
        <w:t> </w:t>
      </w:r>
      <w:r w:rsidR="005E435C" w:rsidRPr="003C742E">
        <w:t>μg mRNA</w:t>
      </w:r>
      <w:r w:rsidR="001372E8" w:rsidRPr="003C742E">
        <w:noBreakHyphen/>
      </w:r>
      <w:r w:rsidR="005E435C" w:rsidRPr="003C742E">
        <w:t xml:space="preserve">1273 </w:t>
      </w:r>
      <w:r w:rsidR="00246043">
        <w:t xml:space="preserve">vaccine </w:t>
      </w:r>
      <w:r w:rsidR="005E435C" w:rsidRPr="003C742E">
        <w:t>dose levels in the older age groups. The neutrali</w:t>
      </w:r>
      <w:r w:rsidRPr="003C742E">
        <w:t>s</w:t>
      </w:r>
      <w:r w:rsidR="005E435C" w:rsidRPr="003C742E">
        <w:t>ing antibody response at the 100</w:t>
      </w:r>
      <w:r w:rsidR="001372E8" w:rsidRPr="003C742E">
        <w:t> </w:t>
      </w:r>
      <w:r w:rsidR="005E435C" w:rsidRPr="003C742E">
        <w:t>μg dose was similar across all age groups. mRNA</w:t>
      </w:r>
      <w:r w:rsidR="00B2387D">
        <w:noBreakHyphen/>
      </w:r>
      <w:r w:rsidR="005E435C" w:rsidRPr="003C742E">
        <w:t xml:space="preserve">1273 </w:t>
      </w:r>
      <w:r w:rsidR="00246043">
        <w:t xml:space="preserve">vaccine </w:t>
      </w:r>
      <w:r w:rsidR="005E435C" w:rsidRPr="003C742E">
        <w:t xml:space="preserve">also elicited </w:t>
      </w:r>
      <w:r w:rsidR="00246043">
        <w:t>CD</w:t>
      </w:r>
      <w:r w:rsidR="005E435C" w:rsidRPr="003C742E">
        <w:t xml:space="preserve">4 T-cell responses that, upon stimulation by </w:t>
      </w:r>
      <w:r w:rsidR="00B2387D">
        <w:t xml:space="preserve">spike </w:t>
      </w:r>
      <w:r w:rsidR="005E435C" w:rsidRPr="003C742E">
        <w:t xml:space="preserve">specific peptide pools, were strongly biased toward the expression of </w:t>
      </w:r>
      <w:r w:rsidR="00BC2AF2" w:rsidRPr="003C742E">
        <w:t>type</w:t>
      </w:r>
      <w:r w:rsidR="00246043">
        <w:noBreakHyphen/>
      </w:r>
      <w:r w:rsidR="00BC2AF2" w:rsidRPr="003C742E">
        <w:t>1 helper cell</w:t>
      </w:r>
      <w:r w:rsidR="005E435C" w:rsidRPr="003C742E">
        <w:t xml:space="preserve"> cytokines.</w:t>
      </w:r>
    </w:p>
    <w:p w14:paraId="40160781" w14:textId="13B6B096" w:rsidR="005E435C" w:rsidRPr="003C742E" w:rsidRDefault="005E435C" w:rsidP="005E435C">
      <w:r w:rsidRPr="003C742E">
        <w:t xml:space="preserve">The sponsor claims that </w:t>
      </w:r>
      <w:r w:rsidR="001372E8" w:rsidRPr="003C742E">
        <w:t xml:space="preserve">based </w:t>
      </w:r>
      <w:r w:rsidRPr="003C742E">
        <w:t>on the results of safety and immunogenicity at data cut-off, the 100</w:t>
      </w:r>
      <w:r w:rsidR="001372E8" w:rsidRPr="003C742E">
        <w:t> </w:t>
      </w:r>
      <w:r w:rsidRPr="003C742E">
        <w:t xml:space="preserve">μg dose provided promising immunogenicity results in adults of all ages with an acceptable safety profile and was the dose selected for further evaluation in the Phase </w:t>
      </w:r>
      <w:r w:rsidR="001372E8" w:rsidRPr="003C742E">
        <w:t>III</w:t>
      </w:r>
      <w:r w:rsidRPr="003C742E">
        <w:t xml:space="preserve"> clinical study.</w:t>
      </w:r>
    </w:p>
    <w:p w14:paraId="282AB49C" w14:textId="7A637477" w:rsidR="005E435C" w:rsidRPr="00D03EE9" w:rsidRDefault="005E435C" w:rsidP="00D03EE9">
      <w:pPr>
        <w:pStyle w:val="Heading5"/>
      </w:pPr>
      <w:r w:rsidRPr="00D03EE9">
        <w:t xml:space="preserve">Study </w:t>
      </w:r>
      <w:r w:rsidR="001372E8" w:rsidRPr="00D03EE9">
        <w:t>P201</w:t>
      </w:r>
    </w:p>
    <w:p w14:paraId="095F88DC" w14:textId="439AA086" w:rsidR="005E435C" w:rsidRPr="003C742E" w:rsidRDefault="00246043" w:rsidP="005E435C">
      <w:r w:rsidRPr="00246043">
        <w:t>Study m</w:t>
      </w:r>
      <w:r w:rsidRPr="00BF31B3">
        <w:t>RNA-1273-P201</w:t>
      </w:r>
      <w:r>
        <w:t xml:space="preserve">, </w:t>
      </w:r>
      <w:r w:rsidR="00F3141E">
        <w:t xml:space="preserve">(study ID </w:t>
      </w:r>
      <w:r>
        <w:t xml:space="preserve">abbreviated as </w:t>
      </w:r>
      <w:r w:rsidR="001372E8" w:rsidRPr="003C742E">
        <w:t>Study P201</w:t>
      </w:r>
      <w:r w:rsidR="00F3141E">
        <w:t>)</w:t>
      </w:r>
      <w:r>
        <w:t>,</w:t>
      </w:r>
      <w:r w:rsidR="001372E8" w:rsidRPr="003C742E">
        <w:t xml:space="preserve"> is a </w:t>
      </w:r>
      <w:r w:rsidR="005E435C" w:rsidRPr="003C742E">
        <w:t xml:space="preserve">Phase </w:t>
      </w:r>
      <w:r w:rsidR="001372E8" w:rsidRPr="003C742E">
        <w:t>II</w:t>
      </w:r>
      <w:r w:rsidR="005E435C" w:rsidRPr="003C742E">
        <w:t xml:space="preserve">a, </w:t>
      </w:r>
      <w:r w:rsidR="001372E8" w:rsidRPr="003C742E">
        <w:t>randomised, observer blind, placebo controlled, dose confirmation study to evaluate the safety, reactogenicity, and immunogenicity o</w:t>
      </w:r>
      <w:r w:rsidR="005E435C" w:rsidRPr="003C742E">
        <w:t>f mRNA-1273</w:t>
      </w:r>
      <w:r w:rsidR="001372E8" w:rsidRPr="003C742E">
        <w:t xml:space="preserve"> </w:t>
      </w:r>
      <w:r w:rsidR="00F3141E">
        <w:t xml:space="preserve">vaccine </w:t>
      </w:r>
      <w:r w:rsidR="005E435C" w:rsidRPr="003C742E">
        <w:t xml:space="preserve">in </w:t>
      </w:r>
      <w:r w:rsidR="001372E8" w:rsidRPr="003C742E">
        <w:t>a</w:t>
      </w:r>
      <w:r w:rsidR="005E435C" w:rsidRPr="003C742E">
        <w:t>dults</w:t>
      </w:r>
      <w:r w:rsidR="001372E8" w:rsidRPr="003C742E">
        <w:t xml:space="preserve"> aged </w:t>
      </w:r>
      <w:r w:rsidR="005E435C" w:rsidRPr="003C742E">
        <w:t>18</w:t>
      </w:r>
      <w:r w:rsidR="001372E8" w:rsidRPr="003C742E">
        <w:t> y</w:t>
      </w:r>
      <w:r w:rsidR="005E435C" w:rsidRPr="003C742E">
        <w:t>ears</w:t>
      </w:r>
      <w:r w:rsidR="001372E8" w:rsidRPr="003C742E">
        <w:t xml:space="preserve"> and over.</w:t>
      </w:r>
      <w:bookmarkStart w:id="75" w:name="_Ref134437367"/>
      <w:r w:rsidR="00F3141E">
        <w:rPr>
          <w:rStyle w:val="FootnoteReference"/>
        </w:rPr>
        <w:footnoteReference w:id="15"/>
      </w:r>
      <w:bookmarkEnd w:id="75"/>
    </w:p>
    <w:p w14:paraId="25771074" w14:textId="7F3F8C6A" w:rsidR="001372E8" w:rsidRPr="007D0354" w:rsidRDefault="001372E8" w:rsidP="007D0354">
      <w:pPr>
        <w:pStyle w:val="TableTitle"/>
      </w:pPr>
      <w:r w:rsidRPr="007D0354">
        <w:lastRenderedPageBreak/>
        <w:t xml:space="preserve">Table </w:t>
      </w:r>
      <w:r w:rsidR="009809E2">
        <w:fldChar w:fldCharType="begin"/>
      </w:r>
      <w:r w:rsidR="009809E2">
        <w:instrText xml:space="preserve"> SEQ Table \* ARABIC </w:instrText>
      </w:r>
      <w:r w:rsidR="009809E2">
        <w:fldChar w:fldCharType="separate"/>
      </w:r>
      <w:r w:rsidR="0005046B">
        <w:rPr>
          <w:noProof/>
        </w:rPr>
        <w:t>10</w:t>
      </w:r>
      <w:r w:rsidR="009809E2">
        <w:rPr>
          <w:noProof/>
        </w:rPr>
        <w:fldChar w:fldCharType="end"/>
      </w:r>
      <w:r w:rsidR="005A36C7" w:rsidRPr="007D0354">
        <w:t>: Study P201 Primary and secondary objectives and endpoints</w:t>
      </w:r>
    </w:p>
    <w:p w14:paraId="22A19534" w14:textId="4C23621E" w:rsidR="005A36C7" w:rsidRPr="003C742E" w:rsidRDefault="005A36C7" w:rsidP="003C742E">
      <w:r w:rsidRPr="003C742E">
        <w:rPr>
          <w:noProof/>
          <w:lang w:val="en-GB" w:eastAsia="en-GB"/>
        </w:rPr>
        <w:drawing>
          <wp:inline distT="0" distB="0" distL="0" distR="0" wp14:anchorId="0477FC08" wp14:editId="1FC45703">
            <wp:extent cx="5635984" cy="4132848"/>
            <wp:effectExtent l="0" t="0" r="3175" b="1270"/>
            <wp:docPr id="31" name="Picture 31" descr="Table 10: Study P201 Primary and secondary objectives and endp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 10: Study P201 Primary and secondary objectives and endpoints"/>
                    <pic:cNvPicPr/>
                  </pic:nvPicPr>
                  <pic:blipFill>
                    <a:blip r:embed="rId55"/>
                    <a:stretch>
                      <a:fillRect/>
                    </a:stretch>
                  </pic:blipFill>
                  <pic:spPr>
                    <a:xfrm>
                      <a:off x="0" y="0"/>
                      <a:ext cx="5636576" cy="4133282"/>
                    </a:xfrm>
                    <a:prstGeom prst="rect">
                      <a:avLst/>
                    </a:prstGeom>
                  </pic:spPr>
                </pic:pic>
              </a:graphicData>
            </a:graphic>
          </wp:inline>
        </w:drawing>
      </w:r>
    </w:p>
    <w:p w14:paraId="49B4218F" w14:textId="16ECB485" w:rsidR="005E435C" w:rsidRPr="003C742E" w:rsidRDefault="005E435C" w:rsidP="003C742E">
      <w:pPr>
        <w:pStyle w:val="TableDescription"/>
      </w:pPr>
      <w:r w:rsidRPr="003C742E">
        <w:t>Abbreviations: AE</w:t>
      </w:r>
      <w:r w:rsidR="00422D8E" w:rsidRPr="003C742E">
        <w:t xml:space="preserve"> </w:t>
      </w:r>
      <w:r w:rsidRPr="003C742E">
        <w:t>=</w:t>
      </w:r>
      <w:r w:rsidR="00422D8E" w:rsidRPr="003C742E">
        <w:t xml:space="preserve"> </w:t>
      </w:r>
      <w:r w:rsidRPr="003C742E">
        <w:t>adverse event; AR</w:t>
      </w:r>
      <w:r w:rsidR="00422D8E" w:rsidRPr="003C742E">
        <w:t xml:space="preserve"> </w:t>
      </w:r>
      <w:r w:rsidRPr="003C742E">
        <w:t>=</w:t>
      </w:r>
      <w:r w:rsidR="00422D8E" w:rsidRPr="003C742E">
        <w:t xml:space="preserve"> </w:t>
      </w:r>
      <w:r w:rsidRPr="003C742E">
        <w:t>adverse reaction; bAb</w:t>
      </w:r>
      <w:r w:rsidR="00422D8E" w:rsidRPr="003C742E">
        <w:t xml:space="preserve"> </w:t>
      </w:r>
      <w:r w:rsidRPr="003C742E">
        <w:t>=</w:t>
      </w:r>
      <w:r w:rsidR="00422D8E" w:rsidRPr="003C742E">
        <w:t xml:space="preserve"> </w:t>
      </w:r>
      <w:r w:rsidRPr="003C742E">
        <w:t>binding antibody; ELISA</w:t>
      </w:r>
      <w:r w:rsidR="00422D8E" w:rsidRPr="003C742E">
        <w:t xml:space="preserve"> </w:t>
      </w:r>
      <w:r w:rsidRPr="003C742E">
        <w:t>=</w:t>
      </w:r>
      <w:r w:rsidR="00422D8E" w:rsidRPr="003C742E">
        <w:t xml:space="preserve"> </w:t>
      </w:r>
      <w:r w:rsidRPr="003C742E">
        <w:t>enzyme-linked immunoabsorbent assay; Ig</w:t>
      </w:r>
      <w:r w:rsidR="00422D8E" w:rsidRPr="003C742E">
        <w:t xml:space="preserve"> </w:t>
      </w:r>
      <w:r w:rsidRPr="003C742E">
        <w:t>=</w:t>
      </w:r>
      <w:r w:rsidR="00422D8E" w:rsidRPr="003C742E">
        <w:t xml:space="preserve"> </w:t>
      </w:r>
      <w:r w:rsidRPr="003C742E">
        <w:t>immunoglobulin; LLOQ</w:t>
      </w:r>
      <w:r w:rsidR="00422D8E" w:rsidRPr="003C742E">
        <w:t xml:space="preserve"> </w:t>
      </w:r>
      <w:r w:rsidRPr="003C742E">
        <w:t>=</w:t>
      </w:r>
      <w:r w:rsidR="00422D8E" w:rsidRPr="003C742E">
        <w:t xml:space="preserve"> </w:t>
      </w:r>
      <w:r w:rsidRPr="003C742E">
        <w:t xml:space="preserve">lower limit of quantification; M=month; </w:t>
      </w:r>
      <w:r w:rsidR="005A36C7" w:rsidRPr="003C742E">
        <w:t xml:space="preserve">mRNA-1273 = Spikevax (elasomeran) COVID-19 vaccine drug development name; </w:t>
      </w:r>
      <w:r w:rsidRPr="003C742E">
        <w:t>MAAE</w:t>
      </w:r>
      <w:r w:rsidR="00422D8E" w:rsidRPr="003C742E">
        <w:t xml:space="preserve"> </w:t>
      </w:r>
      <w:r w:rsidRPr="003C742E">
        <w:t>=</w:t>
      </w:r>
      <w:r w:rsidR="00422D8E" w:rsidRPr="003C742E">
        <w:t xml:space="preserve"> </w:t>
      </w:r>
      <w:r w:rsidRPr="003C742E">
        <w:t>medically attended adverse event; nAb</w:t>
      </w:r>
      <w:r w:rsidR="00422D8E" w:rsidRPr="003C742E">
        <w:t xml:space="preserve"> </w:t>
      </w:r>
      <w:r w:rsidRPr="003C742E">
        <w:t>=</w:t>
      </w:r>
      <w:r w:rsidR="00422D8E" w:rsidRPr="003C742E">
        <w:t xml:space="preserve"> </w:t>
      </w:r>
      <w:r w:rsidRPr="003C742E">
        <w:t>neutrali</w:t>
      </w:r>
      <w:r w:rsidR="00A15C0C" w:rsidRPr="003C742E">
        <w:t>s</w:t>
      </w:r>
      <w:r w:rsidRPr="003C742E">
        <w:t>ing antibody; S</w:t>
      </w:r>
      <w:r w:rsidR="00422D8E" w:rsidRPr="003C742E">
        <w:t xml:space="preserve"> </w:t>
      </w:r>
      <w:r w:rsidRPr="003C742E">
        <w:t>=</w:t>
      </w:r>
      <w:r w:rsidR="00422D8E" w:rsidRPr="003C742E">
        <w:t xml:space="preserve"> </w:t>
      </w:r>
      <w:r w:rsidRPr="003C742E">
        <w:t>spike; SAE</w:t>
      </w:r>
      <w:r w:rsidR="00422D8E" w:rsidRPr="003C742E">
        <w:t xml:space="preserve"> </w:t>
      </w:r>
      <w:r w:rsidRPr="003C742E">
        <w:t>=</w:t>
      </w:r>
      <w:r w:rsidR="00422D8E" w:rsidRPr="003C742E">
        <w:t xml:space="preserve"> </w:t>
      </w:r>
      <w:r w:rsidRPr="003C742E">
        <w:t>serious adverse event; SARS-CoV-2</w:t>
      </w:r>
      <w:r w:rsidR="00422D8E" w:rsidRPr="003C742E">
        <w:t xml:space="preserve"> </w:t>
      </w:r>
      <w:r w:rsidRPr="003C742E">
        <w:t>=</w:t>
      </w:r>
      <w:r w:rsidR="00422D8E" w:rsidRPr="003C742E">
        <w:t xml:space="preserve"> </w:t>
      </w:r>
      <w:r w:rsidRPr="003C742E">
        <w:t>severe acute respiratory syndrome coronavirus that causes COVID-19.</w:t>
      </w:r>
    </w:p>
    <w:p w14:paraId="1E784B02" w14:textId="79A7A38A" w:rsidR="005E435C" w:rsidRPr="003C742E" w:rsidRDefault="005E435C" w:rsidP="005E435C">
      <w:r w:rsidRPr="003C742E">
        <w:t>The primary analysis clinical study report provided the primary analysis of safety and immunogenicity data through Day 57 (data cut-off date of 5 Nov</w:t>
      </w:r>
      <w:r w:rsidR="001372E8" w:rsidRPr="003C742E">
        <w:t>ember</w:t>
      </w:r>
      <w:r w:rsidRPr="003C742E">
        <w:t xml:space="preserve"> 2020). The end</w:t>
      </w:r>
      <w:r w:rsidR="009C3B2B" w:rsidRPr="003C742E">
        <w:t>-</w:t>
      </w:r>
      <w:r w:rsidRPr="003C742E">
        <w:t>of</w:t>
      </w:r>
      <w:r w:rsidR="009C3B2B" w:rsidRPr="003C742E">
        <w:t>-</w:t>
      </w:r>
      <w:r w:rsidRPr="003C742E">
        <w:t xml:space="preserve">study </w:t>
      </w:r>
      <w:r w:rsidR="001372E8" w:rsidRPr="003C742E">
        <w:t>clinical study report</w:t>
      </w:r>
      <w:r w:rsidRPr="003C742E">
        <w:t xml:space="preserve"> provides final analysis of all endpoints and will be completed after all participants have completed the Month 13 study procedures and the database is cleaned and locked.</w:t>
      </w:r>
    </w:p>
    <w:p w14:paraId="07E26053" w14:textId="32067E85" w:rsidR="005E435C" w:rsidRPr="003C742E" w:rsidRDefault="005E435C" w:rsidP="005E435C">
      <w:r w:rsidRPr="003C742E">
        <w:t xml:space="preserve">Study P201 </w:t>
      </w:r>
      <w:r w:rsidR="001372E8" w:rsidRPr="003C742E">
        <w:t xml:space="preserve">consist of </w:t>
      </w:r>
      <w:r w:rsidRPr="003C742E">
        <w:t>3</w:t>
      </w:r>
      <w:r w:rsidR="001372E8" w:rsidRPr="003C742E">
        <w:t xml:space="preserve"> </w:t>
      </w:r>
      <w:r w:rsidRPr="003C742E">
        <w:t>part</w:t>
      </w:r>
      <w:r w:rsidR="001372E8" w:rsidRPr="003C742E">
        <w:t>s</w:t>
      </w:r>
      <w:r w:rsidRPr="003C742E">
        <w:t xml:space="preserve">. Part A, the </w:t>
      </w:r>
      <w:r w:rsidR="001372E8" w:rsidRPr="003C742E">
        <w:t>blinded phase</w:t>
      </w:r>
      <w:r w:rsidRPr="003C742E">
        <w:t>, was randomi</w:t>
      </w:r>
      <w:r w:rsidR="00A15C0C" w:rsidRPr="003C742E">
        <w:t>s</w:t>
      </w:r>
      <w:r w:rsidRPr="003C742E">
        <w:t>ed, observer</w:t>
      </w:r>
      <w:r w:rsidR="001372E8" w:rsidRPr="003C742E">
        <w:t xml:space="preserve"> </w:t>
      </w:r>
      <w:r w:rsidRPr="003C742E">
        <w:t>blind, and placebo</w:t>
      </w:r>
      <w:r w:rsidR="001372E8" w:rsidRPr="003C742E">
        <w:t xml:space="preserve"> </w:t>
      </w:r>
      <w:r w:rsidRPr="003C742E">
        <w:t xml:space="preserve">controlled, with adult participants at least 18 years of age. The study included </w:t>
      </w:r>
      <w:r w:rsidR="001372E8" w:rsidRPr="003C742E">
        <w:t xml:space="preserve">cohorts of </w:t>
      </w:r>
      <w:r w:rsidRPr="003C742E">
        <w:t>2</w:t>
      </w:r>
      <w:r w:rsidR="001372E8" w:rsidRPr="003C742E">
        <w:t> </w:t>
      </w:r>
      <w:r w:rsidRPr="003C742E">
        <w:t>age</w:t>
      </w:r>
      <w:r w:rsidR="001372E8" w:rsidRPr="003C742E">
        <w:t xml:space="preserve"> groups, which are adults aged 18 years to less than 55 years and adults 55 years and over.</w:t>
      </w:r>
      <w:r w:rsidRPr="003C742E">
        <w:t xml:space="preserve"> Each participant was to receive 2 injections of mRNA-1273 </w:t>
      </w:r>
      <w:r w:rsidR="00F3141E">
        <w:t xml:space="preserve">vaccine </w:t>
      </w:r>
      <w:r w:rsidRPr="003C742E">
        <w:t xml:space="preserve">or placebo by 0.5 mL </w:t>
      </w:r>
      <w:r w:rsidR="001372E8" w:rsidRPr="003C742E">
        <w:t>intramuscular</w:t>
      </w:r>
      <w:r w:rsidRPr="003C742E">
        <w:t xml:space="preserve"> injection on Day 1 and Day 29.</w:t>
      </w:r>
    </w:p>
    <w:p w14:paraId="12960667" w14:textId="3E6FCC34" w:rsidR="005E435C" w:rsidRPr="003C742E" w:rsidRDefault="005E435C" w:rsidP="005E435C">
      <w:r w:rsidRPr="003C742E">
        <w:t xml:space="preserve">After the safety and efficacy of mRNA-1273 </w:t>
      </w:r>
      <w:r w:rsidR="00F3141E">
        <w:t xml:space="preserve">vaccine </w:t>
      </w:r>
      <w:r w:rsidRPr="003C742E">
        <w:t>to prevent COVID-19 was demonstrated in the Phase</w:t>
      </w:r>
      <w:r w:rsidR="001372E8" w:rsidRPr="003C742E">
        <w:t> III</w:t>
      </w:r>
      <w:r w:rsidRPr="003C742E">
        <w:t xml:space="preserve"> </w:t>
      </w:r>
      <w:r w:rsidR="001372E8" w:rsidRPr="003C742E">
        <w:t xml:space="preserve">Study </w:t>
      </w:r>
      <w:r w:rsidR="00516475" w:rsidRPr="003C742E">
        <w:t>P</w:t>
      </w:r>
      <w:r w:rsidRPr="003C742E">
        <w:t xml:space="preserve">301 and </w:t>
      </w:r>
      <w:r w:rsidR="00F3141E">
        <w:t xml:space="preserve">the US Food and Drug Administration’s (FDA) </w:t>
      </w:r>
      <w:r w:rsidR="009C3B2B" w:rsidRPr="003C742E">
        <w:t>Emergency Use Authori</w:t>
      </w:r>
      <w:r w:rsidR="00F3141E">
        <w:t>z</w:t>
      </w:r>
      <w:r w:rsidR="009C3B2B" w:rsidRPr="003C742E">
        <w:t xml:space="preserve">ation </w:t>
      </w:r>
      <w:r w:rsidRPr="003C742E">
        <w:t>was given</w:t>
      </w:r>
      <w:r w:rsidR="001372E8" w:rsidRPr="003C742E">
        <w:t xml:space="preserve"> on </w:t>
      </w:r>
      <w:r w:rsidRPr="003C742E">
        <w:t>18 Dec</w:t>
      </w:r>
      <w:r w:rsidR="001372E8" w:rsidRPr="003C742E">
        <w:t>ember</w:t>
      </w:r>
      <w:r w:rsidRPr="003C742E">
        <w:t xml:space="preserve"> 2020</w:t>
      </w:r>
      <w:r w:rsidR="00F3141E">
        <w:t xml:space="preserve"> in the USA</w:t>
      </w:r>
      <w:r w:rsidRPr="003C742E">
        <w:t xml:space="preserve">, this Phase </w:t>
      </w:r>
      <w:r w:rsidR="001372E8" w:rsidRPr="003C742E">
        <w:t>II</w:t>
      </w:r>
      <w:r w:rsidRPr="003C742E">
        <w:t xml:space="preserve">a study moved to the Part B </w:t>
      </w:r>
      <w:r w:rsidR="009B79E9" w:rsidRPr="003C742E">
        <w:t>open label</w:t>
      </w:r>
      <w:r w:rsidRPr="003C742E">
        <w:t xml:space="preserve"> </w:t>
      </w:r>
      <w:r w:rsidR="001372E8" w:rsidRPr="003C742E">
        <w:t>interventional phase</w:t>
      </w:r>
      <w:r w:rsidRPr="003C742E">
        <w:t xml:space="preserve">. Part B was designed to offer participants who received placebo in Part A of this study the option to receive 2 injections of </w:t>
      </w:r>
      <w:r w:rsidR="009B79E9" w:rsidRPr="003C742E">
        <w:t>open label</w:t>
      </w:r>
      <w:r w:rsidRPr="003C742E">
        <w:t xml:space="preserve"> mRNA-1273 </w:t>
      </w:r>
      <w:r w:rsidR="00F3141E">
        <w:t xml:space="preserve">vaccine </w:t>
      </w:r>
      <w:r w:rsidRPr="003C742E">
        <w:t>(100</w:t>
      </w:r>
      <w:r w:rsidR="009C3B2B" w:rsidRPr="003C742E">
        <w:t> </w:t>
      </w:r>
      <w:r w:rsidR="00A15C0C" w:rsidRPr="003C742E">
        <w:t>μ</w:t>
      </w:r>
      <w:r w:rsidRPr="003C742E">
        <w:t xml:space="preserve">g) and participants who received </w:t>
      </w:r>
      <w:r w:rsidR="009C3B2B" w:rsidRPr="003C742E">
        <w:t>one</w:t>
      </w:r>
      <w:r w:rsidRPr="003C742E">
        <w:t xml:space="preserve"> or </w:t>
      </w:r>
      <w:r w:rsidR="009C3B2B" w:rsidRPr="003C742E">
        <w:t>two</w:t>
      </w:r>
      <w:r w:rsidRPr="003C742E">
        <w:t xml:space="preserve"> doses of 50 </w:t>
      </w:r>
      <w:r w:rsidR="00A15C0C" w:rsidRPr="003C742E">
        <w:t>μ</w:t>
      </w:r>
      <w:r w:rsidRPr="003C742E">
        <w:t xml:space="preserve">g or 100 </w:t>
      </w:r>
      <w:r w:rsidR="00A15C0C" w:rsidRPr="003C742E">
        <w:t>μ</w:t>
      </w:r>
      <w:r w:rsidRPr="003C742E">
        <w:t xml:space="preserve">g mRNA-1273 </w:t>
      </w:r>
      <w:r w:rsidR="00F3141E">
        <w:t xml:space="preserve">vaccine </w:t>
      </w:r>
      <w:r w:rsidRPr="003C742E">
        <w:t xml:space="preserve">in Part A of this study the option to receive a single booster dose of 50 </w:t>
      </w:r>
      <w:r w:rsidR="00A15C0C" w:rsidRPr="003C742E">
        <w:t>μ</w:t>
      </w:r>
      <w:r w:rsidRPr="003C742E">
        <w:t>g mRNA</w:t>
      </w:r>
      <w:r w:rsidR="009C3B2B" w:rsidRPr="003C742E">
        <w:t>-</w:t>
      </w:r>
      <w:r w:rsidRPr="003C742E">
        <w:t>1273</w:t>
      </w:r>
      <w:r w:rsidR="00F3141E" w:rsidRPr="00F3141E">
        <w:t xml:space="preserve"> </w:t>
      </w:r>
      <w:r w:rsidR="00F3141E">
        <w:t>vaccine</w:t>
      </w:r>
      <w:r w:rsidRPr="003C742E">
        <w:t xml:space="preserve">. The 50 </w:t>
      </w:r>
      <w:r w:rsidR="00A15C0C" w:rsidRPr="003C742E">
        <w:t>μ</w:t>
      </w:r>
      <w:r w:rsidRPr="003C742E">
        <w:t xml:space="preserve">g booster dose was selected as the optimal effective dose for boosting in </w:t>
      </w:r>
      <w:r w:rsidR="009C3B2B" w:rsidRPr="003C742E">
        <w:t>Study</w:t>
      </w:r>
      <w:r w:rsidR="00F3141E">
        <w:t> </w:t>
      </w:r>
      <w:r w:rsidRPr="003C742E">
        <w:t>P201 Part B</w:t>
      </w:r>
      <w:r w:rsidR="009C3B2B" w:rsidRPr="003C742E">
        <w:t xml:space="preserve"> b</w:t>
      </w:r>
      <w:r w:rsidRPr="003C742E">
        <w:t>ooster.</w:t>
      </w:r>
    </w:p>
    <w:p w14:paraId="20806461" w14:textId="6E9787F2" w:rsidR="005E435C" w:rsidRPr="003C742E" w:rsidRDefault="005E435C" w:rsidP="005E435C">
      <w:r w:rsidRPr="003C742E">
        <w:lastRenderedPageBreak/>
        <w:t>Part C</w:t>
      </w:r>
      <w:bookmarkStart w:id="76" w:name="_Hlk130879484"/>
      <w:r w:rsidRPr="003C742E">
        <w:t xml:space="preserve"> was a proof-of-concept rollover study of approximately 60 participants who were enrolled in the Phase </w:t>
      </w:r>
      <w:r w:rsidR="009C3B2B" w:rsidRPr="003C742E">
        <w:t>III Study</w:t>
      </w:r>
      <w:r w:rsidRPr="003C742E">
        <w:t xml:space="preserve"> P301, had already been unblinded, and had previously received 2 doses of mRNA-1273 </w:t>
      </w:r>
      <w:r w:rsidR="00F3141E">
        <w:t xml:space="preserve">vaccine </w:t>
      </w:r>
      <w:r w:rsidRPr="003C742E">
        <w:t xml:space="preserve">at least 6 months earlier. </w:t>
      </w:r>
      <w:bookmarkEnd w:id="76"/>
      <w:r w:rsidRPr="003C742E">
        <w:t xml:space="preserve">Upon enrolment into Part C of this study, participants received a single </w:t>
      </w:r>
      <w:r w:rsidR="001372E8" w:rsidRPr="003C742E">
        <w:t>intramuscular</w:t>
      </w:r>
      <w:r w:rsidRPr="003C742E">
        <w:t xml:space="preserve"> injection of mRNA</w:t>
      </w:r>
      <w:r w:rsidR="009C3B2B" w:rsidRPr="003C742E">
        <w:noBreakHyphen/>
      </w:r>
      <w:r w:rsidRPr="003C742E">
        <w:t>1273.351</w:t>
      </w:r>
      <w:r w:rsidR="00B2387D">
        <w:t>;</w:t>
      </w:r>
      <w:bookmarkStart w:id="77" w:name="_Ref134427422"/>
      <w:r w:rsidR="00B2387D">
        <w:rPr>
          <w:rStyle w:val="FootnoteReference"/>
        </w:rPr>
        <w:footnoteReference w:id="16"/>
      </w:r>
      <w:bookmarkEnd w:id="77"/>
      <w:r w:rsidRPr="003C742E">
        <w:t xml:space="preserve"> (20 </w:t>
      </w:r>
      <w:r w:rsidR="00A15C0C" w:rsidRPr="003C742E">
        <w:t>μ</w:t>
      </w:r>
      <w:r w:rsidRPr="003C742E">
        <w:t xml:space="preserve">g or 50 </w:t>
      </w:r>
      <w:r w:rsidR="00A15C0C" w:rsidRPr="003C742E">
        <w:t>μ</w:t>
      </w:r>
      <w:r w:rsidRPr="003C742E">
        <w:t>g) or mRNA-1273</w:t>
      </w:r>
      <w:r w:rsidR="009C3B2B" w:rsidRPr="003C742E">
        <w:t xml:space="preserve"> and </w:t>
      </w:r>
      <w:r w:rsidRPr="003C742E">
        <w:t xml:space="preserve">mRNA-1273.351 mixture (50 </w:t>
      </w:r>
      <w:r w:rsidR="00A15C0C" w:rsidRPr="003C742E">
        <w:t>μ</w:t>
      </w:r>
      <w:r w:rsidRPr="003C742E">
        <w:t xml:space="preserve">g total) at least 6 months after receiving the second vaccination in </w:t>
      </w:r>
      <w:r w:rsidR="009C3B2B" w:rsidRPr="003C742E">
        <w:t xml:space="preserve">Study </w:t>
      </w:r>
      <w:r w:rsidRPr="003C742E">
        <w:t xml:space="preserve">P301. Safety assessments for participants in Part C included the following, collected from </w:t>
      </w:r>
      <w:r w:rsidR="009B79E9" w:rsidRPr="003C742E">
        <w:t>open label</w:t>
      </w:r>
      <w:r w:rsidR="00B941A1" w:rsidRPr="003C742E">
        <w:t xml:space="preserve"> </w:t>
      </w:r>
      <w:r w:rsidRPr="003C742E">
        <w:t xml:space="preserve">Day 1 through </w:t>
      </w:r>
      <w:r w:rsidR="009B79E9" w:rsidRPr="003C742E">
        <w:t>open label</w:t>
      </w:r>
      <w:r w:rsidR="00B941A1" w:rsidRPr="003C742E">
        <w:t xml:space="preserve"> Day</w:t>
      </w:r>
      <w:r w:rsidR="009C3B2B" w:rsidRPr="003C742E">
        <w:t> </w:t>
      </w:r>
      <w:r w:rsidRPr="003C742E">
        <w:t>181.</w:t>
      </w:r>
    </w:p>
    <w:p w14:paraId="7897913C" w14:textId="6B26079B" w:rsidR="005E435C" w:rsidRPr="00D91801" w:rsidRDefault="00D03EE9" w:rsidP="00D91801">
      <w:pPr>
        <w:pStyle w:val="Heading6"/>
      </w:pPr>
      <w:r w:rsidRPr="00D91801">
        <w:t xml:space="preserve">Study P201 </w:t>
      </w:r>
      <w:r w:rsidR="00497DBD" w:rsidRPr="00D91801">
        <w:t>Part A</w:t>
      </w:r>
    </w:p>
    <w:p w14:paraId="7A222CDD" w14:textId="0ADB38BD" w:rsidR="005E435C" w:rsidRPr="00AB6B99" w:rsidRDefault="005E435C">
      <w:pPr>
        <w:pStyle w:val="Heading7"/>
      </w:pPr>
      <w:r w:rsidRPr="00AB6B99">
        <w:t xml:space="preserve">Primary analysis </w:t>
      </w:r>
      <w:r w:rsidR="001372E8" w:rsidRPr="00AB6B99">
        <w:t>clinical study report</w:t>
      </w:r>
      <w:r w:rsidRPr="00AB6B99">
        <w:t xml:space="preserve"> (dated 23 February 2021)</w:t>
      </w:r>
    </w:p>
    <w:p w14:paraId="0C201878" w14:textId="4F3D3838" w:rsidR="005E435C" w:rsidRPr="003C742E" w:rsidRDefault="005E435C" w:rsidP="005E435C">
      <w:r w:rsidRPr="003C742E">
        <w:t>This study was designed to evaluate the safety, reactogenicity, and immunogenicity of mRNA</w:t>
      </w:r>
      <w:r w:rsidR="00B941A1" w:rsidRPr="003C742E">
        <w:noBreakHyphen/>
      </w:r>
      <w:r w:rsidRPr="003C742E">
        <w:t>1273</w:t>
      </w:r>
      <w:r w:rsidR="00AB6B99">
        <w:t xml:space="preserve"> COVID-19</w:t>
      </w:r>
      <w:r w:rsidR="005D5809" w:rsidRPr="003C742E">
        <w:t xml:space="preserve"> vaccine</w:t>
      </w:r>
      <w:r w:rsidRPr="003C742E">
        <w:t xml:space="preserve">, administered in 2 doses (50 μg or 100 μg) 28 days apart. This report is based on the primary analysis through Day 57. The full study analyses will be presented in the end-of-study </w:t>
      </w:r>
      <w:r w:rsidR="001372E8" w:rsidRPr="003C742E">
        <w:t>clinical study report</w:t>
      </w:r>
      <w:r w:rsidRPr="003C742E">
        <w:t>.</w:t>
      </w:r>
    </w:p>
    <w:p w14:paraId="46576293" w14:textId="40C26A69" w:rsidR="005E435C" w:rsidRPr="003C742E" w:rsidRDefault="005E435C" w:rsidP="00F40587">
      <w:pPr>
        <w:pStyle w:val="Heading8"/>
      </w:pPr>
      <w:r w:rsidRPr="003C742E">
        <w:t>Safety</w:t>
      </w:r>
    </w:p>
    <w:p w14:paraId="216D76F9" w14:textId="2568B1CF" w:rsidR="005E435C" w:rsidRPr="003C742E" w:rsidRDefault="005E435C" w:rsidP="005E435C">
      <w:r w:rsidRPr="003C742E">
        <w:t xml:space="preserve">mRNA-1273 </w:t>
      </w:r>
      <w:r w:rsidR="00AB6B99">
        <w:t xml:space="preserve">vaccine </w:t>
      </w:r>
      <w:r w:rsidRPr="003C742E">
        <w:t>demonstrated an acceptable safety profile in the participant population enrolled in this study at both dose levels in cohorts</w:t>
      </w:r>
      <w:r w:rsidR="009C3B2B" w:rsidRPr="003C742E">
        <w:t xml:space="preserve"> from two age groups</w:t>
      </w:r>
      <w:r w:rsidRPr="003C742E">
        <w:t xml:space="preserve">: Cohort 1 </w:t>
      </w:r>
      <w:r w:rsidR="00860D51" w:rsidRPr="003C742E">
        <w:t>(</w:t>
      </w:r>
      <w:r w:rsidRPr="003C742E">
        <w:t xml:space="preserve">18 to </w:t>
      </w:r>
      <w:r w:rsidR="00860D51" w:rsidRPr="003C742E">
        <w:t>less than</w:t>
      </w:r>
      <w:r w:rsidRPr="003C742E">
        <w:t xml:space="preserve"> 55 years old) as well as Cohort 2 (55 years </w:t>
      </w:r>
      <w:r w:rsidR="00860D51" w:rsidRPr="003C742E">
        <w:t>and older</w:t>
      </w:r>
      <w:r w:rsidRPr="003C742E">
        <w:t>).</w:t>
      </w:r>
    </w:p>
    <w:p w14:paraId="7F79F290" w14:textId="29C58353" w:rsidR="005E435C" w:rsidRPr="003C742E" w:rsidRDefault="00182802" w:rsidP="00D91801">
      <w:pPr>
        <w:pStyle w:val="Heading8"/>
      </w:pPr>
      <w:r w:rsidRPr="00182802">
        <w:t>Immunogenicity</w:t>
      </w:r>
    </w:p>
    <w:p w14:paraId="045B82CA" w14:textId="7DD2C850" w:rsidR="005E435C" w:rsidRPr="003C742E" w:rsidRDefault="005E435C" w:rsidP="005E435C">
      <w:r w:rsidRPr="003C742E">
        <w:t xml:space="preserve">Vaccination with mRNA-1273 resulted in significant immune responses to SARS-CoV-2 in participants 18 years and older at both dose levels, confirming the selection of the 100-μg dose that was brought forward in the pivotal Phase </w:t>
      </w:r>
      <w:r w:rsidR="001E2B87" w:rsidRPr="003C742E">
        <w:t>III</w:t>
      </w:r>
      <w:r w:rsidRPr="003C742E">
        <w:t xml:space="preserve"> </w:t>
      </w:r>
      <w:r w:rsidR="00F27F2E" w:rsidRPr="003C742E">
        <w:t>Study P301</w:t>
      </w:r>
      <w:r w:rsidRPr="003C742E">
        <w:t>.</w:t>
      </w:r>
    </w:p>
    <w:p w14:paraId="45B53841" w14:textId="2BA6BA8C" w:rsidR="005E435C" w:rsidRPr="00AB6B99" w:rsidRDefault="005E435C">
      <w:pPr>
        <w:pStyle w:val="Heading7"/>
      </w:pPr>
      <w:r w:rsidRPr="00AB6B99">
        <w:t xml:space="preserve">Primary analysis </w:t>
      </w:r>
      <w:r w:rsidR="001372E8" w:rsidRPr="00AB6B99">
        <w:t>clinical study report</w:t>
      </w:r>
      <w:r w:rsidRPr="00AB6B99">
        <w:t xml:space="preserve"> </w:t>
      </w:r>
      <w:r w:rsidR="007E3135" w:rsidRPr="00AB6B99">
        <w:t xml:space="preserve">Addendum </w:t>
      </w:r>
      <w:r w:rsidRPr="00AB6B99">
        <w:t>1 (</w:t>
      </w:r>
      <w:r w:rsidR="0046573C" w:rsidRPr="00AB6B99">
        <w:t xml:space="preserve">end </w:t>
      </w:r>
      <w:r w:rsidRPr="00AB6B99">
        <w:t>of Part A immunogenicity and safety) dated 13</w:t>
      </w:r>
      <w:r w:rsidR="00AB6B99" w:rsidRPr="00AB6B99">
        <w:t> </w:t>
      </w:r>
      <w:r w:rsidRPr="00AB6B99">
        <w:t>August 2021</w:t>
      </w:r>
    </w:p>
    <w:p w14:paraId="543BEA48" w14:textId="27806868" w:rsidR="005E435C" w:rsidRPr="003C742E" w:rsidRDefault="005E435C" w:rsidP="00A43D72">
      <w:pPr>
        <w:pStyle w:val="Heading8"/>
        <w:rPr>
          <w:u w:val="single"/>
        </w:rPr>
      </w:pPr>
      <w:bookmarkStart w:id="78" w:name="_Hlk130146527"/>
      <w:r w:rsidRPr="003C742E">
        <w:rPr>
          <w:rStyle w:val="Heading8Char"/>
        </w:rPr>
        <w:t>Safety</w:t>
      </w:r>
    </w:p>
    <w:bookmarkEnd w:id="78"/>
    <w:p w14:paraId="1997AFBD" w14:textId="6E54C7AF" w:rsidR="005E435C" w:rsidRPr="003C742E" w:rsidRDefault="005E435C" w:rsidP="005E435C">
      <w:r w:rsidRPr="003C742E">
        <w:t xml:space="preserve">In this </w:t>
      </w:r>
      <w:r w:rsidR="00D942E4" w:rsidRPr="003C742E">
        <w:t>e</w:t>
      </w:r>
      <w:r w:rsidRPr="003C742E">
        <w:t xml:space="preserve">nd of Part A analysis, the mRNA-1273 vaccine, administered as 2 doses (50 μg or 100 μg) 28 days apart, demonstrated an acceptable safety profile in the participant population enrolled in this study in both age cohorts: Cohort 1 </w:t>
      </w:r>
      <w:r w:rsidR="009C3B2B" w:rsidRPr="003C742E">
        <w:t>(18 years to less than 55 years</w:t>
      </w:r>
      <w:r w:rsidRPr="003C742E">
        <w:t xml:space="preserve">) and Cohort 2 </w:t>
      </w:r>
      <w:r w:rsidR="009C3B2B" w:rsidRPr="003C742E">
        <w:t>(55</w:t>
      </w:r>
      <w:r w:rsidR="00D942E4" w:rsidRPr="003C742E">
        <w:t> </w:t>
      </w:r>
      <w:r w:rsidR="009C3B2B" w:rsidRPr="003C742E">
        <w:t>years and over</w:t>
      </w:r>
      <w:r w:rsidRPr="003C742E">
        <w:t xml:space="preserve">). No new safety findings since the primary analysis (Day 57) </w:t>
      </w:r>
      <w:r w:rsidR="001372E8" w:rsidRPr="003C742E">
        <w:t>clinical study report</w:t>
      </w:r>
      <w:r w:rsidRPr="003C742E">
        <w:t xml:space="preserve"> were identified in this </w:t>
      </w:r>
      <w:r w:rsidR="009C3B2B" w:rsidRPr="003C742E">
        <w:t xml:space="preserve">end </w:t>
      </w:r>
      <w:r w:rsidRPr="003C742E">
        <w:t>of Part A analysis.</w:t>
      </w:r>
    </w:p>
    <w:p w14:paraId="6B3DA87E" w14:textId="524C4FAD" w:rsidR="005E435C" w:rsidRPr="003C742E" w:rsidRDefault="00182802" w:rsidP="00F40587">
      <w:pPr>
        <w:pStyle w:val="Heading8"/>
      </w:pPr>
      <w:r w:rsidRPr="00182802">
        <w:t>Immunogenicity</w:t>
      </w:r>
    </w:p>
    <w:p w14:paraId="3775EAE0" w14:textId="0A07E15C" w:rsidR="005E435C" w:rsidRPr="003C742E" w:rsidRDefault="005E435C" w:rsidP="005E435C">
      <w:r w:rsidRPr="003C742E">
        <w:t xml:space="preserve">Overall, the magnitude and kinetics of immune response for both </w:t>
      </w:r>
      <w:r w:rsidR="007E3135" w:rsidRPr="003C742E">
        <w:t>binding antibody</w:t>
      </w:r>
      <w:r w:rsidRPr="003C742E">
        <w:t xml:space="preserve"> and </w:t>
      </w:r>
      <w:r w:rsidR="007E3135" w:rsidRPr="003C742E">
        <w:t>neutralising antibody</w:t>
      </w:r>
      <w:r w:rsidRPr="003C742E">
        <w:t xml:space="preserve"> was consistent across dose groups and age cohorts. Study </w:t>
      </w:r>
      <w:r w:rsidR="009C3B2B" w:rsidRPr="003C742E">
        <w:t>P</w:t>
      </w:r>
      <w:r w:rsidRPr="003C742E">
        <w:t>201 provided evidence of persistence of immune response through Day 209 (6 months after the second injection of mRNA-1273</w:t>
      </w:r>
      <w:r w:rsidR="00AB6B99" w:rsidRPr="00AB6B99">
        <w:t xml:space="preserve"> </w:t>
      </w:r>
      <w:r w:rsidR="00AB6B99">
        <w:t>vaccine</w:t>
      </w:r>
      <w:r w:rsidRPr="003C742E">
        <w:t xml:space="preserve">), which was lower than the peak observed at Day 43 but was higher than that at Day 29 (before the second injection). Vaccination with mRNA-1273 </w:t>
      </w:r>
      <w:r w:rsidR="00AB6B99">
        <w:t xml:space="preserve">vaccine </w:t>
      </w:r>
      <w:r w:rsidRPr="003C742E">
        <w:t xml:space="preserve">resulted in robust immune responses to SARS-CoV-2 in participants 18 years and older at both dose levels, and persistence of immune response was observed up to 6 months after the second injection. The titres are numerically higher in participants who received 100 μg compared with 50 μg of mRNA-1273 at Day 209. These results confirm the selection of the 100 μg dose that was brought forward in the pivotal Phase </w:t>
      </w:r>
      <w:r w:rsidR="009C3B2B" w:rsidRPr="003C742E">
        <w:t>III study (Study P301</w:t>
      </w:r>
      <w:r w:rsidRPr="003C742E">
        <w:t>).</w:t>
      </w:r>
    </w:p>
    <w:p w14:paraId="41C06C04" w14:textId="6558614B" w:rsidR="005E435C" w:rsidRPr="00D91801" w:rsidRDefault="00D03EE9" w:rsidP="00D91801">
      <w:pPr>
        <w:pStyle w:val="Heading6"/>
      </w:pPr>
      <w:r w:rsidRPr="00D91801">
        <w:lastRenderedPageBreak/>
        <w:t xml:space="preserve">Study P201 </w:t>
      </w:r>
      <w:r w:rsidR="005E435C" w:rsidRPr="00D91801">
        <w:t>Part B</w:t>
      </w:r>
    </w:p>
    <w:p w14:paraId="0DFCAABA" w14:textId="364F62BA" w:rsidR="005E435C" w:rsidRPr="002D6D06" w:rsidRDefault="005E435C">
      <w:pPr>
        <w:pStyle w:val="Heading7"/>
      </w:pPr>
      <w:r w:rsidRPr="002D6D06">
        <w:t xml:space="preserve">Primary analysis </w:t>
      </w:r>
      <w:r w:rsidR="001372E8" w:rsidRPr="002D6D06">
        <w:t>clinical study report</w:t>
      </w:r>
      <w:r w:rsidRPr="002D6D06">
        <w:t xml:space="preserve"> </w:t>
      </w:r>
      <w:r w:rsidR="007E3135" w:rsidRPr="002D6D06">
        <w:t xml:space="preserve">Addendum </w:t>
      </w:r>
      <w:r w:rsidRPr="002D6D06">
        <w:t>2 (Part B immunogenicity and safety) dated 24</w:t>
      </w:r>
      <w:r w:rsidR="0046573C" w:rsidRPr="002D6D06">
        <w:t> </w:t>
      </w:r>
      <w:r w:rsidRPr="002D6D06">
        <w:t>May</w:t>
      </w:r>
      <w:r w:rsidR="0046573C" w:rsidRPr="002D6D06">
        <w:t> </w:t>
      </w:r>
      <w:r w:rsidRPr="002D6D06">
        <w:t>2022</w:t>
      </w:r>
    </w:p>
    <w:p w14:paraId="312E49CF" w14:textId="48B27A59" w:rsidR="005E435C" w:rsidRPr="003C742E" w:rsidRDefault="005E435C" w:rsidP="005E435C">
      <w:r w:rsidRPr="003C742E">
        <w:t>Th</w:t>
      </w:r>
      <w:r w:rsidR="00522282">
        <w:t>e</w:t>
      </w:r>
      <w:r w:rsidRPr="003C742E">
        <w:t xml:space="preserve"> </w:t>
      </w:r>
      <w:r w:rsidR="001372E8" w:rsidRPr="003C742E">
        <w:t>clinical study report</w:t>
      </w:r>
      <w:r w:rsidRPr="003C742E">
        <w:t xml:space="preserve"> </w:t>
      </w:r>
      <w:r w:rsidR="00522282">
        <w:t xml:space="preserve">for Part B (known as </w:t>
      </w:r>
      <w:r w:rsidR="009C3B2B" w:rsidRPr="003C742E">
        <w:t>A</w:t>
      </w:r>
      <w:r w:rsidRPr="003C742E">
        <w:t>ddendum 2</w:t>
      </w:r>
      <w:r w:rsidR="00522282">
        <w:t>)</w:t>
      </w:r>
      <w:r w:rsidRPr="003C742E">
        <w:t xml:space="preserve"> present</w:t>
      </w:r>
      <w:r w:rsidR="00522282">
        <w:t>ed</w:t>
      </w:r>
      <w:r w:rsidRPr="003C742E">
        <w:t xml:space="preserve"> results for Part B participants who received a 50</w:t>
      </w:r>
      <w:r w:rsidR="009C3B2B" w:rsidRPr="003C742E">
        <w:t> </w:t>
      </w:r>
      <w:r w:rsidRPr="003C742E">
        <w:t xml:space="preserve">μg mRNA-1273 </w:t>
      </w:r>
      <w:r w:rsidR="00522282">
        <w:t xml:space="preserve">vaccine </w:t>
      </w:r>
      <w:r w:rsidRPr="003C742E">
        <w:t>booster dose after receiving a 50 μg or 100 μg primary vaccination series in Part</w:t>
      </w:r>
      <w:r w:rsidR="009C3B2B" w:rsidRPr="003C742E">
        <w:t> </w:t>
      </w:r>
      <w:r w:rsidRPr="003C742E">
        <w:t>A (Part B</w:t>
      </w:r>
      <w:r w:rsidR="009C3B2B" w:rsidRPr="003C742E">
        <w:t xml:space="preserve"> b</w:t>
      </w:r>
      <w:r w:rsidRPr="003C742E">
        <w:t>ooster) and participants who received a 2</w:t>
      </w:r>
      <w:r w:rsidR="00522282">
        <w:noBreakHyphen/>
      </w:r>
      <w:r w:rsidRPr="003C742E">
        <w:t xml:space="preserve">dose series of 100 μg mRNA-1273 </w:t>
      </w:r>
      <w:r w:rsidR="00522282">
        <w:t xml:space="preserve">vaccine </w:t>
      </w:r>
      <w:r w:rsidRPr="003C742E">
        <w:t>in Part</w:t>
      </w:r>
      <w:r w:rsidR="009C3B2B" w:rsidRPr="003C742E">
        <w:t> </w:t>
      </w:r>
      <w:r w:rsidRPr="003C742E">
        <w:t>B after receiving placebo in Part A (Part B</w:t>
      </w:r>
      <w:r w:rsidR="009C3B2B" w:rsidRPr="003C742E">
        <w:t xml:space="preserve"> c</w:t>
      </w:r>
      <w:r w:rsidRPr="003C742E">
        <w:t>rossover).</w:t>
      </w:r>
    </w:p>
    <w:p w14:paraId="57D2526E" w14:textId="17A94A6D" w:rsidR="005E435C" w:rsidRPr="00D91801" w:rsidRDefault="005E435C" w:rsidP="00D91801">
      <w:pPr>
        <w:pStyle w:val="Heading8"/>
      </w:pPr>
      <w:r w:rsidRPr="00D91801">
        <w:t>Safety</w:t>
      </w:r>
    </w:p>
    <w:p w14:paraId="3AB123B2" w14:textId="5B3371BE" w:rsidR="005E435C" w:rsidRPr="003C742E" w:rsidRDefault="005E435C" w:rsidP="005E435C">
      <w:r w:rsidRPr="003C742E">
        <w:t>The 50 μg mRNA-1273 booster vaccination demonstrated no unexpected reactogenicity or safety results. Findings for Part B</w:t>
      </w:r>
      <w:r w:rsidR="009C3B2B" w:rsidRPr="003C742E">
        <w:t xml:space="preserve"> booster </w:t>
      </w:r>
      <w:r w:rsidRPr="003C742E">
        <w:t>participants and Part B</w:t>
      </w:r>
      <w:r w:rsidR="009C3B2B" w:rsidRPr="003C742E">
        <w:t xml:space="preserve"> crossover </w:t>
      </w:r>
      <w:r w:rsidRPr="003C742E">
        <w:t>participants were consistent with those of the previously reported mRNA-1273 Part A primary series, further supporting the acceptable benefit-risk profile of the vaccination regimen.</w:t>
      </w:r>
    </w:p>
    <w:p w14:paraId="38B3466C" w14:textId="3A60BBD7" w:rsidR="005E435C" w:rsidRPr="00D91801" w:rsidRDefault="00182802" w:rsidP="00D91801">
      <w:pPr>
        <w:pStyle w:val="Heading8"/>
      </w:pPr>
      <w:r w:rsidRPr="00182802">
        <w:t>Immunogenicity</w:t>
      </w:r>
    </w:p>
    <w:p w14:paraId="50A16025" w14:textId="57353AA9" w:rsidR="005E435C" w:rsidRPr="003C742E" w:rsidRDefault="005E435C" w:rsidP="005E435C">
      <w:r w:rsidRPr="003C742E">
        <w:t xml:space="preserve">Immunogenicity objectives for </w:t>
      </w:r>
      <w:r w:rsidR="009C3B2B" w:rsidRPr="003C742E">
        <w:t xml:space="preserve">Study </w:t>
      </w:r>
      <w:r w:rsidRPr="003C742E">
        <w:t>P201 Part B</w:t>
      </w:r>
      <w:r w:rsidR="009C3B2B" w:rsidRPr="003C742E">
        <w:t xml:space="preserve"> c</w:t>
      </w:r>
      <w:r w:rsidRPr="003C742E">
        <w:t xml:space="preserve">rossover part of the study were not assessed as results are not anticipated to provide any novel or additional information to already available data (Part A of Study P201 as well as in Part A of the </w:t>
      </w:r>
      <w:r w:rsidR="009C3B2B" w:rsidRPr="003C742E">
        <w:t xml:space="preserve">Study </w:t>
      </w:r>
      <w:r w:rsidRPr="003C742E">
        <w:t>P301).</w:t>
      </w:r>
    </w:p>
    <w:p w14:paraId="59F24D26" w14:textId="6F40358D" w:rsidR="005E435C" w:rsidRPr="003C742E" w:rsidRDefault="005E435C" w:rsidP="005E435C">
      <w:r w:rsidRPr="003C742E">
        <w:t xml:space="preserve">Repeat analysis of the Part A samples using the validated </w:t>
      </w:r>
      <w:r w:rsidR="00516475" w:rsidRPr="003C742E">
        <w:t>pseudotyped virus neutralisation assay (</w:t>
      </w:r>
      <w:r w:rsidRPr="003C742E">
        <w:t>PsVNA</w:t>
      </w:r>
      <w:r w:rsidR="00516475" w:rsidRPr="003C742E">
        <w:t>)</w:t>
      </w:r>
      <w:r w:rsidRPr="003C742E">
        <w:t xml:space="preserve"> confirmed a higher immunogenic primary</w:t>
      </w:r>
      <w:r w:rsidR="009C3B2B" w:rsidRPr="003C742E">
        <w:t xml:space="preserve"> </w:t>
      </w:r>
      <w:r w:rsidRPr="003C742E">
        <w:t xml:space="preserve">dose response with 100 μg compared with 50 μg. The booster injection elicited a robust immune response to SARS-CoV-2 based on </w:t>
      </w:r>
      <w:r w:rsidR="007E3135" w:rsidRPr="003C742E">
        <w:t>neutralising antibody</w:t>
      </w:r>
      <w:r w:rsidRPr="003C742E">
        <w:t xml:space="preserve"> and </w:t>
      </w:r>
      <w:r w:rsidR="007E3135" w:rsidRPr="003C742E">
        <w:t>binding antibody</w:t>
      </w:r>
      <w:r w:rsidRPr="003C742E">
        <w:t xml:space="preserve"> responses that showed increased </w:t>
      </w:r>
      <w:r w:rsidR="00BC2AF2" w:rsidRPr="003C742E">
        <w:t>geometric mean (</w:t>
      </w:r>
      <w:r w:rsidRPr="003C742E">
        <w:t>GM</w:t>
      </w:r>
      <w:r w:rsidR="00BC2AF2" w:rsidRPr="003C742E">
        <w:t>)</w:t>
      </w:r>
      <w:r w:rsidRPr="003C742E">
        <w:t xml:space="preserve"> levels from </w:t>
      </w:r>
      <w:r w:rsidR="009B79E9" w:rsidRPr="003C742E">
        <w:t>open label</w:t>
      </w:r>
      <w:r w:rsidR="00B941A1" w:rsidRPr="003C742E">
        <w:t xml:space="preserve"> Day</w:t>
      </w:r>
      <w:r w:rsidRPr="003C742E">
        <w:t xml:space="preserve"> 1 (pre-booster) to </w:t>
      </w:r>
      <w:r w:rsidR="009B79E9" w:rsidRPr="003C742E">
        <w:t>open label</w:t>
      </w:r>
      <w:r w:rsidR="00B941A1" w:rsidRPr="003C742E">
        <w:t xml:space="preserve"> Day</w:t>
      </w:r>
      <w:r w:rsidRPr="003C742E">
        <w:t xml:space="preserve"> 29 (28 days after the booster injection). Immune responses at </w:t>
      </w:r>
      <w:r w:rsidR="009B79E9" w:rsidRPr="003C742E">
        <w:t>open label</w:t>
      </w:r>
      <w:r w:rsidR="00B941A1" w:rsidRPr="003C742E">
        <w:t xml:space="preserve"> Day</w:t>
      </w:r>
      <w:r w:rsidRPr="003C742E">
        <w:t xml:space="preserve"> 29 also compared favourably with those observed 28</w:t>
      </w:r>
      <w:r w:rsidR="009C3B2B" w:rsidRPr="003C742E">
        <w:t> </w:t>
      </w:r>
      <w:r w:rsidRPr="003C742E">
        <w:t xml:space="preserve">days after the second dose of the primary series in Part A of the study; overall, post-booster geometric mean titre (GMT) </w:t>
      </w:r>
      <w:r w:rsidR="00BC2AF2" w:rsidRPr="003C742E">
        <w:t>50% inhibitory dose (</w:t>
      </w:r>
      <w:r w:rsidRPr="003C742E">
        <w:t>ID</w:t>
      </w:r>
      <w:r w:rsidRPr="003C742E">
        <w:rPr>
          <w:vertAlign w:val="subscript"/>
        </w:rPr>
        <w:t>50</w:t>
      </w:r>
      <w:r w:rsidR="00BC2AF2" w:rsidRPr="003C742E">
        <w:t>)</w:t>
      </w:r>
      <w:r w:rsidRPr="003C742E">
        <w:t xml:space="preserve"> (95% confidence interval</w:t>
      </w:r>
      <w:r w:rsidR="00BC2AF2" w:rsidRPr="003C742E">
        <w:t xml:space="preserve"> (CI</w:t>
      </w:r>
      <w:r w:rsidR="009C3B2B" w:rsidRPr="003C742E">
        <w:t>)</w:t>
      </w:r>
      <w:r w:rsidRPr="003C742E">
        <w:t xml:space="preserve"> (1,892.708 </w:t>
      </w:r>
      <w:r w:rsidR="00A15C0C" w:rsidRPr="003C742E">
        <w:t>(</w:t>
      </w:r>
      <w:r w:rsidRPr="003C742E">
        <w:t>1728.800, 2072.157</w:t>
      </w:r>
      <w:r w:rsidR="00A15C0C" w:rsidRPr="003C742E">
        <w:t>)</w:t>
      </w:r>
      <w:r w:rsidRPr="003C742E">
        <w:t xml:space="preserve"> </w:t>
      </w:r>
      <w:r w:rsidR="009B79E9" w:rsidRPr="003C742E">
        <w:t>open label</w:t>
      </w:r>
      <w:r w:rsidR="00B941A1" w:rsidRPr="003C742E">
        <w:t xml:space="preserve"> Day</w:t>
      </w:r>
      <w:r w:rsidRPr="003C742E">
        <w:t xml:space="preserve"> 29) was higher than GMT </w:t>
      </w:r>
      <w:r w:rsidR="003C742E" w:rsidRPr="003C742E">
        <w:t>ID</w:t>
      </w:r>
      <w:r w:rsidR="003C742E" w:rsidRPr="003C742E">
        <w:rPr>
          <w:vertAlign w:val="subscript"/>
        </w:rPr>
        <w:t>50</w:t>
      </w:r>
      <w:r w:rsidRPr="003C742E">
        <w:t xml:space="preserve"> at Day 57 (</w:t>
      </w:r>
      <w:r w:rsidR="009C3B2B" w:rsidRPr="003C742E">
        <w:t>that is</w:t>
      </w:r>
      <w:r w:rsidRPr="003C742E">
        <w:t xml:space="preserve">, 28 days after the second primary series injection) for both 50 μg or 100 μg mRNA-1273 doses (629.227 </w:t>
      </w:r>
      <w:r w:rsidR="00A15C0C" w:rsidRPr="003C742E">
        <w:t>(</w:t>
      </w:r>
      <w:r w:rsidRPr="003C742E">
        <w:t>549.327, 720.749</w:t>
      </w:r>
      <w:r w:rsidR="00A15C0C" w:rsidRPr="003C742E">
        <w:t>)</w:t>
      </w:r>
      <w:r w:rsidRPr="003C742E">
        <w:t xml:space="preserve"> and 1,271.504 </w:t>
      </w:r>
      <w:r w:rsidR="00A15C0C" w:rsidRPr="003C742E">
        <w:t>(</w:t>
      </w:r>
      <w:r w:rsidRPr="003C742E">
        <w:t>1091.992, 1480.526</w:t>
      </w:r>
      <w:r w:rsidR="00A15C0C" w:rsidRPr="003C742E">
        <w:t>)</w:t>
      </w:r>
      <w:r w:rsidRPr="003C742E">
        <w:t xml:space="preserve">, respectively), confirming that a 50 μg booster dose is adequate to boost </w:t>
      </w:r>
      <w:r w:rsidR="007E3135" w:rsidRPr="003C742E">
        <w:t>neutralising antibody</w:t>
      </w:r>
      <w:r w:rsidRPr="003C742E">
        <w:t xml:space="preserve">. Seroresponse was observed in </w:t>
      </w:r>
      <w:r w:rsidR="009C3B2B" w:rsidRPr="003C742E">
        <w:t>more than</w:t>
      </w:r>
      <w:r w:rsidRPr="003C742E">
        <w:t xml:space="preserve"> 90% of participants relative to pre</w:t>
      </w:r>
      <w:r w:rsidR="009C3B2B" w:rsidRPr="003C742E">
        <w:noBreakHyphen/>
      </w:r>
      <w:r w:rsidRPr="003C742E">
        <w:t>booster baselines (</w:t>
      </w:r>
      <w:r w:rsidR="009B79E9" w:rsidRPr="003C742E">
        <w:t>open label</w:t>
      </w:r>
      <w:r w:rsidR="00B941A1" w:rsidRPr="003C742E">
        <w:t xml:space="preserve"> Day</w:t>
      </w:r>
      <w:r w:rsidRPr="003C742E">
        <w:t xml:space="preserve"> 1) and in 100% of participants relative to pre-vaccination (Day 1) baselines.</w:t>
      </w:r>
    </w:p>
    <w:p w14:paraId="3F867F40" w14:textId="020C9548" w:rsidR="005E435C" w:rsidRPr="003C742E" w:rsidRDefault="005E435C" w:rsidP="005E435C">
      <w:r w:rsidRPr="003C742E">
        <w:t xml:space="preserve">A more than 10%-fold rise increase on </w:t>
      </w:r>
      <w:r w:rsidR="007E3135" w:rsidRPr="003C742E">
        <w:t>binding antibod</w:t>
      </w:r>
      <w:r w:rsidR="004B01BB" w:rsidRPr="003C742E">
        <w:t>ie</w:t>
      </w:r>
      <w:r w:rsidRPr="003C742E">
        <w:t xml:space="preserve">s against Alpha (B.1.1.7), Beta (B.1.351) and Gamma (P.1) variants was observed by </w:t>
      </w:r>
      <w:r w:rsidR="009B79E9" w:rsidRPr="003C742E">
        <w:t>open label</w:t>
      </w:r>
      <w:r w:rsidR="00B941A1" w:rsidRPr="003C742E">
        <w:t xml:space="preserve"> Day</w:t>
      </w:r>
      <w:r w:rsidRPr="003C742E">
        <w:t xml:space="preserve"> 29 with a </w:t>
      </w:r>
      <w:r w:rsidR="005969ED" w:rsidRPr="003C742E">
        <w:t>seroresponse rate</w:t>
      </w:r>
      <w:r w:rsidRPr="003C742E">
        <w:t xml:space="preserve"> of </w:t>
      </w:r>
      <w:r w:rsidR="009C3B2B" w:rsidRPr="003C742E">
        <w:t xml:space="preserve">more than </w:t>
      </w:r>
      <w:r w:rsidRPr="003C742E">
        <w:t>95% from pre-booster in all 3</w:t>
      </w:r>
      <w:r w:rsidR="009C3B2B" w:rsidRPr="003C742E">
        <w:t> </w:t>
      </w:r>
      <w:r w:rsidRPr="003C742E">
        <w:t xml:space="preserve">variants. The </w:t>
      </w:r>
      <w:r w:rsidR="007E3135" w:rsidRPr="003C742E">
        <w:t>neutralising antibody</w:t>
      </w:r>
      <w:r w:rsidRPr="003C742E">
        <w:t xml:space="preserve"> GMT </w:t>
      </w:r>
      <w:r w:rsidR="003C742E" w:rsidRPr="003C742E">
        <w:t>ID</w:t>
      </w:r>
      <w:r w:rsidR="003C742E" w:rsidRPr="003C742E">
        <w:rPr>
          <w:vertAlign w:val="subscript"/>
        </w:rPr>
        <w:t>50</w:t>
      </w:r>
      <w:r w:rsidRPr="003C742E">
        <w:t xml:space="preserve"> titres against Beta (B.1.351), Delta (B.1.617.2) and Omicron (B.1.1.529) variants showed an increase in </w:t>
      </w:r>
      <w:r w:rsidR="007E3135" w:rsidRPr="003C742E">
        <w:t>neutralising antibody</w:t>
      </w:r>
      <w:r w:rsidRPr="003C742E">
        <w:t xml:space="preserve"> by day </w:t>
      </w:r>
      <w:r w:rsidR="009B79E9" w:rsidRPr="003C742E">
        <w:t>open label</w:t>
      </w:r>
      <w:r w:rsidR="00B941A1" w:rsidRPr="003C742E">
        <w:t xml:space="preserve"> Day</w:t>
      </w:r>
      <w:r w:rsidR="007E3135" w:rsidRPr="003C742E">
        <w:t> </w:t>
      </w:r>
      <w:r w:rsidRPr="003C742E">
        <w:t>29 (</w:t>
      </w:r>
      <w:r w:rsidR="007E3135" w:rsidRPr="003C742E">
        <w:t>neutralising antibody</w:t>
      </w:r>
      <w:r w:rsidRPr="003C742E">
        <w:t xml:space="preserve"> increased by 25-fold, 16</w:t>
      </w:r>
      <w:r w:rsidR="009C3B2B" w:rsidRPr="003C742E">
        <w:noBreakHyphen/>
      </w:r>
      <w:r w:rsidRPr="003C742E">
        <w:t xml:space="preserve">fold, and 30-fold, respectively) with a </w:t>
      </w:r>
      <w:r w:rsidR="005969ED" w:rsidRPr="003C742E">
        <w:t>seroresponse rate</w:t>
      </w:r>
      <w:r w:rsidRPr="003C742E">
        <w:t xml:space="preserve"> of </w:t>
      </w:r>
      <w:r w:rsidR="009C3B2B" w:rsidRPr="003C742E">
        <w:t xml:space="preserve">more than </w:t>
      </w:r>
      <w:r w:rsidRPr="003C742E">
        <w:t>85%.</w:t>
      </w:r>
    </w:p>
    <w:p w14:paraId="25CC88ED" w14:textId="53707101" w:rsidR="005E435C" w:rsidRPr="003C742E" w:rsidRDefault="005E435C" w:rsidP="005E435C">
      <w:r w:rsidRPr="003C742E">
        <w:t xml:space="preserve">Persistence of immune response in the 100 μg primary series group was observed through </w:t>
      </w:r>
      <w:r w:rsidR="009B79E9" w:rsidRPr="003C742E">
        <w:t>open label</w:t>
      </w:r>
      <w:r w:rsidR="00B941A1" w:rsidRPr="003C742E">
        <w:t xml:space="preserve"> Day</w:t>
      </w:r>
      <w:r w:rsidR="009C3B2B" w:rsidRPr="003C742E">
        <w:t> </w:t>
      </w:r>
      <w:r w:rsidRPr="003C742E">
        <w:t>181 (6 months post-booster). Neutrali</w:t>
      </w:r>
      <w:r w:rsidR="00A15C0C" w:rsidRPr="003C742E">
        <w:t>s</w:t>
      </w:r>
      <w:r w:rsidRPr="003C742E">
        <w:t xml:space="preserve">ing </w:t>
      </w:r>
      <w:r w:rsidR="009C3B2B" w:rsidRPr="003C742E">
        <w:t>antibodies</w:t>
      </w:r>
      <w:r w:rsidRPr="003C742E">
        <w:t xml:space="preserve"> against SARS-CoV-2 original strain and Beta (B.1.351), Delta (B.1.617.2) and Omicron (B.1.1.529) variants on </w:t>
      </w:r>
      <w:r w:rsidR="009B79E9" w:rsidRPr="003C742E">
        <w:t>open label</w:t>
      </w:r>
      <w:r w:rsidR="00B941A1" w:rsidRPr="003C742E">
        <w:t xml:space="preserve"> Day</w:t>
      </w:r>
      <w:r w:rsidR="0053571E" w:rsidRPr="003C742E">
        <w:t> </w:t>
      </w:r>
      <w:r w:rsidRPr="003C742E">
        <w:t xml:space="preserve">181 were lower than the peak observed at </w:t>
      </w:r>
      <w:r w:rsidR="009B79E9" w:rsidRPr="003C742E">
        <w:t>open label</w:t>
      </w:r>
      <w:r w:rsidR="00B941A1" w:rsidRPr="003C742E">
        <w:t xml:space="preserve"> Day</w:t>
      </w:r>
      <w:r w:rsidRPr="003C742E">
        <w:t xml:space="preserve"> 29 but higher than </w:t>
      </w:r>
      <w:r w:rsidR="009B79E9" w:rsidRPr="003C742E">
        <w:t>open label</w:t>
      </w:r>
      <w:r w:rsidR="00B941A1" w:rsidRPr="003C742E">
        <w:t xml:space="preserve"> Day</w:t>
      </w:r>
      <w:r w:rsidR="0053571E" w:rsidRPr="003C742E">
        <w:t> </w:t>
      </w:r>
      <w:r w:rsidRPr="003C742E">
        <w:t>1.</w:t>
      </w:r>
    </w:p>
    <w:p w14:paraId="32ADBB4C" w14:textId="4E2EA374" w:rsidR="005E435C" w:rsidRPr="003C742E" w:rsidRDefault="005E435C" w:rsidP="005E435C">
      <w:r w:rsidRPr="003C742E">
        <w:t>Findings were generally consistent for participants in both age cohorts (</w:t>
      </w:r>
      <w:r w:rsidR="009C3B2B" w:rsidRPr="003C742E">
        <w:t>1</w:t>
      </w:r>
      <w:r w:rsidRPr="003C742E">
        <w:t xml:space="preserve">8 </w:t>
      </w:r>
      <w:r w:rsidR="009C3B2B" w:rsidRPr="003C742E">
        <w:t>years to less than</w:t>
      </w:r>
      <w:r w:rsidRPr="003C742E">
        <w:t xml:space="preserve"> 55</w:t>
      </w:r>
      <w:r w:rsidR="009C3B2B" w:rsidRPr="003C742E">
        <w:t> </w:t>
      </w:r>
      <w:r w:rsidRPr="003C742E">
        <w:t>years in Cohort 1 and 55 years</w:t>
      </w:r>
      <w:r w:rsidR="009C3B2B" w:rsidRPr="003C742E">
        <w:t xml:space="preserve"> and over</w:t>
      </w:r>
      <w:r w:rsidRPr="003C742E">
        <w:t xml:space="preserve"> in Cohort 2) and primary series dose groups (50</w:t>
      </w:r>
      <w:r w:rsidR="009C3B2B" w:rsidRPr="003C742E">
        <w:t> </w:t>
      </w:r>
      <w:r w:rsidRPr="003C742E">
        <w:t>μg or 100</w:t>
      </w:r>
      <w:r w:rsidR="0053571E" w:rsidRPr="003C742E">
        <w:t> </w:t>
      </w:r>
      <w:r w:rsidRPr="003C742E">
        <w:t>μg mRNA-1273</w:t>
      </w:r>
      <w:r w:rsidR="00522282">
        <w:t xml:space="preserve"> vaccine</w:t>
      </w:r>
      <w:r w:rsidRPr="003C742E">
        <w:t>).</w:t>
      </w:r>
    </w:p>
    <w:p w14:paraId="4DF72C39" w14:textId="5A547771" w:rsidR="005E435C" w:rsidRDefault="00D03EE9" w:rsidP="00D91801">
      <w:pPr>
        <w:pStyle w:val="Heading6"/>
      </w:pPr>
      <w:r w:rsidRPr="00D91801">
        <w:lastRenderedPageBreak/>
        <w:t xml:space="preserve">Study P201 </w:t>
      </w:r>
      <w:r w:rsidR="005E435C" w:rsidRPr="00D91801">
        <w:t>Part C</w:t>
      </w:r>
    </w:p>
    <w:p w14:paraId="757705AF" w14:textId="3A25831C" w:rsidR="00522282" w:rsidRPr="003154A3" w:rsidRDefault="00522282" w:rsidP="00A43D72">
      <w:pPr>
        <w:pStyle w:val="Heading7"/>
      </w:pPr>
      <w:r w:rsidRPr="00BF31B3">
        <w:t xml:space="preserve">Primary analysis clinical study report Addendum </w:t>
      </w:r>
      <w:r>
        <w:t>3 (Part C</w:t>
      </w:r>
      <w:r w:rsidRPr="00BF31B3">
        <w:t xml:space="preserve"> immunogenicity and safety) dated </w:t>
      </w:r>
      <w:r>
        <w:t>28</w:t>
      </w:r>
      <w:r w:rsidRPr="00BF31B3">
        <w:t> </w:t>
      </w:r>
      <w:r>
        <w:t>September</w:t>
      </w:r>
      <w:r w:rsidRPr="00BF31B3">
        <w:t> 2022</w:t>
      </w:r>
    </w:p>
    <w:p w14:paraId="1E6869D7" w14:textId="076187A0" w:rsidR="005E435C" w:rsidRPr="003C742E" w:rsidRDefault="005E435C" w:rsidP="005E435C">
      <w:r w:rsidRPr="003C742E">
        <w:t xml:space="preserve">The results presented in the </w:t>
      </w:r>
      <w:r w:rsidR="001372E8" w:rsidRPr="003C742E">
        <w:t>clinical study report</w:t>
      </w:r>
      <w:r w:rsidRPr="003C742E">
        <w:t xml:space="preserve"> Addendum 3 (dated 28 September 2022) are for Part C participants who received either 50 </w:t>
      </w:r>
      <w:r w:rsidR="00A15C0C" w:rsidRPr="003C742E">
        <w:t>μ</w:t>
      </w:r>
      <w:r w:rsidRPr="003C742E">
        <w:t xml:space="preserve">g of mRNA-1273.351, 50 </w:t>
      </w:r>
      <w:r w:rsidR="00A15C0C" w:rsidRPr="003C742E">
        <w:t>μ</w:t>
      </w:r>
      <w:r w:rsidRPr="003C742E">
        <w:t>g of mRNA</w:t>
      </w:r>
      <w:r w:rsidR="009C3B2B" w:rsidRPr="003C742E">
        <w:noBreakHyphen/>
      </w:r>
      <w:r w:rsidRPr="003C742E">
        <w:t xml:space="preserve">1273/mRNA-1273.351, or 20 </w:t>
      </w:r>
      <w:r w:rsidR="00A15C0C" w:rsidRPr="003C742E">
        <w:t>μ</w:t>
      </w:r>
      <w:r w:rsidRPr="003C742E">
        <w:t>g mRNA-1273.351.</w:t>
      </w:r>
      <w:r w:rsidR="00522282" w:rsidRPr="003154A3">
        <w:rPr>
          <w:vertAlign w:val="superscript"/>
        </w:rPr>
        <w:fldChar w:fldCharType="begin"/>
      </w:r>
      <w:r w:rsidR="00522282" w:rsidRPr="003154A3">
        <w:rPr>
          <w:vertAlign w:val="superscript"/>
        </w:rPr>
        <w:instrText xml:space="preserve"> NOTEREF _Ref134427422 \h </w:instrText>
      </w:r>
      <w:r w:rsidR="00522282">
        <w:rPr>
          <w:vertAlign w:val="superscript"/>
        </w:rPr>
        <w:instrText xml:space="preserve"> \* MERGEFORMAT </w:instrText>
      </w:r>
      <w:r w:rsidR="00522282" w:rsidRPr="003154A3">
        <w:rPr>
          <w:vertAlign w:val="superscript"/>
        </w:rPr>
      </w:r>
      <w:r w:rsidR="00522282" w:rsidRPr="003154A3">
        <w:rPr>
          <w:vertAlign w:val="superscript"/>
        </w:rPr>
        <w:fldChar w:fldCharType="separate"/>
      </w:r>
      <w:r w:rsidR="0005046B">
        <w:rPr>
          <w:vertAlign w:val="superscript"/>
        </w:rPr>
        <w:t>16</w:t>
      </w:r>
      <w:r w:rsidR="00522282" w:rsidRPr="003154A3">
        <w:rPr>
          <w:vertAlign w:val="superscript"/>
        </w:rPr>
        <w:fldChar w:fldCharType="end"/>
      </w:r>
      <w:r w:rsidRPr="003C742E">
        <w:t xml:space="preserve"> Data for Part C of the study was collected from </w:t>
      </w:r>
      <w:r w:rsidR="009B79E9" w:rsidRPr="003C742E">
        <w:t>open label</w:t>
      </w:r>
      <w:r w:rsidR="00B941A1" w:rsidRPr="003C742E">
        <w:t xml:space="preserve"> Day</w:t>
      </w:r>
      <w:r w:rsidRPr="003C742E">
        <w:t xml:space="preserve"> 1 through </w:t>
      </w:r>
      <w:r w:rsidR="009B79E9" w:rsidRPr="003C742E">
        <w:t>open label</w:t>
      </w:r>
      <w:r w:rsidR="00B941A1" w:rsidRPr="003C742E">
        <w:t xml:space="preserve"> Day</w:t>
      </w:r>
      <w:r w:rsidRPr="003C742E">
        <w:t xml:space="preserve"> 181, which was the end of the Part C</w:t>
      </w:r>
      <w:r w:rsidR="009C3B2B" w:rsidRPr="003C742E">
        <w:t xml:space="preserve"> b</w:t>
      </w:r>
      <w:r w:rsidRPr="003C742E">
        <w:t>ooster study (database lock</w:t>
      </w:r>
      <w:r w:rsidR="009C3B2B" w:rsidRPr="003C742E">
        <w:t xml:space="preserve"> on </w:t>
      </w:r>
      <w:r w:rsidRPr="003C742E">
        <w:t>23 Nov</w:t>
      </w:r>
      <w:r w:rsidR="009C3B2B" w:rsidRPr="003C742E">
        <w:t>ember</w:t>
      </w:r>
      <w:r w:rsidRPr="003C742E">
        <w:t xml:space="preserve"> 2021).</w:t>
      </w:r>
    </w:p>
    <w:p w14:paraId="26B11C7F" w14:textId="782A2F6B" w:rsidR="005E435C" w:rsidRPr="00D91801" w:rsidRDefault="005E435C" w:rsidP="003154A3">
      <w:pPr>
        <w:pStyle w:val="Heading8"/>
      </w:pPr>
      <w:r w:rsidRPr="00D91801">
        <w:t>Safety</w:t>
      </w:r>
    </w:p>
    <w:p w14:paraId="739F013C" w14:textId="2F8332D1" w:rsidR="005E435C" w:rsidRPr="003C742E" w:rsidRDefault="005E435C" w:rsidP="005E435C">
      <w:bookmarkStart w:id="79" w:name="_Hlk130879514"/>
      <w:r w:rsidRPr="003C742E">
        <w:t xml:space="preserve">Safety analyses, including reactogenicity for up to 7 days post-booster, unsolicited </w:t>
      </w:r>
      <w:r w:rsidR="00BC2AF2" w:rsidRPr="003C742E">
        <w:t>treatment emergent adverse events (</w:t>
      </w:r>
      <w:r w:rsidRPr="003C742E">
        <w:t>TEAEs</w:t>
      </w:r>
      <w:r w:rsidR="00BC2AF2" w:rsidRPr="003C742E">
        <w:t>)</w:t>
      </w:r>
      <w:r w:rsidRPr="003C742E">
        <w:t xml:space="preserve">, </w:t>
      </w:r>
      <w:r w:rsidR="00BC2AF2" w:rsidRPr="003C742E">
        <w:t>medically attended adverse events (</w:t>
      </w:r>
      <w:r w:rsidRPr="003C742E">
        <w:t>MAAEs</w:t>
      </w:r>
      <w:r w:rsidR="00BC2AF2" w:rsidRPr="003C742E">
        <w:t>)</w:t>
      </w:r>
      <w:r w:rsidRPr="003C742E">
        <w:t xml:space="preserve">, and </w:t>
      </w:r>
      <w:r w:rsidR="00BC2AF2" w:rsidRPr="003C742E">
        <w:t>serious adverse events (</w:t>
      </w:r>
      <w:r w:rsidRPr="003C742E">
        <w:t>SAEs</w:t>
      </w:r>
      <w:r w:rsidR="00BC2AF2" w:rsidRPr="003C742E">
        <w:t>)</w:t>
      </w:r>
      <w:r w:rsidRPr="003C742E">
        <w:t xml:space="preserve"> were based on data collected from </w:t>
      </w:r>
      <w:r w:rsidR="009B79E9" w:rsidRPr="003C742E">
        <w:t>open label</w:t>
      </w:r>
      <w:r w:rsidR="00B941A1" w:rsidRPr="003C742E">
        <w:t xml:space="preserve"> Day</w:t>
      </w:r>
      <w:r w:rsidRPr="003C742E">
        <w:t xml:space="preserve"> 1 to </w:t>
      </w:r>
      <w:r w:rsidR="009B79E9" w:rsidRPr="003C742E">
        <w:t>open label</w:t>
      </w:r>
      <w:r w:rsidR="00B941A1" w:rsidRPr="003C742E">
        <w:t xml:space="preserve"> Day</w:t>
      </w:r>
      <w:r w:rsidRPr="003C742E">
        <w:t xml:space="preserve"> 181.</w:t>
      </w:r>
    </w:p>
    <w:p w14:paraId="35FF577A" w14:textId="77777777" w:rsidR="005E435C" w:rsidRPr="003C742E" w:rsidRDefault="005E435C" w:rsidP="005E435C">
      <w:r w:rsidRPr="003C742E">
        <w:t>All booster vaccines demonstrated no unexpected reactogenicity or safety results. Findings were similar to those of Part A and Part B, as previously reported, thereby further supporting the acceptable benefit-risk profile of the booster vaccination with monovalent and bivalent variant vaccines.</w:t>
      </w:r>
    </w:p>
    <w:p w14:paraId="1FCBC6C1" w14:textId="547AA0D6" w:rsidR="005E435C" w:rsidRPr="00D91801" w:rsidRDefault="00182802" w:rsidP="003154A3">
      <w:pPr>
        <w:pStyle w:val="Heading8"/>
      </w:pPr>
      <w:bookmarkStart w:id="80" w:name="_Hlk130879541"/>
      <w:bookmarkEnd w:id="79"/>
      <w:r w:rsidRPr="00182802">
        <w:t>Immunogenicity</w:t>
      </w:r>
    </w:p>
    <w:bookmarkEnd w:id="80"/>
    <w:p w14:paraId="67948F03" w14:textId="075FCA97" w:rsidR="005E435C" w:rsidRPr="003C742E" w:rsidRDefault="005E435C" w:rsidP="005E435C">
      <w:r w:rsidRPr="003C742E">
        <w:t xml:space="preserve">Immunogenicity analyses, including </w:t>
      </w:r>
      <w:r w:rsidR="007E3135" w:rsidRPr="003C742E">
        <w:t>neutralising antibody</w:t>
      </w:r>
      <w:r w:rsidRPr="003C742E">
        <w:t xml:space="preserve"> and </w:t>
      </w:r>
      <w:r w:rsidR="007E3135" w:rsidRPr="003C742E">
        <w:t>binding antibody</w:t>
      </w:r>
      <w:r w:rsidRPr="003C742E">
        <w:t xml:space="preserve">, were based on data collected from </w:t>
      </w:r>
      <w:r w:rsidR="009B79E9" w:rsidRPr="003C742E">
        <w:t>open label</w:t>
      </w:r>
      <w:r w:rsidR="00B941A1" w:rsidRPr="003C742E">
        <w:t xml:space="preserve"> Day</w:t>
      </w:r>
      <w:r w:rsidRPr="003C742E">
        <w:t xml:space="preserve"> 1 through </w:t>
      </w:r>
      <w:r w:rsidR="009B79E9" w:rsidRPr="003C742E">
        <w:t>open label</w:t>
      </w:r>
      <w:r w:rsidR="00B941A1" w:rsidRPr="003C742E">
        <w:t xml:space="preserve"> Day</w:t>
      </w:r>
      <w:r w:rsidRPr="003C742E">
        <w:t xml:space="preserve"> 29 for Cohorts 2 and 3, and </w:t>
      </w:r>
      <w:r w:rsidR="009B79E9" w:rsidRPr="003C742E">
        <w:t>open label</w:t>
      </w:r>
      <w:r w:rsidR="00B941A1" w:rsidRPr="003C742E">
        <w:t xml:space="preserve"> Day</w:t>
      </w:r>
      <w:r w:rsidRPr="003C742E">
        <w:t xml:space="preserve"> 1 to </w:t>
      </w:r>
      <w:r w:rsidR="009B79E9" w:rsidRPr="003C742E">
        <w:t>open label</w:t>
      </w:r>
      <w:r w:rsidR="00B941A1" w:rsidRPr="003C742E">
        <w:t xml:space="preserve"> Day</w:t>
      </w:r>
      <w:r w:rsidRPr="003C742E">
        <w:t xml:space="preserve"> 181 for Cohort 1.</w:t>
      </w:r>
    </w:p>
    <w:p w14:paraId="493F4912" w14:textId="6C9F71EB" w:rsidR="005E435C" w:rsidRPr="003C742E" w:rsidRDefault="005E435C" w:rsidP="005E435C">
      <w:r w:rsidRPr="003C742E">
        <w:t xml:space="preserve">All booster vaccines elicited robust immune responses to SARS-CoV-2 based on </w:t>
      </w:r>
      <w:r w:rsidR="007E3135" w:rsidRPr="003C742E">
        <w:t>neutralising antibody</w:t>
      </w:r>
      <w:r w:rsidRPr="003C742E">
        <w:t xml:space="preserve"> and </w:t>
      </w:r>
      <w:r w:rsidR="007E3135" w:rsidRPr="003C742E">
        <w:t>binding antibody</w:t>
      </w:r>
      <w:r w:rsidRPr="003C742E">
        <w:t xml:space="preserve"> responses that showed increased GM levels from </w:t>
      </w:r>
      <w:r w:rsidR="009B79E9" w:rsidRPr="003C742E">
        <w:t>open label</w:t>
      </w:r>
      <w:r w:rsidR="00B941A1" w:rsidRPr="003C742E">
        <w:t xml:space="preserve"> Day</w:t>
      </w:r>
      <w:r w:rsidR="00BC2AF2" w:rsidRPr="003C742E">
        <w:t> </w:t>
      </w:r>
      <w:r w:rsidRPr="003C742E">
        <w:t xml:space="preserve">1 (pre-booster) to </w:t>
      </w:r>
      <w:r w:rsidR="009B79E9" w:rsidRPr="003C742E">
        <w:t>open label</w:t>
      </w:r>
      <w:r w:rsidR="00B941A1" w:rsidRPr="003C742E">
        <w:t xml:space="preserve"> Day</w:t>
      </w:r>
      <w:r w:rsidRPr="003C742E">
        <w:t xml:space="preserve"> 29 (28 days after the booster vaccine). For the Beta variant, by </w:t>
      </w:r>
      <w:r w:rsidR="009B79E9" w:rsidRPr="003C742E">
        <w:t>open label</w:t>
      </w:r>
      <w:r w:rsidR="00B941A1" w:rsidRPr="003C742E">
        <w:t xml:space="preserve"> Day</w:t>
      </w:r>
      <w:r w:rsidRPr="003C742E">
        <w:t xml:space="preserve"> 181 (180 days after the booster vaccination), the </w:t>
      </w:r>
      <w:r w:rsidR="007E3135" w:rsidRPr="003C742E">
        <w:t>neutralising antibody</w:t>
      </w:r>
      <w:r w:rsidRPr="003C742E">
        <w:t xml:space="preserve"> </w:t>
      </w:r>
      <w:r w:rsidR="00BC2AF2" w:rsidRPr="003C742E">
        <w:t>geometric mean fold rise (</w:t>
      </w:r>
      <w:r w:rsidRPr="003C742E">
        <w:t>GMFR</w:t>
      </w:r>
      <w:r w:rsidR="00BC2AF2" w:rsidRPr="003C742E">
        <w:t>)</w:t>
      </w:r>
      <w:r w:rsidRPr="003C742E">
        <w:t xml:space="preserve"> from </w:t>
      </w:r>
      <w:r w:rsidR="009B79E9" w:rsidRPr="003C742E">
        <w:t>open label</w:t>
      </w:r>
      <w:r w:rsidR="00B941A1" w:rsidRPr="003C742E">
        <w:t xml:space="preserve"> Day</w:t>
      </w:r>
      <w:r w:rsidRPr="003C742E">
        <w:t xml:space="preserve"> 1 was 4.05 in the mRNA</w:t>
      </w:r>
      <w:r w:rsidR="00BC2AF2" w:rsidRPr="003C742E">
        <w:noBreakHyphen/>
      </w:r>
      <w:r w:rsidRPr="003C742E">
        <w:t xml:space="preserve">1273.351 50 </w:t>
      </w:r>
      <w:r w:rsidR="00A15C0C" w:rsidRPr="003C742E">
        <w:t>μ</w:t>
      </w:r>
      <w:r w:rsidRPr="003C742E">
        <w:t>g group suggesting some degree of durability of the immune response (</w:t>
      </w:r>
      <w:r w:rsidR="003C742E" w:rsidRPr="003C742E">
        <w:t>ID</w:t>
      </w:r>
      <w:r w:rsidR="003C742E" w:rsidRPr="003C742E">
        <w:rPr>
          <w:vertAlign w:val="subscript"/>
        </w:rPr>
        <w:t>50</w:t>
      </w:r>
      <w:r w:rsidRPr="003C742E">
        <w:t xml:space="preserve"> was not evaluated for the mRNA-1273/mRNA-1273.351 50 </w:t>
      </w:r>
      <w:r w:rsidR="00A15C0C" w:rsidRPr="003C742E">
        <w:t>μ</w:t>
      </w:r>
      <w:r w:rsidRPr="003C742E">
        <w:t xml:space="preserve">g and mRNA-1273.351 20 </w:t>
      </w:r>
      <w:r w:rsidR="00A15C0C" w:rsidRPr="003C742E">
        <w:t>μ</w:t>
      </w:r>
      <w:r w:rsidRPr="003C742E">
        <w:t xml:space="preserve">g groups at </w:t>
      </w:r>
      <w:r w:rsidR="009B79E9" w:rsidRPr="003C742E">
        <w:t>open label</w:t>
      </w:r>
      <w:r w:rsidR="00B941A1" w:rsidRPr="003C742E">
        <w:t xml:space="preserve"> Day</w:t>
      </w:r>
      <w:r w:rsidRPr="003C742E">
        <w:t xml:space="preserve"> 181).</w:t>
      </w:r>
      <w:r w:rsidR="00522282" w:rsidRPr="00A43D72">
        <w:rPr>
          <w:vertAlign w:val="superscript"/>
        </w:rPr>
        <w:fldChar w:fldCharType="begin"/>
      </w:r>
      <w:r w:rsidR="00522282" w:rsidRPr="00A43D72">
        <w:rPr>
          <w:vertAlign w:val="superscript"/>
        </w:rPr>
        <w:instrText xml:space="preserve"> NOTEREF _Ref134427422 \h </w:instrText>
      </w:r>
      <w:r w:rsidR="00522282">
        <w:rPr>
          <w:vertAlign w:val="superscript"/>
        </w:rPr>
        <w:instrText xml:space="preserve"> \* MERGEFORMAT </w:instrText>
      </w:r>
      <w:r w:rsidR="00522282" w:rsidRPr="00A43D72">
        <w:rPr>
          <w:vertAlign w:val="superscript"/>
        </w:rPr>
      </w:r>
      <w:r w:rsidR="00522282" w:rsidRPr="00A43D72">
        <w:rPr>
          <w:vertAlign w:val="superscript"/>
        </w:rPr>
        <w:fldChar w:fldCharType="separate"/>
      </w:r>
      <w:r w:rsidR="0005046B">
        <w:rPr>
          <w:vertAlign w:val="superscript"/>
        </w:rPr>
        <w:t>16</w:t>
      </w:r>
      <w:r w:rsidR="00522282" w:rsidRPr="00A43D72">
        <w:rPr>
          <w:vertAlign w:val="superscript"/>
        </w:rPr>
        <w:fldChar w:fldCharType="end"/>
      </w:r>
    </w:p>
    <w:p w14:paraId="1BE30F5C" w14:textId="4265E3CC" w:rsidR="005E435C" w:rsidRPr="00D91801" w:rsidRDefault="005E435C" w:rsidP="00D91801">
      <w:pPr>
        <w:pStyle w:val="Heading5"/>
      </w:pPr>
      <w:r w:rsidRPr="00D91801">
        <w:t>Study P301</w:t>
      </w:r>
    </w:p>
    <w:p w14:paraId="70D0EB66" w14:textId="37C7A2AE" w:rsidR="005E435C" w:rsidRPr="003C742E" w:rsidRDefault="00522282" w:rsidP="005E435C">
      <w:r>
        <w:t>Study mRNA-1273-P301</w:t>
      </w:r>
      <w:r w:rsidRPr="00522282">
        <w:t xml:space="preserve"> </w:t>
      </w:r>
      <w:r>
        <w:t xml:space="preserve">(abbreviated here as </w:t>
      </w:r>
      <w:r w:rsidR="00D942E4" w:rsidRPr="003C742E">
        <w:t>Study P301</w:t>
      </w:r>
      <w:r>
        <w:t>)</w:t>
      </w:r>
      <w:r w:rsidR="00D942E4" w:rsidRPr="003C742E">
        <w:t xml:space="preserve"> is a </w:t>
      </w:r>
      <w:r w:rsidR="005E435C" w:rsidRPr="003C742E">
        <w:t xml:space="preserve">Phase </w:t>
      </w:r>
      <w:r w:rsidR="009B79E9" w:rsidRPr="003C742E">
        <w:t>III</w:t>
      </w:r>
      <w:r w:rsidR="005E435C" w:rsidRPr="003C742E">
        <w:t xml:space="preserve">, </w:t>
      </w:r>
      <w:r w:rsidR="00D942E4" w:rsidRPr="003C742E">
        <w:t>randomised, stratified, observer</w:t>
      </w:r>
      <w:r w:rsidR="009B79E9" w:rsidRPr="003C742E">
        <w:t xml:space="preserve"> </w:t>
      </w:r>
      <w:r w:rsidR="00D942E4" w:rsidRPr="003C742E">
        <w:t>blind, placebo</w:t>
      </w:r>
      <w:r w:rsidR="009B79E9" w:rsidRPr="003C742E">
        <w:t xml:space="preserve"> </w:t>
      </w:r>
      <w:r w:rsidR="00D942E4" w:rsidRPr="003C742E">
        <w:t xml:space="preserve">controlled study to evaluate the efficacy, safety, and immunogenicity of </w:t>
      </w:r>
      <w:r w:rsidR="005E435C" w:rsidRPr="003C742E">
        <w:t xml:space="preserve">mRNA-1273 </w:t>
      </w:r>
      <w:r w:rsidR="00F40587">
        <w:t>COVID-19</w:t>
      </w:r>
      <w:r w:rsidR="005E435C" w:rsidRPr="003C742E">
        <w:t xml:space="preserve"> </w:t>
      </w:r>
      <w:r w:rsidR="009B79E9" w:rsidRPr="003C742E">
        <w:t>vaccine in adults aged 18 years and older</w:t>
      </w:r>
      <w:r w:rsidR="005E435C" w:rsidRPr="003C742E">
        <w:t>.</w:t>
      </w:r>
      <w:bookmarkStart w:id="81" w:name="_Ref134437316"/>
      <w:r>
        <w:rPr>
          <w:rStyle w:val="FootnoteReference"/>
        </w:rPr>
        <w:footnoteReference w:id="17"/>
      </w:r>
      <w:bookmarkEnd w:id="81"/>
    </w:p>
    <w:p w14:paraId="19E3A3FD" w14:textId="18867FEF" w:rsidR="005E435C" w:rsidRPr="003C742E" w:rsidRDefault="005E435C" w:rsidP="005E435C">
      <w:r w:rsidRPr="003C742E">
        <w:t xml:space="preserve">Study P301 has two parts: Part A, the </w:t>
      </w:r>
      <w:r w:rsidR="009B79E9" w:rsidRPr="003C742E">
        <w:t xml:space="preserve">blinded phase </w:t>
      </w:r>
      <w:r w:rsidRPr="003C742E">
        <w:t xml:space="preserve">and Part B, the </w:t>
      </w:r>
      <w:r w:rsidR="009B79E9" w:rsidRPr="003C742E">
        <w:t>open label observational phase</w:t>
      </w:r>
      <w:r w:rsidRPr="003C742E">
        <w:t>.</w:t>
      </w:r>
    </w:p>
    <w:p w14:paraId="4D16E52B" w14:textId="61F9C05A" w:rsidR="005E435C" w:rsidRPr="003C742E" w:rsidRDefault="005E435C" w:rsidP="005E435C">
      <w:r w:rsidRPr="003C742E">
        <w:t>Part A was a randomi</w:t>
      </w:r>
      <w:r w:rsidR="00A15C0C" w:rsidRPr="003C742E">
        <w:t>s</w:t>
      </w:r>
      <w:r w:rsidRPr="003C742E">
        <w:t>ed, stratified, observer</w:t>
      </w:r>
      <w:r w:rsidR="005D5809" w:rsidRPr="003C742E">
        <w:t xml:space="preserve"> </w:t>
      </w:r>
      <w:r w:rsidRPr="003C742E">
        <w:t>blind, placebo</w:t>
      </w:r>
      <w:r w:rsidR="005D5809" w:rsidRPr="003C742E">
        <w:t xml:space="preserve"> </w:t>
      </w:r>
      <w:r w:rsidRPr="003C742E">
        <w:t xml:space="preserve">controlled evaluation of the efficacy, safety, and immunogenicity of mRNA-1273 </w:t>
      </w:r>
      <w:r w:rsidR="00F40587">
        <w:t>COVID-19</w:t>
      </w:r>
      <w:r w:rsidRPr="003C742E">
        <w:t xml:space="preserve"> vaccine compared to placebo in adults 18</w:t>
      </w:r>
      <w:r w:rsidR="005D5809" w:rsidRPr="003C742E">
        <w:t> </w:t>
      </w:r>
      <w:r w:rsidRPr="003C742E">
        <w:t>years of age or older. A total of 30,415 participants were randomly assigned to receive doses of either 100 μg of mRNA-1273 vaccine or placebo in a 1:1 randomi</w:t>
      </w:r>
      <w:r w:rsidR="00A15C0C" w:rsidRPr="003C742E">
        <w:t>s</w:t>
      </w:r>
      <w:r w:rsidRPr="003C742E">
        <w:t xml:space="preserve">ation ratio. Given that the primary efficacy endpoint for mRNA-1273 against COVID-19 was met per the protocol-defined </w:t>
      </w:r>
      <w:r w:rsidR="00F27F2E" w:rsidRPr="003C742E">
        <w:t>interim analysis</w:t>
      </w:r>
      <w:r w:rsidRPr="003C742E">
        <w:t xml:space="preserve">, Part B, the </w:t>
      </w:r>
      <w:r w:rsidR="001705C1" w:rsidRPr="003C742E">
        <w:t>open label</w:t>
      </w:r>
      <w:r w:rsidR="005D5809" w:rsidRPr="003C742E">
        <w:t xml:space="preserve"> observational phase </w:t>
      </w:r>
      <w:r w:rsidRPr="003C742E">
        <w:t xml:space="preserve">of this study, was designed to offer participants who received placebo in Part A of this study and who met </w:t>
      </w:r>
      <w:r w:rsidR="00F40587">
        <w:t xml:space="preserve">the US FDA’s </w:t>
      </w:r>
      <w:r w:rsidR="009C3B2B" w:rsidRPr="003C742E">
        <w:t>Emergency Use Authori</w:t>
      </w:r>
      <w:r w:rsidR="00F40587">
        <w:t>z</w:t>
      </w:r>
      <w:r w:rsidR="009C3B2B" w:rsidRPr="003C742E">
        <w:t>ation</w:t>
      </w:r>
      <w:r w:rsidRPr="003C742E">
        <w:t xml:space="preserve"> eligibility an option to request open</w:t>
      </w:r>
      <w:r w:rsidR="005D5809" w:rsidRPr="003C742E">
        <w:t xml:space="preserve"> </w:t>
      </w:r>
      <w:r w:rsidRPr="003C742E">
        <w:t>label mRNA-1273</w:t>
      </w:r>
      <w:r w:rsidR="00F40587">
        <w:t xml:space="preserve"> vaccine</w:t>
      </w:r>
      <w:r w:rsidRPr="003C742E">
        <w:t xml:space="preserve">. All participants in Part A were to proceed to Part B, starting with a </w:t>
      </w:r>
      <w:r w:rsidR="00516475" w:rsidRPr="003C742E">
        <w:t>participant decision visit</w:t>
      </w:r>
      <w:r w:rsidRPr="003C742E">
        <w:t xml:space="preserve">, at </w:t>
      </w:r>
      <w:r w:rsidRPr="003C742E">
        <w:lastRenderedPageBreak/>
        <w:t xml:space="preserve">which time participants were given the option to be unblinded to their original group assignment. At the initiation of Part B, site personnel who were blinded during Part A were unblinded at the participant level at the </w:t>
      </w:r>
      <w:r w:rsidR="00516475" w:rsidRPr="003C742E">
        <w:t>participant decision visit</w:t>
      </w:r>
      <w:r w:rsidRPr="003C742E">
        <w:t>.</w:t>
      </w:r>
    </w:p>
    <w:p w14:paraId="02628EAC" w14:textId="23EBF36F" w:rsidR="005E435C" w:rsidRPr="003C742E" w:rsidRDefault="005E435C" w:rsidP="005E435C">
      <w:r w:rsidRPr="003C742E">
        <w:t>Part A (</w:t>
      </w:r>
      <w:r w:rsidR="005D5809" w:rsidRPr="003C742E">
        <w:t xml:space="preserve">blinded phase, randomisation to early unblinding </w:t>
      </w:r>
      <w:r w:rsidRPr="003C742E">
        <w:t xml:space="preserve">or </w:t>
      </w:r>
      <w:r w:rsidR="00516475" w:rsidRPr="003C742E">
        <w:t>participant decision visit</w:t>
      </w:r>
      <w:r w:rsidRPr="003C742E">
        <w:t>) of the study provides a median of 148 days of follow-up. Part B (</w:t>
      </w:r>
      <w:r w:rsidR="005D5809" w:rsidRPr="003C742E">
        <w:t>open</w:t>
      </w:r>
      <w:r w:rsidR="00B941A1" w:rsidRPr="003C742E">
        <w:t xml:space="preserve"> </w:t>
      </w:r>
      <w:r w:rsidR="005D5809" w:rsidRPr="003C742E">
        <w:t>label observational phase, early u</w:t>
      </w:r>
      <w:r w:rsidRPr="003C742E">
        <w:t xml:space="preserve">nblinding or </w:t>
      </w:r>
      <w:r w:rsidR="00516475" w:rsidRPr="003C742E">
        <w:t>participant decision visit</w:t>
      </w:r>
      <w:r w:rsidRPr="003C742E">
        <w:t xml:space="preserve"> to data cut-off date) of the study provides additional follow-up of a median of 67 days. The total median follow-up period was 7.6 months from randomi</w:t>
      </w:r>
      <w:r w:rsidR="00A15C0C" w:rsidRPr="003C742E">
        <w:t>s</w:t>
      </w:r>
      <w:r w:rsidRPr="003C742E">
        <w:t>ation or6.5 months after Dose</w:t>
      </w:r>
      <w:r w:rsidR="00B941A1" w:rsidRPr="003C742E">
        <w:t> </w:t>
      </w:r>
      <w:r w:rsidRPr="003C742E">
        <w:t>2 across Part A and Part B up to database lock for the analysis.</w:t>
      </w:r>
    </w:p>
    <w:p w14:paraId="1A080D1E" w14:textId="07C8E038" w:rsidR="005E435C" w:rsidRPr="003C742E" w:rsidRDefault="005E435C" w:rsidP="005E435C">
      <w:r w:rsidRPr="003C742E">
        <w:t xml:space="preserve">The purpose of this addendum is to present data (descriptive summaries) from the </w:t>
      </w:r>
      <w:r w:rsidR="00B941A1" w:rsidRPr="003C742E">
        <w:t xml:space="preserve">open label observational phase </w:t>
      </w:r>
      <w:r w:rsidRPr="003C742E">
        <w:t xml:space="preserve">(Part B) of the study based on the database lock on 4 May 2021 and includes safety and efficacy (case counts) data from early unblinding or the Part B </w:t>
      </w:r>
      <w:r w:rsidR="00516475" w:rsidRPr="003C742E">
        <w:t>participant decision visit</w:t>
      </w:r>
      <w:r w:rsidRPr="003C742E">
        <w:t xml:space="preserve"> to the data cut-off date (26 Mar</w:t>
      </w:r>
      <w:r w:rsidR="00B941A1" w:rsidRPr="003C742E">
        <w:t>ch</w:t>
      </w:r>
      <w:r w:rsidRPr="003C742E">
        <w:t xml:space="preserve"> 2021).</w:t>
      </w:r>
    </w:p>
    <w:p w14:paraId="534BBC91" w14:textId="38F8EB6A" w:rsidR="00B941A1" w:rsidRPr="007D0354" w:rsidRDefault="00B941A1" w:rsidP="007D0354">
      <w:pPr>
        <w:pStyle w:val="TableTitle"/>
      </w:pPr>
      <w:r w:rsidRPr="007D0354">
        <w:t xml:space="preserve">Table </w:t>
      </w:r>
      <w:r w:rsidR="009809E2">
        <w:fldChar w:fldCharType="begin"/>
      </w:r>
      <w:r w:rsidR="009809E2">
        <w:instrText xml:space="preserve"> SEQ Table \* ARABIC </w:instrText>
      </w:r>
      <w:r w:rsidR="009809E2">
        <w:fldChar w:fldCharType="separate"/>
      </w:r>
      <w:r w:rsidR="0005046B">
        <w:rPr>
          <w:noProof/>
        </w:rPr>
        <w:t>11</w:t>
      </w:r>
      <w:r w:rsidR="009809E2">
        <w:rPr>
          <w:noProof/>
        </w:rPr>
        <w:fldChar w:fldCharType="end"/>
      </w:r>
      <w:r w:rsidRPr="007D0354">
        <w:t>:</w:t>
      </w:r>
      <w:r w:rsidR="00A62EF5" w:rsidRPr="007D0354">
        <w:t xml:space="preserve"> Study P301 Clinical studies included in this submission that support the development of mRNA-1273 booster</w:t>
      </w:r>
    </w:p>
    <w:p w14:paraId="51893B6A" w14:textId="178363FD" w:rsidR="00A62EF5" w:rsidRPr="003C742E" w:rsidRDefault="00A62EF5" w:rsidP="00A62EF5">
      <w:r w:rsidRPr="003C742E">
        <w:rPr>
          <w:noProof/>
          <w:lang w:val="en-GB" w:eastAsia="en-GB"/>
        </w:rPr>
        <w:drawing>
          <wp:inline distT="0" distB="0" distL="0" distR="0" wp14:anchorId="540DC084" wp14:editId="730E0946">
            <wp:extent cx="5759450" cy="3215005"/>
            <wp:effectExtent l="0" t="0" r="0" b="4445"/>
            <wp:docPr id="3" name="Picture 3" descr="Table 11: Study P301 Clinical studies included in this submission that support the development of mRNA-1273 bo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11: Study P301 Clinical studies included in this submission that support the development of mRNA-1273 booster"/>
                    <pic:cNvPicPr/>
                  </pic:nvPicPr>
                  <pic:blipFill>
                    <a:blip r:embed="rId56"/>
                    <a:stretch>
                      <a:fillRect/>
                    </a:stretch>
                  </pic:blipFill>
                  <pic:spPr>
                    <a:xfrm>
                      <a:off x="0" y="0"/>
                      <a:ext cx="5759450" cy="3215005"/>
                    </a:xfrm>
                    <a:prstGeom prst="rect">
                      <a:avLst/>
                    </a:prstGeom>
                  </pic:spPr>
                </pic:pic>
              </a:graphicData>
            </a:graphic>
          </wp:inline>
        </w:drawing>
      </w:r>
    </w:p>
    <w:p w14:paraId="41EBE6F5" w14:textId="014040A8" w:rsidR="005E435C" w:rsidRPr="003C742E" w:rsidRDefault="00A62EF5" w:rsidP="003C742E">
      <w:pPr>
        <w:pStyle w:val="TableDescription"/>
      </w:pPr>
      <w:r w:rsidRPr="003C742E">
        <w:t>Abbreviations: BD-booster dose; BLA = biologics license application; COVID-19=coronavirus disease 2019; IM</w:t>
      </w:r>
      <w:r w:rsidR="00516475" w:rsidRPr="003C742E">
        <w:t xml:space="preserve"> </w:t>
      </w:r>
      <w:r w:rsidRPr="003C742E">
        <w:t>=</w:t>
      </w:r>
      <w:r w:rsidR="00516475" w:rsidRPr="003C742E">
        <w:t xml:space="preserve"> </w:t>
      </w:r>
      <w:r w:rsidRPr="003C742E">
        <w:t>intramuscular; mRNA-1273 = Spikevax (elasomeran) COVID-19 vaccine drug development name; PDV</w:t>
      </w:r>
      <w:r w:rsidR="00516475" w:rsidRPr="003C742E">
        <w:t xml:space="preserve"> </w:t>
      </w:r>
      <w:r w:rsidRPr="003C742E">
        <w:t>=</w:t>
      </w:r>
      <w:r w:rsidR="00516475" w:rsidRPr="003C742E">
        <w:t xml:space="preserve"> </w:t>
      </w:r>
      <w:r w:rsidRPr="003C742E">
        <w:t>participant decision visit; SARS-CoV-2</w:t>
      </w:r>
      <w:r w:rsidR="00516475" w:rsidRPr="003C742E">
        <w:t xml:space="preserve"> </w:t>
      </w:r>
      <w:r w:rsidRPr="003C742E">
        <w:t>=</w:t>
      </w:r>
      <w:r w:rsidR="00516475" w:rsidRPr="003C742E">
        <w:t xml:space="preserve"> </w:t>
      </w:r>
      <w:r w:rsidRPr="003C742E">
        <w:t>severe acute respiratory syndrome coronavirus 2; US = United States.</w:t>
      </w:r>
    </w:p>
    <w:p w14:paraId="5AAE4BFF" w14:textId="7ADB67C7" w:rsidR="005E435C" w:rsidRPr="00D03EE9" w:rsidRDefault="00D03EE9" w:rsidP="00D03EE9">
      <w:pPr>
        <w:pStyle w:val="Heading6"/>
      </w:pPr>
      <w:r w:rsidRPr="00D03EE9">
        <w:t xml:space="preserve">Study P301 </w:t>
      </w:r>
      <w:r w:rsidR="005E435C" w:rsidRPr="00D03EE9">
        <w:t>Part A</w:t>
      </w:r>
      <w:r w:rsidR="00497DBD" w:rsidRPr="00D03EE9">
        <w:t xml:space="preserve"> </w:t>
      </w:r>
      <w:r w:rsidR="005E435C" w:rsidRPr="00D03EE9">
        <w:t xml:space="preserve">and Part B </w:t>
      </w:r>
      <w:r w:rsidR="00D91801">
        <w:t>(</w:t>
      </w:r>
      <w:r w:rsidR="00B941A1" w:rsidRPr="00D03EE9">
        <w:t>long-term follow-up for the primary series</w:t>
      </w:r>
      <w:r w:rsidR="00D91801">
        <w:t>)</w:t>
      </w:r>
    </w:p>
    <w:p w14:paraId="6BA654F1" w14:textId="110DDB73" w:rsidR="005E435C" w:rsidRPr="003C742E" w:rsidRDefault="005E435C" w:rsidP="005E435C">
      <w:bookmarkStart w:id="82" w:name="_Hlk130896432"/>
      <w:r w:rsidRPr="003C742E">
        <w:t xml:space="preserve">Data from Part A (database lock on 4 May 2021) supported the </w:t>
      </w:r>
      <w:r w:rsidR="00B941A1" w:rsidRPr="003C742E">
        <w:t xml:space="preserve">provisional </w:t>
      </w:r>
      <w:r w:rsidRPr="003C742E">
        <w:t xml:space="preserve">registration of Spikevax for use in adults </w:t>
      </w:r>
      <w:r w:rsidR="00B941A1" w:rsidRPr="003C742E">
        <w:t>18 years of age and older</w:t>
      </w:r>
      <w:r w:rsidRPr="003C742E">
        <w:t xml:space="preserve"> by the TGA on 9</w:t>
      </w:r>
      <w:r w:rsidR="00B941A1" w:rsidRPr="003C742E">
        <w:t xml:space="preserve"> August </w:t>
      </w:r>
      <w:r w:rsidRPr="003C742E">
        <w:t>2021.</w:t>
      </w:r>
      <w:bookmarkEnd w:id="82"/>
      <w:r w:rsidRPr="003C742E">
        <w:t xml:space="preserve"> Three analyses of efficacy have been conducted, consistently confirming persistent efficacy over a point estimate of 93% for a median 5.3-month blinded observation period from the time of randomi</w:t>
      </w:r>
      <w:r w:rsidR="00A15C0C" w:rsidRPr="003C742E">
        <w:t>s</w:t>
      </w:r>
      <w:r w:rsidRPr="003C742E">
        <w:t>ation in Part A of the study</w:t>
      </w:r>
      <w:r w:rsidR="00BC2AF2" w:rsidRPr="003C742E">
        <w:t>.</w:t>
      </w:r>
      <w:r w:rsidRPr="003C742E">
        <w:rPr>
          <w:vertAlign w:val="superscript"/>
        </w:rPr>
        <w:footnoteReference w:id="18"/>
      </w:r>
      <w:r w:rsidRPr="003C742E">
        <w:t xml:space="preserve"> In the final analysis of the randomi</w:t>
      </w:r>
      <w:r w:rsidR="00A15C0C" w:rsidRPr="003C742E">
        <w:t>s</w:t>
      </w:r>
      <w:r w:rsidRPr="003C742E">
        <w:t xml:space="preserve">ed, blinded phase (Part A), mRNA-1273 </w:t>
      </w:r>
      <w:r w:rsidR="00F40587">
        <w:t xml:space="preserve">vaccine </w:t>
      </w:r>
      <w:r w:rsidRPr="003C742E">
        <w:t>primary series demonstrated an acceptable safety profile.</w:t>
      </w:r>
    </w:p>
    <w:p w14:paraId="6715A38D" w14:textId="5987D27D" w:rsidR="005E435C" w:rsidRPr="003C742E" w:rsidRDefault="00B941A1" w:rsidP="005E435C">
      <w:r w:rsidRPr="003C742E">
        <w:t>In conclusion, t</w:t>
      </w:r>
      <w:r w:rsidR="005E435C" w:rsidRPr="003C742E">
        <w:t xml:space="preserve">his study was designed to evaluate the efficacy, safety, and immunogenicity of mRNA-1273 </w:t>
      </w:r>
      <w:r w:rsidR="00F40587">
        <w:t>COVID-19</w:t>
      </w:r>
      <w:r w:rsidR="005E435C" w:rsidRPr="003C742E">
        <w:t xml:space="preserve"> vaccine compared to placebo in adults 18 years of age and older who </w:t>
      </w:r>
      <w:r w:rsidR="005E435C" w:rsidRPr="003C742E">
        <w:lastRenderedPageBreak/>
        <w:t>have no known history of SARS-CoV-2 infection but whose occupation or location and living circumstances put them at increased risk of acquiring COVID-19 and/or SARS-CoV-2 infection.</w:t>
      </w:r>
    </w:p>
    <w:p w14:paraId="443037C2" w14:textId="578EDAF2" w:rsidR="005E435C" w:rsidRPr="003C742E" w:rsidRDefault="005E435C" w:rsidP="005E435C">
      <w:pPr>
        <w:pStyle w:val="ListBullet"/>
      </w:pPr>
      <w:r w:rsidRPr="003C742E">
        <w:t>The final efficacy analysis of the primary endpoint for Part A (4 May 2021) included 799</w:t>
      </w:r>
      <w:r w:rsidR="00B941A1" w:rsidRPr="003C742E">
        <w:t> </w:t>
      </w:r>
      <w:r w:rsidRPr="003C742E">
        <w:t xml:space="preserve">cases. The results of this analysis were consistent with the results of the interim and primary efficacy analyses, confirming persistent, high efficacy over a substantially larger case database and over a longer median observation period of over 5.3 months. For the final efficacy analysis, the </w:t>
      </w:r>
      <w:r w:rsidR="00516475" w:rsidRPr="003C742E">
        <w:t>vaccine efficacy</w:t>
      </w:r>
      <w:r w:rsidRPr="003C742E">
        <w:t xml:space="preserve"> point estimate was 93.2% (p &lt; 0.0001) and within the 95% CIs of the </w:t>
      </w:r>
      <w:r w:rsidR="00516475" w:rsidRPr="003C742E">
        <w:t>vaccine efficacy</w:t>
      </w:r>
      <w:r w:rsidRPr="003C742E">
        <w:t xml:space="preserve"> point estimates for the interim and primary efficacy analyses.</w:t>
      </w:r>
    </w:p>
    <w:p w14:paraId="08D7D7A9" w14:textId="10377B41" w:rsidR="005E435C" w:rsidRPr="003C742E" w:rsidRDefault="005E435C" w:rsidP="005E435C">
      <w:pPr>
        <w:pStyle w:val="ListBullet2"/>
      </w:pPr>
      <w:r w:rsidRPr="003C742E">
        <w:t xml:space="preserve">Divergence of case incidence began early between mRNA-1273 </w:t>
      </w:r>
      <w:r w:rsidR="00F40587">
        <w:t xml:space="preserve">vaccine </w:t>
      </w:r>
      <w:r w:rsidRPr="003C742E">
        <w:t>and placebo groups, starting in the period from randomi</w:t>
      </w:r>
      <w:r w:rsidR="00A15C0C" w:rsidRPr="003C742E">
        <w:t>s</w:t>
      </w:r>
      <w:r w:rsidRPr="003C742E">
        <w:t xml:space="preserve">ation up to14 days after the first injection. Thereafter, cumulative incidence rate for the placebo group increased steadily while it remained stable and low in the mRNA-1273 </w:t>
      </w:r>
      <w:r w:rsidR="00F40587">
        <w:t xml:space="preserve">vaccine </w:t>
      </w:r>
      <w:r w:rsidRPr="003C742E">
        <w:t>group for the remainder of the observation period.</w:t>
      </w:r>
    </w:p>
    <w:p w14:paraId="5B791B20" w14:textId="77777777" w:rsidR="005E435C" w:rsidRPr="003C742E" w:rsidRDefault="005E435C" w:rsidP="005E435C">
      <w:pPr>
        <w:pStyle w:val="ListBullet2"/>
      </w:pPr>
      <w:r w:rsidRPr="003C742E">
        <w:t>Vaccine efficacy was consistent across subgroups for the primary efficacy endpoint.</w:t>
      </w:r>
    </w:p>
    <w:p w14:paraId="50128552" w14:textId="2410FDC7" w:rsidR="005E435C" w:rsidRPr="003C742E" w:rsidRDefault="005E435C" w:rsidP="005E435C">
      <w:pPr>
        <w:pStyle w:val="ListBullet2"/>
      </w:pPr>
      <w:r w:rsidRPr="003C742E">
        <w:t>Vaccine efficacy was also consistent across the secondary endpoints characteri</w:t>
      </w:r>
      <w:r w:rsidR="00A15C0C" w:rsidRPr="003C742E">
        <w:t>s</w:t>
      </w:r>
      <w:r w:rsidRPr="003C742E">
        <w:t xml:space="preserve">ed by high </w:t>
      </w:r>
      <w:r w:rsidR="00516475" w:rsidRPr="003C742E">
        <w:t>vaccine efficacy</w:t>
      </w:r>
      <w:r w:rsidRPr="003C742E">
        <w:t xml:space="preserve"> point estimates and tight 95% CIs, with the lower bounds of the 95% Cis well above 30%.</w:t>
      </w:r>
    </w:p>
    <w:p w14:paraId="71918DCD" w14:textId="7643B3DF" w:rsidR="005E435C" w:rsidRPr="003C742E" w:rsidRDefault="005E435C" w:rsidP="005E435C">
      <w:pPr>
        <w:pStyle w:val="ListBullet"/>
      </w:pPr>
      <w:r w:rsidRPr="003C742E">
        <w:t>mRNA-1273</w:t>
      </w:r>
      <w:r w:rsidR="00F40587">
        <w:t xml:space="preserve"> vaccine</w:t>
      </w:r>
      <w:r w:rsidRPr="003C742E">
        <w:t xml:space="preserve"> was highly immunogenic as measured by both </w:t>
      </w:r>
      <w:r w:rsidR="007E3135" w:rsidRPr="003C742E">
        <w:t>binding antibody</w:t>
      </w:r>
      <w:r w:rsidRPr="003C742E">
        <w:t xml:space="preserve"> and </w:t>
      </w:r>
      <w:r w:rsidR="007E3135" w:rsidRPr="003C742E">
        <w:t>neutralising antibody</w:t>
      </w:r>
      <w:r w:rsidRPr="003C742E">
        <w:t xml:space="preserve"> in both SARS</w:t>
      </w:r>
      <w:r w:rsidR="00B941A1" w:rsidRPr="003C742E">
        <w:noBreakHyphen/>
      </w:r>
      <w:r w:rsidRPr="003C742E">
        <w:t>CoV</w:t>
      </w:r>
      <w:r w:rsidR="00B941A1" w:rsidRPr="003C742E">
        <w:noBreakHyphen/>
      </w:r>
      <w:r w:rsidRPr="003C742E">
        <w:t>2 baseline</w:t>
      </w:r>
      <w:r w:rsidR="00B941A1" w:rsidRPr="003C742E">
        <w:t xml:space="preserve"> </w:t>
      </w:r>
      <w:r w:rsidRPr="003C742E">
        <w:t>negative and baseline</w:t>
      </w:r>
      <w:r w:rsidR="00B941A1" w:rsidRPr="003C742E">
        <w:t xml:space="preserve"> </w:t>
      </w:r>
      <w:r w:rsidRPr="003C742E">
        <w:t xml:space="preserve">positive individuals, as indicated by increased </w:t>
      </w:r>
      <w:r w:rsidR="007E3135" w:rsidRPr="003C742E">
        <w:t>binding antibody</w:t>
      </w:r>
      <w:r w:rsidRPr="003C742E">
        <w:t xml:space="preserve"> and </w:t>
      </w:r>
      <w:r w:rsidR="007E3135" w:rsidRPr="003C742E">
        <w:t>neutralising antibody</w:t>
      </w:r>
      <w:r w:rsidRPr="003C742E">
        <w:t xml:space="preserve"> levels </w:t>
      </w:r>
      <w:r w:rsidR="00B941A1" w:rsidRPr="003C742E">
        <w:t>one</w:t>
      </w:r>
      <w:r w:rsidRPr="003C742E">
        <w:t xml:space="preserve"> month after first injection (Day 29) and </w:t>
      </w:r>
      <w:r w:rsidR="00B941A1" w:rsidRPr="003C742E">
        <w:t>one</w:t>
      </w:r>
      <w:r w:rsidRPr="003C742E">
        <w:t xml:space="preserve"> month after second injection (Day</w:t>
      </w:r>
      <w:r w:rsidR="00B941A1" w:rsidRPr="003C742E">
        <w:t> </w:t>
      </w:r>
      <w:r w:rsidRPr="003C742E">
        <w:t>57).</w:t>
      </w:r>
    </w:p>
    <w:p w14:paraId="77F9EAB4" w14:textId="475290B5" w:rsidR="005E435C" w:rsidRPr="003C742E" w:rsidRDefault="005E435C" w:rsidP="005E435C">
      <w:pPr>
        <w:pStyle w:val="ListBullet"/>
      </w:pPr>
      <w:r w:rsidRPr="003C742E">
        <w:t xml:space="preserve">mRNA-1273 </w:t>
      </w:r>
      <w:r w:rsidR="00F40587">
        <w:t xml:space="preserve">vaccine </w:t>
      </w:r>
      <w:r w:rsidRPr="003C742E">
        <w:t xml:space="preserve">demonstrated an acceptable safety profile in the participant population enrolled in this study. mRNA-1273 </w:t>
      </w:r>
      <w:r w:rsidR="00F40587">
        <w:t xml:space="preserve">vaccine </w:t>
      </w:r>
      <w:r w:rsidRPr="003C742E">
        <w:t>has a reactogenicity profile consistent with parenteral vaccination and generally well tolerated. No unexpected findings were identified in this final assessment of the randomi</w:t>
      </w:r>
      <w:r w:rsidR="00A15C0C" w:rsidRPr="003C742E">
        <w:t>s</w:t>
      </w:r>
      <w:r w:rsidRPr="003C742E">
        <w:t>ed, blinded phase of the study.</w:t>
      </w:r>
    </w:p>
    <w:p w14:paraId="49ADF7B2" w14:textId="2C47A72A" w:rsidR="005E435C" w:rsidRPr="003C742E" w:rsidRDefault="005E435C" w:rsidP="005E435C">
      <w:r w:rsidRPr="003C742E">
        <w:t>As per the sponsor this report is based on the data from the randomi</w:t>
      </w:r>
      <w:r w:rsidR="00A15C0C" w:rsidRPr="003C742E">
        <w:t>s</w:t>
      </w:r>
      <w:r w:rsidRPr="003C742E">
        <w:t>ed, placebo controlled, blinded phase (Part A) of the study. Data from Part B, in which eligible participants were offered open</w:t>
      </w:r>
      <w:r w:rsidR="00B941A1" w:rsidRPr="003C742E">
        <w:t xml:space="preserve"> </w:t>
      </w:r>
      <w:r w:rsidRPr="003C742E">
        <w:t>label mRNA-1273</w:t>
      </w:r>
      <w:r w:rsidR="00F40587">
        <w:t xml:space="preserve"> vaccine</w:t>
      </w:r>
      <w:r w:rsidRPr="003C742E">
        <w:t xml:space="preserve">, will be included in a </w:t>
      </w:r>
      <w:r w:rsidR="001372E8" w:rsidRPr="003C742E">
        <w:t>clinical study report</w:t>
      </w:r>
      <w:r w:rsidRPr="003C742E">
        <w:t xml:space="preserve"> addendum.</w:t>
      </w:r>
    </w:p>
    <w:p w14:paraId="32044EB1" w14:textId="0ED4C59A" w:rsidR="005E435C" w:rsidRPr="00D03EE9" w:rsidRDefault="00D03EE9" w:rsidP="00D03EE9">
      <w:pPr>
        <w:pStyle w:val="Heading6"/>
      </w:pPr>
      <w:bookmarkStart w:id="83" w:name="_Hlk130897441"/>
      <w:r w:rsidRPr="00D03EE9">
        <w:t xml:space="preserve">Study P301 </w:t>
      </w:r>
      <w:r w:rsidR="005E435C" w:rsidRPr="00D03EE9">
        <w:t xml:space="preserve">Part B </w:t>
      </w:r>
      <w:r w:rsidR="00D91801">
        <w:t>(</w:t>
      </w:r>
      <w:r w:rsidR="001705C1" w:rsidRPr="00D03EE9">
        <w:t>open label</w:t>
      </w:r>
      <w:r w:rsidR="00B941A1" w:rsidRPr="00D03EE9">
        <w:t xml:space="preserve"> observational phase</w:t>
      </w:r>
      <w:r w:rsidR="00D91801">
        <w:t>)</w:t>
      </w:r>
    </w:p>
    <w:p w14:paraId="6A4BACC6" w14:textId="0C3CDF00" w:rsidR="005E435C" w:rsidRPr="00F40587" w:rsidRDefault="005E435C">
      <w:pPr>
        <w:pStyle w:val="Heading7"/>
      </w:pPr>
      <w:bookmarkStart w:id="84" w:name="_Hlk130897761"/>
      <w:bookmarkEnd w:id="83"/>
      <w:r w:rsidRPr="00F40587">
        <w:t>Efficacy</w:t>
      </w:r>
    </w:p>
    <w:p w14:paraId="743004EA" w14:textId="79A56B64" w:rsidR="005E435C" w:rsidRPr="003C742E" w:rsidRDefault="005E435C" w:rsidP="005E435C">
      <w:r w:rsidRPr="003C742E">
        <w:t xml:space="preserve">According to the sponsor the purpose of this </w:t>
      </w:r>
      <w:r w:rsidR="001372E8" w:rsidRPr="003C742E">
        <w:t>clinical study report</w:t>
      </w:r>
      <w:r w:rsidRPr="003C742E">
        <w:t xml:space="preserve"> addendum is to provide the efficacy results of Part B based on the median follow-up of 67 days. </w:t>
      </w:r>
      <w:bookmarkEnd w:id="84"/>
      <w:r w:rsidRPr="003C742E">
        <w:t>For the placebo</w:t>
      </w:r>
      <w:r w:rsidR="0023406D">
        <w:t>/</w:t>
      </w:r>
      <w:r w:rsidRPr="003C742E">
        <w:t xml:space="preserve">mRNA-1273 </w:t>
      </w:r>
      <w:r w:rsidR="00F40587">
        <w:t xml:space="preserve">vaccine </w:t>
      </w:r>
      <w:r w:rsidRPr="003C742E">
        <w:t xml:space="preserve">group, incidence rates are not reported as this group had a relative short duration of follow-up after the second dose of mRNA-1273 </w:t>
      </w:r>
      <w:r w:rsidR="001C7557">
        <w:t xml:space="preserve">vaccine </w:t>
      </w:r>
      <w:r w:rsidRPr="003C742E">
        <w:t>in Part B, therefore, efficacy results for the placebo</w:t>
      </w:r>
      <w:r w:rsidR="0023406D">
        <w:t>/</w:t>
      </w:r>
      <w:r w:rsidRPr="003C742E">
        <w:t>mRNA</w:t>
      </w:r>
      <w:r w:rsidR="00B941A1" w:rsidRPr="003C742E">
        <w:noBreakHyphen/>
      </w:r>
      <w:r w:rsidRPr="003C742E">
        <w:t xml:space="preserve">1273 </w:t>
      </w:r>
      <w:r w:rsidR="001C7557">
        <w:t xml:space="preserve">vaccine </w:t>
      </w:r>
      <w:r w:rsidRPr="003C742E">
        <w:t xml:space="preserve">group are not described in this </w:t>
      </w:r>
      <w:r w:rsidR="001372E8" w:rsidRPr="003C742E">
        <w:t>clinical study report</w:t>
      </w:r>
      <w:r w:rsidRPr="003C742E">
        <w:t xml:space="preserve"> addendum.</w:t>
      </w:r>
    </w:p>
    <w:p w14:paraId="71396ECE" w14:textId="03A2C661" w:rsidR="005E435C" w:rsidRPr="003C742E" w:rsidRDefault="005E435C" w:rsidP="005E435C">
      <w:r w:rsidRPr="003C742E">
        <w:t xml:space="preserve">For efficacy analyses in Part B, participants at risk were defined as participants who started the </w:t>
      </w:r>
      <w:r w:rsidR="001705C1" w:rsidRPr="003C742E">
        <w:t>open label</w:t>
      </w:r>
      <w:r w:rsidRPr="003C742E">
        <w:t xml:space="preserve"> phase before or on the efficacy data cut-off date, had no prior SARS-CoV-2 infection (defined by positive post</w:t>
      </w:r>
      <w:r w:rsidR="00860D51" w:rsidRPr="003C742E">
        <w:t>-</w:t>
      </w:r>
      <w:r w:rsidRPr="003C742E">
        <w:t xml:space="preserve">baseline </w:t>
      </w:r>
      <w:r w:rsidR="00A64A37" w:rsidRPr="003C742E">
        <w:t>reverse transcription-polymerase chain reaction (</w:t>
      </w:r>
      <w:r w:rsidRPr="003C742E">
        <w:t>RT-PCR</w:t>
      </w:r>
      <w:r w:rsidR="00A64A37" w:rsidRPr="003C742E">
        <w:t>)</w:t>
      </w:r>
      <w:r w:rsidRPr="003C742E">
        <w:t xml:space="preserve"> or Elecsys results) and were not a COVID-19 case up to </w:t>
      </w:r>
      <w:r w:rsidR="00516475" w:rsidRPr="003C742E">
        <w:t>participant decision visit</w:t>
      </w:r>
      <w:r w:rsidRPr="003C742E">
        <w:t xml:space="preserve"> or early unblinding, whichever was earlier.</w:t>
      </w:r>
    </w:p>
    <w:p w14:paraId="435CC0F5" w14:textId="6A4EB873" w:rsidR="005E435C" w:rsidRPr="00D91801" w:rsidRDefault="005E435C" w:rsidP="00D91801">
      <w:pPr>
        <w:pStyle w:val="Heading8"/>
      </w:pPr>
      <w:r w:rsidRPr="00D91801">
        <w:lastRenderedPageBreak/>
        <w:t>Primary endpoint</w:t>
      </w:r>
    </w:p>
    <w:p w14:paraId="3EC8F14E" w14:textId="7AD32FF7" w:rsidR="00B941A1" w:rsidRPr="003C742E" w:rsidRDefault="00B941A1" w:rsidP="00294DC1">
      <w:pPr>
        <w:pStyle w:val="TableTitle"/>
      </w:pPr>
      <w:r w:rsidRPr="003C742E">
        <w:t xml:space="preserve">Table </w:t>
      </w:r>
      <w:r w:rsidR="009809E2">
        <w:fldChar w:fldCharType="begin"/>
      </w:r>
      <w:r w:rsidR="009809E2">
        <w:instrText xml:space="preserve"> SEQ Table \* ARABIC </w:instrText>
      </w:r>
      <w:r w:rsidR="009809E2">
        <w:fldChar w:fldCharType="separate"/>
      </w:r>
      <w:r w:rsidR="0005046B">
        <w:rPr>
          <w:noProof/>
        </w:rPr>
        <w:t>12</w:t>
      </w:r>
      <w:r w:rsidR="009809E2">
        <w:rPr>
          <w:noProof/>
        </w:rPr>
        <w:fldChar w:fldCharType="end"/>
      </w:r>
      <w:r w:rsidR="003C742E">
        <w:t>:</w:t>
      </w:r>
      <w:r w:rsidR="00D10BAB" w:rsidRPr="003C742E">
        <w:t xml:space="preserve"> Study P301</w:t>
      </w:r>
      <w:r w:rsidR="00294DC1" w:rsidRPr="003C742E">
        <w:t xml:space="preserve"> Parts A and B Primary endpoint</w:t>
      </w:r>
    </w:p>
    <w:p w14:paraId="4CBEE99A" w14:textId="5D3B1B15" w:rsidR="00E7388D" w:rsidRPr="003C742E" w:rsidRDefault="00E7388D" w:rsidP="00E7388D">
      <w:r w:rsidRPr="003C742E">
        <w:rPr>
          <w:noProof/>
          <w:lang w:val="en-GB" w:eastAsia="en-GB"/>
        </w:rPr>
        <w:drawing>
          <wp:inline distT="0" distB="0" distL="0" distR="0" wp14:anchorId="3F8AE8C5" wp14:editId="0463003C">
            <wp:extent cx="5759450" cy="4046220"/>
            <wp:effectExtent l="0" t="0" r="0" b="0"/>
            <wp:docPr id="1" name="Picture 1" descr="Table 12: Study P301 Parts A and B Primary end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12: Study P301 Parts A and B Primary endpoint"/>
                    <pic:cNvPicPr/>
                  </pic:nvPicPr>
                  <pic:blipFill>
                    <a:blip r:embed="rId57"/>
                    <a:stretch>
                      <a:fillRect/>
                    </a:stretch>
                  </pic:blipFill>
                  <pic:spPr>
                    <a:xfrm>
                      <a:off x="0" y="0"/>
                      <a:ext cx="5759450" cy="4046220"/>
                    </a:xfrm>
                    <a:prstGeom prst="rect">
                      <a:avLst/>
                    </a:prstGeom>
                  </pic:spPr>
                </pic:pic>
              </a:graphicData>
            </a:graphic>
          </wp:inline>
        </w:drawing>
      </w:r>
    </w:p>
    <w:p w14:paraId="0990C4EC" w14:textId="2516C233" w:rsidR="00294DC1" w:rsidRPr="003C742E" w:rsidRDefault="00E7388D" w:rsidP="003C742E">
      <w:pPr>
        <w:pStyle w:val="TableDescription"/>
      </w:pPr>
      <w:r w:rsidRPr="003C742E">
        <w:t xml:space="preserve">Abbreviations: CI = confidence intervals; COVID-19 = coronavirus disease 2019; </w:t>
      </w:r>
      <w:r w:rsidR="00294DC1" w:rsidRPr="003C742E">
        <w:t xml:space="preserve">mRNA-1273 = Spikevax (elasomeran) COVID-19 vaccine drug development name; N = total number of subjects; n = number of subjects in subgroup; </w:t>
      </w:r>
      <w:r w:rsidRPr="003C742E">
        <w:t>PDV = participant decision visit</w:t>
      </w:r>
      <w:r w:rsidR="00294DC1" w:rsidRPr="003C742E">
        <w:t>.</w:t>
      </w:r>
    </w:p>
    <w:p w14:paraId="7B6AF19C" w14:textId="01DB05DA" w:rsidR="00E7388D" w:rsidRPr="003C742E" w:rsidRDefault="00E7388D" w:rsidP="003C742E">
      <w:pPr>
        <w:pStyle w:val="TableDescription"/>
      </w:pPr>
      <w:r w:rsidRPr="003C742E">
        <w:t xml:space="preserve">* With the censoring rules for efficacy analyses. COVID-19 case is based on eligible symptoms and positive </w:t>
      </w:r>
      <w:r w:rsidR="00294DC1" w:rsidRPr="003C742E">
        <w:t>reverse transcription polymerase chain reaction (</w:t>
      </w:r>
      <w:r w:rsidRPr="003C742E">
        <w:t>RT-PCR</w:t>
      </w:r>
      <w:r w:rsidR="00294DC1" w:rsidRPr="003C742E">
        <w:t>)</w:t>
      </w:r>
      <w:r w:rsidRPr="003C742E">
        <w:t xml:space="preserve"> within 14 days. If a subject had positive RT-PCR at scheduled visits without eligible symptoms within 14 days, or positive Elecsys at scheduled visits prior to becoming a COVID-19 case, the subject is censored at the date with positive RT-PCR or Elecsys.</w:t>
      </w:r>
    </w:p>
    <w:p w14:paraId="23298606" w14:textId="108B6919" w:rsidR="00E7388D" w:rsidRPr="003C742E" w:rsidRDefault="00E7388D" w:rsidP="003C742E">
      <w:pPr>
        <w:pStyle w:val="TableDescription"/>
      </w:pPr>
      <w:r w:rsidRPr="003C742E">
        <w:t>a. Subjects at risk are defined as subjects who started the open</w:t>
      </w:r>
      <w:r w:rsidR="00294DC1" w:rsidRPr="003C742E">
        <w:t xml:space="preserve"> </w:t>
      </w:r>
      <w:r w:rsidRPr="003C742E">
        <w:t>label phase before or on efficacy data cut-off date, had no prior SARS-CoV-2 infection (defined by positive postbaseline RT-PCR or Elecsys results) and were not a disease COVID</w:t>
      </w:r>
      <w:r w:rsidR="00294DC1" w:rsidRPr="003C742E">
        <w:noBreakHyphen/>
      </w:r>
      <w:r w:rsidRPr="003C742E">
        <w:t>19 case up to PDV or early unblinding, whichever is earlier.</w:t>
      </w:r>
    </w:p>
    <w:p w14:paraId="5863550A" w14:textId="0B074C74" w:rsidR="005E435C" w:rsidRPr="003C742E" w:rsidRDefault="00E7388D" w:rsidP="003C742E">
      <w:pPr>
        <w:pStyle w:val="TableDescription"/>
      </w:pPr>
      <w:r w:rsidRPr="003C742E">
        <w:t>b. Percentages in Part B are based on number of subjects at risk.</w:t>
      </w:r>
    </w:p>
    <w:p w14:paraId="02850B87" w14:textId="3D62160E" w:rsidR="00294DC1" w:rsidRPr="003C742E" w:rsidRDefault="00294DC1" w:rsidP="003C742E">
      <w:pPr>
        <w:pStyle w:val="TableDescription"/>
      </w:pPr>
      <w:r w:rsidRPr="003C742E">
        <w:t>c. Person years is defined as the total years from randomisation date (Part A) or PDV/early unblinding date (Part B) to the date of COVID-19, the date of earliest positive RT-PCR or Elecsys at scheduled visits, last date of study participation, or efficacy data cut-off date, whichever is earlier.</w:t>
      </w:r>
    </w:p>
    <w:p w14:paraId="75C238E5" w14:textId="2F33A762" w:rsidR="005E435C" w:rsidRPr="003C742E" w:rsidRDefault="00294DC1" w:rsidP="003C742E">
      <w:pPr>
        <w:pStyle w:val="TableDescription"/>
      </w:pPr>
      <w:r w:rsidRPr="003C742E">
        <w:t>d. Incidence rate is defined as the number of subjects with an event divided by the number of subjects at risk and adjusted by person years (total time at risk) in each treatment group. The 95% CI is calculated using the exact method (Poisson distribution) and adjusted by person years.</w:t>
      </w:r>
    </w:p>
    <w:p w14:paraId="22001B40" w14:textId="69071481" w:rsidR="005E435C" w:rsidRPr="00D91801" w:rsidRDefault="005E435C" w:rsidP="00D91801">
      <w:pPr>
        <w:pStyle w:val="Heading8"/>
      </w:pPr>
      <w:r w:rsidRPr="00D91801">
        <w:t>Secondary endpoints</w:t>
      </w:r>
    </w:p>
    <w:p w14:paraId="1E7A2FC5" w14:textId="77777777" w:rsidR="00B941A1" w:rsidRPr="00A43D72" w:rsidRDefault="005E435C" w:rsidP="00D91801">
      <w:pPr>
        <w:pStyle w:val="Heading9"/>
        <w:rPr>
          <w:sz w:val="20"/>
        </w:rPr>
      </w:pPr>
      <w:r w:rsidRPr="00A43D72">
        <w:rPr>
          <w:sz w:val="20"/>
        </w:rPr>
        <w:t>Severe COVID-19</w:t>
      </w:r>
    </w:p>
    <w:p w14:paraId="79223393" w14:textId="244AC829" w:rsidR="005E435C" w:rsidRPr="003C742E" w:rsidRDefault="005E435C" w:rsidP="005E435C">
      <w:r w:rsidRPr="003C742E">
        <w:t xml:space="preserve">The number of severe COVID-19 cases in Part B were too low in the </w:t>
      </w:r>
      <w:r w:rsidR="001E2B87" w:rsidRPr="003C742E">
        <w:t>per-protocol</w:t>
      </w:r>
      <w:r w:rsidR="00A64A37" w:rsidRPr="003C742E">
        <w:t>;</w:t>
      </w:r>
      <w:r w:rsidR="00A64A37" w:rsidRPr="003C742E">
        <w:rPr>
          <w:rStyle w:val="FootnoteReference"/>
        </w:rPr>
        <w:footnoteReference w:id="19"/>
      </w:r>
      <w:r w:rsidRPr="003C742E">
        <w:t xml:space="preserve"> </w:t>
      </w:r>
      <w:r w:rsidR="00B941A1" w:rsidRPr="003C742E">
        <w:t>s</w:t>
      </w:r>
      <w:r w:rsidRPr="003C742E">
        <w:t>et for any meaningful comparison.</w:t>
      </w:r>
    </w:p>
    <w:p w14:paraId="5E8A759D" w14:textId="19C2809D" w:rsidR="00B941A1" w:rsidRPr="00A43D72" w:rsidRDefault="005E435C" w:rsidP="00D91801">
      <w:pPr>
        <w:pStyle w:val="Heading9"/>
        <w:rPr>
          <w:sz w:val="20"/>
        </w:rPr>
      </w:pPr>
      <w:r w:rsidRPr="00A43D72">
        <w:rPr>
          <w:sz w:val="20"/>
        </w:rPr>
        <w:lastRenderedPageBreak/>
        <w:t xml:space="preserve">Secondary </w:t>
      </w:r>
      <w:r w:rsidR="00B941A1" w:rsidRPr="00A43D72">
        <w:rPr>
          <w:sz w:val="20"/>
        </w:rPr>
        <w:t xml:space="preserve">definition </w:t>
      </w:r>
      <w:r w:rsidRPr="00A43D72">
        <w:rPr>
          <w:sz w:val="20"/>
        </w:rPr>
        <w:t>of COVID-1</w:t>
      </w:r>
      <w:r w:rsidR="00B941A1" w:rsidRPr="00A43D72">
        <w:rPr>
          <w:sz w:val="20"/>
        </w:rPr>
        <w:t>9</w:t>
      </w:r>
    </w:p>
    <w:p w14:paraId="302179A0" w14:textId="33B99231" w:rsidR="005E435C" w:rsidRPr="003C742E" w:rsidRDefault="005E435C" w:rsidP="005E435C">
      <w:r w:rsidRPr="003C742E">
        <w:t>In the mRNA-1273</w:t>
      </w:r>
      <w:r w:rsidR="001C7557" w:rsidRPr="001C7557">
        <w:t xml:space="preserve"> </w:t>
      </w:r>
      <w:r w:rsidR="001C7557">
        <w:t>vaccine</w:t>
      </w:r>
      <w:r w:rsidRPr="003C742E">
        <w:t xml:space="preserve"> group, of 13,704 participants at risk, 39 (0.3%) COVID-19 cases using the secondary definition for COVID-19 in the </w:t>
      </w:r>
      <w:r w:rsidR="001E2B87" w:rsidRPr="003C742E">
        <w:t>per-protocol</w:t>
      </w:r>
      <w:r w:rsidRPr="003C742E">
        <w:t xml:space="preserve"> set were detected. The incidence rate in Part B was 16.357 cases per 1000 person</w:t>
      </w:r>
      <w:r w:rsidR="00B941A1" w:rsidRPr="003C742E">
        <w:t xml:space="preserve"> </w:t>
      </w:r>
      <w:r w:rsidRPr="003C742E">
        <w:t>years;(95% CI: 11.631, 22.360). The results are consistent with Part</w:t>
      </w:r>
      <w:r w:rsidR="00B941A1" w:rsidRPr="003C742E">
        <w:t> </w:t>
      </w:r>
      <w:r w:rsidRPr="003C742E">
        <w:t>A (10.124 cases per 1000 person</w:t>
      </w:r>
      <w:r w:rsidR="00B941A1" w:rsidRPr="003C742E">
        <w:t xml:space="preserve"> </w:t>
      </w:r>
      <w:r w:rsidRPr="003C742E">
        <w:t>years; 95% CI: 7.688, 13.088) and supported the persistence of efficacy of mRNA-1273</w:t>
      </w:r>
      <w:r w:rsidR="001C7557">
        <w:t xml:space="preserve"> vaccine</w:t>
      </w:r>
      <w:r w:rsidRPr="003C742E">
        <w:t>. In the placebo group, of 1175</w:t>
      </w:r>
      <w:r w:rsidR="001C7557">
        <w:t> </w:t>
      </w:r>
      <w:r w:rsidRPr="003C742E">
        <w:t>participants at risk, 4</w:t>
      </w:r>
      <w:r w:rsidR="00B941A1" w:rsidRPr="003C742E">
        <w:t> </w:t>
      </w:r>
      <w:r w:rsidRPr="003C742E">
        <w:t xml:space="preserve">(0.3%) COVID-19 cases using the secondary definition for COVID-19 in the </w:t>
      </w:r>
      <w:r w:rsidR="001E2B87" w:rsidRPr="003C742E">
        <w:t>per-protocol</w:t>
      </w:r>
      <w:r w:rsidRPr="003C742E">
        <w:t xml:space="preserve"> set were detected. The incidence rate in Part B was 103.713 cases per 1000</w:t>
      </w:r>
      <w:r w:rsidR="001C7557">
        <w:t> </w:t>
      </w:r>
      <w:r w:rsidRPr="003C742E">
        <w:t>person years; (95%</w:t>
      </w:r>
      <w:r w:rsidR="002D5274" w:rsidRPr="003C742E">
        <w:t> </w:t>
      </w:r>
      <w:r w:rsidRPr="003C742E">
        <w:t>CI: 28.258, 265.546), and the incidence rate in Part A was 148.525</w:t>
      </w:r>
      <w:r w:rsidR="001C7557">
        <w:t> </w:t>
      </w:r>
      <w:r w:rsidRPr="003C742E">
        <w:t xml:space="preserve">cases per 1000 </w:t>
      </w:r>
      <w:r w:rsidR="00B941A1" w:rsidRPr="003C742E">
        <w:t xml:space="preserve">person </w:t>
      </w:r>
      <w:r w:rsidRPr="003C742E">
        <w:t>years; (95% CI: 138.453, 159.136).</w:t>
      </w:r>
    </w:p>
    <w:p w14:paraId="0F43C645" w14:textId="45EAA6C7" w:rsidR="005E435C" w:rsidRPr="003C742E" w:rsidRDefault="005E435C" w:rsidP="005E435C">
      <w:r w:rsidRPr="003C742E">
        <w:t xml:space="preserve">The RT-PCR results and anti-nucleocapsid </w:t>
      </w:r>
      <w:r w:rsidR="007E3135" w:rsidRPr="003C742E">
        <w:t>binding antibody</w:t>
      </w:r>
      <w:r w:rsidRPr="003C742E">
        <w:t xml:space="preserve"> as measured by Elecsys assay at </w:t>
      </w:r>
      <w:r w:rsidR="00516475" w:rsidRPr="003C742E">
        <w:t>participant decision visit</w:t>
      </w:r>
      <w:r w:rsidRPr="003C742E">
        <w:t xml:space="preserve"> were included in the analyses of SARS-CoV-2 infection regardless of symptomatology and severity and asymptomatic infection in Part A </w:t>
      </w:r>
      <w:r w:rsidR="001372E8" w:rsidRPr="003C742E">
        <w:t>clinical study report</w:t>
      </w:r>
      <w:r w:rsidRPr="003C742E">
        <w:t>. No further analyses are provided for the open</w:t>
      </w:r>
      <w:r w:rsidR="00B941A1" w:rsidRPr="003C742E">
        <w:t xml:space="preserve"> </w:t>
      </w:r>
      <w:r w:rsidRPr="003C742E">
        <w:t>label phase.</w:t>
      </w:r>
    </w:p>
    <w:p w14:paraId="361A020F" w14:textId="77777777" w:rsidR="005E435C" w:rsidRPr="001C7557" w:rsidRDefault="005E435C">
      <w:pPr>
        <w:pStyle w:val="Heading7"/>
      </w:pPr>
      <w:r w:rsidRPr="001C7557">
        <w:t>Safety</w:t>
      </w:r>
    </w:p>
    <w:p w14:paraId="1ECDCDBF" w14:textId="7BF9D75A" w:rsidR="005E435C" w:rsidRPr="003C742E" w:rsidRDefault="005E435C" w:rsidP="005E435C">
      <w:r w:rsidRPr="003C742E">
        <w:t xml:space="preserve">The safety assessments included unsolicited </w:t>
      </w:r>
      <w:r w:rsidR="001C7557">
        <w:t>adverse events (</w:t>
      </w:r>
      <w:r w:rsidRPr="003C742E">
        <w:t>AEs</w:t>
      </w:r>
      <w:r w:rsidR="001C7557">
        <w:t>), medically-attended adverse events (</w:t>
      </w:r>
      <w:r w:rsidRPr="003C742E">
        <w:t>MAAEs</w:t>
      </w:r>
      <w:r w:rsidR="001C7557">
        <w:t>)</w:t>
      </w:r>
      <w:r w:rsidRPr="003C742E">
        <w:t>,</w:t>
      </w:r>
      <w:r w:rsidR="001C7557">
        <w:t xml:space="preserve"> serious adverse events</w:t>
      </w:r>
      <w:r w:rsidRPr="003C742E">
        <w:t xml:space="preserve"> </w:t>
      </w:r>
      <w:r w:rsidR="001C7557">
        <w:t>(</w:t>
      </w:r>
      <w:r w:rsidRPr="003C742E">
        <w:t>SAEs</w:t>
      </w:r>
      <w:r w:rsidR="001C7557">
        <w:t>)</w:t>
      </w:r>
      <w:r w:rsidRPr="003C742E">
        <w:t xml:space="preserve">, and </w:t>
      </w:r>
      <w:r w:rsidR="001C7557">
        <w:t>adverse events</w:t>
      </w:r>
      <w:r w:rsidR="001C7557" w:rsidRPr="003C742E">
        <w:t xml:space="preserve"> </w:t>
      </w:r>
      <w:r w:rsidRPr="003C742E">
        <w:t xml:space="preserve">leading to withdrawal from study vaccine and/or study from early unblinding or </w:t>
      </w:r>
      <w:r w:rsidR="00516475" w:rsidRPr="003C742E">
        <w:t>participant decision visit</w:t>
      </w:r>
      <w:r w:rsidRPr="003C742E">
        <w:t xml:space="preserve"> to data cut</w:t>
      </w:r>
      <w:r w:rsidR="00516475" w:rsidRPr="003C742E">
        <w:noBreakHyphen/>
      </w:r>
      <w:r w:rsidRPr="003C742E">
        <w:t>off date.</w:t>
      </w:r>
    </w:p>
    <w:p w14:paraId="585AD920" w14:textId="49CADEA2" w:rsidR="005E435C" w:rsidRPr="003C742E" w:rsidRDefault="005E435C" w:rsidP="005E435C">
      <w:bookmarkStart w:id="85" w:name="_Hlk130897524"/>
      <w:r w:rsidRPr="003C742E">
        <w:t xml:space="preserve">The purpose of this </w:t>
      </w:r>
      <w:r w:rsidR="001372E8" w:rsidRPr="003C742E">
        <w:t>clinical study report</w:t>
      </w:r>
      <w:r w:rsidRPr="003C742E">
        <w:t xml:space="preserve"> addendum is to provide additional safety follow-up data based on median follow-up of 67 days in Part B for those remaining in the original randomi</w:t>
      </w:r>
      <w:r w:rsidR="00A15C0C" w:rsidRPr="003C742E">
        <w:t>s</w:t>
      </w:r>
      <w:r w:rsidRPr="003C742E">
        <w:t xml:space="preserve">ed groups (mRNA-1273 </w:t>
      </w:r>
      <w:r w:rsidR="001C7557">
        <w:t xml:space="preserve">vaccine </w:t>
      </w:r>
      <w:r w:rsidRPr="003C742E">
        <w:t xml:space="preserve">and placebo groups) beyond early unblinding or the </w:t>
      </w:r>
      <w:r w:rsidR="00516475" w:rsidRPr="003C742E">
        <w:t>participant decision visit</w:t>
      </w:r>
      <w:r w:rsidRPr="003C742E">
        <w:t xml:space="preserve"> up to the data cut-off date (26 Mar</w:t>
      </w:r>
      <w:r w:rsidR="00B941A1" w:rsidRPr="003C742E">
        <w:t>ch</w:t>
      </w:r>
      <w:r w:rsidRPr="003C742E">
        <w:t xml:space="preserve"> 2021), which yielded a total observation period of 7.6 months from randomi</w:t>
      </w:r>
      <w:r w:rsidR="00A15C0C" w:rsidRPr="003C742E">
        <w:t>s</w:t>
      </w:r>
      <w:r w:rsidRPr="003C742E">
        <w:t xml:space="preserve">ation or 6.5 months after Dose 2 across Part A and Part B. In addition, data from the placebo group participants who were </w:t>
      </w:r>
      <w:r w:rsidR="001C7557">
        <w:t xml:space="preserve">then </w:t>
      </w:r>
      <w:r w:rsidRPr="003C742E">
        <w:t>vaccinated with mRNA-1273 (placebo</w:t>
      </w:r>
      <w:r w:rsidR="001C7557">
        <w:t>/</w:t>
      </w:r>
      <w:r w:rsidRPr="003C742E">
        <w:t xml:space="preserve">mRNA-1273 group) in Part B were collected to further expand the safety evaluation of mRNA-1273 </w:t>
      </w:r>
      <w:r w:rsidR="001C7557">
        <w:t xml:space="preserve">vaccine </w:t>
      </w:r>
      <w:r w:rsidRPr="003C742E">
        <w:t>from this newly vaccinated group.</w:t>
      </w:r>
    </w:p>
    <w:p w14:paraId="30487811" w14:textId="77777777" w:rsidR="005E435C" w:rsidRPr="003C742E" w:rsidRDefault="005E435C" w:rsidP="005E435C">
      <w:r w:rsidRPr="003C742E">
        <w:t>Overall, no new safety concerns were identified in Part B.</w:t>
      </w:r>
      <w:bookmarkEnd w:id="85"/>
    </w:p>
    <w:p w14:paraId="6732FD0A" w14:textId="19EB6EC1" w:rsidR="005E435C" w:rsidRPr="00D91801" w:rsidRDefault="005E435C" w:rsidP="00D91801">
      <w:pPr>
        <w:pStyle w:val="Heading8"/>
      </w:pPr>
      <w:r w:rsidRPr="00D91801">
        <w:t xml:space="preserve">Unsolicited treatment-emergent </w:t>
      </w:r>
      <w:r w:rsidR="00B941A1" w:rsidRPr="00D91801">
        <w:t>adverse events</w:t>
      </w:r>
    </w:p>
    <w:p w14:paraId="2A2252CF" w14:textId="13A2C0C2" w:rsidR="005E435C" w:rsidRPr="003C742E" w:rsidRDefault="005E435C" w:rsidP="005E435C">
      <w:r w:rsidRPr="003C742E">
        <w:t xml:space="preserve">In the mRNA-1273 </w:t>
      </w:r>
      <w:r w:rsidR="001C7557">
        <w:t xml:space="preserve">vaccine </w:t>
      </w:r>
      <w:r w:rsidRPr="003C742E">
        <w:t>group, 1729</w:t>
      </w:r>
      <w:r w:rsidR="00B941A1" w:rsidRPr="003C742E">
        <w:t xml:space="preserve"> of </w:t>
      </w:r>
      <w:r w:rsidRPr="003C742E">
        <w:t>15,184 (11.4%) participants experienced 2557</w:t>
      </w:r>
      <w:r w:rsidR="001C7557">
        <w:t> treatment-emergent adverse events (</w:t>
      </w:r>
      <w:r w:rsidRPr="003C742E">
        <w:t>TEAEs</w:t>
      </w:r>
      <w:r w:rsidR="001C7557">
        <w:t>)</w:t>
      </w:r>
      <w:r w:rsidRPr="003C742E">
        <w:t xml:space="preserve"> in the </w:t>
      </w:r>
      <w:r w:rsidR="00B941A1" w:rsidRPr="003C742E">
        <w:t>safety set</w:t>
      </w:r>
      <w:r w:rsidRPr="003C742E">
        <w:t>. Of these, 22</w:t>
      </w:r>
      <w:r w:rsidR="00B941A1" w:rsidRPr="003C742E">
        <w:t xml:space="preserve"> of </w:t>
      </w:r>
      <w:r w:rsidRPr="003C742E">
        <w:t>15,184 (0.1%) participants experienced TEAEs related to the study vaccine. No unsolicited TEAE (</w:t>
      </w:r>
      <w:r w:rsidR="001C7557">
        <w:t>by </w:t>
      </w:r>
      <w:r w:rsidR="00B941A1" w:rsidRPr="003C742E">
        <w:t>Preferred Term</w:t>
      </w:r>
      <w:r w:rsidRPr="003C742E">
        <w:t xml:space="preserve">) occurred in </w:t>
      </w:r>
      <w:r w:rsidR="00B941A1" w:rsidRPr="003C742E">
        <w:t xml:space="preserve">at least </w:t>
      </w:r>
      <w:r w:rsidRPr="003C742E">
        <w:t xml:space="preserve">1% of participants. No unexpected findings or new trend appeared in unsolicited TEAEs in the mRNA-1273 </w:t>
      </w:r>
      <w:r w:rsidR="001C7557">
        <w:t xml:space="preserve">vaccine </w:t>
      </w:r>
      <w:r w:rsidRPr="003C742E">
        <w:t>group.</w:t>
      </w:r>
    </w:p>
    <w:p w14:paraId="01CF9171" w14:textId="65C97E62" w:rsidR="005E435C" w:rsidRPr="003C742E" w:rsidRDefault="005E435C" w:rsidP="005E435C">
      <w:r w:rsidRPr="003C742E">
        <w:t>The most common unsolicited TEAEs (at least 1% of participants) were injection site pain (451</w:t>
      </w:r>
      <w:r w:rsidR="00B941A1" w:rsidRPr="003C742E">
        <w:t> </w:t>
      </w:r>
      <w:r w:rsidR="00A15C0C" w:rsidRPr="003C742E">
        <w:t>(</w:t>
      </w:r>
      <w:r w:rsidRPr="003C742E">
        <w:t>3.6%</w:t>
      </w:r>
      <w:r w:rsidR="00A15C0C" w:rsidRPr="003C742E">
        <w:t>)</w:t>
      </w:r>
      <w:r w:rsidRPr="003C742E">
        <w:t xml:space="preserve"> participants), headache (233 </w:t>
      </w:r>
      <w:r w:rsidR="00A15C0C" w:rsidRPr="003C742E">
        <w:t>(</w:t>
      </w:r>
      <w:r w:rsidRPr="003C742E">
        <w:t>1.8%</w:t>
      </w:r>
      <w:r w:rsidR="00A15C0C" w:rsidRPr="003C742E">
        <w:t>)</w:t>
      </w:r>
      <w:r w:rsidRPr="003C742E">
        <w:t xml:space="preserve"> participants), fatigue (211 </w:t>
      </w:r>
      <w:r w:rsidR="00A15C0C" w:rsidRPr="003C742E">
        <w:t>(</w:t>
      </w:r>
      <w:r w:rsidRPr="003C742E">
        <w:t>1.7%</w:t>
      </w:r>
      <w:r w:rsidR="00A15C0C" w:rsidRPr="003C742E">
        <w:t>)</w:t>
      </w:r>
      <w:r w:rsidRPr="003C742E">
        <w:t xml:space="preserve"> participants), pain (175 </w:t>
      </w:r>
      <w:r w:rsidR="00A15C0C" w:rsidRPr="003C742E">
        <w:t>(</w:t>
      </w:r>
      <w:r w:rsidRPr="003C742E">
        <w:t>1.4%</w:t>
      </w:r>
      <w:r w:rsidR="00A15C0C" w:rsidRPr="003C742E">
        <w:t>)</w:t>
      </w:r>
      <w:r w:rsidRPr="003C742E">
        <w:t xml:space="preserve"> participants), pyrexia (167 </w:t>
      </w:r>
      <w:r w:rsidR="00A15C0C" w:rsidRPr="003C742E">
        <w:t>(</w:t>
      </w:r>
      <w:r w:rsidRPr="003C742E">
        <w:t>1.3%</w:t>
      </w:r>
      <w:r w:rsidR="00A15C0C" w:rsidRPr="003C742E">
        <w:t>)</w:t>
      </w:r>
      <w:r w:rsidRPr="003C742E">
        <w:t xml:space="preserve"> participants), chills (136 </w:t>
      </w:r>
      <w:r w:rsidR="00A15C0C" w:rsidRPr="003C742E">
        <w:t>(</w:t>
      </w:r>
      <w:r w:rsidRPr="003C742E">
        <w:t>1.1%</w:t>
      </w:r>
      <w:r w:rsidR="00A15C0C" w:rsidRPr="003C742E">
        <w:t>)</w:t>
      </w:r>
      <w:r w:rsidRPr="003C742E">
        <w:t xml:space="preserve"> participants), and hypertension (129 </w:t>
      </w:r>
      <w:r w:rsidR="00A15C0C" w:rsidRPr="003C742E">
        <w:t>(</w:t>
      </w:r>
      <w:r w:rsidRPr="003C742E">
        <w:t>1.0%</w:t>
      </w:r>
      <w:r w:rsidR="00A15C0C" w:rsidRPr="003C742E">
        <w:t>)</w:t>
      </w:r>
      <w:r w:rsidRPr="003C742E">
        <w:t xml:space="preserve"> participants). The commonly reported events were generally consistent with reactogenicity, and the unsolicited </w:t>
      </w:r>
      <w:r w:rsidR="001872C7" w:rsidRPr="003C742E">
        <w:t>AE</w:t>
      </w:r>
      <w:r w:rsidRPr="003C742E">
        <w:t xml:space="preserve">s reported within the 28-day follow-up period after vaccination in the mRNA-1273 </w:t>
      </w:r>
      <w:r w:rsidR="001C7557">
        <w:t xml:space="preserve">vaccine </w:t>
      </w:r>
      <w:r w:rsidRPr="003C742E">
        <w:t>group observed in Part</w:t>
      </w:r>
      <w:r w:rsidR="001C7557">
        <w:t> </w:t>
      </w:r>
      <w:r w:rsidRPr="003C742E">
        <w:t>A</w:t>
      </w:r>
      <w:r w:rsidR="001C7557">
        <w:t xml:space="preserve"> of this study</w:t>
      </w:r>
      <w:r w:rsidRPr="003C742E">
        <w:t>.</w:t>
      </w:r>
    </w:p>
    <w:p w14:paraId="130B3F0C" w14:textId="77777777" w:rsidR="005E435C" w:rsidRPr="003C742E" w:rsidRDefault="005E435C" w:rsidP="00D03EE9">
      <w:pPr>
        <w:pStyle w:val="Heading8"/>
      </w:pPr>
      <w:r w:rsidRPr="003C742E">
        <w:t>Deaths</w:t>
      </w:r>
    </w:p>
    <w:p w14:paraId="317E5C2C" w14:textId="398D788E" w:rsidR="005E435C" w:rsidRPr="003C742E" w:rsidRDefault="005E435C" w:rsidP="005E435C">
      <w:r w:rsidRPr="003C742E">
        <w:t xml:space="preserve">As of the data cut-off date of this </w:t>
      </w:r>
      <w:r w:rsidR="001372E8" w:rsidRPr="003C742E">
        <w:t>clinical study report</w:t>
      </w:r>
      <w:r w:rsidRPr="003C742E">
        <w:t xml:space="preserve"> addendum, 12 participants died in Part</w:t>
      </w:r>
      <w:r w:rsidR="00B941A1" w:rsidRPr="003C742E">
        <w:t> </w:t>
      </w:r>
      <w:r w:rsidRPr="003C742E">
        <w:t>B. A total of 8</w:t>
      </w:r>
      <w:r w:rsidR="00B941A1" w:rsidRPr="003C742E">
        <w:t xml:space="preserve"> out of </w:t>
      </w:r>
      <w:r w:rsidRPr="003C742E">
        <w:t>15,184 (</w:t>
      </w:r>
      <w:r w:rsidR="00B941A1" w:rsidRPr="003C742E">
        <w:t xml:space="preserve">less than </w:t>
      </w:r>
      <w:r w:rsidRPr="003C742E">
        <w:t xml:space="preserve">0.1%) participants in the mRNA-1273 </w:t>
      </w:r>
      <w:r w:rsidR="001C7557">
        <w:t xml:space="preserve">vaccine </w:t>
      </w:r>
      <w:r w:rsidRPr="003C742E">
        <w:t xml:space="preserve">group died (median time from </w:t>
      </w:r>
      <w:r w:rsidR="00516475" w:rsidRPr="003C742E">
        <w:t>participant decision visit</w:t>
      </w:r>
      <w:r w:rsidRPr="003C742E">
        <w:t xml:space="preserve">: 46.5 days) during Part B: cardiac TEAEs in 3 participants (cardiac arrest, myocardial infarction, and acute myocardial infarction in </w:t>
      </w:r>
      <w:r w:rsidR="00B941A1" w:rsidRPr="003C742E">
        <w:t>one</w:t>
      </w:r>
      <w:r w:rsidRPr="003C742E">
        <w:t xml:space="preserve"> participant each); head injury in </w:t>
      </w:r>
      <w:r w:rsidR="00B941A1" w:rsidRPr="003C742E">
        <w:t>one</w:t>
      </w:r>
      <w:r w:rsidRPr="003C742E">
        <w:t xml:space="preserve"> participant; pulmonary embolism, gastrointestinal haemorrhage, and pulseless electrical activity in </w:t>
      </w:r>
      <w:r w:rsidR="00B941A1" w:rsidRPr="003C742E">
        <w:t>one</w:t>
      </w:r>
      <w:r w:rsidRPr="003C742E">
        <w:t xml:space="preserve"> participant; cerebrovascular accident in </w:t>
      </w:r>
      <w:r w:rsidR="00B941A1" w:rsidRPr="003C742E">
        <w:lastRenderedPageBreak/>
        <w:t>one</w:t>
      </w:r>
      <w:r w:rsidRPr="003C742E">
        <w:t xml:space="preserve"> participant; and sudden death (unknown cause) for </w:t>
      </w:r>
      <w:r w:rsidR="00B941A1" w:rsidRPr="003C742E">
        <w:t>one</w:t>
      </w:r>
      <w:r w:rsidRPr="003C742E">
        <w:t xml:space="preserve"> participant. One participant experienced an SAE of pulmonary mass before </w:t>
      </w:r>
      <w:r w:rsidR="00516475" w:rsidRPr="003C742E">
        <w:t>participant decision visit</w:t>
      </w:r>
      <w:r w:rsidRPr="003C742E">
        <w:t xml:space="preserve"> (during Part A) and died during Part B.</w:t>
      </w:r>
    </w:p>
    <w:p w14:paraId="57A2BFED" w14:textId="7E02605F" w:rsidR="005E435C" w:rsidRPr="003C742E" w:rsidRDefault="005E435C" w:rsidP="005E435C">
      <w:r w:rsidRPr="003C742E">
        <w:t xml:space="preserve">None of the participants died due to COVID-19. None of the deaths </w:t>
      </w:r>
      <w:r w:rsidR="001C7557">
        <w:t>were</w:t>
      </w:r>
      <w:r w:rsidR="001C7557" w:rsidRPr="003C742E">
        <w:t xml:space="preserve"> </w:t>
      </w:r>
      <w:r w:rsidRPr="003C742E">
        <w:t xml:space="preserve">considered </w:t>
      </w:r>
      <w:r w:rsidR="001C7557">
        <w:t xml:space="preserve">to be </w:t>
      </w:r>
      <w:r w:rsidRPr="003C742E">
        <w:t>related to the study vaccine.</w:t>
      </w:r>
    </w:p>
    <w:p w14:paraId="19A9CCEE" w14:textId="68E73173" w:rsidR="005E435C" w:rsidRPr="003C742E" w:rsidRDefault="00BC2AF2" w:rsidP="00D03EE9">
      <w:pPr>
        <w:pStyle w:val="Heading8"/>
      </w:pPr>
      <w:r w:rsidRPr="003C742E">
        <w:t>Serious adverse events</w:t>
      </w:r>
    </w:p>
    <w:p w14:paraId="2227742B" w14:textId="4F6463E3" w:rsidR="005E435C" w:rsidRPr="003C742E" w:rsidRDefault="005E435C" w:rsidP="005E435C">
      <w:r w:rsidRPr="003C742E">
        <w:t xml:space="preserve">In the mRNA-1273 </w:t>
      </w:r>
      <w:r w:rsidR="001C7557">
        <w:t xml:space="preserve">vaccine </w:t>
      </w:r>
      <w:r w:rsidRPr="003C742E">
        <w:t>group, 141</w:t>
      </w:r>
      <w:r w:rsidR="00B941A1" w:rsidRPr="003C742E">
        <w:t xml:space="preserve"> of </w:t>
      </w:r>
      <w:r w:rsidRPr="003C742E">
        <w:t>15,184 (0.9%) participants reported 181 SAEs. All individual SAEs (</w:t>
      </w:r>
      <w:r w:rsidR="001C7557">
        <w:t xml:space="preserve">by </w:t>
      </w:r>
      <w:r w:rsidR="00A64A37" w:rsidRPr="003C742E">
        <w:t>Preferred Term</w:t>
      </w:r>
      <w:r w:rsidRPr="003C742E">
        <w:t>) were reported in</w:t>
      </w:r>
      <w:r w:rsidR="00B941A1" w:rsidRPr="003C742E">
        <w:t xml:space="preserve"> less than </w:t>
      </w:r>
      <w:r w:rsidRPr="003C742E">
        <w:t>0.1% of participants. No SAEs were considered related to the study vaccine. Overall, no new safety concern was identified.</w:t>
      </w:r>
    </w:p>
    <w:p w14:paraId="5EA067D1" w14:textId="06CBC259" w:rsidR="005E435C" w:rsidRPr="003C742E" w:rsidRDefault="005E435C" w:rsidP="005E435C">
      <w:r w:rsidRPr="003C742E">
        <w:t>In the placebo</w:t>
      </w:r>
      <w:r w:rsidR="001C7557">
        <w:t xml:space="preserve">, followed by </w:t>
      </w:r>
      <w:r w:rsidRPr="003C742E">
        <w:t xml:space="preserve">mRNA-1273 </w:t>
      </w:r>
      <w:r w:rsidR="001C7557">
        <w:t xml:space="preserve">vaccine </w:t>
      </w:r>
      <w:r w:rsidRPr="003C742E">
        <w:t>group</w:t>
      </w:r>
      <w:r w:rsidR="001C7557">
        <w:t xml:space="preserve"> (placebo/mRNA-1273)</w:t>
      </w:r>
      <w:r w:rsidRPr="003C742E">
        <w:t>, 148</w:t>
      </w:r>
      <w:r w:rsidR="00B941A1" w:rsidRPr="003C742E">
        <w:t xml:space="preserve"> of </w:t>
      </w:r>
      <w:r w:rsidRPr="003C742E">
        <w:t>12,648 (1.2%) participants reported 190 SAEs. All individual SAEs (</w:t>
      </w:r>
      <w:r w:rsidR="00A64A37" w:rsidRPr="003C742E">
        <w:t>Preferred Term</w:t>
      </w:r>
      <w:r w:rsidRPr="003C742E">
        <w:t xml:space="preserve">) were reported in </w:t>
      </w:r>
      <w:r w:rsidR="00B941A1" w:rsidRPr="003C742E">
        <w:t xml:space="preserve">less than </w:t>
      </w:r>
      <w:r w:rsidRPr="003C742E">
        <w:t xml:space="preserve">0.1% of participants. SAEs considered by the investigator to be related to the study vaccine were reported in 4 participants: paraesthesia, muscular weakness, spontaneous abortion, and autoimmune thyroiditis. All events resolved within 2 days except autoimmune thyroiditis which was ongoing at the time of data cut-off. In addition, </w:t>
      </w:r>
      <w:r w:rsidR="00B941A1" w:rsidRPr="003C742E">
        <w:t>one</w:t>
      </w:r>
      <w:r w:rsidRPr="003C742E">
        <w:t xml:space="preserve"> participant experienced an SAE (considered as related to the study vaccine by the investigator) of pericardial effusion in Part B before data cut-off but was reported by site after the database lock.</w:t>
      </w:r>
    </w:p>
    <w:p w14:paraId="4ABBA0BB" w14:textId="0C2C4B06" w:rsidR="005E435C" w:rsidRPr="003C742E" w:rsidRDefault="005E435C" w:rsidP="00D03EE9">
      <w:pPr>
        <w:pStyle w:val="Heading8"/>
      </w:pPr>
      <w:r w:rsidRPr="003C742E">
        <w:t xml:space="preserve">Unsolicited </w:t>
      </w:r>
      <w:r w:rsidR="00D91801" w:rsidRPr="00D91801">
        <w:t xml:space="preserve">treatment-emergent adverse events </w:t>
      </w:r>
      <w:r w:rsidRPr="003C742E">
        <w:t>leading to discontinuation from the study vaccine and the study</w:t>
      </w:r>
    </w:p>
    <w:p w14:paraId="1B11FDAD" w14:textId="549F3D30" w:rsidR="005E435C" w:rsidRPr="003C742E" w:rsidRDefault="005E435C" w:rsidP="005E435C">
      <w:r w:rsidRPr="003C742E">
        <w:t>The participant incidence of TEAEs leading to study discontinuation was low (7</w:t>
      </w:r>
      <w:r w:rsidR="00B941A1" w:rsidRPr="003C742E">
        <w:t xml:space="preserve"> of </w:t>
      </w:r>
      <w:r w:rsidRPr="003C742E">
        <w:t xml:space="preserve">15,184 participants in the mRNA-1273 </w:t>
      </w:r>
      <w:r w:rsidR="001C7557">
        <w:t xml:space="preserve">vaccine </w:t>
      </w:r>
      <w:r w:rsidRPr="003C742E">
        <w:t>group, 1</w:t>
      </w:r>
      <w:r w:rsidR="00B941A1" w:rsidRPr="003C742E">
        <w:t xml:space="preserve"> of </w:t>
      </w:r>
      <w:r w:rsidRPr="003C742E">
        <w:t>2514 participant in the placebo group, and 4</w:t>
      </w:r>
      <w:r w:rsidR="001C7557">
        <w:t> </w:t>
      </w:r>
      <w:r w:rsidR="00B941A1" w:rsidRPr="003C742E">
        <w:t xml:space="preserve">of </w:t>
      </w:r>
      <w:r w:rsidRPr="003C742E">
        <w:t>12,648 participants in the placebo</w:t>
      </w:r>
      <w:r w:rsidR="001C7557">
        <w:t>/</w:t>
      </w:r>
      <w:r w:rsidRPr="003C742E">
        <w:t>mRNA-1273 group); none of the events was considered related to study vaccine by the investigator.</w:t>
      </w:r>
    </w:p>
    <w:p w14:paraId="1C3DA43A" w14:textId="13526E10" w:rsidR="005E435C" w:rsidRPr="003C742E" w:rsidRDefault="00D91801" w:rsidP="00D03EE9">
      <w:pPr>
        <w:pStyle w:val="Heading8"/>
      </w:pPr>
      <w:r>
        <w:t>Me</w:t>
      </w:r>
      <w:r w:rsidRPr="00D91801">
        <w:t>dically attended adverse events</w:t>
      </w:r>
    </w:p>
    <w:p w14:paraId="03D1F866" w14:textId="65D8BEE2" w:rsidR="005E435C" w:rsidRPr="003C742E" w:rsidRDefault="005E435C" w:rsidP="005E435C">
      <w:r w:rsidRPr="003C742E">
        <w:t xml:space="preserve">In the mRNA-1273 </w:t>
      </w:r>
      <w:r w:rsidR="001C7557">
        <w:t xml:space="preserve">vaccine </w:t>
      </w:r>
      <w:r w:rsidRPr="003C742E">
        <w:t>group, 1457</w:t>
      </w:r>
      <w:r w:rsidR="00B941A1" w:rsidRPr="003C742E">
        <w:t xml:space="preserve"> of </w:t>
      </w:r>
      <w:r w:rsidRPr="003C742E">
        <w:t>15,184 (9.6%) participants experienced 2067 MAAEs. Of these, 9 (</w:t>
      </w:r>
      <w:r w:rsidR="00B941A1" w:rsidRPr="003C742E">
        <w:t xml:space="preserve">less than </w:t>
      </w:r>
      <w:r w:rsidRPr="003C742E">
        <w:t>0.1%) participants experienced MAAEs related to the study vaccine. All MAAEs (</w:t>
      </w:r>
      <w:r w:rsidR="001C7557">
        <w:t xml:space="preserve">by </w:t>
      </w:r>
      <w:r w:rsidR="00A64A37" w:rsidRPr="003C742E">
        <w:t>Preferred Term</w:t>
      </w:r>
      <w:r w:rsidRPr="003C742E">
        <w:t xml:space="preserve">) were reported in </w:t>
      </w:r>
      <w:r w:rsidR="00B941A1" w:rsidRPr="003C742E">
        <w:t xml:space="preserve">less than </w:t>
      </w:r>
      <w:r w:rsidRPr="003C742E">
        <w:t>1% of participants. The most common MAAEs (</w:t>
      </w:r>
      <w:r w:rsidR="00B941A1" w:rsidRPr="003C742E">
        <w:t>at least</w:t>
      </w:r>
      <w:r w:rsidRPr="003C742E">
        <w:t xml:space="preserve"> 0.4% of participants) were hypertension (69</w:t>
      </w:r>
      <w:r w:rsidR="00B941A1" w:rsidRPr="003C742E">
        <w:t xml:space="preserve"> of </w:t>
      </w:r>
      <w:r w:rsidRPr="003C742E">
        <w:t xml:space="preserve">15,184 </w:t>
      </w:r>
      <w:r w:rsidR="00A15C0C" w:rsidRPr="003C742E">
        <w:t>(</w:t>
      </w:r>
      <w:r w:rsidRPr="003C742E">
        <w:t>0.5%</w:t>
      </w:r>
      <w:r w:rsidR="00A15C0C" w:rsidRPr="003C742E">
        <w:t>)</w:t>
      </w:r>
      <w:r w:rsidRPr="003C742E">
        <w:t xml:space="preserve"> participants), urinary tract infection (65</w:t>
      </w:r>
      <w:r w:rsidR="00B941A1" w:rsidRPr="003C742E">
        <w:t xml:space="preserve"> of </w:t>
      </w:r>
      <w:r w:rsidRPr="003C742E">
        <w:t xml:space="preserve">15,184 </w:t>
      </w:r>
      <w:r w:rsidR="00A15C0C" w:rsidRPr="003C742E">
        <w:t>(</w:t>
      </w:r>
      <w:r w:rsidRPr="003C742E">
        <w:t>0.4%</w:t>
      </w:r>
      <w:r w:rsidR="00A15C0C" w:rsidRPr="003C742E">
        <w:t>)</w:t>
      </w:r>
      <w:r w:rsidRPr="003C742E">
        <w:t xml:space="preserve"> participants), and COVID-19 (32</w:t>
      </w:r>
      <w:r w:rsidR="00B941A1" w:rsidRPr="003C742E">
        <w:t xml:space="preserve"> of </w:t>
      </w:r>
      <w:r w:rsidRPr="003C742E">
        <w:t xml:space="preserve">15,184 </w:t>
      </w:r>
      <w:r w:rsidR="00A15C0C" w:rsidRPr="003C742E">
        <w:t>(</w:t>
      </w:r>
      <w:r w:rsidRPr="003C742E">
        <w:t>0.2%</w:t>
      </w:r>
      <w:r w:rsidR="00A15C0C" w:rsidRPr="003C742E">
        <w:t>)</w:t>
      </w:r>
      <w:r w:rsidRPr="003C742E">
        <w:t xml:space="preserve"> participants). Overall, no new safety concern was identified related to MAAEs.</w:t>
      </w:r>
    </w:p>
    <w:p w14:paraId="293324CB" w14:textId="77777777" w:rsidR="005E435C" w:rsidRPr="003C742E" w:rsidRDefault="005E435C" w:rsidP="00D03EE9">
      <w:pPr>
        <w:pStyle w:val="Heading8"/>
      </w:pPr>
      <w:r w:rsidRPr="003C742E">
        <w:t>Pregnancies</w:t>
      </w:r>
    </w:p>
    <w:p w14:paraId="2A173B04" w14:textId="640FBA5E" w:rsidR="005E435C" w:rsidRPr="003C742E" w:rsidRDefault="005E435C" w:rsidP="005E435C">
      <w:r w:rsidRPr="003C742E">
        <w:t>According to the safety database, a total of 37 pregnancies were reported (19 in the placebo</w:t>
      </w:r>
      <w:r w:rsidR="001C7557">
        <w:t>/</w:t>
      </w:r>
      <w:r w:rsidRPr="003C742E">
        <w:t>mRNA-1273 group and 18 in the mRNA-1273 group) during Part B of the study. Of the outcomes known as of 4 May 2021, 4 participants (3 in the placebo</w:t>
      </w:r>
      <w:r w:rsidR="001C7557">
        <w:t>/</w:t>
      </w:r>
      <w:r w:rsidRPr="003C742E">
        <w:t xml:space="preserve">mRNA-1273 group and </w:t>
      </w:r>
      <w:r w:rsidR="00B941A1" w:rsidRPr="003C742E">
        <w:t>one</w:t>
      </w:r>
      <w:r w:rsidRPr="003C742E">
        <w:t xml:space="preserve"> in the mRNA-1273 group) experienced spontaneous abortion; of these, the event in </w:t>
      </w:r>
      <w:r w:rsidR="00B941A1" w:rsidRPr="003C742E">
        <w:t>one</w:t>
      </w:r>
      <w:r w:rsidRPr="003C742E">
        <w:t xml:space="preserve"> participant in the placebo</w:t>
      </w:r>
      <w:r w:rsidR="001C7557">
        <w:t>/</w:t>
      </w:r>
      <w:r w:rsidRPr="003C742E">
        <w:t>mRNA</w:t>
      </w:r>
      <w:r w:rsidR="00812709" w:rsidRPr="003C742E">
        <w:t>-</w:t>
      </w:r>
      <w:r w:rsidRPr="003C742E">
        <w:t>1273 group was considered related to the study vaccine by the investigator.</w:t>
      </w:r>
    </w:p>
    <w:p w14:paraId="583FD5EE" w14:textId="1058C5DE" w:rsidR="005E435C" w:rsidRPr="00D91801" w:rsidRDefault="00D03EE9" w:rsidP="00D91801">
      <w:pPr>
        <w:pStyle w:val="Heading6"/>
      </w:pPr>
      <w:r w:rsidRPr="00D91801">
        <w:t xml:space="preserve">Study P301 </w:t>
      </w:r>
      <w:r w:rsidR="005E435C" w:rsidRPr="00D91801">
        <w:t>Part C</w:t>
      </w:r>
      <w:r w:rsidR="00D91801">
        <w:t xml:space="preserve"> (</w:t>
      </w:r>
      <w:r w:rsidR="00B941A1" w:rsidRPr="00D91801">
        <w:t>booster dose phase</w:t>
      </w:r>
      <w:r w:rsidR="00D91801">
        <w:t>)</w:t>
      </w:r>
    </w:p>
    <w:p w14:paraId="23FEDE42" w14:textId="470643DB" w:rsidR="005E435C" w:rsidRPr="003C742E" w:rsidRDefault="005E435C" w:rsidP="005E435C">
      <w:r w:rsidRPr="003C742E">
        <w:t xml:space="preserve">The Part C </w:t>
      </w:r>
      <w:r w:rsidR="00B941A1" w:rsidRPr="003C742E">
        <w:t>booster dose phase</w:t>
      </w:r>
      <w:r w:rsidRPr="003C742E">
        <w:t xml:space="preserve"> provided for administration of a booster dose of mRNA-1273 </w:t>
      </w:r>
      <w:r w:rsidR="001C7557">
        <w:t xml:space="preserve">vaccine </w:t>
      </w:r>
      <w:r w:rsidRPr="003C742E">
        <w:t xml:space="preserve">for participants who were enrolled in </w:t>
      </w:r>
      <w:r w:rsidR="00B941A1" w:rsidRPr="003C742E">
        <w:t xml:space="preserve">Study </w:t>
      </w:r>
      <w:r w:rsidRPr="003C742E">
        <w:t>P301 Part B, had received at least one dose of mRNA</w:t>
      </w:r>
      <w:r w:rsidR="00B941A1" w:rsidRPr="003C742E">
        <w:noBreakHyphen/>
      </w:r>
      <w:r w:rsidRPr="003C742E">
        <w:t>1273</w:t>
      </w:r>
      <w:r w:rsidR="001C7557" w:rsidRPr="001C7557">
        <w:t xml:space="preserve"> </w:t>
      </w:r>
      <w:r w:rsidR="001C7557">
        <w:t>vaccine</w:t>
      </w:r>
      <w:r w:rsidRPr="003C742E">
        <w:t xml:space="preserve"> in </w:t>
      </w:r>
      <w:r w:rsidR="00B941A1" w:rsidRPr="003C742E">
        <w:t xml:space="preserve">Study </w:t>
      </w:r>
      <w:r w:rsidRPr="003C742E">
        <w:t>P301, and chose to receive a booster dose.</w:t>
      </w:r>
    </w:p>
    <w:p w14:paraId="03A158CE" w14:textId="4A6D9684" w:rsidR="005E435C" w:rsidRPr="003C742E" w:rsidRDefault="005E435C" w:rsidP="005E435C">
      <w:r w:rsidRPr="003C742E">
        <w:t>Th</w:t>
      </w:r>
      <w:r w:rsidR="001C7557">
        <w:t>e</w:t>
      </w:r>
      <w:r w:rsidRPr="003C742E">
        <w:t xml:space="preserve"> </w:t>
      </w:r>
      <w:r w:rsidR="001372E8" w:rsidRPr="003C742E">
        <w:t>clinical study report</w:t>
      </w:r>
      <w:r w:rsidRPr="003C742E">
        <w:t xml:space="preserve"> </w:t>
      </w:r>
      <w:r w:rsidR="001C7557">
        <w:t>(</w:t>
      </w:r>
      <w:r w:rsidRPr="003C742E">
        <w:t>Addendum 2</w:t>
      </w:r>
      <w:r w:rsidR="001C7557">
        <w:t>)</w:t>
      </w:r>
      <w:r w:rsidRPr="003C742E">
        <w:t xml:space="preserve"> presents long-term safety follow-up and effectiveness (COVID</w:t>
      </w:r>
      <w:r w:rsidR="00B941A1" w:rsidRPr="003C742E">
        <w:noBreakHyphen/>
      </w:r>
      <w:r w:rsidRPr="003C742E">
        <w:t>19 incidence rates) data for the 2-dose primary series starting after the first dose of mRNA</w:t>
      </w:r>
      <w:r w:rsidR="00B941A1" w:rsidRPr="003C742E">
        <w:noBreakHyphen/>
      </w:r>
      <w:r w:rsidRPr="003C742E">
        <w:t xml:space="preserve">1273 (inclusive of Part A and Part B, prior to booster), and an interim analysis of the safety, effectiveness (COVID-19 incidence rates), and immunogenicity of a 50 μg booster dose administered in Part C based on the </w:t>
      </w:r>
      <w:r w:rsidR="00B2387D">
        <w:t>d</w:t>
      </w:r>
      <w:r w:rsidR="00B2387D" w:rsidRPr="00B2387D">
        <w:t xml:space="preserve">atabase lock </w:t>
      </w:r>
      <w:r w:rsidRPr="003C742E">
        <w:t xml:space="preserve">on 16 May 2022 from </w:t>
      </w:r>
      <w:r w:rsidR="00B941A1" w:rsidRPr="003C742E">
        <w:t>booster dose Day</w:t>
      </w:r>
      <w:r w:rsidRPr="003C742E">
        <w:t xml:space="preserve"> 1 up to the data cut-off date (5 Apr</w:t>
      </w:r>
      <w:r w:rsidR="00B941A1" w:rsidRPr="003C742E">
        <w:t>il</w:t>
      </w:r>
      <w:r w:rsidRPr="003C742E">
        <w:t xml:space="preserve"> 2022).</w:t>
      </w:r>
    </w:p>
    <w:p w14:paraId="11BD6B0C" w14:textId="277E9DCE" w:rsidR="005E435C" w:rsidRPr="001C7557" w:rsidRDefault="005E435C">
      <w:pPr>
        <w:pStyle w:val="Heading7"/>
      </w:pPr>
      <w:r w:rsidRPr="001C7557">
        <w:lastRenderedPageBreak/>
        <w:t>Efficacy</w:t>
      </w:r>
      <w:r w:rsidR="00497DBD" w:rsidRPr="001C7557">
        <w:t xml:space="preserve"> </w:t>
      </w:r>
      <w:r w:rsidR="00B941A1" w:rsidRPr="001C7557">
        <w:t>endpoints</w:t>
      </w:r>
    </w:p>
    <w:p w14:paraId="2AC068E1" w14:textId="69343525" w:rsidR="005E435C" w:rsidRPr="003C742E" w:rsidRDefault="001C7557" w:rsidP="005E435C">
      <w:r>
        <w:t>The</w:t>
      </w:r>
      <w:r w:rsidRPr="003C742E">
        <w:t xml:space="preserve"> </w:t>
      </w:r>
      <w:r w:rsidR="001372E8" w:rsidRPr="003C742E">
        <w:t>clinical study report</w:t>
      </w:r>
      <w:r w:rsidR="005E435C" w:rsidRPr="003C742E">
        <w:t xml:space="preserve"> </w:t>
      </w:r>
      <w:r>
        <w:t>(</w:t>
      </w:r>
      <w:r w:rsidR="005E435C" w:rsidRPr="003C742E">
        <w:t>Addendum 2</w:t>
      </w:r>
      <w:r>
        <w:t>)</w:t>
      </w:r>
      <w:r w:rsidR="005E435C" w:rsidRPr="003C742E">
        <w:t xml:space="preserve"> includes the following descriptive efficacy endpoints:</w:t>
      </w:r>
    </w:p>
    <w:p w14:paraId="32843816" w14:textId="77777777" w:rsidR="005E435C" w:rsidRPr="003C742E" w:rsidRDefault="005E435C" w:rsidP="005E435C">
      <w:pPr>
        <w:pStyle w:val="ListBullet"/>
      </w:pPr>
      <w:r w:rsidRPr="003C742E">
        <w:t>COVID-19 cases</w:t>
      </w:r>
    </w:p>
    <w:p w14:paraId="15686E40" w14:textId="77777777" w:rsidR="005E435C" w:rsidRPr="003C742E" w:rsidRDefault="005E435C" w:rsidP="005E435C">
      <w:pPr>
        <w:pStyle w:val="ListBullet"/>
      </w:pPr>
      <w:r w:rsidRPr="003C742E">
        <w:t>Severe COVID-19 cases</w:t>
      </w:r>
    </w:p>
    <w:p w14:paraId="625A40F3" w14:textId="77777777" w:rsidR="005E435C" w:rsidRPr="003C742E" w:rsidRDefault="005E435C" w:rsidP="005E435C">
      <w:pPr>
        <w:pStyle w:val="ListBullet"/>
      </w:pPr>
      <w:r w:rsidRPr="003C742E">
        <w:t>COVID-19 cases using secondary definition of COVID-19</w:t>
      </w:r>
    </w:p>
    <w:p w14:paraId="3B7A90DB" w14:textId="77777777" w:rsidR="005E435C" w:rsidRPr="003C742E" w:rsidRDefault="005E435C" w:rsidP="005E435C">
      <w:pPr>
        <w:pStyle w:val="ListBullet"/>
      </w:pPr>
      <w:r w:rsidRPr="003C742E">
        <w:t>Asymptomatic SARS-CoV-2 infection</w:t>
      </w:r>
    </w:p>
    <w:p w14:paraId="6813EE95" w14:textId="77777777" w:rsidR="005E435C" w:rsidRPr="003C742E" w:rsidRDefault="005E435C" w:rsidP="005E435C">
      <w:pPr>
        <w:pStyle w:val="ListBullet"/>
      </w:pPr>
      <w:r w:rsidRPr="003C742E">
        <w:t>SARS-CoV-2 infection regardless of symptomatology and severity</w:t>
      </w:r>
    </w:p>
    <w:p w14:paraId="5FB4BFD7" w14:textId="77777777" w:rsidR="005E435C" w:rsidRPr="003C742E" w:rsidRDefault="005E435C" w:rsidP="005E435C">
      <w:pPr>
        <w:pStyle w:val="ListBullet"/>
      </w:pPr>
      <w:r w:rsidRPr="003C742E">
        <w:t>Death caused by COVID-19</w:t>
      </w:r>
    </w:p>
    <w:p w14:paraId="343082A8" w14:textId="38AB836E" w:rsidR="005E435C" w:rsidRPr="001C7557" w:rsidRDefault="005E435C">
      <w:pPr>
        <w:pStyle w:val="Heading7"/>
      </w:pPr>
      <w:r w:rsidRPr="001C7557">
        <w:t>Safety</w:t>
      </w:r>
      <w:r w:rsidR="00497DBD" w:rsidRPr="001C7557">
        <w:t xml:space="preserve"> endpoints</w:t>
      </w:r>
    </w:p>
    <w:p w14:paraId="441141EB" w14:textId="77777777" w:rsidR="005E435C" w:rsidRPr="003C742E" w:rsidRDefault="005E435C" w:rsidP="005E435C">
      <w:r w:rsidRPr="003C742E">
        <w:t>Safety assessments in Part B and Part C included monitoring and recording of the following for each participant:</w:t>
      </w:r>
    </w:p>
    <w:p w14:paraId="651ABADF" w14:textId="14C51161" w:rsidR="005E435C" w:rsidRPr="003C742E" w:rsidRDefault="005E435C" w:rsidP="005E435C">
      <w:pPr>
        <w:pStyle w:val="ListBullet"/>
      </w:pPr>
      <w:r w:rsidRPr="003C742E">
        <w:t>Unsolicited AEs observed or reported during the 28 days after the booster dose in Part</w:t>
      </w:r>
      <w:r w:rsidR="00B941A1" w:rsidRPr="003C742E">
        <w:t> </w:t>
      </w:r>
      <w:r w:rsidRPr="003C742E">
        <w:t>C (</w:t>
      </w:r>
      <w:r w:rsidR="00B941A1" w:rsidRPr="003C742E">
        <w:t>booster dose Day</w:t>
      </w:r>
      <w:r w:rsidRPr="003C742E">
        <w:t xml:space="preserve"> 1 through </w:t>
      </w:r>
      <w:r w:rsidR="00B941A1" w:rsidRPr="003C742E">
        <w:t>booster dose Day</w:t>
      </w:r>
      <w:r w:rsidRPr="003C742E">
        <w:t xml:space="preserve"> 29).</w:t>
      </w:r>
    </w:p>
    <w:p w14:paraId="4D7FE96F" w14:textId="451AC59D" w:rsidR="005E435C" w:rsidRPr="003C742E" w:rsidRDefault="005E435C" w:rsidP="005E435C">
      <w:pPr>
        <w:pStyle w:val="ListBullet"/>
      </w:pPr>
      <w:r w:rsidRPr="003C742E">
        <w:t xml:space="preserve">MAAEs, SAEs, </w:t>
      </w:r>
      <w:r w:rsidR="003C742E" w:rsidRPr="003C742E">
        <w:t>adverse events of special interest (</w:t>
      </w:r>
      <w:r w:rsidRPr="003C742E">
        <w:t>AESIs</w:t>
      </w:r>
      <w:r w:rsidR="003C742E" w:rsidRPr="003C742E">
        <w:t>)</w:t>
      </w:r>
      <w:r w:rsidRPr="003C742E">
        <w:t xml:space="preserve"> (Part C only), and AEs leading to discontinuation from study vaccine (Part B only) and/or study participation.</w:t>
      </w:r>
    </w:p>
    <w:p w14:paraId="3F2B1ACB" w14:textId="4970AF26" w:rsidR="005E435C" w:rsidRPr="00D91801" w:rsidRDefault="005E435C">
      <w:pPr>
        <w:pStyle w:val="Heading7"/>
      </w:pPr>
      <w:r w:rsidRPr="00D91801">
        <w:t>Immunogenicity</w:t>
      </w:r>
      <w:r w:rsidR="00497DBD" w:rsidRPr="00D91801">
        <w:t xml:space="preserve"> endpoints</w:t>
      </w:r>
    </w:p>
    <w:p w14:paraId="73AFC4EB" w14:textId="77777777" w:rsidR="005E435C" w:rsidRPr="003C742E" w:rsidRDefault="005E435C" w:rsidP="005E435C">
      <w:r w:rsidRPr="003C742E">
        <w:t>Immunogenicity assessments in Part C included the following:</w:t>
      </w:r>
    </w:p>
    <w:p w14:paraId="39227025" w14:textId="46556EDA" w:rsidR="005E435C" w:rsidRPr="003C742E" w:rsidRDefault="005E435C" w:rsidP="005E435C">
      <w:pPr>
        <w:pStyle w:val="ListBullet"/>
      </w:pPr>
      <w:r w:rsidRPr="003C742E">
        <w:t xml:space="preserve">Serum </w:t>
      </w:r>
      <w:r w:rsidR="007E3135" w:rsidRPr="003C742E">
        <w:t>neutralising antibody</w:t>
      </w:r>
      <w:r w:rsidRPr="003C742E">
        <w:t xml:space="preserve"> titre against SARS-CoV-2 (D614G)</w:t>
      </w:r>
      <w:r w:rsidR="003824AF">
        <w:t>;</w:t>
      </w:r>
      <w:r w:rsidR="003824AF">
        <w:rPr>
          <w:rStyle w:val="FootnoteReference"/>
        </w:rPr>
        <w:footnoteReference w:id="20"/>
      </w:r>
      <w:r w:rsidRPr="003C742E">
        <w:t xml:space="preserve"> as measured by PsVNA (VAC62).</w:t>
      </w:r>
    </w:p>
    <w:p w14:paraId="7935102F" w14:textId="570FE0B0" w:rsidR="005E435C" w:rsidRPr="003C742E" w:rsidRDefault="005E435C" w:rsidP="005E435C">
      <w:pPr>
        <w:pStyle w:val="ListBullet"/>
      </w:pPr>
      <w:r w:rsidRPr="003C742E">
        <w:t xml:space="preserve">Serum </w:t>
      </w:r>
      <w:r w:rsidR="007E3135" w:rsidRPr="003C742E">
        <w:t>binding antibody</w:t>
      </w:r>
      <w:r w:rsidRPr="003C742E">
        <w:t xml:space="preserve"> levels against SARS-CoV-2 2 (D614G) as measured by ligand</w:t>
      </w:r>
      <w:r w:rsidR="00B941A1" w:rsidRPr="003C742E">
        <w:t xml:space="preserve"> </w:t>
      </w:r>
      <w:r w:rsidRPr="003C742E">
        <w:t xml:space="preserve">binding assay specific to the SARS-CoV-2 </w:t>
      </w:r>
      <w:r w:rsidR="00B2387D" w:rsidRPr="00B2387D">
        <w:t>spike</w:t>
      </w:r>
      <w:r w:rsidR="00B2387D" w:rsidRPr="003C742E">
        <w:t xml:space="preserve"> </w:t>
      </w:r>
      <w:r w:rsidRPr="003C742E">
        <w:t xml:space="preserve">protein and </w:t>
      </w:r>
      <w:r w:rsidR="00BC2AF2" w:rsidRPr="003C742E">
        <w:t>receptor binding domain</w:t>
      </w:r>
      <w:r w:rsidRPr="003C742E">
        <w:t xml:space="preserve"> of </w:t>
      </w:r>
      <w:r w:rsidR="00B2387D" w:rsidRPr="00B2387D">
        <w:t xml:space="preserve">spike </w:t>
      </w:r>
      <w:r w:rsidRPr="003C742E">
        <w:t>protein, and</w:t>
      </w:r>
      <w:r w:rsidR="00B2387D" w:rsidRPr="00B2387D">
        <w:t xml:space="preserve"> nucleocapsid</w:t>
      </w:r>
      <w:r w:rsidR="00B2387D">
        <w:t xml:space="preserve"> </w:t>
      </w:r>
      <w:r w:rsidRPr="003C742E">
        <w:t xml:space="preserve">protein (which is not contained in </w:t>
      </w:r>
      <w:r w:rsidR="003824AF">
        <w:t xml:space="preserve">the </w:t>
      </w:r>
      <w:r w:rsidRPr="003C742E">
        <w:t>mRNA-1273</w:t>
      </w:r>
      <w:r w:rsidR="003824AF">
        <w:t xml:space="preserve"> vaccine</w:t>
      </w:r>
      <w:r w:rsidRPr="003C742E">
        <w:t xml:space="preserve">) via </w:t>
      </w:r>
      <w:r w:rsidR="003C742E" w:rsidRPr="003C742E">
        <w:t>Meso Scale Discovery</w:t>
      </w:r>
      <w:r w:rsidRPr="003C742E">
        <w:t xml:space="preserve"> assay (VAC72).</w:t>
      </w:r>
    </w:p>
    <w:p w14:paraId="2F3C49FE" w14:textId="7F6019D0" w:rsidR="005E435C" w:rsidRPr="00D91801" w:rsidRDefault="005E435C">
      <w:pPr>
        <w:pStyle w:val="Heading7"/>
      </w:pPr>
      <w:r w:rsidRPr="00D91801">
        <w:t>Eff</w:t>
      </w:r>
      <w:r w:rsidR="00497DBD" w:rsidRPr="00D91801">
        <w:t>ica</w:t>
      </w:r>
      <w:r w:rsidRPr="00D91801">
        <w:t>c</w:t>
      </w:r>
      <w:r w:rsidR="00497DBD" w:rsidRPr="00D91801">
        <w:t>y</w:t>
      </w:r>
    </w:p>
    <w:p w14:paraId="36EF57F6" w14:textId="77AD6D18" w:rsidR="005E435C" w:rsidRPr="00D91801" w:rsidRDefault="005E435C" w:rsidP="00D91801">
      <w:pPr>
        <w:pStyle w:val="Heading8"/>
      </w:pPr>
      <w:r w:rsidRPr="00D91801">
        <w:t>Part A and Part B: Long-</w:t>
      </w:r>
      <w:r w:rsidR="00D91801" w:rsidRPr="00D91801">
        <w:t xml:space="preserve">term follow-up analyses </w:t>
      </w:r>
      <w:r w:rsidRPr="00D91801">
        <w:t xml:space="preserve">of COVID-19 </w:t>
      </w:r>
      <w:r w:rsidR="00D91801" w:rsidRPr="00D91801">
        <w:t>incidence rates prior to booster</w:t>
      </w:r>
    </w:p>
    <w:p w14:paraId="170E452C" w14:textId="119E71D6" w:rsidR="005E435C" w:rsidRPr="003C742E" w:rsidRDefault="005E435C" w:rsidP="005E435C">
      <w:r w:rsidRPr="003C742E">
        <w:t xml:space="preserve">Long-term follow-up of COVID-19 incidence rates following the mRNA-1273 primary series was analysed starting from the day of Dose 1 of mRNA-1273 </w:t>
      </w:r>
      <w:r w:rsidR="003824AF">
        <w:t xml:space="preserve">vaccine </w:t>
      </w:r>
      <w:r w:rsidRPr="003C742E">
        <w:t>in Part A (mRNA-1273 group) or Part</w:t>
      </w:r>
      <w:r w:rsidR="00B941A1" w:rsidRPr="003C742E">
        <w:t> </w:t>
      </w:r>
      <w:r w:rsidRPr="003C742E">
        <w:t>B (placebo</w:t>
      </w:r>
      <w:r w:rsidR="003824AF">
        <w:t>/</w:t>
      </w:r>
      <w:r w:rsidRPr="003C742E">
        <w:t xml:space="preserve">mRNA-1273 group) and ending on the day of booster administration (if applicable). Direct comparison of incidence rates across these 2 groups (mRNA-1273 versus </w:t>
      </w:r>
      <w:r w:rsidR="00B941A1" w:rsidRPr="003C742E">
        <w:t>placebo</w:t>
      </w:r>
      <w:r w:rsidR="003824AF">
        <w:t>/</w:t>
      </w:r>
      <w:r w:rsidRPr="003C742E">
        <w:t>mRNA</w:t>
      </w:r>
      <w:r w:rsidR="00B941A1" w:rsidRPr="003C742E">
        <w:noBreakHyphen/>
      </w:r>
      <w:r w:rsidRPr="003C742E">
        <w:t>1273 group) is confounded, as they have become increasingly de-randomi</w:t>
      </w:r>
      <w:r w:rsidR="00A15C0C" w:rsidRPr="003C742E">
        <w:t>s</w:t>
      </w:r>
      <w:r w:rsidRPr="003C742E">
        <w:t>ed throughout the course of the study. A median of approximately 13.6 months of follow-up was reported from Dose</w:t>
      </w:r>
      <w:r w:rsidR="00B941A1" w:rsidRPr="003C742E">
        <w:t> </w:t>
      </w:r>
      <w:r w:rsidRPr="003C742E">
        <w:t xml:space="preserve">1 of the mRNA-1273 </w:t>
      </w:r>
      <w:r w:rsidR="003824AF">
        <w:t xml:space="preserve">vaccine </w:t>
      </w:r>
      <w:r w:rsidRPr="003C742E">
        <w:t xml:space="preserve">primary series to </w:t>
      </w:r>
      <w:r w:rsidR="007E3135" w:rsidRPr="003C742E">
        <w:t>one</w:t>
      </w:r>
      <w:r w:rsidRPr="003C742E">
        <w:t xml:space="preserve"> day before the date of booster if received (</w:t>
      </w:r>
      <w:r w:rsidR="00B941A1" w:rsidRPr="003C742E">
        <w:t>booster dose Day</w:t>
      </w:r>
      <w:r w:rsidRPr="003C742E">
        <w:t xml:space="preserve"> 1), the last date of study participation, or data cut-off date (whichever was the earliest).</w:t>
      </w:r>
    </w:p>
    <w:p w14:paraId="1980636E" w14:textId="77777777" w:rsidR="005E435C" w:rsidRPr="003C742E" w:rsidRDefault="005E435C" w:rsidP="005E435C">
      <w:r w:rsidRPr="003C742E">
        <w:t>The main conclusions regarding COVID-19 incidence rates in Part A and Part B are as follows:</w:t>
      </w:r>
    </w:p>
    <w:p w14:paraId="6D734082" w14:textId="11D35655" w:rsidR="005E435C" w:rsidRPr="003C742E" w:rsidRDefault="005E435C" w:rsidP="005E435C">
      <w:pPr>
        <w:pStyle w:val="ListBullet"/>
      </w:pPr>
      <w:r w:rsidRPr="003C742E">
        <w:t>Although there are limitations to comparisons across the treatment groups (which became increasingly de-randomi</w:t>
      </w:r>
      <w:r w:rsidR="00A15C0C" w:rsidRPr="003C742E">
        <w:t>s</w:t>
      </w:r>
      <w:r w:rsidRPr="003C742E">
        <w:t xml:space="preserve">ed throughout the study), COVID-19 incidence rates during both the Delta and the Omicron waves were similar between the mRNA-1273 (earlier vaccinated) and the </w:t>
      </w:r>
      <w:r w:rsidR="00B941A1" w:rsidRPr="003C742E">
        <w:t>placebo</w:t>
      </w:r>
      <w:r w:rsidR="0023406D">
        <w:t>/</w:t>
      </w:r>
      <w:r w:rsidRPr="003C742E">
        <w:t xml:space="preserve">mRNA-1273 (later vaccinated) groups, suggesting durability of protection after the primary series in the mRNA-1273 </w:t>
      </w:r>
      <w:r w:rsidR="003824AF">
        <w:t xml:space="preserve">vaccine </w:t>
      </w:r>
      <w:r w:rsidRPr="003C742E">
        <w:t xml:space="preserve">group despite the longer interval. </w:t>
      </w:r>
      <w:r w:rsidRPr="003C742E">
        <w:lastRenderedPageBreak/>
        <w:t>However, the higher incidence in both groups during the Omicron variant wave demonstrates the need to boost immune responses to enhance protection.</w:t>
      </w:r>
    </w:p>
    <w:p w14:paraId="797EBB5A" w14:textId="1443B59C" w:rsidR="005E435C" w:rsidRPr="003C742E" w:rsidRDefault="005E435C" w:rsidP="005E435C">
      <w:pPr>
        <w:pStyle w:val="ListBullet"/>
      </w:pPr>
      <w:r w:rsidRPr="003C742E">
        <w:t xml:space="preserve">The COVID-19 incidence rate of adjudicated cases starting 14 days after Dose 2 of the primary series was 3.974 cases per 1000 </w:t>
      </w:r>
      <w:r w:rsidR="00B941A1" w:rsidRPr="003C742E">
        <w:t xml:space="preserve">person </w:t>
      </w:r>
      <w:r w:rsidRPr="003C742E">
        <w:t>months (95% CI: 3.730, 4.228) in participants who received 2 doses of the mRNA-1273 primary series in either Part A or Part</w:t>
      </w:r>
      <w:r w:rsidR="00A6489E" w:rsidRPr="003C742E">
        <w:t> </w:t>
      </w:r>
      <w:r w:rsidRPr="003C742E">
        <w:t>B.</w:t>
      </w:r>
    </w:p>
    <w:p w14:paraId="0DE65CEA" w14:textId="049AEBDB" w:rsidR="005E435C" w:rsidRPr="003C742E" w:rsidRDefault="005E435C" w:rsidP="005E435C">
      <w:pPr>
        <w:pStyle w:val="ListBullet2"/>
      </w:pPr>
      <w:r w:rsidRPr="003C742E">
        <w:t>The COVID-19 incidence rate of adjudicated cases was highest during the timeframe from 1 Dec</w:t>
      </w:r>
      <w:r w:rsidR="00A6489E" w:rsidRPr="003C742E">
        <w:t>ember</w:t>
      </w:r>
      <w:r w:rsidRPr="003C742E">
        <w:t xml:space="preserve"> 2021 to the data cut-off, coinciding with the Omicron wave (42.439</w:t>
      </w:r>
      <w:r w:rsidR="00A6489E" w:rsidRPr="003C742E">
        <w:t> </w:t>
      </w:r>
      <w:r w:rsidRPr="003C742E">
        <w:t xml:space="preserve">cases per 1000 </w:t>
      </w:r>
      <w:r w:rsidR="00B941A1" w:rsidRPr="003C742E">
        <w:t xml:space="preserve">person </w:t>
      </w:r>
      <w:r w:rsidRPr="003C742E">
        <w:t xml:space="preserve">months </w:t>
      </w:r>
      <w:r w:rsidR="00A15C0C" w:rsidRPr="003C742E">
        <w:t>(</w:t>
      </w:r>
      <w:r w:rsidRPr="003C742E">
        <w:t>95% CI: 37.120, 48.306</w:t>
      </w:r>
      <w:r w:rsidR="00A15C0C" w:rsidRPr="003C742E">
        <w:t>)</w:t>
      </w:r>
      <w:r w:rsidRPr="003C742E">
        <w:t>).</w:t>
      </w:r>
    </w:p>
    <w:p w14:paraId="5987422A" w14:textId="4656DD4A" w:rsidR="005E435C" w:rsidRPr="003C742E" w:rsidRDefault="005E435C" w:rsidP="005E435C">
      <w:pPr>
        <w:pStyle w:val="ListBullet"/>
      </w:pPr>
      <w:r w:rsidRPr="003C742E">
        <w:t>Severe COVID-19 incidence rates of adjudicated cases starting 14 days after Dose</w:t>
      </w:r>
      <w:r w:rsidR="00A6489E" w:rsidRPr="003C742E">
        <w:t> </w:t>
      </w:r>
      <w:r w:rsidRPr="003C742E">
        <w:t xml:space="preserve">2 of the primary series were low: 0.390 cases per 1000 </w:t>
      </w:r>
      <w:r w:rsidR="00B941A1" w:rsidRPr="003C742E">
        <w:t xml:space="preserve">person </w:t>
      </w:r>
      <w:r w:rsidRPr="003C742E">
        <w:t>months (95% CI: 0.317, 0.475).</w:t>
      </w:r>
    </w:p>
    <w:p w14:paraId="35023833" w14:textId="0D744A96" w:rsidR="005E435C" w:rsidRPr="003C742E" w:rsidRDefault="005E435C" w:rsidP="005E435C">
      <w:pPr>
        <w:pStyle w:val="ListBullet"/>
      </w:pPr>
      <w:r w:rsidRPr="003C742E">
        <w:t xml:space="preserve">Severe COVID-19 incidence rates of adjudicated cases starting 14 days after Dose 2 of the primary series were low: 0.390 cases per 1000 </w:t>
      </w:r>
      <w:r w:rsidR="00B941A1" w:rsidRPr="003C742E">
        <w:t xml:space="preserve">person </w:t>
      </w:r>
      <w:r w:rsidRPr="003C742E">
        <w:t>months (95% CI: 0.317, 0.475).</w:t>
      </w:r>
    </w:p>
    <w:p w14:paraId="3132C86E" w14:textId="443DE28A" w:rsidR="005E435C" w:rsidRPr="003C742E" w:rsidRDefault="005E435C" w:rsidP="005E435C">
      <w:pPr>
        <w:pStyle w:val="ListBullet"/>
      </w:pPr>
      <w:r w:rsidRPr="003C742E">
        <w:t>A total of 4 COVID-19</w:t>
      </w:r>
      <w:r w:rsidR="001705C1" w:rsidRPr="003C742E">
        <w:t xml:space="preserve"> </w:t>
      </w:r>
      <w:r w:rsidRPr="003C742E">
        <w:t>related deaths occurred during Part A and Part B of the study.</w:t>
      </w:r>
    </w:p>
    <w:p w14:paraId="043FFDE1" w14:textId="22B26F1F" w:rsidR="005E435C" w:rsidRPr="00D91801" w:rsidRDefault="005E435C" w:rsidP="00D91801">
      <w:pPr>
        <w:pStyle w:val="Heading8"/>
      </w:pPr>
      <w:r w:rsidRPr="00D91801">
        <w:t xml:space="preserve">Part C: </w:t>
      </w:r>
      <w:r w:rsidR="00A6489E" w:rsidRPr="00D91801">
        <w:t xml:space="preserve">booster dose phase </w:t>
      </w:r>
      <w:r w:rsidRPr="00D91801">
        <w:t xml:space="preserve">COVID-19 </w:t>
      </w:r>
      <w:r w:rsidR="00A6489E" w:rsidRPr="00D91801">
        <w:t>incidence rates</w:t>
      </w:r>
    </w:p>
    <w:p w14:paraId="25FB5304" w14:textId="0681EC26" w:rsidR="005E435C" w:rsidRPr="003C742E" w:rsidRDefault="005E435C" w:rsidP="005E435C">
      <w:r w:rsidRPr="003C742E">
        <w:t xml:space="preserve">Analyses of effectiveness (COVID-19 incidence rates) in Part C included participants who received the mRNA-1273 </w:t>
      </w:r>
      <w:r w:rsidR="003824AF">
        <w:t xml:space="preserve">vaccine </w:t>
      </w:r>
      <w:r w:rsidRPr="003C742E">
        <w:t>primary series (mRNA-1273</w:t>
      </w:r>
      <w:r w:rsidR="003824AF">
        <w:t>,</w:t>
      </w:r>
      <w:r w:rsidRPr="003C742E">
        <w:t xml:space="preserve"> and </w:t>
      </w:r>
      <w:r w:rsidR="00B941A1" w:rsidRPr="003C742E">
        <w:t>placebo</w:t>
      </w:r>
      <w:r w:rsidR="003824AF">
        <w:t>/</w:t>
      </w:r>
      <w:r w:rsidRPr="003C742E">
        <w:t xml:space="preserve">mRNA-1273 groups) and received the booster dose in Part C of the study. The follow-up period for Part C participants was a median of approximately 5.3 months from </w:t>
      </w:r>
      <w:r w:rsidR="00B941A1" w:rsidRPr="003C742E">
        <w:t>booster dose Day</w:t>
      </w:r>
      <w:r w:rsidRPr="003C742E">
        <w:t xml:space="preserve"> 1 up to the data cut-off, with at least 6</w:t>
      </w:r>
      <w:r w:rsidR="00A6489E" w:rsidRPr="003C742E">
        <w:t> </w:t>
      </w:r>
      <w:r w:rsidRPr="003C742E">
        <w:t>months of safety follow-up reported for at least 3000 participants.</w:t>
      </w:r>
    </w:p>
    <w:p w14:paraId="35AC95B9" w14:textId="77777777" w:rsidR="005E435C" w:rsidRPr="003C742E" w:rsidRDefault="005E435C" w:rsidP="005E435C">
      <w:r w:rsidRPr="003C742E">
        <w:t>Part C effectiveness (incidence rates) main conclusions are as follows:</w:t>
      </w:r>
    </w:p>
    <w:p w14:paraId="38F8A8CF" w14:textId="7D1B9041" w:rsidR="005E435C" w:rsidRPr="003C742E" w:rsidRDefault="005E435C" w:rsidP="005E435C">
      <w:pPr>
        <w:pStyle w:val="ListBullet"/>
      </w:pPr>
      <w:r w:rsidRPr="003C742E">
        <w:t xml:space="preserve">The COVID-19 incidence rate of adjudicated cases for participants who received 2 doses of the mRNA-1273 </w:t>
      </w:r>
      <w:r w:rsidR="003824AF">
        <w:t xml:space="preserve">vaccine </w:t>
      </w:r>
      <w:r w:rsidRPr="003C742E">
        <w:t>primary series in either Part A or Part B followed by a 50</w:t>
      </w:r>
      <w:r w:rsidR="00A6489E" w:rsidRPr="003C742E">
        <w:t> </w:t>
      </w:r>
      <w:r w:rsidRPr="003C742E">
        <w:t>μg mRNA</w:t>
      </w:r>
      <w:r w:rsidR="00A6489E" w:rsidRPr="003C742E">
        <w:noBreakHyphen/>
      </w:r>
      <w:r w:rsidRPr="003C742E">
        <w:t xml:space="preserve">1273 booster dose and who had a negative pre-booster SARS-CoV-2 status (Part C </w:t>
      </w:r>
      <w:r w:rsidR="001E2B87" w:rsidRPr="003C742E">
        <w:t>per-protocol</w:t>
      </w:r>
      <w:r w:rsidRPr="003C742E">
        <w:t xml:space="preserve"> </w:t>
      </w:r>
      <w:r w:rsidR="00A6489E" w:rsidRPr="003C742E">
        <w:t>s</w:t>
      </w:r>
      <w:r w:rsidRPr="003C742E">
        <w:t xml:space="preserve">et) was 20.411 cases per 1000 </w:t>
      </w:r>
      <w:r w:rsidR="00B941A1" w:rsidRPr="003C742E">
        <w:t xml:space="preserve">person </w:t>
      </w:r>
      <w:r w:rsidRPr="003C742E">
        <w:t>months (95% CI: 19.378, 21.484) starting 14 days after the booster dose.</w:t>
      </w:r>
    </w:p>
    <w:p w14:paraId="3670D56E" w14:textId="0C1861D7" w:rsidR="005E435C" w:rsidRPr="003C742E" w:rsidRDefault="005E435C" w:rsidP="005E435C">
      <w:pPr>
        <w:pStyle w:val="ListBullet2"/>
      </w:pPr>
      <w:r w:rsidRPr="003C742E">
        <w:t>The majority of COVID-19 cases were detected during the Omicron variant wave (1</w:t>
      </w:r>
      <w:r w:rsidR="00A6489E" w:rsidRPr="003C742E">
        <w:t> </w:t>
      </w:r>
      <w:r w:rsidRPr="003C742E">
        <w:t>Dec</w:t>
      </w:r>
      <w:r w:rsidR="00A6489E" w:rsidRPr="003C742E">
        <w:t>ember </w:t>
      </w:r>
      <w:r w:rsidRPr="003C742E">
        <w:t xml:space="preserve">2021 through data cut-off): COVID-19 incidence rate of 24.428 cases per 1000 </w:t>
      </w:r>
      <w:r w:rsidR="00B941A1" w:rsidRPr="003C742E">
        <w:t xml:space="preserve">person </w:t>
      </w:r>
      <w:r w:rsidRPr="003C742E">
        <w:t>months (95% CI: 23.187, 25.717).</w:t>
      </w:r>
    </w:p>
    <w:p w14:paraId="21B8BAB3" w14:textId="1E6E27C2" w:rsidR="005E435C" w:rsidRPr="003C742E" w:rsidRDefault="005E435C" w:rsidP="005E435C">
      <w:pPr>
        <w:pStyle w:val="ListBullet2"/>
      </w:pPr>
      <w:r w:rsidRPr="003C742E">
        <w:t xml:space="preserve">Starting 14 days after the booster dose, COVID-19 incidence rates for pre-booster SARS-CoV-2 negative and pre-booster SARS-CoV-2 positive participants were 20.437 per 1000 </w:t>
      </w:r>
      <w:r w:rsidR="00B941A1" w:rsidRPr="003C742E">
        <w:t xml:space="preserve">person </w:t>
      </w:r>
      <w:r w:rsidRPr="003C742E">
        <w:t xml:space="preserve">months (95% CI: 19.418, 21.496) and 13.707 per 1000 </w:t>
      </w:r>
      <w:r w:rsidR="00B941A1" w:rsidRPr="003C742E">
        <w:t xml:space="preserve">person </w:t>
      </w:r>
      <w:r w:rsidRPr="003C742E">
        <w:t xml:space="preserve">months (95% CI: 7.494, 22.998), respectively, for the Part C </w:t>
      </w:r>
      <w:r w:rsidR="00A6489E" w:rsidRPr="003C742E">
        <w:t>safety set.</w:t>
      </w:r>
    </w:p>
    <w:p w14:paraId="46DF216B" w14:textId="02F80F3A" w:rsidR="005E435C" w:rsidRPr="003C742E" w:rsidRDefault="005E435C" w:rsidP="005E435C">
      <w:pPr>
        <w:pStyle w:val="ListBullet"/>
      </w:pPr>
      <w:r w:rsidRPr="003C742E">
        <w:t>Severe COVID-19 incidence rates of adjudicated cases were low: 0.997 cases per 1000</w:t>
      </w:r>
      <w:r w:rsidR="00A6489E" w:rsidRPr="003C742E">
        <w:t> </w:t>
      </w:r>
      <w:r w:rsidR="00B941A1" w:rsidRPr="003C742E">
        <w:t xml:space="preserve">person </w:t>
      </w:r>
      <w:r w:rsidRPr="003C742E">
        <w:t>months; (95% CI: 0.784, 1.250).</w:t>
      </w:r>
    </w:p>
    <w:p w14:paraId="7911EF24" w14:textId="69593738" w:rsidR="005E435C" w:rsidRPr="003C742E" w:rsidRDefault="005E435C" w:rsidP="005E435C">
      <w:pPr>
        <w:pStyle w:val="ListBullet"/>
      </w:pPr>
      <w:r w:rsidRPr="003C742E">
        <w:t>There were 3 COVID-19</w:t>
      </w:r>
      <w:r w:rsidR="00A6489E" w:rsidRPr="003C742E">
        <w:t xml:space="preserve"> </w:t>
      </w:r>
      <w:r w:rsidRPr="003C742E">
        <w:t xml:space="preserve">related deaths after the booster in Part C, including one participant who was symptomatic and had a positive RT-PCR test on </w:t>
      </w:r>
      <w:r w:rsidR="00B941A1" w:rsidRPr="003C742E">
        <w:t>booster dose Day</w:t>
      </w:r>
      <w:r w:rsidRPr="003C742E">
        <w:t xml:space="preserve"> 1, the day of booster administration.</w:t>
      </w:r>
    </w:p>
    <w:p w14:paraId="40104026" w14:textId="46692A39" w:rsidR="005E435C" w:rsidRPr="003C742E" w:rsidRDefault="005E435C" w:rsidP="00D91801">
      <w:pPr>
        <w:pStyle w:val="Heading9"/>
      </w:pPr>
      <w:r w:rsidRPr="003C742E">
        <w:t xml:space="preserve">Effectiveness </w:t>
      </w:r>
      <w:r w:rsidR="00A6489E" w:rsidRPr="003C742E">
        <w:t xml:space="preserve">of the </w:t>
      </w:r>
      <w:r w:rsidR="00082A6F">
        <w:t xml:space="preserve">mRNA-1273 vaccine </w:t>
      </w:r>
      <w:r w:rsidR="00A6489E" w:rsidRPr="003C742E">
        <w:t>booster</w:t>
      </w:r>
    </w:p>
    <w:p w14:paraId="4A79C640" w14:textId="5D6C59E6" w:rsidR="005E435C" w:rsidRPr="003C742E" w:rsidRDefault="005E435C" w:rsidP="005E435C">
      <w:r w:rsidRPr="003C742E">
        <w:t>Booster participants showed significantly lower COVID-19 incidence rates when compared to non</w:t>
      </w:r>
      <w:r w:rsidR="00860D51" w:rsidRPr="003C742E">
        <w:noBreakHyphen/>
      </w:r>
      <w:r w:rsidRPr="003C742E">
        <w:t xml:space="preserve">booster participants throughout both the Delta variant wave (reduction in incidence rate booster versus non-booster of 0.773 </w:t>
      </w:r>
      <w:r w:rsidR="00A15C0C" w:rsidRPr="003C742E">
        <w:t>(</w:t>
      </w:r>
      <w:r w:rsidRPr="003C742E">
        <w:t>95% CI: 0.668, 0.850</w:t>
      </w:r>
      <w:r w:rsidR="00A15C0C" w:rsidRPr="003C742E">
        <w:t>)</w:t>
      </w:r>
      <w:r w:rsidRPr="003C742E">
        <w:t>) and the Omicron variant wave (0.453</w:t>
      </w:r>
      <w:r w:rsidR="00860D51" w:rsidRPr="003C742E">
        <w:t> </w:t>
      </w:r>
      <w:r w:rsidR="00A15C0C" w:rsidRPr="003C742E">
        <w:t>(</w:t>
      </w:r>
      <w:r w:rsidRPr="003C742E">
        <w:t>95% CI: 0.369, 0.524</w:t>
      </w:r>
      <w:r w:rsidR="00A15C0C" w:rsidRPr="003C742E">
        <w:t>)</w:t>
      </w:r>
      <w:r w:rsidRPr="003C742E">
        <w:t>)</w:t>
      </w:r>
      <w:r w:rsidR="00A6489E" w:rsidRPr="003C742E">
        <w:t>. N</w:t>
      </w:r>
      <w:r w:rsidRPr="003C742E">
        <w:t>ote that the interpretation of this analysis is limited, as the booster and non-booster groups are not randomi</w:t>
      </w:r>
      <w:r w:rsidR="00A15C0C" w:rsidRPr="003C742E">
        <w:t>s</w:t>
      </w:r>
      <w:r w:rsidRPr="003C742E">
        <w:t>ed.</w:t>
      </w:r>
    </w:p>
    <w:p w14:paraId="3CB753ED" w14:textId="77A40950" w:rsidR="005E435C" w:rsidRPr="003C742E" w:rsidRDefault="005E435C" w:rsidP="005E435C">
      <w:r w:rsidRPr="003C742E">
        <w:lastRenderedPageBreak/>
        <w:t xml:space="preserve">Data through </w:t>
      </w:r>
      <w:r w:rsidR="00B941A1" w:rsidRPr="003C742E">
        <w:t>booster dose Day</w:t>
      </w:r>
      <w:r w:rsidRPr="003C742E">
        <w:t xml:space="preserve"> 29 provide evidence of the robust immunogenicity of the mRNA</w:t>
      </w:r>
      <w:r w:rsidR="00A6489E" w:rsidRPr="003C742E">
        <w:noBreakHyphen/>
      </w:r>
      <w:r w:rsidRPr="003C742E">
        <w:t xml:space="preserve">1273 </w:t>
      </w:r>
      <w:r w:rsidR="00082A6F">
        <w:t xml:space="preserve">vaccine </w:t>
      </w:r>
      <w:r w:rsidRPr="003C742E">
        <w:t>50 μg booster dose administered to participants who had received the 100</w:t>
      </w:r>
      <w:r w:rsidR="00A6489E" w:rsidRPr="003C742E">
        <w:t> </w:t>
      </w:r>
      <w:r w:rsidRPr="003C742E">
        <w:t>μg mRNA-1273</w:t>
      </w:r>
      <w:r w:rsidR="00082A6F">
        <w:t xml:space="preserve"> vaccine</w:t>
      </w:r>
      <w:r w:rsidRPr="003C742E">
        <w:t xml:space="preserve"> primary series.</w:t>
      </w:r>
    </w:p>
    <w:p w14:paraId="601B7A4C" w14:textId="10575422" w:rsidR="005E435C" w:rsidRPr="003C742E" w:rsidRDefault="005E435C" w:rsidP="00D91801">
      <w:pPr>
        <w:pStyle w:val="Heading9"/>
      </w:pPr>
      <w:r w:rsidRPr="003C742E">
        <w:t xml:space="preserve">Antibody </w:t>
      </w:r>
      <w:r w:rsidR="00A6489E" w:rsidRPr="003C742E">
        <w:t>r</w:t>
      </w:r>
      <w:r w:rsidRPr="003C742E">
        <w:t>esponse</w:t>
      </w:r>
    </w:p>
    <w:p w14:paraId="192F8F3A" w14:textId="24D7EF1A" w:rsidR="005E435C" w:rsidRPr="003C742E" w:rsidRDefault="005E435C" w:rsidP="005E435C">
      <w:pPr>
        <w:pStyle w:val="ListBullet"/>
      </w:pPr>
      <w:r w:rsidRPr="003C742E">
        <w:t xml:space="preserve">The mRNA-1273 </w:t>
      </w:r>
      <w:r w:rsidR="00082A6F">
        <w:t xml:space="preserve">vaccine </w:t>
      </w:r>
      <w:r w:rsidRPr="003C742E">
        <w:t>booster dose induced a robust immunogenicity response one</w:t>
      </w:r>
      <w:r w:rsidR="00860D51" w:rsidRPr="003C742E">
        <w:noBreakHyphen/>
      </w:r>
      <w:r w:rsidRPr="003C742E">
        <w:t>month post</w:t>
      </w:r>
      <w:r w:rsidR="00860D51" w:rsidRPr="003C742E">
        <w:noBreakHyphen/>
      </w:r>
      <w:r w:rsidRPr="003C742E">
        <w:t>boost (</w:t>
      </w:r>
      <w:r w:rsidR="00B941A1" w:rsidRPr="003C742E">
        <w:t>booster dose Day</w:t>
      </w:r>
      <w:r w:rsidRPr="003C742E">
        <w:t xml:space="preserve"> 29) as demonstrated by the increase in the </w:t>
      </w:r>
      <w:r w:rsidR="007E3135" w:rsidRPr="003C742E">
        <w:t>neutralising antibody</w:t>
      </w:r>
      <w:r w:rsidRPr="003C742E">
        <w:t xml:space="preserve"> </w:t>
      </w:r>
      <w:r w:rsidR="00A64A37" w:rsidRPr="003C742E">
        <w:t>geometric mean concentrations (</w:t>
      </w:r>
      <w:r w:rsidRPr="003C742E">
        <w:t>GMCs</w:t>
      </w:r>
      <w:r w:rsidR="00A64A37" w:rsidRPr="003C742E">
        <w:t>)</w:t>
      </w:r>
      <w:r w:rsidRPr="003C742E">
        <w:t xml:space="preserve"> (GMFR</w:t>
      </w:r>
      <w:r w:rsidR="00860D51" w:rsidRPr="003C742E">
        <w:t> </w:t>
      </w:r>
      <w:r w:rsidRPr="003C742E">
        <w:t>=</w:t>
      </w:r>
      <w:r w:rsidR="00860D51" w:rsidRPr="003C742E">
        <w:rPr>
          <w:b/>
        </w:rPr>
        <w:t> </w:t>
      </w:r>
      <w:r w:rsidRPr="003C742E">
        <w:t xml:space="preserve">50.4) and the </w:t>
      </w:r>
      <w:r w:rsidR="00B2387D" w:rsidRPr="00B2387D">
        <w:t>spike protein</w:t>
      </w:r>
      <w:r w:rsidRPr="003C742E">
        <w:t xml:space="preserve"> </w:t>
      </w:r>
      <w:r w:rsidR="007E3135" w:rsidRPr="003C742E">
        <w:t>binding antibody</w:t>
      </w:r>
      <w:r w:rsidRPr="003C742E">
        <w:t xml:space="preserve"> GM levels (GMFR = 45.7) from pre-booster levels. Seroresponse (4-fold rise) from pre-booster baseline was achieved by </w:t>
      </w:r>
      <w:r w:rsidR="00860D51" w:rsidRPr="003C742E">
        <w:t>more than</w:t>
      </w:r>
      <w:r w:rsidRPr="003C742E">
        <w:t xml:space="preserve"> 90% of the participants for both </w:t>
      </w:r>
      <w:r w:rsidR="007E3135" w:rsidRPr="003C742E">
        <w:t>neutralising antibody</w:t>
      </w:r>
      <w:r w:rsidRPr="003C742E">
        <w:t xml:space="preserve"> (94.5%) and </w:t>
      </w:r>
      <w:r w:rsidR="007E3135" w:rsidRPr="003C742E">
        <w:t>binding antibody</w:t>
      </w:r>
      <w:r w:rsidRPr="003C742E">
        <w:t xml:space="preserve"> (93.9%).</w:t>
      </w:r>
    </w:p>
    <w:p w14:paraId="509660D6" w14:textId="52F3D53E" w:rsidR="005E435C" w:rsidRPr="003C742E" w:rsidRDefault="005E435C" w:rsidP="005E435C">
      <w:pPr>
        <w:pStyle w:val="ListBullet"/>
      </w:pPr>
      <w:r w:rsidRPr="003C742E">
        <w:t xml:space="preserve">The SARS-CoV-2 pre-booster positive subset had significantly higher pre-booster baseline </w:t>
      </w:r>
      <w:r w:rsidR="007E3135" w:rsidRPr="003C742E">
        <w:t>neutralising antibody</w:t>
      </w:r>
      <w:r w:rsidRPr="003C742E">
        <w:t xml:space="preserve"> GMCs and </w:t>
      </w:r>
      <w:r w:rsidR="00B2387D" w:rsidRPr="00B2387D">
        <w:t>spike</w:t>
      </w:r>
      <w:r w:rsidR="00B2387D" w:rsidRPr="003C742E">
        <w:t xml:space="preserve"> protein</w:t>
      </w:r>
      <w:r w:rsidRPr="003C742E">
        <w:t xml:space="preserve"> </w:t>
      </w:r>
      <w:r w:rsidR="007E3135" w:rsidRPr="003C742E">
        <w:t>binding antibody</w:t>
      </w:r>
      <w:r w:rsidRPr="003C742E">
        <w:t xml:space="preserve"> GM levels compared with the SARS-CoV-2 pre-booster negative subset. Nevertheless, in the SARS-CoV-2 pre-booster positive subset, the mRNA-1273 booster dose induced an increase of 3-fold in both </w:t>
      </w:r>
      <w:r w:rsidR="007E3135" w:rsidRPr="003C742E">
        <w:t>neutralising antibody</w:t>
      </w:r>
      <w:r w:rsidRPr="003C742E">
        <w:t xml:space="preserve"> GMC (GMFR = 3.4) and </w:t>
      </w:r>
      <w:r w:rsidR="00B2387D" w:rsidRPr="00B2387D">
        <w:t>spike</w:t>
      </w:r>
      <w:r w:rsidR="00B2387D" w:rsidRPr="003C742E">
        <w:t xml:space="preserve"> protein</w:t>
      </w:r>
      <w:r w:rsidRPr="003C742E">
        <w:t xml:space="preserve"> </w:t>
      </w:r>
      <w:r w:rsidR="007E3135" w:rsidRPr="003C742E">
        <w:t>binding antibody</w:t>
      </w:r>
      <w:r w:rsidRPr="003C742E">
        <w:t xml:space="preserve"> GM levels (GMFR = 3.3) by </w:t>
      </w:r>
      <w:r w:rsidR="00B941A1" w:rsidRPr="003C742E">
        <w:t>booster dose Day</w:t>
      </w:r>
      <w:r w:rsidRPr="003C742E">
        <w:t xml:space="preserve"> 29, with approximately a third of these participants achieving a 4-fold rise above pre-booster baseline (</w:t>
      </w:r>
      <w:r w:rsidR="005969ED" w:rsidRPr="003C742E">
        <w:t>seroresponse rate</w:t>
      </w:r>
      <w:r w:rsidRPr="003C742E">
        <w:t xml:space="preserve">: </w:t>
      </w:r>
      <w:r w:rsidR="007E3135" w:rsidRPr="003C742E">
        <w:t>neutralising antibody</w:t>
      </w:r>
      <w:r w:rsidRPr="003C742E">
        <w:t xml:space="preserve"> = 28.9 % and </w:t>
      </w:r>
      <w:r w:rsidR="00B2387D" w:rsidRPr="00B2387D">
        <w:t>spike</w:t>
      </w:r>
      <w:r w:rsidR="00B2387D" w:rsidRPr="003C742E">
        <w:t xml:space="preserve"> protein</w:t>
      </w:r>
      <w:r w:rsidRPr="003C742E">
        <w:t xml:space="preserve"> </w:t>
      </w:r>
      <w:r w:rsidR="007E3135" w:rsidRPr="003C742E">
        <w:t>binding antibody</w:t>
      </w:r>
      <w:r w:rsidRPr="003C742E">
        <w:t xml:space="preserve"> = 30.8%), demonstrating beneficial hybrid immunity.</w:t>
      </w:r>
    </w:p>
    <w:p w14:paraId="340DD77F" w14:textId="5C78DB95" w:rsidR="005E435C" w:rsidRPr="003C742E" w:rsidRDefault="005E435C" w:rsidP="005E435C">
      <w:pPr>
        <w:pStyle w:val="ListBullet"/>
      </w:pPr>
      <w:r w:rsidRPr="003C742E">
        <w:t xml:space="preserve">Pre-booster baseline SARS-CoV-2 </w:t>
      </w:r>
      <w:r w:rsidR="007E3135" w:rsidRPr="003C742E">
        <w:t>neutralising antibody</w:t>
      </w:r>
      <w:r w:rsidRPr="003C742E">
        <w:t xml:space="preserve"> GMCs and </w:t>
      </w:r>
      <w:r w:rsidR="00B2387D" w:rsidRPr="00B2387D">
        <w:t>spike</w:t>
      </w:r>
      <w:r w:rsidR="00B2387D" w:rsidRPr="003C742E">
        <w:t xml:space="preserve"> protein</w:t>
      </w:r>
      <w:r w:rsidRPr="003C742E">
        <w:t xml:space="preserve"> </w:t>
      </w:r>
      <w:r w:rsidR="007E3135" w:rsidRPr="003C742E">
        <w:t>binding antibody</w:t>
      </w:r>
      <w:r w:rsidRPr="003C742E">
        <w:t xml:space="preserve"> GM levels were significantly lower in the older age group (65 years</w:t>
      </w:r>
      <w:r w:rsidR="00860D51" w:rsidRPr="003C742E">
        <w:t xml:space="preserve"> ad older</w:t>
      </w:r>
      <w:r w:rsidRPr="003C742E">
        <w:t xml:space="preserve">) compared to the younger age group (18 to </w:t>
      </w:r>
      <w:r w:rsidR="00860D51" w:rsidRPr="003C742E">
        <w:t>less than</w:t>
      </w:r>
      <w:r w:rsidRPr="003C742E">
        <w:t xml:space="preserve"> 65 years). However, the mRNA-1273 </w:t>
      </w:r>
      <w:r w:rsidR="00082A6F">
        <w:t xml:space="preserve">vaccine </w:t>
      </w:r>
      <w:r w:rsidRPr="003C742E">
        <w:t xml:space="preserve">booster dose induced increases by </w:t>
      </w:r>
      <w:r w:rsidR="00B941A1" w:rsidRPr="003C742E">
        <w:t>booster dose Day</w:t>
      </w:r>
      <w:r w:rsidRPr="003C742E">
        <w:t xml:space="preserve"> 29 in both age groups to a similar level.</w:t>
      </w:r>
    </w:p>
    <w:p w14:paraId="1210F03E" w14:textId="4A1AE97B" w:rsidR="005E435C" w:rsidRPr="003C742E" w:rsidRDefault="005E435C" w:rsidP="005E435C">
      <w:pPr>
        <w:pStyle w:val="ListBullet"/>
      </w:pPr>
      <w:r w:rsidRPr="003C742E">
        <w:t xml:space="preserve">SARS-CoV-2 </w:t>
      </w:r>
      <w:r w:rsidR="007E3135" w:rsidRPr="003C742E">
        <w:t>neutralising antibody</w:t>
      </w:r>
      <w:r w:rsidRPr="003C742E">
        <w:t xml:space="preserve"> GMCs and </w:t>
      </w:r>
      <w:r w:rsidR="00B2387D" w:rsidRPr="00B2387D">
        <w:t>spike</w:t>
      </w:r>
      <w:r w:rsidR="00B2387D" w:rsidRPr="003C742E">
        <w:t xml:space="preserve"> protein</w:t>
      </w:r>
      <w:r w:rsidRPr="003C742E">
        <w:t xml:space="preserve"> </w:t>
      </w:r>
      <w:r w:rsidR="007E3135" w:rsidRPr="003C742E">
        <w:t>binding antibody</w:t>
      </w:r>
      <w:r w:rsidRPr="003C742E">
        <w:t xml:space="preserve"> GM levels were comparable in both sexes (male and female). This trend was independent of SARS-CoV-2 baseline status.</w:t>
      </w:r>
    </w:p>
    <w:p w14:paraId="2EDD2A7B" w14:textId="2EDA90C0" w:rsidR="005E435C" w:rsidRPr="003C742E" w:rsidRDefault="005E435C" w:rsidP="00D91801">
      <w:pPr>
        <w:pStyle w:val="Heading9"/>
      </w:pPr>
      <w:r w:rsidRPr="003C742E">
        <w:t xml:space="preserve">Immunobridging </w:t>
      </w:r>
      <w:r w:rsidR="00860D51" w:rsidRPr="003C742E">
        <w:t>r</w:t>
      </w:r>
      <w:r w:rsidRPr="003C742E">
        <w:t>esults</w:t>
      </w:r>
    </w:p>
    <w:p w14:paraId="75B36DBF" w14:textId="3F7DC65F" w:rsidR="005E435C" w:rsidRPr="003C742E" w:rsidRDefault="005E435C" w:rsidP="005E435C">
      <w:pPr>
        <w:pStyle w:val="ListBullet"/>
      </w:pPr>
      <w:r w:rsidRPr="003C742E">
        <w:t>Superiority of the booster as compared with the 100 μg mRNA-1273 primary series (Part</w:t>
      </w:r>
      <w:r w:rsidR="00860D51" w:rsidRPr="003C742E">
        <w:t> </w:t>
      </w:r>
      <w:r w:rsidRPr="003C742E">
        <w:t xml:space="preserve">C </w:t>
      </w:r>
      <w:r w:rsidR="00B941A1" w:rsidRPr="003C742E">
        <w:t>booster dose Day</w:t>
      </w:r>
      <w:r w:rsidRPr="003C742E">
        <w:t xml:space="preserve"> 29 / Part A Day 57) was demonstrated based on </w:t>
      </w:r>
      <w:r w:rsidR="007E3135" w:rsidRPr="003C742E">
        <w:t>neutralising antibody</w:t>
      </w:r>
      <w:r w:rsidRPr="003C742E">
        <w:t xml:space="preserve"> (</w:t>
      </w:r>
      <w:r w:rsidR="003C742E" w:rsidRPr="003C742E">
        <w:t>geometric mean ratio (</w:t>
      </w:r>
      <w:r w:rsidRPr="003C742E">
        <w:t>GMR</w:t>
      </w:r>
      <w:r w:rsidR="003C742E" w:rsidRPr="003C742E">
        <w:t>)</w:t>
      </w:r>
      <w:r w:rsidRPr="003C742E">
        <w:t>: 7.4</w:t>
      </w:r>
      <w:r w:rsidRPr="003C742E">
        <w:rPr>
          <w:rFonts w:ascii="TimesNewRoman" w:eastAsiaTheme="minorHAnsi" w:hAnsi="TimesNewRoman" w:cs="TimesNewRoman"/>
          <w:sz w:val="24"/>
          <w:szCs w:val="24"/>
        </w:rPr>
        <w:t xml:space="preserve"> </w:t>
      </w:r>
      <w:r w:rsidR="00A15C0C" w:rsidRPr="003C742E">
        <w:t>(</w:t>
      </w:r>
      <w:r w:rsidRPr="003C742E">
        <w:t>95% CI: 6.9, 8.0</w:t>
      </w:r>
      <w:r w:rsidR="00A15C0C" w:rsidRPr="003C742E">
        <w:t>)</w:t>
      </w:r>
      <w:r w:rsidRPr="003C742E">
        <w:t xml:space="preserve"> and </w:t>
      </w:r>
      <w:r w:rsidR="005969ED" w:rsidRPr="003C742E">
        <w:t>seroresponse rate</w:t>
      </w:r>
      <w:r w:rsidRPr="003C742E">
        <w:t xml:space="preserve"> difference: 0.9 % </w:t>
      </w:r>
      <w:r w:rsidR="00A15C0C" w:rsidRPr="003C742E">
        <w:t>(</w:t>
      </w:r>
      <w:r w:rsidRPr="003C742E">
        <w:t>95% CI: 0.1, 1.7</w:t>
      </w:r>
      <w:r w:rsidR="00A15C0C" w:rsidRPr="003C742E">
        <w:t>)</w:t>
      </w:r>
      <w:r w:rsidRPr="003C742E">
        <w:t xml:space="preserve">) in the </w:t>
      </w:r>
      <w:r w:rsidR="00A64A37" w:rsidRPr="003C742E">
        <w:t>per-protocol immunogenicity set</w:t>
      </w:r>
      <w:r w:rsidRPr="003C742E">
        <w:t xml:space="preserve">. Results of </w:t>
      </w:r>
      <w:r w:rsidR="007E3135" w:rsidRPr="003C742E">
        <w:t>binding antibody</w:t>
      </w:r>
      <w:r w:rsidRPr="003C742E">
        <w:t xml:space="preserve"> </w:t>
      </w:r>
      <w:r w:rsidR="00B2387D" w:rsidRPr="00B2387D">
        <w:t>spike</w:t>
      </w:r>
      <w:r w:rsidR="00B2387D" w:rsidRPr="003C742E">
        <w:t xml:space="preserve"> protein</w:t>
      </w:r>
      <w:r w:rsidRPr="003C742E">
        <w:t xml:space="preserve"> were consistent with </w:t>
      </w:r>
      <w:r w:rsidR="007E3135" w:rsidRPr="003C742E">
        <w:t>neutralising antibody</w:t>
      </w:r>
      <w:r w:rsidRPr="003C742E">
        <w:t>.</w:t>
      </w:r>
    </w:p>
    <w:p w14:paraId="7F863A02" w14:textId="2041AF39" w:rsidR="005E435C" w:rsidRPr="003C742E" w:rsidRDefault="005E435C" w:rsidP="005E435C">
      <w:r w:rsidRPr="003C742E">
        <w:t xml:space="preserve">Overall, a robust immune response for both </w:t>
      </w:r>
      <w:r w:rsidR="007E3135" w:rsidRPr="003C742E">
        <w:t>neutralising antibody</w:t>
      </w:r>
      <w:r w:rsidRPr="003C742E">
        <w:t xml:space="preserve"> and </w:t>
      </w:r>
      <w:r w:rsidR="007E3135" w:rsidRPr="003C742E">
        <w:t>binding antibody</w:t>
      </w:r>
      <w:r w:rsidRPr="003C742E">
        <w:t xml:space="preserve"> at </w:t>
      </w:r>
      <w:r w:rsidR="00B941A1" w:rsidRPr="003C742E">
        <w:t>booster dose Day</w:t>
      </w:r>
      <w:r w:rsidRPr="003C742E">
        <w:t xml:space="preserve"> 29 following booster dose was observed. Superiority of the booster as compared with the 100 μg mRNA</w:t>
      </w:r>
      <w:r w:rsidR="00860D51" w:rsidRPr="003C742E">
        <w:noBreakHyphen/>
      </w:r>
      <w:r w:rsidRPr="003C742E">
        <w:t>1273 primary series was demonstrated.</w:t>
      </w:r>
    </w:p>
    <w:p w14:paraId="68E7122B" w14:textId="22418AD1" w:rsidR="005E435C" w:rsidRPr="00D91801" w:rsidRDefault="005E435C">
      <w:pPr>
        <w:pStyle w:val="Heading7"/>
      </w:pPr>
      <w:r w:rsidRPr="00D91801">
        <w:t>Safety</w:t>
      </w:r>
    </w:p>
    <w:p w14:paraId="03B0F60F" w14:textId="5E675D3C" w:rsidR="005E435C" w:rsidRPr="00D91801" w:rsidRDefault="00082A6F" w:rsidP="00D91801">
      <w:pPr>
        <w:pStyle w:val="Heading8"/>
      </w:pPr>
      <w:r>
        <w:t>In p</w:t>
      </w:r>
      <w:r w:rsidR="005E435C" w:rsidRPr="00D91801">
        <w:t xml:space="preserve">articipants who received blinded </w:t>
      </w:r>
      <w:r w:rsidR="00D91801" w:rsidRPr="00D91801">
        <w:t>mRNA-1273</w:t>
      </w:r>
      <w:r w:rsidR="00D91801">
        <w:t xml:space="preserve"> </w:t>
      </w:r>
      <w:r>
        <w:t xml:space="preserve">vaccine </w:t>
      </w:r>
      <w:r w:rsidR="005E435C" w:rsidRPr="00D91801">
        <w:t xml:space="preserve">in Part A </w:t>
      </w:r>
      <w:r>
        <w:t xml:space="preserve">of study, prior to vaccine </w:t>
      </w:r>
      <w:r w:rsidR="005E435C" w:rsidRPr="00D91801">
        <w:t>booster</w:t>
      </w:r>
    </w:p>
    <w:p w14:paraId="36DC4948" w14:textId="3E70B325" w:rsidR="005E435C" w:rsidRPr="003C742E" w:rsidRDefault="005E435C" w:rsidP="005E435C">
      <w:r w:rsidRPr="003C742E">
        <w:t xml:space="preserve">Long-term follow-up for participants </w:t>
      </w:r>
      <w:r w:rsidR="00082A6F">
        <w:t xml:space="preserve">(n = 15,185) </w:t>
      </w:r>
      <w:r w:rsidRPr="003C742E">
        <w:t>who received primary vaccination with 100</w:t>
      </w:r>
      <w:r w:rsidR="00082A6F">
        <w:t> </w:t>
      </w:r>
      <w:r w:rsidRPr="003C742E">
        <w:t>μg mRNA</w:t>
      </w:r>
      <w:r w:rsidR="00860D51" w:rsidRPr="003C742E">
        <w:noBreakHyphen/>
      </w:r>
      <w:r w:rsidRPr="003C742E">
        <w:t xml:space="preserve">1273 </w:t>
      </w:r>
      <w:r w:rsidR="00082A6F">
        <w:t xml:space="preserve">vaccine </w:t>
      </w:r>
      <w:r w:rsidRPr="003C742E">
        <w:t>during Part A of the study ended at administration of the booster (if applicable).</w:t>
      </w:r>
    </w:p>
    <w:p w14:paraId="3BF432F6" w14:textId="2F9D1D1E" w:rsidR="005E435C" w:rsidRPr="003C742E" w:rsidRDefault="005E435C" w:rsidP="005E435C">
      <w:r w:rsidRPr="003C742E">
        <w:t>During this period, 2497 participants (16.4%) had TEAEs considered by the investigator to be related to study vaccine. The TEAEs occurred within 6 months after Dose 1 for most participants (13.9% within a median of 5 months). The same was true for MAAEs considered related to vaccine. No new SAEs considered related to vaccine were reported beyond 6 months of follow</w:t>
      </w:r>
      <w:r w:rsidR="00860D51" w:rsidRPr="003C742E">
        <w:noBreakHyphen/>
      </w:r>
      <w:r w:rsidRPr="003C742E">
        <w:t>up.</w:t>
      </w:r>
    </w:p>
    <w:p w14:paraId="2253DF1C" w14:textId="2771F42E" w:rsidR="005E435C" w:rsidRPr="003C742E" w:rsidRDefault="005E435C" w:rsidP="005E435C">
      <w:r w:rsidRPr="003C742E">
        <w:lastRenderedPageBreak/>
        <w:t>Among 49 participants who had a fatal event, all of the fatal events were considered by the investigator to be unrelated to study vaccine, and fatal events were spread throughout the follow-up period, without temporal patterns. Long-term follow-up data are also available for participants who remained in the placebo group after unblinding (and did not receive open</w:t>
      </w:r>
      <w:r w:rsidR="00860D51" w:rsidRPr="003C742E">
        <w:t xml:space="preserve"> </w:t>
      </w:r>
      <w:r w:rsidRPr="003C742E">
        <w:t>label mRNA</w:t>
      </w:r>
      <w:r w:rsidR="00860D51" w:rsidRPr="003C742E">
        <w:noBreakHyphen/>
      </w:r>
      <w:r w:rsidRPr="003C742E">
        <w:t>1273</w:t>
      </w:r>
      <w:r w:rsidR="00082A6F">
        <w:t xml:space="preserve"> vaccine</w:t>
      </w:r>
      <w:r w:rsidRPr="003C742E">
        <w:t xml:space="preserve">; </w:t>
      </w:r>
      <w:r w:rsidR="00860D51" w:rsidRPr="003C742E">
        <w:t>n =</w:t>
      </w:r>
      <w:r w:rsidRPr="003C742E">
        <w:t xml:space="preserve"> 2513), but the utility of data comparison is severely limited by de-randomi</w:t>
      </w:r>
      <w:r w:rsidR="00A15C0C" w:rsidRPr="003C742E">
        <w:t>s</w:t>
      </w:r>
      <w:r w:rsidRPr="003C742E">
        <w:t xml:space="preserve">ation and attrition. During Part A, before unblinding, the types and frequencies of TEAEs (other than </w:t>
      </w:r>
      <w:r w:rsidR="00082A6F">
        <w:t>adverse reactions</w:t>
      </w:r>
      <w:r w:rsidRPr="003C742E">
        <w:t>) were similar in the placebo group to those of the mRNA</w:t>
      </w:r>
      <w:r w:rsidR="00082A6F">
        <w:noBreakHyphen/>
      </w:r>
      <w:r w:rsidRPr="003C742E">
        <w:t xml:space="preserve">1273 </w:t>
      </w:r>
      <w:r w:rsidR="00082A6F">
        <w:t xml:space="preserve">vaccine </w:t>
      </w:r>
      <w:r w:rsidRPr="003C742E">
        <w:t>group.</w:t>
      </w:r>
    </w:p>
    <w:p w14:paraId="06A3038D" w14:textId="3DB25229" w:rsidR="005E435C" w:rsidRPr="00D91801" w:rsidRDefault="00082A6F" w:rsidP="00D91801">
      <w:pPr>
        <w:pStyle w:val="Heading8"/>
      </w:pPr>
      <w:r>
        <w:t>In p</w:t>
      </w:r>
      <w:r w:rsidR="005E435C" w:rsidRPr="00D91801">
        <w:t xml:space="preserve">articipants who received placebo in Part A </w:t>
      </w:r>
      <w:r>
        <w:t>of study followed by</w:t>
      </w:r>
      <w:r w:rsidR="005E435C" w:rsidRPr="00D91801">
        <w:t xml:space="preserve"> mRNA-1273</w:t>
      </w:r>
      <w:r>
        <w:t xml:space="preserve"> vaccine</w:t>
      </w:r>
      <w:r w:rsidR="005E435C" w:rsidRPr="00D91801">
        <w:t xml:space="preserve"> in Part B</w:t>
      </w:r>
      <w:r>
        <w:t xml:space="preserve"> of study, prior to vaccine</w:t>
      </w:r>
      <w:r w:rsidR="005E435C" w:rsidRPr="00D91801">
        <w:t xml:space="preserve"> booster</w:t>
      </w:r>
    </w:p>
    <w:p w14:paraId="36CBEB8D" w14:textId="7D06D578" w:rsidR="005E435C" w:rsidRPr="003C742E" w:rsidRDefault="005E435C" w:rsidP="005E435C">
      <w:r w:rsidRPr="003C742E">
        <w:t>Among participants</w:t>
      </w:r>
      <w:r w:rsidR="00082A6F">
        <w:t xml:space="preserve"> (n = 12,649)</w:t>
      </w:r>
      <w:r w:rsidRPr="003C742E">
        <w:t xml:space="preserve"> who received primary vaccination with 100 μg mRNA-1273 </w:t>
      </w:r>
      <w:r w:rsidR="00082A6F">
        <w:t xml:space="preserve">vaccine </w:t>
      </w:r>
      <w:r w:rsidRPr="003C742E">
        <w:t>during Part</w:t>
      </w:r>
      <w:r w:rsidR="00860D51" w:rsidRPr="003C742E">
        <w:t> </w:t>
      </w:r>
      <w:r w:rsidRPr="003C742E">
        <w:t>B of the study, unsolicited TEAEs that were considered by the investigator to be related to study vaccine were reported for 957 participants (7.6%), 7 participants (</w:t>
      </w:r>
      <w:r w:rsidR="00860D51" w:rsidRPr="003C742E">
        <w:t xml:space="preserve">less than </w:t>
      </w:r>
      <w:r w:rsidRPr="003C742E">
        <w:t>0.1%) had SAEs that were considered by the investigator to be related to vaccination, and 118 participants (0.9%) had MAAEs that were considered by the investigator to be related to vaccination. The types and incidence of events was consistent with observations from the double-blind phase.</w:t>
      </w:r>
    </w:p>
    <w:p w14:paraId="481843F5" w14:textId="69F0D8E9" w:rsidR="005E435C" w:rsidRPr="00D91801" w:rsidRDefault="00082A6F" w:rsidP="00D91801">
      <w:pPr>
        <w:pStyle w:val="Heading8"/>
      </w:pPr>
      <w:r>
        <w:t>In p</w:t>
      </w:r>
      <w:r w:rsidR="005E435C" w:rsidRPr="00D91801">
        <w:t xml:space="preserve">articipants who received </w:t>
      </w:r>
      <w:r>
        <w:t xml:space="preserve">mRNA-1273 vaccine </w:t>
      </w:r>
      <w:r w:rsidR="005E435C" w:rsidRPr="00D91801">
        <w:t>booster in Part C</w:t>
      </w:r>
      <w:r>
        <w:t xml:space="preserve"> of study</w:t>
      </w:r>
    </w:p>
    <w:p w14:paraId="65F3EFA2" w14:textId="3A08FCDD" w:rsidR="005E435C" w:rsidRPr="003C742E" w:rsidRDefault="00082A6F" w:rsidP="005E435C">
      <w:r>
        <w:t xml:space="preserve">Among participants (n = 19,609) who received the </w:t>
      </w:r>
      <w:r w:rsidR="005E435C" w:rsidRPr="003C742E">
        <w:t xml:space="preserve">50 μg mRNA-1273 </w:t>
      </w:r>
      <w:r>
        <w:t xml:space="preserve">vaccine </w:t>
      </w:r>
      <w:r w:rsidR="005E435C" w:rsidRPr="003C742E">
        <w:t>booster dose in Part C of the study, 4461</w:t>
      </w:r>
      <w:r w:rsidR="00C361C3" w:rsidRPr="003C742E">
        <w:t> </w:t>
      </w:r>
      <w:r w:rsidR="005E435C" w:rsidRPr="003C742E">
        <w:t xml:space="preserve">participants (22.7%) had TEAEs </w:t>
      </w:r>
      <w:r>
        <w:t xml:space="preserve">within 28 days of booster vaccine administration </w:t>
      </w:r>
      <w:r w:rsidR="005E435C" w:rsidRPr="003C742E">
        <w:t>that were considered by the investigator to be related to study vaccine and 5</w:t>
      </w:r>
      <w:r w:rsidR="00493725">
        <w:t> </w:t>
      </w:r>
      <w:r w:rsidR="005E435C" w:rsidRPr="003C742E">
        <w:t>participants (</w:t>
      </w:r>
      <w:r w:rsidR="00860D51" w:rsidRPr="003C742E">
        <w:t>less than</w:t>
      </w:r>
      <w:r w:rsidR="005E435C" w:rsidRPr="003C742E">
        <w:t xml:space="preserve"> 0.1%) had SAEs that were considered related to vaccine. Six participants (</w:t>
      </w:r>
      <w:r w:rsidR="00860D51" w:rsidRPr="003C742E">
        <w:t>less than</w:t>
      </w:r>
      <w:r w:rsidR="005E435C" w:rsidRPr="003C742E">
        <w:t xml:space="preserve"> 0.1%) experienced a TEAE with fatal outcome within 28</w:t>
      </w:r>
      <w:r w:rsidR="00C361C3" w:rsidRPr="003C742E">
        <w:t> </w:t>
      </w:r>
      <w:r w:rsidR="005E435C" w:rsidRPr="003C742E">
        <w:t>days. These events are also reported as having resulted in discontinuation from the study. The TEAEs that occurred within 28 days after booster and were considered related to vaccine were generally associated with reactogenicity and were mild and transient. No anaphylaxis or severe hypersensitivity reactions were reported within 30 minutes after injection. Safety findings were consistent between participants with positive pre-booster SARS-CoV-2 status and those with negative status.</w:t>
      </w:r>
    </w:p>
    <w:p w14:paraId="0EE09DAB" w14:textId="0201508D" w:rsidR="00493725" w:rsidRDefault="00D03EE9" w:rsidP="00D03EE9">
      <w:pPr>
        <w:pStyle w:val="Heading4"/>
      </w:pPr>
      <w:bookmarkStart w:id="86" w:name="_Toc134622051"/>
      <w:r w:rsidRPr="00D03EE9">
        <w:t xml:space="preserve">Clinical studies </w:t>
      </w:r>
      <w:r w:rsidR="00493725">
        <w:t>i</w:t>
      </w:r>
      <w:r w:rsidRPr="00D03EE9">
        <w:t xml:space="preserve">n </w:t>
      </w:r>
      <w:bookmarkStart w:id="87" w:name="_Hlk133249674"/>
      <w:r w:rsidRPr="00D03EE9">
        <w:t>adolescent population</w:t>
      </w:r>
      <w:r w:rsidR="00493725">
        <w:t>s</w:t>
      </w:r>
      <w:bookmarkEnd w:id="86"/>
    </w:p>
    <w:p w14:paraId="73431218" w14:textId="077BEC6B" w:rsidR="005E435C" w:rsidRPr="00D03EE9" w:rsidRDefault="00493725" w:rsidP="003154A3">
      <w:r>
        <w:t xml:space="preserve">Adolescent populations refer to persons aged </w:t>
      </w:r>
      <w:r w:rsidR="00D03EE9" w:rsidRPr="00D03EE9">
        <w:t xml:space="preserve">from </w:t>
      </w:r>
      <w:r w:rsidR="005E435C" w:rsidRPr="00D03EE9">
        <w:t>12 to</w:t>
      </w:r>
      <w:r>
        <w:t xml:space="preserve"> </w:t>
      </w:r>
      <w:r w:rsidR="005E435C" w:rsidRPr="00D03EE9">
        <w:t>17 years of age</w:t>
      </w:r>
      <w:bookmarkEnd w:id="87"/>
      <w:r>
        <w:t>.</w:t>
      </w:r>
    </w:p>
    <w:p w14:paraId="6F1A17E7" w14:textId="2DF5BE05" w:rsidR="005E435C" w:rsidRPr="00D03EE9" w:rsidRDefault="005E435C" w:rsidP="00D03EE9">
      <w:pPr>
        <w:pStyle w:val="Heading5"/>
      </w:pPr>
      <w:r w:rsidRPr="00D03EE9">
        <w:t>Study P203</w:t>
      </w:r>
    </w:p>
    <w:p w14:paraId="5713FC6B" w14:textId="3B020B12" w:rsidR="005E435C" w:rsidRPr="003C742E" w:rsidRDefault="00493725" w:rsidP="005E435C">
      <w:bookmarkStart w:id="88" w:name="_Hlk132815686"/>
      <w:r w:rsidRPr="00522282">
        <w:t xml:space="preserve">Study mRNA-1273-P203 </w:t>
      </w:r>
      <w:r>
        <w:t xml:space="preserve">(abbreviated as </w:t>
      </w:r>
      <w:r w:rsidR="001E2B87" w:rsidRPr="003C742E">
        <w:t>Study P203</w:t>
      </w:r>
      <w:r>
        <w:t>)</w:t>
      </w:r>
      <w:r w:rsidR="001E2B87" w:rsidRPr="003C742E">
        <w:t xml:space="preserve"> is a</w:t>
      </w:r>
      <w:r w:rsidR="008B754C">
        <w:t>n ongoing</w:t>
      </w:r>
      <w:r w:rsidR="005E435C" w:rsidRPr="003C742E">
        <w:t xml:space="preserve"> Phase </w:t>
      </w:r>
      <w:r w:rsidR="001705C1" w:rsidRPr="003C742E">
        <w:t>II/III</w:t>
      </w:r>
      <w:r w:rsidR="005E435C" w:rsidRPr="003C742E">
        <w:t>,</w:t>
      </w:r>
      <w:r w:rsidR="008B754C">
        <w:t xml:space="preserve"> initially designed as a</w:t>
      </w:r>
      <w:r w:rsidR="005E435C" w:rsidRPr="003C742E">
        <w:t xml:space="preserve"> </w:t>
      </w:r>
      <w:r w:rsidR="001E2B87" w:rsidRPr="003C742E">
        <w:t>r</w:t>
      </w:r>
      <w:r w:rsidR="005E435C" w:rsidRPr="003C742E">
        <w:t>andomi</w:t>
      </w:r>
      <w:r w:rsidR="00A15C0C" w:rsidRPr="003C742E">
        <w:t>s</w:t>
      </w:r>
      <w:r w:rsidR="005E435C" w:rsidRPr="003C742E">
        <w:t xml:space="preserve">ed, </w:t>
      </w:r>
      <w:r w:rsidR="001E2B87" w:rsidRPr="003C742E">
        <w:t>observer blind</w:t>
      </w:r>
      <w:r w:rsidR="005E435C" w:rsidRPr="003C742E">
        <w:t xml:space="preserve">, </w:t>
      </w:r>
      <w:r w:rsidR="001E2B87" w:rsidRPr="003C742E">
        <w:t>placebo controlled</w:t>
      </w:r>
      <w:r w:rsidR="005E435C" w:rsidRPr="003C742E">
        <w:t xml:space="preserve"> </w:t>
      </w:r>
      <w:r w:rsidR="001E2B87" w:rsidRPr="003C742E">
        <w:t>study to evaluate the safety, reactogenicity, and effectivenes</w:t>
      </w:r>
      <w:r w:rsidR="005E435C" w:rsidRPr="003C742E">
        <w:t xml:space="preserve">s of mRNA-1273 </w:t>
      </w:r>
      <w:r w:rsidR="003154A3">
        <w:t>COVID-19</w:t>
      </w:r>
      <w:r w:rsidR="005E435C" w:rsidRPr="003C742E">
        <w:t xml:space="preserve"> </w:t>
      </w:r>
      <w:r w:rsidR="001E2B87" w:rsidRPr="003C742E">
        <w:t xml:space="preserve">vaccine in healthy adolescents </w:t>
      </w:r>
      <w:r w:rsidR="005E435C" w:rsidRPr="003C742E">
        <w:t>12</w:t>
      </w:r>
      <w:r w:rsidR="001E2B87" w:rsidRPr="003C742E">
        <w:t> </w:t>
      </w:r>
      <w:r w:rsidR="005E435C" w:rsidRPr="003C742E">
        <w:t xml:space="preserve">to </w:t>
      </w:r>
      <w:r w:rsidR="00860D51" w:rsidRPr="003C742E">
        <w:t>less than</w:t>
      </w:r>
      <w:r w:rsidR="005E435C" w:rsidRPr="003C742E">
        <w:t xml:space="preserve"> 18 years of age</w:t>
      </w:r>
      <w:r w:rsidR="001E2B87" w:rsidRPr="003C742E">
        <w:t>.</w:t>
      </w:r>
      <w:bookmarkStart w:id="89" w:name="_Ref134437271"/>
      <w:r>
        <w:rPr>
          <w:rStyle w:val="FootnoteReference"/>
        </w:rPr>
        <w:footnoteReference w:id="21"/>
      </w:r>
      <w:bookmarkEnd w:id="89"/>
    </w:p>
    <w:p w14:paraId="34C76652" w14:textId="35406221" w:rsidR="005E435C" w:rsidRPr="003C742E" w:rsidRDefault="005E435C" w:rsidP="005E435C">
      <w:bookmarkStart w:id="90" w:name="_Hlk130929075"/>
      <w:bookmarkStart w:id="91" w:name="_Hlk132815740"/>
      <w:bookmarkEnd w:id="88"/>
      <w:r w:rsidRPr="003C742E">
        <w:t xml:space="preserve">This </w:t>
      </w:r>
      <w:r w:rsidR="002365DD">
        <w:t>is</w:t>
      </w:r>
      <w:r w:rsidRPr="003C742E">
        <w:t xml:space="preserve"> </w:t>
      </w:r>
      <w:r w:rsidR="002365DD">
        <w:t xml:space="preserve">now </w:t>
      </w:r>
      <w:r w:rsidRPr="003C742E">
        <w:t xml:space="preserve">a </w:t>
      </w:r>
      <w:r w:rsidR="002365DD">
        <w:t>three</w:t>
      </w:r>
      <w:r w:rsidRPr="003C742E">
        <w:t>-part</w:t>
      </w:r>
      <w:r w:rsidR="001E2B87" w:rsidRPr="003C742E">
        <w:t xml:space="preserve"> </w:t>
      </w:r>
      <w:r w:rsidRPr="003C742E">
        <w:t xml:space="preserve">study </w:t>
      </w:r>
      <w:r w:rsidR="002365DD">
        <w:t xml:space="preserve">being </w:t>
      </w:r>
      <w:r w:rsidRPr="003C742E">
        <w:t xml:space="preserve">conducted in the </w:t>
      </w:r>
      <w:r w:rsidR="00493725">
        <w:t>USA</w:t>
      </w:r>
      <w:r w:rsidR="002365DD">
        <w:t xml:space="preserve"> and several </w:t>
      </w:r>
      <w:r w:rsidR="00493725">
        <w:t xml:space="preserve">other </w:t>
      </w:r>
      <w:r w:rsidR="002365DD">
        <w:t xml:space="preserve">countries </w:t>
      </w:r>
      <w:r w:rsidR="00493725">
        <w:t>around the world</w:t>
      </w:r>
      <w:r w:rsidRPr="003C742E">
        <w:t xml:space="preserve">: </w:t>
      </w:r>
      <w:bookmarkStart w:id="92" w:name="_Hlk132815675"/>
      <w:r w:rsidRPr="003C742E">
        <w:t>Part 1 (consisting of Parts 1A, 1B</w:t>
      </w:r>
      <w:r w:rsidR="007F64F8">
        <w:t xml:space="preserve"> </w:t>
      </w:r>
      <w:r w:rsidR="002D493A">
        <w:t>(</w:t>
      </w:r>
      <w:r w:rsidR="007F64F8">
        <w:t>primary series</w:t>
      </w:r>
      <w:r w:rsidR="002D493A">
        <w:t>)</w:t>
      </w:r>
      <w:r w:rsidRPr="003C742E">
        <w:t>, and 1C</w:t>
      </w:r>
      <w:r w:rsidR="002D493A">
        <w:t xml:space="preserve"> (b</w:t>
      </w:r>
      <w:r w:rsidR="007F64F8">
        <w:t xml:space="preserve">ooster </w:t>
      </w:r>
      <w:r w:rsidR="002D493A">
        <w:t>p</w:t>
      </w:r>
      <w:r w:rsidR="007F64F8">
        <w:t>hase</w:t>
      </w:r>
      <w:r w:rsidR="002D493A">
        <w:t>)</w:t>
      </w:r>
      <w:r w:rsidRPr="003C742E">
        <w:t>)</w:t>
      </w:r>
      <w:r w:rsidR="006E37C5">
        <w:t>,</w:t>
      </w:r>
      <w:r w:rsidRPr="003C742E">
        <w:t xml:space="preserve"> Part 2 (</w:t>
      </w:r>
      <w:r w:rsidR="00575E9E">
        <w:t>was added to assess 50 µg primary series of mRNA-1273</w:t>
      </w:r>
      <w:r w:rsidR="00493725" w:rsidRPr="00493725">
        <w:t xml:space="preserve"> </w:t>
      </w:r>
      <w:r w:rsidR="00493725">
        <w:t>vaccine</w:t>
      </w:r>
      <w:r w:rsidRPr="003C742E">
        <w:t>)</w:t>
      </w:r>
      <w:r w:rsidR="00F85AE0">
        <w:t>, and</w:t>
      </w:r>
      <w:r w:rsidR="001B4A92">
        <w:t xml:space="preserve"> Part 3 was added to assess </w:t>
      </w:r>
      <w:bookmarkEnd w:id="90"/>
      <w:bookmarkEnd w:id="92"/>
      <w:r w:rsidRPr="003C742E">
        <w:t xml:space="preserve">safety, reactogenicity, and effectiveness of </w:t>
      </w:r>
      <w:r w:rsidR="00736637">
        <w:t xml:space="preserve">a 50 µg </w:t>
      </w:r>
      <w:r w:rsidR="00102770">
        <w:t>pri</w:t>
      </w:r>
      <w:r w:rsidR="004B51B0">
        <w:t>mary series</w:t>
      </w:r>
      <w:r w:rsidR="00A03774">
        <w:t xml:space="preserve"> of </w:t>
      </w:r>
      <w:r w:rsidRPr="003C742E">
        <w:t>mRNA-1273</w:t>
      </w:r>
      <w:r w:rsidR="00736637">
        <w:t>.222</w:t>
      </w:r>
      <w:r w:rsidRPr="003C742E">
        <w:t xml:space="preserve"> </w:t>
      </w:r>
      <w:r w:rsidR="00493725">
        <w:lastRenderedPageBreak/>
        <w:t>COVID</w:t>
      </w:r>
      <w:r w:rsidR="00493725">
        <w:noBreakHyphen/>
        <w:t>19</w:t>
      </w:r>
      <w:r w:rsidRPr="003C742E">
        <w:t xml:space="preserve"> vaccine</w:t>
      </w:r>
      <w:r w:rsidR="00493725">
        <w:t>;</w:t>
      </w:r>
      <w:r w:rsidR="00493725">
        <w:rPr>
          <w:rStyle w:val="FootnoteReference"/>
        </w:rPr>
        <w:footnoteReference w:id="22"/>
      </w:r>
      <w:r w:rsidRPr="003C742E">
        <w:t xml:space="preserve"> in healthy adolescents 12 to </w:t>
      </w:r>
      <w:r w:rsidR="00860D51" w:rsidRPr="003C742E">
        <w:t xml:space="preserve">less than </w:t>
      </w:r>
      <w:r w:rsidRPr="003C742E">
        <w:t>18 years of age.</w:t>
      </w:r>
      <w:r w:rsidR="002152F6">
        <w:t xml:space="preserve"> Here, </w:t>
      </w:r>
      <w:r w:rsidR="00E77BA3">
        <w:t xml:space="preserve">the </w:t>
      </w:r>
      <w:r w:rsidR="000A3FFE">
        <w:t>results of Part</w:t>
      </w:r>
      <w:r w:rsidR="006C1440">
        <w:t>s</w:t>
      </w:r>
      <w:r w:rsidR="000A3FFE">
        <w:t xml:space="preserve"> 1A, 1B, and 1C</w:t>
      </w:r>
      <w:r w:rsidR="00E77BA3">
        <w:t xml:space="preserve"> will be described</w:t>
      </w:r>
      <w:r w:rsidR="006C1440">
        <w:t>.</w:t>
      </w:r>
    </w:p>
    <w:p w14:paraId="60AD1C46" w14:textId="792F9CFC" w:rsidR="005E435C" w:rsidRPr="003C742E" w:rsidRDefault="00D91801" w:rsidP="00D91801">
      <w:pPr>
        <w:pStyle w:val="Heading6"/>
      </w:pPr>
      <w:bookmarkStart w:id="93" w:name="_Hlk132815696"/>
      <w:bookmarkEnd w:id="91"/>
      <w:r w:rsidRPr="00D91801">
        <w:t>Study P203</w:t>
      </w:r>
      <w:r>
        <w:t xml:space="preserve"> </w:t>
      </w:r>
      <w:r w:rsidR="005E435C" w:rsidRPr="003C742E">
        <w:t>Part 1A</w:t>
      </w:r>
      <w:r>
        <w:t xml:space="preserve"> (</w:t>
      </w:r>
      <w:r w:rsidR="001E2B87" w:rsidRPr="003C742E">
        <w:t>randomised, placebo-controlled, blinded phase</w:t>
      </w:r>
      <w:r>
        <w:t>)</w:t>
      </w:r>
    </w:p>
    <w:bookmarkEnd w:id="93"/>
    <w:p w14:paraId="6C228404" w14:textId="6FB036E6" w:rsidR="005E435C" w:rsidRDefault="005E435C" w:rsidP="005E435C">
      <w:r w:rsidRPr="003C742E">
        <w:t>Participants in Part 1A, the randomi</w:t>
      </w:r>
      <w:r w:rsidR="00A15C0C" w:rsidRPr="003C742E">
        <w:t>s</w:t>
      </w:r>
      <w:r w:rsidRPr="003C742E">
        <w:t xml:space="preserve">ed, </w:t>
      </w:r>
      <w:r w:rsidR="00B941A1" w:rsidRPr="003C742E">
        <w:t xml:space="preserve">placebo </w:t>
      </w:r>
      <w:r w:rsidRPr="003C742E">
        <w:t xml:space="preserve">controlled, </w:t>
      </w:r>
      <w:r w:rsidR="001E2B87" w:rsidRPr="003C742E">
        <w:t>blinded phase of the study</w:t>
      </w:r>
      <w:r w:rsidRPr="003C742E">
        <w:t>, were randomly assigned to receive 2 injections of either 100 μg of mRNA-1273 vaccine or a placebo control 28 days apart in a 2:1 randomi</w:t>
      </w:r>
      <w:r w:rsidR="00A15C0C" w:rsidRPr="003C742E">
        <w:t>s</w:t>
      </w:r>
      <w:r w:rsidRPr="003C742E">
        <w:t xml:space="preserve">ation ratio. This study in adolescents monitored all participants for approximately 12 months following Dose 2 of mRNA-1273 </w:t>
      </w:r>
      <w:r w:rsidR="0035184F" w:rsidRPr="003C742E">
        <w:t xml:space="preserve">vaccine </w:t>
      </w:r>
      <w:r w:rsidRPr="003C742E">
        <w:t>or placebo.</w:t>
      </w:r>
    </w:p>
    <w:p w14:paraId="743273D2" w14:textId="28BBCC17" w:rsidR="00C945D5" w:rsidRPr="003C742E" w:rsidRDefault="00C945D5" w:rsidP="005E435C">
      <w:r>
        <w:t xml:space="preserve">A total of 3733 participants were randomly assigned to study treatment in a 2:1 ratio: 1243 participants in the placebo group and 2490 participants in the mRNA-1273 </w:t>
      </w:r>
      <w:r w:rsidR="0035184F" w:rsidRPr="003C742E">
        <w:t xml:space="preserve">vaccine </w:t>
      </w:r>
      <w:r>
        <w:t>group.</w:t>
      </w:r>
    </w:p>
    <w:p w14:paraId="032F7E73" w14:textId="7406890E" w:rsidR="005E435C" w:rsidRPr="00D91801" w:rsidRDefault="00D91801" w:rsidP="00D91801">
      <w:pPr>
        <w:pStyle w:val="Heading6"/>
      </w:pPr>
      <w:bookmarkStart w:id="94" w:name="_Hlk132815701"/>
      <w:r w:rsidRPr="00D91801">
        <w:t xml:space="preserve">Study P203 </w:t>
      </w:r>
      <w:r w:rsidR="005E435C" w:rsidRPr="00D91801">
        <w:t xml:space="preserve">Part 1B </w:t>
      </w:r>
      <w:r w:rsidRPr="00D91801">
        <w:t>(</w:t>
      </w:r>
      <w:r w:rsidR="001E2B87" w:rsidRPr="00D91801">
        <w:t>open label phase</w:t>
      </w:r>
      <w:r w:rsidRPr="00D91801">
        <w:t>)</w:t>
      </w:r>
    </w:p>
    <w:bookmarkEnd w:id="94"/>
    <w:p w14:paraId="5012B1F5" w14:textId="4A0CA25F" w:rsidR="005E435C" w:rsidRPr="003C742E" w:rsidRDefault="005E435C" w:rsidP="005E435C">
      <w:r w:rsidRPr="003C742E">
        <w:t xml:space="preserve">Part 1B, the </w:t>
      </w:r>
      <w:r w:rsidR="001E2B87" w:rsidRPr="003C742E">
        <w:t xml:space="preserve">open label phase of </w:t>
      </w:r>
      <w:r w:rsidRPr="003C742E">
        <w:t>the study, was prompted by the authori</w:t>
      </w:r>
      <w:r w:rsidR="00A15C0C" w:rsidRPr="003C742E">
        <w:t>s</w:t>
      </w:r>
      <w:r w:rsidRPr="003C742E">
        <w:t>ation of a non</w:t>
      </w:r>
      <w:r w:rsidR="001E2B87" w:rsidRPr="003C742E">
        <w:noBreakHyphen/>
      </w:r>
      <w:r w:rsidRPr="003C742E">
        <w:t>study COVID-19 vaccine as described above. Protocol Amendment 1 (23 Mar</w:t>
      </w:r>
      <w:r w:rsidR="001E2B87" w:rsidRPr="003C742E">
        <w:t>ch</w:t>
      </w:r>
      <w:r w:rsidRPr="003C742E">
        <w:t xml:space="preserve"> 2021) described the process of individual participant unblinding.</w:t>
      </w:r>
    </w:p>
    <w:p w14:paraId="10BABDBA" w14:textId="77777777" w:rsidR="005E435C" w:rsidRPr="003C742E" w:rsidRDefault="005E435C">
      <w:pPr>
        <w:pStyle w:val="Heading7"/>
      </w:pPr>
      <w:r w:rsidRPr="003C742E">
        <w:t>Immunogenicity</w:t>
      </w:r>
    </w:p>
    <w:p w14:paraId="670D3D3E" w14:textId="7BAA2B16" w:rsidR="005E435C" w:rsidRPr="003C742E" w:rsidRDefault="005E435C" w:rsidP="005E435C">
      <w:r w:rsidRPr="003C742E">
        <w:t xml:space="preserve">The primary objective of the study was to infer efficacy of mRNA-1273 </w:t>
      </w:r>
      <w:r w:rsidR="0035184F" w:rsidRPr="003C742E">
        <w:t xml:space="preserve">vaccine </w:t>
      </w:r>
      <w:r w:rsidRPr="003C742E">
        <w:t>(100 μg, 2 doses 28</w:t>
      </w:r>
      <w:r w:rsidR="001E2B87" w:rsidRPr="003C742E">
        <w:t> </w:t>
      </w:r>
      <w:r w:rsidRPr="003C742E">
        <w:t xml:space="preserve">days apart) based on serum </w:t>
      </w:r>
      <w:r w:rsidR="001E2B87" w:rsidRPr="003C742E">
        <w:t>antibody</w:t>
      </w:r>
      <w:r w:rsidRPr="003C742E">
        <w:t xml:space="preserve"> responses obtained 28 days after Dose 2 of mRNA-1273 (Day</w:t>
      </w:r>
      <w:r w:rsidR="001E2B87" w:rsidRPr="003C742E">
        <w:t> </w:t>
      </w:r>
      <w:r w:rsidRPr="003C742E">
        <w:t xml:space="preserve">57). Since a serum </w:t>
      </w:r>
      <w:r w:rsidR="007E3135" w:rsidRPr="003C742E">
        <w:t>antibody</w:t>
      </w:r>
      <w:r w:rsidRPr="003C742E">
        <w:t xml:space="preserve"> threshold of vaccine protection against COVID-19 was not established at the time of the analysis, efficacy was inferred based on establishing noninferiority of adolescents (12 to </w:t>
      </w:r>
      <w:r w:rsidR="00860D51" w:rsidRPr="003C742E">
        <w:t xml:space="preserve">less than </w:t>
      </w:r>
      <w:r w:rsidRPr="003C742E">
        <w:t xml:space="preserve">18 years in </w:t>
      </w:r>
      <w:r w:rsidR="0053571E" w:rsidRPr="003C742E">
        <w:t>Study P20</w:t>
      </w:r>
      <w:r w:rsidRPr="003C742E">
        <w:t xml:space="preserve">3) to young adults (18 to 25 years in </w:t>
      </w:r>
      <w:r w:rsidR="001E2B87" w:rsidRPr="003C742E">
        <w:t>Study </w:t>
      </w:r>
      <w:r w:rsidRPr="003C742E">
        <w:t xml:space="preserve">P301) in both GMT and </w:t>
      </w:r>
      <w:r w:rsidR="005969ED" w:rsidRPr="003C742E">
        <w:t>seroresponse rate</w:t>
      </w:r>
      <w:r w:rsidRPr="003C742E">
        <w:t xml:space="preserve"> of serum </w:t>
      </w:r>
      <w:r w:rsidR="007E3135" w:rsidRPr="003C742E">
        <w:t>neutralising antibody</w:t>
      </w:r>
      <w:r w:rsidRPr="003C742E">
        <w:t xml:space="preserve"> at 28 days after Dose 2 of mRNA-1273.</w:t>
      </w:r>
    </w:p>
    <w:p w14:paraId="01F367F7" w14:textId="237A9964" w:rsidR="005E435C" w:rsidRPr="003C742E" w:rsidRDefault="005E435C" w:rsidP="005E435C">
      <w:r w:rsidRPr="003C742E">
        <w:t xml:space="preserve">The study was considered to meet the primary immunogenicity objective if noninferiority based on comparison of coprimary endpoints GMT and </w:t>
      </w:r>
      <w:r w:rsidR="005969ED" w:rsidRPr="003C742E">
        <w:t>seroresponse rate</w:t>
      </w:r>
      <w:r w:rsidRPr="003C742E">
        <w:t xml:space="preserve"> at Day 57 was demonstrated at a 2-sided alpha of 0.05, between </w:t>
      </w:r>
      <w:r w:rsidR="0053571E" w:rsidRPr="003C742E">
        <w:t>Study P20</w:t>
      </w:r>
      <w:r w:rsidRPr="003C742E">
        <w:t xml:space="preserve">3 participants and </w:t>
      </w:r>
      <w:r w:rsidR="001E2B87" w:rsidRPr="003C742E">
        <w:t xml:space="preserve">Study P301 </w:t>
      </w:r>
      <w:r w:rsidRPr="003C742E">
        <w:t>young adults (mRNA</w:t>
      </w:r>
      <w:r w:rsidR="001E2B87" w:rsidRPr="003C742E">
        <w:noBreakHyphen/>
      </w:r>
      <w:r w:rsidRPr="003C742E">
        <w:t xml:space="preserve">1273 </w:t>
      </w:r>
      <w:r w:rsidR="0035184F" w:rsidRPr="003C742E">
        <w:t xml:space="preserve">vaccine </w:t>
      </w:r>
      <w:r w:rsidRPr="003C742E">
        <w:t>recipients).</w:t>
      </w:r>
    </w:p>
    <w:p w14:paraId="71E82C8B" w14:textId="77777777" w:rsidR="005E435C" w:rsidRPr="003C742E" w:rsidRDefault="005E435C">
      <w:pPr>
        <w:pStyle w:val="Heading7"/>
      </w:pPr>
      <w:r w:rsidRPr="003C742E">
        <w:t>Efficacy</w:t>
      </w:r>
    </w:p>
    <w:p w14:paraId="7301CB14" w14:textId="4BDF4745" w:rsidR="005E435C" w:rsidRPr="003C742E" w:rsidRDefault="005E435C" w:rsidP="005E435C">
      <w:r w:rsidRPr="003C742E">
        <w:t xml:space="preserve">A secondary objective in the </w:t>
      </w:r>
      <w:r w:rsidR="001E2B87" w:rsidRPr="003C742E">
        <w:t>blinded phase</w:t>
      </w:r>
      <w:r w:rsidRPr="003C742E">
        <w:t xml:space="preserve"> (Part 1A) was to assess incidence rates of COVID</w:t>
      </w:r>
      <w:r w:rsidR="007E3135" w:rsidRPr="003C742E">
        <w:noBreakHyphen/>
      </w:r>
      <w:r w:rsidRPr="003C742E">
        <w:t>19, SARS-CoV-2 infection regardless of symptoms, and asymptomatic infection compared between mRNA-1273 and placebo groups.</w:t>
      </w:r>
    </w:p>
    <w:p w14:paraId="26D8B57A" w14:textId="77777777" w:rsidR="005E435C" w:rsidRPr="003C742E" w:rsidRDefault="005E435C">
      <w:pPr>
        <w:pStyle w:val="Heading7"/>
      </w:pPr>
      <w:r w:rsidRPr="003C742E">
        <w:t>Safety</w:t>
      </w:r>
    </w:p>
    <w:p w14:paraId="62B6E2DC" w14:textId="47914A99" w:rsidR="005E435C" w:rsidRPr="003C742E" w:rsidRDefault="005E435C" w:rsidP="005E435C">
      <w:r w:rsidRPr="003C742E">
        <w:t xml:space="preserve">All safety analyses were based on the </w:t>
      </w:r>
      <w:r w:rsidR="001E2B87" w:rsidRPr="003C742E">
        <w:t>safety set</w:t>
      </w:r>
      <w:r w:rsidRPr="003C742E">
        <w:t xml:space="preserve">, except analyses of solicited </w:t>
      </w:r>
      <w:r w:rsidR="0035184F">
        <w:t>adverse reactions</w:t>
      </w:r>
      <w:r w:rsidRPr="003C742E">
        <w:t xml:space="preserve">, which were based on the </w:t>
      </w:r>
      <w:r w:rsidR="001E2B87" w:rsidRPr="003C742E">
        <w:t>solicited safety set</w:t>
      </w:r>
      <w:r w:rsidRPr="003C742E">
        <w:t>. All safety analyses were provided by treatment group.</w:t>
      </w:r>
    </w:p>
    <w:p w14:paraId="1D29EE16" w14:textId="74091541" w:rsidR="005E435C" w:rsidRPr="003C742E" w:rsidRDefault="005E435C" w:rsidP="00D91801">
      <w:pPr>
        <w:pStyle w:val="Heading6"/>
      </w:pPr>
      <w:r w:rsidRPr="003C742E">
        <w:t>Long-term</w:t>
      </w:r>
      <w:r w:rsidR="007E3135" w:rsidRPr="003C742E">
        <w:t xml:space="preserve"> analysis</w:t>
      </w:r>
    </w:p>
    <w:p w14:paraId="6C9F8580" w14:textId="53013A36" w:rsidR="005E435C" w:rsidRPr="003C742E" w:rsidRDefault="005E435C" w:rsidP="005E435C">
      <w:bookmarkStart w:id="95" w:name="_Hlk130929219"/>
      <w:r w:rsidRPr="003C742E">
        <w:t xml:space="preserve">Long-term analyses were performed and included data collected in the </w:t>
      </w:r>
      <w:r w:rsidR="001E2B87" w:rsidRPr="003C742E">
        <w:t>blinded phase</w:t>
      </w:r>
      <w:r w:rsidRPr="003C742E">
        <w:t xml:space="preserve"> (Part 1A) and the </w:t>
      </w:r>
      <w:r w:rsidR="007E3135" w:rsidRPr="003C742E">
        <w:t>open label phase</w:t>
      </w:r>
      <w:r w:rsidRPr="003C742E">
        <w:t xml:space="preserve"> (Part 1B), and prior to </w:t>
      </w:r>
      <w:r w:rsidR="00B941A1" w:rsidRPr="003C742E">
        <w:t>booster dose</w:t>
      </w:r>
      <w:r w:rsidRPr="003C742E">
        <w:t xml:space="preserve"> (if a </w:t>
      </w:r>
      <w:r w:rsidR="00B941A1" w:rsidRPr="003C742E">
        <w:t>booster dose</w:t>
      </w:r>
      <w:r w:rsidRPr="003C742E">
        <w:t xml:space="preserve"> was received). In the long-term immunogenicity analysis, to assess the persistence of immunogenicity response after 2 doses of mRNA-1273</w:t>
      </w:r>
      <w:r w:rsidR="0035184F">
        <w:t xml:space="preserve"> </w:t>
      </w:r>
      <w:r w:rsidR="0035184F" w:rsidRPr="003C742E">
        <w:t>vaccine</w:t>
      </w:r>
      <w:r w:rsidRPr="003C742E">
        <w:t xml:space="preserve">, </w:t>
      </w:r>
      <w:r w:rsidR="007E3135" w:rsidRPr="003C742E">
        <w:t>neutralising antibody</w:t>
      </w:r>
      <w:r w:rsidRPr="003C742E">
        <w:t xml:space="preserve"> and </w:t>
      </w:r>
      <w:r w:rsidR="007E3135" w:rsidRPr="003C742E">
        <w:t>binding antibody</w:t>
      </w:r>
      <w:r w:rsidRPr="003C742E">
        <w:t xml:space="preserve"> values were </w:t>
      </w:r>
      <w:r w:rsidRPr="003C742E">
        <w:lastRenderedPageBreak/>
        <w:t>summari</w:t>
      </w:r>
      <w:r w:rsidR="00A15C0C" w:rsidRPr="003C742E">
        <w:t>s</w:t>
      </w:r>
      <w:r w:rsidRPr="003C742E">
        <w:t>ed over time at specified timepoints in an immunogenicity subset specifically for the long-term analysis.</w:t>
      </w:r>
    </w:p>
    <w:bookmarkEnd w:id="95"/>
    <w:p w14:paraId="3ED17297" w14:textId="383E98F8" w:rsidR="005E435C" w:rsidRPr="003C742E" w:rsidRDefault="005E435C">
      <w:pPr>
        <w:pStyle w:val="Heading7"/>
      </w:pPr>
      <w:r w:rsidRPr="003C742E">
        <w:t>Results</w:t>
      </w:r>
    </w:p>
    <w:p w14:paraId="0425E4B3" w14:textId="41850449" w:rsidR="005E435C" w:rsidRPr="003C742E" w:rsidRDefault="005E435C" w:rsidP="005E435C">
      <w:r w:rsidRPr="003C742E">
        <w:t>A total of 3733 participants were randomly assigned to study treatment in a 2:1 ratio: 1243</w:t>
      </w:r>
      <w:r w:rsidR="007E3135" w:rsidRPr="003C742E">
        <w:t> </w:t>
      </w:r>
      <w:r w:rsidRPr="003C742E">
        <w:t xml:space="preserve">participants in the placebo group and 2490 participants in the mRNA-1273 </w:t>
      </w:r>
      <w:r w:rsidR="0035184F" w:rsidRPr="003C742E">
        <w:t xml:space="preserve">vaccine </w:t>
      </w:r>
      <w:r w:rsidRPr="003C742E">
        <w:t>group.</w:t>
      </w:r>
    </w:p>
    <w:p w14:paraId="3CC35256" w14:textId="7B2F5879" w:rsidR="005E435C" w:rsidRPr="003C742E" w:rsidRDefault="005E435C" w:rsidP="005E435C">
      <w:r w:rsidRPr="003C742E">
        <w:t>The study blinding was maintained for as long as feasible following authori</w:t>
      </w:r>
      <w:r w:rsidR="00A15C0C" w:rsidRPr="003C742E">
        <w:t>s</w:t>
      </w:r>
      <w:r w:rsidRPr="003C742E">
        <w:t>ation of a (non</w:t>
      </w:r>
      <w:r w:rsidR="007E3135" w:rsidRPr="003C742E">
        <w:noBreakHyphen/>
      </w:r>
      <w:r w:rsidRPr="003C742E">
        <w:t xml:space="preserve">study) COVID-19 vaccine for the 12 years and older age group on 10 May 2021. However, in total, 78.6% of participants in the placebo group discontinued from the study during the </w:t>
      </w:r>
      <w:r w:rsidR="001E2B87" w:rsidRPr="003C742E">
        <w:t>blinded phase</w:t>
      </w:r>
      <w:r w:rsidRPr="003C742E">
        <w:t xml:space="preserve"> (Part 1A).</w:t>
      </w:r>
    </w:p>
    <w:p w14:paraId="2C3A86A2" w14:textId="2BE7B66C" w:rsidR="005E435C" w:rsidRPr="003C742E" w:rsidRDefault="005E435C" w:rsidP="005E435C">
      <w:r w:rsidRPr="003C742E">
        <w:t xml:space="preserve">In the </w:t>
      </w:r>
      <w:r w:rsidR="001E2B87" w:rsidRPr="003C742E">
        <w:t>safety set</w:t>
      </w:r>
      <w:r w:rsidRPr="003C742E">
        <w:t>, a total of 3726 participants (100%) received Dose 1 and 3702</w:t>
      </w:r>
      <w:r w:rsidR="007E3135" w:rsidRPr="003C742E">
        <w:t> </w:t>
      </w:r>
      <w:r w:rsidRPr="003C742E">
        <w:t>participants (99.4%) received Dose</w:t>
      </w:r>
      <w:r w:rsidR="007E3135" w:rsidRPr="003C742E">
        <w:t> </w:t>
      </w:r>
      <w:r w:rsidRPr="003C742E">
        <w:t>2 in Part 1A. Among participants who received an injection in Part</w:t>
      </w:r>
      <w:r w:rsidR="007E3135" w:rsidRPr="003C742E">
        <w:t> </w:t>
      </w:r>
      <w:r w:rsidRPr="003C742E">
        <w:t>1B (subjects who received placebo in Part 1A, were unblinded, and went on to receive mRNA</w:t>
      </w:r>
      <w:r w:rsidR="007E3135" w:rsidRPr="003C742E">
        <w:noBreakHyphen/>
      </w:r>
      <w:r w:rsidRPr="003C742E">
        <w:t xml:space="preserve">1273 </w:t>
      </w:r>
      <w:r w:rsidR="0035184F" w:rsidRPr="003C742E">
        <w:t xml:space="preserve">vaccine </w:t>
      </w:r>
      <w:r w:rsidRPr="003C742E">
        <w:t>in Part 1B of the study), a total of 91 participants (100%) received Dose 1 and 79</w:t>
      </w:r>
      <w:r w:rsidR="0035184F">
        <w:t> </w:t>
      </w:r>
      <w:r w:rsidRPr="003C742E">
        <w:t>participants (86.8%) received Dose 2.</w:t>
      </w:r>
    </w:p>
    <w:p w14:paraId="5C4BC313" w14:textId="05D97DC2" w:rsidR="005E435C" w:rsidRPr="003C742E" w:rsidRDefault="005E435C" w:rsidP="005E435C">
      <w:bookmarkStart w:id="96" w:name="_Hlk130929297"/>
      <w:r w:rsidRPr="003C742E">
        <w:t xml:space="preserve">In the long-term analysis for the </w:t>
      </w:r>
      <w:r w:rsidR="001E2B87" w:rsidRPr="003C742E">
        <w:t>safety set</w:t>
      </w:r>
      <w:r w:rsidRPr="003C742E">
        <w:t xml:space="preserve">, the original mRNA-1273 </w:t>
      </w:r>
      <w:r w:rsidR="0035184F" w:rsidRPr="003C742E">
        <w:t xml:space="preserve">vaccine </w:t>
      </w:r>
      <w:r w:rsidRPr="003C742E">
        <w:t>group (</w:t>
      </w:r>
      <w:r w:rsidR="00860D51" w:rsidRPr="003C742E">
        <w:t xml:space="preserve">n = </w:t>
      </w:r>
      <w:r w:rsidRPr="003C742E">
        <w:t>2486) had a median duration of follow-up after Dose 2 of 312 days (first to third quartile: 295 to 327, range: 0 to 389); 2378 participants (95.7%) in this group have been followed for 168 days (6</w:t>
      </w:r>
      <w:r w:rsidR="0035184F">
        <w:t> </w:t>
      </w:r>
      <w:r w:rsidRPr="003C742E">
        <w:t>months) or more after Dose 2.</w:t>
      </w:r>
    </w:p>
    <w:bookmarkEnd w:id="96"/>
    <w:p w14:paraId="6187A204" w14:textId="03BA3C4B" w:rsidR="005E435C" w:rsidRPr="003C742E" w:rsidRDefault="005E435C" w:rsidP="005E435C">
      <w:r w:rsidRPr="003C742E">
        <w:t xml:space="preserve">Overall, in the </w:t>
      </w:r>
      <w:r w:rsidR="001E2B87" w:rsidRPr="003C742E">
        <w:t xml:space="preserve">safety set </w:t>
      </w:r>
      <w:r w:rsidRPr="003C742E">
        <w:t xml:space="preserve">of the </w:t>
      </w:r>
      <w:r w:rsidR="001E2B87" w:rsidRPr="003C742E">
        <w:t>blinded phase</w:t>
      </w:r>
      <w:r w:rsidRPr="003C742E">
        <w:t xml:space="preserve">, participant demographics and baseline characteristics were similar between the placebo and mRNA-1273 </w:t>
      </w:r>
      <w:r w:rsidR="0035184F" w:rsidRPr="003C742E">
        <w:t xml:space="preserve">vaccine </w:t>
      </w:r>
      <w:r w:rsidRPr="003C742E">
        <w:t>groups. Due to the loss of Part</w:t>
      </w:r>
      <w:r w:rsidR="007E3135" w:rsidRPr="003C742E">
        <w:t> </w:t>
      </w:r>
      <w:r w:rsidRPr="003C742E">
        <w:t>1A placebo recipients starting in May 2021, the majority of participants in the long-term analysis were those originally randomi</w:t>
      </w:r>
      <w:r w:rsidR="00A15C0C" w:rsidRPr="003C742E">
        <w:t>s</w:t>
      </w:r>
      <w:r w:rsidRPr="003C742E">
        <w:t>ed to mRNA-1273</w:t>
      </w:r>
      <w:r w:rsidR="0035184F">
        <w:t xml:space="preserve"> </w:t>
      </w:r>
      <w:r w:rsidR="0035184F" w:rsidRPr="003C742E">
        <w:t>vaccine</w:t>
      </w:r>
      <w:r w:rsidRPr="003C742E">
        <w:t xml:space="preserve">. Participant demographics and baseline characteristics in Long-term </w:t>
      </w:r>
      <w:r w:rsidR="001E2B87" w:rsidRPr="003C742E">
        <w:t>analysis safety set w</w:t>
      </w:r>
      <w:r w:rsidRPr="003C742E">
        <w:t xml:space="preserve">ere generally similar between the </w:t>
      </w:r>
      <w:r w:rsidR="00B941A1" w:rsidRPr="003C742E">
        <w:t>placebo</w:t>
      </w:r>
      <w:r w:rsidR="0035184F">
        <w:t>/</w:t>
      </w:r>
      <w:r w:rsidRPr="003C742E">
        <w:t>mRNA-1273 and mRNA-1273 groups despite the lower number of participants in the former group.</w:t>
      </w:r>
    </w:p>
    <w:p w14:paraId="2B5F65CC" w14:textId="266DCAFB" w:rsidR="005E435C" w:rsidRPr="00C37777" w:rsidRDefault="00C37777" w:rsidP="00C37777">
      <w:pPr>
        <w:pStyle w:val="Heading7"/>
      </w:pPr>
      <w:r>
        <w:t>E</w:t>
      </w:r>
      <w:r w:rsidR="007E3135" w:rsidRPr="00C37777">
        <w:t>fficacy</w:t>
      </w:r>
    </w:p>
    <w:p w14:paraId="05D0FDA2" w14:textId="2A2D0D96" w:rsidR="005E435C" w:rsidRPr="003C742E" w:rsidRDefault="00C37777" w:rsidP="005E435C">
      <w:r>
        <w:t>The m</w:t>
      </w:r>
      <w:r w:rsidR="005E435C" w:rsidRPr="003C742E">
        <w:t xml:space="preserve">RNA-1273 </w:t>
      </w:r>
      <w:r w:rsidR="0035184F" w:rsidRPr="003C742E">
        <w:t xml:space="preserve">vaccine </w:t>
      </w:r>
      <w:r w:rsidR="005E435C" w:rsidRPr="003C742E">
        <w:t xml:space="preserve">induced potent </w:t>
      </w:r>
      <w:r w:rsidR="007E3135" w:rsidRPr="003C742E">
        <w:t>neutralising antibody</w:t>
      </w:r>
      <w:r w:rsidR="005E435C" w:rsidRPr="003C742E">
        <w:t xml:space="preserve"> responses in the </w:t>
      </w:r>
      <w:r w:rsidR="001E2B87" w:rsidRPr="003C742E">
        <w:t>per-protocol</w:t>
      </w:r>
      <w:r w:rsidR="005E435C" w:rsidRPr="003C742E">
        <w:t xml:space="preserve"> </w:t>
      </w:r>
      <w:r w:rsidR="001E2B87" w:rsidRPr="003C742E">
        <w:t>immunogenicity subset</w:t>
      </w:r>
      <w:r w:rsidR="005E435C" w:rsidRPr="003C742E">
        <w:t xml:space="preserve">: compared to </w:t>
      </w:r>
      <w:r w:rsidR="00860D51" w:rsidRPr="003C742E">
        <w:t>Baseline</w:t>
      </w:r>
      <w:r w:rsidR="005E435C" w:rsidRPr="003C742E">
        <w:t xml:space="preserve">, </w:t>
      </w:r>
      <w:r w:rsidR="007E3135" w:rsidRPr="003C742E">
        <w:t>neutralising antibody</w:t>
      </w:r>
      <w:r w:rsidR="005E435C" w:rsidRPr="003C742E">
        <w:t xml:space="preserve"> levels measured 28 days after Dose 2 (Day 57) were 148-fold higher (GMFR = 148.832; GMT = 1401.670) and 98.8% met criteria for a seroresponse. Marked increases in Day 57 </w:t>
      </w:r>
      <w:r w:rsidR="007E3135" w:rsidRPr="003C742E">
        <w:t>neutralising antibody</w:t>
      </w:r>
      <w:r w:rsidR="005E435C" w:rsidRPr="003C742E">
        <w:t xml:space="preserve"> responses (GMFR</w:t>
      </w:r>
      <w:r w:rsidR="0035184F">
        <w:t> </w:t>
      </w:r>
      <w:r w:rsidR="005E435C" w:rsidRPr="003C742E">
        <w:t>= 43.111; GMT = 2982.642) were similarly observed in adolescents who were SARS</w:t>
      </w:r>
      <w:r w:rsidR="0035184F">
        <w:noBreakHyphen/>
      </w:r>
      <w:r w:rsidR="005E435C" w:rsidRPr="003C742E">
        <w:t>CoV</w:t>
      </w:r>
      <w:r w:rsidR="0035184F">
        <w:noBreakHyphen/>
      </w:r>
      <w:r w:rsidR="005E435C" w:rsidRPr="003C742E">
        <w:t>2</w:t>
      </w:r>
      <w:r w:rsidR="007E3135" w:rsidRPr="003C742E">
        <w:t xml:space="preserve"> </w:t>
      </w:r>
      <w:r w:rsidR="005E435C" w:rsidRPr="003C742E">
        <w:t xml:space="preserve">positive at </w:t>
      </w:r>
      <w:r w:rsidR="00860D51" w:rsidRPr="003C742E">
        <w:t>Baseline</w:t>
      </w:r>
      <w:r w:rsidR="005E435C" w:rsidRPr="003C742E">
        <w:t>, showing that the mRNA</w:t>
      </w:r>
      <w:r w:rsidR="007E3135" w:rsidRPr="003C742E">
        <w:noBreakHyphen/>
      </w:r>
      <w:r w:rsidR="005E435C" w:rsidRPr="003C742E">
        <w:t>1273 primary series triggered robust responses in adolescents regardless of baseline SARS</w:t>
      </w:r>
      <w:r w:rsidR="007E3135" w:rsidRPr="003C742E">
        <w:noBreakHyphen/>
      </w:r>
      <w:r w:rsidR="005E435C" w:rsidRPr="003C742E">
        <w:t>CoV</w:t>
      </w:r>
      <w:r w:rsidR="007E3135" w:rsidRPr="003C742E">
        <w:noBreakHyphen/>
      </w:r>
      <w:r w:rsidR="005E435C" w:rsidRPr="003C742E">
        <w:t>2 status.</w:t>
      </w:r>
    </w:p>
    <w:p w14:paraId="3D9EDE02" w14:textId="43D0DF20" w:rsidR="005E435C" w:rsidRPr="003C742E" w:rsidRDefault="005E435C" w:rsidP="005E435C">
      <w:r w:rsidRPr="003C742E">
        <w:t>The potent responses observed in vaccinated adolescents successfully met the prespecified noninferiority criteria.</w:t>
      </w:r>
    </w:p>
    <w:p w14:paraId="12B7C85F" w14:textId="4027223E" w:rsidR="005E435C" w:rsidRPr="003C742E" w:rsidRDefault="005E435C" w:rsidP="005E435C">
      <w:pPr>
        <w:pStyle w:val="ListBullet"/>
      </w:pPr>
      <w:r w:rsidRPr="003C742E">
        <w:t>The GMR of adolescent GMT compared to young adults GMT at Day 57 was 1.078 (95%</w:t>
      </w:r>
      <w:r w:rsidR="0035184F">
        <w:t> </w:t>
      </w:r>
      <w:r w:rsidRPr="003C742E">
        <w:t>CI:</w:t>
      </w:r>
      <w:r w:rsidR="0035184F">
        <w:t> </w:t>
      </w:r>
      <w:r w:rsidRPr="003C742E">
        <w:t>0.940, 1.237), meeting the 1.5-fold noninferiority criterion (</w:t>
      </w:r>
      <w:r w:rsidR="00860D51" w:rsidRPr="003C742E">
        <w:t>that is</w:t>
      </w:r>
      <w:r w:rsidRPr="003C742E">
        <w:t>, lower bound of the 95%</w:t>
      </w:r>
      <w:r w:rsidR="007E3135" w:rsidRPr="003C742E">
        <w:t> </w:t>
      </w:r>
      <w:r w:rsidRPr="003C742E">
        <w:t xml:space="preserve">CI for GMR is </w:t>
      </w:r>
      <w:r w:rsidR="00A64A37" w:rsidRPr="003C742E">
        <w:t>more than</w:t>
      </w:r>
      <w:r w:rsidR="00860D51" w:rsidRPr="003C742E">
        <w:t xml:space="preserve"> </w:t>
      </w:r>
      <w:r w:rsidRPr="003C742E">
        <w:t xml:space="preserve">0.667). Similarly, the </w:t>
      </w:r>
      <w:r w:rsidR="005969ED" w:rsidRPr="003C742E">
        <w:t>seroresponse rate</w:t>
      </w:r>
      <w:r w:rsidRPr="003C742E">
        <w:t xml:space="preserve"> difference between adolescents and young adults at Day 57 was -0.2 (95% CI: -2.1, 1.9), meeting the 10% noninferiority criterion (lower bound of the 95% of the </w:t>
      </w:r>
      <w:r w:rsidR="005969ED" w:rsidRPr="003C742E">
        <w:t>seroresponse rate</w:t>
      </w:r>
      <w:r w:rsidRPr="003C742E">
        <w:t xml:space="preserve"> difference is </w:t>
      </w:r>
      <w:r w:rsidR="00A64A37" w:rsidRPr="003C742E">
        <w:t>more than</w:t>
      </w:r>
      <w:r w:rsidR="007E3135" w:rsidRPr="003C742E">
        <w:t xml:space="preserve"> </w:t>
      </w:r>
      <w:r w:rsidRPr="003C742E">
        <w:t>-10%).</w:t>
      </w:r>
    </w:p>
    <w:p w14:paraId="2F8EAF97" w14:textId="48A7F1ED" w:rsidR="005E435C" w:rsidRPr="003C742E" w:rsidRDefault="005E435C" w:rsidP="005E435C">
      <w:r w:rsidRPr="003C742E">
        <w:t xml:space="preserve">A secondary objective of </w:t>
      </w:r>
      <w:r w:rsidR="0053571E" w:rsidRPr="003C742E">
        <w:t>Study P20</w:t>
      </w:r>
      <w:r w:rsidRPr="003C742E">
        <w:t xml:space="preserve">3 was to assess </w:t>
      </w:r>
      <w:r w:rsidR="00516475" w:rsidRPr="003C742E">
        <w:t>vaccine efficacy</w:t>
      </w:r>
      <w:r w:rsidRPr="003C742E">
        <w:t xml:space="preserve"> against COVID-19 and against SARS</w:t>
      </w:r>
      <w:r w:rsidR="007E3135" w:rsidRPr="003C742E">
        <w:noBreakHyphen/>
      </w:r>
      <w:r w:rsidRPr="003C742E">
        <w:t>CoV</w:t>
      </w:r>
      <w:r w:rsidR="007E3135" w:rsidRPr="003C742E">
        <w:noBreakHyphen/>
      </w:r>
      <w:r w:rsidRPr="003C742E">
        <w:t xml:space="preserve">2 infection. Beyond 31 May 2021, the loss of placebo participants precluded meaningful analysis of </w:t>
      </w:r>
      <w:r w:rsidR="00516475" w:rsidRPr="003C742E">
        <w:t>vaccine efficacy</w:t>
      </w:r>
      <w:r w:rsidRPr="003C742E">
        <w:t>.</w:t>
      </w:r>
    </w:p>
    <w:p w14:paraId="0FF30DD9" w14:textId="6703D05F" w:rsidR="005E435C" w:rsidRPr="003C742E" w:rsidRDefault="001E2B87" w:rsidP="005E435C">
      <w:pPr>
        <w:pStyle w:val="ListBullet"/>
      </w:pPr>
      <w:r w:rsidRPr="003C742E">
        <w:t xml:space="preserve">Study </w:t>
      </w:r>
      <w:r w:rsidR="005E435C" w:rsidRPr="003C742E">
        <w:t xml:space="preserve">P301 case definition: The observed </w:t>
      </w:r>
      <w:r w:rsidR="00516475" w:rsidRPr="003C742E">
        <w:t>vaccine efficacy</w:t>
      </w:r>
      <w:r w:rsidR="005E435C" w:rsidRPr="003C742E">
        <w:t xml:space="preserve"> against confirmed cases occurring 14 days or more after Dose 2 was 100.0% (95% CI: 61.2%, </w:t>
      </w:r>
      <w:r w:rsidR="007E3135" w:rsidRPr="003C742E">
        <w:t>not estima</w:t>
      </w:r>
      <w:r w:rsidR="00412470" w:rsidRPr="003C742E">
        <w:t>ted</w:t>
      </w:r>
      <w:r w:rsidR="005E435C" w:rsidRPr="003C742E">
        <w:t xml:space="preserve">). The case split was </w:t>
      </w:r>
      <w:r w:rsidR="005E435C" w:rsidRPr="003C742E">
        <w:lastRenderedPageBreak/>
        <w:t>0</w:t>
      </w:r>
      <w:r w:rsidR="007E3135" w:rsidRPr="003C742E">
        <w:t xml:space="preserve"> per </w:t>
      </w:r>
      <w:r w:rsidR="005E435C" w:rsidRPr="003C742E">
        <w:t>2142</w:t>
      </w:r>
      <w:r w:rsidR="007E3135" w:rsidRPr="003C742E">
        <w:t> </w:t>
      </w:r>
      <w:r w:rsidR="005E435C" w:rsidRPr="003C742E">
        <w:t xml:space="preserve">cases in the mRNA-1273 </w:t>
      </w:r>
      <w:r w:rsidR="0035184F" w:rsidRPr="003C742E">
        <w:t xml:space="preserve">vaccine </w:t>
      </w:r>
      <w:r w:rsidR="005E435C" w:rsidRPr="003C742E">
        <w:t>group and 6</w:t>
      </w:r>
      <w:r w:rsidR="007E3135" w:rsidRPr="003C742E">
        <w:t xml:space="preserve"> per </w:t>
      </w:r>
      <w:r w:rsidR="005E435C" w:rsidRPr="003C742E">
        <w:t>1044 cases in the placebo group (21.539 cases</w:t>
      </w:r>
      <w:r w:rsidR="007E3135" w:rsidRPr="003C742E">
        <w:t xml:space="preserve"> per </w:t>
      </w:r>
      <w:r w:rsidR="005E435C" w:rsidRPr="003C742E">
        <w:t>1000</w:t>
      </w:r>
      <w:r w:rsidR="007E3135" w:rsidRPr="003C742E">
        <w:t> </w:t>
      </w:r>
      <w:r w:rsidR="00B941A1" w:rsidRPr="003C742E">
        <w:t xml:space="preserve">person </w:t>
      </w:r>
      <w:r w:rsidR="005E435C" w:rsidRPr="003C742E">
        <w:t>years).</w:t>
      </w:r>
    </w:p>
    <w:p w14:paraId="7A66F713" w14:textId="7CD65821" w:rsidR="005E435C" w:rsidRPr="003C742E" w:rsidRDefault="003C742E" w:rsidP="005E435C">
      <w:pPr>
        <w:pStyle w:val="ListBullet"/>
      </w:pPr>
      <w:r w:rsidRPr="003C742E">
        <w:t>Centers for Disease Control and Prevention (</w:t>
      </w:r>
      <w:r w:rsidR="005E435C" w:rsidRPr="003C742E">
        <w:t>CDC</w:t>
      </w:r>
      <w:r w:rsidRPr="003C742E">
        <w:t>)</w:t>
      </w:r>
      <w:r w:rsidR="005E435C" w:rsidRPr="003C742E">
        <w:t xml:space="preserve"> case definition: </w:t>
      </w:r>
      <w:r w:rsidR="00516475" w:rsidRPr="003C742E">
        <w:t>vaccine efficacy</w:t>
      </w:r>
      <w:r w:rsidR="005E435C" w:rsidRPr="003C742E">
        <w:t xml:space="preserve"> against cases occurring 14 days or more after Dose 2 was 89.9% (95% CI: 51.0%, 98.9%). The case split was 2</w:t>
      </w:r>
      <w:r w:rsidR="007E3135" w:rsidRPr="003C742E">
        <w:t xml:space="preserve"> per </w:t>
      </w:r>
      <w:r w:rsidR="005E435C" w:rsidRPr="003C742E">
        <w:t>2142 cases (3.286 cases</w:t>
      </w:r>
      <w:r w:rsidR="007E3135" w:rsidRPr="003C742E">
        <w:t xml:space="preserve"> per </w:t>
      </w:r>
      <w:r w:rsidR="005E435C" w:rsidRPr="003C742E">
        <w:t xml:space="preserve">1000 </w:t>
      </w:r>
      <w:r w:rsidR="00B941A1" w:rsidRPr="003C742E">
        <w:t xml:space="preserve">person </w:t>
      </w:r>
      <w:r w:rsidR="005E435C" w:rsidRPr="003C742E">
        <w:t>years) in the mRNA-1273 group and 9</w:t>
      </w:r>
      <w:r w:rsidR="007E3135" w:rsidRPr="003C742E">
        <w:t xml:space="preserve"> per </w:t>
      </w:r>
      <w:r w:rsidR="005E435C" w:rsidRPr="003C742E">
        <w:t>1044 cases (32.386</w:t>
      </w:r>
      <w:r w:rsidR="007E3135" w:rsidRPr="003C742E">
        <w:t xml:space="preserve"> per </w:t>
      </w:r>
      <w:r w:rsidR="005E435C" w:rsidRPr="003C742E">
        <w:t xml:space="preserve">1000 </w:t>
      </w:r>
      <w:r w:rsidR="00B941A1" w:rsidRPr="003C742E">
        <w:t xml:space="preserve">person </w:t>
      </w:r>
      <w:r w:rsidR="005E435C" w:rsidRPr="003C742E">
        <w:t>years) in the placebo group.</w:t>
      </w:r>
    </w:p>
    <w:p w14:paraId="5B218B69" w14:textId="34B16851" w:rsidR="005E435C" w:rsidRPr="00D91801" w:rsidRDefault="005E435C" w:rsidP="00C37777">
      <w:pPr>
        <w:pStyle w:val="Heading7"/>
      </w:pPr>
      <w:bookmarkStart w:id="97" w:name="_Hlk130929582"/>
      <w:r w:rsidRPr="00D91801">
        <w:t>Long-term assessment of incidence rates (</w:t>
      </w:r>
      <w:r w:rsidR="007E3135" w:rsidRPr="00D91801">
        <w:t>exploratory endpoint-</w:t>
      </w:r>
      <w:r w:rsidRPr="00D91801">
        <w:t>Part</w:t>
      </w:r>
      <w:r w:rsidR="007D0354">
        <w:t>s</w:t>
      </w:r>
      <w:r w:rsidRPr="00D91801">
        <w:t xml:space="preserve"> 1A and 1B)</w:t>
      </w:r>
      <w:bookmarkEnd w:id="97"/>
    </w:p>
    <w:p w14:paraId="30EE308F" w14:textId="668F822D" w:rsidR="005E435C" w:rsidRPr="007D0354" w:rsidRDefault="00E952A9" w:rsidP="007D0354">
      <w:pPr>
        <w:pStyle w:val="TableTitle"/>
      </w:pPr>
      <w:bookmarkStart w:id="98" w:name="_Ref132969269"/>
      <w:r w:rsidRPr="007D0354">
        <w:t xml:space="preserve">Table </w:t>
      </w:r>
      <w:r w:rsidR="009809E2">
        <w:fldChar w:fldCharType="begin"/>
      </w:r>
      <w:r w:rsidR="009809E2">
        <w:instrText xml:space="preserve"> SEQ Table \* ARABIC </w:instrText>
      </w:r>
      <w:r w:rsidR="009809E2">
        <w:fldChar w:fldCharType="separate"/>
      </w:r>
      <w:r w:rsidR="0005046B">
        <w:rPr>
          <w:noProof/>
        </w:rPr>
        <w:t>13</w:t>
      </w:r>
      <w:r w:rsidR="009809E2">
        <w:rPr>
          <w:noProof/>
        </w:rPr>
        <w:fldChar w:fldCharType="end"/>
      </w:r>
      <w:bookmarkEnd w:id="98"/>
      <w:r w:rsidR="005E435C" w:rsidRPr="007D0354">
        <w:t>:</w:t>
      </w:r>
      <w:r w:rsidR="00585630" w:rsidRPr="007D0354">
        <w:t xml:space="preserve"> Study 203</w:t>
      </w:r>
      <w:r w:rsidR="005E435C" w:rsidRPr="007D0354">
        <w:t xml:space="preserve"> Long-</w:t>
      </w:r>
      <w:r w:rsidR="007E3135" w:rsidRPr="007D0354">
        <w:t xml:space="preserve">term analysis of incidence rate </w:t>
      </w:r>
      <w:r w:rsidR="005E435C" w:rsidRPr="007D0354">
        <w:t xml:space="preserve">of COVID-19 </w:t>
      </w:r>
      <w:r w:rsidR="00A52A06" w:rsidRPr="007D0354">
        <w:t>using Study</w:t>
      </w:r>
      <w:r w:rsidR="003C742E" w:rsidRPr="007D0354">
        <w:t> </w:t>
      </w:r>
      <w:r w:rsidR="00A52A06" w:rsidRPr="007D0354">
        <w:t xml:space="preserve">P301 case definition </w:t>
      </w:r>
      <w:r w:rsidR="00412470" w:rsidRPr="007D0354">
        <w:t xml:space="preserve">of </w:t>
      </w:r>
      <w:r w:rsidR="007E3135" w:rsidRPr="007D0354">
        <w:t>combined blinded and open label phases (per-protocol set for efficacy)</w:t>
      </w:r>
    </w:p>
    <w:p w14:paraId="47E95CA9" w14:textId="386A34FF" w:rsidR="00412470" w:rsidRPr="003C742E" w:rsidRDefault="00412470" w:rsidP="00412470">
      <w:r w:rsidRPr="003C742E">
        <w:rPr>
          <w:noProof/>
          <w:lang w:val="en-GB" w:eastAsia="en-GB"/>
        </w:rPr>
        <w:drawing>
          <wp:inline distT="0" distB="0" distL="0" distR="0" wp14:anchorId="33938159" wp14:editId="4ADE0FB7">
            <wp:extent cx="5513696" cy="3657372"/>
            <wp:effectExtent l="0" t="0" r="0" b="635"/>
            <wp:docPr id="4" name="Picture 4" descr="Table 13: Study 203 Long-term analysis of incidence rate of COVID-19 using Study P301 case definition of combined blinded and open label phases (per-protocol set for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 13: Study 203 Long-term analysis of incidence rate of COVID-19 using Study P301 case definition of combined blinded and open label phases (per-protocol set for efficacy)"/>
                    <pic:cNvPicPr/>
                  </pic:nvPicPr>
                  <pic:blipFill>
                    <a:blip r:embed="rId58"/>
                    <a:stretch>
                      <a:fillRect/>
                    </a:stretch>
                  </pic:blipFill>
                  <pic:spPr>
                    <a:xfrm>
                      <a:off x="0" y="0"/>
                      <a:ext cx="5531966" cy="3669491"/>
                    </a:xfrm>
                    <a:prstGeom prst="rect">
                      <a:avLst/>
                    </a:prstGeom>
                  </pic:spPr>
                </pic:pic>
              </a:graphicData>
            </a:graphic>
          </wp:inline>
        </w:drawing>
      </w:r>
    </w:p>
    <w:p w14:paraId="5D7FEE68" w14:textId="1789276B" w:rsidR="00412470" w:rsidRPr="003C742E" w:rsidRDefault="00412470" w:rsidP="00412470">
      <w:pPr>
        <w:pStyle w:val="TableTitle"/>
      </w:pPr>
      <w:r w:rsidRPr="003C742E">
        <w:lastRenderedPageBreak/>
        <w:fldChar w:fldCharType="begin"/>
      </w:r>
      <w:r w:rsidRPr="003C742E">
        <w:instrText xml:space="preserve"> REF _Ref132969269 \h  \* MERGEFORMAT </w:instrText>
      </w:r>
      <w:r w:rsidRPr="003C742E">
        <w:fldChar w:fldCharType="separate"/>
      </w:r>
      <w:r w:rsidR="0005046B" w:rsidRPr="007D0354">
        <w:t xml:space="preserve">Table </w:t>
      </w:r>
      <w:r w:rsidR="0005046B">
        <w:t>13</w:t>
      </w:r>
      <w:r w:rsidRPr="003C742E">
        <w:fldChar w:fldCharType="end"/>
      </w:r>
      <w:r w:rsidRPr="003C742E">
        <w:t xml:space="preserve"> </w:t>
      </w:r>
      <w:r w:rsidR="0035184F">
        <w:t>(</w:t>
      </w:r>
      <w:r w:rsidRPr="003C742E">
        <w:t>continued</w:t>
      </w:r>
      <w:r w:rsidR="0035184F">
        <w:t>)</w:t>
      </w:r>
      <w:r w:rsidRPr="003C742E">
        <w:t>:</w:t>
      </w:r>
      <w:r w:rsidR="00585630">
        <w:t xml:space="preserve"> Study 203</w:t>
      </w:r>
      <w:r w:rsidRPr="003C742E">
        <w:t xml:space="preserve"> Long-term analysis of incidence rate of COVID-19 </w:t>
      </w:r>
      <w:r w:rsidR="00A52A06" w:rsidRPr="003C742E">
        <w:t xml:space="preserve">using Study P301 case definition </w:t>
      </w:r>
      <w:r w:rsidRPr="003C742E">
        <w:t>of combined blinded and open label phases (per-protocol set for efficacy)</w:t>
      </w:r>
    </w:p>
    <w:p w14:paraId="53769FDF" w14:textId="47318625" w:rsidR="005E435C" w:rsidRPr="003C742E" w:rsidRDefault="00412470" w:rsidP="005E435C">
      <w:r w:rsidRPr="003C742E">
        <w:rPr>
          <w:noProof/>
          <w:lang w:val="en-GB" w:eastAsia="en-GB"/>
        </w:rPr>
        <w:drawing>
          <wp:inline distT="0" distB="0" distL="0" distR="0" wp14:anchorId="11797EE5" wp14:editId="677C1E02">
            <wp:extent cx="5462546" cy="6651863"/>
            <wp:effectExtent l="19050" t="19050" r="24130" b="15875"/>
            <wp:docPr id="5" name="Picture 5" descr="Table 13 (continued): Study 203 Long-term analysis of incidence rate of COVID-19 using Study P301 case definition of combined blinded and open label phases (per-protocol set for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13 (continued): Study 203 Long-term analysis of incidence rate of COVID-19 using Study P301 case definition of combined blinded and open label phases (per-protocol set for efficacy)"/>
                    <pic:cNvPicPr/>
                  </pic:nvPicPr>
                  <pic:blipFill>
                    <a:blip r:embed="rId59"/>
                    <a:stretch>
                      <a:fillRect/>
                    </a:stretch>
                  </pic:blipFill>
                  <pic:spPr>
                    <a:xfrm>
                      <a:off x="0" y="0"/>
                      <a:ext cx="5473703" cy="6665449"/>
                    </a:xfrm>
                    <a:prstGeom prst="rect">
                      <a:avLst/>
                    </a:prstGeom>
                    <a:ln>
                      <a:solidFill>
                        <a:schemeClr val="tx1"/>
                      </a:solidFill>
                    </a:ln>
                  </pic:spPr>
                </pic:pic>
              </a:graphicData>
            </a:graphic>
          </wp:inline>
        </w:drawing>
      </w:r>
    </w:p>
    <w:p w14:paraId="445451BD" w14:textId="4C3F3DC3" w:rsidR="00412470" w:rsidRPr="003C742E" w:rsidRDefault="00E15923" w:rsidP="0023406D">
      <w:pPr>
        <w:pStyle w:val="TableDescription"/>
        <w:spacing w:before="0" w:after="0"/>
      </w:pPr>
      <w:r w:rsidRPr="003C742E">
        <w:t xml:space="preserve">Abbreviations: CI </w:t>
      </w:r>
      <w:r w:rsidR="00412470" w:rsidRPr="003C742E">
        <w:t>= confidence interval; COVID-19 = coronavirus disease 2019; mRNA-1273 = Spikevax (elasomeran) COVID-19 vaccine drug development name; N1 = number of participants with non-missing data at Baseline and the corresponding timepoint; NE = not estimated.</w:t>
      </w:r>
    </w:p>
    <w:p w14:paraId="340D24C3" w14:textId="0A384E71" w:rsidR="00412470" w:rsidRPr="003C742E" w:rsidRDefault="00412470" w:rsidP="0023406D">
      <w:pPr>
        <w:pStyle w:val="TableDescription"/>
        <w:spacing w:before="0" w:after="0"/>
      </w:pPr>
      <w:r w:rsidRPr="003C742E">
        <w:t>One month =30.4375 days.</w:t>
      </w:r>
      <w:r w:rsidR="00211529">
        <w:t xml:space="preserve"> </w:t>
      </w:r>
      <w:r w:rsidR="00A52A06" w:rsidRPr="003C742E">
        <w:t xml:space="preserve">Using </w:t>
      </w:r>
      <w:r w:rsidRPr="003C742E">
        <w:t>Study P301 case definition starting 14 days after second dose by calendar month, mRNA-1273 group.</w:t>
      </w:r>
    </w:p>
    <w:p w14:paraId="31A2A338" w14:textId="2012472D" w:rsidR="00412470" w:rsidRPr="003C742E" w:rsidRDefault="00C82B78" w:rsidP="0023406D">
      <w:pPr>
        <w:pStyle w:val="TableDescription"/>
        <w:spacing w:before="0" w:after="0"/>
      </w:pPr>
      <w:r w:rsidRPr="003C742E">
        <w:t>a.</w:t>
      </w:r>
      <w:r w:rsidR="00412470" w:rsidRPr="003C742E">
        <w:t xml:space="preserve"> Percentages are based on N1.</w:t>
      </w:r>
    </w:p>
    <w:p w14:paraId="05D33D1F" w14:textId="1283ECDC" w:rsidR="00412470" w:rsidRPr="003C742E" w:rsidRDefault="00C82B78" w:rsidP="0023406D">
      <w:pPr>
        <w:pStyle w:val="TableDescription"/>
        <w:spacing w:before="0" w:after="0"/>
      </w:pPr>
      <w:r w:rsidRPr="003C742E">
        <w:t>b.</w:t>
      </w:r>
      <w:r w:rsidR="00412470" w:rsidRPr="003C742E">
        <w:t xml:space="preserve"> Person months for each time period is defined as the total months from the earlier date of the start of each time period or 14 days after second dose to the earliest date of the first occurrence of COVID-19, the end of each time period, study discontinuation, non-study COVID-19 vaccination, booster dose, or data cut-off.</w:t>
      </w:r>
    </w:p>
    <w:p w14:paraId="76DCB1DC" w14:textId="679D5AE9" w:rsidR="00412470" w:rsidRPr="003C742E" w:rsidRDefault="00412470" w:rsidP="0023406D">
      <w:pPr>
        <w:pStyle w:val="TableDescription"/>
        <w:spacing w:before="0" w:after="0"/>
      </w:pPr>
      <w:r w:rsidRPr="003C742E">
        <w:t>c. Incidence rate for each time period is defined as the number of participants with an event during the time period divided by number of participants at risks during the time period and adjusted by person months (total time at risk) in each treatment group. The 95% CI is calculated suing the exact method (Poisson distribution) and adjusted by person-months.</w:t>
      </w:r>
    </w:p>
    <w:p w14:paraId="08E00DB3" w14:textId="6805A659" w:rsidR="005E435C" w:rsidRPr="003C742E" w:rsidRDefault="00E952A9" w:rsidP="00412470">
      <w:pPr>
        <w:pStyle w:val="TableTitle"/>
      </w:pPr>
      <w:bookmarkStart w:id="99" w:name="_Ref132976141"/>
      <w:r w:rsidRPr="003C742E">
        <w:lastRenderedPageBreak/>
        <w:t xml:space="preserve">Table </w:t>
      </w:r>
      <w:r w:rsidR="009809E2">
        <w:fldChar w:fldCharType="begin"/>
      </w:r>
      <w:r w:rsidR="009809E2">
        <w:instrText xml:space="preserve"> SEQ Table \* ARABIC </w:instrText>
      </w:r>
      <w:r w:rsidR="009809E2">
        <w:fldChar w:fldCharType="separate"/>
      </w:r>
      <w:r w:rsidR="0005046B">
        <w:rPr>
          <w:noProof/>
        </w:rPr>
        <w:t>14</w:t>
      </w:r>
      <w:r w:rsidR="009809E2">
        <w:rPr>
          <w:noProof/>
        </w:rPr>
        <w:fldChar w:fldCharType="end"/>
      </w:r>
      <w:bookmarkEnd w:id="99"/>
      <w:r w:rsidR="005E435C" w:rsidRPr="003C742E">
        <w:t>:</w:t>
      </w:r>
      <w:r w:rsidR="00585630">
        <w:t xml:space="preserve"> Study P203</w:t>
      </w:r>
      <w:r w:rsidR="005E435C" w:rsidRPr="003C742E">
        <w:t xml:space="preserve"> Long-</w:t>
      </w:r>
      <w:r w:rsidR="007E3135" w:rsidRPr="003C742E">
        <w:t xml:space="preserve">term analysis of incidence rate of COVID-19 </w:t>
      </w:r>
      <w:r w:rsidR="00A52A06" w:rsidRPr="003C742E">
        <w:t xml:space="preserve">using </w:t>
      </w:r>
      <w:r w:rsidR="00C82B78" w:rsidRPr="003C742E">
        <w:t>Center</w:t>
      </w:r>
      <w:r w:rsidR="003C742E">
        <w:t>s</w:t>
      </w:r>
      <w:r w:rsidR="00C82B78" w:rsidRPr="003C742E">
        <w:t xml:space="preserve"> for Disease Control and Prevention </w:t>
      </w:r>
      <w:r w:rsidR="007E3135" w:rsidRPr="003C742E">
        <w:t xml:space="preserve">case definition </w:t>
      </w:r>
      <w:r w:rsidR="00A52A06" w:rsidRPr="003C742E">
        <w:t xml:space="preserve">of </w:t>
      </w:r>
      <w:r w:rsidR="007E3135" w:rsidRPr="003C742E">
        <w:t>combined blinded and open label phases (per-protocol set for efficacy)</w:t>
      </w:r>
    </w:p>
    <w:p w14:paraId="7BB24D1D" w14:textId="6D755D9E" w:rsidR="00C82B78" w:rsidRPr="003C742E" w:rsidRDefault="00C82B78" w:rsidP="003C742E">
      <w:r w:rsidRPr="003C742E">
        <w:rPr>
          <w:noProof/>
          <w:lang w:val="en-GB" w:eastAsia="en-GB"/>
        </w:rPr>
        <w:drawing>
          <wp:inline distT="0" distB="0" distL="0" distR="0" wp14:anchorId="0B3F1FC1" wp14:editId="372DF15D">
            <wp:extent cx="5759450" cy="6662420"/>
            <wp:effectExtent l="0" t="0" r="0" b="5080"/>
            <wp:docPr id="15" name="Picture 15" descr="Table 14: Study P203 Long-term analysis of incidence rate of COVID-19 using Centers for Disease Control and Prevention case definition of combined blinded and open label phases (per-protocol set for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14: Study P203 Long-term analysis of incidence rate of COVID-19 using Centers for Disease Control and Prevention case definition of combined blinded and open label phases (per-protocol set for efficacy)"/>
                    <pic:cNvPicPr/>
                  </pic:nvPicPr>
                  <pic:blipFill>
                    <a:blip r:embed="rId60"/>
                    <a:stretch>
                      <a:fillRect/>
                    </a:stretch>
                  </pic:blipFill>
                  <pic:spPr>
                    <a:xfrm>
                      <a:off x="0" y="0"/>
                      <a:ext cx="5759450" cy="6662420"/>
                    </a:xfrm>
                    <a:prstGeom prst="rect">
                      <a:avLst/>
                    </a:prstGeom>
                  </pic:spPr>
                </pic:pic>
              </a:graphicData>
            </a:graphic>
          </wp:inline>
        </w:drawing>
      </w:r>
      <w:r w:rsidRPr="003C742E">
        <w:br w:type="page"/>
      </w:r>
    </w:p>
    <w:p w14:paraId="773FAFC1" w14:textId="60E6597E" w:rsidR="00C82B78" w:rsidRPr="003C742E" w:rsidRDefault="00C82B78" w:rsidP="00412470">
      <w:pPr>
        <w:pStyle w:val="TableTitle"/>
      </w:pPr>
      <w:r w:rsidRPr="003C742E">
        <w:lastRenderedPageBreak/>
        <w:fldChar w:fldCharType="begin"/>
      </w:r>
      <w:r w:rsidRPr="003C742E">
        <w:instrText xml:space="preserve"> REF _Ref132976141 \h  \* MERGEFORMAT </w:instrText>
      </w:r>
      <w:r w:rsidRPr="003C742E">
        <w:fldChar w:fldCharType="separate"/>
      </w:r>
      <w:r w:rsidR="0005046B" w:rsidRPr="003C742E">
        <w:t xml:space="preserve">Table </w:t>
      </w:r>
      <w:r w:rsidR="0005046B">
        <w:t>14</w:t>
      </w:r>
      <w:r w:rsidRPr="003C742E">
        <w:fldChar w:fldCharType="end"/>
      </w:r>
      <w:r w:rsidRPr="003C742E">
        <w:t xml:space="preserve"> </w:t>
      </w:r>
      <w:r w:rsidR="00211529">
        <w:t>(</w:t>
      </w:r>
      <w:r w:rsidRPr="003C742E">
        <w:t>continued</w:t>
      </w:r>
      <w:r w:rsidR="00211529">
        <w:t>)</w:t>
      </w:r>
      <w:r w:rsidRPr="003C742E">
        <w:t xml:space="preserve">: </w:t>
      </w:r>
      <w:r w:rsidR="00585630">
        <w:t xml:space="preserve">Study P203 </w:t>
      </w:r>
      <w:r w:rsidRPr="003C742E">
        <w:t>Long-term analysis of incidence rate of COVID-19 using Center</w:t>
      </w:r>
      <w:r w:rsidR="003C742E">
        <w:t>s</w:t>
      </w:r>
      <w:r w:rsidRPr="003C742E">
        <w:t xml:space="preserve"> for Disease Control and Prevention case definition of combined blinded and open label phases (per-protocol set for efficacy)</w:t>
      </w:r>
    </w:p>
    <w:p w14:paraId="4A6D63CE" w14:textId="641DF185" w:rsidR="00C82B78" w:rsidRPr="003C742E" w:rsidRDefault="00C82B78" w:rsidP="003C742E">
      <w:r w:rsidRPr="003C742E">
        <w:rPr>
          <w:noProof/>
          <w:lang w:val="en-GB" w:eastAsia="en-GB"/>
        </w:rPr>
        <w:drawing>
          <wp:inline distT="0" distB="0" distL="0" distR="0" wp14:anchorId="6BC76078" wp14:editId="3EABC950">
            <wp:extent cx="5669280" cy="5478570"/>
            <wp:effectExtent l="19050" t="19050" r="26670" b="27305"/>
            <wp:docPr id="16" name="Picture 16" descr="Table 14 (continued): Study P203 Long-term analysis of incidence rate of COVID-19 using Centers for Disease Control and Prevention case definition of combined blinded and open label phases (per-protocol set for effica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14 (continued): Study P203 Long-term analysis of incidence rate of COVID-19 using Centers for Disease Control and Prevention case definition of combined blinded and open label phases (per-protocol set for efficacy)"/>
                    <pic:cNvPicPr/>
                  </pic:nvPicPr>
                  <pic:blipFill>
                    <a:blip r:embed="rId61"/>
                    <a:stretch>
                      <a:fillRect/>
                    </a:stretch>
                  </pic:blipFill>
                  <pic:spPr>
                    <a:xfrm>
                      <a:off x="0" y="0"/>
                      <a:ext cx="5675959" cy="5485025"/>
                    </a:xfrm>
                    <a:prstGeom prst="rect">
                      <a:avLst/>
                    </a:prstGeom>
                    <a:ln>
                      <a:solidFill>
                        <a:schemeClr val="tx1"/>
                      </a:solidFill>
                    </a:ln>
                  </pic:spPr>
                </pic:pic>
              </a:graphicData>
            </a:graphic>
          </wp:inline>
        </w:drawing>
      </w:r>
    </w:p>
    <w:p w14:paraId="30261F27" w14:textId="77777777" w:rsidR="00A52A06" w:rsidRPr="003C742E" w:rsidRDefault="00A52A06" w:rsidP="003C742E">
      <w:pPr>
        <w:pStyle w:val="TableDescription"/>
      </w:pPr>
      <w:r w:rsidRPr="003C742E">
        <w:t>Abbreviations: CI = confidence interval; COVID-19 = coronavirus disease 2019; mRNA-1273 = Spikevax (elasomeran) COVID-19 vaccine drug development name; N1 = number of participants with non-missing data at Baseline and the corresponding timepoint; NE = not estimated.</w:t>
      </w:r>
    </w:p>
    <w:p w14:paraId="4185E69F" w14:textId="17C73356" w:rsidR="00A52A06" w:rsidRPr="003C742E" w:rsidRDefault="00A52A06" w:rsidP="003C742E">
      <w:pPr>
        <w:pStyle w:val="TableDescription"/>
      </w:pPr>
      <w:r w:rsidRPr="003C742E">
        <w:t>One month =30.4375 days.</w:t>
      </w:r>
    </w:p>
    <w:p w14:paraId="48ED383B" w14:textId="02878807" w:rsidR="00A52A06" w:rsidRPr="003C742E" w:rsidRDefault="00A52A06" w:rsidP="003C742E">
      <w:pPr>
        <w:pStyle w:val="TableDescription"/>
      </w:pPr>
      <w:r w:rsidRPr="003C742E">
        <w:t xml:space="preserve">Using </w:t>
      </w:r>
      <w:r w:rsidR="00211529">
        <w:t>the United States Food and Drug Administration/</w:t>
      </w:r>
      <w:r w:rsidRPr="003C742E">
        <w:t>Center</w:t>
      </w:r>
      <w:r w:rsidR="003C742E" w:rsidRPr="003C742E">
        <w:t>s</w:t>
      </w:r>
      <w:r w:rsidRPr="003C742E">
        <w:t xml:space="preserve"> for Disease Control and Prevention (CDC) case definition starting 14 days after second dose by calendar month.</w:t>
      </w:r>
    </w:p>
    <w:p w14:paraId="4F92FA70" w14:textId="6EDDF9F8" w:rsidR="00A52A06" w:rsidRPr="003C742E" w:rsidRDefault="00C82B78" w:rsidP="003C742E">
      <w:pPr>
        <w:pStyle w:val="TableDescription"/>
      </w:pPr>
      <w:r w:rsidRPr="003C742E">
        <w:t>a.</w:t>
      </w:r>
      <w:r w:rsidR="00A52A06" w:rsidRPr="003C742E">
        <w:t xml:space="preserve"> Percentages are based on N1.</w:t>
      </w:r>
    </w:p>
    <w:p w14:paraId="549E6DB5" w14:textId="54CB8991" w:rsidR="00A52A06" w:rsidRPr="003C742E" w:rsidRDefault="00C82B78" w:rsidP="003C742E">
      <w:pPr>
        <w:pStyle w:val="TableDescription"/>
      </w:pPr>
      <w:r w:rsidRPr="003C742E">
        <w:t>b.</w:t>
      </w:r>
      <w:r w:rsidR="00A52A06" w:rsidRPr="003C742E">
        <w:t xml:space="preserve"> Person months for each time period is defined as the total months from the earlier date of the start of each time period or 14 days after second dose to the earliest date of the first occurrence of COVID-19, the end of each time period, study discontinuation, non-study COVID-19 vaccination, booster dose, or data cut-off.</w:t>
      </w:r>
    </w:p>
    <w:p w14:paraId="5FA50C74" w14:textId="40BA870C" w:rsidR="005E435C" w:rsidRPr="003C742E" w:rsidRDefault="00A52A06" w:rsidP="003C742E">
      <w:pPr>
        <w:pStyle w:val="TableDescription"/>
      </w:pPr>
      <w:r w:rsidRPr="003C742E">
        <w:t>c. Incidence rate for each time period is defined as the number of participants with an event during the time period divided by number of participants at risks during the time period and adjusted by person months (total time at risk) in each treatment group. The 95% CI is calculated suing the exact method (Poisson distribution) and adjusted by person-months.</w:t>
      </w:r>
    </w:p>
    <w:p w14:paraId="59DBB487" w14:textId="7B0D41D9" w:rsidR="005E435C" w:rsidRPr="003C742E" w:rsidRDefault="005E435C" w:rsidP="005E435C">
      <w:bookmarkStart w:id="100" w:name="_Hlk130929601"/>
      <w:r w:rsidRPr="003C742E">
        <w:t xml:space="preserve">The sponsor presents that by calendar month among all participants who received mRNA-1273 </w:t>
      </w:r>
      <w:r w:rsidR="00211529" w:rsidRPr="003C742E">
        <w:t xml:space="preserve">vaccine </w:t>
      </w:r>
      <w:r w:rsidRPr="003C742E">
        <w:t>as randomised and remained on study up to 31 Jan</w:t>
      </w:r>
      <w:r w:rsidR="007E3135" w:rsidRPr="003C742E">
        <w:t>uary</w:t>
      </w:r>
      <w:r w:rsidRPr="003C742E">
        <w:t xml:space="preserve"> 2022 (combined blinded and unblinded) showed low monthly incidence rates of COVID-19 until Nov</w:t>
      </w:r>
      <w:r w:rsidR="007E3135" w:rsidRPr="003C742E">
        <w:t>ember</w:t>
      </w:r>
      <w:r w:rsidRPr="003C742E">
        <w:t xml:space="preserve"> 2021. Even during </w:t>
      </w:r>
      <w:r w:rsidRPr="003C742E">
        <w:lastRenderedPageBreak/>
        <w:t xml:space="preserve">the time when </w:t>
      </w:r>
      <w:r w:rsidR="00211529">
        <w:t xml:space="preserve">the </w:t>
      </w:r>
      <w:r w:rsidRPr="003C742E">
        <w:t>Delta</w:t>
      </w:r>
      <w:r w:rsidR="00211529">
        <w:t xml:space="preserve"> SARS-CoV-2 variant</w:t>
      </w:r>
      <w:r w:rsidRPr="003C742E">
        <w:t xml:space="preserve"> was the predominant circulating strain in the </w:t>
      </w:r>
      <w:bookmarkStart w:id="101" w:name="_Hlk132904724"/>
      <w:r w:rsidR="00211529">
        <w:t>USA</w:t>
      </w:r>
      <w:r w:rsidRPr="003C742E">
        <w:t xml:space="preserve"> </w:t>
      </w:r>
      <w:bookmarkEnd w:id="101"/>
      <w:r w:rsidRPr="003C742E">
        <w:t>(</w:t>
      </w:r>
      <w:r w:rsidR="00211529">
        <w:t xml:space="preserve">from </w:t>
      </w:r>
      <w:r w:rsidRPr="003C742E">
        <w:t>Jul</w:t>
      </w:r>
      <w:r w:rsidR="007E3135" w:rsidRPr="003C742E">
        <w:t>y</w:t>
      </w:r>
      <w:r w:rsidRPr="003C742E">
        <w:t xml:space="preserve"> to Nov</w:t>
      </w:r>
      <w:r w:rsidR="007E3135" w:rsidRPr="003C742E">
        <w:t>ember</w:t>
      </w:r>
      <w:r w:rsidRPr="003C742E">
        <w:t xml:space="preserve"> 2021), incidence rates among vaccinated study participants generally remained stable. Not unexpectedly, an increase in COVID-19 incidence rates was observed in Dec</w:t>
      </w:r>
      <w:r w:rsidR="007E3135" w:rsidRPr="003C742E">
        <w:t>ember</w:t>
      </w:r>
      <w:r w:rsidRPr="003C742E">
        <w:t xml:space="preserve"> 2021 and </w:t>
      </w:r>
      <w:r w:rsidR="007E3135" w:rsidRPr="003C742E">
        <w:t xml:space="preserve">January </w:t>
      </w:r>
      <w:r w:rsidRPr="003C742E">
        <w:t>2022, when the Omicron variant prevailed. These findings are consistent with real</w:t>
      </w:r>
      <w:r w:rsidR="007E3135" w:rsidRPr="003C742E">
        <w:t xml:space="preserve"> </w:t>
      </w:r>
      <w:r w:rsidRPr="003C742E">
        <w:t>world increases in COVID</w:t>
      </w:r>
      <w:r w:rsidR="007E3135" w:rsidRPr="003C742E">
        <w:noBreakHyphen/>
      </w:r>
      <w:r w:rsidRPr="003C742E">
        <w:t>19 incidence during the US Omicron surge (</w:t>
      </w:r>
      <w:r w:rsidR="007E3135" w:rsidRPr="003C742E">
        <w:t xml:space="preserve">December </w:t>
      </w:r>
      <w:r w:rsidRPr="003C742E">
        <w:t xml:space="preserve">2021 to </w:t>
      </w:r>
      <w:r w:rsidR="007E3135" w:rsidRPr="003C742E">
        <w:t xml:space="preserve">January </w:t>
      </w:r>
      <w:r w:rsidRPr="003C742E">
        <w:t>2022).</w:t>
      </w:r>
      <w:bookmarkStart w:id="102" w:name="_Ref133243325"/>
      <w:r w:rsidR="007E3135" w:rsidRPr="003C742E">
        <w:rPr>
          <w:rStyle w:val="FootnoteReference"/>
        </w:rPr>
        <w:footnoteReference w:id="23"/>
      </w:r>
      <w:bookmarkEnd w:id="102"/>
      <w:r w:rsidR="003C742E" w:rsidRPr="003C742E">
        <w:rPr>
          <w:vertAlign w:val="superscript"/>
        </w:rPr>
        <w:t>,</w:t>
      </w:r>
      <w:bookmarkStart w:id="103" w:name="_Ref133243327"/>
      <w:r w:rsidR="003C742E" w:rsidRPr="003C742E">
        <w:rPr>
          <w:rStyle w:val="FootnoteReference"/>
        </w:rPr>
        <w:footnoteReference w:id="24"/>
      </w:r>
      <w:bookmarkEnd w:id="103"/>
    </w:p>
    <w:p w14:paraId="5CA97895" w14:textId="02D26E27" w:rsidR="005E435C" w:rsidRPr="003C742E" w:rsidRDefault="00C37777">
      <w:pPr>
        <w:pStyle w:val="Heading7"/>
      </w:pPr>
      <w:bookmarkStart w:id="104" w:name="_Hlk130929651"/>
      <w:bookmarkEnd w:id="100"/>
      <w:r>
        <w:t>S</w:t>
      </w:r>
      <w:r w:rsidR="005E435C" w:rsidRPr="003C742E">
        <w:t>afety</w:t>
      </w:r>
    </w:p>
    <w:p w14:paraId="6C83C84A" w14:textId="4A995940" w:rsidR="005E435C" w:rsidRPr="003C742E" w:rsidRDefault="005E435C" w:rsidP="005E435C">
      <w:r w:rsidRPr="003C742E">
        <w:t xml:space="preserve">As of the cut-off date of 31 </w:t>
      </w:r>
      <w:r w:rsidR="007E3135" w:rsidRPr="003C742E">
        <w:t xml:space="preserve">January </w:t>
      </w:r>
      <w:r w:rsidRPr="003C742E">
        <w:t>2022, the mRNA-1273 vaccine, administered as 2 injections (100</w:t>
      </w:r>
      <w:r w:rsidR="007E3135" w:rsidRPr="003C742E">
        <w:t> </w:t>
      </w:r>
      <w:r w:rsidRPr="003C742E">
        <w:t xml:space="preserve">μg) 28 days apart, demonstrated an acceptable safety profile in the adolescent study population (12 to </w:t>
      </w:r>
      <w:r w:rsidR="00860D51" w:rsidRPr="003C742E">
        <w:t xml:space="preserve">less than </w:t>
      </w:r>
      <w:r w:rsidRPr="003C742E">
        <w:t>18 years).</w:t>
      </w:r>
    </w:p>
    <w:p w14:paraId="16A7A8C2" w14:textId="2A276AD5" w:rsidR="005E435C" w:rsidRPr="003C742E" w:rsidRDefault="005E435C" w:rsidP="005E435C">
      <w:r w:rsidRPr="003C742E">
        <w:t xml:space="preserve">Overall, the reactogenicity profile was consistent with that seen in adults (Study P301). </w:t>
      </w:r>
      <w:bookmarkEnd w:id="104"/>
      <w:r w:rsidRPr="003C742E">
        <w:t xml:space="preserve">Solicited local and systemic </w:t>
      </w:r>
      <w:r w:rsidR="00211529">
        <w:t>adverse reactions</w:t>
      </w:r>
      <w:r w:rsidR="00211529" w:rsidRPr="003C742E">
        <w:t xml:space="preserve"> </w:t>
      </w:r>
      <w:r w:rsidRPr="003C742E">
        <w:t xml:space="preserve">had a higher incidence in the mRNA-1273 </w:t>
      </w:r>
      <w:r w:rsidR="00211529" w:rsidRPr="003C742E">
        <w:t xml:space="preserve">vaccine </w:t>
      </w:r>
      <w:r w:rsidRPr="003C742E">
        <w:t xml:space="preserve">group (94.2%) than in the placebo group (36.8%). Most events were considered </w:t>
      </w:r>
      <w:r w:rsidR="007E3135" w:rsidRPr="003C742E">
        <w:t xml:space="preserve">Grade </w:t>
      </w:r>
      <w:r w:rsidRPr="003C742E">
        <w:t xml:space="preserve">1 or 2 in severity and most events had an onset within </w:t>
      </w:r>
      <w:r w:rsidR="007E3135" w:rsidRPr="003C742E">
        <w:t xml:space="preserve">one to two </w:t>
      </w:r>
      <w:r w:rsidRPr="003C742E">
        <w:t xml:space="preserve">days after injection with a mean duration of approximately </w:t>
      </w:r>
      <w:r w:rsidR="007E3135" w:rsidRPr="003C742E">
        <w:t>three</w:t>
      </w:r>
      <w:r w:rsidRPr="003C742E">
        <w:t xml:space="preserve"> days. The most common solicited local </w:t>
      </w:r>
      <w:r w:rsidR="00211529">
        <w:t>adverse reaction</w:t>
      </w:r>
      <w:r w:rsidR="00211529" w:rsidRPr="003C742E">
        <w:t xml:space="preserve"> </w:t>
      </w:r>
      <w:r w:rsidRPr="003C742E">
        <w:t xml:space="preserve">was pain, and the most common solicited systemic </w:t>
      </w:r>
      <w:r w:rsidR="00211529">
        <w:t>adverse reactions</w:t>
      </w:r>
      <w:r w:rsidR="00211529" w:rsidRPr="003C742E">
        <w:t xml:space="preserve"> </w:t>
      </w:r>
      <w:r w:rsidRPr="003C742E">
        <w:t xml:space="preserve">were fatigue, headache, myalgia, and arthralgia. There was no notable difference between age groups (12 to </w:t>
      </w:r>
      <w:r w:rsidR="00860D51" w:rsidRPr="003C742E">
        <w:t xml:space="preserve">less than </w:t>
      </w:r>
      <w:r w:rsidRPr="003C742E">
        <w:t xml:space="preserve">16 years and 16 to </w:t>
      </w:r>
      <w:r w:rsidR="00860D51" w:rsidRPr="003C742E">
        <w:t xml:space="preserve">less than </w:t>
      </w:r>
      <w:r w:rsidRPr="003C742E">
        <w:t xml:space="preserve">18 years) in the incidence of solicited </w:t>
      </w:r>
      <w:r w:rsidR="00211529">
        <w:t>adverse reactions</w:t>
      </w:r>
      <w:r w:rsidRPr="003C742E">
        <w:t>.</w:t>
      </w:r>
    </w:p>
    <w:p w14:paraId="3901E747" w14:textId="786303FD" w:rsidR="005E435C" w:rsidRPr="003C742E" w:rsidRDefault="00C37777" w:rsidP="00D91801">
      <w:pPr>
        <w:pStyle w:val="Heading8"/>
      </w:pPr>
      <w:r w:rsidRPr="00C37777">
        <w:t>Long-term analysis of safety</w:t>
      </w:r>
      <w:r>
        <w:t xml:space="preserve"> (o</w:t>
      </w:r>
      <w:r w:rsidR="007E3135" w:rsidRPr="003C742E">
        <w:t>pen label phase</w:t>
      </w:r>
      <w:r>
        <w:t>)</w:t>
      </w:r>
    </w:p>
    <w:p w14:paraId="19126F9A" w14:textId="68FA4F83" w:rsidR="005E435C" w:rsidRPr="003C742E" w:rsidRDefault="005E435C" w:rsidP="005E435C">
      <w:r w:rsidRPr="003C742E">
        <w:t xml:space="preserve">For the long-term analysis, the mRNA-1273 </w:t>
      </w:r>
      <w:r w:rsidR="00211529" w:rsidRPr="003C742E">
        <w:t xml:space="preserve">vaccine </w:t>
      </w:r>
      <w:r w:rsidRPr="003C742E">
        <w:t>group comprised all participants who received mRNA-1273</w:t>
      </w:r>
      <w:r w:rsidR="00211529">
        <w:t xml:space="preserve"> </w:t>
      </w:r>
      <w:r w:rsidR="00211529" w:rsidRPr="003C742E">
        <w:t>vaccine</w:t>
      </w:r>
      <w:r w:rsidRPr="003C742E">
        <w:t xml:space="preserve"> in Part 1A, were unblinded, and continued in the study. The </w:t>
      </w:r>
      <w:r w:rsidR="00B941A1" w:rsidRPr="003C742E">
        <w:t>placebo</w:t>
      </w:r>
      <w:r w:rsidR="0023406D">
        <w:t>/</w:t>
      </w:r>
      <w:r w:rsidRPr="003C742E">
        <w:t xml:space="preserve">mRNA-1273 </w:t>
      </w:r>
      <w:r w:rsidR="00211529" w:rsidRPr="003C742E">
        <w:t xml:space="preserve">vaccine </w:t>
      </w:r>
      <w:r w:rsidRPr="003C742E">
        <w:t xml:space="preserve">group comprised all participants who received placebo in Part 1A, were unblinded to treatment, and received mRNA-1273 </w:t>
      </w:r>
      <w:r w:rsidR="00211529" w:rsidRPr="003C742E">
        <w:t xml:space="preserve">vaccine </w:t>
      </w:r>
      <w:r w:rsidRPr="003C742E">
        <w:t xml:space="preserve">in Part 1B. All participants in the long-term analysis received at least </w:t>
      </w:r>
      <w:r w:rsidR="007E3135" w:rsidRPr="003C742E">
        <w:t>one</w:t>
      </w:r>
      <w:r w:rsidRPr="003C742E">
        <w:t xml:space="preserve"> dose of mRNA-1273</w:t>
      </w:r>
      <w:r w:rsidR="00211529">
        <w:t xml:space="preserve"> </w:t>
      </w:r>
      <w:r w:rsidR="00211529" w:rsidRPr="003C742E">
        <w:t>vaccine</w:t>
      </w:r>
      <w:r w:rsidRPr="003C742E">
        <w:t>.</w:t>
      </w:r>
    </w:p>
    <w:p w14:paraId="7350347E" w14:textId="10BE0670" w:rsidR="005E435C" w:rsidRPr="003C742E" w:rsidRDefault="005E435C" w:rsidP="005E435C">
      <w:r w:rsidRPr="003C742E">
        <w:t>Due to the 2:1 (mRNA-1273</w:t>
      </w:r>
      <w:r w:rsidR="00211529">
        <w:t xml:space="preserve"> </w:t>
      </w:r>
      <w:r w:rsidR="00211529" w:rsidRPr="003C742E">
        <w:t>vaccine</w:t>
      </w:r>
      <w:r w:rsidRPr="003C742E">
        <w:t>: placebo) randomi</w:t>
      </w:r>
      <w:r w:rsidR="00A15C0C" w:rsidRPr="003C742E">
        <w:t>s</w:t>
      </w:r>
      <w:r w:rsidRPr="003C742E">
        <w:t>ation ratio and the substantial attrition of the placebo group, only 91 participants who were originally randomi</w:t>
      </w:r>
      <w:r w:rsidR="00A15C0C" w:rsidRPr="003C742E">
        <w:t>s</w:t>
      </w:r>
      <w:r w:rsidRPr="003C742E">
        <w:t>ed to placebo stayed in the study and received mRNA-1273</w:t>
      </w:r>
      <w:r w:rsidR="00211529">
        <w:t xml:space="preserve"> </w:t>
      </w:r>
      <w:r w:rsidR="00211529" w:rsidRPr="003C742E">
        <w:t>vaccine</w:t>
      </w:r>
      <w:r w:rsidRPr="003C742E">
        <w:t>, and the median follow-up duration of the placebo mRNA group was 71</w:t>
      </w:r>
      <w:r w:rsidR="007E3135" w:rsidRPr="003C742E">
        <w:t> </w:t>
      </w:r>
      <w:r w:rsidRPr="003C742E">
        <w:t>days. Therefore, the long-term safety analysis is mostly representative of participants who had been randomi</w:t>
      </w:r>
      <w:r w:rsidR="00A15C0C" w:rsidRPr="003C742E">
        <w:t>s</w:t>
      </w:r>
      <w:r w:rsidRPr="003C742E">
        <w:t xml:space="preserve">ed to mRNA-1273 </w:t>
      </w:r>
      <w:r w:rsidR="00211529" w:rsidRPr="003C742E">
        <w:t xml:space="preserve">vaccine </w:t>
      </w:r>
      <w:r w:rsidRPr="003C742E">
        <w:t>(2486 participants) in Part 1A; the median follow</w:t>
      </w:r>
      <w:r w:rsidR="007E3135" w:rsidRPr="003C742E">
        <w:noBreakHyphen/>
      </w:r>
      <w:r w:rsidRPr="003C742E">
        <w:t xml:space="preserve">up duration in this group was 312 days. The sponsor claims that no comparisons were made between the groups, and text will primarily focus on the mRNA-1273 </w:t>
      </w:r>
      <w:r w:rsidR="00211529" w:rsidRPr="003C742E">
        <w:t xml:space="preserve">vaccine </w:t>
      </w:r>
      <w:r w:rsidRPr="003C742E">
        <w:t>group as it provides the most robust reflection of long-term safety in this study.</w:t>
      </w:r>
    </w:p>
    <w:p w14:paraId="66FAC5E6" w14:textId="1135737E" w:rsidR="005E435C" w:rsidRPr="003C742E" w:rsidRDefault="005E435C" w:rsidP="005E435C">
      <w:r w:rsidRPr="003C742E">
        <w:t xml:space="preserve">In the mRNA-1273 group, at least </w:t>
      </w:r>
      <w:r w:rsidR="007E3135" w:rsidRPr="003C742E">
        <w:t>one</w:t>
      </w:r>
      <w:r w:rsidRPr="003C742E">
        <w:t xml:space="preserve"> unsolicited AE was reported by 1398</w:t>
      </w:r>
      <w:r w:rsidR="007E3135" w:rsidRPr="003C742E">
        <w:t xml:space="preserve"> of </w:t>
      </w:r>
      <w:r w:rsidRPr="003C742E">
        <w:t xml:space="preserve">2486 participants (56.2%) in the </w:t>
      </w:r>
      <w:r w:rsidR="007E3135" w:rsidRPr="003C742E">
        <w:t>l</w:t>
      </w:r>
      <w:r w:rsidRPr="003C742E">
        <w:t>ong-</w:t>
      </w:r>
      <w:r w:rsidR="001E2B87" w:rsidRPr="003C742E">
        <w:t xml:space="preserve">term analysis safety set </w:t>
      </w:r>
      <w:r w:rsidRPr="003C742E">
        <w:t>at any time in the study. Few events warranted discontinuation from treatment.</w:t>
      </w:r>
    </w:p>
    <w:p w14:paraId="3D86F9C6" w14:textId="1B5917A5" w:rsidR="005E435C" w:rsidRPr="003C742E" w:rsidRDefault="005E435C" w:rsidP="005E435C">
      <w:r w:rsidRPr="003C742E">
        <w:t xml:space="preserve">Overall, the incidence of SAEs in the mRNA-1273 </w:t>
      </w:r>
      <w:r w:rsidR="00211529" w:rsidRPr="003C742E">
        <w:t xml:space="preserve">vaccine </w:t>
      </w:r>
      <w:r w:rsidRPr="003C742E">
        <w:t xml:space="preserve">group for the long-term analysis was low (0.8%). There were no SAEs in the long-term analysis assessed as related to the vaccine, no deaths, and no cases of </w:t>
      </w:r>
      <w:r w:rsidR="003C742E" w:rsidRPr="003C742E">
        <w:t>multisystem inflammatory syndrome in children (</w:t>
      </w:r>
      <w:r w:rsidRPr="003C742E">
        <w:t>MIS-C</w:t>
      </w:r>
      <w:r w:rsidR="003C742E" w:rsidRPr="003C742E">
        <w:t>)</w:t>
      </w:r>
      <w:r w:rsidRPr="003C742E">
        <w:t>. There were 13 participants (0.5%) with AESIs other than MIS-C in the long-term analysis, all were assessed as not related to the vaccine by the investigator.</w:t>
      </w:r>
    </w:p>
    <w:p w14:paraId="7E28E603" w14:textId="6B7FD83D" w:rsidR="005E435C" w:rsidRPr="003C742E" w:rsidRDefault="003C742E" w:rsidP="005E435C">
      <w:r w:rsidRPr="003C742E">
        <w:lastRenderedPageBreak/>
        <w:t>Medically attended adverse events (</w:t>
      </w:r>
      <w:r w:rsidR="005E435C" w:rsidRPr="003C742E">
        <w:t>MAAEs</w:t>
      </w:r>
      <w:r w:rsidRPr="003C742E">
        <w:t>)</w:t>
      </w:r>
      <w:r w:rsidR="005E435C" w:rsidRPr="003C742E">
        <w:t xml:space="preserve"> were reported for 991 participants (39.9%) and of those, 27 participants (1.1%) reported events considered to be related to mRNA-1273 </w:t>
      </w:r>
      <w:r w:rsidR="00211529" w:rsidRPr="003C742E">
        <w:t xml:space="preserve">vaccine </w:t>
      </w:r>
      <w:r w:rsidR="005E435C" w:rsidRPr="003C742E">
        <w:t>by the investigator.</w:t>
      </w:r>
    </w:p>
    <w:p w14:paraId="020CED11" w14:textId="717735D3" w:rsidR="005E435C" w:rsidRPr="003C742E" w:rsidRDefault="005E435C" w:rsidP="005E435C">
      <w:r w:rsidRPr="003C742E">
        <w:t>From randomi</w:t>
      </w:r>
      <w:r w:rsidR="00A15C0C" w:rsidRPr="003C742E">
        <w:t>s</w:t>
      </w:r>
      <w:r w:rsidRPr="003C742E">
        <w:t xml:space="preserve">ation through the time of data cut-off, no SAEs were assessed by investigators as related to </w:t>
      </w:r>
      <w:r w:rsidR="003C742E" w:rsidRPr="003C742E">
        <w:t>the investigational product</w:t>
      </w:r>
      <w:r w:rsidRPr="003C742E">
        <w:t xml:space="preserve"> and there were no fatal events.</w:t>
      </w:r>
    </w:p>
    <w:p w14:paraId="44EF4EE9" w14:textId="631CE1C1" w:rsidR="005E435C" w:rsidRPr="003C742E" w:rsidRDefault="005E435C" w:rsidP="005E435C">
      <w:r w:rsidRPr="003C742E">
        <w:t xml:space="preserve">In the long-term analysis </w:t>
      </w:r>
      <w:r w:rsidR="00211529">
        <w:t xml:space="preserve">of the </w:t>
      </w:r>
      <w:r w:rsidRPr="003C742E">
        <w:t xml:space="preserve">mRNA-1273 </w:t>
      </w:r>
      <w:r w:rsidR="00211529" w:rsidRPr="003C742E">
        <w:t xml:space="preserve">vaccine </w:t>
      </w:r>
      <w:r w:rsidRPr="003C742E">
        <w:t>group, 21 participants (0.8%) reported 29</w:t>
      </w:r>
      <w:r w:rsidR="00211529">
        <w:t> </w:t>
      </w:r>
      <w:r w:rsidRPr="003C742E">
        <w:t xml:space="preserve">SAEs. The most commonly reported SAEs were from the </w:t>
      </w:r>
      <w:r w:rsidR="00211529">
        <w:t>p</w:t>
      </w:r>
      <w:r w:rsidRPr="003C742E">
        <w:t xml:space="preserve">sychiatric disorders </w:t>
      </w:r>
      <w:r w:rsidR="003C742E" w:rsidRPr="003C742E">
        <w:t>System Organ Class</w:t>
      </w:r>
      <w:r w:rsidRPr="003C742E">
        <w:t xml:space="preserve"> in which 12 SAEs occurred in 11</w:t>
      </w:r>
      <w:r w:rsidR="007E3135" w:rsidRPr="003C742E">
        <w:t> </w:t>
      </w:r>
      <w:r w:rsidRPr="003C742E">
        <w:t>participants (0.4%), all depression and suicide</w:t>
      </w:r>
      <w:r w:rsidR="001705C1" w:rsidRPr="003C742E">
        <w:t xml:space="preserve"> </w:t>
      </w:r>
      <w:r w:rsidRPr="003C742E">
        <w:t xml:space="preserve">related events. The majority of cases occurred more than 2 months after the most recent injection, and most had pre-existing psychiatric diagnoses and/or precipitating events such as being bullied, problems at school, and difficult home situations. The only SAE outside of the </w:t>
      </w:r>
      <w:r w:rsidR="00211529">
        <w:t>p</w:t>
      </w:r>
      <w:r w:rsidRPr="003C742E">
        <w:t xml:space="preserve">sychiatric disorder </w:t>
      </w:r>
      <w:r w:rsidR="003C742E" w:rsidRPr="003C742E">
        <w:t>System Organ Class</w:t>
      </w:r>
      <w:r w:rsidRPr="003C742E">
        <w:t xml:space="preserve"> that occurred in more than </w:t>
      </w:r>
      <w:r w:rsidR="007E3135" w:rsidRPr="003C742E">
        <w:t>one</w:t>
      </w:r>
      <w:r w:rsidRPr="003C742E">
        <w:t xml:space="preserve"> participant was appendicitis (</w:t>
      </w:r>
      <w:r w:rsidR="00860D51" w:rsidRPr="003C742E">
        <w:t>n</w:t>
      </w:r>
      <w:r w:rsidR="00211529">
        <w:t> </w:t>
      </w:r>
      <w:r w:rsidR="00860D51" w:rsidRPr="003C742E">
        <w:t>=</w:t>
      </w:r>
      <w:r w:rsidR="00211529">
        <w:t> </w:t>
      </w:r>
      <w:r w:rsidRPr="003C742E">
        <w:t xml:space="preserve">2). All of the other SAEs reported occurred in only </w:t>
      </w:r>
      <w:r w:rsidR="007E3135" w:rsidRPr="003C742E">
        <w:t>one</w:t>
      </w:r>
      <w:r w:rsidRPr="003C742E">
        <w:t xml:space="preserve"> participant each.</w:t>
      </w:r>
    </w:p>
    <w:p w14:paraId="2BB32128" w14:textId="660D8D71" w:rsidR="005E435C" w:rsidRPr="003C742E" w:rsidRDefault="005E435C" w:rsidP="005E435C">
      <w:r w:rsidRPr="003C742E">
        <w:t>There were no additional participants who were discontinued from mRNA-1273</w:t>
      </w:r>
      <w:r w:rsidR="00211529">
        <w:t xml:space="preserve"> </w:t>
      </w:r>
      <w:r w:rsidR="00211529" w:rsidRPr="003C742E">
        <w:t>vaccine</w:t>
      </w:r>
      <w:r w:rsidRPr="003C742E">
        <w:t xml:space="preserve"> in Part</w:t>
      </w:r>
      <w:r w:rsidR="00211529">
        <w:t> </w:t>
      </w:r>
      <w:r w:rsidRPr="003C742E">
        <w:t>1B</w:t>
      </w:r>
      <w:r w:rsidR="00211529">
        <w:t xml:space="preserve"> of the study</w:t>
      </w:r>
      <w:r w:rsidRPr="003C742E">
        <w:t xml:space="preserve">. All unsolicited AEs leading to discontinuation of </w:t>
      </w:r>
      <w:r w:rsidR="003C742E" w:rsidRPr="003C742E">
        <w:t>the investigational product</w:t>
      </w:r>
      <w:r w:rsidRPr="003C742E">
        <w:t xml:space="preserve"> occurred in Part 1A. There were no participants in the long-term analysis who reported unsolicited AEs leading to discontinuation from study participation.</w:t>
      </w:r>
    </w:p>
    <w:p w14:paraId="120BC437" w14:textId="2A64DD09" w:rsidR="005E435C" w:rsidRPr="003C742E" w:rsidRDefault="005E435C" w:rsidP="005E435C">
      <w:r w:rsidRPr="003C742E">
        <w:t>In the long-term analysis, a total of 991</w:t>
      </w:r>
      <w:r w:rsidR="007E3135" w:rsidRPr="003C742E">
        <w:t xml:space="preserve"> of </w:t>
      </w:r>
      <w:r w:rsidRPr="003C742E">
        <w:t>2486 participants (39.9%) in the mRNA-1273 group experienced at least one MAAE. Of those, 35</w:t>
      </w:r>
      <w:r w:rsidR="007E3135" w:rsidRPr="003C742E">
        <w:t xml:space="preserve"> of </w:t>
      </w:r>
      <w:r w:rsidRPr="003C742E">
        <w:t xml:space="preserve">2486 (1.4%) were considered severe. The most commonly reported events occurred in the </w:t>
      </w:r>
      <w:r w:rsidR="003C742E" w:rsidRPr="003C742E">
        <w:t>System Organ Classe</w:t>
      </w:r>
      <w:r w:rsidRPr="003C742E">
        <w:t>s of infection and infestations (710</w:t>
      </w:r>
      <w:r w:rsidR="007E3135" w:rsidRPr="003C742E">
        <w:t xml:space="preserve"> of </w:t>
      </w:r>
      <w:r w:rsidRPr="003C742E">
        <w:t xml:space="preserve">2486 participants </w:t>
      </w:r>
      <w:r w:rsidR="00A15C0C" w:rsidRPr="003C742E">
        <w:t>(</w:t>
      </w:r>
      <w:r w:rsidRPr="003C742E">
        <w:t>28.6%</w:t>
      </w:r>
      <w:r w:rsidR="00A15C0C" w:rsidRPr="003C742E">
        <w:t>)</w:t>
      </w:r>
      <w:r w:rsidRPr="003C742E">
        <w:t>); injury, poisoning and procedural complications (193</w:t>
      </w:r>
      <w:r w:rsidR="007E3135" w:rsidRPr="003C742E">
        <w:t xml:space="preserve"> of </w:t>
      </w:r>
      <w:r w:rsidRPr="003C742E">
        <w:t xml:space="preserve">2486 participants </w:t>
      </w:r>
      <w:r w:rsidR="00A15C0C" w:rsidRPr="003C742E">
        <w:t>(</w:t>
      </w:r>
      <w:r w:rsidRPr="003C742E">
        <w:t>7.8%</w:t>
      </w:r>
      <w:r w:rsidR="00A15C0C" w:rsidRPr="003C742E">
        <w:t>)</w:t>
      </w:r>
      <w:r w:rsidRPr="003C742E">
        <w:t>); and psychiatric disorders (120</w:t>
      </w:r>
      <w:r w:rsidR="007E3135" w:rsidRPr="003C742E">
        <w:t xml:space="preserve"> of </w:t>
      </w:r>
      <w:r w:rsidRPr="003C742E">
        <w:t xml:space="preserve">2486 participants </w:t>
      </w:r>
      <w:r w:rsidR="00A15C0C" w:rsidRPr="003C742E">
        <w:t>(</w:t>
      </w:r>
      <w:r w:rsidRPr="003C742E">
        <w:t>4.8%</w:t>
      </w:r>
      <w:r w:rsidR="00A15C0C" w:rsidRPr="003C742E">
        <w:t>)</w:t>
      </w:r>
      <w:r w:rsidRPr="003C742E">
        <w:t>).</w:t>
      </w:r>
    </w:p>
    <w:p w14:paraId="68732CCC" w14:textId="02FC28A8" w:rsidR="005E435C" w:rsidRPr="00075A2A" w:rsidRDefault="005E435C" w:rsidP="00661B29">
      <w:pPr>
        <w:rPr>
          <w:lang w:val="en-US"/>
        </w:rPr>
      </w:pPr>
      <w:r w:rsidRPr="003C742E">
        <w:t xml:space="preserve">The most commonly reported event in the infection and infestations </w:t>
      </w:r>
      <w:r w:rsidR="003C742E" w:rsidRPr="003C742E">
        <w:t>System Organ Class</w:t>
      </w:r>
      <w:r w:rsidRPr="003C742E">
        <w:t xml:space="preserve"> was COVID</w:t>
      </w:r>
      <w:r w:rsidR="007E3135" w:rsidRPr="003C742E">
        <w:noBreakHyphen/>
      </w:r>
      <w:r w:rsidRPr="003C742E">
        <w:t>19 in</w:t>
      </w:r>
      <w:r w:rsidR="003C742E">
        <w:t xml:space="preserve"> </w:t>
      </w:r>
      <w:r w:rsidRPr="003C742E">
        <w:t>354</w:t>
      </w:r>
      <w:r w:rsidR="007E3135" w:rsidRPr="003C742E">
        <w:t xml:space="preserve"> of </w:t>
      </w:r>
      <w:r w:rsidRPr="003C742E">
        <w:t>2486 participants (14.2%). Additionally, 21</w:t>
      </w:r>
      <w:r w:rsidR="007E3135" w:rsidRPr="003C742E">
        <w:t xml:space="preserve"> of </w:t>
      </w:r>
      <w:r w:rsidRPr="003C742E">
        <w:t xml:space="preserve">2486 participants (0.8%) reported cases of </w:t>
      </w:r>
      <w:r w:rsidR="009700F9" w:rsidRPr="003C742E">
        <w:t>‘</w:t>
      </w:r>
      <w:r w:rsidRPr="003C742E">
        <w:t>asymptomatic COVID-19.</w:t>
      </w:r>
      <w:r w:rsidR="009700F9" w:rsidRPr="003C742E">
        <w:t>’</w:t>
      </w:r>
      <w:r w:rsidRPr="003C742E">
        <w:t xml:space="preserve"> There were no SAEs of COVID-19 and all of the nonserious MAAEs of COVID-19 were of mild or moderate intensity.</w:t>
      </w:r>
    </w:p>
    <w:p w14:paraId="258A7E81" w14:textId="726D9D1F" w:rsidR="005E435C" w:rsidRPr="003C742E" w:rsidRDefault="005E435C" w:rsidP="005E435C">
      <w:r w:rsidRPr="003C742E">
        <w:t xml:space="preserve">In the injury, poisoning and procedural complications </w:t>
      </w:r>
      <w:r w:rsidR="003C742E" w:rsidRPr="003C742E">
        <w:t>System Organ Class</w:t>
      </w:r>
      <w:r w:rsidRPr="003C742E">
        <w:t>, the most commonly reported events were concussion (22</w:t>
      </w:r>
      <w:r w:rsidR="007E3135" w:rsidRPr="003C742E">
        <w:t xml:space="preserve"> of </w:t>
      </w:r>
      <w:r w:rsidRPr="003C742E">
        <w:t xml:space="preserve">2486 participants </w:t>
      </w:r>
      <w:r w:rsidR="00A15C0C" w:rsidRPr="003C742E">
        <w:t>(</w:t>
      </w:r>
      <w:r w:rsidRPr="003C742E">
        <w:t>0.9%</w:t>
      </w:r>
      <w:r w:rsidR="00A15C0C" w:rsidRPr="003C742E">
        <w:t>)</w:t>
      </w:r>
      <w:r w:rsidRPr="003C742E">
        <w:t>), ligament sprain (22</w:t>
      </w:r>
      <w:r w:rsidR="007E3135" w:rsidRPr="003C742E">
        <w:t xml:space="preserve"> of </w:t>
      </w:r>
      <w:r w:rsidRPr="003C742E">
        <w:t xml:space="preserve">2486 participants </w:t>
      </w:r>
      <w:r w:rsidR="00A15C0C" w:rsidRPr="003C742E">
        <w:t>(</w:t>
      </w:r>
      <w:r w:rsidRPr="003C742E">
        <w:t>0.9%</w:t>
      </w:r>
      <w:r w:rsidR="00A15C0C" w:rsidRPr="003C742E">
        <w:t>)</w:t>
      </w:r>
      <w:r w:rsidRPr="003C742E">
        <w:t>), and procedural pain (17</w:t>
      </w:r>
      <w:r w:rsidR="007E3135" w:rsidRPr="003C742E">
        <w:t xml:space="preserve"> of </w:t>
      </w:r>
      <w:r w:rsidRPr="003C742E">
        <w:t xml:space="preserve">2486 participants </w:t>
      </w:r>
      <w:r w:rsidR="00A15C0C" w:rsidRPr="003C742E">
        <w:t>(</w:t>
      </w:r>
      <w:r w:rsidRPr="003C742E">
        <w:t>0.7%</w:t>
      </w:r>
      <w:r w:rsidR="00A15C0C" w:rsidRPr="003C742E">
        <w:t>)</w:t>
      </w:r>
      <w:r w:rsidRPr="003C742E">
        <w:t>).</w:t>
      </w:r>
    </w:p>
    <w:p w14:paraId="4D23E006" w14:textId="74AEB79E" w:rsidR="005E435C" w:rsidRPr="003C742E" w:rsidRDefault="005E435C" w:rsidP="005E435C">
      <w:r w:rsidRPr="003C742E">
        <w:t xml:space="preserve">Anxiety and depression were the </w:t>
      </w:r>
      <w:r w:rsidR="007E3135" w:rsidRPr="003C742E">
        <w:t>two</w:t>
      </w:r>
      <w:r w:rsidRPr="003C742E">
        <w:t xml:space="preserve"> most commonly reported events in the psychiatric disorders </w:t>
      </w:r>
      <w:r w:rsidR="003C742E" w:rsidRPr="003C742E">
        <w:t>System Organ Class</w:t>
      </w:r>
      <w:r w:rsidRPr="003C742E">
        <w:t>. The MAAE of anxiety occurred in 47 participants (1.9%) and depression in 42</w:t>
      </w:r>
      <w:r w:rsidR="007E3135" w:rsidRPr="003C742E">
        <w:t> </w:t>
      </w:r>
      <w:r w:rsidRPr="003C742E">
        <w:t>participants (1.7%).</w:t>
      </w:r>
    </w:p>
    <w:p w14:paraId="745612C1" w14:textId="18701940" w:rsidR="005E435C" w:rsidRPr="003C742E" w:rsidRDefault="005E435C" w:rsidP="005E435C">
      <w:r w:rsidRPr="003C742E">
        <w:t xml:space="preserve">For the long-term analysis in the mRNA-1273 </w:t>
      </w:r>
      <w:r w:rsidR="00211529" w:rsidRPr="003C742E">
        <w:t xml:space="preserve">vaccine </w:t>
      </w:r>
      <w:r w:rsidRPr="003C742E">
        <w:t>group, a total of 13</w:t>
      </w:r>
      <w:r w:rsidR="007E3135" w:rsidRPr="003C742E">
        <w:t xml:space="preserve"> of </w:t>
      </w:r>
      <w:r w:rsidRPr="003C742E">
        <w:t xml:space="preserve">2486 participants (0.5%) reported 17 </w:t>
      </w:r>
      <w:r w:rsidR="00211529">
        <w:t>adverse events of special interest (</w:t>
      </w:r>
      <w:r w:rsidRPr="003C742E">
        <w:t>AESIs</w:t>
      </w:r>
      <w:r w:rsidR="00211529">
        <w:t>)</w:t>
      </w:r>
      <w:r w:rsidRPr="003C742E">
        <w:t>; 2</w:t>
      </w:r>
      <w:r w:rsidR="007E3135" w:rsidRPr="003C742E">
        <w:t xml:space="preserve"> of </w:t>
      </w:r>
      <w:r w:rsidRPr="003C742E">
        <w:t>2486 participants (</w:t>
      </w:r>
      <w:r w:rsidR="00860D51" w:rsidRPr="003C742E">
        <w:t xml:space="preserve">less than </w:t>
      </w:r>
      <w:r w:rsidRPr="003C742E">
        <w:t>0.1%) reported severe events.</w:t>
      </w:r>
    </w:p>
    <w:p w14:paraId="251A6862" w14:textId="1EB072A0" w:rsidR="005E435C" w:rsidRPr="003C742E" w:rsidRDefault="005E435C" w:rsidP="005E435C">
      <w:pPr>
        <w:pStyle w:val="ListBullet"/>
      </w:pPr>
      <w:r w:rsidRPr="003C742E">
        <w:rPr>
          <w:i/>
          <w:iCs/>
        </w:rPr>
        <w:t>Anosmia</w:t>
      </w:r>
      <w:r w:rsidR="00211529">
        <w:rPr>
          <w:i/>
          <w:iCs/>
        </w:rPr>
        <w:t xml:space="preserve"> </w:t>
      </w:r>
      <w:r w:rsidR="00211529">
        <w:rPr>
          <w:iCs/>
        </w:rPr>
        <w:t>(loss of smell)</w:t>
      </w:r>
      <w:r w:rsidRPr="003C742E">
        <w:rPr>
          <w:i/>
          <w:iCs/>
        </w:rPr>
        <w:t xml:space="preserve">, </w:t>
      </w:r>
      <w:r w:rsidR="007E3135" w:rsidRPr="003C742E">
        <w:rPr>
          <w:i/>
          <w:iCs/>
        </w:rPr>
        <w:t>ageusia</w:t>
      </w:r>
      <w:r w:rsidR="00211529">
        <w:rPr>
          <w:i/>
          <w:iCs/>
        </w:rPr>
        <w:t xml:space="preserve"> </w:t>
      </w:r>
      <w:r w:rsidR="00211529">
        <w:rPr>
          <w:iCs/>
        </w:rPr>
        <w:t>(loss of taste)</w:t>
      </w:r>
      <w:r w:rsidRPr="003C742E">
        <w:t xml:space="preserve">: </w:t>
      </w:r>
      <w:r w:rsidR="007E3135" w:rsidRPr="003C742E">
        <w:t>10</w:t>
      </w:r>
      <w:r w:rsidRPr="003C742E">
        <w:t xml:space="preserve"> participants reported a total of 12</w:t>
      </w:r>
      <w:r w:rsidR="00211529">
        <w:t> </w:t>
      </w:r>
      <w:r w:rsidRPr="003C742E">
        <w:t xml:space="preserve">(combined) events: 8 anosmia (0.3%), 4 ageusia (0.2%). All but </w:t>
      </w:r>
      <w:r w:rsidR="007E3135" w:rsidRPr="003C742E">
        <w:t xml:space="preserve">one </w:t>
      </w:r>
      <w:r w:rsidRPr="003C742E">
        <w:t>event were associated with COVID-19;</w:t>
      </w:r>
      <w:r w:rsidR="007E3135" w:rsidRPr="003C742E">
        <w:t xml:space="preserve"> one</w:t>
      </w:r>
      <w:r w:rsidRPr="003C742E">
        <w:t xml:space="preserve"> participant reported anosmia suspected to be due to a viral upper respiratory infection</w:t>
      </w:r>
      <w:r w:rsidR="00211529">
        <w:t>.</w:t>
      </w:r>
    </w:p>
    <w:p w14:paraId="01232B3B" w14:textId="4FC55505" w:rsidR="005E435C" w:rsidRPr="003C742E" w:rsidRDefault="005E435C" w:rsidP="005E435C">
      <w:pPr>
        <w:pStyle w:val="ListBullet"/>
      </w:pPr>
      <w:r w:rsidRPr="003C742E">
        <w:rPr>
          <w:i/>
          <w:iCs/>
        </w:rPr>
        <w:t>Appendicitis</w:t>
      </w:r>
      <w:r w:rsidRPr="003C742E">
        <w:t xml:space="preserve">: </w:t>
      </w:r>
      <w:r w:rsidR="007E3135" w:rsidRPr="003C742E">
        <w:t xml:space="preserve">two </w:t>
      </w:r>
      <w:r w:rsidRPr="003C742E">
        <w:t xml:space="preserve">events of appendicitis were reported as AESIs in </w:t>
      </w:r>
      <w:r w:rsidR="007E3135" w:rsidRPr="003C742E">
        <w:t xml:space="preserve">two </w:t>
      </w:r>
      <w:r w:rsidRPr="003C742E">
        <w:t>participants, both of which were also classified as SAEs due to hospitali</w:t>
      </w:r>
      <w:r w:rsidR="00A15C0C" w:rsidRPr="003C742E">
        <w:t>s</w:t>
      </w:r>
      <w:r w:rsidRPr="003C742E">
        <w:t xml:space="preserve">ation. Both events resolved after laparoscopic appendectomy and were assessed by the investigator as being not related to </w:t>
      </w:r>
      <w:r w:rsidR="003C742E" w:rsidRPr="003C742E">
        <w:t>the investigational product</w:t>
      </w:r>
      <w:r w:rsidRPr="003C742E">
        <w:t>.</w:t>
      </w:r>
    </w:p>
    <w:p w14:paraId="3D3E2FAE" w14:textId="50A6FEB7" w:rsidR="005E435C" w:rsidRPr="003C742E" w:rsidRDefault="005E435C" w:rsidP="005E435C">
      <w:r w:rsidRPr="003C742E">
        <w:t>Two events of seizure and idiopathic generali</w:t>
      </w:r>
      <w:r w:rsidR="00A15C0C" w:rsidRPr="003C742E">
        <w:t>s</w:t>
      </w:r>
      <w:r w:rsidRPr="003C742E">
        <w:t>ed epilepsy were reported in a 14-year</w:t>
      </w:r>
      <w:r w:rsidR="007E3135" w:rsidRPr="003C742E">
        <w:t xml:space="preserve">s </w:t>
      </w:r>
      <w:r w:rsidRPr="003C742E">
        <w:t>old male. Two days later, the event resolved with sequelae (sequelae: diagnosis of generali</w:t>
      </w:r>
      <w:r w:rsidR="00A15C0C" w:rsidRPr="003C742E">
        <w:t>s</w:t>
      </w:r>
      <w:r w:rsidRPr="003C742E">
        <w:t xml:space="preserve">ed epileptiform discharges). The investigator assessed the events as not related to </w:t>
      </w:r>
      <w:r w:rsidR="003C742E" w:rsidRPr="003C742E">
        <w:t>the investigational product</w:t>
      </w:r>
      <w:r w:rsidRPr="003C742E">
        <w:t>.</w:t>
      </w:r>
    </w:p>
    <w:p w14:paraId="15B7F75D" w14:textId="559E8330" w:rsidR="005E435C" w:rsidRPr="003C742E" w:rsidRDefault="005E435C" w:rsidP="005E435C">
      <w:r w:rsidRPr="003C742E">
        <w:lastRenderedPageBreak/>
        <w:t xml:space="preserve">One event of nonserious, moderate </w:t>
      </w:r>
      <w:r w:rsidR="00211529">
        <w:t xml:space="preserve">aseptic </w:t>
      </w:r>
      <w:r w:rsidRPr="003C742E">
        <w:t>meningitis was reported in a 12-year</w:t>
      </w:r>
      <w:r w:rsidR="007E3135" w:rsidRPr="003C742E">
        <w:t xml:space="preserve">s </w:t>
      </w:r>
      <w:r w:rsidRPr="003C742E">
        <w:t xml:space="preserve">old male The investigator assessed the event as not related to </w:t>
      </w:r>
      <w:r w:rsidR="003C742E" w:rsidRPr="003C742E">
        <w:t>the investigational product</w:t>
      </w:r>
      <w:r w:rsidRPr="003C742E">
        <w:t xml:space="preserve"> and reported the event as secondary to Chiari decompression surgery. The event resolved after 7 days.</w:t>
      </w:r>
    </w:p>
    <w:p w14:paraId="4D995EDC" w14:textId="69F10A6F" w:rsidR="005E435C" w:rsidRPr="003C742E" w:rsidRDefault="005E435C" w:rsidP="00D91801">
      <w:pPr>
        <w:pStyle w:val="Heading8"/>
      </w:pPr>
      <w:r w:rsidRPr="003C742E">
        <w:t xml:space="preserve">Myocarditis and </w:t>
      </w:r>
      <w:r w:rsidR="007E3135" w:rsidRPr="003C742E">
        <w:t>pericarditis</w:t>
      </w:r>
    </w:p>
    <w:p w14:paraId="0FD900FB" w14:textId="3D1B99E3" w:rsidR="005E435C" w:rsidRPr="003C742E" w:rsidRDefault="005E435C" w:rsidP="005E435C">
      <w:r w:rsidRPr="003C742E">
        <w:t xml:space="preserve">By the narrow and broad scope, events in the cardiomyopathy </w:t>
      </w:r>
      <w:r w:rsidR="003C742E" w:rsidRPr="003C742E">
        <w:t>Standardised Medical Dictionary for Regulatory Activities (MedDRA)</w:t>
      </w:r>
      <w:r w:rsidR="003C742E" w:rsidRPr="003C742E">
        <w:rPr>
          <w:rStyle w:val="FootnoteReference"/>
        </w:rPr>
        <w:footnoteReference w:id="25"/>
      </w:r>
      <w:r w:rsidR="003C742E" w:rsidRPr="003C742E">
        <w:t xml:space="preserve"> Queries (</w:t>
      </w:r>
      <w:r w:rsidRPr="003C742E">
        <w:t>SMQ</w:t>
      </w:r>
      <w:r w:rsidR="003C742E" w:rsidRPr="003C742E">
        <w:t>)</w:t>
      </w:r>
      <w:r w:rsidR="003C742E" w:rsidRPr="003C742E">
        <w:rPr>
          <w:rStyle w:val="FootnoteReference"/>
        </w:rPr>
        <w:footnoteReference w:id="26"/>
      </w:r>
      <w:r w:rsidRPr="003C742E">
        <w:t xml:space="preserve"> occurred in 20</w:t>
      </w:r>
      <w:r w:rsidR="007E3135" w:rsidRPr="003C742E">
        <w:t xml:space="preserve"> of </w:t>
      </w:r>
      <w:r w:rsidRPr="003C742E">
        <w:t xml:space="preserve">2486 participants (0.8%) in the mRNA-1273 </w:t>
      </w:r>
      <w:r w:rsidR="00211529" w:rsidRPr="003C742E">
        <w:t xml:space="preserve">vaccine </w:t>
      </w:r>
      <w:r w:rsidRPr="003C742E">
        <w:t>group; the most common event was syncope, which occurred in 0.5% of participants. There were 2 events in 2</w:t>
      </w:r>
      <w:r w:rsidR="007E3135" w:rsidRPr="003C742E">
        <w:t xml:space="preserve"> of </w:t>
      </w:r>
      <w:r w:rsidRPr="003C742E">
        <w:t xml:space="preserve">91 participants (2.2%) in the </w:t>
      </w:r>
      <w:r w:rsidR="00B941A1" w:rsidRPr="003C742E">
        <w:t xml:space="preserve">placebo </w:t>
      </w:r>
      <w:r w:rsidRPr="003C742E">
        <w:t>mRNA</w:t>
      </w:r>
      <w:r w:rsidR="00211529">
        <w:rPr>
          <w:vertAlign w:val="superscript"/>
        </w:rPr>
        <w:noBreakHyphen/>
      </w:r>
      <w:r w:rsidRPr="003C742E">
        <w:t>1273</w:t>
      </w:r>
      <w:r w:rsidR="00211529">
        <w:t xml:space="preserve"> </w:t>
      </w:r>
      <w:r w:rsidR="00211529" w:rsidRPr="003C742E">
        <w:t>vaccine</w:t>
      </w:r>
      <w:r w:rsidRPr="003C742E">
        <w:t xml:space="preserve"> group.</w:t>
      </w:r>
    </w:p>
    <w:p w14:paraId="1307559C" w14:textId="666191E5" w:rsidR="005E435C" w:rsidRPr="003C742E" w:rsidRDefault="005E435C" w:rsidP="005E435C">
      <w:pPr>
        <w:pStyle w:val="ListBullet"/>
      </w:pPr>
      <w:r w:rsidRPr="003C742E">
        <w:t>Twelve participants reported 13 events of syncope</w:t>
      </w:r>
      <w:r w:rsidR="005F2136">
        <w:t xml:space="preserve"> (fainting)</w:t>
      </w:r>
      <w:r w:rsidRPr="003C742E">
        <w:t xml:space="preserve">, all but </w:t>
      </w:r>
      <w:r w:rsidR="007E3135" w:rsidRPr="003C742E">
        <w:t xml:space="preserve">one </w:t>
      </w:r>
      <w:r w:rsidRPr="003C742E">
        <w:t>resolving the same day (</w:t>
      </w:r>
      <w:r w:rsidR="007E3135" w:rsidRPr="003C742E">
        <w:t>one</w:t>
      </w:r>
      <w:r w:rsidRPr="003C742E">
        <w:t xml:space="preserve"> with the verbatim event term of intermittent vasovagal syncope), and all mild to moderate in severity. None were considered related to </w:t>
      </w:r>
      <w:r w:rsidR="003C742E" w:rsidRPr="003C742E">
        <w:t>the investigational product</w:t>
      </w:r>
      <w:r w:rsidRPr="003C742E">
        <w:t>.</w:t>
      </w:r>
    </w:p>
    <w:p w14:paraId="1B6BEC89" w14:textId="6E800DDD" w:rsidR="005E435C" w:rsidRPr="003C742E" w:rsidRDefault="005E435C" w:rsidP="005E435C">
      <w:pPr>
        <w:pStyle w:val="ListBullet"/>
      </w:pPr>
      <w:r w:rsidRPr="003C742E">
        <w:t xml:space="preserve">Eight events of dyspnoea </w:t>
      </w:r>
      <w:r w:rsidR="00211529">
        <w:t>(shortness of breath</w:t>
      </w:r>
      <w:r w:rsidR="005F2136">
        <w:t xml:space="preserve">) </w:t>
      </w:r>
      <w:r w:rsidRPr="003C742E">
        <w:t>occurred in 7 participants. Three of the 8</w:t>
      </w:r>
      <w:r w:rsidR="005F2136">
        <w:t> </w:t>
      </w:r>
      <w:r w:rsidRPr="003C742E">
        <w:t>events of dyspnoea and the single event of palpitations occurred in Part 1A. Three of the 8</w:t>
      </w:r>
      <w:r w:rsidR="005F2136">
        <w:t> </w:t>
      </w:r>
      <w:r w:rsidRPr="003C742E">
        <w:t xml:space="preserve">events of dyspnoea occurred 36, 182, and 215 days, respectively, after Dose 2 in 3 participants, and none were considered related to </w:t>
      </w:r>
      <w:r w:rsidR="003C742E" w:rsidRPr="003C742E">
        <w:t>the investigational product</w:t>
      </w:r>
      <w:r w:rsidRPr="003C742E">
        <w:t>.</w:t>
      </w:r>
    </w:p>
    <w:p w14:paraId="165DF35A" w14:textId="7CFB04BD" w:rsidR="005E435C" w:rsidRPr="003C742E" w:rsidRDefault="005E435C" w:rsidP="005E435C">
      <w:r w:rsidRPr="003C742E">
        <w:t xml:space="preserve">In summary, </w:t>
      </w:r>
      <w:r w:rsidR="007E3135" w:rsidRPr="003C742E">
        <w:t>one</w:t>
      </w:r>
      <w:r w:rsidRPr="003C742E">
        <w:t xml:space="preserve"> case of probable acute myocarditis was identified upon review of these events. One nonserious unsolicited AE of chest pain was adjudicated as a probable case of acute myocarditis that was moderate in severity, did not require hospitali</w:t>
      </w:r>
      <w:r w:rsidR="00A15C0C" w:rsidRPr="003C742E">
        <w:t>s</w:t>
      </w:r>
      <w:r w:rsidRPr="003C742E">
        <w:t>ation, resolved by 8 days after onset of symptoms, and no sequelae were present at 5 months of follow-up. An additional search of the safety database for specific events or symptoms that might indicate potential events of clinical interest did not identify previously unreported events of myocarditis or pericarditis.</w:t>
      </w:r>
    </w:p>
    <w:p w14:paraId="2D4D8449" w14:textId="6F7CE9D6" w:rsidR="005E435C" w:rsidRPr="007D0354" w:rsidRDefault="00E952A9" w:rsidP="007D0354">
      <w:pPr>
        <w:pStyle w:val="TableTitle"/>
      </w:pPr>
      <w:r w:rsidRPr="007D0354">
        <w:t xml:space="preserve">Table </w:t>
      </w:r>
      <w:r w:rsidR="009809E2">
        <w:fldChar w:fldCharType="begin"/>
      </w:r>
      <w:r w:rsidR="009809E2">
        <w:instrText xml:space="preserve"> SEQ Table \* ARABIC </w:instrText>
      </w:r>
      <w:r w:rsidR="009809E2">
        <w:fldChar w:fldCharType="separate"/>
      </w:r>
      <w:r w:rsidR="0005046B">
        <w:rPr>
          <w:noProof/>
        </w:rPr>
        <w:t>15</w:t>
      </w:r>
      <w:r w:rsidR="009809E2">
        <w:rPr>
          <w:noProof/>
        </w:rPr>
        <w:fldChar w:fldCharType="end"/>
      </w:r>
      <w:r w:rsidR="005E435C" w:rsidRPr="007D0354">
        <w:t>:</w:t>
      </w:r>
      <w:r w:rsidR="002D493A" w:rsidRPr="007D0354">
        <w:t xml:space="preserve"> Study P203</w:t>
      </w:r>
      <w:r w:rsidR="005E435C" w:rsidRPr="007D0354">
        <w:t xml:space="preserve"> Subject </w:t>
      </w:r>
      <w:r w:rsidR="001E6609" w:rsidRPr="007D0354">
        <w:t>i</w:t>
      </w:r>
      <w:r w:rsidR="005E435C" w:rsidRPr="007D0354">
        <w:t xml:space="preserve">ncidence of </w:t>
      </w:r>
      <w:r w:rsidR="007E3135" w:rsidRPr="007D0354">
        <w:t xml:space="preserve">cardiomyopathy by </w:t>
      </w:r>
      <w:r w:rsidR="001E6609" w:rsidRPr="007D0354">
        <w:t xml:space="preserve">Preferred Term </w:t>
      </w:r>
      <w:r w:rsidR="007E3135" w:rsidRPr="007D0354">
        <w:t>in long</w:t>
      </w:r>
      <w:r w:rsidR="003C742E" w:rsidRPr="007D0354">
        <w:noBreakHyphen/>
      </w:r>
      <w:r w:rsidR="007E3135" w:rsidRPr="007D0354">
        <w:t xml:space="preserve">term analysis </w:t>
      </w:r>
      <w:r w:rsidR="001E6609" w:rsidRPr="007D0354">
        <w:t>of</w:t>
      </w:r>
      <w:r w:rsidR="007E3135" w:rsidRPr="007D0354">
        <w:t xml:space="preserve"> narrow and broad scope (long-term analysis safety set)</w:t>
      </w:r>
    </w:p>
    <w:p w14:paraId="0CFA2BA9" w14:textId="7469AA37" w:rsidR="00A47F9D" w:rsidRPr="003C742E" w:rsidRDefault="00A47F9D" w:rsidP="007D0354">
      <w:r>
        <w:rPr>
          <w:noProof/>
        </w:rPr>
        <w:drawing>
          <wp:inline distT="0" distB="0" distL="0" distR="0" wp14:anchorId="14B3E630" wp14:editId="5E1E2FFD">
            <wp:extent cx="5759450" cy="1446530"/>
            <wp:effectExtent l="0" t="0" r="0" b="1270"/>
            <wp:docPr id="7" name="Picture 7" descr="Table 15: Study P203 Subject incidence of cardiomyopathy by Preferred Term in long term analysis of narrow and broad scope (long-term analysi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15: Study P203 Subject incidence of cardiomyopathy by Preferred Term in long term analysis of narrow and broad scope (long-term analysis safety set)"/>
                    <pic:cNvPicPr/>
                  </pic:nvPicPr>
                  <pic:blipFill>
                    <a:blip r:embed="rId62"/>
                    <a:stretch>
                      <a:fillRect/>
                    </a:stretch>
                  </pic:blipFill>
                  <pic:spPr>
                    <a:xfrm>
                      <a:off x="0" y="0"/>
                      <a:ext cx="5759450" cy="1446530"/>
                    </a:xfrm>
                    <a:prstGeom prst="rect">
                      <a:avLst/>
                    </a:prstGeom>
                  </pic:spPr>
                </pic:pic>
              </a:graphicData>
            </a:graphic>
          </wp:inline>
        </w:drawing>
      </w:r>
    </w:p>
    <w:p w14:paraId="47A061F7" w14:textId="7901113D" w:rsidR="001E6609" w:rsidRPr="003C742E" w:rsidRDefault="001E6609" w:rsidP="003C742E">
      <w:pPr>
        <w:pStyle w:val="TableDescription"/>
      </w:pPr>
      <w:r w:rsidRPr="003C742E">
        <w:t>Abbreviations: AE = adverse event; mRNA-1273 = Spikevax (elasomeran) COVID-19 vaccine drug development name; N = total number of subjects; n = number of subjects in subgroup; SMQ = Standardised MedDRA Query.</w:t>
      </w:r>
    </w:p>
    <w:p w14:paraId="4E650B9C" w14:textId="779303BE" w:rsidR="001E6609" w:rsidRPr="003C742E" w:rsidRDefault="001E6609" w:rsidP="003C742E">
      <w:pPr>
        <w:pStyle w:val="TableDescription"/>
      </w:pPr>
      <w:r w:rsidRPr="003C742E">
        <w:t>For placebo</w:t>
      </w:r>
      <w:r w:rsidR="0023406D">
        <w:t>/</w:t>
      </w:r>
      <w:r w:rsidRPr="003C742E">
        <w:t>mRNA-1273 group, only AEs occurring after the crossover mRNA-1273 first dose are included; for mRNA</w:t>
      </w:r>
      <w:r w:rsidRPr="003C742E">
        <w:noBreakHyphen/>
        <w:t>1273 group, any AE occurring after mRNA-1273 first dose are included.</w:t>
      </w:r>
    </w:p>
    <w:p w14:paraId="32F6ED4F" w14:textId="336CA847" w:rsidR="001E6609" w:rsidRPr="003C742E" w:rsidRDefault="001E6609" w:rsidP="003C742E">
      <w:pPr>
        <w:pStyle w:val="TableDescription"/>
      </w:pPr>
      <w:r w:rsidRPr="003C742E">
        <w:t>Percentages are based on the number of participants in the safety set (long-term analysis).</w:t>
      </w:r>
    </w:p>
    <w:p w14:paraId="42FF5B6D" w14:textId="762405DB" w:rsidR="001E6609" w:rsidRPr="003C742E" w:rsidRDefault="003C742E" w:rsidP="003C742E">
      <w:pPr>
        <w:pStyle w:val="TableDescription"/>
      </w:pPr>
      <w:r w:rsidRPr="003C742E">
        <w:t>Medical Dictionary for Regulatory Activities (</w:t>
      </w:r>
      <w:r w:rsidR="001E6609" w:rsidRPr="003C742E">
        <w:t>MedDRA</w:t>
      </w:r>
      <w:r w:rsidRPr="003C742E">
        <w:t>)</w:t>
      </w:r>
      <w:r w:rsidR="001E6609" w:rsidRPr="003C742E">
        <w:t xml:space="preserve"> version 23.0</w:t>
      </w:r>
    </w:p>
    <w:p w14:paraId="4839C2F2" w14:textId="77777777" w:rsidR="005E435C" w:rsidRPr="003C742E" w:rsidRDefault="005E435C" w:rsidP="00D91801">
      <w:pPr>
        <w:pStyle w:val="Heading8"/>
      </w:pPr>
      <w:r w:rsidRPr="003C742E">
        <w:lastRenderedPageBreak/>
        <w:t>Hypersensitivity</w:t>
      </w:r>
    </w:p>
    <w:p w14:paraId="6AF88731" w14:textId="2DC2AB9C" w:rsidR="005E435C" w:rsidRPr="003C742E" w:rsidRDefault="005E435C" w:rsidP="005E435C">
      <w:r w:rsidRPr="003C742E">
        <w:t>For the long-term analysis, AESIs in the hypersensitivity SMQ in the narrow and broad scope analysis were reported by 101</w:t>
      </w:r>
      <w:r w:rsidR="007E3135" w:rsidRPr="003C742E">
        <w:t xml:space="preserve"> of </w:t>
      </w:r>
      <w:r w:rsidRPr="003C742E">
        <w:t xml:space="preserve">2486 participants (4.1%). AESIs of hypersensitivity that were considered related to mRNA-1273 </w:t>
      </w:r>
      <w:r w:rsidR="005F2136" w:rsidRPr="003C742E">
        <w:t xml:space="preserve">vaccine </w:t>
      </w:r>
      <w:r w:rsidRPr="003C742E">
        <w:t>were low, reported by 20 participants (0.8%). The related events included injection site hypersensitivity, rash, and urticaria; photosensitivity reaction; pruritic rash; sneezing; throat tightness; urticaria; and wheezing; all were reported within 28</w:t>
      </w:r>
      <w:r w:rsidR="007E3135" w:rsidRPr="003C742E">
        <w:t> </w:t>
      </w:r>
      <w:r w:rsidRPr="003C742E">
        <w:t>days and thus, reflect events from Part 1A.</w:t>
      </w:r>
    </w:p>
    <w:p w14:paraId="5B67555D" w14:textId="1C97AF0E" w:rsidR="005E435C" w:rsidRPr="003C742E" w:rsidRDefault="0068581B">
      <w:pPr>
        <w:pStyle w:val="Heading7"/>
      </w:pPr>
      <w:r w:rsidRPr="0068581B">
        <w:t xml:space="preserve">Long-term analysis of </w:t>
      </w:r>
      <w:r>
        <w:t>i</w:t>
      </w:r>
      <w:r w:rsidR="005E435C" w:rsidRPr="003C742E">
        <w:t>mmunogenicity</w:t>
      </w:r>
    </w:p>
    <w:p w14:paraId="2642C6A6" w14:textId="61E4F700" w:rsidR="005E435C" w:rsidRPr="003C742E" w:rsidRDefault="005E435C" w:rsidP="005E435C">
      <w:r w:rsidRPr="003C742E">
        <w:t>Primary mRNA-1273 vaccination of adolescents induced robust functional (</w:t>
      </w:r>
      <w:r w:rsidR="007E3135" w:rsidRPr="003C742E">
        <w:t>neutralising antibody</w:t>
      </w:r>
      <w:r w:rsidRPr="003C742E">
        <w:t xml:space="preserve">) and binding antibody serum responses, and </w:t>
      </w:r>
      <w:r w:rsidR="007E3135" w:rsidRPr="003C742E">
        <w:t>antibody</w:t>
      </w:r>
      <w:r w:rsidRPr="003C742E">
        <w:t xml:space="preserve"> responses were still evident at least 12</w:t>
      </w:r>
      <w:r w:rsidR="007E3135" w:rsidRPr="003C742E">
        <w:t> </w:t>
      </w:r>
      <w:r w:rsidRPr="003C742E">
        <w:t xml:space="preserve">months after vaccination. mRNA-1273 induced </w:t>
      </w:r>
      <w:r w:rsidR="007E3135" w:rsidRPr="003C742E">
        <w:t>antibody</w:t>
      </w:r>
      <w:r w:rsidRPr="003C742E">
        <w:t xml:space="preserve"> responses in adolescents regardless of whether they were SARS-CoV-2 positive or negative at </w:t>
      </w:r>
      <w:r w:rsidR="00860D51" w:rsidRPr="003C742E">
        <w:t>Baseline</w:t>
      </w:r>
      <w:r w:rsidRPr="003C742E">
        <w:t>; the mRNA</w:t>
      </w:r>
      <w:r w:rsidR="007E3135" w:rsidRPr="003C742E">
        <w:noBreakHyphen/>
      </w:r>
      <w:r w:rsidRPr="003C742E">
        <w:t>1273 vaccine was potent in both populations.</w:t>
      </w:r>
    </w:p>
    <w:p w14:paraId="6ACB9D6D" w14:textId="3919ACF5" w:rsidR="005E435C" w:rsidRPr="003C742E" w:rsidRDefault="005E435C" w:rsidP="005E435C">
      <w:r w:rsidRPr="003C742E">
        <w:t xml:space="preserve">In the </w:t>
      </w:r>
      <w:r w:rsidR="001E2B87" w:rsidRPr="003C742E">
        <w:t>per-protocol</w:t>
      </w:r>
      <w:r w:rsidRPr="003C742E">
        <w:t xml:space="preserve"> </w:t>
      </w:r>
      <w:r w:rsidR="001E2B87" w:rsidRPr="003C742E">
        <w:t>immunogenicity subset</w:t>
      </w:r>
      <w:r w:rsidRPr="003C742E">
        <w:t xml:space="preserve">, </w:t>
      </w:r>
      <w:r w:rsidR="007E3135" w:rsidRPr="003C742E">
        <w:t>neutralising antibody</w:t>
      </w:r>
      <w:r w:rsidRPr="003C742E">
        <w:t xml:space="preserve"> </w:t>
      </w:r>
      <w:r w:rsidR="00A22DCE">
        <w:t>peaked at Day 57</w:t>
      </w:r>
      <w:r w:rsidRPr="003C742E">
        <w:t xml:space="preserve"> </w:t>
      </w:r>
      <w:r w:rsidR="003C21CB">
        <w:t>(</w:t>
      </w:r>
      <w:r w:rsidRPr="003C742E">
        <w:t>28 days after Dose 2 (GMC = 1868.363)</w:t>
      </w:r>
      <w:r w:rsidR="0068581B">
        <w:t>)</w:t>
      </w:r>
      <w:r w:rsidRPr="003C742E">
        <w:t xml:space="preserve">. </w:t>
      </w:r>
      <w:r w:rsidR="007E3135" w:rsidRPr="003C742E">
        <w:t>Neutralising antibody</w:t>
      </w:r>
      <w:r w:rsidRPr="003C742E">
        <w:t xml:space="preserve"> responses at 6 months (GMC = 625.363) and 12 months (GMC = 550.262) after Dose 2 remained markedly higher than baseline levels. Compared to </w:t>
      </w:r>
      <w:r w:rsidR="00860D51" w:rsidRPr="003C742E">
        <w:t>Baseline</w:t>
      </w:r>
      <w:r w:rsidRPr="003C742E">
        <w:t xml:space="preserve"> (pre-Dose 1), </w:t>
      </w:r>
      <w:r w:rsidR="007E3135" w:rsidRPr="003C742E">
        <w:t>neutralising antibody</w:t>
      </w:r>
      <w:r w:rsidRPr="003C742E">
        <w:t xml:space="preserve"> levels at 6</w:t>
      </w:r>
      <w:r w:rsidR="007E3135" w:rsidRPr="003C742E">
        <w:t> </w:t>
      </w:r>
      <w:r w:rsidRPr="003C742E">
        <w:t xml:space="preserve">months after Dose 2 (Day 209) remained 55-fold higher than </w:t>
      </w:r>
      <w:r w:rsidR="00860D51" w:rsidRPr="003C742E">
        <w:t>Baseline</w:t>
      </w:r>
      <w:r w:rsidRPr="003C742E">
        <w:t xml:space="preserve"> (GMFR). The persistence of </w:t>
      </w:r>
      <w:r w:rsidR="007E3135" w:rsidRPr="003C742E">
        <w:t>neutralising antibody</w:t>
      </w:r>
      <w:r w:rsidRPr="003C742E">
        <w:t xml:space="preserve"> responses was paralleled by the persistence of serum </w:t>
      </w:r>
      <w:r w:rsidR="007E3135" w:rsidRPr="003C742E">
        <w:t>binding antibody</w:t>
      </w:r>
      <w:r w:rsidRPr="003C742E">
        <w:t xml:space="preserve"> (directed against </w:t>
      </w:r>
      <w:r w:rsidR="00B2387D" w:rsidRPr="00B2387D">
        <w:t>spike</w:t>
      </w:r>
      <w:r w:rsidR="00B2387D" w:rsidRPr="003C742E">
        <w:t xml:space="preserve"> protein</w:t>
      </w:r>
      <w:r w:rsidRPr="003C742E">
        <w:t>) through Day 394.</w:t>
      </w:r>
    </w:p>
    <w:p w14:paraId="02657F34" w14:textId="6F01AFA4" w:rsidR="005E435C" w:rsidRPr="003C742E" w:rsidRDefault="005E435C" w:rsidP="005E435C">
      <w:r w:rsidRPr="003C742E">
        <w:rPr>
          <w:i/>
          <w:iCs/>
        </w:rPr>
        <w:t xml:space="preserve">Binding Antibodies </w:t>
      </w:r>
      <w:r w:rsidR="003C742E" w:rsidRPr="003C742E">
        <w:rPr>
          <w:i/>
          <w:iCs/>
        </w:rPr>
        <w:t>at</w:t>
      </w:r>
      <w:r w:rsidRPr="003C742E">
        <w:rPr>
          <w:i/>
          <w:iCs/>
        </w:rPr>
        <w:t xml:space="preserve"> Day 57</w:t>
      </w:r>
      <w:r w:rsidRPr="003C742E">
        <w:t xml:space="preserve">: The measure of SARS-CoV-2-specific </w:t>
      </w:r>
      <w:r w:rsidR="007E3135" w:rsidRPr="003C742E">
        <w:t>binding antibody</w:t>
      </w:r>
      <w:r w:rsidRPr="003C742E">
        <w:t xml:space="preserve"> after 2</w:t>
      </w:r>
      <w:r w:rsidR="007E3135" w:rsidRPr="003C742E">
        <w:t> </w:t>
      </w:r>
      <w:r w:rsidRPr="003C742E">
        <w:t>doses of mRNA-1273 was a secondary immunogenicity endpoint. Vaccination induced an increase of 7817</w:t>
      </w:r>
      <w:r w:rsidR="007E3135" w:rsidRPr="003C742E">
        <w:noBreakHyphen/>
      </w:r>
      <w:r w:rsidRPr="003C742E">
        <w:t xml:space="preserve">fold (GMFR = 7817.085 </w:t>
      </w:r>
      <w:r w:rsidR="00A15C0C" w:rsidRPr="003C742E">
        <w:t>(</w:t>
      </w:r>
      <w:r w:rsidRPr="003C742E">
        <w:t>6520.086, 9372.087</w:t>
      </w:r>
      <w:r w:rsidR="00A15C0C" w:rsidRPr="003C742E">
        <w:t>)</w:t>
      </w:r>
      <w:r w:rsidRPr="003C742E">
        <w:t xml:space="preserve">) in the </w:t>
      </w:r>
      <w:r w:rsidR="007E3135" w:rsidRPr="003C742E">
        <w:t>binding antibody</w:t>
      </w:r>
      <w:r w:rsidRPr="003C742E">
        <w:t xml:space="preserve"> against SARS</w:t>
      </w:r>
      <w:r w:rsidR="007E3135" w:rsidRPr="003C742E">
        <w:noBreakHyphen/>
      </w:r>
      <w:r w:rsidRPr="003C742E">
        <w:t xml:space="preserve">CoV-2 </w:t>
      </w:r>
      <w:r w:rsidR="00B2387D" w:rsidRPr="00B2387D">
        <w:t>spike</w:t>
      </w:r>
      <w:r w:rsidR="00B2387D" w:rsidRPr="003C742E">
        <w:t xml:space="preserve"> protein</w:t>
      </w:r>
      <w:r w:rsidRPr="003C742E">
        <w:t xml:space="preserve"> measured 28 days after Dose 2 (Day 57 GM level 331,274.010 </w:t>
      </w:r>
      <w:r w:rsidR="00A15C0C" w:rsidRPr="003C742E">
        <w:t>(</w:t>
      </w:r>
      <w:r w:rsidRPr="003C742E">
        <w:t>293,044.888, 374,490.305</w:t>
      </w:r>
      <w:r w:rsidR="00A15C0C" w:rsidRPr="003C742E">
        <w:t>)</w:t>
      </w:r>
      <w:r w:rsidRPr="003C742E">
        <w:t xml:space="preserve">) from pre-vaccination (Day 1 GM level 42.378 </w:t>
      </w:r>
      <w:r w:rsidR="00A15C0C" w:rsidRPr="003C742E">
        <w:t>(</w:t>
      </w:r>
      <w:r w:rsidRPr="003C742E">
        <w:t>37.288, 48.164</w:t>
      </w:r>
      <w:r w:rsidR="00A15C0C" w:rsidRPr="003C742E">
        <w:t>)</w:t>
      </w:r>
      <w:r w:rsidRPr="003C742E">
        <w:t xml:space="preserve"> (</w:t>
      </w:r>
      <w:r w:rsidR="003C742E" w:rsidRPr="003C742E">
        <w:t>Meso Scale Discovery</w:t>
      </w:r>
      <w:r w:rsidRPr="003C742E">
        <w:t xml:space="preserve"> VAC72 assay). Seroresponse (4-fold rise) on Day 57 compared to baseline </w:t>
      </w:r>
      <w:r w:rsidR="007E3135" w:rsidRPr="003C742E">
        <w:t>binding antibody</w:t>
      </w:r>
      <w:r w:rsidRPr="003C742E">
        <w:t xml:space="preserve"> levels was achieved by nearly all participants (98.8% </w:t>
      </w:r>
      <w:r w:rsidR="00A15C0C" w:rsidRPr="003C742E">
        <w:t>(</w:t>
      </w:r>
      <w:r w:rsidRPr="003C742E">
        <w:t>97.0, 99.7</w:t>
      </w:r>
      <w:r w:rsidR="00A15C0C" w:rsidRPr="003C742E">
        <w:t>)</w:t>
      </w:r>
      <w:r w:rsidRPr="003C742E">
        <w:t>). These results were consistent with</w:t>
      </w:r>
      <w:r w:rsidR="001E2B87" w:rsidRPr="003C742E">
        <w:t xml:space="preserve"> Study</w:t>
      </w:r>
      <w:r w:rsidRPr="003C742E">
        <w:t xml:space="preserve"> P301 subgroup data.</w:t>
      </w:r>
    </w:p>
    <w:p w14:paraId="0ACD9408" w14:textId="66C926E9" w:rsidR="005E435C" w:rsidRPr="003C742E" w:rsidRDefault="0046573C" w:rsidP="00D91801">
      <w:pPr>
        <w:pStyle w:val="Heading8"/>
      </w:pPr>
      <w:r>
        <w:t>I</w:t>
      </w:r>
      <w:r w:rsidRPr="003C742E">
        <w:t xml:space="preserve">mmunobridging analysis </w:t>
      </w:r>
      <w:r>
        <w:t>of b</w:t>
      </w:r>
      <w:r w:rsidR="005E435C" w:rsidRPr="003C742E">
        <w:t xml:space="preserve">inding </w:t>
      </w:r>
      <w:r w:rsidR="007E3135" w:rsidRPr="003C742E">
        <w:t>antibodies</w:t>
      </w:r>
    </w:p>
    <w:p w14:paraId="0BB4BBD9" w14:textId="78B0CDA8" w:rsidR="005E435C" w:rsidRPr="003C742E" w:rsidRDefault="005E435C" w:rsidP="005E435C">
      <w:r w:rsidRPr="003C742E">
        <w:t xml:space="preserve">The </w:t>
      </w:r>
      <w:r w:rsidR="007E3135" w:rsidRPr="003C742E">
        <w:t>binding antibody</w:t>
      </w:r>
      <w:r w:rsidRPr="003C742E">
        <w:t xml:space="preserve"> immunobridging response of adolescents (</w:t>
      </w:r>
      <w:r w:rsidR="0053571E" w:rsidRPr="003C742E">
        <w:t>Study P20</w:t>
      </w:r>
      <w:r w:rsidRPr="003C742E">
        <w:t xml:space="preserve">3) were also compared to those of young adults (Study P301); similar to results of </w:t>
      </w:r>
      <w:r w:rsidR="007E3135" w:rsidRPr="003C742E">
        <w:t>neutralising antibody</w:t>
      </w:r>
      <w:r w:rsidRPr="003C742E">
        <w:t xml:space="preserve">, the </w:t>
      </w:r>
      <w:r w:rsidR="007E3135" w:rsidRPr="003C742E">
        <w:t>binding antibody</w:t>
      </w:r>
      <w:r w:rsidRPr="003C742E">
        <w:t xml:space="preserve"> responses were noninferior based on evaluation of GMR (GMR: 1.285 </w:t>
      </w:r>
      <w:r w:rsidR="00A15C0C" w:rsidRPr="003C742E">
        <w:t>(</w:t>
      </w:r>
      <w:r w:rsidRPr="003C742E">
        <w:t>95%</w:t>
      </w:r>
      <w:r w:rsidR="007E3135" w:rsidRPr="003C742E">
        <w:t> </w:t>
      </w:r>
      <w:r w:rsidRPr="003C742E">
        <w:t>CI:</w:t>
      </w:r>
      <w:r w:rsidR="007E3135" w:rsidRPr="003C742E">
        <w:t> </w:t>
      </w:r>
      <w:r w:rsidRPr="003C742E">
        <w:t>1.087, 1.520</w:t>
      </w:r>
      <w:r w:rsidR="00A15C0C" w:rsidRPr="003C742E">
        <w:t>)</w:t>
      </w:r>
      <w:r w:rsidRPr="003C742E">
        <w:t xml:space="preserve">) and </w:t>
      </w:r>
      <w:r w:rsidR="005969ED" w:rsidRPr="003C742E">
        <w:t>seroresponse rate</w:t>
      </w:r>
      <w:r w:rsidRPr="003C742E">
        <w:t xml:space="preserve"> difference (-0.5 </w:t>
      </w:r>
      <w:r w:rsidR="00A15C0C" w:rsidRPr="003C742E">
        <w:t>(</w:t>
      </w:r>
      <w:r w:rsidRPr="003C742E">
        <w:t>95% CI: -2.4, 1.5</w:t>
      </w:r>
      <w:r w:rsidR="00A15C0C" w:rsidRPr="003C742E">
        <w:t>)</w:t>
      </w:r>
      <w:r w:rsidRPr="003C742E">
        <w:t>).</w:t>
      </w:r>
    </w:p>
    <w:p w14:paraId="2F971C23" w14:textId="3E215FCA" w:rsidR="005E435C" w:rsidRPr="003C742E" w:rsidRDefault="005E435C" w:rsidP="005E435C">
      <w:r w:rsidRPr="003C742E">
        <w:t xml:space="preserve">This report represents all data collected from Part 1A and Part 1B of the study through the data cut-off of 31 </w:t>
      </w:r>
      <w:r w:rsidR="007E3135" w:rsidRPr="003C742E">
        <w:t xml:space="preserve">January </w:t>
      </w:r>
      <w:r w:rsidRPr="003C742E">
        <w:t xml:space="preserve">2022. Data from ongoing and future parts of the study (including Part 1C) will be presented in </w:t>
      </w:r>
      <w:r w:rsidR="001372E8" w:rsidRPr="003C742E">
        <w:t>clinical study report</w:t>
      </w:r>
      <w:r w:rsidRPr="003C742E">
        <w:t xml:space="preserve"> addendums.</w:t>
      </w:r>
    </w:p>
    <w:p w14:paraId="531F2AA8" w14:textId="02237E49" w:rsidR="005E435C" w:rsidRPr="003C742E" w:rsidRDefault="005E435C" w:rsidP="00D91801">
      <w:pPr>
        <w:pStyle w:val="Heading8"/>
      </w:pPr>
      <w:r w:rsidRPr="003C742E">
        <w:t xml:space="preserve">Long-term analysis of adolescent serum </w:t>
      </w:r>
      <w:r w:rsidR="007E3135" w:rsidRPr="003C742E">
        <w:t>neutralising antibody</w:t>
      </w:r>
      <w:r w:rsidRPr="003C742E">
        <w:t xml:space="preserve"> levels</w:t>
      </w:r>
      <w:r w:rsidR="00904642">
        <w:t xml:space="preserve"> by </w:t>
      </w:r>
      <w:r w:rsidR="0068581B">
        <w:t>b</w:t>
      </w:r>
      <w:r w:rsidR="001C4AE2">
        <w:t>aseline SARS-CoV-2 status</w:t>
      </w:r>
    </w:p>
    <w:p w14:paraId="6DB44DF7" w14:textId="10F4BF30" w:rsidR="005E435C" w:rsidRPr="003C742E" w:rsidRDefault="005E435C" w:rsidP="005E435C">
      <w:r w:rsidRPr="003C742E">
        <w:t xml:space="preserve">The number of adolescents who were SARS-CoV-2 positive at </w:t>
      </w:r>
      <w:r w:rsidR="00860D51" w:rsidRPr="003C742E">
        <w:t>Baseline</w:t>
      </w:r>
      <w:r w:rsidRPr="003C742E">
        <w:t xml:space="preserve"> who contributed to long</w:t>
      </w:r>
      <w:r w:rsidR="007E3135" w:rsidRPr="003C742E">
        <w:noBreakHyphen/>
      </w:r>
      <w:r w:rsidRPr="003C742E">
        <w:t>term immunogenicity follow-up was small (</w:t>
      </w:r>
      <w:r w:rsidR="00860D51" w:rsidRPr="003C742E">
        <w:t>n =</w:t>
      </w:r>
      <w:r w:rsidRPr="003C742E">
        <w:t xml:space="preserve"> 14). Despite the higher </w:t>
      </w:r>
      <w:r w:rsidR="007E3135" w:rsidRPr="003C742E">
        <w:t>neutralising antibody</w:t>
      </w:r>
      <w:r w:rsidRPr="003C742E">
        <w:t xml:space="preserve"> GMCs at </w:t>
      </w:r>
      <w:r w:rsidR="00860D51" w:rsidRPr="003C742E">
        <w:t>Baseline</w:t>
      </w:r>
      <w:r w:rsidRPr="003C742E">
        <w:t xml:space="preserve"> among SARS-CoV-2 baseline</w:t>
      </w:r>
      <w:r w:rsidR="007E3135" w:rsidRPr="003C742E">
        <w:t xml:space="preserve"> </w:t>
      </w:r>
      <w:r w:rsidRPr="003C742E">
        <w:t xml:space="preserve">positive adolescents (110.694 </w:t>
      </w:r>
      <w:r w:rsidR="00A15C0C" w:rsidRPr="003C742E">
        <w:t>(</w:t>
      </w:r>
      <w:r w:rsidRPr="003C742E">
        <w:t>55.980, 218.885</w:t>
      </w:r>
      <w:r w:rsidR="00A15C0C" w:rsidRPr="003C742E">
        <w:t>)</w:t>
      </w:r>
      <w:r w:rsidRPr="003C742E">
        <w:t xml:space="preserve">) compared to SARS-CoV-2 baseline negative adolescents (11.249 </w:t>
      </w:r>
      <w:r w:rsidR="00A15C0C" w:rsidRPr="003C742E">
        <w:t>(</w:t>
      </w:r>
      <w:r w:rsidRPr="003C742E">
        <w:t>10.712, 11.812</w:t>
      </w:r>
      <w:r w:rsidR="00A15C0C" w:rsidRPr="003C742E">
        <w:t>)</w:t>
      </w:r>
      <w:r w:rsidRPr="003C742E">
        <w:t>), a GMFR of 53-fold (95%CI: 32.213, 85.909) was observed for SARS-CoV-2 baseline</w:t>
      </w:r>
      <w:r w:rsidR="007E3135" w:rsidRPr="003C742E">
        <w:t xml:space="preserve"> </w:t>
      </w:r>
      <w:r w:rsidRPr="003C742E">
        <w:t xml:space="preserve">positive adolescents by Day 57. The kinetics of the long-term assessment of </w:t>
      </w:r>
      <w:r w:rsidR="007E3135" w:rsidRPr="003C742E">
        <w:t>neutralising antibody</w:t>
      </w:r>
      <w:r w:rsidRPr="003C742E">
        <w:t xml:space="preserve"> GMC in this SARS-CoV-2 positive group paralleled that of adolescents negative at </w:t>
      </w:r>
      <w:r w:rsidR="00860D51" w:rsidRPr="003C742E">
        <w:t>Baseline</w:t>
      </w:r>
      <w:r w:rsidRPr="003C742E">
        <w:t xml:space="preserve">: responses peaked at Day 57 (5823.150 </w:t>
      </w:r>
      <w:r w:rsidR="00A15C0C" w:rsidRPr="003C742E">
        <w:t>(</w:t>
      </w:r>
      <w:r w:rsidRPr="003C742E">
        <w:t>3322.580, 10,205.646</w:t>
      </w:r>
      <w:r w:rsidR="00A15C0C" w:rsidRPr="003C742E">
        <w:t>)</w:t>
      </w:r>
      <w:r w:rsidRPr="003C742E">
        <w:t xml:space="preserve">), decreased to Day 209 (1,717.844 </w:t>
      </w:r>
      <w:r w:rsidR="00A15C0C" w:rsidRPr="003C742E">
        <w:t>(</w:t>
      </w:r>
      <w:r w:rsidRPr="003C742E">
        <w:t>960.202, 3073.300</w:t>
      </w:r>
      <w:r w:rsidR="00A15C0C" w:rsidRPr="003C742E">
        <w:t>)</w:t>
      </w:r>
      <w:r w:rsidRPr="003C742E">
        <w:t xml:space="preserve">) and slightly further by Day 394 (1,356.832 </w:t>
      </w:r>
      <w:r w:rsidR="00A15C0C" w:rsidRPr="003C742E">
        <w:t>(</w:t>
      </w:r>
      <w:r w:rsidRPr="003C742E">
        <w:t>856.701, 2148.931</w:t>
      </w:r>
      <w:r w:rsidR="00A15C0C" w:rsidRPr="003C742E">
        <w:t>)</w:t>
      </w:r>
      <w:r w:rsidRPr="003C742E">
        <w:t xml:space="preserve">. </w:t>
      </w:r>
      <w:r w:rsidR="007E3135" w:rsidRPr="003C742E">
        <w:t>Neutralising antibody</w:t>
      </w:r>
      <w:r w:rsidRPr="003C742E">
        <w:t xml:space="preserve"> GMC remained elevated when comparing pre-dose, Day 1 values (110.694 </w:t>
      </w:r>
      <w:r w:rsidR="00A15C0C" w:rsidRPr="003C742E">
        <w:t>(</w:t>
      </w:r>
      <w:r w:rsidRPr="003C742E">
        <w:t xml:space="preserve">55.980, 218.885). The GMFR in SARS-CoV-2 positive adolescents was 15.519 </w:t>
      </w:r>
      <w:r w:rsidR="00A15C0C" w:rsidRPr="003C742E">
        <w:t>(</w:t>
      </w:r>
      <w:r w:rsidRPr="003C742E">
        <w:t>9.124, 26.397</w:t>
      </w:r>
      <w:r w:rsidR="00A15C0C" w:rsidRPr="003C742E">
        <w:t>)</w:t>
      </w:r>
      <w:r w:rsidRPr="003C742E">
        <w:t xml:space="preserve"> on </w:t>
      </w:r>
      <w:r w:rsidRPr="003C742E">
        <w:lastRenderedPageBreak/>
        <w:t xml:space="preserve">Day 209 and was 12.258 </w:t>
      </w:r>
      <w:r w:rsidR="00A15C0C" w:rsidRPr="003C742E">
        <w:t>(</w:t>
      </w:r>
      <w:r w:rsidRPr="003C742E">
        <w:t>7.346, 20.453</w:t>
      </w:r>
      <w:r w:rsidR="00A15C0C" w:rsidRPr="003C742E">
        <w:t>)</w:t>
      </w:r>
      <w:r w:rsidRPr="003C742E">
        <w:t xml:space="preserve"> on Day 394. Furthermore, nearly all participants remained 4-fold above pre-vaccination by Day 394 (</w:t>
      </w:r>
      <w:r w:rsidR="005969ED" w:rsidRPr="003C742E">
        <w:t>seroresponse rate</w:t>
      </w:r>
      <w:r w:rsidRPr="003C742E">
        <w:t xml:space="preserve"> of 92.9% </w:t>
      </w:r>
      <w:r w:rsidR="00A15C0C" w:rsidRPr="003C742E">
        <w:t>(</w:t>
      </w:r>
      <w:r w:rsidRPr="003C742E">
        <w:t>66.1, 99.8</w:t>
      </w:r>
      <w:r w:rsidR="00A15C0C" w:rsidRPr="003C742E">
        <w:t>)</w:t>
      </w:r>
      <w:r w:rsidRPr="003C742E">
        <w:t xml:space="preserve"> at Day</w:t>
      </w:r>
      <w:r w:rsidR="00D03EE9">
        <w:t> </w:t>
      </w:r>
      <w:r w:rsidRPr="003C742E">
        <w:t>209 and Day 394).</w:t>
      </w:r>
    </w:p>
    <w:p w14:paraId="164387AE" w14:textId="4C65EA66" w:rsidR="005E435C" w:rsidRPr="007D0354" w:rsidRDefault="00E952A9" w:rsidP="007D0354">
      <w:pPr>
        <w:pStyle w:val="FigureTitle"/>
      </w:pPr>
      <w:r w:rsidRPr="007D0354">
        <w:t xml:space="preserve">Figure </w:t>
      </w:r>
      <w:r w:rsidR="009809E2">
        <w:fldChar w:fldCharType="begin"/>
      </w:r>
      <w:r w:rsidR="009809E2">
        <w:instrText xml:space="preserve"> SEQ Figure \* ARABIC </w:instrText>
      </w:r>
      <w:r w:rsidR="009809E2">
        <w:fldChar w:fldCharType="separate"/>
      </w:r>
      <w:r w:rsidR="0005046B">
        <w:rPr>
          <w:noProof/>
        </w:rPr>
        <w:t>1</w:t>
      </w:r>
      <w:r w:rsidR="009809E2">
        <w:rPr>
          <w:noProof/>
        </w:rPr>
        <w:fldChar w:fldCharType="end"/>
      </w:r>
      <w:r w:rsidRPr="007D0354">
        <w:t xml:space="preserve">: </w:t>
      </w:r>
      <w:r w:rsidR="00294DC1" w:rsidRPr="007D0354">
        <w:t xml:space="preserve">Study P203 </w:t>
      </w:r>
      <w:r w:rsidR="005E435C" w:rsidRPr="007D0354">
        <w:t xml:space="preserve">Line </w:t>
      </w:r>
      <w:r w:rsidR="00294DC1" w:rsidRPr="007D0354">
        <w:t>p</w:t>
      </w:r>
      <w:r w:rsidR="005E435C" w:rsidRPr="007D0354">
        <w:t xml:space="preserve">lot of </w:t>
      </w:r>
      <w:r w:rsidR="00294DC1" w:rsidRPr="007D0354">
        <w:t xml:space="preserve">long-term analysis on </w:t>
      </w:r>
      <w:r w:rsidR="007E3135" w:rsidRPr="007D0354">
        <w:t xml:space="preserve">pseudovirus neutralising antibody values </w:t>
      </w:r>
      <w:r w:rsidR="005E435C" w:rsidRPr="007D0354">
        <w:t xml:space="preserve">(VAC62) by </w:t>
      </w:r>
      <w:r w:rsidR="00294DC1" w:rsidRPr="007D0354">
        <w:t>b</w:t>
      </w:r>
      <w:r w:rsidR="005E435C" w:rsidRPr="007D0354">
        <w:t xml:space="preserve">aseline SARS-CoV-2 </w:t>
      </w:r>
      <w:r w:rsidR="001E2B87" w:rsidRPr="007D0354">
        <w:t>status (immunogenicity subset)</w:t>
      </w:r>
    </w:p>
    <w:p w14:paraId="3F319CBA" w14:textId="1215F154" w:rsidR="00294DC1" w:rsidRPr="003C742E" w:rsidRDefault="00294DC1" w:rsidP="007D0354">
      <w:r w:rsidRPr="003C742E">
        <w:rPr>
          <w:noProof/>
          <w:lang w:val="en-GB" w:eastAsia="en-GB"/>
        </w:rPr>
        <w:drawing>
          <wp:inline distT="0" distB="0" distL="0" distR="0" wp14:anchorId="6ED7EE4B" wp14:editId="4EBF8B55">
            <wp:extent cx="5759450" cy="2863215"/>
            <wp:effectExtent l="0" t="0" r="0" b="0"/>
            <wp:docPr id="2" name="Picture 2" descr="Figure 1: Study P203 Line plot of long-term analysis on pseudovirus neutralising antibody values (VAC62) by baseline SARS-CoV-2 status (immunogenicity sub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 Study P203 Line plot of long-term analysis on pseudovirus neutralising antibody values (VAC62) by baseline SARS-CoV-2 status (immunogenicity subset)"/>
                    <pic:cNvPicPr/>
                  </pic:nvPicPr>
                  <pic:blipFill>
                    <a:blip r:embed="rId63"/>
                    <a:stretch>
                      <a:fillRect/>
                    </a:stretch>
                  </pic:blipFill>
                  <pic:spPr>
                    <a:xfrm>
                      <a:off x="0" y="0"/>
                      <a:ext cx="5759450" cy="2863215"/>
                    </a:xfrm>
                    <a:prstGeom prst="rect">
                      <a:avLst/>
                    </a:prstGeom>
                  </pic:spPr>
                </pic:pic>
              </a:graphicData>
            </a:graphic>
          </wp:inline>
        </w:drawing>
      </w:r>
    </w:p>
    <w:p w14:paraId="19616E41" w14:textId="2FA6BC44" w:rsidR="00294DC1" w:rsidRPr="007D0354" w:rsidRDefault="00294DC1" w:rsidP="007D0354">
      <w:pPr>
        <w:pStyle w:val="FigureDescription"/>
      </w:pPr>
      <w:r w:rsidRPr="007D0354">
        <w:t>Abbreviations: CI=confidence interval; GMC=geometric mean concentration; GMFR=geometric mean fold rise; N= total number of subjects; n = number of subjects in subgroup; SARS-CoV-2 = severe acute respiratory syndrome coronavirus 2.</w:t>
      </w:r>
    </w:p>
    <w:p w14:paraId="78736B70" w14:textId="77777777" w:rsidR="00D91801" w:rsidRDefault="005E435C" w:rsidP="00D91801">
      <w:pPr>
        <w:pStyle w:val="Heading8"/>
      </w:pPr>
      <w:r w:rsidRPr="003C742E">
        <w:t>Neutrali</w:t>
      </w:r>
      <w:r w:rsidR="00A15C0C" w:rsidRPr="003C742E">
        <w:t>s</w:t>
      </w:r>
      <w:r w:rsidRPr="003C742E">
        <w:t xml:space="preserve">ing </w:t>
      </w:r>
      <w:r w:rsidR="007E3135" w:rsidRPr="003C742E">
        <w:t xml:space="preserve">antibodies among participants </w:t>
      </w:r>
      <w:r w:rsidRPr="003C742E">
        <w:t xml:space="preserve">with SARS-CoV-2 </w:t>
      </w:r>
      <w:r w:rsidR="007E3135" w:rsidRPr="003C742E">
        <w:t>infection during study</w:t>
      </w:r>
    </w:p>
    <w:p w14:paraId="68A06F91" w14:textId="0879BDD1" w:rsidR="00442E27" w:rsidRDefault="00442E27" w:rsidP="005E435C">
      <w:r w:rsidRPr="00442E27">
        <w:t>Ten participants were diagnosed with intercurrent SARS-CoV-2 infection at or before Day 209 (per</w:t>
      </w:r>
      <w:r w:rsidRPr="00442E27">
        <w:noBreakHyphen/>
        <w:t>protocol immunogenicity subset) and an additional 54 participants were diagnosed with SARS-CoV-2 at or before Day 394.</w:t>
      </w:r>
    </w:p>
    <w:p w14:paraId="4C7B8EA1" w14:textId="0E678D38" w:rsidR="005E435C" w:rsidRPr="003C742E" w:rsidRDefault="005E435C" w:rsidP="005E435C">
      <w:r w:rsidRPr="003C742E">
        <w:t xml:space="preserve">In summary, participants experiencing an intercurrent SARS-CoV-2 infection developed </w:t>
      </w:r>
      <w:r w:rsidR="007E3135" w:rsidRPr="003C742E">
        <w:t>neutralising antibody</w:t>
      </w:r>
      <w:r w:rsidRPr="003C742E">
        <w:t xml:space="preserve"> levels higher than those of uninfected participants. This increase in </w:t>
      </w:r>
      <w:r w:rsidR="007E3135" w:rsidRPr="003C742E">
        <w:t>neutralising antibody</w:t>
      </w:r>
      <w:r w:rsidRPr="003C742E">
        <w:t xml:space="preserve"> levels following natural infection of mRNA-1273</w:t>
      </w:r>
      <w:r w:rsidR="00F27F2E" w:rsidRPr="003C742E">
        <w:t xml:space="preserve"> </w:t>
      </w:r>
      <w:r w:rsidR="005F2136" w:rsidRPr="003C742E">
        <w:t xml:space="preserve">vaccine </w:t>
      </w:r>
      <w:r w:rsidRPr="003C742E">
        <w:t>primed adolescents (</w:t>
      </w:r>
      <w:r w:rsidR="009700F9" w:rsidRPr="003C742E">
        <w:t>‘</w:t>
      </w:r>
      <w:r w:rsidRPr="003C742E">
        <w:t>hybrid immunity</w:t>
      </w:r>
      <w:r w:rsidR="009700F9" w:rsidRPr="003C742E">
        <w:t>’</w:t>
      </w:r>
      <w:r w:rsidRPr="003C742E">
        <w:t xml:space="preserve">), may reflect a beneficial response. The sponsor claims that while exposure to native SARS-CoV-2 effectively </w:t>
      </w:r>
      <w:r w:rsidR="009700F9" w:rsidRPr="003C742E">
        <w:t>‘</w:t>
      </w:r>
      <w:r w:rsidRPr="003C742E">
        <w:t>boosted</w:t>
      </w:r>
      <w:r w:rsidR="009700F9" w:rsidRPr="003C742E">
        <w:t>’</w:t>
      </w:r>
      <w:r w:rsidRPr="003C742E">
        <w:t xml:space="preserve"> mRNA-1273</w:t>
      </w:r>
      <w:r w:rsidR="00F27F2E" w:rsidRPr="003C742E">
        <w:t xml:space="preserve"> </w:t>
      </w:r>
      <w:r w:rsidR="005F2136" w:rsidRPr="003C742E">
        <w:t xml:space="preserve">vaccine </w:t>
      </w:r>
      <w:r w:rsidRPr="003C742E">
        <w:t xml:space="preserve">primed responses, such boosting was not necessary to maintain persistence of the </w:t>
      </w:r>
      <w:r w:rsidR="007E3135" w:rsidRPr="003C742E">
        <w:t>neutralising antibody</w:t>
      </w:r>
      <w:r w:rsidRPr="003C742E">
        <w:t xml:space="preserve"> responses induced by mRNA</w:t>
      </w:r>
      <w:r w:rsidR="007E3135" w:rsidRPr="003C742E">
        <w:noBreakHyphen/>
      </w:r>
      <w:r w:rsidRPr="003C742E">
        <w:t xml:space="preserve">1273 alone. </w:t>
      </w:r>
      <w:r w:rsidR="00551F6B">
        <w:t>M</w:t>
      </w:r>
      <w:r w:rsidRPr="003C742E">
        <w:t xml:space="preserve">easurable </w:t>
      </w:r>
      <w:r w:rsidR="007E3135" w:rsidRPr="003C742E">
        <w:t>neutralising antibody</w:t>
      </w:r>
      <w:r w:rsidRPr="003C742E">
        <w:t xml:space="preserve"> levels were evident at 12 months following completion of the mRNA</w:t>
      </w:r>
      <w:r w:rsidR="00551F6B">
        <w:noBreakHyphen/>
      </w:r>
      <w:r w:rsidRPr="003C742E">
        <w:t xml:space="preserve">1273 </w:t>
      </w:r>
      <w:r w:rsidR="005F2136">
        <w:t xml:space="preserve">vaccination </w:t>
      </w:r>
      <w:r w:rsidRPr="003C742E">
        <w:t>primary series.</w:t>
      </w:r>
    </w:p>
    <w:p w14:paraId="3B1B957F" w14:textId="3A1A4419" w:rsidR="005E435C" w:rsidRPr="00D91801" w:rsidRDefault="005F2136" w:rsidP="00D91801">
      <w:pPr>
        <w:pStyle w:val="Heading8"/>
      </w:pPr>
      <w:r>
        <w:t>L</w:t>
      </w:r>
      <w:r w:rsidR="00D91801" w:rsidRPr="00D91801">
        <w:t>ong-term analysis of b</w:t>
      </w:r>
      <w:r w:rsidR="005E435C" w:rsidRPr="00D91801">
        <w:t xml:space="preserve">inding </w:t>
      </w:r>
      <w:r w:rsidR="007E3135" w:rsidRPr="00D91801">
        <w:t>antibodies</w:t>
      </w:r>
    </w:p>
    <w:p w14:paraId="2C430F44" w14:textId="056047CA" w:rsidR="005E435C" w:rsidRPr="003C742E" w:rsidRDefault="005E435C" w:rsidP="005E435C">
      <w:r w:rsidRPr="003C742E">
        <w:t xml:space="preserve">The persistence of </w:t>
      </w:r>
      <w:r w:rsidR="007E3135" w:rsidRPr="003C742E">
        <w:t>neutralising antibody</w:t>
      </w:r>
      <w:r w:rsidRPr="003C742E">
        <w:t xml:space="preserve"> responses was paralleled by the persistence of serum </w:t>
      </w:r>
      <w:r w:rsidR="007E3135" w:rsidRPr="003C742E">
        <w:t>binding antibody</w:t>
      </w:r>
      <w:r w:rsidRPr="003C742E">
        <w:t xml:space="preserve"> (directed against </w:t>
      </w:r>
      <w:r w:rsidR="00B2387D" w:rsidRPr="00B2387D">
        <w:t>spike</w:t>
      </w:r>
      <w:r w:rsidR="00B2387D" w:rsidRPr="003C742E">
        <w:t xml:space="preserve"> protein</w:t>
      </w:r>
      <w:r w:rsidRPr="003C742E">
        <w:t xml:space="preserve">) through Day 394. In the </w:t>
      </w:r>
      <w:r w:rsidR="001E2B87" w:rsidRPr="003C742E">
        <w:t>per-protocol</w:t>
      </w:r>
      <w:r w:rsidRPr="003C742E">
        <w:t xml:space="preserve"> </w:t>
      </w:r>
      <w:r w:rsidR="001E2B87" w:rsidRPr="003C742E">
        <w:t>immunogenicity subset</w:t>
      </w:r>
      <w:r w:rsidRPr="003C742E">
        <w:t xml:space="preserve">, </w:t>
      </w:r>
      <w:r w:rsidR="007E3135" w:rsidRPr="003C742E">
        <w:t>binding antibody</w:t>
      </w:r>
      <w:r w:rsidRPr="003C742E">
        <w:t xml:space="preserve"> increased 5252-fold from </w:t>
      </w:r>
      <w:r w:rsidR="00860D51" w:rsidRPr="003C742E">
        <w:t>Baseline</w:t>
      </w:r>
      <w:r w:rsidRPr="003C742E">
        <w:t xml:space="preserve"> as measured 28</w:t>
      </w:r>
      <w:r w:rsidR="007E3135" w:rsidRPr="003C742E">
        <w:t> </w:t>
      </w:r>
      <w:r w:rsidRPr="003C742E">
        <w:t xml:space="preserve">days after Dose 2. While a decline in serum </w:t>
      </w:r>
      <w:r w:rsidR="007E3135" w:rsidRPr="003C742E">
        <w:t>binding antibody</w:t>
      </w:r>
      <w:r w:rsidRPr="003C742E">
        <w:t xml:space="preserve"> was observed at 6 and 12</w:t>
      </w:r>
      <w:r w:rsidR="007E3135" w:rsidRPr="003C742E">
        <w:t> </w:t>
      </w:r>
      <w:r w:rsidRPr="003C742E">
        <w:t xml:space="preserve">months after Dose 2, </w:t>
      </w:r>
      <w:r w:rsidR="007E3135" w:rsidRPr="003C742E">
        <w:t>binding antibody</w:t>
      </w:r>
      <w:r w:rsidRPr="003C742E">
        <w:t xml:space="preserve"> responses at these late timepoints remained markedly higher than baseline levels. Compared to </w:t>
      </w:r>
      <w:r w:rsidR="00860D51" w:rsidRPr="003C742E">
        <w:t>Baseline</w:t>
      </w:r>
      <w:r w:rsidRPr="003C742E">
        <w:t xml:space="preserve"> (pre-Dose 1), </w:t>
      </w:r>
      <w:r w:rsidR="007E3135" w:rsidRPr="003C742E">
        <w:t>binding antibody</w:t>
      </w:r>
      <w:r w:rsidRPr="003C742E">
        <w:t xml:space="preserve"> levels at 6</w:t>
      </w:r>
      <w:r w:rsidR="007E3135" w:rsidRPr="003C742E">
        <w:t> </w:t>
      </w:r>
      <w:r w:rsidRPr="003C742E">
        <w:t xml:space="preserve">months after Dose 2 were 1210-fold higher than </w:t>
      </w:r>
      <w:r w:rsidR="00860D51" w:rsidRPr="003C742E">
        <w:t>Baseline</w:t>
      </w:r>
      <w:r w:rsidRPr="003C742E">
        <w:t xml:space="preserve"> (GMFR). Relatively little additional decline was observed between 6 and 12 months after Dose 2 (Day 394 level was 894-fold higher than </w:t>
      </w:r>
      <w:r w:rsidR="00860D51" w:rsidRPr="003C742E">
        <w:t>Baseline</w:t>
      </w:r>
      <w:r w:rsidRPr="003C742E">
        <w:t>). Similarly, seroresponse rates, once achieved, were maintained through the 12</w:t>
      </w:r>
      <w:r w:rsidR="007E3135" w:rsidRPr="003C742E">
        <w:noBreakHyphen/>
      </w:r>
      <w:r w:rsidRPr="003C742E">
        <w:t>month timepoint.</w:t>
      </w:r>
    </w:p>
    <w:p w14:paraId="23AD6D49" w14:textId="2D6F32BC" w:rsidR="005E435C" w:rsidRPr="003C742E" w:rsidRDefault="005E435C" w:rsidP="005E435C">
      <w:r w:rsidRPr="003C742E">
        <w:lastRenderedPageBreak/>
        <w:t xml:space="preserve">As expected, the baseline </w:t>
      </w:r>
      <w:r w:rsidR="007E3135" w:rsidRPr="003C742E">
        <w:t>neutralising antibody</w:t>
      </w:r>
      <w:r w:rsidRPr="003C742E">
        <w:t xml:space="preserve"> and </w:t>
      </w:r>
      <w:r w:rsidR="007E3135" w:rsidRPr="003C742E">
        <w:t>binding antibody</w:t>
      </w:r>
      <w:r w:rsidRPr="003C742E">
        <w:t xml:space="preserve"> were higher in participants who were baseline</w:t>
      </w:r>
      <w:r w:rsidR="007E3135" w:rsidRPr="003C742E">
        <w:t xml:space="preserve"> </w:t>
      </w:r>
      <w:r w:rsidRPr="003C742E">
        <w:t>positive for SARS-CoV-2 than participants who were baseline</w:t>
      </w:r>
      <w:r w:rsidR="007E3135" w:rsidRPr="003C742E">
        <w:t xml:space="preserve"> </w:t>
      </w:r>
      <w:r w:rsidRPr="003C742E">
        <w:t xml:space="preserve">negative. Nevertheless, marked increases in </w:t>
      </w:r>
      <w:r w:rsidR="007E3135" w:rsidRPr="003C742E">
        <w:t>neutralising antibody</w:t>
      </w:r>
      <w:r w:rsidRPr="003C742E">
        <w:t xml:space="preserve"> and </w:t>
      </w:r>
      <w:r w:rsidR="007E3135" w:rsidRPr="003C742E">
        <w:t>binding antibody</w:t>
      </w:r>
      <w:r w:rsidRPr="003C742E">
        <w:t xml:space="preserve"> were similarly observed in adolescents who were SARS-CoV-2 positive at </w:t>
      </w:r>
      <w:r w:rsidR="00860D51" w:rsidRPr="003C742E">
        <w:t>Baseline</w:t>
      </w:r>
      <w:r w:rsidRPr="003C742E">
        <w:t>, showing that mRNA</w:t>
      </w:r>
      <w:r w:rsidR="007E3135" w:rsidRPr="003C742E">
        <w:noBreakHyphen/>
      </w:r>
      <w:r w:rsidRPr="003C742E">
        <w:t xml:space="preserve">1273 </w:t>
      </w:r>
      <w:r w:rsidR="005F2136">
        <w:t xml:space="preserve">vaccine </w:t>
      </w:r>
      <w:r w:rsidRPr="003C742E">
        <w:t>primary series triggered robust responses in adolescents regardless of baseline SARS</w:t>
      </w:r>
      <w:r w:rsidR="007E3135" w:rsidRPr="003C742E">
        <w:noBreakHyphen/>
      </w:r>
      <w:r w:rsidRPr="003C742E">
        <w:t>CoV</w:t>
      </w:r>
      <w:r w:rsidR="007E3135" w:rsidRPr="003C742E">
        <w:noBreakHyphen/>
      </w:r>
      <w:r w:rsidRPr="003C742E">
        <w:t>2 status.</w:t>
      </w:r>
    </w:p>
    <w:p w14:paraId="4F464B3B" w14:textId="43CF5550" w:rsidR="005E435C" w:rsidRPr="003C742E" w:rsidRDefault="005E435C" w:rsidP="005E435C">
      <w:r w:rsidRPr="003C742E">
        <w:t xml:space="preserve">Vaccination with prototype mRNA-1273 induced </w:t>
      </w:r>
      <w:r w:rsidR="007E3135" w:rsidRPr="003C742E">
        <w:t>binding antibody</w:t>
      </w:r>
      <w:r w:rsidRPr="003C742E">
        <w:t xml:space="preserve"> responses against all SARS</w:t>
      </w:r>
      <w:r w:rsidR="007E3135" w:rsidRPr="003C742E">
        <w:noBreakHyphen/>
      </w:r>
      <w:r w:rsidRPr="003C742E">
        <w:t xml:space="preserve">CoV-2 variants included in the testing panel (Alpha </w:t>
      </w:r>
      <w:r w:rsidR="00A15C0C" w:rsidRPr="003C742E">
        <w:t>(</w:t>
      </w:r>
      <w:r w:rsidRPr="003C742E">
        <w:t>B.1.1.7</w:t>
      </w:r>
      <w:r w:rsidR="00A15C0C" w:rsidRPr="003C742E">
        <w:t>)</w:t>
      </w:r>
      <w:r w:rsidRPr="003C742E">
        <w:t xml:space="preserve">, Beta </w:t>
      </w:r>
      <w:r w:rsidR="00A15C0C" w:rsidRPr="003C742E">
        <w:t>(</w:t>
      </w:r>
      <w:r w:rsidRPr="003C742E">
        <w:t>B.1.351</w:t>
      </w:r>
      <w:r w:rsidR="00A15C0C" w:rsidRPr="003C742E">
        <w:t>)</w:t>
      </w:r>
      <w:r w:rsidRPr="003C742E">
        <w:t xml:space="preserve">, Gamma </w:t>
      </w:r>
      <w:r w:rsidR="00A15C0C" w:rsidRPr="003C742E">
        <w:t>(</w:t>
      </w:r>
      <w:r w:rsidRPr="003C742E">
        <w:t>P.1</w:t>
      </w:r>
      <w:r w:rsidR="00A15C0C" w:rsidRPr="003C742E">
        <w:t>)</w:t>
      </w:r>
      <w:r w:rsidRPr="003C742E">
        <w:t xml:space="preserve"> and Delta </w:t>
      </w:r>
      <w:r w:rsidR="00A15C0C" w:rsidRPr="003C742E">
        <w:t>(</w:t>
      </w:r>
      <w:r w:rsidRPr="003C742E">
        <w:t>B.1.617.2</w:t>
      </w:r>
      <w:r w:rsidR="00A15C0C" w:rsidRPr="003C742E">
        <w:t>)</w:t>
      </w:r>
      <w:r w:rsidRPr="003C742E">
        <w:t xml:space="preserve"> variants). Paralleling prototype responses tested </w:t>
      </w:r>
      <w:r w:rsidR="007E3135" w:rsidRPr="003C742E">
        <w:t>binding antibody</w:t>
      </w:r>
      <w:r w:rsidRPr="003C742E">
        <w:t xml:space="preserve"> responses peaked at Day 57; measurable </w:t>
      </w:r>
      <w:r w:rsidR="007E3135" w:rsidRPr="003C742E">
        <w:t>binding antibody</w:t>
      </w:r>
      <w:r w:rsidRPr="003C742E">
        <w:t xml:space="preserve"> responses against tested variants persisted out to 12 months after Dose 2.</w:t>
      </w:r>
    </w:p>
    <w:p w14:paraId="552BC07B" w14:textId="1CB34E46" w:rsidR="005F2136" w:rsidRDefault="00D03EE9" w:rsidP="00D03EE9">
      <w:pPr>
        <w:pStyle w:val="Heading4"/>
      </w:pPr>
      <w:bookmarkStart w:id="105" w:name="_Toc134622052"/>
      <w:bookmarkStart w:id="106" w:name="_Hlk130930619"/>
      <w:r w:rsidRPr="00D03EE9">
        <w:t xml:space="preserve">Clinical studies </w:t>
      </w:r>
      <w:r w:rsidR="005F2136">
        <w:t>i</w:t>
      </w:r>
      <w:r w:rsidRPr="00D03EE9">
        <w:t>n p</w:t>
      </w:r>
      <w:r w:rsidR="005E435C" w:rsidRPr="00D03EE9">
        <w:t xml:space="preserve">aediatric </w:t>
      </w:r>
      <w:r w:rsidRPr="00D03EE9">
        <w:t>population</w:t>
      </w:r>
      <w:r w:rsidR="005F2136">
        <w:t>s</w:t>
      </w:r>
      <w:bookmarkEnd w:id="105"/>
    </w:p>
    <w:p w14:paraId="44864B51" w14:textId="2D1129C1" w:rsidR="005E435C" w:rsidRPr="00D03EE9" w:rsidRDefault="005F2136" w:rsidP="00A53503">
      <w:r>
        <w:t>Paediatric populations are defined here as persons</w:t>
      </w:r>
      <w:r w:rsidR="00D03EE9" w:rsidRPr="00D03EE9">
        <w:t xml:space="preserve"> from </w:t>
      </w:r>
      <w:r w:rsidR="005E435C" w:rsidRPr="00D03EE9">
        <w:t>6 to 11 years of age</w:t>
      </w:r>
      <w:r>
        <w:t>.</w:t>
      </w:r>
    </w:p>
    <w:p w14:paraId="6F042B1B" w14:textId="4D5D6889" w:rsidR="005E435C" w:rsidRPr="003C742E" w:rsidRDefault="005E435C" w:rsidP="00D03EE9">
      <w:pPr>
        <w:pStyle w:val="Heading5"/>
      </w:pPr>
      <w:bookmarkStart w:id="107" w:name="_Hlk130930836"/>
      <w:bookmarkEnd w:id="106"/>
      <w:r w:rsidRPr="003C742E">
        <w:t>Study P204</w:t>
      </w:r>
    </w:p>
    <w:p w14:paraId="0DF68BFE" w14:textId="7E0042FA" w:rsidR="005E435C" w:rsidRPr="003C742E" w:rsidRDefault="0087261C" w:rsidP="005E435C">
      <w:bookmarkStart w:id="108" w:name="_Hlk130930718"/>
      <w:bookmarkEnd w:id="107"/>
      <w:r>
        <w:t>Study mRNA-1273-P20</w:t>
      </w:r>
      <w:r w:rsidR="00EF4C78">
        <w:t xml:space="preserve"> (abbreviated here as </w:t>
      </w:r>
      <w:r w:rsidR="007E3135" w:rsidRPr="003C742E">
        <w:t>Study P204</w:t>
      </w:r>
      <w:r w:rsidR="00EF4C78">
        <w:t>)</w:t>
      </w:r>
      <w:r w:rsidR="007E3135" w:rsidRPr="003C742E">
        <w:t xml:space="preserve"> is a </w:t>
      </w:r>
      <w:r w:rsidR="005E435C" w:rsidRPr="003C742E">
        <w:t xml:space="preserve">Phase </w:t>
      </w:r>
      <w:r w:rsidR="001705C1" w:rsidRPr="003C742E">
        <w:t>II</w:t>
      </w:r>
      <w:r w:rsidR="005E435C" w:rsidRPr="003C742E">
        <w:t>/</w:t>
      </w:r>
      <w:r w:rsidR="001705C1" w:rsidRPr="003C742E">
        <w:t>III</w:t>
      </w:r>
      <w:r w:rsidR="005E435C" w:rsidRPr="003C742E">
        <w:t xml:space="preserve">, two-part, </w:t>
      </w:r>
      <w:r w:rsidR="001705C1" w:rsidRPr="003C742E">
        <w:t>open label</w:t>
      </w:r>
      <w:r w:rsidR="005E435C" w:rsidRPr="003C742E">
        <w:t>, dose</w:t>
      </w:r>
      <w:r w:rsidR="001705C1" w:rsidRPr="003C742E">
        <w:t xml:space="preserve"> </w:t>
      </w:r>
      <w:r w:rsidR="005E435C" w:rsidRPr="003C742E">
        <w:t xml:space="preserve">escalation, age de-escalation and subsequent randomised, observer blind, </w:t>
      </w:r>
      <w:r w:rsidR="00B941A1" w:rsidRPr="003C742E">
        <w:t xml:space="preserve">placebo </w:t>
      </w:r>
      <w:r w:rsidR="005E435C" w:rsidRPr="003C742E">
        <w:t>controlled expansion study to evaluate the safety, tolerability, reactogenicity, and effectiveness of mRNA-1273</w:t>
      </w:r>
      <w:r>
        <w:t xml:space="preserve"> vaccine</w:t>
      </w:r>
      <w:r w:rsidR="005E435C" w:rsidRPr="003C742E">
        <w:t xml:space="preserve"> in healthy children </w:t>
      </w:r>
      <w:r>
        <w:t xml:space="preserve">from </w:t>
      </w:r>
      <w:r w:rsidR="005E435C" w:rsidRPr="003C742E">
        <w:t>6</w:t>
      </w:r>
      <w:r>
        <w:t> </w:t>
      </w:r>
      <w:r w:rsidR="005E435C" w:rsidRPr="003C742E">
        <w:t>months to less than 12</w:t>
      </w:r>
      <w:r w:rsidR="007E3135" w:rsidRPr="003C742E">
        <w:t> </w:t>
      </w:r>
      <w:r w:rsidR="005E435C" w:rsidRPr="003C742E">
        <w:t>years of age.</w:t>
      </w:r>
      <w:bookmarkStart w:id="109" w:name="_Ref134437703"/>
      <w:r>
        <w:rPr>
          <w:rStyle w:val="FootnoteReference"/>
        </w:rPr>
        <w:footnoteReference w:id="27"/>
      </w:r>
      <w:bookmarkEnd w:id="109"/>
    </w:p>
    <w:p w14:paraId="46655961" w14:textId="00E2F59A" w:rsidR="005E435C" w:rsidRPr="003C742E" w:rsidRDefault="005E435C" w:rsidP="005E435C">
      <w:bookmarkStart w:id="110" w:name="_Hlk130931249"/>
      <w:bookmarkEnd w:id="108"/>
      <w:r w:rsidRPr="003C742E">
        <w:t>In Part 1 safety and immunogenicity for 50</w:t>
      </w:r>
      <w:r w:rsidR="007E3135" w:rsidRPr="003C742E">
        <w:t xml:space="preserve"> µg</w:t>
      </w:r>
      <w:r w:rsidRPr="003C742E">
        <w:t xml:space="preserve"> and 100 </w:t>
      </w:r>
      <w:r w:rsidR="007E3135" w:rsidRPr="003C742E">
        <w:t>µg</w:t>
      </w:r>
      <w:r w:rsidRPr="003C742E">
        <w:t xml:space="preserve"> dose levels were explored in children 6 to </w:t>
      </w:r>
      <w:r w:rsidR="00860D51" w:rsidRPr="003C742E">
        <w:t xml:space="preserve">less than </w:t>
      </w:r>
      <w:r w:rsidRPr="003C742E">
        <w:t>12 years of age (</w:t>
      </w:r>
      <w:r w:rsidR="00860D51" w:rsidRPr="003C742E">
        <w:t xml:space="preserve">n = </w:t>
      </w:r>
      <w:r w:rsidRPr="003C742E">
        <w:t>380 and 371 respectively). There appeared to be a dose response relationship, with higher reactogenicity from the 100 </w:t>
      </w:r>
      <w:r w:rsidR="007E3135" w:rsidRPr="003C742E">
        <w:t>µg</w:t>
      </w:r>
      <w:r w:rsidRPr="003C742E">
        <w:t xml:space="preserve"> dose compared to the 50</w:t>
      </w:r>
      <w:r w:rsidR="007E3135" w:rsidRPr="003C742E">
        <w:t> µg</w:t>
      </w:r>
      <w:r w:rsidRPr="003C742E">
        <w:t xml:space="preserve"> dose, evident in the rate of </w:t>
      </w:r>
      <w:r w:rsidR="00EF4C78">
        <w:t>adverse events (AEs) of</w:t>
      </w:r>
      <w:r w:rsidR="00EF4C78" w:rsidRPr="003C742E">
        <w:t xml:space="preserve"> </w:t>
      </w:r>
      <w:r w:rsidRPr="003C742E">
        <w:t>Grade 3</w:t>
      </w:r>
      <w:r w:rsidR="00EF4C78">
        <w:t xml:space="preserve"> severity</w:t>
      </w:r>
      <w:r w:rsidRPr="003C742E">
        <w:t xml:space="preserve"> and above. In Part 2, the 50</w:t>
      </w:r>
      <w:r w:rsidR="00EF4C78">
        <w:t> </w:t>
      </w:r>
      <w:r w:rsidR="007E3135" w:rsidRPr="003C742E">
        <w:t>µg</w:t>
      </w:r>
      <w:r w:rsidRPr="003C742E">
        <w:t xml:space="preserve"> dose was administered to 4000 participants, randomised </w:t>
      </w:r>
      <w:r w:rsidR="00EF4C78">
        <w:t xml:space="preserve">in a </w:t>
      </w:r>
      <w:r w:rsidRPr="003C742E">
        <w:t>3:1</w:t>
      </w:r>
      <w:r w:rsidR="00EF4C78">
        <w:t xml:space="preserve"> ratio</w:t>
      </w:r>
      <w:r w:rsidRPr="003C742E">
        <w:t xml:space="preserve"> (mRNA-1273</w:t>
      </w:r>
      <w:r w:rsidR="00EF4C78">
        <w:t xml:space="preserve"> vaccine</w:t>
      </w:r>
      <w:r w:rsidRPr="003C742E">
        <w:t>: placebo).</w:t>
      </w:r>
    </w:p>
    <w:bookmarkEnd w:id="110"/>
    <w:p w14:paraId="3922AA5E" w14:textId="5146D997" w:rsidR="005E435C" w:rsidRPr="003C742E" w:rsidRDefault="005E435C" w:rsidP="005E435C">
      <w:r w:rsidRPr="003C742E">
        <w:t xml:space="preserve">The data submitted and reviewed in the provisional registration of Spikevax </w:t>
      </w:r>
      <w:bookmarkStart w:id="111" w:name="_Hlk130930961"/>
      <w:r w:rsidRPr="003C742E">
        <w:t xml:space="preserve">in 6 to 11 years of age </w:t>
      </w:r>
      <w:bookmarkEnd w:id="111"/>
      <w:r w:rsidRPr="003C742E">
        <w:t>(</w:t>
      </w:r>
      <w:bookmarkStart w:id="112" w:name="_Hlk130930920"/>
      <w:r w:rsidR="003C742E" w:rsidRPr="003C742E">
        <w:t>S</w:t>
      </w:r>
      <w:r w:rsidRPr="003C742E">
        <w:t>ubmission PM</w:t>
      </w:r>
      <w:r w:rsidR="003C742E" w:rsidRPr="003C742E">
        <w:t>-</w:t>
      </w:r>
      <w:r w:rsidRPr="003C742E">
        <w:t>2021-05269-1-2</w:t>
      </w:r>
      <w:bookmarkEnd w:id="112"/>
      <w:r w:rsidRPr="003C742E">
        <w:t xml:space="preserve">), </w:t>
      </w:r>
      <w:bookmarkStart w:id="113" w:name="_Hlk130930864"/>
      <w:r w:rsidRPr="003C742E">
        <w:t xml:space="preserve">at </w:t>
      </w:r>
      <w:r w:rsidR="00EF4C78">
        <w:t xml:space="preserve">a data </w:t>
      </w:r>
      <w:r w:rsidRPr="003C742E">
        <w:t>cut-off of 10</w:t>
      </w:r>
      <w:r w:rsidR="007E3135" w:rsidRPr="003C742E">
        <w:t xml:space="preserve"> November </w:t>
      </w:r>
      <w:r w:rsidRPr="003C742E">
        <w:t xml:space="preserve">2021) </w:t>
      </w:r>
      <w:bookmarkEnd w:id="113"/>
      <w:r w:rsidR="00EF4C78">
        <w:t>is included.</w:t>
      </w:r>
      <w:bookmarkStart w:id="114" w:name="_Ref134437626"/>
      <w:r w:rsidR="00EF4C78">
        <w:rPr>
          <w:rStyle w:val="FootnoteReference"/>
        </w:rPr>
        <w:footnoteReference w:id="28"/>
      </w:r>
      <w:bookmarkEnd w:id="114"/>
    </w:p>
    <w:p w14:paraId="2612D4C1" w14:textId="77777777" w:rsidR="00D91801" w:rsidRDefault="005E435C" w:rsidP="00D91801">
      <w:pPr>
        <w:pStyle w:val="Heading6"/>
      </w:pPr>
      <w:bookmarkStart w:id="115" w:name="_Hlk130931317"/>
      <w:r w:rsidRPr="00D91801">
        <w:t>Immunogenicity</w:t>
      </w:r>
      <w:bookmarkEnd w:id="115"/>
    </w:p>
    <w:p w14:paraId="01EEA09C" w14:textId="054E3273" w:rsidR="005E435C" w:rsidRPr="00D91801" w:rsidRDefault="00D91801" w:rsidP="00D91801">
      <w:r w:rsidRPr="00D91801">
        <w:t xml:space="preserve">This </w:t>
      </w:r>
      <w:r w:rsidR="005E435C" w:rsidRPr="00D91801">
        <w:t xml:space="preserve">larger </w:t>
      </w:r>
      <w:r w:rsidR="001E2B87" w:rsidRPr="00D91801">
        <w:t>per-protocol</w:t>
      </w:r>
      <w:r w:rsidR="005E435C" w:rsidRPr="00D91801">
        <w:t xml:space="preserve"> Immunogenicity subset (</w:t>
      </w:r>
      <w:r w:rsidR="00860D51" w:rsidRPr="00D91801">
        <w:t xml:space="preserve">n = </w:t>
      </w:r>
      <w:r w:rsidR="005E435C" w:rsidRPr="00D91801">
        <w:t xml:space="preserve">319) derives from the blinded, </w:t>
      </w:r>
      <w:r w:rsidR="00B941A1" w:rsidRPr="00D91801">
        <w:t xml:space="preserve">placebo </w:t>
      </w:r>
      <w:r w:rsidR="005E435C" w:rsidRPr="00D91801">
        <w:t xml:space="preserve">controlled phase (Part 2) of </w:t>
      </w:r>
      <w:r w:rsidR="0053571E" w:rsidRPr="00D91801">
        <w:t>Study P20</w:t>
      </w:r>
      <w:r w:rsidR="005E435C" w:rsidRPr="00D91801">
        <w:t xml:space="preserve">4. The Day 57 </w:t>
      </w:r>
      <w:r w:rsidR="007E3135" w:rsidRPr="00D91801">
        <w:t>neutralising antibody</w:t>
      </w:r>
      <w:r w:rsidR="005E435C" w:rsidRPr="00D91801">
        <w:t xml:space="preserve"> GMT measured by PsVNA </w:t>
      </w:r>
      <w:r w:rsidR="003C742E" w:rsidRPr="00D91801">
        <w:t>ID50</w:t>
      </w:r>
      <w:r w:rsidR="005E435C" w:rsidRPr="00D91801">
        <w:t xml:space="preserve"> (pseudovirus </w:t>
      </w:r>
      <w:r w:rsidR="007E3135" w:rsidRPr="00D91801">
        <w:t>neutralising antibody</w:t>
      </w:r>
      <w:r w:rsidR="005E435C" w:rsidRPr="00D91801">
        <w:t xml:space="preserve"> level by pseudovirus neutrali</w:t>
      </w:r>
      <w:r w:rsidR="00A15C0C" w:rsidRPr="00D91801">
        <w:t>s</w:t>
      </w:r>
      <w:r w:rsidR="005E435C" w:rsidRPr="00D91801">
        <w:t xml:space="preserve">ing assay) from this subset was 1610.2 (95% CI 1456.6, 1780.0: </w:t>
      </w:r>
      <w:r w:rsidR="00860D51" w:rsidRPr="00D91801">
        <w:t xml:space="preserve">n = </w:t>
      </w:r>
      <w:r w:rsidR="005E435C" w:rsidRPr="00D91801">
        <w:t xml:space="preserve">319) with 99.1% of children achieving seroresponse. The GMFR in </w:t>
      </w:r>
      <w:r w:rsidR="007E3135" w:rsidRPr="00D91801">
        <w:t>neutralising antibody</w:t>
      </w:r>
      <w:r w:rsidR="005E435C" w:rsidRPr="00D91801">
        <w:t xml:space="preserve"> from </w:t>
      </w:r>
      <w:r w:rsidR="00860D51" w:rsidRPr="00D91801">
        <w:t>Baseline</w:t>
      </w:r>
      <w:r w:rsidR="005E435C" w:rsidRPr="00D91801">
        <w:t xml:space="preserve"> to D57 was 174.0 (95% CI: 157.2, 192.5). The GMT of 1610.2 from this larger Part 2 </w:t>
      </w:r>
      <w:r w:rsidR="001E2B87" w:rsidRPr="00D91801">
        <w:t>per</w:t>
      </w:r>
      <w:r w:rsidR="007E3135" w:rsidRPr="00D91801">
        <w:noBreakHyphen/>
      </w:r>
      <w:r w:rsidR="001E2B87" w:rsidRPr="00D91801">
        <w:t>protocol</w:t>
      </w:r>
      <w:r w:rsidR="005E435C" w:rsidRPr="00D91801">
        <w:t xml:space="preserve"> </w:t>
      </w:r>
      <w:r w:rsidR="001E2B87" w:rsidRPr="00D91801">
        <w:t>immunogenicity subset</w:t>
      </w:r>
      <w:r w:rsidR="005E435C" w:rsidRPr="00D91801">
        <w:t xml:space="preserve"> falls between that observed for the dose</w:t>
      </w:r>
      <w:r w:rsidR="001705C1" w:rsidRPr="00D91801">
        <w:t xml:space="preserve"> </w:t>
      </w:r>
      <w:r w:rsidR="005E435C" w:rsidRPr="00D91801">
        <w:t xml:space="preserve">selection subset (1204.6: 95% CI: 1047.2, 1385.8; </w:t>
      </w:r>
      <w:r w:rsidR="00860D51" w:rsidRPr="00D91801">
        <w:t xml:space="preserve">n = </w:t>
      </w:r>
      <w:r w:rsidR="005E435C" w:rsidRPr="00D91801">
        <w:t xml:space="preserve">67) and for the Part 1 </w:t>
      </w:r>
      <w:r w:rsidR="001E2B87" w:rsidRPr="00D91801">
        <w:t>per-protocol</w:t>
      </w:r>
      <w:r w:rsidR="005E435C" w:rsidRPr="00D91801">
        <w:t xml:space="preserve"> </w:t>
      </w:r>
      <w:r w:rsidR="001E2B87" w:rsidRPr="00D91801">
        <w:t>immunogenicity subset</w:t>
      </w:r>
      <w:r w:rsidR="005E435C" w:rsidRPr="00D91801">
        <w:t xml:space="preserve"> (1964.6, 95% CI: 1722.4, 2240.9; </w:t>
      </w:r>
      <w:r w:rsidR="00860D51" w:rsidRPr="00D91801">
        <w:t xml:space="preserve">n = </w:t>
      </w:r>
      <w:r w:rsidR="005E435C" w:rsidRPr="00D91801">
        <w:t>134). Results from this subset (with the 10</w:t>
      </w:r>
      <w:r w:rsidR="007E3135" w:rsidRPr="00D91801">
        <w:t xml:space="preserve"> </w:t>
      </w:r>
      <w:r w:rsidR="005E435C" w:rsidRPr="00D91801">
        <w:t>Nov</w:t>
      </w:r>
      <w:r w:rsidR="007E3135" w:rsidRPr="00D91801">
        <w:t>ember 20</w:t>
      </w:r>
      <w:r w:rsidR="005E435C" w:rsidRPr="00D91801">
        <w:t xml:space="preserve">21 </w:t>
      </w:r>
      <w:r w:rsidR="005969ED" w:rsidRPr="00D91801">
        <w:t>interim analysis</w:t>
      </w:r>
      <w:r w:rsidR="005E435C" w:rsidRPr="00D91801">
        <w:t xml:space="preserve">) successfully met non-inferiority criteria for both GMR and seroresponse rate difference compared to young adults (18 to 25 years) in the pivotal </w:t>
      </w:r>
      <w:r w:rsidR="001E2B87" w:rsidRPr="00D91801">
        <w:t xml:space="preserve">Study </w:t>
      </w:r>
      <w:r w:rsidR="005E435C" w:rsidRPr="00D91801">
        <w:t xml:space="preserve">P301. Comparison of GMT between the Part 2 </w:t>
      </w:r>
      <w:r w:rsidR="001E2B87" w:rsidRPr="00D91801">
        <w:t>per-protocol</w:t>
      </w:r>
      <w:r w:rsidR="005E435C" w:rsidRPr="00D91801">
        <w:t xml:space="preserve"> </w:t>
      </w:r>
      <w:r w:rsidR="001E2B87" w:rsidRPr="00D91801">
        <w:t>immunogenicity subset</w:t>
      </w:r>
      <w:r w:rsidR="005E435C" w:rsidRPr="00D91801">
        <w:t xml:space="preserve"> in </w:t>
      </w:r>
      <w:r w:rsidR="0053571E" w:rsidRPr="00D91801">
        <w:t>Study P20</w:t>
      </w:r>
      <w:r w:rsidR="005E435C" w:rsidRPr="00D91801">
        <w:t xml:space="preserve">4 and the </w:t>
      </w:r>
      <w:r w:rsidR="001E2B87" w:rsidRPr="00D91801">
        <w:t>per-protocol</w:t>
      </w:r>
      <w:r w:rsidR="005E435C" w:rsidRPr="00D91801">
        <w:t xml:space="preserve"> </w:t>
      </w:r>
      <w:r w:rsidR="001E2B87" w:rsidRPr="00D91801">
        <w:t>immunogenicity subset</w:t>
      </w:r>
      <w:r w:rsidR="005E435C" w:rsidRPr="00D91801">
        <w:t xml:space="preserve"> of </w:t>
      </w:r>
      <w:r w:rsidR="005E435C" w:rsidRPr="00D91801">
        <w:lastRenderedPageBreak/>
        <w:t xml:space="preserve">young adults in </w:t>
      </w:r>
      <w:r w:rsidR="001E2B87" w:rsidRPr="00D91801">
        <w:t>Study</w:t>
      </w:r>
      <w:r w:rsidR="007E3135" w:rsidRPr="00D91801">
        <w:t> </w:t>
      </w:r>
      <w:r w:rsidR="005E435C" w:rsidRPr="00D91801">
        <w:t xml:space="preserve">P301 shows a GMR of 1.239 (95% CI: 1.072, 1.432) and a </w:t>
      </w:r>
      <w:r w:rsidR="005969ED" w:rsidRPr="00D91801">
        <w:t>seroresponse rate</w:t>
      </w:r>
      <w:r w:rsidR="005E435C" w:rsidRPr="00D91801">
        <w:t xml:space="preserve"> difference of 0.1 (95% CI: -1.9, 2.1).</w:t>
      </w:r>
    </w:p>
    <w:p w14:paraId="60991EE3" w14:textId="01D273F8" w:rsidR="005E435C" w:rsidRPr="007D0354" w:rsidRDefault="00E952A9" w:rsidP="007D0354">
      <w:pPr>
        <w:pStyle w:val="TableTitle"/>
      </w:pPr>
      <w:r w:rsidRPr="007D0354">
        <w:t xml:space="preserve">Table </w:t>
      </w:r>
      <w:r w:rsidR="009809E2">
        <w:fldChar w:fldCharType="begin"/>
      </w:r>
      <w:r w:rsidR="009809E2">
        <w:instrText xml:space="preserve"> SEQ Table \* ARABIC </w:instrText>
      </w:r>
      <w:r w:rsidR="009809E2">
        <w:fldChar w:fldCharType="separate"/>
      </w:r>
      <w:r w:rsidR="0005046B">
        <w:rPr>
          <w:noProof/>
        </w:rPr>
        <w:t>16</w:t>
      </w:r>
      <w:r w:rsidR="009809E2">
        <w:rPr>
          <w:noProof/>
        </w:rPr>
        <w:fldChar w:fldCharType="end"/>
      </w:r>
      <w:bookmarkStart w:id="116" w:name="_Hlk130931332"/>
      <w:r w:rsidR="005E435C" w:rsidRPr="007D0354">
        <w:t xml:space="preserve">: </w:t>
      </w:r>
      <w:r w:rsidR="00A62EF5" w:rsidRPr="007D0354">
        <w:t xml:space="preserve">Study P204 Part 2 </w:t>
      </w:r>
      <w:r w:rsidR="005E435C" w:rsidRPr="007D0354">
        <w:t xml:space="preserve">Co-primary immunobridging at Day 57 </w:t>
      </w:r>
      <w:r w:rsidR="001872C7" w:rsidRPr="007D0354">
        <w:t>(</w:t>
      </w:r>
      <w:r w:rsidR="001E2B87" w:rsidRPr="007D0354">
        <w:t>per-protocol</w:t>
      </w:r>
      <w:r w:rsidR="005E435C" w:rsidRPr="007D0354">
        <w:t xml:space="preserve"> immunogenicity subset</w:t>
      </w:r>
      <w:r w:rsidR="001872C7" w:rsidRPr="007D0354">
        <w:t>)</w:t>
      </w:r>
      <w:bookmarkEnd w:id="116"/>
    </w:p>
    <w:p w14:paraId="770716B2" w14:textId="7AF5F9E9" w:rsidR="00D27AC7" w:rsidRPr="003C742E" w:rsidRDefault="00D27AC7" w:rsidP="007D0354">
      <w:r>
        <w:rPr>
          <w:noProof/>
          <w:lang w:val="en-GB" w:eastAsia="en-GB"/>
        </w:rPr>
        <w:drawing>
          <wp:inline distT="0" distB="0" distL="0" distR="0" wp14:anchorId="498149F8" wp14:editId="0F45B0B4">
            <wp:extent cx="5759450" cy="2072005"/>
            <wp:effectExtent l="0" t="0" r="0" b="4445"/>
            <wp:docPr id="6" name="Picture 6" descr="Table 16: Study P204 Part 2 Co-primary immunobridging at Day 57 (per-protocol immunogenicity sub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16: Study P204 Part 2 Co-primary immunobridging at Day 57 (per-protocol immunogenicity subset)"/>
                    <pic:cNvPicPr/>
                  </pic:nvPicPr>
                  <pic:blipFill>
                    <a:blip r:embed="rId64"/>
                    <a:stretch>
                      <a:fillRect/>
                    </a:stretch>
                  </pic:blipFill>
                  <pic:spPr>
                    <a:xfrm>
                      <a:off x="0" y="0"/>
                      <a:ext cx="5759450" cy="2072005"/>
                    </a:xfrm>
                    <a:prstGeom prst="rect">
                      <a:avLst/>
                    </a:prstGeom>
                  </pic:spPr>
                </pic:pic>
              </a:graphicData>
            </a:graphic>
          </wp:inline>
        </w:drawing>
      </w:r>
    </w:p>
    <w:p w14:paraId="676BDE5A" w14:textId="73AB144F" w:rsidR="00862B2B" w:rsidRPr="00BA4CA3" w:rsidRDefault="00862B2B" w:rsidP="00BA4CA3">
      <w:pPr>
        <w:pStyle w:val="TableDescription"/>
      </w:pPr>
      <w:r w:rsidRPr="00BA4CA3">
        <w:t xml:space="preserve">Abbreviations: CI = confidence interval; GMFR = geometric mean fold ratio; GMR = geometric mean ratio; GMT = geometric mean </w:t>
      </w:r>
      <w:r w:rsidR="00A53503" w:rsidRPr="00BA4CA3">
        <w:t>titre</w:t>
      </w:r>
      <w:r w:rsidRPr="00BA4CA3">
        <w:t xml:space="preserve"> (noted as observed or model based, which is estimated by geometric least squares mean); </w:t>
      </w:r>
      <w:r w:rsidR="00BA4CA3" w:rsidRPr="00BA4CA3">
        <w:t>mRNA-1273 = Spikevax (elasomeran) COVID-19 vaccine drug development name; N= total number of subjects; vs = versus.</w:t>
      </w:r>
    </w:p>
    <w:p w14:paraId="6C8B58DA" w14:textId="151AB2FD" w:rsidR="00862B2B" w:rsidRPr="00BA4CA3" w:rsidRDefault="00862B2B" w:rsidP="00BA4CA3">
      <w:pPr>
        <w:pStyle w:val="TableDescription"/>
      </w:pPr>
      <w:r w:rsidRPr="00BA4CA3">
        <w:t xml:space="preserve">Antibody values reported as below the </w:t>
      </w:r>
      <w:r w:rsidR="00BA4CA3" w:rsidRPr="00BA4CA3">
        <w:t>lower limit of quantification (</w:t>
      </w:r>
      <w:r w:rsidRPr="00BA4CA3">
        <w:t>LLOQ</w:t>
      </w:r>
      <w:r w:rsidR="00BA4CA3" w:rsidRPr="00BA4CA3">
        <w:t>)</w:t>
      </w:r>
      <w:r w:rsidRPr="00BA4CA3">
        <w:t xml:space="preserve"> are replaced by 0.5 </w:t>
      </w:r>
      <w:r w:rsidR="00BA4CA3" w:rsidRPr="00BA4CA3">
        <w:t>x</w:t>
      </w:r>
      <w:r w:rsidRPr="00BA4CA3">
        <w:t xml:space="preserve"> LLOQ. Values greater than </w:t>
      </w:r>
      <w:r w:rsidR="00BA4CA3" w:rsidRPr="00BA4CA3">
        <w:t>upper limit of quantification (</w:t>
      </w:r>
      <w:r w:rsidRPr="00BA4CA3">
        <w:t>ULOQ</w:t>
      </w:r>
      <w:r w:rsidR="00BA4CA3" w:rsidRPr="00BA4CA3">
        <w:t>)</w:t>
      </w:r>
      <w:r w:rsidRPr="00BA4CA3">
        <w:t xml:space="preserve"> are replaced by the ULOQ if actual values are not available.</w:t>
      </w:r>
    </w:p>
    <w:p w14:paraId="357DD147" w14:textId="19DB3248" w:rsidR="00862B2B" w:rsidRPr="00BA4CA3" w:rsidRDefault="00A663AF" w:rsidP="00BA4CA3">
      <w:pPr>
        <w:pStyle w:val="TableDescription"/>
      </w:pPr>
      <w:r w:rsidRPr="00BA4CA3">
        <w:t xml:space="preserve">Study </w:t>
      </w:r>
      <w:r w:rsidR="00862B2B" w:rsidRPr="00BA4CA3">
        <w:t>P301 mRNA-1273 group includes young adults (18</w:t>
      </w:r>
      <w:r w:rsidR="00BA4CA3" w:rsidRPr="00BA4CA3">
        <w:t xml:space="preserve"> to </w:t>
      </w:r>
      <w:r w:rsidR="00862B2B" w:rsidRPr="00BA4CA3">
        <w:t>25 years of age).</w:t>
      </w:r>
    </w:p>
    <w:p w14:paraId="0F32A99A" w14:textId="3C513EFF" w:rsidR="00862B2B" w:rsidRPr="00BA4CA3" w:rsidRDefault="00862B2B" w:rsidP="00BA4CA3">
      <w:pPr>
        <w:pStyle w:val="TableDescription"/>
      </w:pPr>
      <w:r w:rsidRPr="00BA4CA3">
        <w:t xml:space="preserve">The ULOQ for selected </w:t>
      </w:r>
      <w:r w:rsidR="00BA4CA3" w:rsidRPr="00BA4CA3">
        <w:t xml:space="preserve">Study </w:t>
      </w:r>
      <w:r w:rsidRPr="00BA4CA3">
        <w:t>P301 participants tested previously was different.</w:t>
      </w:r>
    </w:p>
    <w:p w14:paraId="0FB7D9B2" w14:textId="1274F017" w:rsidR="00862B2B" w:rsidRPr="00BA4CA3" w:rsidRDefault="00862B2B" w:rsidP="00BA4CA3">
      <w:pPr>
        <w:pStyle w:val="TableDescription"/>
      </w:pPr>
      <w:r w:rsidRPr="00BA4CA3">
        <w:t>a. 95% CI is calculated based on the t-distribution of the log-transformed values or the difference in the log</w:t>
      </w:r>
      <w:r w:rsidR="00BA4CA3" w:rsidRPr="00BA4CA3">
        <w:noBreakHyphen/>
      </w:r>
      <w:r w:rsidRPr="00BA4CA3">
        <w:t>transformed values for GMT and GMFR, respectively, then back transformed to the original scale for presentation.</w:t>
      </w:r>
    </w:p>
    <w:p w14:paraId="3B96A47D" w14:textId="13EA8120" w:rsidR="00862B2B" w:rsidRPr="00BA4CA3" w:rsidRDefault="00862B2B" w:rsidP="00BA4CA3">
      <w:pPr>
        <w:pStyle w:val="TableDescription"/>
      </w:pPr>
      <w:r w:rsidRPr="00BA4CA3">
        <w:t>b. The log-transformed antibody levels are analy</w:t>
      </w:r>
      <w:r w:rsidR="00BA4CA3" w:rsidRPr="00BA4CA3">
        <w:t>s</w:t>
      </w:r>
      <w:r w:rsidRPr="00BA4CA3">
        <w:t xml:space="preserve">ed using an </w:t>
      </w:r>
      <w:r w:rsidR="00BA4CA3" w:rsidRPr="00BA4CA3">
        <w:t>analysis of covariance (</w:t>
      </w:r>
      <w:r w:rsidRPr="00BA4CA3">
        <w:t>ANCOVA</w:t>
      </w:r>
      <w:r w:rsidR="00BA4CA3" w:rsidRPr="00BA4CA3">
        <w:t>)</w:t>
      </w:r>
      <w:r w:rsidRPr="00BA4CA3">
        <w:t xml:space="preserve"> model with the group variable (children in </w:t>
      </w:r>
      <w:r w:rsidR="00BA4CA3" w:rsidRPr="00BA4CA3">
        <w:t xml:space="preserve">Study </w:t>
      </w:r>
      <w:r w:rsidRPr="00BA4CA3">
        <w:t xml:space="preserve">P204 and young adults in </w:t>
      </w:r>
      <w:r w:rsidR="00BA4CA3" w:rsidRPr="00BA4CA3">
        <w:t xml:space="preserve">Study </w:t>
      </w:r>
      <w:r w:rsidRPr="00BA4CA3">
        <w:t xml:space="preserve">P301) as fixed effect. The resulted LS means, difference of </w:t>
      </w:r>
      <w:r w:rsidR="00BA4CA3" w:rsidRPr="00BA4CA3">
        <w:t xml:space="preserve">least squares </w:t>
      </w:r>
      <w:r w:rsidRPr="00BA4CA3">
        <w:t>means, and 95% CI are back transformed to the original scale for presentation.</w:t>
      </w:r>
    </w:p>
    <w:p w14:paraId="51178339" w14:textId="26685CDA" w:rsidR="00862B2B" w:rsidRPr="00BA4CA3" w:rsidRDefault="00862B2B" w:rsidP="00BA4CA3">
      <w:pPr>
        <w:pStyle w:val="TableDescription"/>
      </w:pPr>
      <w:r w:rsidRPr="00BA4CA3">
        <w:t xml:space="preserve">c. Seroresponse at a participant level is defined as a change from below the LLOQ to equal or above 4 </w:t>
      </w:r>
      <w:r w:rsidR="00BA4CA3" w:rsidRPr="00BA4CA3">
        <w:t>x</w:t>
      </w:r>
      <w:r w:rsidRPr="00BA4CA3">
        <w:t xml:space="preserve"> LLOQ, or at least a 4-fold rise if baseline is equal to or above the LLOQ. Percentages are based on the number of participants with non-missing data at baseline and the corresponding timepoint.</w:t>
      </w:r>
    </w:p>
    <w:p w14:paraId="39C11181" w14:textId="77777777" w:rsidR="00BA4CA3" w:rsidRPr="00BA4CA3" w:rsidRDefault="00862B2B" w:rsidP="00BA4CA3">
      <w:pPr>
        <w:pStyle w:val="TableDescription"/>
      </w:pPr>
      <w:r w:rsidRPr="00BA4CA3">
        <w:t>d. 95% CI is calculated using the Clopper-Pearson method.</w:t>
      </w:r>
    </w:p>
    <w:p w14:paraId="65A0438D" w14:textId="0CBEE1D4" w:rsidR="00862B2B" w:rsidRPr="00BA4CA3" w:rsidRDefault="00862B2B" w:rsidP="00BA4CA3">
      <w:pPr>
        <w:pStyle w:val="TableDescription"/>
      </w:pPr>
      <w:r w:rsidRPr="00BA4CA3">
        <w:t>e. 95% CI is calculated using the Miettinen-Nurminen (score) confidence limits.</w:t>
      </w:r>
    </w:p>
    <w:p w14:paraId="6D42C580" w14:textId="30DC80F4" w:rsidR="005E435C" w:rsidRPr="003C742E" w:rsidRDefault="005E435C" w:rsidP="005E435C">
      <w:bookmarkStart w:id="117" w:name="_Hlk130931350"/>
      <w:r w:rsidRPr="003C742E">
        <w:t xml:space="preserve">The </w:t>
      </w:r>
      <w:r w:rsidR="00551F6B" w:rsidRPr="00551F6B">
        <w:t xml:space="preserve">geometric mean increase </w:t>
      </w:r>
      <w:r w:rsidR="00551F6B">
        <w:t>(</w:t>
      </w:r>
      <w:r w:rsidRPr="003C742E">
        <w:t>GMI</w:t>
      </w:r>
      <w:r w:rsidR="00551F6B">
        <w:t>)</w:t>
      </w:r>
      <w:r w:rsidRPr="003C742E">
        <w:t xml:space="preserve"> and </w:t>
      </w:r>
      <w:r w:rsidR="005969ED" w:rsidRPr="003C742E">
        <w:t>seroresponse rate</w:t>
      </w:r>
      <w:r w:rsidRPr="003C742E">
        <w:t xml:space="preserve"> both successfully meet </w:t>
      </w:r>
      <w:r w:rsidR="005969ED" w:rsidRPr="003C742E">
        <w:t>non-inferiority</w:t>
      </w:r>
      <w:r w:rsidRPr="003C742E">
        <w:t xml:space="preserve"> criteria of the 50 </w:t>
      </w:r>
      <w:r w:rsidR="007E3135" w:rsidRPr="003C742E">
        <w:t>µ</w:t>
      </w:r>
      <w:r w:rsidRPr="003C742E">
        <w:t xml:space="preserve">g mRNA-1273 in children 6 to </w:t>
      </w:r>
      <w:r w:rsidR="00860D51" w:rsidRPr="003C742E">
        <w:t>less than</w:t>
      </w:r>
      <w:r w:rsidRPr="003C742E">
        <w:t xml:space="preserve"> 12 years compared to young adults receiving 100</w:t>
      </w:r>
      <w:r w:rsidR="007E3135" w:rsidRPr="003C742E">
        <w:t xml:space="preserve"> µg</w:t>
      </w:r>
      <w:r w:rsidRPr="003C742E">
        <w:t xml:space="preserve"> of mRNA-1273</w:t>
      </w:r>
      <w:bookmarkEnd w:id="117"/>
      <w:r w:rsidRPr="003C742E">
        <w:t>.</w:t>
      </w:r>
    </w:p>
    <w:p w14:paraId="3010487F" w14:textId="77777777" w:rsidR="00D91801" w:rsidRDefault="005E435C" w:rsidP="00D91801">
      <w:pPr>
        <w:pStyle w:val="Heading6"/>
      </w:pPr>
      <w:bookmarkStart w:id="118" w:name="_Hlk130931521"/>
      <w:r w:rsidRPr="00D91801">
        <w:t>Efficacy</w:t>
      </w:r>
    </w:p>
    <w:p w14:paraId="359FB3F1" w14:textId="1B241489" w:rsidR="005E435C" w:rsidRPr="00D91801" w:rsidRDefault="00D91801" w:rsidP="00D91801">
      <w:r>
        <w:t>T</w:t>
      </w:r>
      <w:r w:rsidR="005E435C" w:rsidRPr="00D91801">
        <w:t xml:space="preserve">he median follow-up duration is 82 days after </w:t>
      </w:r>
      <w:r w:rsidR="001705C1" w:rsidRPr="00D91801">
        <w:t>Dose 1</w:t>
      </w:r>
      <w:r w:rsidR="005E435C" w:rsidRPr="00D91801">
        <w:t xml:space="preserve"> and 51 days after </w:t>
      </w:r>
      <w:r w:rsidR="001705C1" w:rsidRPr="00D91801">
        <w:t>Dose 2</w:t>
      </w:r>
      <w:r w:rsidR="005E435C" w:rsidRPr="00D91801">
        <w:t xml:space="preserve"> in Part 2 blinded phase, efficacy endpoints accumulated after the first dose (</w:t>
      </w:r>
      <w:r w:rsidR="00A15C0C" w:rsidRPr="00D91801">
        <w:t>that is</w:t>
      </w:r>
      <w:r w:rsidR="005E435C" w:rsidRPr="00D91801">
        <w:t xml:space="preserve"> occurring starting 14 days </w:t>
      </w:r>
      <w:bookmarkStart w:id="119" w:name="_Hlk133239463"/>
      <w:r w:rsidR="003C742E" w:rsidRPr="00D91801">
        <w:t>post-Dose 1</w:t>
      </w:r>
      <w:bookmarkEnd w:id="119"/>
      <w:r w:rsidR="005E435C" w:rsidRPr="00D91801">
        <w:t xml:space="preserve"> and measured in the </w:t>
      </w:r>
      <w:r w:rsidR="003C742E" w:rsidRPr="00D91801">
        <w:t>modified intention-to-treat 1 (</w:t>
      </w:r>
      <w:r w:rsidR="005E435C" w:rsidRPr="00D91801">
        <w:t>mITT1</w:t>
      </w:r>
      <w:r w:rsidR="003C742E" w:rsidRPr="00D91801">
        <w:t>)</w:t>
      </w:r>
      <w:r w:rsidR="005E435C" w:rsidRPr="00D91801">
        <w:t xml:space="preserve"> population)</w:t>
      </w:r>
      <w:r w:rsidR="00A663AF">
        <w:t>;</w:t>
      </w:r>
      <w:r w:rsidR="00A663AF" w:rsidRPr="00A53503">
        <w:rPr>
          <w:vertAlign w:val="superscript"/>
        </w:rPr>
        <w:footnoteReference w:id="29"/>
      </w:r>
      <w:r w:rsidR="005E435C" w:rsidRPr="00D91801">
        <w:t xml:space="preserve"> outnumber the efficacy endpoints accumulated after the two-dose regimen </w:t>
      </w:r>
      <w:bookmarkEnd w:id="118"/>
      <w:r w:rsidR="005E435C" w:rsidRPr="00D91801">
        <w:t>(</w:t>
      </w:r>
      <w:r w:rsidR="00A15C0C" w:rsidRPr="00D91801">
        <w:t>that is</w:t>
      </w:r>
      <w:r w:rsidR="005E435C" w:rsidRPr="00D91801">
        <w:t xml:space="preserve"> starting 14 days </w:t>
      </w:r>
      <w:r w:rsidR="00F27F2E" w:rsidRPr="00D91801">
        <w:t>post</w:t>
      </w:r>
      <w:r w:rsidR="00F27F2E" w:rsidRPr="00D91801">
        <w:noBreakHyphen/>
        <w:t>Dose 2</w:t>
      </w:r>
      <w:r w:rsidR="005E435C" w:rsidRPr="00D91801">
        <w:t xml:space="preserve">). Limiting endpoint analysis to endpoints occurring 14 days </w:t>
      </w:r>
      <w:r w:rsidR="00F27F2E" w:rsidRPr="00D91801">
        <w:t>post</w:t>
      </w:r>
      <w:r w:rsidR="00F27F2E" w:rsidRPr="00D91801">
        <w:noBreakHyphen/>
        <w:t>Dose 2</w:t>
      </w:r>
      <w:r w:rsidR="005E435C" w:rsidRPr="00D91801">
        <w:t xml:space="preserve"> yield a total of only 7 cases, too few to perform meaningful analysis. </w:t>
      </w:r>
      <w:bookmarkStart w:id="120" w:name="_Hlk130931544"/>
      <w:r w:rsidR="005E435C" w:rsidRPr="00D91801">
        <w:t xml:space="preserve">Nonetheless, using either of two </w:t>
      </w:r>
      <w:r w:rsidR="005E435C" w:rsidRPr="00D91801">
        <w:lastRenderedPageBreak/>
        <w:t xml:space="preserve">COVID-19 case definitions (CDC definition or the </w:t>
      </w:r>
      <w:r w:rsidR="001E2B87" w:rsidRPr="00D91801">
        <w:t xml:space="preserve">Study P301 </w:t>
      </w:r>
      <w:r w:rsidR="005E435C" w:rsidRPr="00D91801">
        <w:t>case definition)</w:t>
      </w:r>
      <w:r w:rsidR="00A663AF">
        <w:t>;</w:t>
      </w:r>
      <w:r w:rsidR="005E435C" w:rsidRPr="00D91801">
        <w:t xml:space="preserve"> the incidence of cases among placebo participants exceeds that of the vaccine recipients.</w:t>
      </w:r>
      <w:bookmarkEnd w:id="120"/>
    </w:p>
    <w:p w14:paraId="4AC6E284" w14:textId="5DD34DC9" w:rsidR="005E435C" w:rsidRPr="00D91801" w:rsidRDefault="005E435C" w:rsidP="00D91801">
      <w:r w:rsidRPr="00D91801">
        <w:t>Where more cases are accrued (</w:t>
      </w:r>
      <w:r w:rsidR="00A15C0C" w:rsidRPr="00D91801">
        <w:t>that is</w:t>
      </w:r>
      <w:r w:rsidRPr="00D91801">
        <w:t xml:space="preserve">, when endpoints are counted starting earlier, 14 days </w:t>
      </w:r>
      <w:r w:rsidR="003C742E" w:rsidRPr="00D91801">
        <w:t>post</w:t>
      </w:r>
      <w:r w:rsidR="003C742E" w:rsidRPr="00D91801">
        <w:noBreakHyphen/>
        <w:t>Dose 1</w:t>
      </w:r>
      <w:r w:rsidRPr="00D91801">
        <w:t xml:space="preserve">; mITT1 population), a total of 25 cases were accrued. This allowed a calculation of vaccine efficacy in which the LB of the 95% CI was 70%, providing confidence in the estimate of efficacy. In the mITT1 population starting 14 days after the first dose, the incidence of COVID-19 using the CDC case definition was 117 per 1000 person years in the placebo group compared to 14 per 1000 </w:t>
      </w:r>
      <w:r w:rsidR="00B941A1" w:rsidRPr="00D91801">
        <w:t xml:space="preserve">person </w:t>
      </w:r>
      <w:r w:rsidRPr="00D91801">
        <w:t xml:space="preserve">years in the vaccine group, yielding a vaccine efficacy of 88% (95% CI: 70.0%, 95.8%). Using the </w:t>
      </w:r>
      <w:r w:rsidR="001E2B87" w:rsidRPr="00D91801">
        <w:t>Study P301</w:t>
      </w:r>
      <w:r w:rsidRPr="00D91801">
        <w:t xml:space="preserve"> case definition (definition employed in the pivotal adult efficacy trial of mRNA-1273</w:t>
      </w:r>
      <w:r w:rsidR="00A663AF">
        <w:t xml:space="preserve"> vaccine</w:t>
      </w:r>
      <w:r w:rsidRPr="00D91801">
        <w:t xml:space="preserve">), a </w:t>
      </w:r>
      <w:r w:rsidR="00516475" w:rsidRPr="00D91801">
        <w:t>vaccine efficacy</w:t>
      </w:r>
      <w:r w:rsidRPr="00D91801">
        <w:t xml:space="preserve"> of 91.8% was observed (95% CI: 74.2, 98.0%).</w:t>
      </w:r>
    </w:p>
    <w:p w14:paraId="411854FE" w14:textId="77777777" w:rsidR="00D91801" w:rsidRDefault="005E435C" w:rsidP="00D91801">
      <w:pPr>
        <w:pStyle w:val="Heading6"/>
      </w:pPr>
      <w:bookmarkStart w:id="121" w:name="_Hlk130931611"/>
      <w:r w:rsidRPr="00D91801">
        <w:t>Safety</w:t>
      </w:r>
    </w:p>
    <w:p w14:paraId="5B0410CA" w14:textId="43FF5A2E" w:rsidR="002444E0" w:rsidRPr="00D91801" w:rsidRDefault="005E435C" w:rsidP="00D91801">
      <w:r w:rsidRPr="00D91801">
        <w:t xml:space="preserve">In this 10 </w:t>
      </w:r>
      <w:r w:rsidR="007E3135" w:rsidRPr="00D91801">
        <w:t xml:space="preserve">November </w:t>
      </w:r>
      <w:r w:rsidRPr="00D91801">
        <w:t xml:space="preserve">2021 </w:t>
      </w:r>
      <w:r w:rsidR="00F27F2E" w:rsidRPr="00D91801">
        <w:t>interim analysis</w:t>
      </w:r>
      <w:r w:rsidRPr="00D91801">
        <w:t xml:space="preserve"> safety analysis, a median follow-up of 56 days post</w:t>
      </w:r>
      <w:r w:rsidR="001705C1" w:rsidRPr="00D91801">
        <w:t>-Dose 2</w:t>
      </w:r>
      <w:r w:rsidRPr="00D91801">
        <w:t xml:space="preserve"> was provided for a total of 3387 exposed (50ug) participants across study Parts 1 and 2 from the blinded and open label phases</w:t>
      </w:r>
      <w:bookmarkEnd w:id="121"/>
      <w:r w:rsidRPr="00D91801">
        <w:t xml:space="preserve">. From Part 2, median follow-up of 55 days </w:t>
      </w:r>
      <w:r w:rsidR="00F27F2E" w:rsidRPr="00D91801">
        <w:t>post</w:t>
      </w:r>
      <w:r w:rsidR="00F27F2E" w:rsidRPr="00D91801">
        <w:noBreakHyphen/>
        <w:t>Dose 2</w:t>
      </w:r>
      <w:r w:rsidRPr="00D91801">
        <w:t xml:space="preserve"> is provided for 4002 participants (3007 exposed to 50</w:t>
      </w:r>
      <w:r w:rsidR="007E3135" w:rsidRPr="00D91801">
        <w:t xml:space="preserve"> µg</w:t>
      </w:r>
      <w:r w:rsidRPr="00D91801">
        <w:t xml:space="preserve">, and 995 placebo). </w:t>
      </w:r>
      <w:bookmarkStart w:id="122" w:name="_Hlk130931654"/>
      <w:r w:rsidRPr="00D91801">
        <w:t xml:space="preserve">Analysis of the clinical safety database showed no clinically meaningful changes in the mRNA-1273 </w:t>
      </w:r>
      <w:r w:rsidR="00A663AF">
        <w:t xml:space="preserve">vaccine </w:t>
      </w:r>
      <w:r w:rsidRPr="00D91801">
        <w:t>safety profile in this age group</w:t>
      </w:r>
      <w:bookmarkEnd w:id="122"/>
      <w:r w:rsidRPr="00D91801">
        <w:t xml:space="preserve">. Rates of SAEs, AESIs, MAAEs, and predefined SMQs in either Part 1 or Part 2 of </w:t>
      </w:r>
      <w:r w:rsidR="0053571E" w:rsidRPr="00D91801">
        <w:t>Study P20</w:t>
      </w:r>
      <w:r w:rsidRPr="00D91801">
        <w:t>4 were similar to the earlier data snapshot of 6 Oct</w:t>
      </w:r>
      <w:r w:rsidR="007E3135" w:rsidRPr="00D91801">
        <w:t>ober</w:t>
      </w:r>
      <w:r w:rsidRPr="00D91801">
        <w:t xml:space="preserve"> 2021 (which provided a median follow up of 20 days </w:t>
      </w:r>
      <w:r w:rsidR="00F27F2E" w:rsidRPr="00D91801">
        <w:t>post</w:t>
      </w:r>
      <w:r w:rsidR="00F27F2E" w:rsidRPr="00D91801">
        <w:noBreakHyphen/>
        <w:t>Dose 2</w:t>
      </w:r>
      <w:r w:rsidRPr="00D91801">
        <w:t xml:space="preserve"> for 2987 mRNA-1</w:t>
      </w:r>
      <w:r w:rsidR="00F27F2E" w:rsidRPr="00D91801">
        <w:t>,</w:t>
      </w:r>
      <w:r w:rsidRPr="00D91801">
        <w:t xml:space="preserve">273 recipients). This 10 </w:t>
      </w:r>
      <w:r w:rsidR="007E3135" w:rsidRPr="00D91801">
        <w:t xml:space="preserve">November </w:t>
      </w:r>
      <w:r w:rsidRPr="00D91801">
        <w:t xml:space="preserve">2021 </w:t>
      </w:r>
      <w:r w:rsidR="00F27F2E" w:rsidRPr="00D91801">
        <w:t>interim analysis</w:t>
      </w:r>
      <w:r w:rsidRPr="00D91801">
        <w:t xml:space="preserve"> reported no SAEs considered related to study vaccine, no deaths, no cases of MIS-C and no cases of myocarditis or pericarditis.</w:t>
      </w:r>
    </w:p>
    <w:p w14:paraId="5455C820" w14:textId="7F63FE16" w:rsidR="005E435C" w:rsidRPr="00D91801" w:rsidRDefault="005E435C" w:rsidP="00C37777">
      <w:pPr>
        <w:pStyle w:val="Heading5"/>
      </w:pPr>
      <w:r w:rsidRPr="00D91801">
        <w:t>Post-</w:t>
      </w:r>
      <w:r w:rsidR="00C361C3" w:rsidRPr="00D91801">
        <w:t>authorisation safety data in paediatrics age groups</w:t>
      </w:r>
    </w:p>
    <w:p w14:paraId="79EB4512" w14:textId="36335EB8" w:rsidR="005E435C" w:rsidRPr="003C742E" w:rsidRDefault="005E435C" w:rsidP="005E435C">
      <w:r w:rsidRPr="003C742E">
        <w:t>The sponsor has provided the following</w:t>
      </w:r>
      <w:r w:rsidR="00A663AF">
        <w:t xml:space="preserve"> post-authorisation evidencing safety in paediatric age group populations.</w:t>
      </w:r>
    </w:p>
    <w:p w14:paraId="51C5AE63" w14:textId="52AD78EC" w:rsidR="005E435C" w:rsidRPr="003C742E" w:rsidRDefault="005E435C" w:rsidP="005E435C">
      <w:r w:rsidRPr="003C742E">
        <w:t xml:space="preserve">The exposure data by age group in the </w:t>
      </w:r>
      <w:r w:rsidR="00A663AF">
        <w:t xml:space="preserve">USA </w:t>
      </w:r>
      <w:r w:rsidRPr="003C742E">
        <w:t>is summari</w:t>
      </w:r>
      <w:r w:rsidR="00A15C0C" w:rsidRPr="003C742E">
        <w:t>s</w:t>
      </w:r>
      <w:r w:rsidRPr="003C742E">
        <w:t>ed below</w:t>
      </w:r>
      <w:r w:rsidR="00D40A3F">
        <w:t xml:space="preserve"> in </w:t>
      </w:r>
      <w:r w:rsidR="00D40A3F">
        <w:fldChar w:fldCharType="begin"/>
      </w:r>
      <w:r w:rsidR="00D40A3F">
        <w:instrText xml:space="preserve"> REF _Ref132903105 \h </w:instrText>
      </w:r>
      <w:r w:rsidR="00D40A3F">
        <w:fldChar w:fldCharType="separate"/>
      </w:r>
      <w:r w:rsidR="0005046B" w:rsidRPr="007D0354">
        <w:t xml:space="preserve">Table </w:t>
      </w:r>
      <w:r w:rsidR="0005046B">
        <w:rPr>
          <w:noProof/>
        </w:rPr>
        <w:t>17</w:t>
      </w:r>
      <w:r w:rsidR="00D40A3F">
        <w:fldChar w:fldCharType="end"/>
      </w:r>
      <w:r w:rsidRPr="003C742E">
        <w:t>.</w:t>
      </w:r>
      <w:r w:rsidR="00D40A3F">
        <w:t xml:space="preserve"> This data encompasses all exposure of the Spikevax vaccine up until 15 February 2023.</w:t>
      </w:r>
      <w:r w:rsidRPr="003C742E">
        <w:t xml:space="preserve"> As of </w:t>
      </w:r>
      <w:r w:rsidR="00D40A3F">
        <w:t xml:space="preserve">this date, </w:t>
      </w:r>
      <w:r w:rsidRPr="003C742E">
        <w:t>over 9 million children under the age of 18 years have received a 2</w:t>
      </w:r>
      <w:r w:rsidR="00C361C3" w:rsidRPr="003C742E">
        <w:noBreakHyphen/>
      </w:r>
      <w:r w:rsidRPr="003C742E">
        <w:t>dose primary series with Spikevax in the United States.</w:t>
      </w:r>
    </w:p>
    <w:p w14:paraId="2A820FE4" w14:textId="5A9555AF" w:rsidR="00E952A9" w:rsidRPr="007D0354" w:rsidRDefault="00E952A9" w:rsidP="007D0354">
      <w:pPr>
        <w:pStyle w:val="TableTitle"/>
      </w:pPr>
      <w:bookmarkStart w:id="123" w:name="_Ref132903105"/>
      <w:r w:rsidRPr="007D0354">
        <w:t xml:space="preserve">Table </w:t>
      </w:r>
      <w:r w:rsidR="009809E2">
        <w:fldChar w:fldCharType="begin"/>
      </w:r>
      <w:r w:rsidR="009809E2">
        <w:instrText xml:space="preserve"> SEQ Table \* ARABIC </w:instrText>
      </w:r>
      <w:r w:rsidR="009809E2">
        <w:fldChar w:fldCharType="separate"/>
      </w:r>
      <w:r w:rsidR="0005046B">
        <w:rPr>
          <w:noProof/>
        </w:rPr>
        <w:t>17</w:t>
      </w:r>
      <w:r w:rsidR="009809E2">
        <w:rPr>
          <w:noProof/>
        </w:rPr>
        <w:fldChar w:fldCharType="end"/>
      </w:r>
      <w:bookmarkEnd w:id="123"/>
      <w:r w:rsidR="00D72C23" w:rsidRPr="007D0354">
        <w:t xml:space="preserve">: </w:t>
      </w:r>
      <w:r w:rsidR="00A663AF" w:rsidRPr="007D0354">
        <w:t>U</w:t>
      </w:r>
      <w:r w:rsidR="001E1224" w:rsidRPr="007D0354">
        <w:t>nited States</w:t>
      </w:r>
      <w:r w:rsidR="00A663AF" w:rsidRPr="007D0354">
        <w:t xml:space="preserve"> exposure data for Spikevax vaccine</w:t>
      </w:r>
      <w:r w:rsidR="002444E0" w:rsidRPr="007D0354">
        <w:t xml:space="preserve"> by age group and nature of vaccine dose (primary series, first and second booster doses)</w:t>
      </w:r>
    </w:p>
    <w:p w14:paraId="27BFE6B4" w14:textId="73118F3A" w:rsidR="005E435C" w:rsidRPr="003C742E" w:rsidRDefault="005E435C" w:rsidP="00D72C23">
      <w:r w:rsidRPr="003C742E">
        <w:rPr>
          <w:noProof/>
          <w:lang w:val="en-GB" w:eastAsia="en-GB"/>
        </w:rPr>
        <w:drawing>
          <wp:inline distT="0" distB="0" distL="0" distR="0" wp14:anchorId="5D6F62E1" wp14:editId="301C53F9">
            <wp:extent cx="5730812" cy="2544793"/>
            <wp:effectExtent l="0" t="0" r="3810" b="8255"/>
            <wp:docPr id="39" name="Picture 39" descr="Table 17: United States exposure data for Spikevax vaccine by age group and nature of vaccine dose (primary series, first and second booster do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able 17: United States exposure data for Spikevax vaccine by age group and nature of vaccine dose (primary series, first and second booster doses)"/>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40497" cy="2549094"/>
                    </a:xfrm>
                    <a:prstGeom prst="rect">
                      <a:avLst/>
                    </a:prstGeom>
                    <a:noFill/>
                    <a:ln>
                      <a:noFill/>
                    </a:ln>
                  </pic:spPr>
                </pic:pic>
              </a:graphicData>
            </a:graphic>
          </wp:inline>
        </w:drawing>
      </w:r>
    </w:p>
    <w:p w14:paraId="4D78B32F" w14:textId="0EBF04EE" w:rsidR="00D72C23" w:rsidRPr="003C742E" w:rsidRDefault="00D72C23" w:rsidP="003C742E">
      <w:pPr>
        <w:pStyle w:val="TableDescription"/>
      </w:pPr>
      <w:r w:rsidRPr="003C742E">
        <w:t>Abbreviation: n = number of subjects.</w:t>
      </w:r>
    </w:p>
    <w:p w14:paraId="291C8231" w14:textId="5A766FB7" w:rsidR="00D72C23" w:rsidRPr="003C742E" w:rsidRDefault="00D72C23" w:rsidP="003C742E">
      <w:pPr>
        <w:pStyle w:val="TableDescription"/>
      </w:pPr>
      <w:r w:rsidRPr="003C742E">
        <w:lastRenderedPageBreak/>
        <w:t>Total number of people who have received COVID-19 vaccine doses manufactured by Moderna and total Moderna BA4/5 doses were reported on the United States (US) Center</w:t>
      </w:r>
      <w:r w:rsidR="003C742E" w:rsidRPr="003C742E">
        <w:t>s</w:t>
      </w:r>
      <w:r w:rsidRPr="003C742E">
        <w:t xml:space="preserve"> for Disease Control and Prevention (CDC). Doses were allocated to demographic categories base do percent of people with the selected exposure category across COVID-19 vaccine brands for the selected demographic category, assuming no brand preference within the demographic category. The exposure categories were defined by the US CDC.</w:t>
      </w:r>
    </w:p>
    <w:p w14:paraId="057D4C6B" w14:textId="4F4D6134" w:rsidR="00D72C23" w:rsidRPr="003C742E" w:rsidRDefault="00D72C23" w:rsidP="003C742E">
      <w:pPr>
        <w:pStyle w:val="TableDescription"/>
      </w:pPr>
      <w:r w:rsidRPr="003C742E">
        <w:t>a. The denominator of the column percentages, except for the total row, were the sub of doses across strata of demographic groups.</w:t>
      </w:r>
    </w:p>
    <w:p w14:paraId="6696EDA4" w14:textId="5655816E" w:rsidR="00D72C23" w:rsidRPr="003C742E" w:rsidRDefault="00D72C23" w:rsidP="003C742E">
      <w:pPr>
        <w:pStyle w:val="TableDescription"/>
      </w:pPr>
      <w:r w:rsidRPr="003C742E">
        <w:t>b. The column sum across strata of demographic groups does not add up the total row of Moderna COVID-19 vaccine doses (which was directly reported by the US CDC) due to imprecision and rounding of available percentages by demographic group across COVID-19 brands. The differences of column sum across strata of demongraphic groups and the total row were less than 1%.</w:t>
      </w:r>
    </w:p>
    <w:p w14:paraId="29534E73" w14:textId="1A03C5CC" w:rsidR="00D72C23" w:rsidRPr="003C742E" w:rsidRDefault="00D72C23" w:rsidP="003C742E">
      <w:pPr>
        <w:pStyle w:val="TableDescription"/>
      </w:pPr>
      <w:r w:rsidRPr="003C742E">
        <w:t xml:space="preserve">Source: </w:t>
      </w:r>
      <w:r w:rsidRPr="003C742E">
        <w:fldChar w:fldCharType="begin"/>
      </w:r>
      <w:r w:rsidRPr="003C742E">
        <w:instrText xml:space="preserve"> REF _Ref132903105 \h  \* MERGEFORMAT </w:instrText>
      </w:r>
      <w:r w:rsidRPr="003C742E">
        <w:fldChar w:fldCharType="separate"/>
      </w:r>
      <w:r w:rsidR="0005046B" w:rsidRPr="007D0354">
        <w:t xml:space="preserve">Table </w:t>
      </w:r>
      <w:r w:rsidR="0005046B">
        <w:t>17</w:t>
      </w:r>
      <w:r w:rsidRPr="003C742E">
        <w:fldChar w:fldCharType="end"/>
      </w:r>
      <w:r w:rsidRPr="003C742E">
        <w:t xml:space="preserve"> </w:t>
      </w:r>
      <w:r w:rsidR="002444E0">
        <w:t>of this AusPAR has been</w:t>
      </w:r>
      <w:r w:rsidRPr="003C742E">
        <w:t xml:space="preserve"> extracted from the COVID Data Tracker page on the CDC website.</w:t>
      </w:r>
      <w:r w:rsidRPr="003C742E">
        <w:rPr>
          <w:rStyle w:val="FootnoteReference"/>
        </w:rPr>
        <w:footnoteReference w:id="30"/>
      </w:r>
    </w:p>
    <w:p w14:paraId="5E28084D" w14:textId="4574DF83" w:rsidR="005E435C" w:rsidRPr="003C742E" w:rsidRDefault="005E435C" w:rsidP="005E435C">
      <w:r w:rsidRPr="003C742E">
        <w:t xml:space="preserve">The </w:t>
      </w:r>
      <w:r w:rsidR="00551F6B" w:rsidRPr="00551F6B">
        <w:t>Marketing Authorisation Holder</w:t>
      </w:r>
      <w:r w:rsidR="00551F6B" w:rsidRPr="003C742E">
        <w:t xml:space="preserve"> </w:t>
      </w:r>
      <w:r w:rsidRPr="003C742E">
        <w:t>queried the global safety database cumulatively from 18</w:t>
      </w:r>
      <w:r w:rsidR="002444E0">
        <w:t> </w:t>
      </w:r>
      <w:r w:rsidRPr="003C742E">
        <w:t>December 2020 through</w:t>
      </w:r>
      <w:r w:rsidR="00C361C3" w:rsidRPr="003C742E">
        <w:t xml:space="preserve"> </w:t>
      </w:r>
      <w:r w:rsidRPr="003C742E">
        <w:t>17</w:t>
      </w:r>
      <w:r w:rsidR="00C361C3" w:rsidRPr="003C742E">
        <w:t> </w:t>
      </w:r>
      <w:r w:rsidRPr="003C742E">
        <w:t xml:space="preserve">February 2023 for valid, spontaneous case reports received from health care professionals, health authorities, consumers, and literature, worldwide, reported for </w:t>
      </w:r>
      <w:r w:rsidR="009700F9" w:rsidRPr="003C742E">
        <w:t>Spikevax</w:t>
      </w:r>
      <w:r w:rsidRPr="003C742E">
        <w:t xml:space="preserve"> (Original), </w:t>
      </w:r>
      <w:r w:rsidR="009700F9" w:rsidRPr="003C742E">
        <w:t>Spikevax</w:t>
      </w:r>
      <w:r w:rsidRPr="003C742E">
        <w:t xml:space="preserve"> Bivalent.214 (Original/BA.1), and </w:t>
      </w:r>
      <w:r w:rsidR="009700F9" w:rsidRPr="003C742E">
        <w:t>Spikevax</w:t>
      </w:r>
      <w:r w:rsidRPr="003C742E">
        <w:t xml:space="preserve"> Bivalent</w:t>
      </w:r>
      <w:r w:rsidR="00F63EA4">
        <w:t xml:space="preserve"> </w:t>
      </w:r>
      <w:r w:rsidRPr="003C742E">
        <w:t>(Original/BA.4</w:t>
      </w:r>
      <w:r w:rsidR="00F63EA4">
        <w:t>-</w:t>
      </w:r>
      <w:r w:rsidRPr="003C742E">
        <w:t xml:space="preserve">5) using the </w:t>
      </w:r>
      <w:r w:rsidR="00C361C3" w:rsidRPr="003C742E">
        <w:t xml:space="preserve">following </w:t>
      </w:r>
      <w:r w:rsidRPr="003C742E">
        <w:t>search criteria:</w:t>
      </w:r>
    </w:p>
    <w:p w14:paraId="40D36B0F" w14:textId="68B5CDE7" w:rsidR="005E435C" w:rsidRPr="003C742E" w:rsidRDefault="009700F9" w:rsidP="005E435C">
      <w:pPr>
        <w:pStyle w:val="ListBullet"/>
      </w:pPr>
      <w:r w:rsidRPr="003C742E">
        <w:t>‘</w:t>
      </w:r>
      <w:r w:rsidR="005E435C" w:rsidRPr="003C742E">
        <w:t>Age group 0-5 months</w:t>
      </w:r>
      <w:r w:rsidRPr="003C742E">
        <w:t>’</w:t>
      </w:r>
    </w:p>
    <w:p w14:paraId="09BEE64F" w14:textId="1781D06D" w:rsidR="005E435C" w:rsidRPr="003C742E" w:rsidRDefault="009700F9" w:rsidP="005E435C">
      <w:pPr>
        <w:pStyle w:val="ListBullet"/>
      </w:pPr>
      <w:r w:rsidRPr="003C742E">
        <w:t>‘</w:t>
      </w:r>
      <w:r w:rsidR="005E435C" w:rsidRPr="003C742E">
        <w:t>Age group 6 months to 5 years</w:t>
      </w:r>
      <w:r w:rsidRPr="003C742E">
        <w:t>’</w:t>
      </w:r>
    </w:p>
    <w:p w14:paraId="7B961F97" w14:textId="533C88DC" w:rsidR="005E435C" w:rsidRPr="003C742E" w:rsidRDefault="009700F9" w:rsidP="005E435C">
      <w:pPr>
        <w:pStyle w:val="ListBullet"/>
      </w:pPr>
      <w:r w:rsidRPr="003C742E">
        <w:t>‘</w:t>
      </w:r>
      <w:r w:rsidR="005E435C" w:rsidRPr="003C742E">
        <w:t>Age group 6 to 11 years</w:t>
      </w:r>
      <w:r w:rsidRPr="003C742E">
        <w:t>’</w:t>
      </w:r>
    </w:p>
    <w:p w14:paraId="4946DB37" w14:textId="057F64ED" w:rsidR="005E435C" w:rsidRPr="003C742E" w:rsidRDefault="009700F9" w:rsidP="005E435C">
      <w:pPr>
        <w:pStyle w:val="ListBullet"/>
      </w:pPr>
      <w:r w:rsidRPr="003C742E">
        <w:t>‘</w:t>
      </w:r>
      <w:r w:rsidR="005E435C" w:rsidRPr="003C742E">
        <w:t>Age group 12 to 17 years</w:t>
      </w:r>
      <w:r w:rsidRPr="003C742E">
        <w:t>'</w:t>
      </w:r>
    </w:p>
    <w:p w14:paraId="3E54B475" w14:textId="45FE3151" w:rsidR="005E435C" w:rsidRPr="003C742E" w:rsidRDefault="005E435C" w:rsidP="005E435C">
      <w:r w:rsidRPr="003C742E">
        <w:t xml:space="preserve">Cumulatively and during the reporting period, information received for children </w:t>
      </w:r>
      <w:r w:rsidR="00860D51" w:rsidRPr="003C742E">
        <w:t xml:space="preserve">less than </w:t>
      </w:r>
      <w:r w:rsidRPr="003C742E">
        <w:t>18</w:t>
      </w:r>
      <w:r w:rsidR="00C361C3" w:rsidRPr="003C742E">
        <w:t> </w:t>
      </w:r>
      <w:r w:rsidRPr="003C742E">
        <w:t xml:space="preserve">years of age after vaccination with </w:t>
      </w:r>
      <w:r w:rsidR="009700F9" w:rsidRPr="003C742E">
        <w:t>Spikevax</w:t>
      </w:r>
      <w:r w:rsidRPr="003C742E">
        <w:t xml:space="preserve"> (Original</w:t>
      </w:r>
      <w:r w:rsidR="002444E0">
        <w:t>) (elasomeran);</w:t>
      </w:r>
      <w:r w:rsidRPr="003C742E">
        <w:t xml:space="preserve"> </w:t>
      </w:r>
      <w:r w:rsidR="009700F9" w:rsidRPr="003C742E">
        <w:t>Spikevax</w:t>
      </w:r>
      <w:r w:rsidRPr="003C742E">
        <w:t xml:space="preserve"> Bivalent (Original/</w:t>
      </w:r>
      <w:r w:rsidR="00F014D8">
        <w:t xml:space="preserve">Omicron </w:t>
      </w:r>
      <w:r w:rsidRPr="003C742E">
        <w:t>BA.1) booster</w:t>
      </w:r>
      <w:r w:rsidR="00F014D8">
        <w:t xml:space="preserve"> (containing elasomeran/imelasomeran)</w:t>
      </w:r>
      <w:r w:rsidRPr="003C742E">
        <w:t xml:space="preserve">, and </w:t>
      </w:r>
      <w:r w:rsidR="009700F9" w:rsidRPr="003C742E">
        <w:t>Spikevax</w:t>
      </w:r>
      <w:r w:rsidRPr="003C742E">
        <w:t xml:space="preserve"> Bivalent (Original/</w:t>
      </w:r>
      <w:r w:rsidR="00F014D8">
        <w:t xml:space="preserve">Omicron </w:t>
      </w:r>
      <w:r w:rsidRPr="003C742E">
        <w:t>BA.4</w:t>
      </w:r>
      <w:r w:rsidR="00F014D8">
        <w:t>-</w:t>
      </w:r>
      <w:r w:rsidRPr="003C742E">
        <w:t xml:space="preserve">5) booster </w:t>
      </w:r>
      <w:r w:rsidR="00F014D8">
        <w:t xml:space="preserve">(containing elasomeran/davesomeran) </w:t>
      </w:r>
      <w:r w:rsidRPr="003C742E">
        <w:t xml:space="preserve">supports the conclusion that the safety profile for the three vaccines is comparable to that observed during the clinical studies for the vaccines and that the safety data evaluated as of 17 February 2023, does not indicate any changes in the benefit-risk profile of </w:t>
      </w:r>
      <w:r w:rsidR="009700F9" w:rsidRPr="003C742E">
        <w:t>Spikevax</w:t>
      </w:r>
      <w:r w:rsidRPr="003C742E">
        <w:t xml:space="preserve"> (Original), </w:t>
      </w:r>
      <w:r w:rsidR="009700F9" w:rsidRPr="003C742E">
        <w:t>Spikevax</w:t>
      </w:r>
      <w:r w:rsidRPr="003C742E">
        <w:t xml:space="preserve"> Bivalent (Original/</w:t>
      </w:r>
      <w:r w:rsidR="00F014D8">
        <w:t xml:space="preserve">Omicron </w:t>
      </w:r>
      <w:r w:rsidRPr="003C742E">
        <w:t xml:space="preserve">BA.1) booster, and </w:t>
      </w:r>
      <w:r w:rsidR="009700F9" w:rsidRPr="003C742E">
        <w:t>Spikevax</w:t>
      </w:r>
      <w:r w:rsidRPr="003C742E">
        <w:t xml:space="preserve"> Bivalent (Original/</w:t>
      </w:r>
      <w:r w:rsidR="00F014D8">
        <w:t xml:space="preserve">Omicron </w:t>
      </w:r>
      <w:r w:rsidRPr="003C742E">
        <w:t>BA.4</w:t>
      </w:r>
      <w:r w:rsidR="00F014D8">
        <w:t>-</w:t>
      </w:r>
      <w:r w:rsidRPr="003C742E">
        <w:t>5) booster.</w:t>
      </w:r>
    </w:p>
    <w:p w14:paraId="529BC06C" w14:textId="044F3661" w:rsidR="005E435C" w:rsidRPr="003C742E" w:rsidRDefault="005E435C" w:rsidP="005E435C">
      <w:r w:rsidRPr="003C742E">
        <w:t xml:space="preserve">There were 17 serious cases in children </w:t>
      </w:r>
      <w:r w:rsidR="00860D51" w:rsidRPr="003C742E">
        <w:t>less than</w:t>
      </w:r>
      <w:r w:rsidRPr="003C742E">
        <w:t xml:space="preserve"> 18 years of age who have been vaccinated with </w:t>
      </w:r>
      <w:r w:rsidR="009700F9" w:rsidRPr="003C742E">
        <w:t>Spikevax</w:t>
      </w:r>
      <w:r w:rsidRPr="003C742E">
        <w:t xml:space="preserve"> (Original). Among these cases, there was one case each reported for myocarditis and pericarditis, which is an important identified risk for </w:t>
      </w:r>
      <w:r w:rsidR="009700F9" w:rsidRPr="003C742E">
        <w:t>Spikevax</w:t>
      </w:r>
      <w:r w:rsidRPr="003C742E">
        <w:t>. Many of the other serious cases lacked critical clinical information to adequately assess a relationship to vaccine administration other than temporality.</w:t>
      </w:r>
    </w:p>
    <w:p w14:paraId="3C31D9DC" w14:textId="72B8B3F7" w:rsidR="005E435C" w:rsidRPr="003C742E" w:rsidRDefault="005E435C" w:rsidP="005E435C">
      <w:r w:rsidRPr="003C742E">
        <w:t xml:space="preserve">Overall, most cases were nonserious. When serious, these cases often had serious events reported once that did not demonstrate any unusual groupings by medical concept. Many events were classified as serious as important medical events secondary to inclusion on the EMA </w:t>
      </w:r>
      <w:r w:rsidR="003C742E" w:rsidRPr="003C742E">
        <w:t xml:space="preserve">important medical event </w:t>
      </w:r>
      <w:r w:rsidRPr="003C742E">
        <w:t>list without evidence of hospitali</w:t>
      </w:r>
      <w:r w:rsidR="00A15C0C" w:rsidRPr="003C742E">
        <w:t>s</w:t>
      </w:r>
      <w:r w:rsidRPr="003C742E">
        <w:t xml:space="preserve">ation. Furthermore, cases very often had minimal to no information provided such as vaccination and event dates, medical history, concomitant medications, diagnostic evaluation, and clinical course, thus precluding further assessment for causality. Cumulatively, there were total of 45 serious cases reported for children </w:t>
      </w:r>
      <w:r w:rsidR="00860D51" w:rsidRPr="003C742E">
        <w:t xml:space="preserve">less than </w:t>
      </w:r>
      <w:r w:rsidRPr="003C742E">
        <w:t>18</w:t>
      </w:r>
      <w:r w:rsidR="00C361C3" w:rsidRPr="003C742E">
        <w:t> </w:t>
      </w:r>
      <w:r w:rsidRPr="003C742E">
        <w:t xml:space="preserve">years of age who received </w:t>
      </w:r>
      <w:r w:rsidR="009700F9" w:rsidRPr="003C742E">
        <w:t>Spikevax</w:t>
      </w:r>
      <w:r w:rsidRPr="003C742E">
        <w:t xml:space="preserve"> Bivalent (Original/</w:t>
      </w:r>
      <w:r w:rsidR="00F014D8">
        <w:t xml:space="preserve">Omicron </w:t>
      </w:r>
      <w:r w:rsidRPr="003C742E">
        <w:t xml:space="preserve">BA.1) (5 cases) and </w:t>
      </w:r>
      <w:r w:rsidR="00F014D8">
        <w:t xml:space="preserve">Spikevax </w:t>
      </w:r>
      <w:r w:rsidRPr="003C742E">
        <w:t>Bivalent</w:t>
      </w:r>
      <w:r w:rsidR="00F014D8">
        <w:t xml:space="preserve"> </w:t>
      </w:r>
      <w:r w:rsidRPr="003C742E">
        <w:t>(Original/</w:t>
      </w:r>
      <w:r w:rsidR="00F014D8">
        <w:t xml:space="preserve">Omicron </w:t>
      </w:r>
      <w:r w:rsidRPr="003C742E">
        <w:t>BA.4</w:t>
      </w:r>
      <w:r w:rsidR="00F014D8">
        <w:t>-</w:t>
      </w:r>
      <w:r w:rsidRPr="003C742E">
        <w:t>5) (40 cases). No new safety concerns were identified in these reports.</w:t>
      </w:r>
    </w:p>
    <w:p w14:paraId="5F7F929B" w14:textId="75DE023D" w:rsidR="005E435C" w:rsidRPr="003C742E" w:rsidRDefault="005E435C" w:rsidP="005E435C">
      <w:r w:rsidRPr="003C742E">
        <w:lastRenderedPageBreak/>
        <w:t xml:space="preserve">Based on the review of information received cumulatively, there is no change in the favourable benefit-risk assessment in relation to global safety data referring to </w:t>
      </w:r>
      <w:r w:rsidR="009700F9" w:rsidRPr="003C742E">
        <w:t>Spikevax</w:t>
      </w:r>
      <w:r w:rsidRPr="003C742E">
        <w:t xml:space="preserve"> (Original), </w:t>
      </w:r>
      <w:r w:rsidR="009700F9" w:rsidRPr="003C742E">
        <w:t>Spikevax</w:t>
      </w:r>
      <w:r w:rsidRPr="003C742E">
        <w:t xml:space="preserve"> Bivalent (Original/</w:t>
      </w:r>
      <w:r w:rsidR="00F014D8">
        <w:t xml:space="preserve">Omiron </w:t>
      </w:r>
      <w:r w:rsidRPr="003C742E">
        <w:t xml:space="preserve">BA.1) booster, and </w:t>
      </w:r>
      <w:r w:rsidR="009700F9" w:rsidRPr="003C742E">
        <w:t>Spikevax</w:t>
      </w:r>
      <w:r w:rsidRPr="003C742E">
        <w:t xml:space="preserve"> Bivalent</w:t>
      </w:r>
      <w:r w:rsidR="00F014D8">
        <w:t xml:space="preserve"> </w:t>
      </w:r>
      <w:r w:rsidRPr="003C742E">
        <w:t>(Original/</w:t>
      </w:r>
      <w:r w:rsidR="00F014D8">
        <w:t xml:space="preserve">Omicron </w:t>
      </w:r>
      <w:r w:rsidRPr="003C742E">
        <w:t>BA.4</w:t>
      </w:r>
      <w:r w:rsidR="00F014D8">
        <w:t>-</w:t>
      </w:r>
      <w:r w:rsidRPr="003C742E">
        <w:t xml:space="preserve">5) booster. The majority of the reported events for the children sub-population involved events related to product administration errors and issues, with all of them not associated with any </w:t>
      </w:r>
      <w:r w:rsidR="00F014D8">
        <w:t>adverse events</w:t>
      </w:r>
      <w:r w:rsidRPr="003C742E">
        <w:t>, followed by events considered relate to reactogenicity. Routine pharmacovigilance monitoring will continue.</w:t>
      </w:r>
    </w:p>
    <w:p w14:paraId="2858B006" w14:textId="77777777" w:rsidR="00C22214" w:rsidRPr="003C742E" w:rsidRDefault="00C22214" w:rsidP="00C22214">
      <w:pPr>
        <w:pStyle w:val="Heading3"/>
        <w:rPr>
          <w:lang w:eastAsia="en-AU"/>
        </w:rPr>
      </w:pPr>
      <w:bookmarkStart w:id="124" w:name="_Toc103679298"/>
      <w:bookmarkStart w:id="125" w:name="_Toc134622053"/>
      <w:r w:rsidRPr="003C742E">
        <w:rPr>
          <w:lang w:eastAsia="en-AU"/>
        </w:rPr>
        <w:t>Risk management plan</w:t>
      </w:r>
      <w:bookmarkEnd w:id="64"/>
      <w:bookmarkEnd w:id="124"/>
      <w:bookmarkEnd w:id="125"/>
    </w:p>
    <w:p w14:paraId="2BB89B70" w14:textId="50FF42F9" w:rsidR="005E435C" w:rsidRPr="003C742E" w:rsidRDefault="00C361C3" w:rsidP="005E435C">
      <w:bookmarkStart w:id="126" w:name="_Toc247691531"/>
      <w:bookmarkStart w:id="127" w:name="_Toc314842515"/>
      <w:r w:rsidRPr="003C742E">
        <w:t xml:space="preserve">The sponsor </w:t>
      </w:r>
      <w:r w:rsidR="005E435C" w:rsidRPr="003C742E">
        <w:t xml:space="preserve">has submitted </w:t>
      </w:r>
      <w:r w:rsidR="003C742E" w:rsidRPr="003C742E">
        <w:t>European Union (</w:t>
      </w:r>
      <w:r w:rsidR="005E435C" w:rsidRPr="003C742E">
        <w:t>EU</w:t>
      </w:r>
      <w:r w:rsidR="003C742E" w:rsidRPr="003C742E">
        <w:t>)</w:t>
      </w:r>
      <w:r w:rsidR="005E435C" w:rsidRPr="003C742E">
        <w:t xml:space="preserve">-RMP version 6.1 (date 30 October 2022; </w:t>
      </w:r>
      <w:r w:rsidR="003C742E" w:rsidRPr="003C742E">
        <w:t>data lock point (</w:t>
      </w:r>
      <w:r w:rsidR="005E435C" w:rsidRPr="003C742E">
        <w:t>DLP</w:t>
      </w:r>
      <w:r w:rsidR="003C742E" w:rsidRPr="003C742E">
        <w:t>)</w:t>
      </w:r>
      <w:r w:rsidR="005E435C" w:rsidRPr="003C742E">
        <w:t xml:space="preserve"> 12</w:t>
      </w:r>
      <w:r w:rsidRPr="003C742E">
        <w:t> </w:t>
      </w:r>
      <w:r w:rsidR="005E435C" w:rsidRPr="003C742E">
        <w:t>September</w:t>
      </w:r>
      <w:r w:rsidRPr="003C742E">
        <w:t> </w:t>
      </w:r>
      <w:r w:rsidR="005E435C" w:rsidRPr="003C742E">
        <w:t xml:space="preserve">2022) and </w:t>
      </w:r>
      <w:r w:rsidR="003C742E" w:rsidRPr="003C742E">
        <w:t xml:space="preserve">Australia specific annex </w:t>
      </w:r>
      <w:r w:rsidR="005E435C" w:rsidRPr="003C742E">
        <w:t xml:space="preserve">version 3.0 (date 13 December 2022) in support of this </w:t>
      </w:r>
      <w:r w:rsidR="001E1DC3" w:rsidRPr="003C742E">
        <w:t>submission</w:t>
      </w:r>
      <w:r w:rsidR="005E435C" w:rsidRPr="003C742E">
        <w:t>.</w:t>
      </w:r>
    </w:p>
    <w:p w14:paraId="57C9905C" w14:textId="7DF8176E" w:rsidR="00F014D8" w:rsidRPr="003C742E" w:rsidRDefault="00C22214" w:rsidP="005E435C">
      <w:r w:rsidRPr="003C742E">
        <w:t>The summary of safety concerns and their associated risk monitoring and mitigation strategies are summarised in</w:t>
      </w:r>
      <w:r w:rsidR="003B149C" w:rsidRPr="003C742E">
        <w:t xml:space="preserve"> </w:t>
      </w:r>
      <w:r w:rsidR="003B149C" w:rsidRPr="003C742E">
        <w:fldChar w:fldCharType="begin"/>
      </w:r>
      <w:r w:rsidR="003B149C" w:rsidRPr="003C742E">
        <w:instrText xml:space="preserve"> REF _Ref97629131 \h  \* MERGEFORMAT </w:instrText>
      </w:r>
      <w:r w:rsidR="003B149C" w:rsidRPr="003C742E">
        <w:fldChar w:fldCharType="separate"/>
      </w:r>
      <w:r w:rsidR="0005046B" w:rsidRPr="003C742E">
        <w:t xml:space="preserve">Table </w:t>
      </w:r>
      <w:r w:rsidR="0005046B">
        <w:t>18</w:t>
      </w:r>
      <w:r w:rsidR="003B149C" w:rsidRPr="003C742E">
        <w:fldChar w:fldCharType="end"/>
      </w:r>
      <w:r w:rsidR="008C49C6" w:rsidRPr="003C742E">
        <w:t>.</w:t>
      </w:r>
      <w:r w:rsidR="0072003B" w:rsidRPr="003C742E">
        <w:t xml:space="preserve"> The TGA</w:t>
      </w:r>
      <w:r w:rsidR="00C07551" w:rsidRPr="003C742E">
        <w:t xml:space="preserve"> may</w:t>
      </w:r>
      <w:r w:rsidR="0072003B" w:rsidRPr="003C742E">
        <w:t xml:space="preserve"> request an updated RMP at any stage of a product's life-cycle, during both the pre-approval and post-approval phases.</w:t>
      </w:r>
    </w:p>
    <w:p w14:paraId="56B51A93" w14:textId="2D6EAF3E" w:rsidR="006A277A" w:rsidRPr="003C742E" w:rsidRDefault="00C22214" w:rsidP="00C22214">
      <w:pPr>
        <w:pStyle w:val="TableTitle"/>
      </w:pPr>
      <w:bookmarkStart w:id="128" w:name="_Ref97629131"/>
      <w:r w:rsidRPr="003C742E">
        <w:t xml:space="preserve">Table </w:t>
      </w:r>
      <w:r w:rsidR="009809E2">
        <w:fldChar w:fldCharType="begin"/>
      </w:r>
      <w:r w:rsidR="009809E2">
        <w:instrText xml:space="preserve"> SEQ Table \* ARABIC </w:instrText>
      </w:r>
      <w:r w:rsidR="009809E2">
        <w:fldChar w:fldCharType="separate"/>
      </w:r>
      <w:r w:rsidR="0005046B">
        <w:rPr>
          <w:noProof/>
        </w:rPr>
        <w:t>18</w:t>
      </w:r>
      <w:r w:rsidR="009809E2">
        <w:rPr>
          <w:noProof/>
        </w:rPr>
        <w:fldChar w:fldCharType="end"/>
      </w:r>
      <w:bookmarkEnd w:id="128"/>
      <w:r w:rsidRPr="003C742E">
        <w:t>: Summary of safety concerns</w:t>
      </w:r>
    </w:p>
    <w:tbl>
      <w:tblPr>
        <w:tblStyle w:val="TableTGAblue"/>
        <w:tblW w:w="8921" w:type="dxa"/>
        <w:tblLayout w:type="fixed"/>
        <w:tblLook w:val="04A0" w:firstRow="1" w:lastRow="0" w:firstColumn="1" w:lastColumn="0" w:noHBand="0" w:noVBand="1"/>
      </w:tblPr>
      <w:tblGrid>
        <w:gridCol w:w="1413"/>
        <w:gridCol w:w="2977"/>
        <w:gridCol w:w="992"/>
        <w:gridCol w:w="1276"/>
        <w:gridCol w:w="992"/>
        <w:gridCol w:w="1271"/>
      </w:tblGrid>
      <w:tr w:rsidR="005E435C" w:rsidRPr="003C742E" w14:paraId="46F2901B" w14:textId="77777777" w:rsidTr="00C361C3">
        <w:trPr>
          <w:cnfStyle w:val="100000000000" w:firstRow="1" w:lastRow="0" w:firstColumn="0" w:lastColumn="0" w:oddVBand="0" w:evenVBand="0" w:oddHBand="0" w:evenHBand="0" w:firstRowFirstColumn="0" w:firstRowLastColumn="0" w:lastRowFirstColumn="0" w:lastRowLastColumn="0"/>
          <w:trHeight w:val="131"/>
        </w:trPr>
        <w:tc>
          <w:tcPr>
            <w:tcW w:w="4390" w:type="dxa"/>
            <w:gridSpan w:val="2"/>
            <w:vMerge w:val="restart"/>
            <w:tcBorders>
              <w:top w:val="single" w:sz="4" w:space="0" w:color="auto"/>
              <w:left w:val="single" w:sz="4" w:space="0" w:color="auto"/>
              <w:bottom w:val="single" w:sz="4" w:space="0" w:color="auto"/>
              <w:right w:val="single" w:sz="4" w:space="0" w:color="auto"/>
            </w:tcBorders>
          </w:tcPr>
          <w:p w14:paraId="6A0AD2BF" w14:textId="77777777" w:rsidR="005E435C" w:rsidRPr="003C742E" w:rsidRDefault="005E435C" w:rsidP="00C361C3">
            <w:pPr>
              <w:pStyle w:val="Tabletext0"/>
              <w:ind w:left="0" w:right="0"/>
            </w:pPr>
            <w:r w:rsidRPr="003C742E">
              <w:t>Summary of safety concerns</w:t>
            </w:r>
          </w:p>
        </w:tc>
        <w:tc>
          <w:tcPr>
            <w:tcW w:w="2268" w:type="dxa"/>
            <w:gridSpan w:val="2"/>
            <w:tcBorders>
              <w:top w:val="single" w:sz="4" w:space="0" w:color="auto"/>
              <w:left w:val="single" w:sz="4" w:space="0" w:color="auto"/>
              <w:bottom w:val="single" w:sz="4" w:space="0" w:color="auto"/>
              <w:right w:val="single" w:sz="4" w:space="0" w:color="auto"/>
            </w:tcBorders>
          </w:tcPr>
          <w:p w14:paraId="3C43CDB7" w14:textId="77777777" w:rsidR="005E435C" w:rsidRPr="003C742E" w:rsidRDefault="005E435C" w:rsidP="00C361C3">
            <w:pPr>
              <w:pStyle w:val="Tabletext0"/>
              <w:ind w:left="0" w:right="0"/>
            </w:pPr>
            <w:r w:rsidRPr="003C742E">
              <w:t>Pharmacovigilance</w:t>
            </w:r>
          </w:p>
        </w:tc>
        <w:tc>
          <w:tcPr>
            <w:tcW w:w="2263" w:type="dxa"/>
            <w:gridSpan w:val="2"/>
            <w:tcBorders>
              <w:top w:val="single" w:sz="4" w:space="0" w:color="auto"/>
              <w:left w:val="single" w:sz="4" w:space="0" w:color="auto"/>
              <w:bottom w:val="single" w:sz="4" w:space="0" w:color="auto"/>
              <w:right w:val="single" w:sz="4" w:space="0" w:color="auto"/>
            </w:tcBorders>
          </w:tcPr>
          <w:p w14:paraId="1037C7A4" w14:textId="77777777" w:rsidR="005E435C" w:rsidRPr="003C742E" w:rsidRDefault="005E435C" w:rsidP="00C361C3">
            <w:pPr>
              <w:pStyle w:val="Tabletext0"/>
              <w:ind w:left="0" w:right="0"/>
            </w:pPr>
            <w:r w:rsidRPr="003C742E">
              <w:t>Risk Minimisation</w:t>
            </w:r>
          </w:p>
        </w:tc>
      </w:tr>
      <w:tr w:rsidR="005E435C" w:rsidRPr="003C742E" w14:paraId="395C0778" w14:textId="77777777" w:rsidTr="00C361C3">
        <w:trPr>
          <w:trHeight w:val="150"/>
        </w:trPr>
        <w:tc>
          <w:tcPr>
            <w:tcW w:w="4390" w:type="dxa"/>
            <w:gridSpan w:val="2"/>
            <w:vMerge/>
            <w:tcBorders>
              <w:top w:val="single" w:sz="4" w:space="0" w:color="auto"/>
              <w:left w:val="single" w:sz="4" w:space="0" w:color="auto"/>
              <w:bottom w:val="single" w:sz="4" w:space="0" w:color="auto"/>
              <w:right w:val="single" w:sz="4" w:space="0" w:color="auto"/>
            </w:tcBorders>
            <w:shd w:val="clear" w:color="auto" w:fill="006DA7"/>
          </w:tcPr>
          <w:p w14:paraId="628F381E" w14:textId="77777777" w:rsidR="005E435C" w:rsidRPr="003C742E" w:rsidRDefault="005E435C" w:rsidP="00C361C3">
            <w:pPr>
              <w:pStyle w:val="Tabletext0"/>
              <w:ind w:left="0" w:right="0"/>
            </w:pPr>
          </w:p>
        </w:tc>
        <w:tc>
          <w:tcPr>
            <w:tcW w:w="992" w:type="dxa"/>
            <w:tcBorders>
              <w:top w:val="single" w:sz="4" w:space="0" w:color="auto"/>
              <w:left w:val="single" w:sz="4" w:space="0" w:color="auto"/>
              <w:bottom w:val="single" w:sz="4" w:space="0" w:color="auto"/>
              <w:right w:val="single" w:sz="4" w:space="0" w:color="auto"/>
            </w:tcBorders>
            <w:shd w:val="clear" w:color="auto" w:fill="006DA7"/>
          </w:tcPr>
          <w:p w14:paraId="2B68CEB6" w14:textId="77777777" w:rsidR="005E435C" w:rsidRPr="003C742E" w:rsidRDefault="005E435C" w:rsidP="00C361C3">
            <w:pPr>
              <w:pStyle w:val="Tabletext0"/>
              <w:ind w:left="0" w:right="0"/>
              <w:rPr>
                <w:b/>
                <w:bCs/>
                <w:color w:val="FFFFFF" w:themeColor="background1"/>
              </w:rPr>
            </w:pPr>
            <w:r w:rsidRPr="003C742E">
              <w:rPr>
                <w:b/>
                <w:bCs/>
                <w:color w:val="FFFFFF" w:themeColor="background1"/>
              </w:rPr>
              <w:t>Routine</w:t>
            </w:r>
          </w:p>
        </w:tc>
        <w:tc>
          <w:tcPr>
            <w:tcW w:w="1276" w:type="dxa"/>
            <w:tcBorders>
              <w:top w:val="single" w:sz="4" w:space="0" w:color="auto"/>
              <w:left w:val="single" w:sz="4" w:space="0" w:color="auto"/>
              <w:bottom w:val="single" w:sz="4" w:space="0" w:color="auto"/>
              <w:right w:val="single" w:sz="4" w:space="0" w:color="auto"/>
            </w:tcBorders>
            <w:shd w:val="clear" w:color="auto" w:fill="006DA7"/>
          </w:tcPr>
          <w:p w14:paraId="6ECEE099" w14:textId="77777777" w:rsidR="005E435C" w:rsidRPr="003C742E" w:rsidRDefault="005E435C" w:rsidP="00C361C3">
            <w:pPr>
              <w:pStyle w:val="Tabletext0"/>
              <w:ind w:left="0" w:right="0"/>
              <w:rPr>
                <w:b/>
                <w:bCs/>
                <w:color w:val="FFFFFF" w:themeColor="background1"/>
              </w:rPr>
            </w:pPr>
            <w:r w:rsidRPr="003C742E">
              <w:rPr>
                <w:b/>
                <w:bCs/>
                <w:color w:val="FFFFFF" w:themeColor="background1"/>
              </w:rPr>
              <w:t>Additional</w:t>
            </w:r>
          </w:p>
        </w:tc>
        <w:tc>
          <w:tcPr>
            <w:tcW w:w="992" w:type="dxa"/>
            <w:tcBorders>
              <w:top w:val="single" w:sz="4" w:space="0" w:color="auto"/>
              <w:left w:val="single" w:sz="4" w:space="0" w:color="auto"/>
              <w:bottom w:val="single" w:sz="4" w:space="0" w:color="auto"/>
              <w:right w:val="single" w:sz="4" w:space="0" w:color="auto"/>
            </w:tcBorders>
            <w:shd w:val="clear" w:color="auto" w:fill="006DA7"/>
          </w:tcPr>
          <w:p w14:paraId="118B4E89" w14:textId="77777777" w:rsidR="005E435C" w:rsidRPr="003C742E" w:rsidRDefault="005E435C" w:rsidP="00C361C3">
            <w:pPr>
              <w:pStyle w:val="Tabletext0"/>
              <w:ind w:left="0" w:right="0"/>
              <w:rPr>
                <w:b/>
                <w:bCs/>
                <w:color w:val="FFFFFF" w:themeColor="background1"/>
              </w:rPr>
            </w:pPr>
            <w:r w:rsidRPr="003C742E">
              <w:rPr>
                <w:b/>
                <w:bCs/>
                <w:color w:val="FFFFFF" w:themeColor="background1"/>
              </w:rPr>
              <w:t>Routine</w:t>
            </w:r>
          </w:p>
        </w:tc>
        <w:tc>
          <w:tcPr>
            <w:tcW w:w="1271" w:type="dxa"/>
            <w:tcBorders>
              <w:top w:val="single" w:sz="4" w:space="0" w:color="auto"/>
              <w:left w:val="single" w:sz="4" w:space="0" w:color="auto"/>
              <w:bottom w:val="single" w:sz="4" w:space="0" w:color="auto"/>
              <w:right w:val="single" w:sz="4" w:space="0" w:color="auto"/>
            </w:tcBorders>
            <w:shd w:val="clear" w:color="auto" w:fill="006DA7"/>
          </w:tcPr>
          <w:p w14:paraId="2850A87A" w14:textId="77777777" w:rsidR="005E435C" w:rsidRPr="003C742E" w:rsidRDefault="005E435C" w:rsidP="00C361C3">
            <w:pPr>
              <w:pStyle w:val="Tabletext0"/>
              <w:ind w:left="0" w:right="0"/>
              <w:rPr>
                <w:b/>
                <w:bCs/>
                <w:color w:val="FFFFFF" w:themeColor="background1"/>
              </w:rPr>
            </w:pPr>
            <w:r w:rsidRPr="003C742E">
              <w:rPr>
                <w:b/>
                <w:bCs/>
                <w:color w:val="FFFFFF" w:themeColor="background1"/>
              </w:rPr>
              <w:t>Additional</w:t>
            </w:r>
          </w:p>
        </w:tc>
      </w:tr>
      <w:tr w:rsidR="005E435C" w:rsidRPr="003C742E" w14:paraId="63A88A5F" w14:textId="77777777" w:rsidTr="00C361C3">
        <w:trPr>
          <w:trHeight w:val="137"/>
        </w:trPr>
        <w:tc>
          <w:tcPr>
            <w:tcW w:w="1413" w:type="dxa"/>
            <w:vMerge w:val="restart"/>
            <w:tcBorders>
              <w:top w:val="single" w:sz="4" w:space="0" w:color="auto"/>
            </w:tcBorders>
          </w:tcPr>
          <w:p w14:paraId="1A975472" w14:textId="77777777" w:rsidR="005E435C" w:rsidRPr="003C742E" w:rsidRDefault="005E435C" w:rsidP="00C361C3">
            <w:pPr>
              <w:pStyle w:val="Tabletext0"/>
              <w:ind w:left="0" w:right="0"/>
            </w:pPr>
            <w:r w:rsidRPr="003C742E">
              <w:t>Important identified risks</w:t>
            </w:r>
          </w:p>
        </w:tc>
        <w:tc>
          <w:tcPr>
            <w:tcW w:w="2977" w:type="dxa"/>
            <w:tcBorders>
              <w:top w:val="single" w:sz="4" w:space="0" w:color="auto"/>
            </w:tcBorders>
          </w:tcPr>
          <w:p w14:paraId="3A8F68B0" w14:textId="77777777" w:rsidR="005E435C" w:rsidRPr="003C742E" w:rsidRDefault="005E435C" w:rsidP="00C361C3">
            <w:pPr>
              <w:pStyle w:val="Tabletext0"/>
              <w:ind w:left="0" w:right="0"/>
            </w:pPr>
            <w:r w:rsidRPr="003C742E">
              <w:t xml:space="preserve">Myocarditis </w:t>
            </w:r>
          </w:p>
        </w:tc>
        <w:tc>
          <w:tcPr>
            <w:tcW w:w="992" w:type="dxa"/>
            <w:tcBorders>
              <w:top w:val="single" w:sz="4" w:space="0" w:color="auto"/>
            </w:tcBorders>
          </w:tcPr>
          <w:p w14:paraId="2AB00886" w14:textId="77777777" w:rsidR="005E435C" w:rsidRPr="003C742E" w:rsidRDefault="005E435C" w:rsidP="00A53503">
            <w:pPr>
              <w:pStyle w:val="Tabletext0"/>
              <w:ind w:left="0" w:right="0"/>
              <w:jc w:val="center"/>
            </w:pPr>
            <w:r w:rsidRPr="003C742E">
              <w:sym w:font="Wingdings" w:char="F0FC"/>
            </w:r>
            <w:r w:rsidRPr="003C742E">
              <w:t>*</w:t>
            </w:r>
          </w:p>
        </w:tc>
        <w:tc>
          <w:tcPr>
            <w:tcW w:w="1276" w:type="dxa"/>
            <w:tcBorders>
              <w:top w:val="single" w:sz="4" w:space="0" w:color="auto"/>
            </w:tcBorders>
          </w:tcPr>
          <w:p w14:paraId="3E43B553" w14:textId="77777777" w:rsidR="005E435C" w:rsidRPr="003C742E" w:rsidRDefault="005E435C" w:rsidP="00A53503">
            <w:pPr>
              <w:pStyle w:val="Tabletext0"/>
              <w:ind w:left="0" w:right="0"/>
              <w:jc w:val="center"/>
            </w:pPr>
            <w:r w:rsidRPr="003C742E">
              <w:sym w:font="Wingdings" w:char="F0FC"/>
            </w:r>
            <w:r w:rsidRPr="003C742E">
              <w:t>†</w:t>
            </w:r>
          </w:p>
        </w:tc>
        <w:tc>
          <w:tcPr>
            <w:tcW w:w="992" w:type="dxa"/>
            <w:tcBorders>
              <w:top w:val="single" w:sz="4" w:space="0" w:color="auto"/>
            </w:tcBorders>
          </w:tcPr>
          <w:p w14:paraId="46901748" w14:textId="77777777" w:rsidR="005E435C" w:rsidRPr="003C742E" w:rsidRDefault="005E435C" w:rsidP="00A53503">
            <w:pPr>
              <w:pStyle w:val="Tabletext0"/>
              <w:ind w:left="0" w:right="0"/>
              <w:jc w:val="center"/>
            </w:pPr>
            <w:r w:rsidRPr="003C742E">
              <w:sym w:font="Wingdings" w:char="F0FC"/>
            </w:r>
          </w:p>
        </w:tc>
        <w:tc>
          <w:tcPr>
            <w:tcW w:w="1271" w:type="dxa"/>
            <w:tcBorders>
              <w:top w:val="single" w:sz="4" w:space="0" w:color="auto"/>
            </w:tcBorders>
          </w:tcPr>
          <w:p w14:paraId="20D9EEBD" w14:textId="77777777" w:rsidR="005E435C" w:rsidRPr="003C742E" w:rsidRDefault="005E435C" w:rsidP="00A53503">
            <w:pPr>
              <w:pStyle w:val="Tabletext0"/>
              <w:ind w:left="0" w:right="0"/>
              <w:jc w:val="center"/>
            </w:pPr>
            <w:r w:rsidRPr="003C742E">
              <w:t>–</w:t>
            </w:r>
          </w:p>
        </w:tc>
      </w:tr>
      <w:tr w:rsidR="005E435C" w:rsidRPr="003C742E" w14:paraId="673380AA" w14:textId="77777777" w:rsidTr="00C361C3">
        <w:trPr>
          <w:trHeight w:val="94"/>
        </w:trPr>
        <w:tc>
          <w:tcPr>
            <w:tcW w:w="1413" w:type="dxa"/>
            <w:vMerge/>
          </w:tcPr>
          <w:p w14:paraId="53D143D0" w14:textId="77777777" w:rsidR="005E435C" w:rsidRPr="003C742E" w:rsidRDefault="005E435C" w:rsidP="00C361C3">
            <w:pPr>
              <w:pStyle w:val="Tabletext0"/>
              <w:ind w:left="0" w:right="0"/>
            </w:pPr>
          </w:p>
        </w:tc>
        <w:tc>
          <w:tcPr>
            <w:tcW w:w="2977" w:type="dxa"/>
          </w:tcPr>
          <w:p w14:paraId="1E237295" w14:textId="77777777" w:rsidR="005E435C" w:rsidRPr="003C742E" w:rsidRDefault="005E435C" w:rsidP="00C361C3">
            <w:pPr>
              <w:pStyle w:val="Tabletext0"/>
              <w:ind w:left="0" w:right="0"/>
            </w:pPr>
            <w:r w:rsidRPr="003C742E">
              <w:t>Pericarditis</w:t>
            </w:r>
          </w:p>
        </w:tc>
        <w:tc>
          <w:tcPr>
            <w:tcW w:w="992" w:type="dxa"/>
          </w:tcPr>
          <w:p w14:paraId="50EF86CF" w14:textId="77777777" w:rsidR="005E435C" w:rsidRPr="003C742E" w:rsidRDefault="005E435C" w:rsidP="00A53503">
            <w:pPr>
              <w:pStyle w:val="Tabletext0"/>
              <w:ind w:left="0" w:right="0"/>
              <w:jc w:val="center"/>
            </w:pPr>
            <w:r w:rsidRPr="003C742E">
              <w:sym w:font="Wingdings" w:char="F0FC"/>
            </w:r>
            <w:r w:rsidRPr="003C742E">
              <w:t>*</w:t>
            </w:r>
          </w:p>
        </w:tc>
        <w:tc>
          <w:tcPr>
            <w:tcW w:w="1276" w:type="dxa"/>
          </w:tcPr>
          <w:p w14:paraId="10139462" w14:textId="77777777" w:rsidR="005E435C" w:rsidRPr="003C742E" w:rsidRDefault="005E435C" w:rsidP="00A53503">
            <w:pPr>
              <w:pStyle w:val="Tabletext0"/>
              <w:ind w:left="0" w:right="0"/>
              <w:jc w:val="center"/>
            </w:pPr>
            <w:r w:rsidRPr="003C742E">
              <w:sym w:font="Wingdings" w:char="F0FC"/>
            </w:r>
            <w:r w:rsidRPr="003C742E">
              <w:t>†</w:t>
            </w:r>
          </w:p>
        </w:tc>
        <w:tc>
          <w:tcPr>
            <w:tcW w:w="992" w:type="dxa"/>
          </w:tcPr>
          <w:p w14:paraId="5A303DA1" w14:textId="77777777" w:rsidR="005E435C" w:rsidRPr="003C742E" w:rsidRDefault="005E435C" w:rsidP="00A53503">
            <w:pPr>
              <w:pStyle w:val="Tabletext0"/>
              <w:ind w:left="0" w:right="0"/>
              <w:jc w:val="center"/>
            </w:pPr>
            <w:r w:rsidRPr="003C742E">
              <w:sym w:font="Wingdings" w:char="F0FC"/>
            </w:r>
          </w:p>
        </w:tc>
        <w:tc>
          <w:tcPr>
            <w:tcW w:w="1271" w:type="dxa"/>
          </w:tcPr>
          <w:p w14:paraId="07B93504" w14:textId="77777777" w:rsidR="005E435C" w:rsidRPr="003C742E" w:rsidRDefault="005E435C" w:rsidP="00A53503">
            <w:pPr>
              <w:pStyle w:val="Tabletext0"/>
              <w:ind w:left="0" w:right="0"/>
              <w:jc w:val="center"/>
            </w:pPr>
            <w:r w:rsidRPr="003C742E">
              <w:t>–</w:t>
            </w:r>
          </w:p>
        </w:tc>
      </w:tr>
      <w:tr w:rsidR="005E435C" w:rsidRPr="003C742E" w14:paraId="45AD8852" w14:textId="77777777" w:rsidTr="00C361C3">
        <w:trPr>
          <w:trHeight w:val="159"/>
        </w:trPr>
        <w:tc>
          <w:tcPr>
            <w:tcW w:w="1413" w:type="dxa"/>
          </w:tcPr>
          <w:p w14:paraId="3DDBEC06" w14:textId="77777777" w:rsidR="005E435C" w:rsidRPr="003C742E" w:rsidRDefault="005E435C" w:rsidP="00C361C3">
            <w:pPr>
              <w:pStyle w:val="Tabletext0"/>
              <w:ind w:left="0" w:right="0"/>
            </w:pPr>
            <w:r w:rsidRPr="003C742E">
              <w:t>Important potential risks</w:t>
            </w:r>
          </w:p>
        </w:tc>
        <w:tc>
          <w:tcPr>
            <w:tcW w:w="2977" w:type="dxa"/>
          </w:tcPr>
          <w:p w14:paraId="38FA7C18" w14:textId="77777777" w:rsidR="005E435C" w:rsidRPr="003C742E" w:rsidRDefault="005E435C" w:rsidP="00C361C3">
            <w:pPr>
              <w:pStyle w:val="Tabletext0"/>
              <w:ind w:left="0" w:right="0"/>
            </w:pPr>
            <w:r w:rsidRPr="003C742E">
              <w:t>Vaccine-associated enhanced disease (VAED) including vaccine-associated enhanced respiratory disease (VAERD)</w:t>
            </w:r>
          </w:p>
        </w:tc>
        <w:tc>
          <w:tcPr>
            <w:tcW w:w="992" w:type="dxa"/>
          </w:tcPr>
          <w:p w14:paraId="7C777D5B" w14:textId="77777777" w:rsidR="005E435C" w:rsidRPr="003C742E" w:rsidRDefault="005E435C" w:rsidP="00A53503">
            <w:pPr>
              <w:pStyle w:val="Tabletext0"/>
              <w:ind w:left="0" w:right="0"/>
              <w:jc w:val="center"/>
            </w:pPr>
            <w:r w:rsidRPr="003C742E">
              <w:sym w:font="Wingdings" w:char="F0FC"/>
            </w:r>
            <w:r w:rsidRPr="003C742E">
              <w:t>*</w:t>
            </w:r>
          </w:p>
        </w:tc>
        <w:tc>
          <w:tcPr>
            <w:tcW w:w="1276" w:type="dxa"/>
          </w:tcPr>
          <w:p w14:paraId="0F1107B2" w14:textId="77777777" w:rsidR="005E435C" w:rsidRPr="003C742E" w:rsidRDefault="005E435C" w:rsidP="00A53503">
            <w:pPr>
              <w:pStyle w:val="Tabletext0"/>
              <w:ind w:left="0" w:right="0"/>
              <w:jc w:val="center"/>
            </w:pPr>
            <w:r w:rsidRPr="003C742E">
              <w:sym w:font="Wingdings" w:char="F0FC"/>
            </w:r>
            <w:r w:rsidRPr="003C742E">
              <w:t>†</w:t>
            </w:r>
          </w:p>
        </w:tc>
        <w:tc>
          <w:tcPr>
            <w:tcW w:w="992" w:type="dxa"/>
          </w:tcPr>
          <w:p w14:paraId="1B60E00E" w14:textId="77777777" w:rsidR="005E435C" w:rsidRPr="003C742E" w:rsidRDefault="005E435C" w:rsidP="00A53503">
            <w:pPr>
              <w:pStyle w:val="Tabletext0"/>
              <w:ind w:left="0" w:right="0"/>
              <w:jc w:val="center"/>
            </w:pPr>
            <w:r w:rsidRPr="003C742E">
              <w:t>–</w:t>
            </w:r>
          </w:p>
        </w:tc>
        <w:tc>
          <w:tcPr>
            <w:tcW w:w="1271" w:type="dxa"/>
          </w:tcPr>
          <w:p w14:paraId="6E8028E3" w14:textId="77777777" w:rsidR="005E435C" w:rsidRPr="003C742E" w:rsidRDefault="005E435C" w:rsidP="00A53503">
            <w:pPr>
              <w:pStyle w:val="Tabletext0"/>
              <w:ind w:left="0" w:right="0"/>
              <w:jc w:val="center"/>
            </w:pPr>
            <w:r w:rsidRPr="003C742E">
              <w:t>–</w:t>
            </w:r>
          </w:p>
        </w:tc>
      </w:tr>
      <w:tr w:rsidR="005E435C" w:rsidRPr="003C742E" w14:paraId="432FC94B" w14:textId="77777777" w:rsidTr="00C361C3">
        <w:trPr>
          <w:trHeight w:val="178"/>
        </w:trPr>
        <w:tc>
          <w:tcPr>
            <w:tcW w:w="1413" w:type="dxa"/>
            <w:vMerge w:val="restart"/>
          </w:tcPr>
          <w:p w14:paraId="2D53955F" w14:textId="77777777" w:rsidR="005E435C" w:rsidRPr="003C742E" w:rsidRDefault="005E435C" w:rsidP="00C361C3">
            <w:pPr>
              <w:pStyle w:val="Tabletext0"/>
              <w:ind w:left="0" w:right="0"/>
            </w:pPr>
            <w:r w:rsidRPr="003C742E">
              <w:t>Missing information</w:t>
            </w:r>
          </w:p>
        </w:tc>
        <w:tc>
          <w:tcPr>
            <w:tcW w:w="2977" w:type="dxa"/>
          </w:tcPr>
          <w:p w14:paraId="7A962058" w14:textId="77777777" w:rsidR="005E435C" w:rsidRPr="003C742E" w:rsidRDefault="005E435C" w:rsidP="00C361C3">
            <w:pPr>
              <w:pStyle w:val="Tabletext0"/>
              <w:ind w:left="0" w:right="0"/>
            </w:pPr>
            <w:r w:rsidRPr="003C742E">
              <w:t>Use in pregnancy and while breast-feeding</w:t>
            </w:r>
          </w:p>
        </w:tc>
        <w:tc>
          <w:tcPr>
            <w:tcW w:w="992" w:type="dxa"/>
          </w:tcPr>
          <w:p w14:paraId="6C63D111" w14:textId="77777777" w:rsidR="005E435C" w:rsidRPr="003C742E" w:rsidRDefault="005E435C" w:rsidP="00A53503">
            <w:pPr>
              <w:pStyle w:val="Tabletext0"/>
              <w:ind w:left="0" w:right="0"/>
              <w:jc w:val="center"/>
            </w:pPr>
            <w:r w:rsidRPr="003C742E">
              <w:sym w:font="Wingdings" w:char="F0FC"/>
            </w:r>
          </w:p>
        </w:tc>
        <w:tc>
          <w:tcPr>
            <w:tcW w:w="1276" w:type="dxa"/>
          </w:tcPr>
          <w:p w14:paraId="4C58782E" w14:textId="77777777" w:rsidR="005E435C" w:rsidRPr="003C742E" w:rsidRDefault="005E435C" w:rsidP="00A53503">
            <w:pPr>
              <w:pStyle w:val="Tabletext0"/>
              <w:ind w:left="0" w:right="0"/>
              <w:jc w:val="center"/>
            </w:pPr>
            <w:r w:rsidRPr="003C742E">
              <w:sym w:font="Wingdings" w:char="F0FC"/>
            </w:r>
            <w:r w:rsidRPr="003C742E">
              <w:t>#</w:t>
            </w:r>
          </w:p>
        </w:tc>
        <w:tc>
          <w:tcPr>
            <w:tcW w:w="992" w:type="dxa"/>
          </w:tcPr>
          <w:p w14:paraId="7907520D" w14:textId="77777777" w:rsidR="005E435C" w:rsidRPr="003C742E" w:rsidRDefault="005E435C" w:rsidP="00A53503">
            <w:pPr>
              <w:pStyle w:val="Tabletext0"/>
              <w:ind w:left="0" w:right="0"/>
              <w:jc w:val="center"/>
            </w:pPr>
            <w:r w:rsidRPr="003C742E">
              <w:sym w:font="Wingdings" w:char="F0FC"/>
            </w:r>
          </w:p>
        </w:tc>
        <w:tc>
          <w:tcPr>
            <w:tcW w:w="1271" w:type="dxa"/>
          </w:tcPr>
          <w:p w14:paraId="28E3B8A8" w14:textId="77777777" w:rsidR="005E435C" w:rsidRPr="003C742E" w:rsidRDefault="005E435C" w:rsidP="00A53503">
            <w:pPr>
              <w:pStyle w:val="Tabletext0"/>
              <w:ind w:left="0" w:right="0"/>
              <w:jc w:val="center"/>
            </w:pPr>
            <w:r w:rsidRPr="003C742E">
              <w:t>–</w:t>
            </w:r>
          </w:p>
        </w:tc>
      </w:tr>
      <w:tr w:rsidR="005E435C" w:rsidRPr="003C742E" w14:paraId="15F59927" w14:textId="77777777" w:rsidTr="00C361C3">
        <w:trPr>
          <w:trHeight w:val="103"/>
        </w:trPr>
        <w:tc>
          <w:tcPr>
            <w:tcW w:w="1413" w:type="dxa"/>
            <w:vMerge/>
          </w:tcPr>
          <w:p w14:paraId="1B4A07EF" w14:textId="77777777" w:rsidR="005E435C" w:rsidRPr="003C742E" w:rsidRDefault="005E435C" w:rsidP="00C361C3">
            <w:pPr>
              <w:pStyle w:val="Tabletext0"/>
              <w:ind w:left="0" w:right="0"/>
            </w:pPr>
          </w:p>
        </w:tc>
        <w:tc>
          <w:tcPr>
            <w:tcW w:w="2977" w:type="dxa"/>
          </w:tcPr>
          <w:p w14:paraId="021F0C75" w14:textId="77777777" w:rsidR="005E435C" w:rsidRPr="003C742E" w:rsidRDefault="005E435C" w:rsidP="00C361C3">
            <w:pPr>
              <w:pStyle w:val="Tabletext0"/>
              <w:ind w:left="0" w:right="0"/>
            </w:pPr>
            <w:r w:rsidRPr="003C742E">
              <w:t>Long-term safety</w:t>
            </w:r>
          </w:p>
        </w:tc>
        <w:tc>
          <w:tcPr>
            <w:tcW w:w="992" w:type="dxa"/>
          </w:tcPr>
          <w:p w14:paraId="7C2D938E" w14:textId="77777777" w:rsidR="005E435C" w:rsidRPr="003C742E" w:rsidRDefault="005E435C" w:rsidP="00A53503">
            <w:pPr>
              <w:pStyle w:val="Tabletext0"/>
              <w:ind w:left="0" w:right="0"/>
              <w:jc w:val="center"/>
            </w:pPr>
            <w:r w:rsidRPr="003C742E">
              <w:sym w:font="Wingdings" w:char="F0FC"/>
            </w:r>
          </w:p>
        </w:tc>
        <w:tc>
          <w:tcPr>
            <w:tcW w:w="1276" w:type="dxa"/>
          </w:tcPr>
          <w:p w14:paraId="7B82B17C" w14:textId="77777777" w:rsidR="005E435C" w:rsidRPr="003C742E" w:rsidRDefault="005E435C" w:rsidP="00A53503">
            <w:pPr>
              <w:pStyle w:val="Tabletext0"/>
              <w:ind w:left="0" w:right="0"/>
              <w:jc w:val="center"/>
            </w:pPr>
            <w:r w:rsidRPr="003C742E">
              <w:sym w:font="Wingdings" w:char="F0FC"/>
            </w:r>
            <w:r w:rsidRPr="003C742E">
              <w:t>†</w:t>
            </w:r>
          </w:p>
        </w:tc>
        <w:tc>
          <w:tcPr>
            <w:tcW w:w="992" w:type="dxa"/>
          </w:tcPr>
          <w:p w14:paraId="5FDFDF66" w14:textId="77777777" w:rsidR="005E435C" w:rsidRPr="003C742E" w:rsidRDefault="005E435C" w:rsidP="00A53503">
            <w:pPr>
              <w:pStyle w:val="Tabletext0"/>
              <w:ind w:left="0" w:right="0"/>
              <w:jc w:val="center"/>
            </w:pPr>
            <w:r w:rsidRPr="003C742E">
              <w:t>–</w:t>
            </w:r>
          </w:p>
        </w:tc>
        <w:tc>
          <w:tcPr>
            <w:tcW w:w="1271" w:type="dxa"/>
          </w:tcPr>
          <w:p w14:paraId="2A8A47EA" w14:textId="77777777" w:rsidR="005E435C" w:rsidRPr="003C742E" w:rsidRDefault="005E435C" w:rsidP="00A53503">
            <w:pPr>
              <w:pStyle w:val="Tabletext0"/>
              <w:ind w:left="0" w:right="0"/>
              <w:jc w:val="center"/>
            </w:pPr>
            <w:r w:rsidRPr="003C742E">
              <w:t>–</w:t>
            </w:r>
          </w:p>
        </w:tc>
      </w:tr>
      <w:tr w:rsidR="005E435C" w:rsidRPr="003C742E" w14:paraId="5B453987" w14:textId="77777777" w:rsidTr="00C361C3">
        <w:trPr>
          <w:trHeight w:val="103"/>
        </w:trPr>
        <w:tc>
          <w:tcPr>
            <w:tcW w:w="1413" w:type="dxa"/>
            <w:vMerge/>
          </w:tcPr>
          <w:p w14:paraId="0A01290A" w14:textId="77777777" w:rsidR="005E435C" w:rsidRPr="003C742E" w:rsidRDefault="005E435C" w:rsidP="00C361C3">
            <w:pPr>
              <w:pStyle w:val="Tabletext0"/>
              <w:ind w:left="0" w:right="0"/>
            </w:pPr>
          </w:p>
        </w:tc>
        <w:tc>
          <w:tcPr>
            <w:tcW w:w="2977" w:type="dxa"/>
          </w:tcPr>
          <w:p w14:paraId="69901D20" w14:textId="77777777" w:rsidR="005E435C" w:rsidRPr="003C742E" w:rsidRDefault="005E435C" w:rsidP="00C361C3">
            <w:pPr>
              <w:pStyle w:val="Tabletext0"/>
              <w:ind w:left="0" w:right="0"/>
            </w:pPr>
            <w:r w:rsidRPr="003C742E">
              <w:t>Use in immunocompromised subjects</w:t>
            </w:r>
          </w:p>
        </w:tc>
        <w:tc>
          <w:tcPr>
            <w:tcW w:w="992" w:type="dxa"/>
          </w:tcPr>
          <w:p w14:paraId="58BA532D" w14:textId="77777777" w:rsidR="005E435C" w:rsidRPr="003C742E" w:rsidRDefault="005E435C" w:rsidP="00A53503">
            <w:pPr>
              <w:pStyle w:val="Tabletext0"/>
              <w:ind w:left="0" w:right="0"/>
              <w:jc w:val="center"/>
            </w:pPr>
            <w:r w:rsidRPr="003C742E">
              <w:sym w:font="Wingdings" w:char="F0FC"/>
            </w:r>
          </w:p>
        </w:tc>
        <w:tc>
          <w:tcPr>
            <w:tcW w:w="1276" w:type="dxa"/>
          </w:tcPr>
          <w:p w14:paraId="7F15DD87" w14:textId="77777777" w:rsidR="005E435C" w:rsidRPr="003C742E" w:rsidRDefault="005E435C" w:rsidP="00A53503">
            <w:pPr>
              <w:pStyle w:val="Tabletext0"/>
              <w:ind w:left="0" w:right="0"/>
              <w:jc w:val="center"/>
            </w:pPr>
            <w:r w:rsidRPr="003C742E">
              <w:sym w:font="Wingdings" w:char="F0FC"/>
            </w:r>
            <w:r w:rsidRPr="003C742E">
              <w:t>†</w:t>
            </w:r>
          </w:p>
        </w:tc>
        <w:tc>
          <w:tcPr>
            <w:tcW w:w="992" w:type="dxa"/>
          </w:tcPr>
          <w:p w14:paraId="04E091BC" w14:textId="77777777" w:rsidR="005E435C" w:rsidRPr="003C742E" w:rsidRDefault="005E435C" w:rsidP="00A53503">
            <w:pPr>
              <w:pStyle w:val="Tabletext0"/>
              <w:ind w:left="0" w:right="0"/>
              <w:jc w:val="center"/>
            </w:pPr>
            <w:r w:rsidRPr="003C742E">
              <w:sym w:font="Wingdings" w:char="F0FC"/>
            </w:r>
          </w:p>
        </w:tc>
        <w:tc>
          <w:tcPr>
            <w:tcW w:w="1271" w:type="dxa"/>
          </w:tcPr>
          <w:p w14:paraId="36439F5B" w14:textId="77777777" w:rsidR="005E435C" w:rsidRPr="003C742E" w:rsidRDefault="005E435C" w:rsidP="00A53503">
            <w:pPr>
              <w:pStyle w:val="Tabletext0"/>
              <w:ind w:left="0" w:right="0"/>
              <w:jc w:val="center"/>
            </w:pPr>
            <w:r w:rsidRPr="003C742E">
              <w:t>–</w:t>
            </w:r>
          </w:p>
        </w:tc>
      </w:tr>
      <w:tr w:rsidR="005E435C" w:rsidRPr="003C742E" w14:paraId="1221FAD1" w14:textId="77777777" w:rsidTr="00C361C3">
        <w:trPr>
          <w:trHeight w:val="103"/>
        </w:trPr>
        <w:tc>
          <w:tcPr>
            <w:tcW w:w="1413" w:type="dxa"/>
            <w:vMerge/>
          </w:tcPr>
          <w:p w14:paraId="09BCD739" w14:textId="77777777" w:rsidR="005E435C" w:rsidRPr="003C742E" w:rsidRDefault="005E435C" w:rsidP="00C361C3">
            <w:pPr>
              <w:pStyle w:val="Tabletext0"/>
              <w:ind w:left="0" w:right="0"/>
            </w:pPr>
          </w:p>
        </w:tc>
        <w:tc>
          <w:tcPr>
            <w:tcW w:w="2977" w:type="dxa"/>
          </w:tcPr>
          <w:p w14:paraId="2C995DC1" w14:textId="77777777" w:rsidR="005E435C" w:rsidRPr="003C742E" w:rsidRDefault="005E435C" w:rsidP="00C361C3">
            <w:pPr>
              <w:pStyle w:val="Tabletext0"/>
              <w:ind w:left="0" w:right="0"/>
            </w:pPr>
            <w:r w:rsidRPr="003C742E">
              <w:t>Interaction with other vaccines</w:t>
            </w:r>
          </w:p>
        </w:tc>
        <w:tc>
          <w:tcPr>
            <w:tcW w:w="992" w:type="dxa"/>
          </w:tcPr>
          <w:p w14:paraId="12AE89DC" w14:textId="77777777" w:rsidR="005E435C" w:rsidRPr="003C742E" w:rsidRDefault="005E435C" w:rsidP="00A53503">
            <w:pPr>
              <w:pStyle w:val="Tabletext0"/>
              <w:ind w:left="0" w:right="0"/>
              <w:jc w:val="center"/>
            </w:pPr>
            <w:r w:rsidRPr="003C742E">
              <w:sym w:font="Wingdings" w:char="F0FC"/>
            </w:r>
          </w:p>
        </w:tc>
        <w:tc>
          <w:tcPr>
            <w:tcW w:w="1276" w:type="dxa"/>
          </w:tcPr>
          <w:p w14:paraId="4CEB811B" w14:textId="77777777" w:rsidR="005E435C" w:rsidRPr="003C742E" w:rsidRDefault="005E435C" w:rsidP="00A53503">
            <w:pPr>
              <w:pStyle w:val="Tabletext0"/>
              <w:ind w:left="0" w:right="0"/>
              <w:jc w:val="center"/>
            </w:pPr>
            <w:r w:rsidRPr="003C742E">
              <w:sym w:font="Wingdings" w:char="F0FC"/>
            </w:r>
            <w:r w:rsidRPr="003C742E">
              <w:t>†</w:t>
            </w:r>
          </w:p>
        </w:tc>
        <w:tc>
          <w:tcPr>
            <w:tcW w:w="992" w:type="dxa"/>
          </w:tcPr>
          <w:p w14:paraId="01C4CDE4" w14:textId="77777777" w:rsidR="005E435C" w:rsidRPr="003C742E" w:rsidRDefault="005E435C" w:rsidP="00A53503">
            <w:pPr>
              <w:pStyle w:val="Tabletext0"/>
              <w:ind w:left="0" w:right="0"/>
              <w:jc w:val="center"/>
            </w:pPr>
            <w:r w:rsidRPr="003C742E">
              <w:sym w:font="Wingdings" w:char="F0FC"/>
            </w:r>
          </w:p>
        </w:tc>
        <w:tc>
          <w:tcPr>
            <w:tcW w:w="1271" w:type="dxa"/>
          </w:tcPr>
          <w:p w14:paraId="761B5893" w14:textId="77777777" w:rsidR="005E435C" w:rsidRPr="003C742E" w:rsidRDefault="005E435C" w:rsidP="00A53503">
            <w:pPr>
              <w:pStyle w:val="Tabletext0"/>
              <w:ind w:left="0" w:right="0"/>
              <w:jc w:val="center"/>
            </w:pPr>
            <w:r w:rsidRPr="003C742E">
              <w:t>–</w:t>
            </w:r>
          </w:p>
        </w:tc>
      </w:tr>
      <w:tr w:rsidR="005E435C" w:rsidRPr="003C742E" w14:paraId="4B122E76" w14:textId="77777777" w:rsidTr="00C361C3">
        <w:trPr>
          <w:trHeight w:val="103"/>
        </w:trPr>
        <w:tc>
          <w:tcPr>
            <w:tcW w:w="1413" w:type="dxa"/>
            <w:vMerge/>
          </w:tcPr>
          <w:p w14:paraId="3C9FCE43" w14:textId="77777777" w:rsidR="005E435C" w:rsidRPr="003C742E" w:rsidRDefault="005E435C" w:rsidP="00C361C3">
            <w:pPr>
              <w:pStyle w:val="Tabletext0"/>
              <w:ind w:left="0" w:right="0"/>
            </w:pPr>
          </w:p>
        </w:tc>
        <w:tc>
          <w:tcPr>
            <w:tcW w:w="2977" w:type="dxa"/>
          </w:tcPr>
          <w:p w14:paraId="59B8ABDE" w14:textId="06CE44A3" w:rsidR="005E435C" w:rsidRPr="003C742E" w:rsidRDefault="005E435C" w:rsidP="00C361C3">
            <w:pPr>
              <w:pStyle w:val="Tabletext0"/>
              <w:ind w:left="0" w:right="0"/>
            </w:pPr>
            <w:r w:rsidRPr="003C742E">
              <w:t>Use in frail subjects with unstable health conditions and co-morbidities (</w:t>
            </w:r>
            <w:r w:rsidR="00A15C0C" w:rsidRPr="003C742E">
              <w:t>for example,</w:t>
            </w:r>
            <w:r w:rsidRPr="003C742E">
              <w:t xml:space="preserve"> chronic obstructive pulmonary disease (COPD), diabetes, chronic neurological disease, cardiovascular disorders)</w:t>
            </w:r>
          </w:p>
        </w:tc>
        <w:tc>
          <w:tcPr>
            <w:tcW w:w="992" w:type="dxa"/>
          </w:tcPr>
          <w:p w14:paraId="1CA64116" w14:textId="77777777" w:rsidR="005E435C" w:rsidRPr="003C742E" w:rsidRDefault="005E435C" w:rsidP="00A53503">
            <w:pPr>
              <w:pStyle w:val="Tabletext0"/>
              <w:ind w:left="0" w:right="0"/>
              <w:jc w:val="center"/>
            </w:pPr>
            <w:r w:rsidRPr="003C742E">
              <w:sym w:font="Wingdings" w:char="F0FC"/>
            </w:r>
          </w:p>
        </w:tc>
        <w:tc>
          <w:tcPr>
            <w:tcW w:w="1276" w:type="dxa"/>
          </w:tcPr>
          <w:p w14:paraId="311BAFE0" w14:textId="77777777" w:rsidR="005E435C" w:rsidRPr="003C742E" w:rsidRDefault="005E435C" w:rsidP="00A53503">
            <w:pPr>
              <w:pStyle w:val="Tabletext0"/>
              <w:ind w:left="0" w:right="0"/>
              <w:jc w:val="center"/>
            </w:pPr>
            <w:r w:rsidRPr="003C742E">
              <w:sym w:font="Wingdings" w:char="F0FC"/>
            </w:r>
            <w:r w:rsidRPr="003C742E">
              <w:t>†</w:t>
            </w:r>
          </w:p>
        </w:tc>
        <w:tc>
          <w:tcPr>
            <w:tcW w:w="992" w:type="dxa"/>
          </w:tcPr>
          <w:p w14:paraId="0E36F7C6" w14:textId="77777777" w:rsidR="005E435C" w:rsidRPr="003C742E" w:rsidRDefault="005E435C" w:rsidP="00A53503">
            <w:pPr>
              <w:pStyle w:val="Tabletext0"/>
              <w:ind w:left="0" w:right="0"/>
              <w:jc w:val="center"/>
            </w:pPr>
            <w:r w:rsidRPr="003C742E">
              <w:sym w:font="Wingdings" w:char="F0FC"/>
            </w:r>
          </w:p>
        </w:tc>
        <w:tc>
          <w:tcPr>
            <w:tcW w:w="1271" w:type="dxa"/>
          </w:tcPr>
          <w:p w14:paraId="6DCC20C6" w14:textId="77777777" w:rsidR="005E435C" w:rsidRPr="003C742E" w:rsidRDefault="005E435C" w:rsidP="00A53503">
            <w:pPr>
              <w:pStyle w:val="Tabletext0"/>
              <w:ind w:left="0" w:right="0"/>
              <w:jc w:val="center"/>
            </w:pPr>
            <w:r w:rsidRPr="003C742E">
              <w:t>–</w:t>
            </w:r>
          </w:p>
        </w:tc>
      </w:tr>
      <w:tr w:rsidR="005E435C" w:rsidRPr="003C742E" w14:paraId="09C42CCE" w14:textId="77777777" w:rsidTr="00C361C3">
        <w:trPr>
          <w:trHeight w:val="140"/>
        </w:trPr>
        <w:tc>
          <w:tcPr>
            <w:tcW w:w="1413" w:type="dxa"/>
            <w:vMerge/>
          </w:tcPr>
          <w:p w14:paraId="138D3950" w14:textId="77777777" w:rsidR="005E435C" w:rsidRPr="003C742E" w:rsidRDefault="005E435C" w:rsidP="00C361C3">
            <w:pPr>
              <w:pStyle w:val="Tabletext0"/>
              <w:ind w:left="0" w:right="0"/>
            </w:pPr>
          </w:p>
        </w:tc>
        <w:tc>
          <w:tcPr>
            <w:tcW w:w="2977" w:type="dxa"/>
          </w:tcPr>
          <w:p w14:paraId="2BDC80BD" w14:textId="77777777" w:rsidR="005E435C" w:rsidRPr="003C742E" w:rsidRDefault="005E435C" w:rsidP="00C361C3">
            <w:pPr>
              <w:pStyle w:val="Tabletext0"/>
              <w:ind w:left="0" w:right="0"/>
            </w:pPr>
            <w:r w:rsidRPr="003C742E">
              <w:t>Use in subjects with autoimmune or inflammatory disorders</w:t>
            </w:r>
          </w:p>
        </w:tc>
        <w:tc>
          <w:tcPr>
            <w:tcW w:w="992" w:type="dxa"/>
          </w:tcPr>
          <w:p w14:paraId="4543A1DC" w14:textId="77777777" w:rsidR="005E435C" w:rsidRPr="003C742E" w:rsidRDefault="005E435C" w:rsidP="00A53503">
            <w:pPr>
              <w:pStyle w:val="Tabletext0"/>
              <w:ind w:left="0" w:right="0"/>
              <w:jc w:val="center"/>
            </w:pPr>
            <w:r w:rsidRPr="003C742E">
              <w:sym w:font="Wingdings" w:char="F0FC"/>
            </w:r>
          </w:p>
        </w:tc>
        <w:tc>
          <w:tcPr>
            <w:tcW w:w="1276" w:type="dxa"/>
          </w:tcPr>
          <w:p w14:paraId="4EA54E89" w14:textId="77777777" w:rsidR="005E435C" w:rsidRPr="003C742E" w:rsidRDefault="005E435C" w:rsidP="00A53503">
            <w:pPr>
              <w:pStyle w:val="Tabletext0"/>
              <w:ind w:left="0" w:right="0"/>
              <w:jc w:val="center"/>
            </w:pPr>
            <w:r w:rsidRPr="003C742E">
              <w:sym w:font="Wingdings" w:char="F0FC"/>
            </w:r>
            <w:r w:rsidRPr="003C742E">
              <w:t>†</w:t>
            </w:r>
          </w:p>
        </w:tc>
        <w:tc>
          <w:tcPr>
            <w:tcW w:w="992" w:type="dxa"/>
          </w:tcPr>
          <w:p w14:paraId="36C2C0E7" w14:textId="77777777" w:rsidR="005E435C" w:rsidRPr="003C742E" w:rsidRDefault="005E435C" w:rsidP="00A53503">
            <w:pPr>
              <w:pStyle w:val="Tabletext0"/>
              <w:ind w:left="0" w:right="0"/>
              <w:jc w:val="center"/>
            </w:pPr>
            <w:r w:rsidRPr="003C742E">
              <w:sym w:font="Wingdings" w:char="F0FC"/>
            </w:r>
          </w:p>
        </w:tc>
        <w:tc>
          <w:tcPr>
            <w:tcW w:w="1271" w:type="dxa"/>
          </w:tcPr>
          <w:p w14:paraId="686F1D4E" w14:textId="77777777" w:rsidR="005E435C" w:rsidRPr="003C742E" w:rsidRDefault="005E435C" w:rsidP="00A53503">
            <w:pPr>
              <w:pStyle w:val="Tabletext0"/>
              <w:ind w:left="0" w:right="0"/>
              <w:jc w:val="center"/>
            </w:pPr>
            <w:r w:rsidRPr="003C742E">
              <w:t>–</w:t>
            </w:r>
          </w:p>
        </w:tc>
      </w:tr>
    </w:tbl>
    <w:p w14:paraId="45F78ACA" w14:textId="6108D3F2" w:rsidR="005E435C" w:rsidRPr="003C742E" w:rsidRDefault="005E435C" w:rsidP="005E435C">
      <w:pPr>
        <w:pStyle w:val="TableDescription"/>
      </w:pPr>
      <w:r w:rsidRPr="003C742E">
        <w:t>*</w:t>
      </w:r>
      <w:r w:rsidR="00F014D8">
        <w:t xml:space="preserve"> </w:t>
      </w:r>
      <w:r w:rsidRPr="003C742E">
        <w:t>Follow-up questionnaires</w:t>
      </w:r>
      <w:r w:rsidRPr="003C742E">
        <w:br/>
        <w:t>†</w:t>
      </w:r>
      <w:r w:rsidR="00F014D8">
        <w:t xml:space="preserve"> </w:t>
      </w:r>
      <w:r w:rsidRPr="003C742E">
        <w:t>Clinical studies</w:t>
      </w:r>
      <w:r w:rsidRPr="003C742E">
        <w:br/>
        <w:t>#</w:t>
      </w:r>
      <w:r w:rsidR="00F014D8">
        <w:t xml:space="preserve"> </w:t>
      </w:r>
      <w:r w:rsidRPr="003C742E">
        <w:t>Observational pregnancy outcome study</w:t>
      </w:r>
    </w:p>
    <w:p w14:paraId="0806E8D4" w14:textId="58F59380" w:rsidR="005E435C" w:rsidRPr="003C742E" w:rsidRDefault="005E435C" w:rsidP="005E435C">
      <w:pPr>
        <w:pStyle w:val="ListBullet"/>
      </w:pPr>
      <w:r w:rsidRPr="003C742E">
        <w:t>This summary of safety concerns is the same as the summary that was evaluated and considered acceptable for the previous submissions for Spikevax COVID-19 vaccines. At this stage, this summary of safety concerns continues to be acceptable from an RMP perspective.</w:t>
      </w:r>
    </w:p>
    <w:p w14:paraId="0C1EC9A3" w14:textId="2A909A3B" w:rsidR="005E435C" w:rsidRPr="003C742E" w:rsidRDefault="005E435C" w:rsidP="005E435C">
      <w:pPr>
        <w:pStyle w:val="ListBullet"/>
      </w:pPr>
      <w:r w:rsidRPr="003C742E">
        <w:lastRenderedPageBreak/>
        <w:t xml:space="preserve">The pharmacovigilance plan has been evaluated during previous submissions and found to be acceptable. The pharmacovigilance plan continues to be acceptable from an RMP perspective. The sponsor has provided </w:t>
      </w:r>
      <w:r w:rsidR="00C361C3" w:rsidRPr="003C742E">
        <w:t xml:space="preserve">monthly safety summary report, bimonthly safety summary reports and periodic safety update reports up to now, </w:t>
      </w:r>
      <w:r w:rsidRPr="003C742E">
        <w:t>as required by the TGA.</w:t>
      </w:r>
    </w:p>
    <w:p w14:paraId="142A23AC" w14:textId="16AD1836" w:rsidR="005E435C" w:rsidRPr="003C742E" w:rsidRDefault="005E435C" w:rsidP="005E435C">
      <w:pPr>
        <w:pStyle w:val="ListBullet"/>
      </w:pPr>
      <w:r w:rsidRPr="003C742E">
        <w:t xml:space="preserve">There are risk minimisation measures implemented for COVID-19 vaccines by the Department of Health and Aged Care and State and Territory Governments. The changes proposed in this </w:t>
      </w:r>
      <w:r w:rsidR="001E1DC3" w:rsidRPr="003C742E">
        <w:t>submission</w:t>
      </w:r>
      <w:r w:rsidRPr="003C742E">
        <w:t xml:space="preserve"> do not warrant changes to the currently approved risk minimisation plan as part of the RMP.</w:t>
      </w:r>
    </w:p>
    <w:p w14:paraId="74A4F87F" w14:textId="77777777" w:rsidR="00C22214" w:rsidRPr="003C742E" w:rsidRDefault="00C22214" w:rsidP="00C22214">
      <w:pPr>
        <w:pStyle w:val="Heading3"/>
      </w:pPr>
      <w:bookmarkStart w:id="129" w:name="_Toc103679299"/>
      <w:bookmarkStart w:id="130" w:name="_Toc134622054"/>
      <w:r w:rsidRPr="003C742E">
        <w:t>Risk-benefit analysis</w:t>
      </w:r>
      <w:bookmarkEnd w:id="126"/>
      <w:bookmarkEnd w:id="127"/>
      <w:bookmarkEnd w:id="129"/>
      <w:bookmarkEnd w:id="130"/>
    </w:p>
    <w:p w14:paraId="77DE2655" w14:textId="77777777" w:rsidR="00C22214" w:rsidRPr="003C742E" w:rsidRDefault="00C22214" w:rsidP="00C22214">
      <w:pPr>
        <w:pStyle w:val="Heading4"/>
      </w:pPr>
      <w:bookmarkStart w:id="131" w:name="_Toc98931932"/>
      <w:bookmarkStart w:id="132" w:name="_Toc134622055"/>
      <w:r w:rsidRPr="003C742E">
        <w:t>Delegate’s considerations</w:t>
      </w:r>
      <w:bookmarkEnd w:id="131"/>
      <w:bookmarkEnd w:id="132"/>
    </w:p>
    <w:p w14:paraId="3FFAB350" w14:textId="64C8FC81" w:rsidR="005E435C" w:rsidRPr="003C742E" w:rsidRDefault="005E435C" w:rsidP="005E435C">
      <w:r w:rsidRPr="003C742E">
        <w:t>The guidance</w:t>
      </w:r>
      <w:r w:rsidR="00551F6B">
        <w:t>;</w:t>
      </w:r>
      <w:r w:rsidR="00551F6B">
        <w:rPr>
          <w:rStyle w:val="FootnoteReference"/>
        </w:rPr>
        <w:footnoteReference w:id="31"/>
      </w:r>
      <w:r w:rsidRPr="003C742E">
        <w:t xml:space="preserve"> for Transition to full registration of the provisionally registered prescription medicines should be read in conjunction with the standard </w:t>
      </w:r>
      <w:r w:rsidRPr="00551F6B">
        <w:t>prescription medicines registration process</w:t>
      </w:r>
      <w:r w:rsidR="00551F6B">
        <w:t>;</w:t>
      </w:r>
      <w:r w:rsidR="00551F6B">
        <w:rPr>
          <w:rStyle w:val="FootnoteReference"/>
        </w:rPr>
        <w:footnoteReference w:id="32"/>
      </w:r>
      <w:r w:rsidR="00551F6B">
        <w:t xml:space="preserve"> </w:t>
      </w:r>
      <w:r w:rsidRPr="003C742E">
        <w:t>because the elements for transition to full registration are similar.</w:t>
      </w:r>
    </w:p>
    <w:p w14:paraId="002ACD49" w14:textId="6AB6BC72" w:rsidR="005E435C" w:rsidRPr="003C742E" w:rsidRDefault="005E435C" w:rsidP="005E435C">
      <w:r w:rsidRPr="003C742E">
        <w:t>The collection of confirmatory data on safety and efficacy should lead to submission of a Category 1 Type S application</w:t>
      </w:r>
      <w:r w:rsidR="00551F6B">
        <w:t>;</w:t>
      </w:r>
      <w:r w:rsidR="00551F6B">
        <w:rPr>
          <w:rStyle w:val="FootnoteReference"/>
        </w:rPr>
        <w:footnoteReference w:id="33"/>
      </w:r>
      <w:r w:rsidRPr="003C742E">
        <w:t xml:space="preserve"> for transition to full registration. The benefit-risk profile of the medicine must be positive, and this must be maintained throughout the period of provisional registration to the transition to full registration. Evidence of having met your </w:t>
      </w:r>
      <w:r w:rsidR="00551F6B">
        <w:t>risk management plan (</w:t>
      </w:r>
      <w:r w:rsidRPr="003C742E">
        <w:t>RMP</w:t>
      </w:r>
      <w:r w:rsidR="00551F6B">
        <w:t>)</w:t>
      </w:r>
      <w:r w:rsidRPr="003C742E">
        <w:t xml:space="preserve"> obligations. Including the dates when data were submitted and reasons for delays or failure to meet obligations All final results not previously submitted from confirmatory trials in the dossier should be included as per the current requirements for registering a prescription medicine. Clinical trials data must support the indication in the application for full registration.</w:t>
      </w:r>
    </w:p>
    <w:p w14:paraId="051223BE" w14:textId="745E615D" w:rsidR="005E435C" w:rsidRPr="003C742E" w:rsidRDefault="005E435C" w:rsidP="005E435C">
      <w:r w:rsidRPr="003C742E">
        <w:t>The sponsor has listed (</w:t>
      </w:r>
      <w:r w:rsidR="00551F6B" w:rsidRPr="00551F6B">
        <w:t>Table 4, Table 5, Table 6 and Table 7</w:t>
      </w:r>
      <w:r w:rsidRPr="003C742E">
        <w:t xml:space="preserve"> above) the availability of clinical data to meet the specific conditions (as per the provisional registration) and the current requirements for registering a prescription medicine to support this </w:t>
      </w:r>
      <w:r w:rsidR="001E1DC3" w:rsidRPr="003C742E">
        <w:t>submission</w:t>
      </w:r>
      <w:r w:rsidRPr="003C742E">
        <w:t>.</w:t>
      </w:r>
    </w:p>
    <w:p w14:paraId="1277DCA0" w14:textId="6A1D4E17" w:rsidR="005E435C" w:rsidRPr="00D03EE9" w:rsidRDefault="00216C6D" w:rsidP="00D03EE9">
      <w:pPr>
        <w:pStyle w:val="Heading5"/>
      </w:pPr>
      <w:r>
        <w:t>Use in a</w:t>
      </w:r>
      <w:r w:rsidR="005E435C" w:rsidRPr="00D03EE9">
        <w:t>dult</w:t>
      </w:r>
      <w:r w:rsidR="00D03EE9" w:rsidRPr="00D03EE9">
        <w:t xml:space="preserve"> population</w:t>
      </w:r>
      <w:r>
        <w:t>s</w:t>
      </w:r>
    </w:p>
    <w:p w14:paraId="09D65441" w14:textId="0149AF3C" w:rsidR="005E435C" w:rsidRPr="003C742E" w:rsidRDefault="009F6CA8" w:rsidP="005E435C">
      <w:r>
        <w:t xml:space="preserve">In support of the use of the sponsor’s Spikevax (elasomeran) vaccine in adults (that is, those 18 years of age and older), the following were submitted to the TGA. </w:t>
      </w:r>
      <w:r w:rsidR="005E435C" w:rsidRPr="003C742E">
        <w:t xml:space="preserve">The final clinical study report Phase </w:t>
      </w:r>
      <w:r w:rsidR="001705C1" w:rsidRPr="003C742E">
        <w:t>I</w:t>
      </w:r>
      <w:r w:rsidR="005E435C" w:rsidRPr="003C742E">
        <w:t xml:space="preserve"> </w:t>
      </w:r>
      <w:r w:rsidR="00CF6BBC" w:rsidRPr="003C742E">
        <w:t xml:space="preserve">Study </w:t>
      </w:r>
      <w:r w:rsidR="005E435C" w:rsidRPr="003C742E">
        <w:t>DMID-20-0003 was submitted on 4</w:t>
      </w:r>
      <w:r w:rsidR="007E3135" w:rsidRPr="003C742E">
        <w:t> </w:t>
      </w:r>
      <w:r w:rsidR="005E435C" w:rsidRPr="003C742E">
        <w:t>November</w:t>
      </w:r>
      <w:r w:rsidR="007E3135" w:rsidRPr="003C742E">
        <w:t> </w:t>
      </w:r>
      <w:r w:rsidR="005E435C" w:rsidRPr="003C742E">
        <w:t xml:space="preserve">2022. For </w:t>
      </w:r>
      <w:r w:rsidR="00216C6D">
        <w:t xml:space="preserve">the </w:t>
      </w:r>
      <w:r w:rsidR="005E435C" w:rsidRPr="003C742E">
        <w:t xml:space="preserve">Phase </w:t>
      </w:r>
      <w:r w:rsidR="001705C1" w:rsidRPr="003C742E">
        <w:t>II</w:t>
      </w:r>
      <w:r w:rsidR="005E435C" w:rsidRPr="003C742E">
        <w:t xml:space="preserve"> </w:t>
      </w:r>
      <w:r w:rsidR="0053571E" w:rsidRPr="003C742E">
        <w:t>Study P20</w:t>
      </w:r>
      <w:r w:rsidR="005E435C" w:rsidRPr="003C742E">
        <w:t>1: The following data, including follow up safety data at 6</w:t>
      </w:r>
      <w:r w:rsidR="007E3135" w:rsidRPr="003C742E">
        <w:t> </w:t>
      </w:r>
      <w:r w:rsidR="005E435C" w:rsidRPr="003C742E">
        <w:t xml:space="preserve">months was submitted to TGA on 27 June 2022 Primary analysis clinical study report, Primary analysis clinical study report </w:t>
      </w:r>
      <w:r w:rsidR="007E3135" w:rsidRPr="003C742E">
        <w:t xml:space="preserve">Addendum </w:t>
      </w:r>
      <w:r w:rsidR="005E435C" w:rsidRPr="003C742E">
        <w:t xml:space="preserve">1 and 2. For the </w:t>
      </w:r>
      <w:r w:rsidR="001E2B87" w:rsidRPr="003C742E">
        <w:t>Phase III</w:t>
      </w:r>
      <w:r w:rsidR="005E435C" w:rsidRPr="003C742E">
        <w:t xml:space="preserve"> Study</w:t>
      </w:r>
      <w:r w:rsidR="001E2B87" w:rsidRPr="003C742E">
        <w:t> </w:t>
      </w:r>
      <w:r w:rsidR="005E435C" w:rsidRPr="003C742E">
        <w:t>P301 the clinical study report (Part</w:t>
      </w:r>
      <w:r w:rsidR="00C361C3" w:rsidRPr="003C742E">
        <w:t> </w:t>
      </w:r>
      <w:r w:rsidR="005E435C" w:rsidRPr="003C742E">
        <w:t xml:space="preserve">A) and </w:t>
      </w:r>
      <w:r w:rsidR="007E3135" w:rsidRPr="003C742E">
        <w:t xml:space="preserve">Addendum </w:t>
      </w:r>
      <w:r w:rsidR="005E435C" w:rsidRPr="003C742E">
        <w:t>1 were submitted on 15 September 2021. Long-term follow-up Part</w:t>
      </w:r>
      <w:r w:rsidR="007E3135" w:rsidRPr="003C742E">
        <w:t>s </w:t>
      </w:r>
      <w:r w:rsidR="005E435C" w:rsidRPr="003C742E">
        <w:t xml:space="preserve">B </w:t>
      </w:r>
      <w:r w:rsidR="007E3135" w:rsidRPr="003C742E">
        <w:t>and</w:t>
      </w:r>
      <w:r w:rsidR="005E435C" w:rsidRPr="003C742E">
        <w:t xml:space="preserve"> C interim clinical study report is included in this submission. This includes 6 months follow up on more than 3000 participants and as per the sponsor will be the last piece of primary series data from </w:t>
      </w:r>
      <w:r w:rsidR="001E2B87" w:rsidRPr="003C742E">
        <w:t>Study P301</w:t>
      </w:r>
      <w:r w:rsidR="005E435C" w:rsidRPr="003C742E">
        <w:t>.</w:t>
      </w:r>
    </w:p>
    <w:p w14:paraId="7E6B07EE" w14:textId="02D45356" w:rsidR="005E435C" w:rsidRPr="00D03EE9" w:rsidRDefault="00D03EE9" w:rsidP="00D03EE9">
      <w:pPr>
        <w:pStyle w:val="Heading6"/>
      </w:pPr>
      <w:r>
        <w:lastRenderedPageBreak/>
        <w:t>S</w:t>
      </w:r>
      <w:r w:rsidR="005E435C" w:rsidRPr="00D03EE9">
        <w:t>tudy DMID-20-0003</w:t>
      </w:r>
      <w:r w:rsidR="00216C6D">
        <w:t xml:space="preserve"> (Phase I)</w:t>
      </w:r>
    </w:p>
    <w:p w14:paraId="6B1C3480" w14:textId="0BBA5D41" w:rsidR="005E435C" w:rsidRPr="003C742E" w:rsidRDefault="005E435C" w:rsidP="005E435C">
      <w:r w:rsidRPr="003C742E">
        <w:t xml:space="preserve">As </w:t>
      </w:r>
      <w:r w:rsidR="00216C6D">
        <w:t xml:space="preserve">was </w:t>
      </w:r>
      <w:r w:rsidRPr="003C742E">
        <w:t>required</w:t>
      </w:r>
      <w:r w:rsidR="00216C6D">
        <w:t>,</w:t>
      </w:r>
      <w:r w:rsidRPr="003C742E">
        <w:t xml:space="preserve"> the sponsor submitted the final </w:t>
      </w:r>
      <w:r w:rsidR="007E3135" w:rsidRPr="003C742E">
        <w:t xml:space="preserve">clinical study report </w:t>
      </w:r>
      <w:r w:rsidRPr="003C742E">
        <w:t>(6 months post</w:t>
      </w:r>
      <w:r w:rsidR="001705C1" w:rsidRPr="003C742E">
        <w:t>-</w:t>
      </w:r>
      <w:r w:rsidRPr="003C742E">
        <w:t xml:space="preserve">Dose 2) </w:t>
      </w:r>
      <w:r w:rsidR="00216C6D">
        <w:t xml:space="preserve">for Study DMID-20-0003 </w:t>
      </w:r>
      <w:r w:rsidRPr="003C742E">
        <w:t>on 4</w:t>
      </w:r>
      <w:r w:rsidR="007E3135" w:rsidRPr="003C742E">
        <w:t> </w:t>
      </w:r>
      <w:r w:rsidRPr="003C742E">
        <w:t>November 2022.</w:t>
      </w:r>
      <w:r w:rsidR="00C01B77" w:rsidRPr="00A53503">
        <w:rPr>
          <w:vertAlign w:val="superscript"/>
        </w:rPr>
        <w:fldChar w:fldCharType="begin"/>
      </w:r>
      <w:r w:rsidR="00C01B77" w:rsidRPr="00A53503">
        <w:rPr>
          <w:vertAlign w:val="superscript"/>
        </w:rPr>
        <w:instrText xml:space="preserve"> NOTEREF _Ref134437403 \h </w:instrText>
      </w:r>
      <w:r w:rsidR="00C01B77">
        <w:rPr>
          <w:vertAlign w:val="superscript"/>
        </w:rPr>
        <w:instrText xml:space="preserve"> \* MERGEFORMAT </w:instrText>
      </w:r>
      <w:r w:rsidR="00C01B77" w:rsidRPr="00A53503">
        <w:rPr>
          <w:vertAlign w:val="superscript"/>
        </w:rPr>
      </w:r>
      <w:r w:rsidR="00C01B77" w:rsidRPr="00A53503">
        <w:rPr>
          <w:vertAlign w:val="superscript"/>
        </w:rPr>
        <w:fldChar w:fldCharType="separate"/>
      </w:r>
      <w:r w:rsidR="0005046B">
        <w:rPr>
          <w:vertAlign w:val="superscript"/>
        </w:rPr>
        <w:t>13</w:t>
      </w:r>
      <w:r w:rsidR="00C01B77" w:rsidRPr="00A53503">
        <w:rPr>
          <w:vertAlign w:val="superscript"/>
        </w:rPr>
        <w:fldChar w:fldCharType="end"/>
      </w:r>
      <w:r w:rsidRPr="003C742E">
        <w:t xml:space="preserve"> It had an acceptable safety profile. Based on the results of safety and immunogenicity at data cut-off, the 100 μg dose provided promising immunogenicity results in adults of all ages with an acceptable safety profile and was the dose selected for further evaluation in the </w:t>
      </w:r>
      <w:r w:rsidR="001E2B87" w:rsidRPr="003C742E">
        <w:t>Phase III</w:t>
      </w:r>
      <w:r w:rsidRPr="003C742E">
        <w:t xml:space="preserve"> clinical study.</w:t>
      </w:r>
    </w:p>
    <w:p w14:paraId="3416FE79" w14:textId="268DC91C" w:rsidR="005E435C" w:rsidRPr="003C742E" w:rsidRDefault="0053571E" w:rsidP="00D03EE9">
      <w:pPr>
        <w:pStyle w:val="Heading6"/>
      </w:pPr>
      <w:r w:rsidRPr="003C742E">
        <w:t>Study P20</w:t>
      </w:r>
      <w:r w:rsidR="005E435C" w:rsidRPr="003C742E">
        <w:t>1</w:t>
      </w:r>
      <w:r w:rsidR="00216C6D">
        <w:t xml:space="preserve"> (Phase II)</w:t>
      </w:r>
    </w:p>
    <w:p w14:paraId="712D380D" w14:textId="76976EE9" w:rsidR="005E435C" w:rsidRPr="003C742E" w:rsidRDefault="005E435C" w:rsidP="005E435C">
      <w:r w:rsidRPr="003C742E">
        <w:t xml:space="preserve">As </w:t>
      </w:r>
      <w:r w:rsidR="00216C6D">
        <w:t xml:space="preserve">was </w:t>
      </w:r>
      <w:r w:rsidRPr="003C742E">
        <w:t xml:space="preserve">required, the sponsor has submitted final </w:t>
      </w:r>
      <w:r w:rsidR="007E3135" w:rsidRPr="003C742E">
        <w:t>clinical study report</w:t>
      </w:r>
      <w:r w:rsidRPr="003C742E">
        <w:t xml:space="preserve">s for Parts A, B and C </w:t>
      </w:r>
      <w:r w:rsidR="00216C6D">
        <w:t>of Study mRN</w:t>
      </w:r>
      <w:r w:rsidR="00C01B77">
        <w:t>A-1273-P201 (Study P201);</w:t>
      </w:r>
      <w:r w:rsidR="00C01B77" w:rsidRPr="00A53503">
        <w:rPr>
          <w:vertAlign w:val="superscript"/>
        </w:rPr>
        <w:fldChar w:fldCharType="begin"/>
      </w:r>
      <w:r w:rsidR="00C01B77" w:rsidRPr="00A53503">
        <w:rPr>
          <w:vertAlign w:val="superscript"/>
        </w:rPr>
        <w:instrText xml:space="preserve"> NOTEREF _Ref134437367 \h </w:instrText>
      </w:r>
      <w:r w:rsidR="00C01B77">
        <w:rPr>
          <w:vertAlign w:val="superscript"/>
        </w:rPr>
        <w:instrText xml:space="preserve"> \* MERGEFORMAT </w:instrText>
      </w:r>
      <w:r w:rsidR="00C01B77" w:rsidRPr="00A53503">
        <w:rPr>
          <w:vertAlign w:val="superscript"/>
        </w:rPr>
      </w:r>
      <w:r w:rsidR="00C01B77" w:rsidRPr="00A53503">
        <w:rPr>
          <w:vertAlign w:val="superscript"/>
        </w:rPr>
        <w:fldChar w:fldCharType="separate"/>
      </w:r>
      <w:r w:rsidR="0005046B">
        <w:rPr>
          <w:vertAlign w:val="superscript"/>
        </w:rPr>
        <w:t>15</w:t>
      </w:r>
      <w:r w:rsidR="00C01B77" w:rsidRPr="00A53503">
        <w:rPr>
          <w:vertAlign w:val="superscript"/>
        </w:rPr>
        <w:fldChar w:fldCharType="end"/>
      </w:r>
      <w:r w:rsidR="00216C6D">
        <w:t xml:space="preserve"> </w:t>
      </w:r>
      <w:r w:rsidRPr="003C742E">
        <w:t>including the safety data at 6 months.</w:t>
      </w:r>
    </w:p>
    <w:p w14:paraId="462305DC" w14:textId="6C4553BF" w:rsidR="003C742E" w:rsidRPr="00D03EE9" w:rsidRDefault="00D03EE9">
      <w:pPr>
        <w:pStyle w:val="Heading7"/>
      </w:pPr>
      <w:r w:rsidRPr="00D03EE9">
        <w:t xml:space="preserve">Study P201 </w:t>
      </w:r>
      <w:r w:rsidR="005E435C" w:rsidRPr="00D03EE9">
        <w:t>Part A</w:t>
      </w:r>
    </w:p>
    <w:p w14:paraId="6ECC5197" w14:textId="1E3B5B9B" w:rsidR="005E435C" w:rsidRPr="003C742E" w:rsidRDefault="003C742E" w:rsidP="005E435C">
      <w:r w:rsidRPr="003C742E">
        <w:t>Part A of t</w:t>
      </w:r>
      <w:r w:rsidR="005E435C" w:rsidRPr="003C742E">
        <w:t xml:space="preserve">his study was designed to evaluate the safety, reactogenicity, and immunogenicity of mRNA-1273 vaccine, administered in 2 doses (50 μg or 100 μg) </w:t>
      </w:r>
      <w:r w:rsidR="00216C6D">
        <w:t xml:space="preserve">given </w:t>
      </w:r>
      <w:r w:rsidR="005E435C" w:rsidRPr="003C742E">
        <w:t>28 days apart</w:t>
      </w:r>
      <w:r w:rsidR="00216C6D">
        <w:t>.</w:t>
      </w:r>
    </w:p>
    <w:p w14:paraId="54674337" w14:textId="77777777" w:rsidR="00D03EE9" w:rsidRDefault="005E435C" w:rsidP="00D03EE9">
      <w:pPr>
        <w:pStyle w:val="Heading8"/>
      </w:pPr>
      <w:r w:rsidRPr="003C742E">
        <w:t>Safety</w:t>
      </w:r>
    </w:p>
    <w:p w14:paraId="2F630C43" w14:textId="2869055C" w:rsidR="005E435C" w:rsidRPr="003C742E" w:rsidRDefault="005E435C" w:rsidP="005E435C">
      <w:r w:rsidRPr="003C742E">
        <w:t>In this ‘</w:t>
      </w:r>
      <w:r w:rsidR="00CF6BBC" w:rsidRPr="003C742E">
        <w:t xml:space="preserve">end of </w:t>
      </w:r>
      <w:r w:rsidRPr="003C742E">
        <w:t>Part A’ analysis, the mRNA-1273 vaccine, administered as 2 doses (50</w:t>
      </w:r>
      <w:r w:rsidR="00CF6BBC" w:rsidRPr="003C742E">
        <w:t> </w:t>
      </w:r>
      <w:r w:rsidRPr="003C742E">
        <w:t>μg or 100</w:t>
      </w:r>
      <w:r w:rsidR="00216C6D">
        <w:t> </w:t>
      </w:r>
      <w:r w:rsidRPr="003C742E">
        <w:t xml:space="preserve">μg) </w:t>
      </w:r>
      <w:r w:rsidR="00216C6D">
        <w:t xml:space="preserve">given </w:t>
      </w:r>
      <w:r w:rsidRPr="003C742E">
        <w:t xml:space="preserve">28 days apart, demonstrated an acceptable safety profile in the participant population enrolled in this study in both age cohorts: Cohort 1 (18 to </w:t>
      </w:r>
      <w:r w:rsidR="00860D51" w:rsidRPr="003C742E">
        <w:t>less than</w:t>
      </w:r>
      <w:r w:rsidRPr="003C742E">
        <w:t xml:space="preserve"> 55 years old) and Cohort 2 (55 years</w:t>
      </w:r>
      <w:r w:rsidR="00860D51" w:rsidRPr="003C742E">
        <w:t xml:space="preserve"> and older</w:t>
      </w:r>
      <w:r w:rsidRPr="003C742E">
        <w:t xml:space="preserve">). No new safety findings since the primary analysis (Day 57) </w:t>
      </w:r>
      <w:r w:rsidR="001372E8" w:rsidRPr="003C742E">
        <w:t>clinical study report</w:t>
      </w:r>
      <w:r w:rsidRPr="003C742E">
        <w:t xml:space="preserve"> were identified in this </w:t>
      </w:r>
      <w:r w:rsidR="00CF6BBC" w:rsidRPr="003C742E">
        <w:t xml:space="preserve">end of </w:t>
      </w:r>
      <w:r w:rsidRPr="003C742E">
        <w:t>Part A analysis.</w:t>
      </w:r>
    </w:p>
    <w:p w14:paraId="7CB18AE7" w14:textId="6BC87344" w:rsidR="00D03EE9" w:rsidRDefault="00182802" w:rsidP="00D03EE9">
      <w:pPr>
        <w:pStyle w:val="Heading8"/>
      </w:pPr>
      <w:r w:rsidRPr="00182802">
        <w:t>Immunogenicity</w:t>
      </w:r>
    </w:p>
    <w:p w14:paraId="05DA2A4E" w14:textId="0A669163" w:rsidR="005E435C" w:rsidRPr="003C742E" w:rsidRDefault="005E435C" w:rsidP="005E435C">
      <w:r w:rsidRPr="003C742E">
        <w:t xml:space="preserve">Overall, the magnitude and kinetics of immune response for both </w:t>
      </w:r>
      <w:r w:rsidR="007E3135" w:rsidRPr="003C742E">
        <w:t>binding antibody</w:t>
      </w:r>
      <w:r w:rsidRPr="003C742E">
        <w:t xml:space="preserve"> and </w:t>
      </w:r>
      <w:r w:rsidR="007E3135" w:rsidRPr="003C742E">
        <w:t>neutralising antibody</w:t>
      </w:r>
      <w:r w:rsidRPr="003C742E">
        <w:t xml:space="preserve"> was consistent across dose groups and age cohorts. </w:t>
      </w:r>
      <w:r w:rsidR="0053571E" w:rsidRPr="003C742E">
        <w:t>Study</w:t>
      </w:r>
      <w:r w:rsidR="00CF6BBC" w:rsidRPr="003C742E">
        <w:t> </w:t>
      </w:r>
      <w:r w:rsidR="0053571E" w:rsidRPr="003C742E">
        <w:t>P20</w:t>
      </w:r>
      <w:r w:rsidRPr="003C742E">
        <w:t>1 provided evidence of persistence of immune response through Day 209 (6 months after the second injection of mRNA-1273</w:t>
      </w:r>
      <w:r w:rsidR="00216C6D">
        <w:t xml:space="preserve"> vaccine</w:t>
      </w:r>
      <w:r w:rsidRPr="003C742E">
        <w:t>), which was lower than the peak observed at Day 43 but was higher than that at Day 29 (before the second injection).</w:t>
      </w:r>
    </w:p>
    <w:p w14:paraId="761392B9" w14:textId="43D98259" w:rsidR="003C742E" w:rsidRPr="00D03EE9" w:rsidRDefault="00D03EE9">
      <w:pPr>
        <w:pStyle w:val="Heading7"/>
      </w:pPr>
      <w:r w:rsidRPr="00D03EE9">
        <w:t xml:space="preserve">Study P201 </w:t>
      </w:r>
      <w:r w:rsidR="005E435C" w:rsidRPr="00D03EE9">
        <w:t>Part B</w:t>
      </w:r>
    </w:p>
    <w:p w14:paraId="1D959C26" w14:textId="246CE839" w:rsidR="005E435C" w:rsidRPr="003C742E" w:rsidRDefault="005E435C" w:rsidP="005E435C">
      <w:r w:rsidRPr="003C742E">
        <w:t xml:space="preserve">Part B participants received a 50 μg mRNA-1273 </w:t>
      </w:r>
      <w:r w:rsidR="00216C6D">
        <w:t xml:space="preserve">vaccine </w:t>
      </w:r>
      <w:r w:rsidRPr="003C742E">
        <w:t>booster dose after receiving a 50 μg or 100</w:t>
      </w:r>
      <w:r w:rsidR="00CF6BBC" w:rsidRPr="003C742E">
        <w:t> </w:t>
      </w:r>
      <w:r w:rsidRPr="003C742E">
        <w:t>μg primary vaccination series in Part A (Part B</w:t>
      </w:r>
      <w:r w:rsidR="00CF6BBC" w:rsidRPr="003C742E">
        <w:t xml:space="preserve"> b</w:t>
      </w:r>
      <w:r w:rsidRPr="003C742E">
        <w:t>o</w:t>
      </w:r>
      <w:r w:rsidR="00216C6D">
        <w:t>o</w:t>
      </w:r>
      <w:r w:rsidRPr="003C742E">
        <w:t>ster) and participants who received a 2</w:t>
      </w:r>
      <w:r w:rsidR="00CF6BBC" w:rsidRPr="003C742E">
        <w:noBreakHyphen/>
      </w:r>
      <w:r w:rsidRPr="003C742E">
        <w:t xml:space="preserve">dose series of 100 μg mRNA-1273 </w:t>
      </w:r>
      <w:r w:rsidR="00216C6D">
        <w:t xml:space="preserve">vaccine </w:t>
      </w:r>
      <w:r w:rsidRPr="003C742E">
        <w:t>in Part B after receiving placebo in Part A (Part B</w:t>
      </w:r>
      <w:r w:rsidR="00CF6BBC" w:rsidRPr="003C742E">
        <w:t xml:space="preserve"> c</w:t>
      </w:r>
      <w:r w:rsidRPr="003C742E">
        <w:t>rossover).</w:t>
      </w:r>
    </w:p>
    <w:p w14:paraId="402A5A79" w14:textId="33DDBC2F" w:rsidR="00D03EE9" w:rsidRDefault="005E435C" w:rsidP="00D03EE9">
      <w:pPr>
        <w:pStyle w:val="Heading8"/>
      </w:pPr>
      <w:r w:rsidRPr="003C742E">
        <w:t>Safety</w:t>
      </w:r>
    </w:p>
    <w:p w14:paraId="0F941EEC" w14:textId="771164C1" w:rsidR="005E435C" w:rsidRPr="003C742E" w:rsidRDefault="005E435C" w:rsidP="005E435C">
      <w:r w:rsidRPr="003C742E">
        <w:t xml:space="preserve">The 50 μg mRNA-1273 booster vaccination </w:t>
      </w:r>
      <w:r w:rsidR="00216C6D">
        <w:t xml:space="preserve">dose </w:t>
      </w:r>
      <w:r w:rsidRPr="003C742E">
        <w:t>demonstrated no unexpected reactogenicity or safety results. Findings for Part B</w:t>
      </w:r>
      <w:r w:rsidR="00CF6BBC" w:rsidRPr="003C742E">
        <w:t xml:space="preserve"> b</w:t>
      </w:r>
      <w:r w:rsidRPr="003C742E">
        <w:t>ooster participants and Part B</w:t>
      </w:r>
      <w:r w:rsidR="00CF6BBC" w:rsidRPr="003C742E">
        <w:t xml:space="preserve"> c</w:t>
      </w:r>
      <w:r w:rsidRPr="003C742E">
        <w:t xml:space="preserve">rossover participants were consistent with those of the previously reported mRNA-1273 </w:t>
      </w:r>
      <w:r w:rsidR="00216C6D">
        <w:t xml:space="preserve">vaccine </w:t>
      </w:r>
      <w:r w:rsidRPr="003C742E">
        <w:t>Part A primary series, further supporting the acceptable benefit-risk profile of the vaccination regimen.</w:t>
      </w:r>
    </w:p>
    <w:p w14:paraId="615DCD17" w14:textId="71C8F17B" w:rsidR="00D03EE9" w:rsidRDefault="00182802" w:rsidP="00D03EE9">
      <w:pPr>
        <w:pStyle w:val="Heading8"/>
      </w:pPr>
      <w:r w:rsidRPr="00182802">
        <w:t>Immunogenicity</w:t>
      </w:r>
    </w:p>
    <w:p w14:paraId="4072F14B" w14:textId="6F9ADAD4" w:rsidR="005E435C" w:rsidRPr="003C742E" w:rsidRDefault="005E435C" w:rsidP="005E435C">
      <w:r w:rsidRPr="003C742E">
        <w:t>Repeat analysis of the Part A samples using the validated PsVNA confirmed a higher immunogenic primary-dose response with 100 μg compared with 50 μg</w:t>
      </w:r>
      <w:r w:rsidR="00216C6D">
        <w:t xml:space="preserve"> of vaccine</w:t>
      </w:r>
      <w:r w:rsidRPr="003C742E">
        <w:t xml:space="preserve">. The booster injection elicited a robust immune response to SARS-CoV-2 based on </w:t>
      </w:r>
      <w:r w:rsidR="007E3135" w:rsidRPr="003C742E">
        <w:t>neutralising antibody</w:t>
      </w:r>
      <w:r w:rsidRPr="003C742E">
        <w:t xml:space="preserve"> and </w:t>
      </w:r>
      <w:r w:rsidR="007E3135" w:rsidRPr="003C742E">
        <w:t>binding antibody</w:t>
      </w:r>
      <w:r w:rsidRPr="003C742E">
        <w:t xml:space="preserve"> responses.</w:t>
      </w:r>
    </w:p>
    <w:p w14:paraId="0F97F7B9" w14:textId="7EA2CC5B" w:rsidR="003C742E" w:rsidRPr="003C742E" w:rsidRDefault="00D03EE9">
      <w:pPr>
        <w:pStyle w:val="Heading7"/>
      </w:pPr>
      <w:r w:rsidRPr="00D03EE9">
        <w:t xml:space="preserve">Study P201 </w:t>
      </w:r>
      <w:r w:rsidR="005E435C" w:rsidRPr="003C742E">
        <w:t>Part C</w:t>
      </w:r>
    </w:p>
    <w:p w14:paraId="149F8E82" w14:textId="0FE1C68A" w:rsidR="005E435C" w:rsidRPr="003C742E" w:rsidRDefault="003C742E" w:rsidP="005E435C">
      <w:r w:rsidRPr="003C742E">
        <w:t xml:space="preserve">Part C </w:t>
      </w:r>
      <w:r w:rsidR="005E435C" w:rsidRPr="003C742E">
        <w:t xml:space="preserve">was a proof-of-concept rollover study of approximately 60 participants who were enrolled in the Phase </w:t>
      </w:r>
      <w:r w:rsidR="001E2B87" w:rsidRPr="003C742E">
        <w:t>III</w:t>
      </w:r>
      <w:r w:rsidR="005E435C" w:rsidRPr="003C742E">
        <w:t xml:space="preserve"> </w:t>
      </w:r>
      <w:r w:rsidR="00F27F2E" w:rsidRPr="003C742E">
        <w:t xml:space="preserve">Study </w:t>
      </w:r>
      <w:r w:rsidR="005E435C" w:rsidRPr="003C742E">
        <w:t>P301, had already been unblinded, and had previously received 2</w:t>
      </w:r>
      <w:r w:rsidR="00C361C3" w:rsidRPr="003C742E">
        <w:t> </w:t>
      </w:r>
      <w:r w:rsidR="005E435C" w:rsidRPr="003C742E">
        <w:t xml:space="preserve">doses of mRNA-1273 </w:t>
      </w:r>
      <w:r w:rsidR="00C01B77">
        <w:t xml:space="preserve">vaccine </w:t>
      </w:r>
      <w:r w:rsidR="005E435C" w:rsidRPr="003C742E">
        <w:t>at least 6 months earlier.</w:t>
      </w:r>
    </w:p>
    <w:p w14:paraId="29FFA618" w14:textId="77777777" w:rsidR="009F6CA8" w:rsidRDefault="003C742E" w:rsidP="00A53503">
      <w:pPr>
        <w:pStyle w:val="Heading8"/>
      </w:pPr>
      <w:r w:rsidRPr="003C742E">
        <w:t>Safety</w:t>
      </w:r>
    </w:p>
    <w:p w14:paraId="482AD6E9" w14:textId="5FFF5EDE" w:rsidR="005E435C" w:rsidRPr="003C742E" w:rsidRDefault="005E435C" w:rsidP="005E435C">
      <w:r w:rsidRPr="003C742E">
        <w:t xml:space="preserve">Safety analyses, including reactogenicity for up to 7 days post-booster, unsolicited </w:t>
      </w:r>
      <w:r w:rsidR="00BC2AF2" w:rsidRPr="003C742E">
        <w:t>treatment emergent adverse events (TEAEs),</w:t>
      </w:r>
      <w:r w:rsidRPr="003C742E">
        <w:t xml:space="preserve"> </w:t>
      </w:r>
      <w:r w:rsidR="00BC2AF2" w:rsidRPr="003C742E">
        <w:t>medically attended adverse events (</w:t>
      </w:r>
      <w:r w:rsidRPr="003C742E">
        <w:t>MAAEs</w:t>
      </w:r>
      <w:r w:rsidR="00BC2AF2" w:rsidRPr="003C742E">
        <w:t>)</w:t>
      </w:r>
      <w:r w:rsidRPr="003C742E">
        <w:t xml:space="preserve">, and </w:t>
      </w:r>
      <w:r w:rsidR="00BC2AF2" w:rsidRPr="003C742E">
        <w:t xml:space="preserve">serious </w:t>
      </w:r>
      <w:r w:rsidR="00BC2AF2" w:rsidRPr="003C742E">
        <w:lastRenderedPageBreak/>
        <w:t>adverse events (</w:t>
      </w:r>
      <w:r w:rsidRPr="003C742E">
        <w:t>SAEs</w:t>
      </w:r>
      <w:r w:rsidR="00BC2AF2" w:rsidRPr="003C742E">
        <w:t>)</w:t>
      </w:r>
      <w:r w:rsidRPr="003C742E">
        <w:t xml:space="preserve"> were based on data collected from </w:t>
      </w:r>
      <w:r w:rsidR="009B79E9" w:rsidRPr="003C742E">
        <w:t>open label</w:t>
      </w:r>
      <w:r w:rsidR="00B941A1" w:rsidRPr="003C742E">
        <w:t xml:space="preserve"> Day</w:t>
      </w:r>
      <w:r w:rsidRPr="003C742E">
        <w:t xml:space="preserve"> 1 to </w:t>
      </w:r>
      <w:r w:rsidR="009B79E9" w:rsidRPr="003C742E">
        <w:t>open label</w:t>
      </w:r>
      <w:r w:rsidR="00B941A1" w:rsidRPr="003C742E">
        <w:t xml:space="preserve"> Day</w:t>
      </w:r>
      <w:r w:rsidRPr="003C742E">
        <w:t xml:space="preserve"> 181. All booster vaccines demonstrated no unexpected reactogenicity or safety results. Findings were similar to those of Part A and Part B, as previously reported, thereby further supporting the acceptable benefit-risk profile of the booster vaccination with monovalent and bivalent variant vaccines.</w:t>
      </w:r>
    </w:p>
    <w:p w14:paraId="7C7B9DB2" w14:textId="64546CDC" w:rsidR="009F6CA8" w:rsidRDefault="00182802" w:rsidP="00A53503">
      <w:pPr>
        <w:pStyle w:val="Heading8"/>
      </w:pPr>
      <w:r w:rsidRPr="00182802">
        <w:t>Immunogenicity</w:t>
      </w:r>
    </w:p>
    <w:p w14:paraId="2E837FA3" w14:textId="62E754EF" w:rsidR="005E435C" w:rsidRPr="003C742E" w:rsidRDefault="005E435C" w:rsidP="005E435C">
      <w:r w:rsidRPr="003C742E">
        <w:t xml:space="preserve">Immunogenicity analyses, including </w:t>
      </w:r>
      <w:r w:rsidR="007E3135" w:rsidRPr="003C742E">
        <w:t>neutralising antibody</w:t>
      </w:r>
      <w:r w:rsidRPr="003C742E">
        <w:t xml:space="preserve"> and </w:t>
      </w:r>
      <w:r w:rsidR="007E3135" w:rsidRPr="003C742E">
        <w:t>binding antibody</w:t>
      </w:r>
      <w:r w:rsidRPr="003C742E">
        <w:t xml:space="preserve">, were based on data collected from </w:t>
      </w:r>
      <w:r w:rsidR="009B79E9" w:rsidRPr="003C742E">
        <w:t>open label</w:t>
      </w:r>
      <w:r w:rsidR="00B941A1" w:rsidRPr="003C742E">
        <w:t xml:space="preserve"> Day</w:t>
      </w:r>
      <w:r w:rsidRPr="003C742E">
        <w:t xml:space="preserve"> 1 through </w:t>
      </w:r>
      <w:r w:rsidR="009B79E9" w:rsidRPr="003C742E">
        <w:t>open label</w:t>
      </w:r>
      <w:r w:rsidR="00B941A1" w:rsidRPr="003C742E">
        <w:t xml:space="preserve"> Day</w:t>
      </w:r>
      <w:r w:rsidRPr="003C742E">
        <w:t xml:space="preserve"> 29 for Cohorts 2 and 3, and </w:t>
      </w:r>
      <w:r w:rsidR="009B79E9" w:rsidRPr="003C742E">
        <w:t>open label</w:t>
      </w:r>
      <w:r w:rsidR="00B941A1" w:rsidRPr="003C742E">
        <w:t xml:space="preserve"> Day</w:t>
      </w:r>
      <w:r w:rsidRPr="003C742E">
        <w:t xml:space="preserve"> 1 to </w:t>
      </w:r>
      <w:r w:rsidR="009B79E9" w:rsidRPr="003C742E">
        <w:t>open label</w:t>
      </w:r>
      <w:r w:rsidR="00B941A1" w:rsidRPr="003C742E">
        <w:t xml:space="preserve"> Day</w:t>
      </w:r>
      <w:r w:rsidRPr="003C742E">
        <w:t xml:space="preserve"> 181 for Cohort 1. All booster vaccines elicited robust immune responses to SARS-CoV-2 based on </w:t>
      </w:r>
      <w:r w:rsidR="007E3135" w:rsidRPr="003C742E">
        <w:t>neutralising antibody</w:t>
      </w:r>
      <w:r w:rsidRPr="003C742E">
        <w:t xml:space="preserve"> and </w:t>
      </w:r>
      <w:r w:rsidR="007E3135" w:rsidRPr="003C742E">
        <w:t>binding antibody</w:t>
      </w:r>
      <w:r w:rsidRPr="003C742E">
        <w:t xml:space="preserve"> responses that showed increased </w:t>
      </w:r>
      <w:r w:rsidR="00BC2AF2" w:rsidRPr="003C742E">
        <w:t>geometric mean</w:t>
      </w:r>
      <w:r w:rsidR="00A64A37" w:rsidRPr="003C742E">
        <w:t xml:space="preserve"> (GM)</w:t>
      </w:r>
      <w:r w:rsidR="00BC2AF2" w:rsidRPr="003C742E">
        <w:t xml:space="preserve"> </w:t>
      </w:r>
      <w:r w:rsidRPr="003C742E">
        <w:t>levels.</w:t>
      </w:r>
    </w:p>
    <w:p w14:paraId="05C465A3" w14:textId="5FB234BB" w:rsidR="005E435C" w:rsidRPr="00D03EE9" w:rsidRDefault="005E435C" w:rsidP="00D03EE9">
      <w:pPr>
        <w:pStyle w:val="Heading6"/>
      </w:pPr>
      <w:r w:rsidRPr="00D03EE9">
        <w:t>Study P301</w:t>
      </w:r>
      <w:r w:rsidR="009F6CA8">
        <w:t xml:space="preserve"> (Phase III)</w:t>
      </w:r>
    </w:p>
    <w:p w14:paraId="5A7BD463" w14:textId="13E29134" w:rsidR="005E435C" w:rsidRPr="003C742E" w:rsidRDefault="009F6CA8" w:rsidP="005E435C">
      <w:r>
        <w:t xml:space="preserve">Study mRNA-1273-P301 (Study P301) was comprised of 3 parts: </w:t>
      </w:r>
      <w:r w:rsidR="005E435C" w:rsidRPr="003C742E">
        <w:t>Part A</w:t>
      </w:r>
      <w:r>
        <w:t>,</w:t>
      </w:r>
      <w:r w:rsidR="005E435C" w:rsidRPr="003C742E">
        <w:t xml:space="preserve"> the </w:t>
      </w:r>
      <w:r w:rsidR="001E2B87" w:rsidRPr="003C742E">
        <w:t>blinded phase</w:t>
      </w:r>
      <w:r>
        <w:t>;</w:t>
      </w:r>
      <w:r w:rsidR="005E435C" w:rsidRPr="003C742E">
        <w:t xml:space="preserve"> Part</w:t>
      </w:r>
      <w:r>
        <w:t> </w:t>
      </w:r>
      <w:r w:rsidR="005E435C" w:rsidRPr="003C742E">
        <w:t>B</w:t>
      </w:r>
      <w:r>
        <w:t>,</w:t>
      </w:r>
      <w:r w:rsidR="005E435C" w:rsidRPr="003C742E">
        <w:t xml:space="preserve"> the </w:t>
      </w:r>
      <w:r w:rsidR="001E2B87" w:rsidRPr="003C742E">
        <w:t>open label observational phase</w:t>
      </w:r>
      <w:r>
        <w:t>;</w:t>
      </w:r>
      <w:r w:rsidR="001E2B87" w:rsidRPr="003C742E">
        <w:t xml:space="preserve"> </w:t>
      </w:r>
      <w:r w:rsidR="005E435C" w:rsidRPr="003C742E">
        <w:t>and Part C</w:t>
      </w:r>
      <w:r>
        <w:t>,</w:t>
      </w:r>
      <w:r w:rsidR="005E435C" w:rsidRPr="003C742E">
        <w:t xml:space="preserve"> the </w:t>
      </w:r>
      <w:r w:rsidR="001E2B87" w:rsidRPr="003C742E">
        <w:t>booster dose phase</w:t>
      </w:r>
      <w:r w:rsidR="005E435C" w:rsidRPr="003C742E">
        <w:t>.</w:t>
      </w:r>
      <w:r w:rsidR="00C01B77" w:rsidRPr="001E1224">
        <w:rPr>
          <w:vertAlign w:val="superscript"/>
        </w:rPr>
        <w:fldChar w:fldCharType="begin"/>
      </w:r>
      <w:r w:rsidR="00C01B77" w:rsidRPr="001E1224">
        <w:rPr>
          <w:vertAlign w:val="superscript"/>
        </w:rPr>
        <w:instrText xml:space="preserve"> NOTEREF _Ref134437316 \h </w:instrText>
      </w:r>
      <w:r w:rsidR="00C01B77">
        <w:rPr>
          <w:vertAlign w:val="superscript"/>
        </w:rPr>
        <w:instrText xml:space="preserve"> \* MERGEFORMAT </w:instrText>
      </w:r>
      <w:r w:rsidR="00C01B77" w:rsidRPr="001E1224">
        <w:rPr>
          <w:vertAlign w:val="superscript"/>
        </w:rPr>
      </w:r>
      <w:r w:rsidR="00C01B77" w:rsidRPr="001E1224">
        <w:rPr>
          <w:vertAlign w:val="superscript"/>
        </w:rPr>
        <w:fldChar w:fldCharType="separate"/>
      </w:r>
      <w:r w:rsidR="0005046B">
        <w:rPr>
          <w:vertAlign w:val="superscript"/>
        </w:rPr>
        <w:t>17</w:t>
      </w:r>
      <w:r w:rsidR="00C01B77" w:rsidRPr="001E1224">
        <w:rPr>
          <w:vertAlign w:val="superscript"/>
        </w:rPr>
        <w:fldChar w:fldCharType="end"/>
      </w:r>
    </w:p>
    <w:p w14:paraId="2DCDA3DC" w14:textId="71ABCAA5" w:rsidR="003C742E" w:rsidRPr="00D03EE9" w:rsidRDefault="00D03EE9">
      <w:pPr>
        <w:pStyle w:val="Heading7"/>
      </w:pPr>
      <w:r w:rsidRPr="00D03EE9">
        <w:t xml:space="preserve">Study P301 </w:t>
      </w:r>
      <w:r w:rsidR="003C742E" w:rsidRPr="00D03EE9">
        <w:t>Part A</w:t>
      </w:r>
    </w:p>
    <w:p w14:paraId="5B8FC051" w14:textId="5E87E05D" w:rsidR="005E435C" w:rsidRPr="003C742E" w:rsidRDefault="005E435C" w:rsidP="005E435C">
      <w:r w:rsidRPr="003C742E">
        <w:t xml:space="preserve">Data from Part A (database lock on 4 May 2021) supported the Provisional registration of Spikevax for use in adults 18 </w:t>
      </w:r>
      <w:r w:rsidR="00860D51" w:rsidRPr="003C742E">
        <w:t>years of age and older</w:t>
      </w:r>
      <w:r w:rsidRPr="003C742E">
        <w:t xml:space="preserve"> by the TGA on 9</w:t>
      </w:r>
      <w:r w:rsidR="00CF6BBC" w:rsidRPr="003C742E">
        <w:t xml:space="preserve"> August </w:t>
      </w:r>
      <w:r w:rsidRPr="003C742E">
        <w:t>2021.</w:t>
      </w:r>
    </w:p>
    <w:p w14:paraId="00B77E00" w14:textId="136C44A4" w:rsidR="003C742E" w:rsidRPr="00D03EE9" w:rsidRDefault="00D03EE9">
      <w:pPr>
        <w:pStyle w:val="Heading7"/>
      </w:pPr>
      <w:r w:rsidRPr="00D03EE9">
        <w:t xml:space="preserve">Study P301 </w:t>
      </w:r>
      <w:r w:rsidR="005E435C" w:rsidRPr="00D03EE9">
        <w:t>Part B</w:t>
      </w:r>
    </w:p>
    <w:p w14:paraId="34D1C1E9" w14:textId="5F3EA11B" w:rsidR="005E435C" w:rsidRPr="003C742E" w:rsidRDefault="005E435C" w:rsidP="005E435C">
      <w:r w:rsidRPr="003C742E">
        <w:t>In conclusion, efficacy of mRNA-1273 to prevent COVID-19 persisted in Part B. The safety profile of mRNA-1273 remained acceptable, similar to that observed in Part A, and no new safety concerns were noted. The benefit</w:t>
      </w:r>
      <w:r w:rsidR="00CF6BBC" w:rsidRPr="003C742E">
        <w:t>-</w:t>
      </w:r>
      <w:r w:rsidRPr="003C742E">
        <w:t>risk profile of mRNA-1273 remains favourable through 6.5</w:t>
      </w:r>
      <w:r w:rsidR="00CF6BBC" w:rsidRPr="003C742E">
        <w:t> </w:t>
      </w:r>
      <w:r w:rsidRPr="003C742E">
        <w:t>months median follow-up after Dose 2.</w:t>
      </w:r>
    </w:p>
    <w:p w14:paraId="6E08E35B" w14:textId="2CC9F8C4" w:rsidR="005E435C" w:rsidRPr="003C742E" w:rsidRDefault="005E435C" w:rsidP="005E435C">
      <w:r w:rsidRPr="003C742E">
        <w:t>The long-term follow-up Part B and C interim clinical study reports (</w:t>
      </w:r>
      <w:r w:rsidR="001372E8" w:rsidRPr="003C742E">
        <w:t>clinical study report</w:t>
      </w:r>
      <w:r w:rsidRPr="003C742E">
        <w:t xml:space="preserve"> addendum) are included in this submission. This includes 6 months follow-up on more than 3000</w:t>
      </w:r>
      <w:r w:rsidR="00CF6BBC" w:rsidRPr="003C742E">
        <w:t> </w:t>
      </w:r>
      <w:r w:rsidRPr="003C742E">
        <w:t>participants and according to the sponsor will be the last piece of primary series data from Study</w:t>
      </w:r>
      <w:r w:rsidR="00CF6BBC" w:rsidRPr="003C742E">
        <w:t> </w:t>
      </w:r>
      <w:r w:rsidRPr="003C742E">
        <w:t>P301.</w:t>
      </w:r>
    </w:p>
    <w:p w14:paraId="6607007C" w14:textId="5B594700" w:rsidR="005E435C" w:rsidRPr="003C742E" w:rsidRDefault="005E435C" w:rsidP="005E435C">
      <w:r w:rsidRPr="003C742E">
        <w:t xml:space="preserve">In summary, this </w:t>
      </w:r>
      <w:r w:rsidR="001372E8" w:rsidRPr="003C742E">
        <w:t>clinical study report</w:t>
      </w:r>
      <w:r w:rsidRPr="003C742E">
        <w:t xml:space="preserve"> Addendum 2 provides longer-term safety follow-up and effectiveness (COVID-19 incidence rates) data following the 2-dose primary series (Part A and Part B), with a median follow-up of 353 days following Dose 1 and 324-days following Dose 2 as of the data cut-off of 5 Apr</w:t>
      </w:r>
      <w:r w:rsidR="007E3135" w:rsidRPr="003C742E">
        <w:t>il</w:t>
      </w:r>
      <w:r w:rsidRPr="003C742E">
        <w:t xml:space="preserve"> 2022.</w:t>
      </w:r>
    </w:p>
    <w:p w14:paraId="35AA7A93" w14:textId="61B884EB" w:rsidR="005E435C" w:rsidRPr="003C742E" w:rsidRDefault="005E435C" w:rsidP="005E435C">
      <w:r w:rsidRPr="003C742E">
        <w:t xml:space="preserve">For the Part C </w:t>
      </w:r>
      <w:r w:rsidR="00B941A1" w:rsidRPr="003C742E">
        <w:t>booster dose phase</w:t>
      </w:r>
      <w:r w:rsidRPr="003C742E">
        <w:t>, safety and effectiveness results are based on a median follow</w:t>
      </w:r>
      <w:r w:rsidR="00CF6BBC" w:rsidRPr="003C742E">
        <w:noBreakHyphen/>
      </w:r>
      <w:r w:rsidRPr="003C742E">
        <w:t>up of 161 days following booster dose administration, with at least 6 months of safety follow-up reported for at least 3000 participants.</w:t>
      </w:r>
    </w:p>
    <w:p w14:paraId="682D37F6" w14:textId="7FF6A77C" w:rsidR="005E435C" w:rsidRPr="00D03EE9" w:rsidRDefault="00D03EE9" w:rsidP="00D03EE9">
      <w:pPr>
        <w:pStyle w:val="Heading8"/>
      </w:pPr>
      <w:r w:rsidRPr="00D03EE9">
        <w:t>Efficacy</w:t>
      </w:r>
    </w:p>
    <w:p w14:paraId="29C8BB0D" w14:textId="24B6F261" w:rsidR="005E435C" w:rsidRPr="003C742E" w:rsidRDefault="005E435C" w:rsidP="005E435C">
      <w:r w:rsidRPr="003C742E">
        <w:t xml:space="preserve">Long-term COVID-19 incidence rates for the mRNA-1273 </w:t>
      </w:r>
      <w:r w:rsidR="009F6CA8">
        <w:t xml:space="preserve">vaccinated group; </w:t>
      </w:r>
      <w:r w:rsidRPr="003C742E">
        <w:t xml:space="preserve">and </w:t>
      </w:r>
      <w:r w:rsidR="009F6CA8">
        <w:t xml:space="preserve">the </w:t>
      </w:r>
      <w:r w:rsidR="00B941A1" w:rsidRPr="003C742E">
        <w:t>placebo</w:t>
      </w:r>
      <w:r w:rsidR="009F6CA8">
        <w:t xml:space="preserve"> group (later vaccinated with </w:t>
      </w:r>
      <w:r w:rsidRPr="003C742E">
        <w:t xml:space="preserve">mRNA-1273 </w:t>
      </w:r>
      <w:r w:rsidR="009F6CA8">
        <w:t xml:space="preserve">vaccine), </w:t>
      </w:r>
      <w:r w:rsidRPr="003C742E">
        <w:t xml:space="preserve">in Part A and Part B of the study were highest during the Omicron variant wave (42.439 cases per 1,000 </w:t>
      </w:r>
      <w:r w:rsidR="00B941A1" w:rsidRPr="003C742E">
        <w:t xml:space="preserve">person </w:t>
      </w:r>
      <w:r w:rsidRPr="003C742E">
        <w:t xml:space="preserve">months </w:t>
      </w:r>
      <w:r w:rsidR="00A15C0C" w:rsidRPr="003C742E">
        <w:t>(</w:t>
      </w:r>
      <w:r w:rsidRPr="003C742E">
        <w:t xml:space="preserve">95% </w:t>
      </w:r>
      <w:r w:rsidR="00BC2AF2" w:rsidRPr="003C742E">
        <w:t>confidence interval (</w:t>
      </w:r>
      <w:r w:rsidRPr="003C742E">
        <w:t>CI</w:t>
      </w:r>
      <w:r w:rsidR="00BC2AF2" w:rsidRPr="003C742E">
        <w:t>)</w:t>
      </w:r>
      <w:r w:rsidRPr="003C742E">
        <w:t>: 37.120, 48.306</w:t>
      </w:r>
      <w:r w:rsidR="00A15C0C" w:rsidRPr="003C742E">
        <w:t>)</w:t>
      </w:r>
      <w:r w:rsidRPr="003C742E">
        <w:t xml:space="preserve">). Although direct comparison of incidence rates across the mRNA-1273 and </w:t>
      </w:r>
      <w:r w:rsidR="00B941A1" w:rsidRPr="003C742E">
        <w:t>placebo</w:t>
      </w:r>
      <w:r w:rsidR="0023406D">
        <w:t>/</w:t>
      </w:r>
      <w:r w:rsidRPr="003C742E">
        <w:t>mRNA-1273 groups is confounded, COVID-19 incidence rates during both the Delta and the Omicron variant waves were similar between the mRNA</w:t>
      </w:r>
      <w:r w:rsidR="00CF6BBC" w:rsidRPr="003C742E">
        <w:noBreakHyphen/>
      </w:r>
      <w:r w:rsidRPr="003C742E">
        <w:t xml:space="preserve">1273 (earlier vaccinated) and the </w:t>
      </w:r>
      <w:r w:rsidR="00B941A1" w:rsidRPr="003C742E">
        <w:t>placebo</w:t>
      </w:r>
      <w:r w:rsidR="0023406D">
        <w:t>/</w:t>
      </w:r>
      <w:r w:rsidRPr="003C742E">
        <w:t>mRNA-1273 (later vaccinated) groups, suggesting durability of protection after the primary series in the mRNA-1273 group despite the longer interval. However, the higher incidence in both groups during the Omicron variant wave demonstrates the need to boost immune responses to enhance protection.</w:t>
      </w:r>
    </w:p>
    <w:p w14:paraId="14BC9DAB" w14:textId="77CF0145" w:rsidR="005E435C" w:rsidRPr="003C742E" w:rsidRDefault="005E435C" w:rsidP="005E435C">
      <w:r w:rsidRPr="003C742E">
        <w:t xml:space="preserve">Analysis of incidence rates in Part C booster participants showed the majority of COVID-19 cases were detected during the Omicron variant wave (24.428 cases per 1,000 </w:t>
      </w:r>
      <w:r w:rsidR="00B941A1" w:rsidRPr="003C742E">
        <w:t xml:space="preserve">person </w:t>
      </w:r>
      <w:r w:rsidRPr="003C742E">
        <w:t xml:space="preserve">months </w:t>
      </w:r>
      <w:r w:rsidR="00A15C0C" w:rsidRPr="003C742E">
        <w:lastRenderedPageBreak/>
        <w:t>(</w:t>
      </w:r>
      <w:r w:rsidRPr="003C742E">
        <w:t>95%</w:t>
      </w:r>
      <w:r w:rsidR="00CF6BBC" w:rsidRPr="003C742E">
        <w:t> </w:t>
      </w:r>
      <w:r w:rsidRPr="003C742E">
        <w:t>CI: 23.187, 25.717</w:t>
      </w:r>
      <w:r w:rsidR="00A15C0C" w:rsidRPr="003C742E">
        <w:t>)</w:t>
      </w:r>
      <w:r w:rsidRPr="003C742E">
        <w:t xml:space="preserve">). Additionally, booster participants showed a significantly lower COVID-19 incidence rate when compared to non-booster participants during both the Delta variant wave (reduction in incidence rate booster versus non-booster of 0.773 </w:t>
      </w:r>
      <w:r w:rsidR="00A15C0C" w:rsidRPr="003C742E">
        <w:t>(</w:t>
      </w:r>
      <w:r w:rsidRPr="003C742E">
        <w:t>95% CI: 0.668, 0.850</w:t>
      </w:r>
      <w:r w:rsidR="00A15C0C" w:rsidRPr="003C742E">
        <w:t>)</w:t>
      </w:r>
      <w:r w:rsidRPr="003C742E">
        <w:t xml:space="preserve">) and the Omicron variant wave (0.453 </w:t>
      </w:r>
      <w:r w:rsidR="00A15C0C" w:rsidRPr="003C742E">
        <w:t>(</w:t>
      </w:r>
      <w:r w:rsidRPr="003C742E">
        <w:t>95% CI: 0.369, 0.524</w:t>
      </w:r>
      <w:r w:rsidR="00A15C0C" w:rsidRPr="003C742E">
        <w:t>)</w:t>
      </w:r>
      <w:r w:rsidRPr="003C742E">
        <w:t>), although the analysis was limited given that the booster and non-booster groups were not randomised.</w:t>
      </w:r>
    </w:p>
    <w:p w14:paraId="22F96896" w14:textId="77777777" w:rsidR="005E435C" w:rsidRPr="003C742E" w:rsidRDefault="005E435C" w:rsidP="00D03EE9">
      <w:pPr>
        <w:pStyle w:val="Heading8"/>
      </w:pPr>
      <w:r w:rsidRPr="003C742E">
        <w:t>Safety</w:t>
      </w:r>
    </w:p>
    <w:p w14:paraId="552E1690" w14:textId="22B6D444" w:rsidR="005E435C" w:rsidRPr="003C742E" w:rsidRDefault="005E435C" w:rsidP="005E435C">
      <w:r w:rsidRPr="003C742E">
        <w:t xml:space="preserve">Long-term follow-up data for participants who received the mRNA-1273 primary series vaccination in Part A, representing 16,818.4 </w:t>
      </w:r>
      <w:r w:rsidR="00B941A1" w:rsidRPr="003C742E">
        <w:t xml:space="preserve">person </w:t>
      </w:r>
      <w:r w:rsidRPr="003C742E">
        <w:t xml:space="preserve">years of follow-up, do not suggest any safety concerns based on events occurring beyond 6 months after vaccination. Safety findings for participants who received the primary series during the </w:t>
      </w:r>
      <w:r w:rsidR="001705C1" w:rsidRPr="003C742E">
        <w:t>open label</w:t>
      </w:r>
      <w:r w:rsidRPr="003C742E">
        <w:t xml:space="preserve"> phase of the study were consistent with those for the double-blind period in Part A. Based on post-authori</w:t>
      </w:r>
      <w:r w:rsidR="00A15C0C" w:rsidRPr="003C742E">
        <w:t>s</w:t>
      </w:r>
      <w:r w:rsidRPr="003C742E">
        <w:t>ation data (subsequent to reporting of the double-blind period), myocarditis and pericarditis are included in the CCDS and labels as an important identified risk.</w:t>
      </w:r>
    </w:p>
    <w:p w14:paraId="64246482" w14:textId="48374AF0" w:rsidR="005E435C" w:rsidRPr="003C742E" w:rsidRDefault="005E435C" w:rsidP="005E435C">
      <w:r w:rsidRPr="003C742E">
        <w:t xml:space="preserve">The mRNA-1273 </w:t>
      </w:r>
      <w:r w:rsidR="009F6CA8">
        <w:t xml:space="preserve">vaccine </w:t>
      </w:r>
      <w:r w:rsidRPr="003C742E">
        <w:t xml:space="preserve">50 μg booster dose was well-tolerated and no new safety concerns were identified based on 27,233.7 </w:t>
      </w:r>
      <w:r w:rsidR="00B941A1" w:rsidRPr="003C742E">
        <w:t xml:space="preserve">person </w:t>
      </w:r>
      <w:r w:rsidRPr="003C742E">
        <w:t xml:space="preserve">years of follow-up, including at least 3000 participants with at least 6 months of follow-up after the booster dose. The incidence of all TEAEs, including those considered by the investigator to be related to study vaccine, as well as the types and frequencies of events by </w:t>
      </w:r>
      <w:r w:rsidR="003C742E" w:rsidRPr="003C742E">
        <w:t>System Organ Class</w:t>
      </w:r>
      <w:r w:rsidRPr="003C742E">
        <w:t xml:space="preserve"> and </w:t>
      </w:r>
      <w:r w:rsidR="00A64A37" w:rsidRPr="003C742E">
        <w:t>Preferred Term</w:t>
      </w:r>
      <w:r w:rsidRPr="003C742E">
        <w:t>, were similar among participants with positive SARS</w:t>
      </w:r>
      <w:r w:rsidR="00CF6BBC" w:rsidRPr="003C742E">
        <w:noBreakHyphen/>
      </w:r>
      <w:r w:rsidRPr="003C742E">
        <w:t>CoV</w:t>
      </w:r>
      <w:r w:rsidR="00CF6BBC" w:rsidRPr="003C742E">
        <w:noBreakHyphen/>
      </w:r>
      <w:r w:rsidRPr="003C742E">
        <w:t>2 status at pre-booster baseline compared with participants with negative status. In the overall population of participants who received a booster dose, the types and incidence of reported events were generally consistent with observations for the primary series and with known risks, including very rare events of myocarditis and pericarditis.</w:t>
      </w:r>
    </w:p>
    <w:p w14:paraId="6330B307" w14:textId="77777777" w:rsidR="005E435C" w:rsidRPr="003C742E" w:rsidRDefault="005E435C" w:rsidP="00D03EE9">
      <w:pPr>
        <w:pStyle w:val="Heading8"/>
      </w:pPr>
      <w:r w:rsidRPr="003C742E">
        <w:t>Immunogenicity</w:t>
      </w:r>
    </w:p>
    <w:p w14:paraId="5E5111A5" w14:textId="65C88A23" w:rsidR="005E435C" w:rsidRPr="003C742E" w:rsidRDefault="005E435C" w:rsidP="005E435C">
      <w:r w:rsidRPr="003C742E">
        <w:t xml:space="preserve">Overall, a robust immune response for both </w:t>
      </w:r>
      <w:r w:rsidR="007E3135" w:rsidRPr="003C742E">
        <w:t>neutralising antibody</w:t>
      </w:r>
      <w:r w:rsidRPr="003C742E">
        <w:t xml:space="preserve"> and </w:t>
      </w:r>
      <w:r w:rsidR="007E3135" w:rsidRPr="003C742E">
        <w:t>binding antibody</w:t>
      </w:r>
      <w:r w:rsidRPr="003C742E">
        <w:t xml:space="preserve"> one month following booster dose (</w:t>
      </w:r>
      <w:r w:rsidR="00B941A1" w:rsidRPr="003C742E">
        <w:t>booster dose Day</w:t>
      </w:r>
      <w:r w:rsidRPr="003C742E">
        <w:t xml:space="preserve"> 29) was observed. </w:t>
      </w:r>
      <w:r w:rsidR="007E3135" w:rsidRPr="003C742E">
        <w:t>Neutralising antibody</w:t>
      </w:r>
      <w:r w:rsidRPr="003C742E">
        <w:t xml:space="preserve"> </w:t>
      </w:r>
      <w:r w:rsidR="00A64A37" w:rsidRPr="003C742E">
        <w:t>geometric mean concentrations (GMCs)</w:t>
      </w:r>
      <w:r w:rsidRPr="003C742E">
        <w:t xml:space="preserve"> and </w:t>
      </w:r>
      <w:r w:rsidR="00B2387D" w:rsidRPr="00B2387D">
        <w:t>spike</w:t>
      </w:r>
      <w:r w:rsidR="00B2387D" w:rsidRPr="003C742E">
        <w:t xml:space="preserve"> protein</w:t>
      </w:r>
      <w:r w:rsidRPr="003C742E">
        <w:t xml:space="preserve"> </w:t>
      </w:r>
      <w:r w:rsidR="007E3135" w:rsidRPr="003C742E">
        <w:t>binding antibody</w:t>
      </w:r>
      <w:r w:rsidRPr="003C742E">
        <w:t xml:space="preserve"> </w:t>
      </w:r>
      <w:r w:rsidR="00A64A37" w:rsidRPr="003C742E">
        <w:t>GM</w:t>
      </w:r>
      <w:r w:rsidR="00BC2AF2" w:rsidRPr="003C742E">
        <w:t xml:space="preserve"> </w:t>
      </w:r>
      <w:r w:rsidRPr="003C742E">
        <w:t xml:space="preserve">levels increased by 50.4-fold and 45.7-fold, respectively. Seroresponse (4-fold rise) from pre-booster baseline was achieved by </w:t>
      </w:r>
      <w:r w:rsidR="00C361C3" w:rsidRPr="003C742E">
        <w:t>more than</w:t>
      </w:r>
      <w:r w:rsidRPr="003C742E">
        <w:t xml:space="preserve"> 90% of the participants for both </w:t>
      </w:r>
      <w:r w:rsidR="007E3135" w:rsidRPr="003C742E">
        <w:t>neutralising antibody</w:t>
      </w:r>
      <w:r w:rsidRPr="003C742E">
        <w:t xml:space="preserve"> (94.5%) and </w:t>
      </w:r>
      <w:r w:rsidR="007E3135" w:rsidRPr="003C742E">
        <w:t>binding antibody</w:t>
      </w:r>
      <w:r w:rsidRPr="003C742E">
        <w:t xml:space="preserve"> (93.3%). Furthermore, an increase of 3-fold in both </w:t>
      </w:r>
      <w:r w:rsidR="007E3135" w:rsidRPr="003C742E">
        <w:t>neutralising antibody</w:t>
      </w:r>
      <w:r w:rsidRPr="003C742E">
        <w:t xml:space="preserve"> and </w:t>
      </w:r>
      <w:r w:rsidR="007E3135" w:rsidRPr="003C742E">
        <w:t>binding antibody</w:t>
      </w:r>
      <w:r w:rsidRPr="003C742E">
        <w:t xml:space="preserve"> was observed in SARS-CoV-2 pre</w:t>
      </w:r>
      <w:r w:rsidR="00CF6BBC" w:rsidRPr="003C742E">
        <w:noBreakHyphen/>
      </w:r>
      <w:r w:rsidRPr="003C742E">
        <w:t>booster positive participants one month (</w:t>
      </w:r>
      <w:r w:rsidR="00B941A1" w:rsidRPr="003C742E">
        <w:t>booster dose Day</w:t>
      </w:r>
      <w:r w:rsidRPr="003C742E">
        <w:t xml:space="preserve"> 29) after mRNA</w:t>
      </w:r>
      <w:r w:rsidR="00C361C3" w:rsidRPr="003C742E">
        <w:noBreakHyphen/>
      </w:r>
      <w:r w:rsidRPr="003C742E">
        <w:t xml:space="preserve">1273 </w:t>
      </w:r>
      <w:r w:rsidR="009F6CA8">
        <w:t xml:space="preserve">vaccine </w:t>
      </w:r>
      <w:r w:rsidRPr="003C742E">
        <w:t xml:space="preserve">booster dose administration, despite relatively high pre-booster GMCs and </w:t>
      </w:r>
      <w:r w:rsidR="00A64A37" w:rsidRPr="003C742E">
        <w:t>GM</w:t>
      </w:r>
      <w:r w:rsidR="00BC2AF2" w:rsidRPr="003C742E">
        <w:t xml:space="preserve"> </w:t>
      </w:r>
      <w:r w:rsidRPr="003C742E">
        <w:t>levels compared with pre-booster negative participants. These results suggest that participants with prior infection benefit from the booster dose (hybrid immunity).</w:t>
      </w:r>
    </w:p>
    <w:p w14:paraId="671EDBAD" w14:textId="197D2BD0" w:rsidR="005E435C" w:rsidRPr="003C742E" w:rsidRDefault="005E435C" w:rsidP="005E435C">
      <w:r w:rsidRPr="003C742E">
        <w:t xml:space="preserve">Superiority of the booster as compared with the 100 μg mRNA-1273 </w:t>
      </w:r>
      <w:r w:rsidR="009F6CA8">
        <w:t xml:space="preserve">vaccine </w:t>
      </w:r>
      <w:r w:rsidRPr="003C742E">
        <w:t>primary series (Part</w:t>
      </w:r>
      <w:r w:rsidR="00CF6BBC" w:rsidRPr="003C742E">
        <w:t> </w:t>
      </w:r>
      <w:r w:rsidRPr="003C742E">
        <w:t xml:space="preserve">C </w:t>
      </w:r>
      <w:r w:rsidR="00B941A1" w:rsidRPr="003C742E">
        <w:t>booster dose</w:t>
      </w:r>
      <w:r w:rsidRPr="003C742E">
        <w:t xml:space="preserve"> Day 29 / Part A Day 57) was demonstrated based on </w:t>
      </w:r>
      <w:r w:rsidR="007E3135" w:rsidRPr="003C742E">
        <w:t>neutralising antibody</w:t>
      </w:r>
      <w:r w:rsidRPr="003C742E">
        <w:t xml:space="preserve"> (</w:t>
      </w:r>
      <w:r w:rsidR="003C742E" w:rsidRPr="003C742E">
        <w:t>geometric mean ratio (</w:t>
      </w:r>
      <w:r w:rsidRPr="003C742E">
        <w:t>GMR</w:t>
      </w:r>
      <w:r w:rsidR="003C742E" w:rsidRPr="003C742E">
        <w:t>)</w:t>
      </w:r>
      <w:r w:rsidRPr="003C742E">
        <w:t>:</w:t>
      </w:r>
      <w:r w:rsidR="00CF6BBC" w:rsidRPr="003C742E">
        <w:t> </w:t>
      </w:r>
      <w:r w:rsidRPr="003C742E">
        <w:t xml:space="preserve">7.4 </w:t>
      </w:r>
      <w:r w:rsidR="00A15C0C" w:rsidRPr="003C742E">
        <w:t>(</w:t>
      </w:r>
      <w:r w:rsidRPr="003C742E">
        <w:t>95% CI: 6.9, 8.0</w:t>
      </w:r>
      <w:r w:rsidR="00A15C0C" w:rsidRPr="003C742E">
        <w:t>)</w:t>
      </w:r>
      <w:r w:rsidRPr="003C742E">
        <w:t xml:space="preserve"> and </w:t>
      </w:r>
      <w:r w:rsidR="005969ED" w:rsidRPr="003C742E">
        <w:t>seroresponse rate</w:t>
      </w:r>
      <w:r w:rsidRPr="003C742E">
        <w:t xml:space="preserve"> difference: 0.9% </w:t>
      </w:r>
      <w:r w:rsidR="00A15C0C" w:rsidRPr="003C742E">
        <w:t>(</w:t>
      </w:r>
      <w:r w:rsidRPr="003C742E">
        <w:t>95% CI: 0.1, 1.7</w:t>
      </w:r>
      <w:r w:rsidR="00A15C0C" w:rsidRPr="003C742E">
        <w:t>)</w:t>
      </w:r>
      <w:r w:rsidRPr="003C742E">
        <w:t xml:space="preserve">) in the </w:t>
      </w:r>
      <w:r w:rsidR="00A64A37" w:rsidRPr="003C742E">
        <w:t>per-protocol immunogenicity set</w:t>
      </w:r>
      <w:r w:rsidRPr="003C742E">
        <w:t xml:space="preserve">. Results of </w:t>
      </w:r>
      <w:r w:rsidR="007E3135" w:rsidRPr="003C742E">
        <w:t>binding antibody</w:t>
      </w:r>
      <w:r w:rsidRPr="003C742E">
        <w:t xml:space="preserve"> </w:t>
      </w:r>
      <w:r w:rsidR="00B2387D" w:rsidRPr="00B2387D">
        <w:t>spike</w:t>
      </w:r>
      <w:r w:rsidR="00B2387D" w:rsidRPr="003C742E">
        <w:t xml:space="preserve"> protein</w:t>
      </w:r>
      <w:r w:rsidRPr="003C742E">
        <w:t xml:space="preserve"> were consistent with </w:t>
      </w:r>
      <w:r w:rsidR="007E3135" w:rsidRPr="003C742E">
        <w:t>neutralising antibody</w:t>
      </w:r>
      <w:r w:rsidRPr="003C742E">
        <w:t>.</w:t>
      </w:r>
    </w:p>
    <w:p w14:paraId="5B20EE5F" w14:textId="7206835B" w:rsidR="00D03EE9" w:rsidRPr="00D03EE9" w:rsidRDefault="005E435C" w:rsidP="00D03EE9">
      <w:pPr>
        <w:pStyle w:val="Heading6"/>
      </w:pPr>
      <w:bookmarkStart w:id="133" w:name="_Hlk133249881"/>
      <w:bookmarkStart w:id="134" w:name="_Hlk133250185"/>
      <w:bookmarkStart w:id="135" w:name="_Hlk130933721"/>
      <w:r w:rsidRPr="00D03EE9">
        <w:t>Summary</w:t>
      </w:r>
      <w:r w:rsidR="009F6CA8">
        <w:t xml:space="preserve"> for use of Spikevax in adults</w:t>
      </w:r>
      <w:bookmarkEnd w:id="133"/>
    </w:p>
    <w:bookmarkEnd w:id="134"/>
    <w:p w14:paraId="25DE7BE7" w14:textId="6CA6EEB8" w:rsidR="005E435C" w:rsidRPr="003C742E" w:rsidRDefault="005E435C" w:rsidP="005E435C">
      <w:r w:rsidRPr="003C742E">
        <w:t xml:space="preserve">Long-term clinical effectiveness </w:t>
      </w:r>
      <w:bookmarkEnd w:id="135"/>
      <w:r w:rsidRPr="003C742E">
        <w:t>data suggest durability of protection after primary series. Additionally, booster participants showed a significantly lower COVID</w:t>
      </w:r>
      <w:r w:rsidR="00CF6BBC" w:rsidRPr="003C742E">
        <w:noBreakHyphen/>
      </w:r>
      <w:r w:rsidRPr="003C742E">
        <w:t>19 incidence rate when compared to non-booster participants during both the Delta variant wave and the Omicron variant wave although the analysis was limited given that the booster and non-booster groups were not randomised.</w:t>
      </w:r>
    </w:p>
    <w:p w14:paraId="634410A7" w14:textId="4BEED753" w:rsidR="005E435C" w:rsidRPr="003C742E" w:rsidRDefault="005E435C" w:rsidP="005E435C">
      <w:bookmarkStart w:id="136" w:name="_Hlk130933641"/>
      <w:bookmarkStart w:id="137" w:name="_Hlk130930397"/>
      <w:r w:rsidRPr="003C742E">
        <w:t>The sponsor has provided comprehensive, confirmatory long-term post-provisional registration safety data for mRNA-1273</w:t>
      </w:r>
      <w:r w:rsidR="009F6CA8">
        <w:t xml:space="preserve"> vaccine</w:t>
      </w:r>
      <w:r w:rsidRPr="003C742E">
        <w:t xml:space="preserve"> in adults (individuals 18 years of age and over). for the </w:t>
      </w:r>
      <w:r w:rsidRPr="003C742E">
        <w:lastRenderedPageBreak/>
        <w:t>primary series and booster.</w:t>
      </w:r>
      <w:bookmarkEnd w:id="136"/>
      <w:r w:rsidRPr="003C742E">
        <w:t xml:space="preserve"> No unexpected reactogenicity or new safety signal of concern is detected. This appears acceptable.</w:t>
      </w:r>
    </w:p>
    <w:bookmarkEnd w:id="137"/>
    <w:p w14:paraId="388E2F73" w14:textId="3FA195D7" w:rsidR="005E435C" w:rsidRPr="003C742E" w:rsidRDefault="005E435C" w:rsidP="005E435C">
      <w:r w:rsidRPr="003C742E">
        <w:t xml:space="preserve">The available clinical data appears comprehensive and confirmatory with </w:t>
      </w:r>
      <w:bookmarkStart w:id="138" w:name="_Hlk130933929"/>
      <w:r w:rsidRPr="003C742E">
        <w:t xml:space="preserve">a favourable benefit risk profile </w:t>
      </w:r>
      <w:bookmarkEnd w:id="138"/>
      <w:r w:rsidRPr="003C742E">
        <w:t xml:space="preserve">to support </w:t>
      </w:r>
      <w:bookmarkStart w:id="139" w:name="_Hlk130934063"/>
      <w:r w:rsidRPr="003C742E">
        <w:t xml:space="preserve">for the transition from Provisional Registration to Full Registration for the </w:t>
      </w:r>
      <w:r w:rsidR="009700F9" w:rsidRPr="003C742E">
        <w:t>Spikevax</w:t>
      </w:r>
      <w:r w:rsidRPr="003C742E">
        <w:t xml:space="preserve"> </w:t>
      </w:r>
      <w:bookmarkEnd w:id="139"/>
      <w:r w:rsidRPr="003C742E">
        <w:t>in adults (individuals 18 years of age and over). The outstanding clinical data from Study P301 can be made a post-approval commitment.</w:t>
      </w:r>
      <w:bookmarkStart w:id="140" w:name="_Hlk130930455"/>
    </w:p>
    <w:p w14:paraId="41BF2193" w14:textId="4F7C3FE5" w:rsidR="005E435C" w:rsidRPr="003C742E" w:rsidRDefault="009F6CA8" w:rsidP="00D03EE9">
      <w:pPr>
        <w:pStyle w:val="Heading5"/>
      </w:pPr>
      <w:bookmarkStart w:id="141" w:name="_Hlk131023138"/>
      <w:r>
        <w:t>Use in a</w:t>
      </w:r>
      <w:r w:rsidR="00D03EE9" w:rsidRPr="00D03EE9">
        <w:t>dolescent population</w:t>
      </w:r>
      <w:r>
        <w:t>s</w:t>
      </w:r>
    </w:p>
    <w:bookmarkEnd w:id="140"/>
    <w:bookmarkEnd w:id="141"/>
    <w:p w14:paraId="5C77D33A" w14:textId="230453A7" w:rsidR="005E435C" w:rsidRPr="003C742E" w:rsidRDefault="009F6CA8" w:rsidP="005E435C">
      <w:r>
        <w:t xml:space="preserve">In support of the use of Spikevax (elasomeran) vaccine in adolescents (that is, persons from 12 years to 17 years of age, the sponsor submitted the following data. </w:t>
      </w:r>
      <w:r w:rsidR="005E435C" w:rsidRPr="003C742E">
        <w:t xml:space="preserve">A clinical study report for </w:t>
      </w:r>
      <w:r w:rsidR="0053571E" w:rsidRPr="003C742E">
        <w:t>Study P20</w:t>
      </w:r>
      <w:r w:rsidR="005E435C" w:rsidRPr="003C742E">
        <w:t>3 with 6 months post</w:t>
      </w:r>
      <w:r w:rsidR="001705C1" w:rsidRPr="003C742E">
        <w:t>-</w:t>
      </w:r>
      <w:r w:rsidR="005E435C" w:rsidRPr="003C742E">
        <w:t>Dose 2 follow-up for all subjects was submitted on 4</w:t>
      </w:r>
      <w:r w:rsidR="00C01B77">
        <w:t> </w:t>
      </w:r>
      <w:r w:rsidR="005E435C" w:rsidRPr="003C742E">
        <w:t>November</w:t>
      </w:r>
      <w:r w:rsidR="00C01B77">
        <w:t> </w:t>
      </w:r>
      <w:r w:rsidR="005E435C" w:rsidRPr="003C742E">
        <w:t xml:space="preserve">2022. This </w:t>
      </w:r>
      <w:r w:rsidR="001372E8" w:rsidRPr="003C742E">
        <w:t>clinical study report</w:t>
      </w:r>
      <w:r w:rsidR="005E435C" w:rsidRPr="003C742E">
        <w:t xml:space="preserve"> included safety data of 2378</w:t>
      </w:r>
      <w:r w:rsidR="00CF6BBC" w:rsidRPr="003C742E">
        <w:t> </w:t>
      </w:r>
      <w:r w:rsidR="005E435C" w:rsidRPr="003C742E">
        <w:t xml:space="preserve">participants (95.7%) that have been followed for </w:t>
      </w:r>
      <w:r w:rsidR="00860D51" w:rsidRPr="003C742E">
        <w:t>at least</w:t>
      </w:r>
      <w:r w:rsidR="005E435C" w:rsidRPr="003C742E">
        <w:t>168 days (6 months) or more after Dose 2.</w:t>
      </w:r>
    </w:p>
    <w:p w14:paraId="7BEF3534" w14:textId="1450D3FF" w:rsidR="005E435C" w:rsidRPr="003C742E" w:rsidRDefault="005E435C" w:rsidP="005E435C">
      <w:r w:rsidRPr="003C742E">
        <w:t xml:space="preserve">The sponsor claims that as the pandemic evolved and the need for booster doses was evident, Study </w:t>
      </w:r>
      <w:r w:rsidR="0053571E" w:rsidRPr="003C742E">
        <w:t>P20</w:t>
      </w:r>
      <w:r w:rsidRPr="003C742E">
        <w:t xml:space="preserve">3 was amended to offer booster doses to all participants. Therefore, the sponsor believes that the </w:t>
      </w:r>
      <w:r w:rsidR="001372E8" w:rsidRPr="003C742E">
        <w:t>clinical study report</w:t>
      </w:r>
      <w:r w:rsidRPr="003C742E">
        <w:t xml:space="preserve"> that has been submitted with 6 months of safety follow-up is sufficient to transition to full registration for the primary series. This is now a </w:t>
      </w:r>
      <w:r w:rsidR="00EB32D8">
        <w:t>three</w:t>
      </w:r>
      <w:r w:rsidRPr="003C742E">
        <w:t xml:space="preserve">-part, Phase </w:t>
      </w:r>
      <w:r w:rsidR="001705C1" w:rsidRPr="003C742E">
        <w:t>II/III</w:t>
      </w:r>
      <w:r w:rsidRPr="003C742E">
        <w:t xml:space="preserve">, study </w:t>
      </w:r>
      <w:r w:rsidR="009E0664">
        <w:t xml:space="preserve">being </w:t>
      </w:r>
      <w:r w:rsidRPr="003C742E">
        <w:t xml:space="preserve">conducted in the </w:t>
      </w:r>
      <w:r w:rsidR="0068581B">
        <w:t>USA</w:t>
      </w:r>
      <w:r w:rsidR="00EB32D8">
        <w:t xml:space="preserve"> and </w:t>
      </w:r>
      <w:r w:rsidR="009E0664">
        <w:t xml:space="preserve">several countries outside of </w:t>
      </w:r>
      <w:r w:rsidR="00C01B77">
        <w:t xml:space="preserve">the </w:t>
      </w:r>
      <w:r w:rsidR="009E0664">
        <w:t>US</w:t>
      </w:r>
      <w:r w:rsidR="00C01B77">
        <w:t>A</w:t>
      </w:r>
      <w:r w:rsidRPr="003C742E">
        <w:t>: Part 1 (consisting of Parts 1A, 1B, and 1C)</w:t>
      </w:r>
      <w:r w:rsidR="00FF42C7">
        <w:t>,</w:t>
      </w:r>
      <w:r w:rsidRPr="003C742E">
        <w:t xml:space="preserve"> Part 2</w:t>
      </w:r>
      <w:r w:rsidR="00FF42C7">
        <w:t>, and Part 3</w:t>
      </w:r>
      <w:r w:rsidRPr="003C742E">
        <w:t>.</w:t>
      </w:r>
    </w:p>
    <w:p w14:paraId="22D903A1" w14:textId="49821F48" w:rsidR="005E435C" w:rsidRPr="003C742E" w:rsidRDefault="005E435C" w:rsidP="005E435C">
      <w:r w:rsidRPr="003C742E">
        <w:t xml:space="preserve">Long-term analyses were performed and included data collected in the </w:t>
      </w:r>
      <w:r w:rsidR="001E2B87" w:rsidRPr="003C742E">
        <w:t>blinded phase</w:t>
      </w:r>
      <w:r w:rsidRPr="003C742E">
        <w:t xml:space="preserve"> (Part 1A) and the </w:t>
      </w:r>
      <w:r w:rsidR="007E3135" w:rsidRPr="003C742E">
        <w:t>open label phase</w:t>
      </w:r>
      <w:r w:rsidRPr="003C742E">
        <w:t xml:space="preserve"> (Part 1B), and prior to </w:t>
      </w:r>
      <w:r w:rsidR="00B941A1" w:rsidRPr="003C742E">
        <w:t>booster dose</w:t>
      </w:r>
      <w:r w:rsidRPr="003C742E">
        <w:t xml:space="preserve"> (if a </w:t>
      </w:r>
      <w:r w:rsidR="00B941A1" w:rsidRPr="003C742E">
        <w:t>booster dose</w:t>
      </w:r>
      <w:r w:rsidRPr="003C742E">
        <w:t xml:space="preserve"> was received). In the long-term immunogenicity analysis, to assess the persistence of immunogenicity response after 2 doses of mRNA-1273, </w:t>
      </w:r>
      <w:r w:rsidR="007E3135" w:rsidRPr="003C742E">
        <w:t>neutralising antibody</w:t>
      </w:r>
      <w:r w:rsidRPr="003C742E">
        <w:t xml:space="preserve"> and </w:t>
      </w:r>
      <w:r w:rsidR="007E3135" w:rsidRPr="003C742E">
        <w:t>binding antibody</w:t>
      </w:r>
      <w:r w:rsidRPr="003C742E">
        <w:t xml:space="preserve"> values were summari</w:t>
      </w:r>
      <w:r w:rsidR="00A15C0C" w:rsidRPr="003C742E">
        <w:t>s</w:t>
      </w:r>
      <w:r w:rsidRPr="003C742E">
        <w:t xml:space="preserve">ed over time at specified timepoints in an immunogenicity subset specifically for the long-term analysis. In the long-term analysis for </w:t>
      </w:r>
      <w:r w:rsidR="001E2B87" w:rsidRPr="003C742E">
        <w:t xml:space="preserve">the safety set, </w:t>
      </w:r>
      <w:r w:rsidRPr="003C742E">
        <w:t>the original mRNA-1273 group (</w:t>
      </w:r>
      <w:r w:rsidR="00860D51" w:rsidRPr="003C742E">
        <w:t>n</w:t>
      </w:r>
      <w:r w:rsidR="00CF6BBC" w:rsidRPr="003C742E">
        <w:noBreakHyphen/>
      </w:r>
      <w:r w:rsidR="00860D51" w:rsidRPr="003C742E">
        <w:t xml:space="preserve">= </w:t>
      </w:r>
      <w:r w:rsidRPr="003C742E">
        <w:t>2486) had a median duration of follow-up after Dose 2 of 312 days (first to third quartile: 295 to 327, range: 0 to 389); 2378 participants (95.7%) in this group have been followed for 168</w:t>
      </w:r>
      <w:r w:rsidR="00CF6BBC" w:rsidRPr="003C742E">
        <w:t> </w:t>
      </w:r>
      <w:r w:rsidRPr="003C742E">
        <w:t>days (6 months) or more after Dose 2.</w:t>
      </w:r>
    </w:p>
    <w:p w14:paraId="7A6CF527" w14:textId="38CF013B" w:rsidR="005E435C" w:rsidRPr="00D03EE9" w:rsidRDefault="005E435C" w:rsidP="00D03EE9">
      <w:pPr>
        <w:pStyle w:val="Heading6"/>
      </w:pPr>
      <w:bookmarkStart w:id="142" w:name="_Hlk130928510"/>
      <w:r w:rsidRPr="00D03EE9">
        <w:t>Study P203</w:t>
      </w:r>
      <w:r w:rsidR="009F6CA8">
        <w:t xml:space="preserve"> (Phase II/III)</w:t>
      </w:r>
    </w:p>
    <w:p w14:paraId="01CB1118" w14:textId="108D0028" w:rsidR="00C01B77" w:rsidRDefault="00C01B77" w:rsidP="005E435C">
      <w:r>
        <w:t xml:space="preserve">Study mRNA-1273-P203 (Study P203, also known as the TeenCove trial) was a Phase II/III study in </w:t>
      </w:r>
      <w:r w:rsidR="00A53503">
        <w:t>adolescents</w:t>
      </w:r>
      <w:r>
        <w:t xml:space="preserve"> aged between 12 and 17 years of age.</w:t>
      </w:r>
      <w:r w:rsidRPr="00A53503">
        <w:rPr>
          <w:vertAlign w:val="superscript"/>
        </w:rPr>
        <w:fldChar w:fldCharType="begin"/>
      </w:r>
      <w:r w:rsidRPr="00A53503">
        <w:rPr>
          <w:vertAlign w:val="superscript"/>
        </w:rPr>
        <w:instrText xml:space="preserve"> NOTEREF _Ref134437271 \h </w:instrText>
      </w:r>
      <w:r>
        <w:rPr>
          <w:vertAlign w:val="superscript"/>
        </w:rPr>
        <w:instrText xml:space="preserve"> \* MERGEFORMAT </w:instrText>
      </w:r>
      <w:r w:rsidRPr="00A53503">
        <w:rPr>
          <w:vertAlign w:val="superscript"/>
        </w:rPr>
      </w:r>
      <w:r w:rsidRPr="00A53503">
        <w:rPr>
          <w:vertAlign w:val="superscript"/>
        </w:rPr>
        <w:fldChar w:fldCharType="separate"/>
      </w:r>
      <w:r w:rsidR="0005046B">
        <w:rPr>
          <w:vertAlign w:val="superscript"/>
        </w:rPr>
        <w:t>21</w:t>
      </w:r>
      <w:r w:rsidRPr="00A53503">
        <w:rPr>
          <w:vertAlign w:val="superscript"/>
        </w:rPr>
        <w:fldChar w:fldCharType="end"/>
      </w:r>
    </w:p>
    <w:p w14:paraId="4105C5D0" w14:textId="28E55A6F" w:rsidR="005E435C" w:rsidRPr="003C742E" w:rsidRDefault="005E435C" w:rsidP="005E435C">
      <w:r w:rsidRPr="003C742E">
        <w:t xml:space="preserve">Primary mRNA-1273 vaccination of adolescents on </w:t>
      </w:r>
      <w:r w:rsidR="0053571E" w:rsidRPr="003C742E">
        <w:t>Study P20</w:t>
      </w:r>
      <w:r w:rsidRPr="003C742E">
        <w:t>3 induced robust functional (</w:t>
      </w:r>
      <w:r w:rsidR="007E3135" w:rsidRPr="003C742E">
        <w:t>neutralising antibody</w:t>
      </w:r>
      <w:r w:rsidRPr="003C742E">
        <w:t xml:space="preserve">) and binding antibody serum responses, and these responses were durable through at least 12 months after vaccination. mRNA-1273 induced these responses in adolescents regardless of whether they were SARS-CoV-2 positive or negative at </w:t>
      </w:r>
      <w:r w:rsidR="00860D51" w:rsidRPr="003C742E">
        <w:t>Baseline</w:t>
      </w:r>
      <w:r w:rsidRPr="003C742E">
        <w:t xml:space="preserve"> and whether they had or had no subsequent SARS-CoV-2 infection; the mRNA-1273 vaccine was potent in both populations.</w:t>
      </w:r>
    </w:p>
    <w:bookmarkEnd w:id="142"/>
    <w:p w14:paraId="1582A517" w14:textId="2312C39F" w:rsidR="005E435C" w:rsidRPr="00D03EE9" w:rsidRDefault="00D03EE9">
      <w:pPr>
        <w:pStyle w:val="Heading7"/>
      </w:pPr>
      <w:r w:rsidRPr="00D03EE9">
        <w:t xml:space="preserve">Study P203 Part 1A and 1B </w:t>
      </w:r>
      <w:r w:rsidR="005E435C" w:rsidRPr="00D03EE9">
        <w:t>Long-term assessment of incidence rates (</w:t>
      </w:r>
      <w:r w:rsidRPr="00D03EE9">
        <w:t>e</w:t>
      </w:r>
      <w:r w:rsidR="005E435C" w:rsidRPr="00D03EE9">
        <w:t>xploratory endpoint</w:t>
      </w:r>
      <w:r w:rsidRPr="00D03EE9">
        <w:t>)</w:t>
      </w:r>
    </w:p>
    <w:p w14:paraId="500425BE" w14:textId="2CB29842" w:rsidR="005E435C" w:rsidRPr="003C742E" w:rsidRDefault="005E435C" w:rsidP="005E435C">
      <w:r w:rsidRPr="003C742E">
        <w:t>By calendar month among all participants who received mRNA-1273 as randomi</w:t>
      </w:r>
      <w:r w:rsidR="00A15C0C" w:rsidRPr="003C742E">
        <w:t>s</w:t>
      </w:r>
      <w:r w:rsidRPr="003C742E">
        <w:t xml:space="preserve">ed and remained on study up to 31 </w:t>
      </w:r>
      <w:r w:rsidR="007E3135" w:rsidRPr="003C742E">
        <w:t xml:space="preserve">January </w:t>
      </w:r>
      <w:r w:rsidRPr="003C742E">
        <w:t xml:space="preserve">2022 (combined blinded and unblinded) showed low monthly incidence rates of COVID-19 until </w:t>
      </w:r>
      <w:r w:rsidR="007E3135" w:rsidRPr="003C742E">
        <w:t xml:space="preserve">November </w:t>
      </w:r>
      <w:r w:rsidRPr="003C742E">
        <w:t>2021. Even during the time when Delta was the predominant circulating strain in the US (Jul</w:t>
      </w:r>
      <w:r w:rsidR="007E3135" w:rsidRPr="003C742E">
        <w:t>y</w:t>
      </w:r>
      <w:r w:rsidRPr="003C742E">
        <w:t xml:space="preserve"> to </w:t>
      </w:r>
      <w:r w:rsidR="007E3135" w:rsidRPr="003C742E">
        <w:t xml:space="preserve">November </w:t>
      </w:r>
      <w:r w:rsidRPr="003C742E">
        <w:t xml:space="preserve">2021), incidence rates among vaccinated study participants generally remained stable. Not unexpectedly, an increase in COVID-19 incidence rates was observed in </w:t>
      </w:r>
      <w:r w:rsidR="007E3135" w:rsidRPr="003C742E">
        <w:t xml:space="preserve">December </w:t>
      </w:r>
      <w:r w:rsidRPr="003C742E">
        <w:t xml:space="preserve">2021 and </w:t>
      </w:r>
      <w:r w:rsidR="007E3135" w:rsidRPr="003C742E">
        <w:t xml:space="preserve">January </w:t>
      </w:r>
      <w:r w:rsidRPr="003C742E">
        <w:t>2022, when the Omicron variant prevailed. These findings are consistent with real</w:t>
      </w:r>
      <w:r w:rsidR="007E3135" w:rsidRPr="003C742E">
        <w:t xml:space="preserve"> </w:t>
      </w:r>
      <w:r w:rsidRPr="003C742E">
        <w:t>world increases in COVID</w:t>
      </w:r>
      <w:r w:rsidR="00CF6BBC" w:rsidRPr="003C742E">
        <w:noBreakHyphen/>
      </w:r>
      <w:r w:rsidRPr="003C742E">
        <w:t>19 incidence during the US Omicron surge (</w:t>
      </w:r>
      <w:r w:rsidR="007E3135" w:rsidRPr="003C742E">
        <w:t xml:space="preserve">December </w:t>
      </w:r>
      <w:r w:rsidRPr="003C742E">
        <w:t xml:space="preserve">2021 to </w:t>
      </w:r>
      <w:r w:rsidR="007E3135" w:rsidRPr="003C742E">
        <w:t xml:space="preserve">January </w:t>
      </w:r>
      <w:r w:rsidRPr="003C742E">
        <w:t>2022).</w:t>
      </w:r>
      <w:r w:rsidR="003C742E" w:rsidRPr="003C742E">
        <w:rPr>
          <w:vertAlign w:val="superscript"/>
        </w:rPr>
        <w:fldChar w:fldCharType="begin"/>
      </w:r>
      <w:r w:rsidR="003C742E" w:rsidRPr="003C742E">
        <w:rPr>
          <w:vertAlign w:val="superscript"/>
        </w:rPr>
        <w:instrText xml:space="preserve"> NOTEREF _Ref133243325 \h </w:instrText>
      </w:r>
      <w:r w:rsidR="003C742E">
        <w:rPr>
          <w:vertAlign w:val="superscript"/>
        </w:rPr>
        <w:instrText xml:space="preserve"> \* MERGEFORMAT </w:instrText>
      </w:r>
      <w:r w:rsidR="003C742E" w:rsidRPr="003C742E">
        <w:rPr>
          <w:vertAlign w:val="superscript"/>
        </w:rPr>
      </w:r>
      <w:r w:rsidR="003C742E" w:rsidRPr="003C742E">
        <w:rPr>
          <w:vertAlign w:val="superscript"/>
        </w:rPr>
        <w:fldChar w:fldCharType="separate"/>
      </w:r>
      <w:r w:rsidR="0005046B">
        <w:rPr>
          <w:vertAlign w:val="superscript"/>
        </w:rPr>
        <w:t>23</w:t>
      </w:r>
      <w:r w:rsidR="003C742E" w:rsidRPr="003C742E">
        <w:rPr>
          <w:vertAlign w:val="superscript"/>
        </w:rPr>
        <w:fldChar w:fldCharType="end"/>
      </w:r>
      <w:r w:rsidR="003C742E" w:rsidRPr="003C742E">
        <w:rPr>
          <w:vertAlign w:val="superscript"/>
        </w:rPr>
        <w:t>,</w:t>
      </w:r>
      <w:r w:rsidR="003C742E" w:rsidRPr="003C742E">
        <w:rPr>
          <w:vertAlign w:val="superscript"/>
        </w:rPr>
        <w:fldChar w:fldCharType="begin"/>
      </w:r>
      <w:r w:rsidR="003C742E" w:rsidRPr="003C742E">
        <w:rPr>
          <w:vertAlign w:val="superscript"/>
        </w:rPr>
        <w:instrText xml:space="preserve"> NOTEREF _Ref133243327 \h </w:instrText>
      </w:r>
      <w:r w:rsidR="003C742E">
        <w:rPr>
          <w:vertAlign w:val="superscript"/>
        </w:rPr>
        <w:instrText xml:space="preserve"> \* MERGEFORMAT </w:instrText>
      </w:r>
      <w:r w:rsidR="003C742E" w:rsidRPr="003C742E">
        <w:rPr>
          <w:vertAlign w:val="superscript"/>
        </w:rPr>
      </w:r>
      <w:r w:rsidR="003C742E" w:rsidRPr="003C742E">
        <w:rPr>
          <w:vertAlign w:val="superscript"/>
        </w:rPr>
        <w:fldChar w:fldCharType="separate"/>
      </w:r>
      <w:r w:rsidR="0005046B">
        <w:rPr>
          <w:vertAlign w:val="superscript"/>
        </w:rPr>
        <w:t>24</w:t>
      </w:r>
      <w:r w:rsidR="003C742E" w:rsidRPr="003C742E">
        <w:rPr>
          <w:vertAlign w:val="superscript"/>
        </w:rPr>
        <w:fldChar w:fldCharType="end"/>
      </w:r>
    </w:p>
    <w:p w14:paraId="4A28C151" w14:textId="3CC33D7B" w:rsidR="005E435C" w:rsidRPr="003C742E" w:rsidRDefault="005E435C" w:rsidP="005E435C">
      <w:r w:rsidRPr="003C742E">
        <w:lastRenderedPageBreak/>
        <w:t xml:space="preserve">Safety: As of the cut-off date of 31 </w:t>
      </w:r>
      <w:r w:rsidR="007E3135" w:rsidRPr="003C742E">
        <w:t xml:space="preserve">January </w:t>
      </w:r>
      <w:r w:rsidRPr="003C742E">
        <w:t>2022, the mRNA-1273 vaccine, administered as 2</w:t>
      </w:r>
      <w:r w:rsidR="00C361C3" w:rsidRPr="003C742E">
        <w:t> </w:t>
      </w:r>
      <w:r w:rsidRPr="003C742E">
        <w:t xml:space="preserve">injections (100 μg) 28 days apart, demonstrated an acceptable safety profile in the adolescent study population (12 to </w:t>
      </w:r>
      <w:r w:rsidR="00860D51" w:rsidRPr="003C742E">
        <w:t xml:space="preserve">less than </w:t>
      </w:r>
      <w:r w:rsidRPr="003C742E">
        <w:t>18 years).</w:t>
      </w:r>
    </w:p>
    <w:p w14:paraId="188D0B5B" w14:textId="2407E41A" w:rsidR="005E435C" w:rsidRPr="00D03EE9" w:rsidRDefault="00D03EE9">
      <w:pPr>
        <w:pStyle w:val="Heading7"/>
      </w:pPr>
      <w:r w:rsidRPr="00D03EE9">
        <w:t xml:space="preserve">Study P203 Part 1C </w:t>
      </w:r>
      <w:r w:rsidR="005E435C" w:rsidRPr="00D03EE9">
        <w:t xml:space="preserve">Monovalent </w:t>
      </w:r>
      <w:r w:rsidRPr="00D03EE9">
        <w:t xml:space="preserve">booster data in individuals </w:t>
      </w:r>
      <w:r w:rsidR="005E435C" w:rsidRPr="00D03EE9">
        <w:t>12 to 17 years of age</w:t>
      </w:r>
    </w:p>
    <w:p w14:paraId="25FCE43B" w14:textId="5C848DCB" w:rsidR="005E435C" w:rsidRPr="003C742E" w:rsidRDefault="005E435C" w:rsidP="005E435C">
      <w:r w:rsidRPr="003C742E">
        <w:t xml:space="preserve">The </w:t>
      </w:r>
      <w:r w:rsidR="007E3135" w:rsidRPr="003C742E">
        <w:t>clinical study report</w:t>
      </w:r>
      <w:r w:rsidRPr="003C742E">
        <w:t xml:space="preserve"> for Part 1C-1 of Study </w:t>
      </w:r>
      <w:r w:rsidR="0053571E" w:rsidRPr="003C742E">
        <w:t>P20</w:t>
      </w:r>
      <w:r w:rsidRPr="003C742E">
        <w:t>3 (data cut-off 15 August 2022). Study</w:t>
      </w:r>
      <w:r w:rsidR="00CF6BBC" w:rsidRPr="003C742E">
        <w:t> </w:t>
      </w:r>
      <w:r w:rsidR="0053571E" w:rsidRPr="003C742E">
        <w:t>P20</w:t>
      </w:r>
      <w:r w:rsidRPr="003C742E">
        <w:t>3</w:t>
      </w:r>
      <w:r w:rsidR="00A15C0C" w:rsidRPr="003C742E">
        <w:t xml:space="preserve"> </w:t>
      </w:r>
      <w:r w:rsidRPr="003C742E">
        <w:t xml:space="preserve">was amended (Protocol Amendment 3 </w:t>
      </w:r>
      <w:r w:rsidR="00A15C0C" w:rsidRPr="003C742E">
        <w:t>(</w:t>
      </w:r>
      <w:r w:rsidRPr="003C742E">
        <w:t xml:space="preserve">4 </w:t>
      </w:r>
      <w:r w:rsidR="007E3135" w:rsidRPr="003C742E">
        <w:t xml:space="preserve">November </w:t>
      </w:r>
      <w:r w:rsidRPr="003C742E">
        <w:t>2021</w:t>
      </w:r>
      <w:r w:rsidR="00A15C0C" w:rsidRPr="003C742E">
        <w:t>)</w:t>
      </w:r>
      <w:r w:rsidRPr="003C742E">
        <w:t>) to evaluate the tolerability, safety, and</w:t>
      </w:r>
      <w:r w:rsidR="00A15C0C" w:rsidRPr="003C742E">
        <w:t xml:space="preserve"> </w:t>
      </w:r>
      <w:r w:rsidRPr="003C742E">
        <w:t>immunogenicity of a 50 μg mRNA-1273 booster dose. Participants were offered an</w:t>
      </w:r>
      <w:r w:rsidR="00A15C0C" w:rsidRPr="003C742E">
        <w:t xml:space="preserve"> </w:t>
      </w:r>
      <w:r w:rsidRPr="003C742E">
        <w:t xml:space="preserve">optional </w:t>
      </w:r>
      <w:r w:rsidR="00B941A1" w:rsidRPr="003C742E">
        <w:t>booster dose</w:t>
      </w:r>
      <w:r w:rsidRPr="003C742E">
        <w:t xml:space="preserve"> starting at least 5 months after Dose 2 of the mRNA-1273 primary series; 1405</w:t>
      </w:r>
      <w:r w:rsidR="00CF6BBC" w:rsidRPr="003C742E">
        <w:t> </w:t>
      </w:r>
      <w:r w:rsidRPr="003C742E">
        <w:t xml:space="preserve">participants received a booster dose in Part 1C-1. After administration of the </w:t>
      </w:r>
      <w:r w:rsidR="00B941A1" w:rsidRPr="003C742E">
        <w:t>booster dose</w:t>
      </w:r>
      <w:r w:rsidRPr="003C742E">
        <w:t>, participants</w:t>
      </w:r>
      <w:r w:rsidR="00A15C0C" w:rsidRPr="003C742E">
        <w:t xml:space="preserve"> </w:t>
      </w:r>
      <w:r w:rsidRPr="003C742E">
        <w:t>were followed for a median of 204 days (range: 1 to 232 days); 1204</w:t>
      </w:r>
      <w:r w:rsidR="00CF6BBC" w:rsidRPr="003C742E">
        <w:t xml:space="preserve"> of </w:t>
      </w:r>
      <w:r w:rsidRPr="003C742E">
        <w:t xml:space="preserve">1405 (85.7%) participants were followed for </w:t>
      </w:r>
      <w:r w:rsidR="00860D51" w:rsidRPr="003C742E">
        <w:t xml:space="preserve">at least </w:t>
      </w:r>
      <w:r w:rsidRPr="003C742E">
        <w:t>168 days (approximately 6 months).</w:t>
      </w:r>
    </w:p>
    <w:p w14:paraId="685D5779" w14:textId="72533ACB" w:rsidR="005E435C" w:rsidRPr="003C742E" w:rsidRDefault="005E435C" w:rsidP="005E435C">
      <w:r w:rsidRPr="003C742E">
        <w:t xml:space="preserve">The primary objective of the Booster Phase was to infer effectiveness of the mRNA-1273 </w:t>
      </w:r>
      <w:r w:rsidR="00B941A1" w:rsidRPr="003C742E">
        <w:t>booster dose</w:t>
      </w:r>
      <w:r w:rsidR="00A15C0C" w:rsidRPr="003C742E">
        <w:t xml:space="preserve"> </w:t>
      </w:r>
      <w:r w:rsidRPr="003C742E">
        <w:t xml:space="preserve">(50 </w:t>
      </w:r>
      <w:r w:rsidR="00A15C0C" w:rsidRPr="003C742E">
        <w:t>μ</w:t>
      </w:r>
      <w:r w:rsidRPr="003C742E">
        <w:t xml:space="preserve">g) by comparing adolescent </w:t>
      </w:r>
      <w:r w:rsidR="007E3135" w:rsidRPr="003C742E">
        <w:t>neutralising antibody</w:t>
      </w:r>
      <w:r w:rsidRPr="003C742E">
        <w:t xml:space="preserve"> levels at </w:t>
      </w:r>
      <w:r w:rsidR="00B941A1" w:rsidRPr="003C742E">
        <w:t>booster dose Day</w:t>
      </w:r>
      <w:r w:rsidRPr="003C742E">
        <w:t xml:space="preserve"> 29 in Study </w:t>
      </w:r>
      <w:r w:rsidR="0053571E" w:rsidRPr="003C742E">
        <w:t>P20</w:t>
      </w:r>
      <w:r w:rsidRPr="003C742E">
        <w:t>3 to those of young</w:t>
      </w:r>
      <w:r w:rsidR="00A15C0C" w:rsidRPr="003C742E">
        <w:t xml:space="preserve"> </w:t>
      </w:r>
      <w:r w:rsidRPr="003C742E">
        <w:t xml:space="preserve">adults (18 to 25 years) at Day 57 after primary series mRNA-1273 in Study P301. </w:t>
      </w:r>
      <w:r w:rsidR="007E3135" w:rsidRPr="003C742E">
        <w:t>Neutralising antibody</w:t>
      </w:r>
      <w:r w:rsidR="00A15C0C" w:rsidRPr="003C742E">
        <w:t xml:space="preserve"> </w:t>
      </w:r>
      <w:r w:rsidRPr="003C742E">
        <w:t>responses from boosted adolescents successfully met pre</w:t>
      </w:r>
      <w:r w:rsidR="00CF6BBC" w:rsidRPr="003C742E">
        <w:noBreakHyphen/>
      </w:r>
      <w:r w:rsidRPr="003C742E">
        <w:t xml:space="preserve">specified </w:t>
      </w:r>
      <w:r w:rsidR="005969ED" w:rsidRPr="003C742E">
        <w:t>non-inferiority</w:t>
      </w:r>
      <w:r w:rsidRPr="003C742E">
        <w:t xml:space="preserve"> criteria for the coprimary</w:t>
      </w:r>
      <w:r w:rsidR="00A15C0C" w:rsidRPr="003C742E">
        <w:t xml:space="preserve"> </w:t>
      </w:r>
      <w:r w:rsidRPr="003C742E">
        <w:t xml:space="preserve">endpoints of GMR and </w:t>
      </w:r>
      <w:r w:rsidR="005969ED" w:rsidRPr="003C742E">
        <w:t>seroresponse rate</w:t>
      </w:r>
      <w:r w:rsidRPr="003C742E">
        <w:t xml:space="preserve"> difference between the 2 groups. </w:t>
      </w:r>
      <w:r w:rsidR="007E3135" w:rsidRPr="003C742E">
        <w:t>Neutralising antibody</w:t>
      </w:r>
      <w:r w:rsidRPr="003C742E">
        <w:t xml:space="preserve"> responses were measured</w:t>
      </w:r>
      <w:r w:rsidR="00A15C0C" w:rsidRPr="003C742E">
        <w:t xml:space="preserve"> </w:t>
      </w:r>
      <w:r w:rsidRPr="003C742E">
        <w:t xml:space="preserve">against prototype SARS-CoV-2 PsVNA (expressing the </w:t>
      </w:r>
      <w:r w:rsidR="00B2387D" w:rsidRPr="00B2387D">
        <w:t>spike</w:t>
      </w:r>
      <w:r w:rsidR="00B2387D" w:rsidRPr="003C742E">
        <w:t xml:space="preserve"> protein</w:t>
      </w:r>
      <w:r w:rsidRPr="003C742E">
        <w:t xml:space="preserve"> of D614G).</w:t>
      </w:r>
    </w:p>
    <w:p w14:paraId="1EC3A474" w14:textId="456694B3" w:rsidR="005E435C" w:rsidRPr="003C742E" w:rsidRDefault="005E435C" w:rsidP="005E435C">
      <w:r w:rsidRPr="003C742E">
        <w:t xml:space="preserve">The GMR of adolescent </w:t>
      </w:r>
      <w:r w:rsidR="007E3135" w:rsidRPr="003C742E">
        <w:t>neutralising antibody</w:t>
      </w:r>
      <w:r w:rsidRPr="003C742E">
        <w:t xml:space="preserve"> GMC (</w:t>
      </w:r>
      <w:r w:rsidR="00B941A1" w:rsidRPr="003C742E">
        <w:t>booster dose Day</w:t>
      </w:r>
      <w:r w:rsidRPr="003C742E">
        <w:t xml:space="preserve"> 29) compared to young adult </w:t>
      </w:r>
      <w:r w:rsidR="007E3135" w:rsidRPr="003C742E">
        <w:t>neutralising antibody</w:t>
      </w:r>
      <w:r w:rsidRPr="003C742E">
        <w:t xml:space="preserve"> GMC (Day 57)</w:t>
      </w:r>
      <w:r w:rsidR="00A15C0C" w:rsidRPr="003C742E">
        <w:t xml:space="preserve"> </w:t>
      </w:r>
      <w:r w:rsidRPr="003C742E">
        <w:t xml:space="preserve">was 5.071 (95% CI: 4.477, 5.745), meeting the </w:t>
      </w:r>
      <w:r w:rsidR="005969ED" w:rsidRPr="003C742E">
        <w:t>non</w:t>
      </w:r>
      <w:r w:rsidR="00CF6BBC" w:rsidRPr="003C742E">
        <w:noBreakHyphen/>
      </w:r>
      <w:r w:rsidR="005969ED" w:rsidRPr="003C742E">
        <w:t>inferiority</w:t>
      </w:r>
      <w:r w:rsidRPr="003C742E">
        <w:t xml:space="preserve"> criteria for GMR (</w:t>
      </w:r>
      <w:r w:rsidR="00860D51" w:rsidRPr="003C742E">
        <w:t>that is,</w:t>
      </w:r>
      <w:r w:rsidRPr="003C742E">
        <w:t xml:space="preserve"> lower bound of the 95%</w:t>
      </w:r>
      <w:r w:rsidR="00A15C0C" w:rsidRPr="003C742E">
        <w:t xml:space="preserve"> </w:t>
      </w:r>
      <w:r w:rsidRPr="003C742E">
        <w:t>CI &gt;</w:t>
      </w:r>
      <w:r w:rsidR="00860D51" w:rsidRPr="003C742E">
        <w:t xml:space="preserve"> </w:t>
      </w:r>
      <w:r w:rsidRPr="003C742E">
        <w:t xml:space="preserve">0.667; point estimate </w:t>
      </w:r>
      <w:r w:rsidR="00860D51" w:rsidRPr="003C742E">
        <w:t>≥</w:t>
      </w:r>
      <w:r w:rsidR="00CF6BBC" w:rsidRPr="003C742E">
        <w:t> </w:t>
      </w:r>
      <w:r w:rsidRPr="003C742E">
        <w:t xml:space="preserve">0.8). The difference in adolescent </w:t>
      </w:r>
      <w:r w:rsidR="005969ED" w:rsidRPr="003C742E">
        <w:t>seroresponse rate</w:t>
      </w:r>
      <w:r w:rsidRPr="003C742E">
        <w:t xml:space="preserve"> compared to young adult </w:t>
      </w:r>
      <w:r w:rsidR="005969ED" w:rsidRPr="003C742E">
        <w:t>seroresponse rate</w:t>
      </w:r>
      <w:r w:rsidR="00A15C0C" w:rsidRPr="003C742E">
        <w:t xml:space="preserve"> </w:t>
      </w:r>
      <w:r w:rsidRPr="003C742E">
        <w:t xml:space="preserve">was 0.7% (95% CI: -0.8, 2.4), meeting the </w:t>
      </w:r>
      <w:r w:rsidR="005969ED" w:rsidRPr="003C742E">
        <w:t>non-inferiority</w:t>
      </w:r>
      <w:r w:rsidRPr="003C742E">
        <w:t xml:space="preserve"> criterion (lower bound of the 95%</w:t>
      </w:r>
      <w:r w:rsidR="00CF6BBC" w:rsidRPr="003C742E">
        <w:t> </w:t>
      </w:r>
      <w:r w:rsidRPr="003C742E">
        <w:t xml:space="preserve">CI of the </w:t>
      </w:r>
      <w:r w:rsidR="005969ED" w:rsidRPr="003C742E">
        <w:t>seroresponse rate</w:t>
      </w:r>
      <w:r w:rsidR="00A15C0C" w:rsidRPr="003C742E">
        <w:t xml:space="preserve"> </w:t>
      </w:r>
      <w:r w:rsidRPr="003C742E">
        <w:t xml:space="preserve">difference </w:t>
      </w:r>
      <w:r w:rsidR="003C742E" w:rsidRPr="003C742E">
        <w:t>is more than</w:t>
      </w:r>
      <w:r w:rsidR="00860D51" w:rsidRPr="003C742E">
        <w:t xml:space="preserve"> </w:t>
      </w:r>
      <w:r w:rsidRPr="003C742E">
        <w:t>-10%).</w:t>
      </w:r>
    </w:p>
    <w:p w14:paraId="25996620" w14:textId="0D7D9941" w:rsidR="005E435C" w:rsidRPr="003C742E" w:rsidRDefault="005E435C" w:rsidP="005E435C">
      <w:r w:rsidRPr="003C742E">
        <w:t xml:space="preserve">Participants with evidence of SARS-CoV-2 infection pre-booster had higher </w:t>
      </w:r>
      <w:r w:rsidR="007E3135" w:rsidRPr="003C742E">
        <w:t>neutralising antibody</w:t>
      </w:r>
      <w:r w:rsidRPr="003C742E">
        <w:t xml:space="preserve"> and </w:t>
      </w:r>
      <w:r w:rsidR="007E3135" w:rsidRPr="003C742E">
        <w:t>binding antibody</w:t>
      </w:r>
      <w:r w:rsidRPr="003C742E">
        <w:t xml:space="preserve"> levels</w:t>
      </w:r>
      <w:r w:rsidR="00A15C0C" w:rsidRPr="003C742E">
        <w:t xml:space="preserve"> </w:t>
      </w:r>
      <w:r w:rsidRPr="003C742E">
        <w:t xml:space="preserve">at </w:t>
      </w:r>
      <w:r w:rsidR="00B941A1" w:rsidRPr="003C742E">
        <w:t>booster dose Day</w:t>
      </w:r>
      <w:r w:rsidRPr="003C742E">
        <w:t xml:space="preserve"> 1 than participants without prior infection. Nonetheless, </w:t>
      </w:r>
      <w:r w:rsidR="00B941A1" w:rsidRPr="003C742E">
        <w:t>booster dose</w:t>
      </w:r>
      <w:r w:rsidRPr="003C742E">
        <w:t xml:space="preserve"> administration enhanced</w:t>
      </w:r>
      <w:r w:rsidR="00A15C0C" w:rsidRPr="003C742E">
        <w:t xml:space="preserve"> </w:t>
      </w:r>
      <w:r w:rsidR="007E3135" w:rsidRPr="003C742E">
        <w:t>neutralising antibody</w:t>
      </w:r>
      <w:r w:rsidRPr="003C742E">
        <w:t xml:space="preserve"> and </w:t>
      </w:r>
      <w:r w:rsidR="007E3135" w:rsidRPr="003C742E">
        <w:t>binding antibody</w:t>
      </w:r>
      <w:r w:rsidRPr="003C742E">
        <w:t xml:space="preserve"> levels measured on </w:t>
      </w:r>
      <w:r w:rsidR="00B941A1" w:rsidRPr="003C742E">
        <w:t>booster dose Day</w:t>
      </w:r>
      <w:r w:rsidRPr="003C742E">
        <w:t xml:space="preserve"> 29 in both groups. This report also summari</w:t>
      </w:r>
      <w:r w:rsidR="00A15C0C" w:rsidRPr="003C742E">
        <w:t>s</w:t>
      </w:r>
      <w:r w:rsidRPr="003C742E">
        <w:t>es that</w:t>
      </w:r>
      <w:r w:rsidR="00A15C0C" w:rsidRPr="003C742E">
        <w:t xml:space="preserve"> </w:t>
      </w:r>
      <w:r w:rsidRPr="003C742E">
        <w:t xml:space="preserve">administration of the mRNA-1273 </w:t>
      </w:r>
      <w:r w:rsidR="00B941A1" w:rsidRPr="003C742E">
        <w:t>booster dose</w:t>
      </w:r>
      <w:r w:rsidRPr="003C742E">
        <w:t xml:space="preserve"> induced measurable </w:t>
      </w:r>
      <w:r w:rsidR="007E3135" w:rsidRPr="003C742E">
        <w:t>binding antibody</w:t>
      </w:r>
      <w:r w:rsidRPr="003C742E">
        <w:t xml:space="preserve"> responses against the Alpha,</w:t>
      </w:r>
      <w:r w:rsidR="00A15C0C" w:rsidRPr="003C742E">
        <w:t xml:space="preserve"> </w:t>
      </w:r>
      <w:r w:rsidRPr="003C742E">
        <w:t>Beta, Delta, and Gamma variants.</w:t>
      </w:r>
    </w:p>
    <w:p w14:paraId="1CA577F4" w14:textId="1C807597" w:rsidR="005E435C" w:rsidRPr="003C742E" w:rsidRDefault="005E435C" w:rsidP="005E435C">
      <w:r w:rsidRPr="003C742E">
        <w:t>As an additional exploratory analysis, monthly incidence rates of COVID-19 were evaluated</w:t>
      </w:r>
      <w:r w:rsidR="00A15C0C" w:rsidRPr="003C742E">
        <w:t xml:space="preserve"> </w:t>
      </w:r>
      <w:r w:rsidRPr="003C742E">
        <w:t xml:space="preserve">among booster participants and non-booster participants. In the month of January 2022 (the peak of the Omicron surge), using the </w:t>
      </w:r>
      <w:r w:rsidR="001E2B87" w:rsidRPr="003C742E">
        <w:t>Study P301</w:t>
      </w:r>
      <w:r w:rsidRPr="003C742E">
        <w:t xml:space="preserve"> COVID-19 case definition, the rate of COVID</w:t>
      </w:r>
      <w:r w:rsidR="00CF6BBC" w:rsidRPr="003C742E">
        <w:noBreakHyphen/>
      </w:r>
      <w:r w:rsidRPr="003C742E">
        <w:t>19 among boosted participants (0 cases</w:t>
      </w:r>
      <w:r w:rsidR="007E3135" w:rsidRPr="003C742E">
        <w:t xml:space="preserve"> per </w:t>
      </w:r>
      <w:r w:rsidRPr="003C742E">
        <w:t xml:space="preserve">1000 </w:t>
      </w:r>
      <w:r w:rsidR="00B941A1" w:rsidRPr="003C742E">
        <w:t xml:space="preserve">person </w:t>
      </w:r>
      <w:r w:rsidRPr="003C742E">
        <w:t>months) was lower than the rate among non-booster participants (95.766 cases</w:t>
      </w:r>
      <w:r w:rsidR="007E3135" w:rsidRPr="003C742E">
        <w:t xml:space="preserve"> per </w:t>
      </w:r>
      <w:r w:rsidRPr="003C742E">
        <w:t xml:space="preserve">1000 </w:t>
      </w:r>
      <w:r w:rsidR="00B941A1" w:rsidRPr="003C742E">
        <w:t xml:space="preserve">person </w:t>
      </w:r>
      <w:r w:rsidRPr="003C742E">
        <w:t>months). Lower rates in booster participants were also observed in this time period using the</w:t>
      </w:r>
      <w:r w:rsidR="003C742E" w:rsidRPr="003C742E">
        <w:t xml:space="preserve"> Centers for Disease Control and Prevention</w:t>
      </w:r>
      <w:r w:rsidRPr="003C742E">
        <w:t xml:space="preserve"> </w:t>
      </w:r>
      <w:r w:rsidR="003C742E" w:rsidRPr="003C742E">
        <w:t>(</w:t>
      </w:r>
      <w:r w:rsidRPr="003C742E">
        <w:t>CDC</w:t>
      </w:r>
      <w:r w:rsidR="003C742E" w:rsidRPr="003C742E">
        <w:t>)</w:t>
      </w:r>
      <w:r w:rsidRPr="003C742E">
        <w:t xml:space="preserve"> COVID-19 case definition (15.653 cases</w:t>
      </w:r>
      <w:r w:rsidR="007E3135" w:rsidRPr="003C742E">
        <w:t xml:space="preserve"> per </w:t>
      </w:r>
      <w:r w:rsidRPr="003C742E">
        <w:t xml:space="preserve">1000 </w:t>
      </w:r>
      <w:r w:rsidR="00B941A1" w:rsidRPr="003C742E">
        <w:t xml:space="preserve">person </w:t>
      </w:r>
      <w:r w:rsidRPr="003C742E">
        <w:t>months among booster participants vs 128.308 cases</w:t>
      </w:r>
      <w:r w:rsidR="007E3135" w:rsidRPr="003C742E">
        <w:t xml:space="preserve"> per </w:t>
      </w:r>
      <w:r w:rsidRPr="003C742E">
        <w:t xml:space="preserve">1000 </w:t>
      </w:r>
      <w:r w:rsidR="00B941A1" w:rsidRPr="003C742E">
        <w:t xml:space="preserve">person </w:t>
      </w:r>
      <w:r w:rsidRPr="003C742E">
        <w:t>months among non-booster participants). No COVID-19 cases were assessed as severe, and none led to hospitali</w:t>
      </w:r>
      <w:r w:rsidR="00A15C0C" w:rsidRPr="003C742E">
        <w:t>s</w:t>
      </w:r>
      <w:r w:rsidRPr="003C742E">
        <w:t>ation or death.</w:t>
      </w:r>
    </w:p>
    <w:p w14:paraId="59E613D5" w14:textId="4C3F711D" w:rsidR="005E435C" w:rsidRPr="003C742E" w:rsidRDefault="005E435C" w:rsidP="005E435C">
      <w:r w:rsidRPr="003C742E">
        <w:t xml:space="preserve">Review of safety data show that the 50 μg </w:t>
      </w:r>
      <w:r w:rsidR="00B941A1" w:rsidRPr="003C742E">
        <w:t>booster dose</w:t>
      </w:r>
      <w:r w:rsidRPr="003C742E">
        <w:t xml:space="preserve"> was well tolerated. There were no new safety</w:t>
      </w:r>
      <w:r w:rsidR="00A15C0C" w:rsidRPr="003C742E">
        <w:t xml:space="preserve"> </w:t>
      </w:r>
      <w:r w:rsidRPr="003C742E">
        <w:t xml:space="preserve">findings observed in the mRNA-1273 Booster Phase of </w:t>
      </w:r>
      <w:r w:rsidR="0053571E" w:rsidRPr="003C742E">
        <w:t>Study P20</w:t>
      </w:r>
      <w:r w:rsidRPr="003C742E">
        <w:t xml:space="preserve">3 and in general, the </w:t>
      </w:r>
      <w:r w:rsidR="00B941A1" w:rsidRPr="003C742E">
        <w:t>booster dose</w:t>
      </w:r>
      <w:r w:rsidR="00A15C0C" w:rsidRPr="003C742E">
        <w:t xml:space="preserve"> </w:t>
      </w:r>
      <w:r w:rsidRPr="003C742E">
        <w:t xml:space="preserve">showed less reactogenicity than the primary series. Overall, most solicited </w:t>
      </w:r>
      <w:r w:rsidR="001872C7" w:rsidRPr="003C742E">
        <w:t>adverse reactions</w:t>
      </w:r>
      <w:r w:rsidRPr="003C742E">
        <w:t xml:space="preserve"> were </w:t>
      </w:r>
      <w:r w:rsidR="00CF6BBC" w:rsidRPr="003C742E">
        <w:t xml:space="preserve">Grade </w:t>
      </w:r>
      <w:r w:rsidRPr="003C742E">
        <w:t>1 or</w:t>
      </w:r>
      <w:r w:rsidR="00A15C0C" w:rsidRPr="003C742E">
        <w:t xml:space="preserve"> </w:t>
      </w:r>
      <w:r w:rsidRPr="003C742E">
        <w:t xml:space="preserve">2 in severity and had onset within the first 2 days after injection, with a median duration of 3 days for solicited local </w:t>
      </w:r>
      <w:r w:rsidR="00A43D72" w:rsidRPr="00A43D72">
        <w:t>adverse reaction</w:t>
      </w:r>
      <w:r w:rsidR="00A43D72">
        <w:t>s</w:t>
      </w:r>
      <w:r w:rsidRPr="003C742E">
        <w:t xml:space="preserve"> and 2 days for solicited systemic </w:t>
      </w:r>
      <w:r w:rsidR="00A43D72" w:rsidRPr="00A43D72">
        <w:t>adverse reaction</w:t>
      </w:r>
      <w:r w:rsidR="00A43D72">
        <w:t>s</w:t>
      </w:r>
      <w:r w:rsidRPr="003C742E">
        <w:t>. The most frequently</w:t>
      </w:r>
      <w:r w:rsidR="00A15C0C" w:rsidRPr="003C742E">
        <w:t xml:space="preserve"> </w:t>
      </w:r>
      <w:r w:rsidRPr="003C742E">
        <w:t xml:space="preserve">reported solicited local </w:t>
      </w:r>
      <w:r w:rsidR="00A43D72">
        <w:t>adverse reaction</w:t>
      </w:r>
      <w:r w:rsidRPr="003C742E">
        <w:t xml:space="preserve"> was pain, and the most frequently reported systemic solicited </w:t>
      </w:r>
      <w:r w:rsidR="00A43D72" w:rsidRPr="00A43D72">
        <w:t>adverse reaction</w:t>
      </w:r>
      <w:r w:rsidR="00A43D72">
        <w:t>s</w:t>
      </w:r>
      <w:r w:rsidR="00A15C0C" w:rsidRPr="003C742E">
        <w:t xml:space="preserve"> </w:t>
      </w:r>
      <w:r w:rsidRPr="003C742E">
        <w:t xml:space="preserve">were headache and fatigue. Solicited local </w:t>
      </w:r>
      <w:r w:rsidR="00A43D72" w:rsidRPr="00A43D72">
        <w:t>adverse reaction</w:t>
      </w:r>
      <w:r w:rsidR="00A43D72">
        <w:t>s</w:t>
      </w:r>
      <w:r w:rsidRPr="003C742E">
        <w:t xml:space="preserve"> were similar in participants with and without</w:t>
      </w:r>
      <w:r w:rsidR="00A15C0C" w:rsidRPr="003C742E">
        <w:t xml:space="preserve"> </w:t>
      </w:r>
      <w:r w:rsidRPr="003C742E">
        <w:t xml:space="preserve">SARS-CoV-2 </w:t>
      </w:r>
      <w:r w:rsidRPr="003C742E">
        <w:lastRenderedPageBreak/>
        <w:t xml:space="preserve">infection prior to </w:t>
      </w:r>
      <w:r w:rsidR="00B941A1" w:rsidRPr="003C742E">
        <w:t>booster dose</w:t>
      </w:r>
      <w:r w:rsidRPr="003C742E">
        <w:t xml:space="preserve"> (</w:t>
      </w:r>
      <w:r w:rsidR="00860D51" w:rsidRPr="003C742E">
        <w:t>that is,</w:t>
      </w:r>
      <w:r w:rsidRPr="003C742E">
        <w:t xml:space="preserve"> SARS-CoV-2 pre-booster positive and SARS-CoV-2</w:t>
      </w:r>
      <w:r w:rsidR="00A15C0C" w:rsidRPr="003C742E">
        <w:t xml:space="preserve"> </w:t>
      </w:r>
      <w:r w:rsidRPr="003C742E">
        <w:t xml:space="preserve">pre-booster negative). However, reported rates of solicited systemic </w:t>
      </w:r>
      <w:r w:rsidR="00A43D72" w:rsidRPr="00A43D72">
        <w:t>adverse reaction</w:t>
      </w:r>
      <w:r w:rsidR="00A43D72">
        <w:t>s</w:t>
      </w:r>
      <w:r w:rsidRPr="003C742E">
        <w:t xml:space="preserve"> (particularly </w:t>
      </w:r>
      <w:r w:rsidR="00A43D72" w:rsidRPr="00A43D72">
        <w:t>adverse reaction</w:t>
      </w:r>
      <w:r w:rsidR="00A43D72">
        <w:t>s</w:t>
      </w:r>
      <w:r w:rsidRPr="003C742E">
        <w:t xml:space="preserve"> of</w:t>
      </w:r>
      <w:r w:rsidR="00A15C0C" w:rsidRPr="003C742E">
        <w:t xml:space="preserve"> </w:t>
      </w:r>
      <w:r w:rsidRPr="003C742E">
        <w:t>fever, headache, fatigue, and chills) were lower among SARS</w:t>
      </w:r>
      <w:r w:rsidR="00C361C3" w:rsidRPr="003C742E">
        <w:noBreakHyphen/>
      </w:r>
      <w:r w:rsidRPr="003C742E">
        <w:t>CoV</w:t>
      </w:r>
      <w:r w:rsidR="00C361C3" w:rsidRPr="003C742E">
        <w:noBreakHyphen/>
      </w:r>
      <w:r w:rsidRPr="003C742E">
        <w:t>2 pre</w:t>
      </w:r>
      <w:r w:rsidR="00F27F2E" w:rsidRPr="003C742E">
        <w:noBreakHyphen/>
      </w:r>
      <w:r w:rsidRPr="003C742E">
        <w:t>booster positive</w:t>
      </w:r>
      <w:r w:rsidR="00A15C0C" w:rsidRPr="003C742E">
        <w:t xml:space="preserve"> </w:t>
      </w:r>
      <w:r w:rsidRPr="003C742E">
        <w:t>participants (68.9%) compared to SARS-CoV-2 pre-booster negative participants (80.7%).</w:t>
      </w:r>
    </w:p>
    <w:p w14:paraId="3F176872" w14:textId="015673CD" w:rsidR="005E435C" w:rsidRPr="003C742E" w:rsidRDefault="005E435C" w:rsidP="005E435C">
      <w:r w:rsidRPr="003C742E">
        <w:t xml:space="preserve">Overall, the </w:t>
      </w:r>
      <w:r w:rsidR="00B941A1" w:rsidRPr="003C742E">
        <w:t>booster dose</w:t>
      </w:r>
      <w:r w:rsidRPr="003C742E">
        <w:t xml:space="preserve"> resulted in less reactogenicity than the primary series, as demonstrated by fewer </w:t>
      </w:r>
      <w:r w:rsidR="00F27F2E" w:rsidRPr="003C742E">
        <w:t>Grade</w:t>
      </w:r>
      <w:r w:rsidRPr="003C742E">
        <w:t xml:space="preserve"> 3 or higher local and systemic </w:t>
      </w:r>
      <w:r w:rsidR="00A43D72" w:rsidRPr="00A43D72">
        <w:t>adverse reaction</w:t>
      </w:r>
      <w:r w:rsidR="00A43D72">
        <w:t>s</w:t>
      </w:r>
      <w:r w:rsidRPr="003C742E">
        <w:t xml:space="preserve"> after </w:t>
      </w:r>
      <w:r w:rsidR="00B941A1" w:rsidRPr="003C742E">
        <w:t>booster dose</w:t>
      </w:r>
      <w:r w:rsidRPr="003C742E">
        <w:t xml:space="preserve"> (4.6% and 8.2%, respectively,) compared with after Dose 2 of the primary series (9.8% and 13.4%, respectively).</w:t>
      </w:r>
    </w:p>
    <w:p w14:paraId="4FD287B3" w14:textId="3C6DA92B" w:rsidR="005E435C" w:rsidRPr="003C742E" w:rsidRDefault="005E435C" w:rsidP="005E435C">
      <w:r w:rsidRPr="003C742E">
        <w:t xml:space="preserve">The profiles of unsolicited </w:t>
      </w:r>
      <w:r w:rsidR="001872C7" w:rsidRPr="003C742E">
        <w:t>adverse events (</w:t>
      </w:r>
      <w:r w:rsidRPr="003C742E">
        <w:t>AEs</w:t>
      </w:r>
      <w:r w:rsidR="001872C7" w:rsidRPr="003C742E">
        <w:t>)</w:t>
      </w:r>
      <w:r w:rsidRPr="003C742E">
        <w:t xml:space="preserve"> and MAAEs, primarily reflective of infection and reactogenicity related events, demonstrated events typically observed in an adolescent population during the</w:t>
      </w:r>
      <w:r w:rsidR="00A15C0C" w:rsidRPr="003C742E">
        <w:t xml:space="preserve"> </w:t>
      </w:r>
      <w:r w:rsidRPr="003C742E">
        <w:t xml:space="preserve">COVID-19 pandemic. There were no SAEs and no </w:t>
      </w:r>
      <w:r w:rsidR="003C742E" w:rsidRPr="003C742E">
        <w:t>adverse events of special interest (</w:t>
      </w:r>
      <w:r w:rsidRPr="003C742E">
        <w:t>AESIs</w:t>
      </w:r>
      <w:r w:rsidR="003C742E" w:rsidRPr="003C742E">
        <w:t>)</w:t>
      </w:r>
      <w:r w:rsidRPr="003C742E">
        <w:t xml:space="preserve"> reported within 28 days after </w:t>
      </w:r>
      <w:r w:rsidR="00B941A1" w:rsidRPr="003C742E">
        <w:t>booster dose</w:t>
      </w:r>
      <w:r w:rsidRPr="003C742E">
        <w:t>.</w:t>
      </w:r>
    </w:p>
    <w:p w14:paraId="56C9DA69" w14:textId="704EDC0F" w:rsidR="005E435C" w:rsidRPr="003C742E" w:rsidRDefault="005E435C" w:rsidP="005E435C">
      <w:r w:rsidRPr="003C742E">
        <w:t xml:space="preserve">Starting 28 days after </w:t>
      </w:r>
      <w:r w:rsidR="00B941A1" w:rsidRPr="003C742E">
        <w:t>booster dose</w:t>
      </w:r>
      <w:r w:rsidRPr="003C742E">
        <w:t xml:space="preserve"> and up to the data cut-off (15 Aug</w:t>
      </w:r>
      <w:r w:rsidR="007E3135" w:rsidRPr="003C742E">
        <w:t>ust</w:t>
      </w:r>
      <w:r w:rsidRPr="003C742E">
        <w:t xml:space="preserve"> 2022), SAEs were reported for 6</w:t>
      </w:r>
      <w:r w:rsidR="00A15C0C" w:rsidRPr="003C742E">
        <w:t xml:space="preserve"> </w:t>
      </w:r>
      <w:r w:rsidRPr="003C742E">
        <w:t>participants and AESIs were reported for 2 participants; none were related to vaccine. There</w:t>
      </w:r>
      <w:r w:rsidR="00A15C0C" w:rsidRPr="003C742E">
        <w:t xml:space="preserve"> </w:t>
      </w:r>
      <w:r w:rsidRPr="003C742E">
        <w:t xml:space="preserve">were no reported deaths or cases of </w:t>
      </w:r>
      <w:r w:rsidR="003C742E" w:rsidRPr="003C742E">
        <w:t>multisystem inflammatory syndrome in children (</w:t>
      </w:r>
      <w:r w:rsidRPr="003C742E">
        <w:t>MIS-C</w:t>
      </w:r>
      <w:r w:rsidR="003C742E" w:rsidRPr="003C742E">
        <w:t>)</w:t>
      </w:r>
      <w:r w:rsidRPr="003C742E">
        <w:t>, and even with the enhanced surveillance</w:t>
      </w:r>
      <w:r w:rsidR="00A15C0C" w:rsidRPr="003C742E">
        <w:t xml:space="preserve"> </w:t>
      </w:r>
      <w:r w:rsidRPr="003C742E">
        <w:t>implemented in this study, no TEAEs indicative of myocarditis or pericarditis was identified.</w:t>
      </w:r>
    </w:p>
    <w:p w14:paraId="2D46D569" w14:textId="716A8065" w:rsidR="00D03EE9" w:rsidRPr="00D03EE9" w:rsidRDefault="00D03EE9" w:rsidP="00D03EE9">
      <w:pPr>
        <w:pStyle w:val="Heading6"/>
      </w:pPr>
      <w:bookmarkStart w:id="143" w:name="_Hlk133250197"/>
      <w:bookmarkStart w:id="144" w:name="_Hlk130930597"/>
      <w:r w:rsidRPr="00D03EE9">
        <w:t xml:space="preserve">Summary for </w:t>
      </w:r>
      <w:r w:rsidR="00C01B77">
        <w:t>use of Spikevax in adolescents</w:t>
      </w:r>
    </w:p>
    <w:bookmarkEnd w:id="143"/>
    <w:p w14:paraId="18CCC597" w14:textId="1175E395" w:rsidR="005E435C" w:rsidRPr="003C742E" w:rsidRDefault="005E435C" w:rsidP="005E435C">
      <w:r w:rsidRPr="003C742E">
        <w:t>Overall, the reactogenicity profile was consistent with that seen in adults. Long-term safety was demonstrated through a median of 312 days after Dose</w:t>
      </w:r>
      <w:r w:rsidR="00F27F2E" w:rsidRPr="003C742E">
        <w:t> </w:t>
      </w:r>
      <w:r w:rsidRPr="003C742E">
        <w:t>2 in the mRNA-1273 group. There were no deaths, related SAEs, or cases of MIS-C in the long</w:t>
      </w:r>
      <w:r w:rsidR="00F27F2E" w:rsidRPr="003C742E">
        <w:noBreakHyphen/>
      </w:r>
      <w:r w:rsidRPr="003C742E">
        <w:t xml:space="preserve">term follow-up or evidence of new, delayed-onset safety concerns. In summary, no new trends or safety concerns were identified as of the cut-off date of Part 1C-1 of </w:t>
      </w:r>
      <w:r w:rsidR="0053571E" w:rsidRPr="003C742E">
        <w:t>Study P20</w:t>
      </w:r>
      <w:r w:rsidRPr="003C742E">
        <w:t>3 (15</w:t>
      </w:r>
      <w:r w:rsidR="00F27F2E" w:rsidRPr="003C742E">
        <w:t> </w:t>
      </w:r>
      <w:r w:rsidR="007E3135" w:rsidRPr="003C742E">
        <w:t>August</w:t>
      </w:r>
      <w:r w:rsidR="00F27F2E" w:rsidRPr="003C742E">
        <w:t> </w:t>
      </w:r>
      <w:r w:rsidRPr="003C742E">
        <w:t>2022) and the safety findings were consistent with the known safety profile of mRNA</w:t>
      </w:r>
      <w:r w:rsidR="00F27F2E" w:rsidRPr="003C742E">
        <w:noBreakHyphen/>
      </w:r>
      <w:r w:rsidRPr="003C742E">
        <w:t>1273 and events typical in an adolescent population.</w:t>
      </w:r>
    </w:p>
    <w:p w14:paraId="02C4E45C" w14:textId="17518813" w:rsidR="005E435C" w:rsidRPr="003C742E" w:rsidRDefault="005E435C" w:rsidP="005E435C">
      <w:r w:rsidRPr="003C742E">
        <w:t>Overall, mRNA-1273 is generally well-tolerated. No unexpected findings were identified. In this clinical study, mRNA-1273 in an adolescent population was observed to have a favourable benefit</w:t>
      </w:r>
      <w:r w:rsidR="00F27F2E" w:rsidRPr="003C742E">
        <w:t>-</w:t>
      </w:r>
      <w:r w:rsidRPr="003C742E">
        <w:t>risk profile.</w:t>
      </w:r>
    </w:p>
    <w:p w14:paraId="5679613B" w14:textId="36BB817F" w:rsidR="005E435C" w:rsidRPr="003C742E" w:rsidRDefault="005E435C" w:rsidP="005E435C">
      <w:r w:rsidRPr="003C742E">
        <w:t xml:space="preserve">The sponsor has provided comprehensive, confirmatory long-term post-provisional registration safety data for mRNA-1273 in for the primary series and booster </w:t>
      </w:r>
      <w:bookmarkStart w:id="145" w:name="_Hlk130930500"/>
      <w:r w:rsidRPr="003C742E">
        <w:t xml:space="preserve">in </w:t>
      </w:r>
      <w:r w:rsidR="00F27F2E" w:rsidRPr="003C742E">
        <w:t xml:space="preserve">adolescent </w:t>
      </w:r>
      <w:r w:rsidRPr="003C742E">
        <w:t xml:space="preserve">(12 to17 years of age). </w:t>
      </w:r>
      <w:bookmarkEnd w:id="145"/>
      <w:r w:rsidRPr="003C742E">
        <w:t>No unexpected reactogenicity or new safety signal of concern is detected.</w:t>
      </w:r>
    </w:p>
    <w:p w14:paraId="0993FD0A" w14:textId="586B8570" w:rsidR="005E435C" w:rsidRPr="003C742E" w:rsidRDefault="005E435C" w:rsidP="005E435C">
      <w:r w:rsidRPr="003C742E">
        <w:t xml:space="preserve">The available clinical data appears comprehensive and confirmatory with a favourable benefit risk profile to support for the transition from Provisional Registration to Full Registration for the </w:t>
      </w:r>
      <w:r w:rsidR="009700F9" w:rsidRPr="003C742E">
        <w:t>Spikevax</w:t>
      </w:r>
      <w:r w:rsidRPr="003C742E">
        <w:t xml:space="preserve"> in in Adolescent (12 to17 years of age). The outstanding clinical data from Study</w:t>
      </w:r>
      <w:r w:rsidR="00F27F2E" w:rsidRPr="003C742E">
        <w:t> </w:t>
      </w:r>
      <w:r w:rsidR="0053571E" w:rsidRPr="003C742E">
        <w:t>P20</w:t>
      </w:r>
      <w:r w:rsidRPr="003C742E">
        <w:t>3 can be made a post-approval commitment.</w:t>
      </w:r>
    </w:p>
    <w:bookmarkEnd w:id="144"/>
    <w:p w14:paraId="4A853946" w14:textId="4E3BC0D1" w:rsidR="00D03EE9" w:rsidRPr="00D03EE9" w:rsidRDefault="00C01B77" w:rsidP="00D03EE9">
      <w:pPr>
        <w:pStyle w:val="Heading5"/>
      </w:pPr>
      <w:r>
        <w:t>Use in p</w:t>
      </w:r>
      <w:r w:rsidR="00D03EE9" w:rsidRPr="00D03EE9">
        <w:t>aediatric population</w:t>
      </w:r>
      <w:r>
        <w:t>s</w:t>
      </w:r>
    </w:p>
    <w:p w14:paraId="0C144759" w14:textId="2B27F908" w:rsidR="005E435C" w:rsidRPr="00A53503" w:rsidRDefault="005E435C" w:rsidP="005E435C">
      <w:pPr>
        <w:rPr>
          <w:vertAlign w:val="superscript"/>
        </w:rPr>
      </w:pPr>
      <w:r w:rsidRPr="003C742E">
        <w:t>Data from Study P204 (at cut-off of 10</w:t>
      </w:r>
      <w:r w:rsidR="00F27F2E" w:rsidRPr="003C742E">
        <w:t xml:space="preserve"> November </w:t>
      </w:r>
      <w:r w:rsidRPr="003C742E">
        <w:t>2021) supported the Provisional registration (</w:t>
      </w:r>
      <w:r w:rsidR="003C742E" w:rsidRPr="003C742E">
        <w:t xml:space="preserve">Submission </w:t>
      </w:r>
      <w:r w:rsidRPr="003C742E">
        <w:t>PM</w:t>
      </w:r>
      <w:r w:rsidR="003C742E" w:rsidRPr="003C742E">
        <w:t>-</w:t>
      </w:r>
      <w:r w:rsidRPr="003C742E">
        <w:t>2021-05269-1-2) of Spikevax for use in children 6 to 11 years of age on 17</w:t>
      </w:r>
      <w:r w:rsidR="00F27F2E" w:rsidRPr="003C742E">
        <w:t xml:space="preserve"> February </w:t>
      </w:r>
      <w:r w:rsidRPr="003C742E">
        <w:t>202</w:t>
      </w:r>
      <w:r w:rsidR="0090271C">
        <w:t>2</w:t>
      </w:r>
      <w:r w:rsidRPr="003C742E">
        <w:t>.</w:t>
      </w:r>
      <w:r w:rsidR="00C01B77" w:rsidRPr="00A53503">
        <w:rPr>
          <w:vertAlign w:val="superscript"/>
        </w:rPr>
        <w:fldChar w:fldCharType="begin"/>
      </w:r>
      <w:r w:rsidR="00C01B77" w:rsidRPr="00A53503">
        <w:rPr>
          <w:vertAlign w:val="superscript"/>
        </w:rPr>
        <w:instrText xml:space="preserve"> NOTEREF _Ref134437626 \h </w:instrText>
      </w:r>
      <w:r w:rsidR="00C01B77">
        <w:rPr>
          <w:vertAlign w:val="superscript"/>
        </w:rPr>
        <w:instrText xml:space="preserve"> \* MERGEFORMAT </w:instrText>
      </w:r>
      <w:r w:rsidR="00C01B77" w:rsidRPr="00A53503">
        <w:rPr>
          <w:vertAlign w:val="superscript"/>
        </w:rPr>
      </w:r>
      <w:r w:rsidR="00C01B77" w:rsidRPr="00A53503">
        <w:rPr>
          <w:vertAlign w:val="superscript"/>
        </w:rPr>
        <w:fldChar w:fldCharType="separate"/>
      </w:r>
      <w:r w:rsidR="0005046B">
        <w:rPr>
          <w:vertAlign w:val="superscript"/>
        </w:rPr>
        <w:t>28</w:t>
      </w:r>
      <w:r w:rsidR="00C01B77" w:rsidRPr="00A53503">
        <w:rPr>
          <w:vertAlign w:val="superscript"/>
        </w:rPr>
        <w:fldChar w:fldCharType="end"/>
      </w:r>
    </w:p>
    <w:p w14:paraId="0101E9CB" w14:textId="548355E1" w:rsidR="005E435C" w:rsidRPr="00D03EE9" w:rsidRDefault="005E435C" w:rsidP="00D03EE9">
      <w:pPr>
        <w:pStyle w:val="Heading6"/>
      </w:pPr>
      <w:r w:rsidRPr="00D03EE9">
        <w:t>Study P204</w:t>
      </w:r>
      <w:r w:rsidR="00C01B77">
        <w:t xml:space="preserve"> (Phase II/III)</w:t>
      </w:r>
    </w:p>
    <w:p w14:paraId="4172B6A9" w14:textId="3109D0A5" w:rsidR="005E435C" w:rsidRPr="003C742E" w:rsidRDefault="00C01B77" w:rsidP="005E435C">
      <w:r>
        <w:t>Study mRNA-1273-P204 (</w:t>
      </w:r>
      <w:r w:rsidR="00F27F2E" w:rsidRPr="003C742E">
        <w:t>Study P204</w:t>
      </w:r>
      <w:r>
        <w:t>)</w:t>
      </w:r>
      <w:r w:rsidR="00F27F2E" w:rsidRPr="003C742E">
        <w:t xml:space="preserve"> is a </w:t>
      </w:r>
      <w:r w:rsidR="005E435C" w:rsidRPr="003C742E">
        <w:t xml:space="preserve">Phase </w:t>
      </w:r>
      <w:r w:rsidR="001705C1" w:rsidRPr="003C742E">
        <w:t>II/III</w:t>
      </w:r>
      <w:r w:rsidR="005E435C" w:rsidRPr="003C742E">
        <w:t xml:space="preserve">, two-part, </w:t>
      </w:r>
      <w:r w:rsidR="001705C1" w:rsidRPr="003C742E">
        <w:t>open label</w:t>
      </w:r>
      <w:r w:rsidR="005E435C" w:rsidRPr="003C742E">
        <w:t>, dose</w:t>
      </w:r>
      <w:r w:rsidR="001705C1" w:rsidRPr="003C742E">
        <w:t xml:space="preserve"> </w:t>
      </w:r>
      <w:r w:rsidR="005E435C" w:rsidRPr="003C742E">
        <w:t xml:space="preserve">escalation, age de-escalation and subsequent randomised, observer blind, </w:t>
      </w:r>
      <w:r w:rsidR="00B941A1" w:rsidRPr="003C742E">
        <w:t xml:space="preserve">placebo </w:t>
      </w:r>
      <w:r w:rsidR="005E435C" w:rsidRPr="003C742E">
        <w:t>controlled expansion study to evaluate the safety, tolerability, reactogenicity, and effectiveness of mRNA-1273 in healthy children 6 months to less than 12 years of age.</w:t>
      </w:r>
      <w:r w:rsidRPr="00A53503">
        <w:rPr>
          <w:vertAlign w:val="superscript"/>
        </w:rPr>
        <w:fldChar w:fldCharType="begin"/>
      </w:r>
      <w:r w:rsidRPr="00A53503">
        <w:rPr>
          <w:vertAlign w:val="superscript"/>
        </w:rPr>
        <w:instrText xml:space="preserve"> NOTEREF _Ref134437703 \h </w:instrText>
      </w:r>
      <w:r>
        <w:rPr>
          <w:vertAlign w:val="superscript"/>
        </w:rPr>
        <w:instrText xml:space="preserve"> \* MERGEFORMAT </w:instrText>
      </w:r>
      <w:r w:rsidRPr="00A53503">
        <w:rPr>
          <w:vertAlign w:val="superscript"/>
        </w:rPr>
      </w:r>
      <w:r w:rsidRPr="00A53503">
        <w:rPr>
          <w:vertAlign w:val="superscript"/>
        </w:rPr>
        <w:fldChar w:fldCharType="separate"/>
      </w:r>
      <w:r w:rsidR="0005046B">
        <w:rPr>
          <w:vertAlign w:val="superscript"/>
        </w:rPr>
        <w:t>27</w:t>
      </w:r>
      <w:r w:rsidRPr="00A53503">
        <w:rPr>
          <w:vertAlign w:val="superscript"/>
        </w:rPr>
        <w:fldChar w:fldCharType="end"/>
      </w:r>
    </w:p>
    <w:p w14:paraId="68D647C9" w14:textId="68E43D40" w:rsidR="005E435C" w:rsidRPr="003C742E" w:rsidRDefault="005E435C" w:rsidP="005E435C">
      <w:r w:rsidRPr="003C742E">
        <w:lastRenderedPageBreak/>
        <w:t>In Part 1 safety and immunogenicity for 50</w:t>
      </w:r>
      <w:r w:rsidR="007E3135" w:rsidRPr="003C742E">
        <w:t xml:space="preserve"> µg</w:t>
      </w:r>
      <w:r w:rsidRPr="003C742E">
        <w:t xml:space="preserve"> and 100 </w:t>
      </w:r>
      <w:r w:rsidR="007E3135" w:rsidRPr="003C742E">
        <w:t>µg</w:t>
      </w:r>
      <w:r w:rsidRPr="003C742E">
        <w:t xml:space="preserve"> dose levels </w:t>
      </w:r>
      <w:r w:rsidR="00C91005">
        <w:t xml:space="preserve">of vaccine </w:t>
      </w:r>
      <w:r w:rsidRPr="003C742E">
        <w:t xml:space="preserve">were explored in children </w:t>
      </w:r>
      <w:r w:rsidR="00C91005">
        <w:t xml:space="preserve">from </w:t>
      </w:r>
      <w:r w:rsidRPr="003C742E">
        <w:t xml:space="preserve">6 to </w:t>
      </w:r>
      <w:r w:rsidR="00860D51" w:rsidRPr="003C742E">
        <w:t xml:space="preserve">less than </w:t>
      </w:r>
      <w:r w:rsidRPr="003C742E">
        <w:t>12 years of age (</w:t>
      </w:r>
      <w:r w:rsidR="00860D51" w:rsidRPr="003C742E">
        <w:t xml:space="preserve">n = </w:t>
      </w:r>
      <w:r w:rsidRPr="003C742E">
        <w:t>380 and 371 respectively). There appeared to be a dose response relationship, with higher reactogenicity from the 100</w:t>
      </w:r>
      <w:r w:rsidR="007E3135" w:rsidRPr="003C742E">
        <w:t xml:space="preserve"> µg</w:t>
      </w:r>
      <w:r w:rsidRPr="003C742E">
        <w:t xml:space="preserve"> </w:t>
      </w:r>
      <w:r w:rsidR="00C91005">
        <w:t xml:space="preserve">vaccine </w:t>
      </w:r>
      <w:r w:rsidRPr="003C742E">
        <w:t>dose compared to the 50</w:t>
      </w:r>
      <w:r w:rsidR="00C361C3" w:rsidRPr="003C742E">
        <w:t> </w:t>
      </w:r>
      <w:r w:rsidR="007E3135" w:rsidRPr="003C742E">
        <w:t>µg</w:t>
      </w:r>
      <w:r w:rsidRPr="003C742E">
        <w:t xml:space="preserve"> dose, evident in the rate of </w:t>
      </w:r>
      <w:r w:rsidR="001872C7" w:rsidRPr="003C742E">
        <w:t>AE</w:t>
      </w:r>
      <w:r w:rsidRPr="003C742E">
        <w:t>s Grade 3 and above. In Part 2, the 50</w:t>
      </w:r>
      <w:r w:rsidR="007E3135" w:rsidRPr="003C742E">
        <w:t xml:space="preserve"> µg</w:t>
      </w:r>
      <w:r w:rsidRPr="003C742E">
        <w:t xml:space="preserve"> dose was administered to 4000 participants, randomised </w:t>
      </w:r>
      <w:r w:rsidR="00C91005">
        <w:t xml:space="preserve">in a </w:t>
      </w:r>
      <w:r w:rsidRPr="003C742E">
        <w:t>3:1</w:t>
      </w:r>
      <w:r w:rsidR="00C91005">
        <w:t xml:space="preserve"> ratio</w:t>
      </w:r>
      <w:r w:rsidRPr="003C742E">
        <w:t xml:space="preserve"> (mRNA-1273: placebo).</w:t>
      </w:r>
    </w:p>
    <w:p w14:paraId="48787B7A" w14:textId="77777777" w:rsidR="00D03EE9" w:rsidRDefault="005E435C">
      <w:pPr>
        <w:pStyle w:val="Heading7"/>
      </w:pPr>
      <w:r w:rsidRPr="003C742E">
        <w:t>Immunogenicity</w:t>
      </w:r>
    </w:p>
    <w:p w14:paraId="7F8CDFE1" w14:textId="4D8281CA" w:rsidR="005E435C" w:rsidRPr="003C742E" w:rsidRDefault="005E435C" w:rsidP="005E435C">
      <w:r w:rsidRPr="003C742E">
        <w:t xml:space="preserve">Co-primary immunobridging at Day 57 </w:t>
      </w:r>
      <w:r w:rsidR="001E2B87" w:rsidRPr="003C742E">
        <w:t>per-protocol</w:t>
      </w:r>
      <w:r w:rsidRPr="003C742E">
        <w:t xml:space="preserve"> immunogenicity subset (Part</w:t>
      </w:r>
      <w:r w:rsidR="00F27F2E" w:rsidRPr="003C742E">
        <w:t> </w:t>
      </w:r>
      <w:r w:rsidRPr="003C742E">
        <w:t xml:space="preserve">2 Study </w:t>
      </w:r>
      <w:r w:rsidR="0053571E" w:rsidRPr="003C742E">
        <w:t>P20</w:t>
      </w:r>
      <w:r w:rsidRPr="003C742E">
        <w:t xml:space="preserve">4): The GMI and </w:t>
      </w:r>
      <w:r w:rsidR="005969ED" w:rsidRPr="003C742E">
        <w:t>seroresponse rate</w:t>
      </w:r>
      <w:r w:rsidRPr="003C742E">
        <w:t xml:space="preserve"> both successfully meet </w:t>
      </w:r>
      <w:r w:rsidR="005969ED" w:rsidRPr="003C742E">
        <w:t>non-inferiority</w:t>
      </w:r>
      <w:r w:rsidRPr="003C742E">
        <w:t xml:space="preserve"> criteria of the 50</w:t>
      </w:r>
      <w:r w:rsidR="00C91005">
        <w:t> </w:t>
      </w:r>
      <w:r w:rsidR="007E3135" w:rsidRPr="003C742E">
        <w:t>µg</w:t>
      </w:r>
      <w:r w:rsidRPr="003C742E">
        <w:t xml:space="preserve"> mRNA-1273 </w:t>
      </w:r>
      <w:r w:rsidR="00C91005">
        <w:t xml:space="preserve">vaccine </w:t>
      </w:r>
      <w:r w:rsidRPr="003C742E">
        <w:t xml:space="preserve">in children 6 to </w:t>
      </w:r>
      <w:r w:rsidR="00860D51" w:rsidRPr="003C742E">
        <w:t>less than</w:t>
      </w:r>
      <w:r w:rsidRPr="003C742E">
        <w:t xml:space="preserve"> 12 years compared to young adults receiving 100</w:t>
      </w:r>
      <w:r w:rsidR="007E3135" w:rsidRPr="003C742E">
        <w:t xml:space="preserve"> µg</w:t>
      </w:r>
      <w:r w:rsidRPr="003C742E">
        <w:t xml:space="preserve"> of mRNA-1273</w:t>
      </w:r>
      <w:r w:rsidR="00C91005">
        <w:t xml:space="preserve"> vaccine</w:t>
      </w:r>
      <w:r w:rsidRPr="003C742E">
        <w:t>.</w:t>
      </w:r>
    </w:p>
    <w:p w14:paraId="648BBB68" w14:textId="77777777" w:rsidR="00D03EE9" w:rsidRDefault="005E435C">
      <w:pPr>
        <w:pStyle w:val="Heading7"/>
      </w:pPr>
      <w:r w:rsidRPr="003C742E">
        <w:t>Efficacy</w:t>
      </w:r>
    </w:p>
    <w:p w14:paraId="5A75B039" w14:textId="5246AB6B" w:rsidR="005E435C" w:rsidRPr="003C742E" w:rsidRDefault="00D03EE9" w:rsidP="005E435C">
      <w:r>
        <w:t>T</w:t>
      </w:r>
      <w:r w:rsidR="005E435C" w:rsidRPr="003C742E">
        <w:t xml:space="preserve">he median follow-up duration is 82 days after </w:t>
      </w:r>
      <w:r w:rsidR="001705C1" w:rsidRPr="003C742E">
        <w:t>Dose 1</w:t>
      </w:r>
      <w:r w:rsidR="005E435C" w:rsidRPr="003C742E">
        <w:t xml:space="preserve"> and 51 days after </w:t>
      </w:r>
      <w:r w:rsidR="001705C1" w:rsidRPr="003C742E">
        <w:t>Dose 2</w:t>
      </w:r>
      <w:r w:rsidR="005E435C" w:rsidRPr="003C742E">
        <w:t xml:space="preserve"> in Part</w:t>
      </w:r>
      <w:r w:rsidR="00F27F2E" w:rsidRPr="003C742E">
        <w:t> </w:t>
      </w:r>
      <w:r w:rsidR="005E435C" w:rsidRPr="003C742E">
        <w:t>2 blinded phase, efficacy endpoints accumulated after the first dose (</w:t>
      </w:r>
      <w:r w:rsidR="00A15C0C" w:rsidRPr="003C742E">
        <w:t>that is</w:t>
      </w:r>
      <w:r w:rsidR="005E435C" w:rsidRPr="003C742E">
        <w:t xml:space="preserve">, occurring starting 14 days </w:t>
      </w:r>
      <w:r w:rsidR="003C742E" w:rsidRPr="003C742E">
        <w:t>post-Dose 1</w:t>
      </w:r>
      <w:r w:rsidR="005E435C" w:rsidRPr="003C742E">
        <w:t xml:space="preserve"> and measured in the mITT1 population) outnumber the efficacy endpoints accumulated after the two-dose regimen. Nonetheless, using either of two COVID-19 case definitions (CDC definition or the </w:t>
      </w:r>
      <w:r w:rsidR="001E2B87" w:rsidRPr="003C742E">
        <w:t>Study P301</w:t>
      </w:r>
      <w:r w:rsidR="005E435C" w:rsidRPr="003C742E">
        <w:t xml:space="preserve"> case definition), the incidence of cases among placebo participants exceeds that of the vaccine recipients.</w:t>
      </w:r>
    </w:p>
    <w:p w14:paraId="140D90C4" w14:textId="77777777" w:rsidR="00D03EE9" w:rsidRDefault="005E435C">
      <w:pPr>
        <w:pStyle w:val="Heading7"/>
      </w:pPr>
      <w:r w:rsidRPr="003C742E">
        <w:t>Safety</w:t>
      </w:r>
    </w:p>
    <w:p w14:paraId="6FF673B7" w14:textId="29C87A52" w:rsidR="005E435C" w:rsidRPr="003C742E" w:rsidRDefault="005E435C" w:rsidP="005E435C">
      <w:r w:rsidRPr="003C742E">
        <w:t xml:space="preserve">In this 10 </w:t>
      </w:r>
      <w:r w:rsidR="007E3135" w:rsidRPr="003C742E">
        <w:t xml:space="preserve">November </w:t>
      </w:r>
      <w:r w:rsidRPr="003C742E">
        <w:t xml:space="preserve">2021 </w:t>
      </w:r>
      <w:r w:rsidR="00F27F2E" w:rsidRPr="003C742E">
        <w:t>interim analysis</w:t>
      </w:r>
      <w:r w:rsidRPr="003C742E">
        <w:t xml:space="preserve"> safety analysis, a median follow-up of 56</w:t>
      </w:r>
      <w:r w:rsidR="00C361C3" w:rsidRPr="003C742E">
        <w:t> </w:t>
      </w:r>
      <w:r w:rsidRPr="003C742E">
        <w:t xml:space="preserve">days </w:t>
      </w:r>
      <w:r w:rsidR="00F27F2E" w:rsidRPr="003C742E">
        <w:t>post</w:t>
      </w:r>
      <w:r w:rsidR="00F27F2E" w:rsidRPr="003C742E">
        <w:noBreakHyphen/>
        <w:t xml:space="preserve">Dose 2 </w:t>
      </w:r>
      <w:r w:rsidRPr="003C742E">
        <w:t>was provided for a total of 3387 exposed (50ug) participants across study Parts</w:t>
      </w:r>
      <w:r w:rsidR="00F27F2E" w:rsidRPr="003C742E">
        <w:t> </w:t>
      </w:r>
      <w:r w:rsidRPr="003C742E">
        <w:t>1 and 2 from the blinded and open label phases. Analysis of the clinical safety database showed no clinically meaningful changes in the mRNA-1273</w:t>
      </w:r>
      <w:r w:rsidR="00C91005">
        <w:t xml:space="preserve"> vaccine</w:t>
      </w:r>
      <w:r w:rsidRPr="003C742E">
        <w:t xml:space="preserve"> safety profile in this age group.</w:t>
      </w:r>
    </w:p>
    <w:p w14:paraId="5CC21ABB" w14:textId="1E32FEF4" w:rsidR="005E435C" w:rsidRPr="00D03EE9" w:rsidRDefault="005E435C">
      <w:pPr>
        <w:pStyle w:val="Heading7"/>
      </w:pPr>
      <w:r w:rsidRPr="00D03EE9">
        <w:t xml:space="preserve">Additional </w:t>
      </w:r>
      <w:r w:rsidR="00F27F2E" w:rsidRPr="00D03EE9">
        <w:t>safety follow-up</w:t>
      </w:r>
    </w:p>
    <w:p w14:paraId="1D885D77" w14:textId="2B743175" w:rsidR="005E435C" w:rsidRPr="003C742E" w:rsidRDefault="005E435C" w:rsidP="005E435C">
      <w:r w:rsidRPr="003C742E">
        <w:t>Data supporting provisional registration of primary series in children 6 to 11 years old was based on a data cut in October 2021 and represented a median of 2 months of safety follow</w:t>
      </w:r>
      <w:r w:rsidR="00F27F2E" w:rsidRPr="003C742E">
        <w:noBreakHyphen/>
      </w:r>
      <w:r w:rsidRPr="003C742E">
        <w:t>up after Dose 2 in at least 1000 participants (</w:t>
      </w:r>
      <w:r w:rsidR="00860D51" w:rsidRPr="003C742E">
        <w:t xml:space="preserve">n = </w:t>
      </w:r>
      <w:r w:rsidRPr="003C742E">
        <w:t>4753). This data supported registration based upon successfully meeting the primary immunobridging effectiveness endpoints as well as demonstration of an acceptable safety profile.</w:t>
      </w:r>
    </w:p>
    <w:p w14:paraId="1376566E" w14:textId="40BCB1A7" w:rsidR="005E435C" w:rsidRPr="003C742E" w:rsidRDefault="005E435C" w:rsidP="005E435C">
      <w:r w:rsidRPr="003C742E">
        <w:t xml:space="preserve">Since that data analysis, additional data have become available. First, a data cut in February 2022, with longer term safety follow-up, was conducted at the request of the US FDA to support an </w:t>
      </w:r>
      <w:r w:rsidR="009C3B2B" w:rsidRPr="003C742E">
        <w:t>Emergency Use Authori</w:t>
      </w:r>
      <w:r w:rsidR="00C91005">
        <w:t>z</w:t>
      </w:r>
      <w:r w:rsidR="009C3B2B" w:rsidRPr="003C742E">
        <w:t>ation</w:t>
      </w:r>
      <w:r w:rsidRPr="003C742E">
        <w:t xml:space="preserve"> for children 6 to 11 years of age</w:t>
      </w:r>
      <w:r w:rsidR="00C91005">
        <w:t xml:space="preserve"> in the USA</w:t>
      </w:r>
      <w:r w:rsidRPr="003C742E">
        <w:t xml:space="preserve">. This same data was provided to the </w:t>
      </w:r>
      <w:r w:rsidR="00C91005">
        <w:t xml:space="preserve">European Medicines Agency </w:t>
      </w:r>
      <w:r w:rsidR="00A53503">
        <w:t>(</w:t>
      </w:r>
      <w:r w:rsidRPr="003C742E">
        <w:t>EMA</w:t>
      </w:r>
      <w:r w:rsidR="00A53503">
        <w:t>)</w:t>
      </w:r>
      <w:r w:rsidRPr="003C742E">
        <w:t xml:space="preserve"> to support full MAA in </w:t>
      </w:r>
      <w:r w:rsidR="003C742E" w:rsidRPr="003C742E">
        <w:t>the European Union</w:t>
      </w:r>
      <w:r w:rsidRPr="003C742E">
        <w:t>.</w:t>
      </w:r>
    </w:p>
    <w:p w14:paraId="3DDE7647" w14:textId="5FF69FC4" w:rsidR="005E435C" w:rsidRPr="003C742E" w:rsidRDefault="005E435C" w:rsidP="005E435C">
      <w:r w:rsidRPr="003C742E">
        <w:t xml:space="preserve">In this February 2022 data cut-off safety analysis, a median follow-up of 158 days </w:t>
      </w:r>
      <w:r w:rsidR="00F27F2E" w:rsidRPr="003C742E">
        <w:t>post</w:t>
      </w:r>
      <w:r w:rsidR="00F27F2E" w:rsidRPr="003C742E">
        <w:noBreakHyphen/>
        <w:t>Dose 2</w:t>
      </w:r>
      <w:r w:rsidRPr="003C742E">
        <w:t xml:space="preserve"> is provided for a total of 4072 exposed (50 μg) participants across study Parts 1 and 2 from the blinded and open label phases. Discussion and tables</w:t>
      </w:r>
      <w:r w:rsidR="003C742E" w:rsidRPr="003C742E">
        <w:t xml:space="preserve"> or </w:t>
      </w:r>
      <w:r w:rsidRPr="003C742E">
        <w:t>listings of unsolicited AEs, SAEs, AESIs, and severe COVID-19 are available. Analysis of the data in the longer-term safety set showed no clinically meaningful changes in the mRNA-1273 safety profile in this age group. Rates of unsolicited AEs, SAEs, and AESIs were generally reflective of the longer duration of exposure and increased reporting of infectious</w:t>
      </w:r>
      <w:r w:rsidR="001705C1" w:rsidRPr="003C742E">
        <w:t xml:space="preserve"> </w:t>
      </w:r>
      <w:r w:rsidRPr="003C742E">
        <w:t>related events typical seeing in the winter months as well as influenced by the Omicron surge. Further, there were no deaths, no cases of MIS-C and no cases of myocarditis or pericarditis reported. As such, the favourable benefit: risk assessment based on the earlier October 2021 data cut was further supported in this long</w:t>
      </w:r>
      <w:r w:rsidR="001705C1" w:rsidRPr="003C742E">
        <w:t>-</w:t>
      </w:r>
      <w:r w:rsidRPr="003C742E">
        <w:t>term safety follow</w:t>
      </w:r>
      <w:r w:rsidR="00715E81" w:rsidRPr="003C742E">
        <w:noBreakHyphen/>
      </w:r>
      <w:r w:rsidRPr="003C742E">
        <w:t>up analysis (February 2022).</w:t>
      </w:r>
    </w:p>
    <w:p w14:paraId="1A6C641A" w14:textId="256B9522" w:rsidR="005E435C" w:rsidRPr="00D03EE9" w:rsidRDefault="00715E81">
      <w:pPr>
        <w:pStyle w:val="Heading7"/>
      </w:pPr>
      <w:r w:rsidRPr="00D03EE9">
        <w:t>I</w:t>
      </w:r>
      <w:r w:rsidR="005969ED" w:rsidRPr="00D03EE9">
        <w:t>nterim analysis</w:t>
      </w:r>
    </w:p>
    <w:p w14:paraId="4B48F8E9" w14:textId="4E955D2A" w:rsidR="005E435C" w:rsidRPr="003C742E" w:rsidRDefault="005E435C" w:rsidP="005E435C">
      <w:r w:rsidRPr="003C742E">
        <w:t xml:space="preserve">This interim analysis was based on follow-up in the </w:t>
      </w:r>
      <w:r w:rsidR="001E2B87" w:rsidRPr="003C742E">
        <w:t>blinded phase</w:t>
      </w:r>
      <w:r w:rsidRPr="003C742E">
        <w:t xml:space="preserve"> and </w:t>
      </w:r>
      <w:r w:rsidR="007E3135" w:rsidRPr="003C742E">
        <w:t>open label phase</w:t>
      </w:r>
      <w:r w:rsidRPr="003C742E">
        <w:t xml:space="preserve"> for Part</w:t>
      </w:r>
      <w:r w:rsidR="00715E81" w:rsidRPr="003C742E">
        <w:t> </w:t>
      </w:r>
      <w:r w:rsidRPr="003C742E">
        <w:t>2 participants. A total of 4016 participants enrolled in the 6 to 11 years age group for the 50</w:t>
      </w:r>
      <w:r w:rsidR="00715E81" w:rsidRPr="003C742E">
        <w:t> </w:t>
      </w:r>
      <w:r w:rsidRPr="003C742E">
        <w:t xml:space="preserve">μg dose level: 3012 participants assigned to mRNA-1273 </w:t>
      </w:r>
      <w:r w:rsidR="00C91005">
        <w:t xml:space="preserve">vaccine </w:t>
      </w:r>
      <w:r w:rsidRPr="003C742E">
        <w:t xml:space="preserve">and 1004 participants assigned to placebo. In this analysis, the median study duration was 295 days from Dose 1 and </w:t>
      </w:r>
      <w:r w:rsidRPr="003C742E">
        <w:lastRenderedPageBreak/>
        <w:t xml:space="preserve">267 days from Dose 2 for the 6 to 11 years age group; 75.0% of participants had </w:t>
      </w:r>
      <w:r w:rsidR="00860D51" w:rsidRPr="003C742E">
        <w:t xml:space="preserve">at least </w:t>
      </w:r>
      <w:r w:rsidRPr="003C742E">
        <w:t>224 days follow-up from Dose 2. The analysis also included long-term neutrali</w:t>
      </w:r>
      <w:r w:rsidR="00A15C0C" w:rsidRPr="003C742E">
        <w:t>s</w:t>
      </w:r>
      <w:r w:rsidRPr="003C742E">
        <w:t>ing and binding antibody titres through 12 months.</w:t>
      </w:r>
    </w:p>
    <w:p w14:paraId="4981D6B7" w14:textId="253E3FA8" w:rsidR="005E435C" w:rsidRPr="003C742E" w:rsidRDefault="005E435C" w:rsidP="005E435C">
      <w:r w:rsidRPr="003C742E">
        <w:t>Effectiveness of the primary series in 6 to 11</w:t>
      </w:r>
      <w:r w:rsidR="00715E81" w:rsidRPr="003C742E">
        <w:t xml:space="preserve"> </w:t>
      </w:r>
      <w:r w:rsidRPr="003C742E">
        <w:t>year</w:t>
      </w:r>
      <w:r w:rsidR="00715E81" w:rsidRPr="003C742E">
        <w:t>s old</w:t>
      </w:r>
      <w:r w:rsidRPr="003C742E">
        <w:t xml:space="preserve"> was demonstrated through immunobridging to the pivotal efficacy study, </w:t>
      </w:r>
      <w:r w:rsidR="001E2B87" w:rsidRPr="003C742E">
        <w:t>Study P301</w:t>
      </w:r>
      <w:r w:rsidRPr="003C742E">
        <w:t>, and was included in the provisional registration application. Additional longer</w:t>
      </w:r>
      <w:r w:rsidR="00715E81" w:rsidRPr="003C742E">
        <w:t xml:space="preserve"> </w:t>
      </w:r>
      <w:r w:rsidRPr="003C742E">
        <w:t>term immunogenicity data are now available. Primary mRNA</w:t>
      </w:r>
      <w:r w:rsidR="00715E81" w:rsidRPr="003C742E">
        <w:noBreakHyphen/>
      </w:r>
      <w:r w:rsidRPr="003C742E">
        <w:t xml:space="preserve">1273 vaccination of children 6 to 11 years of age in Study </w:t>
      </w:r>
      <w:r w:rsidR="0053571E" w:rsidRPr="003C742E">
        <w:t>P20</w:t>
      </w:r>
      <w:r w:rsidRPr="003C742E">
        <w:t>4 induced robust functional (</w:t>
      </w:r>
      <w:r w:rsidR="007E3135" w:rsidRPr="003C742E">
        <w:t>neutralising antibody</w:t>
      </w:r>
      <w:r w:rsidRPr="003C742E">
        <w:t xml:space="preserve">) and binding antibody serum responses, and these responses were durable through at least 12 months after vaccination. mRNA-1273 </w:t>
      </w:r>
      <w:r w:rsidR="00C91005">
        <w:t xml:space="preserve">vaccine </w:t>
      </w:r>
      <w:r w:rsidRPr="003C742E">
        <w:t xml:space="preserve">induced these responses in children regardless of whether they were SARS-CoV-2 positive or negative at </w:t>
      </w:r>
      <w:r w:rsidR="00860D51" w:rsidRPr="003C742E">
        <w:t>Baseline</w:t>
      </w:r>
      <w:r w:rsidRPr="003C742E">
        <w:t xml:space="preserve"> and whether they had or had no subsequent SARS-CoV-2 infection; the mRNA-1273 vaccine was potent in both populations. The persistence of </w:t>
      </w:r>
      <w:r w:rsidR="007E3135" w:rsidRPr="003C742E">
        <w:t>neutralising antibody</w:t>
      </w:r>
      <w:r w:rsidRPr="003C742E">
        <w:t xml:space="preserve"> responses was paralleled by the persistence of serum </w:t>
      </w:r>
      <w:r w:rsidR="007E3135" w:rsidRPr="003C742E">
        <w:t>binding antibody</w:t>
      </w:r>
      <w:r w:rsidRPr="003C742E">
        <w:t xml:space="preserve"> (directed against </w:t>
      </w:r>
      <w:r w:rsidR="00B2387D" w:rsidRPr="00B2387D">
        <w:t>spike</w:t>
      </w:r>
      <w:r w:rsidR="00B2387D" w:rsidRPr="003C742E">
        <w:t xml:space="preserve"> protein</w:t>
      </w:r>
      <w:r w:rsidRPr="003C742E">
        <w:t>) through Day</w:t>
      </w:r>
      <w:r w:rsidR="00715E81" w:rsidRPr="003C742E">
        <w:t> </w:t>
      </w:r>
      <w:r w:rsidRPr="003C742E">
        <w:t xml:space="preserve">394. Vaccination with prototype mRNA-1273 induced </w:t>
      </w:r>
      <w:r w:rsidR="007E3135" w:rsidRPr="003C742E">
        <w:t>binding antibody</w:t>
      </w:r>
      <w:r w:rsidRPr="003C742E">
        <w:t xml:space="preserve"> responses against all SARS</w:t>
      </w:r>
      <w:r w:rsidR="00715E81" w:rsidRPr="003C742E">
        <w:noBreakHyphen/>
      </w:r>
      <w:r w:rsidRPr="003C742E">
        <w:t xml:space="preserve">CoV-2 variants included in the testing panel (Alpha </w:t>
      </w:r>
      <w:r w:rsidR="00A15C0C" w:rsidRPr="003C742E">
        <w:t>(</w:t>
      </w:r>
      <w:r w:rsidRPr="003C742E">
        <w:t>B.1.1.7</w:t>
      </w:r>
      <w:r w:rsidR="00A15C0C" w:rsidRPr="003C742E">
        <w:t>)</w:t>
      </w:r>
      <w:r w:rsidRPr="003C742E">
        <w:t xml:space="preserve">, Beta </w:t>
      </w:r>
      <w:r w:rsidR="00A15C0C" w:rsidRPr="003C742E">
        <w:t>(</w:t>
      </w:r>
      <w:r w:rsidRPr="003C742E">
        <w:t>B.1.351</w:t>
      </w:r>
      <w:r w:rsidR="00A15C0C" w:rsidRPr="003C742E">
        <w:t>)</w:t>
      </w:r>
      <w:r w:rsidRPr="003C742E">
        <w:t xml:space="preserve">, Gamma </w:t>
      </w:r>
      <w:r w:rsidR="00A15C0C" w:rsidRPr="003C742E">
        <w:t>(</w:t>
      </w:r>
      <w:r w:rsidRPr="003C742E">
        <w:t>P.1</w:t>
      </w:r>
      <w:r w:rsidR="00A15C0C" w:rsidRPr="003C742E">
        <w:t>)</w:t>
      </w:r>
      <w:r w:rsidRPr="003C742E">
        <w:t xml:space="preserve">, Delta </w:t>
      </w:r>
      <w:r w:rsidR="00A15C0C" w:rsidRPr="003C742E">
        <w:t>(</w:t>
      </w:r>
      <w:r w:rsidRPr="003C742E">
        <w:t>AY.4</w:t>
      </w:r>
      <w:r w:rsidR="00A15C0C" w:rsidRPr="003C742E">
        <w:t>)</w:t>
      </w:r>
      <w:r w:rsidRPr="003C742E">
        <w:t xml:space="preserve">, and Omicron </w:t>
      </w:r>
      <w:r w:rsidR="00A15C0C" w:rsidRPr="003C742E">
        <w:t>(</w:t>
      </w:r>
      <w:r w:rsidRPr="003C742E">
        <w:t>B.1.529</w:t>
      </w:r>
      <w:r w:rsidR="00A15C0C" w:rsidRPr="003C742E">
        <w:t>)</w:t>
      </w:r>
      <w:r w:rsidRPr="003C742E">
        <w:t xml:space="preserve"> variants).</w:t>
      </w:r>
    </w:p>
    <w:p w14:paraId="1516FCAE" w14:textId="7213389B" w:rsidR="005E435C" w:rsidRPr="003C742E" w:rsidRDefault="005E435C" w:rsidP="005E435C">
      <w:r w:rsidRPr="003C742E">
        <w:t xml:space="preserve">In this primary, randomised, </w:t>
      </w:r>
      <w:r w:rsidR="00B941A1" w:rsidRPr="003C742E">
        <w:t xml:space="preserve">placebo </w:t>
      </w:r>
      <w:r w:rsidRPr="003C742E">
        <w:t>controlled observer</w:t>
      </w:r>
      <w:r w:rsidR="001E2B87" w:rsidRPr="003C742E">
        <w:t xml:space="preserve"> </w:t>
      </w:r>
      <w:r w:rsidRPr="003C742E">
        <w:t xml:space="preserve">blinded analysis, mRNA-1273 </w:t>
      </w:r>
      <w:r w:rsidR="00C91005">
        <w:t xml:space="preserve">vaccine as a </w:t>
      </w:r>
      <w:r w:rsidRPr="003C742E">
        <w:t>50</w:t>
      </w:r>
      <w:r w:rsidR="00715E81" w:rsidRPr="003C742E">
        <w:t> </w:t>
      </w:r>
      <w:r w:rsidRPr="003C742E">
        <w:t xml:space="preserve">μg </w:t>
      </w:r>
      <w:r w:rsidR="00C91005">
        <w:t xml:space="preserve">dose </w:t>
      </w:r>
      <w:r w:rsidRPr="003C742E">
        <w:t xml:space="preserve">administered as 2 injections 28 days apart demonstrated an acceptable safety profile in children aged 6 to 11 years, largely similar to that described in the initial provisional application to the TGA. There were no SAEs related to the study vaccine, no deaths, no cases of MIS-C, myocarditis, pericarditis, or anaphylaxis within 28 days after any injection during the blinded phase. Enhanced aggregate analysis of the </w:t>
      </w:r>
      <w:r w:rsidR="003C742E" w:rsidRPr="003C742E">
        <w:t xml:space="preserve">Standardised Medical Dictionary for Regulatory Activities (MedDRA) Queries (SMQ) </w:t>
      </w:r>
      <w:r w:rsidRPr="003C742E">
        <w:t>of cardiomyopathy along with specific medical evaluations for potential cases of myocarditis or pericarditis showed no evidence for any unreported cases of myocarditis, pericarditis, or myopericarditis during the study. Long-term safety was demonstrated through a median of 267 days after Dose 2 in the mRNA-1273 group with no new safety signals or new important potential risks were identified during the study. The safety data reported were consistent with events commonly seen in a paediatric population of this age, and with the known safety profile for the mRNA-1273 vaccine.</w:t>
      </w:r>
    </w:p>
    <w:p w14:paraId="2DE85CA7" w14:textId="085D47A9" w:rsidR="005E435C" w:rsidRPr="00D03EE9" w:rsidRDefault="00D03EE9" w:rsidP="00D03EE9">
      <w:pPr>
        <w:pStyle w:val="Heading6"/>
      </w:pPr>
      <w:bookmarkStart w:id="146" w:name="_Hlk133250206"/>
      <w:bookmarkStart w:id="147" w:name="_Hlk130932576"/>
      <w:r w:rsidRPr="00D03EE9">
        <w:t xml:space="preserve">Summary for </w:t>
      </w:r>
      <w:r w:rsidR="00C91005">
        <w:t>use of Spikevax in children</w:t>
      </w:r>
    </w:p>
    <w:bookmarkEnd w:id="146"/>
    <w:p w14:paraId="095C9632" w14:textId="4373822D" w:rsidR="005E435C" w:rsidRPr="003C742E" w:rsidRDefault="005E435C" w:rsidP="005E435C">
      <w:r w:rsidRPr="003C742E">
        <w:t xml:space="preserve">No new safety signals have been observed so far. The overall safety profile of two doses of mRNA-1273 </w:t>
      </w:r>
      <w:r w:rsidR="00C91005">
        <w:t xml:space="preserve">vaccine </w:t>
      </w:r>
      <w:r w:rsidRPr="003C742E">
        <w:t xml:space="preserve">observed in Study </w:t>
      </w:r>
      <w:r w:rsidR="0053571E" w:rsidRPr="003C742E">
        <w:t>P20</w:t>
      </w:r>
      <w:r w:rsidRPr="003C742E">
        <w:t xml:space="preserve">4 was consistent with the known safety profile to date observed in the pivotal Study </w:t>
      </w:r>
      <w:r w:rsidR="009C3B2B" w:rsidRPr="003C742E">
        <w:t>P</w:t>
      </w:r>
      <w:r w:rsidRPr="003C742E">
        <w:t>301 as well as post-marketing surveillance. The benefit risk profile of Spikevax in children 6</w:t>
      </w:r>
      <w:r w:rsidR="00715E81" w:rsidRPr="003C742E">
        <w:t xml:space="preserve"> to </w:t>
      </w:r>
      <w:r w:rsidRPr="003C742E">
        <w:t>11 years of age continues to remain favourable.</w:t>
      </w:r>
      <w:bookmarkEnd w:id="147"/>
    </w:p>
    <w:p w14:paraId="3916F296" w14:textId="77777777" w:rsidR="00C22214" w:rsidRPr="003C742E" w:rsidRDefault="00C22214" w:rsidP="00C22214">
      <w:pPr>
        <w:pStyle w:val="Heading4"/>
      </w:pPr>
      <w:bookmarkStart w:id="148" w:name="_Toc98931933"/>
      <w:bookmarkStart w:id="149" w:name="_Toc134622056"/>
      <w:r w:rsidRPr="003C742E">
        <w:t>Proposed action</w:t>
      </w:r>
      <w:bookmarkEnd w:id="148"/>
      <w:bookmarkEnd w:id="149"/>
    </w:p>
    <w:p w14:paraId="4014BC97" w14:textId="5A91DC21" w:rsidR="005E435C" w:rsidRPr="003C742E" w:rsidRDefault="005E435C" w:rsidP="005E435C">
      <w:r w:rsidRPr="003C742E">
        <w:t>The sponsor has provided comprehensive, confirmator</w:t>
      </w:r>
      <w:r w:rsidR="00C91005">
        <w:t>y and</w:t>
      </w:r>
      <w:r w:rsidRPr="003C742E">
        <w:t xml:space="preserve"> long-term</w:t>
      </w:r>
      <w:r w:rsidR="00C91005">
        <w:t xml:space="preserve"> data beyond </w:t>
      </w:r>
      <w:r w:rsidRPr="003C742E">
        <w:t xml:space="preserve">provisional registration, </w:t>
      </w:r>
      <w:r w:rsidR="00C91005">
        <w:t xml:space="preserve">outlining the </w:t>
      </w:r>
      <w:r w:rsidRPr="003C742E">
        <w:t xml:space="preserve">clinical effectiveness and safety </w:t>
      </w:r>
      <w:r w:rsidR="00C91005">
        <w:t>of</w:t>
      </w:r>
      <w:r w:rsidRPr="003C742E">
        <w:t xml:space="preserve"> mRNA-1273</w:t>
      </w:r>
      <w:r w:rsidR="00715E81" w:rsidRPr="003C742E">
        <w:t xml:space="preserve"> (</w:t>
      </w:r>
      <w:r w:rsidRPr="003C742E">
        <w:t>Spikevax</w:t>
      </w:r>
      <w:r w:rsidR="00715E81" w:rsidRPr="003C742E">
        <w:t>)</w:t>
      </w:r>
      <w:r w:rsidRPr="003C742E">
        <w:t xml:space="preserve"> for use in </w:t>
      </w:r>
      <w:r w:rsidR="00C91005">
        <w:t>adults (</w:t>
      </w:r>
      <w:r w:rsidRPr="003C742E">
        <w:t>individuals 18 years of age and over)</w:t>
      </w:r>
      <w:r w:rsidR="00C91005">
        <w:t>; adolescents (</w:t>
      </w:r>
      <w:r w:rsidRPr="003C742E">
        <w:t>individuals 12 to</w:t>
      </w:r>
      <w:r w:rsidR="00C91005">
        <w:t xml:space="preserve"> </w:t>
      </w:r>
      <w:r w:rsidRPr="003C742E">
        <w:t>17 years of age for the primary series and booster</w:t>
      </w:r>
      <w:r w:rsidR="00C91005">
        <w:t>)</w:t>
      </w:r>
      <w:r w:rsidRPr="003C742E">
        <w:t xml:space="preserve"> and in </w:t>
      </w:r>
      <w:r w:rsidR="00C91005">
        <w:t>children (</w:t>
      </w:r>
      <w:r w:rsidRPr="003C742E">
        <w:t>individuals 6 to 11 years of age for primary series</w:t>
      </w:r>
      <w:r w:rsidR="00C91005">
        <w:t>)</w:t>
      </w:r>
      <w:r w:rsidRPr="003C742E">
        <w:t>.</w:t>
      </w:r>
    </w:p>
    <w:p w14:paraId="66575996" w14:textId="6D71A4BB" w:rsidR="005E435C" w:rsidRPr="003C742E" w:rsidRDefault="005E435C" w:rsidP="005E435C">
      <w:r w:rsidRPr="003C742E">
        <w:t>The benefit-risk profile of Spikevax</w:t>
      </w:r>
      <w:r w:rsidR="00C91005">
        <w:t xml:space="preserve"> (elasomeran) vaccine</w:t>
      </w:r>
      <w:r w:rsidRPr="003C742E">
        <w:t xml:space="preserve"> </w:t>
      </w:r>
      <w:bookmarkStart w:id="150" w:name="_Hlk131071638"/>
      <w:r w:rsidRPr="003C742E">
        <w:t xml:space="preserve">in individuals 6 years of age and older </w:t>
      </w:r>
      <w:bookmarkEnd w:id="150"/>
      <w:r w:rsidRPr="003C742E">
        <w:t xml:space="preserve">appears well established from the clinical data obtained so far. The </w:t>
      </w:r>
      <w:r w:rsidR="00715E81" w:rsidRPr="003C742E">
        <w:t xml:space="preserve">post-authorisation safety data </w:t>
      </w:r>
      <w:r w:rsidRPr="003C742E">
        <w:t xml:space="preserve">also supports the continued favourable benefit risk of Spikevax in individuals 6 years of age and older. Even from </w:t>
      </w:r>
      <w:r w:rsidR="00C91005">
        <w:t xml:space="preserve">the </w:t>
      </w:r>
      <w:r w:rsidR="00551F6B">
        <w:t xml:space="preserve">risk management plan </w:t>
      </w:r>
      <w:r w:rsidRPr="003C742E">
        <w:t xml:space="preserve">perspective, there are no outstanding pharmacovigilance obligations for the products being considered in this </w:t>
      </w:r>
      <w:r w:rsidR="001E1DC3" w:rsidRPr="003C742E">
        <w:t>submission</w:t>
      </w:r>
      <w:r w:rsidRPr="003C742E">
        <w:t xml:space="preserve"> that would impede the transition from provisional registration to full registration. This clinical data </w:t>
      </w:r>
      <w:r w:rsidRPr="003C742E">
        <w:lastRenderedPageBreak/>
        <w:t xml:space="preserve">supports a favourable benefit risk profile for </w:t>
      </w:r>
      <w:r w:rsidR="009700F9" w:rsidRPr="003C742E">
        <w:t>Spikevax</w:t>
      </w:r>
      <w:r w:rsidRPr="003C742E">
        <w:t xml:space="preserve"> transitioning from </w:t>
      </w:r>
      <w:r w:rsidR="00C91005">
        <w:t>p</w:t>
      </w:r>
      <w:r w:rsidRPr="003C742E">
        <w:t xml:space="preserve">rovisional </w:t>
      </w:r>
      <w:r w:rsidR="00C91005">
        <w:t>r</w:t>
      </w:r>
      <w:r w:rsidRPr="003C742E">
        <w:t xml:space="preserve">egistration to full registration </w:t>
      </w:r>
      <w:r w:rsidR="00C91005">
        <w:t>for use in</w:t>
      </w:r>
      <w:r w:rsidRPr="003C742E">
        <w:t xml:space="preserve"> individuals 6</w:t>
      </w:r>
      <w:r w:rsidR="00715E81" w:rsidRPr="003C742E">
        <w:t> </w:t>
      </w:r>
      <w:r w:rsidRPr="003C742E">
        <w:t>years and older.</w:t>
      </w:r>
    </w:p>
    <w:p w14:paraId="318CFABC" w14:textId="77777777" w:rsidR="00C22214" w:rsidRPr="003C742E" w:rsidRDefault="00C22214" w:rsidP="00C22214">
      <w:pPr>
        <w:pStyle w:val="Heading4"/>
      </w:pPr>
      <w:bookmarkStart w:id="151" w:name="_Toc98931936"/>
      <w:bookmarkStart w:id="152" w:name="_Toc134622057"/>
      <w:bookmarkStart w:id="153" w:name="_Toc247691532"/>
      <w:bookmarkStart w:id="154" w:name="_Toc314842516"/>
      <w:r w:rsidRPr="003C742E">
        <w:t>Advisory Committee considerations</w:t>
      </w:r>
      <w:bookmarkEnd w:id="151"/>
      <w:bookmarkEnd w:id="152"/>
    </w:p>
    <w:p w14:paraId="087BB9CB" w14:textId="60962906" w:rsidR="00C22214" w:rsidRPr="003C742E" w:rsidRDefault="00C22214" w:rsidP="00C22214">
      <w:pPr>
        <w:rPr>
          <w:bCs/>
          <w:szCs w:val="22"/>
        </w:rPr>
      </w:pPr>
      <w:r w:rsidRPr="003C742E">
        <w:rPr>
          <w:bCs/>
          <w:szCs w:val="22"/>
        </w:rPr>
        <w:t xml:space="preserve">The </w:t>
      </w:r>
      <w:hyperlink r:id="rId66" w:history="1">
        <w:r w:rsidRPr="003C742E">
          <w:rPr>
            <w:rStyle w:val="Hyperlink"/>
            <w:szCs w:val="22"/>
          </w:rPr>
          <w:t>Advisory Committee on Vaccines (ACV)</w:t>
        </w:r>
      </w:hyperlink>
      <w:r w:rsidRPr="003C742E">
        <w:rPr>
          <w:szCs w:val="22"/>
        </w:rPr>
        <w:t>,</w:t>
      </w:r>
      <w:r w:rsidRPr="003C742E">
        <w:rPr>
          <w:bCs/>
          <w:szCs w:val="22"/>
        </w:rPr>
        <w:t xml:space="preserve"> having considered the evaluations and the Delegate’s overview, as well as the sponsor’s response to these documents, advised the following.</w:t>
      </w:r>
    </w:p>
    <w:p w14:paraId="0D935CC4" w14:textId="77777777" w:rsidR="00C22214" w:rsidRPr="003C742E" w:rsidRDefault="00C22214" w:rsidP="00C22214">
      <w:pPr>
        <w:pStyle w:val="Heading5"/>
      </w:pPr>
      <w:r w:rsidRPr="003C742E">
        <w:t>Specific advice to the Delegate</w:t>
      </w:r>
    </w:p>
    <w:p w14:paraId="7E9DC110" w14:textId="11EA3233" w:rsidR="00A62EF5" w:rsidRPr="003C742E" w:rsidRDefault="00A62EF5" w:rsidP="00A62EF5">
      <w:pPr>
        <w:pStyle w:val="Numberbullet0"/>
        <w:rPr>
          <w:b/>
          <w:bCs/>
          <w:i/>
          <w:iCs/>
        </w:rPr>
      </w:pPr>
      <w:r w:rsidRPr="003C742E">
        <w:rPr>
          <w:b/>
          <w:bCs/>
          <w:i/>
          <w:iCs/>
        </w:rPr>
        <w:t xml:space="preserve">Please comment on the sponsor’s proposal for the transition from </w:t>
      </w:r>
      <w:r w:rsidR="00C91005">
        <w:rPr>
          <w:b/>
          <w:bCs/>
          <w:i/>
          <w:iCs/>
        </w:rPr>
        <w:t>p</w:t>
      </w:r>
      <w:r w:rsidRPr="003C742E">
        <w:rPr>
          <w:b/>
          <w:bCs/>
          <w:i/>
          <w:iCs/>
        </w:rPr>
        <w:t xml:space="preserve">rovisional </w:t>
      </w:r>
      <w:r w:rsidR="00C91005">
        <w:rPr>
          <w:b/>
          <w:bCs/>
          <w:i/>
          <w:iCs/>
        </w:rPr>
        <w:t>r</w:t>
      </w:r>
      <w:r w:rsidRPr="003C742E">
        <w:rPr>
          <w:b/>
          <w:bCs/>
          <w:i/>
          <w:iCs/>
        </w:rPr>
        <w:t xml:space="preserve">egistration to </w:t>
      </w:r>
      <w:r w:rsidR="00C91005">
        <w:rPr>
          <w:b/>
          <w:bCs/>
          <w:i/>
          <w:iCs/>
        </w:rPr>
        <w:t>f</w:t>
      </w:r>
      <w:r w:rsidRPr="003C742E">
        <w:rPr>
          <w:b/>
          <w:bCs/>
          <w:i/>
          <w:iCs/>
        </w:rPr>
        <w:t xml:space="preserve">ull </w:t>
      </w:r>
      <w:r w:rsidR="00C91005">
        <w:rPr>
          <w:b/>
          <w:bCs/>
          <w:i/>
          <w:iCs/>
        </w:rPr>
        <w:t>r</w:t>
      </w:r>
      <w:r w:rsidRPr="003C742E">
        <w:rPr>
          <w:b/>
          <w:bCs/>
          <w:i/>
          <w:iCs/>
        </w:rPr>
        <w:t xml:space="preserve">egistration </w:t>
      </w:r>
      <w:r w:rsidR="00C91005">
        <w:rPr>
          <w:b/>
          <w:bCs/>
          <w:i/>
          <w:iCs/>
        </w:rPr>
        <w:t>of</w:t>
      </w:r>
      <w:r w:rsidRPr="003C742E">
        <w:rPr>
          <w:b/>
          <w:bCs/>
          <w:i/>
          <w:iCs/>
        </w:rPr>
        <w:t xml:space="preserve"> Spikevax </w:t>
      </w:r>
      <w:r w:rsidR="00C91005">
        <w:rPr>
          <w:b/>
          <w:bCs/>
          <w:i/>
          <w:iCs/>
        </w:rPr>
        <w:t xml:space="preserve">for use </w:t>
      </w:r>
      <w:r w:rsidRPr="003C742E">
        <w:rPr>
          <w:b/>
          <w:bCs/>
          <w:i/>
          <w:iCs/>
        </w:rPr>
        <w:t>in individuals 6 years of age and older.</w:t>
      </w:r>
    </w:p>
    <w:p w14:paraId="05048B1C" w14:textId="066CE166" w:rsidR="00A62EF5" w:rsidRPr="003C742E" w:rsidRDefault="00A62EF5" w:rsidP="00A62EF5">
      <w:r w:rsidRPr="003C742E">
        <w:t>The ACV advised that the benefit-risk profile supports the transition from provisional registration to full registration of the primary series for individuals 6 years and older and as a booster dose for individuals 12 years and older.</w:t>
      </w:r>
    </w:p>
    <w:p w14:paraId="1A59743C" w14:textId="60947A22" w:rsidR="00A62EF5" w:rsidRPr="003C742E" w:rsidRDefault="00A62EF5" w:rsidP="00A62EF5">
      <w:r w:rsidRPr="003C742E">
        <w:t>In providing this advice the ACV considered:</w:t>
      </w:r>
    </w:p>
    <w:p w14:paraId="74CCEB13" w14:textId="3B1E5F9D" w:rsidR="00A62EF5" w:rsidRPr="003C742E" w:rsidRDefault="00A62EF5" w:rsidP="00A62EF5">
      <w:pPr>
        <w:pStyle w:val="ListBullet"/>
      </w:pPr>
      <w:r w:rsidRPr="003C742E">
        <w:t xml:space="preserve">widespread and extensive use of Spikevax, including administration of over one billion vaccines internationally including 9 million children in the </w:t>
      </w:r>
      <w:r w:rsidR="00516475" w:rsidRPr="003C742E">
        <w:t>United States of America (</w:t>
      </w:r>
      <w:r w:rsidRPr="003C742E">
        <w:t>USA</w:t>
      </w:r>
      <w:r w:rsidR="00516475" w:rsidRPr="003C742E">
        <w:t>)</w:t>
      </w:r>
      <w:r w:rsidR="00C91005">
        <w:t>;</w:t>
      </w:r>
    </w:p>
    <w:p w14:paraId="74632A77" w14:textId="1746EE24" w:rsidR="00A62EF5" w:rsidRPr="003C742E" w:rsidRDefault="00A62EF5" w:rsidP="00A62EF5">
      <w:pPr>
        <w:pStyle w:val="ListBullet"/>
      </w:pPr>
      <w:r w:rsidRPr="003C742E">
        <w:t>data on efficacy supported by longer term results and real-world evidence</w:t>
      </w:r>
      <w:r w:rsidR="00C91005">
        <w:t>;</w:t>
      </w:r>
    </w:p>
    <w:p w14:paraId="1B610D18" w14:textId="172AA855" w:rsidR="00A62EF5" w:rsidRPr="003C742E" w:rsidRDefault="00A62EF5" w:rsidP="00A62EF5">
      <w:pPr>
        <w:pStyle w:val="ListBullet"/>
      </w:pPr>
      <w:r w:rsidRPr="003C742E">
        <w:t>data on safety confirming the initial safety profile</w:t>
      </w:r>
      <w:r w:rsidR="00C91005">
        <w:t>; and</w:t>
      </w:r>
    </w:p>
    <w:p w14:paraId="754020EA" w14:textId="5A8882C5" w:rsidR="00A62EF5" w:rsidRPr="003C742E" w:rsidRDefault="00A62EF5" w:rsidP="00A62EF5">
      <w:pPr>
        <w:pStyle w:val="ListBullet"/>
      </w:pPr>
      <w:r w:rsidRPr="003C742E">
        <w:t>registration by comparable international regulators.</w:t>
      </w:r>
    </w:p>
    <w:p w14:paraId="650196AD" w14:textId="420D9AC1" w:rsidR="00A62EF5" w:rsidRPr="003C742E" w:rsidRDefault="00A62EF5" w:rsidP="00A62EF5">
      <w:r w:rsidRPr="003C742E">
        <w:t xml:space="preserve">The ACV noted that the sponsor has adequately addressed the regulatory conditions specified for provisional registration, substantiating the benefit-risk profile with longer-term follow-up data. The </w:t>
      </w:r>
      <w:r w:rsidR="00C91005">
        <w:t>r</w:t>
      </w:r>
      <w:r w:rsidRPr="003C742E">
        <w:t xml:space="preserve">isk </w:t>
      </w:r>
      <w:r w:rsidR="00C91005">
        <w:t>m</w:t>
      </w:r>
      <w:r w:rsidRPr="003C742E">
        <w:t xml:space="preserve">anagement </w:t>
      </w:r>
      <w:r w:rsidR="00C91005">
        <w:t>p</w:t>
      </w:r>
      <w:r w:rsidRPr="003C742E">
        <w:t>lan and ongoing pharmacovigilance commitments are considered acceptable.</w:t>
      </w:r>
    </w:p>
    <w:p w14:paraId="08FE509B" w14:textId="459A4140" w:rsidR="00A62EF5" w:rsidRPr="003C742E" w:rsidRDefault="00A62EF5" w:rsidP="00A62EF5">
      <w:r w:rsidRPr="003C742E">
        <w:t>Real-world evidence continues to accrue, and multiple studies</w:t>
      </w:r>
      <w:r w:rsidR="00551F6B">
        <w:t>;</w:t>
      </w:r>
      <w:r w:rsidR="00C91005" w:rsidRPr="00C91005">
        <w:rPr>
          <w:vertAlign w:val="superscript"/>
        </w:rPr>
        <w:t xml:space="preserve"> </w:t>
      </w:r>
      <w:r w:rsidR="00C91005" w:rsidRPr="00551F6B">
        <w:rPr>
          <w:vertAlign w:val="superscript"/>
        </w:rPr>
        <w:fldChar w:fldCharType="begin"/>
      </w:r>
      <w:r w:rsidR="00C91005" w:rsidRPr="00551F6B">
        <w:rPr>
          <w:vertAlign w:val="superscript"/>
        </w:rPr>
        <w:instrText xml:space="preserve"> NOTEREF _Ref133247212 \h  \* MERGEFORMAT </w:instrText>
      </w:r>
      <w:r w:rsidR="00C91005" w:rsidRPr="00551F6B">
        <w:rPr>
          <w:vertAlign w:val="superscript"/>
        </w:rPr>
      </w:r>
      <w:r w:rsidR="00C91005" w:rsidRPr="00551F6B">
        <w:rPr>
          <w:vertAlign w:val="superscript"/>
        </w:rPr>
        <w:fldChar w:fldCharType="separate"/>
      </w:r>
      <w:r w:rsidR="0005046B">
        <w:rPr>
          <w:vertAlign w:val="superscript"/>
        </w:rPr>
        <w:t>10</w:t>
      </w:r>
      <w:r w:rsidR="00C91005" w:rsidRPr="00551F6B">
        <w:rPr>
          <w:vertAlign w:val="superscript"/>
        </w:rPr>
        <w:fldChar w:fldCharType="end"/>
      </w:r>
      <w:r w:rsidR="00C91005">
        <w:rPr>
          <w:vertAlign w:val="superscript"/>
        </w:rPr>
        <w:t>,</w:t>
      </w:r>
      <w:r w:rsidR="00551F6B" w:rsidRPr="00551F6B">
        <w:rPr>
          <w:rStyle w:val="FootnoteReference"/>
        </w:rPr>
        <w:footnoteReference w:id="34"/>
      </w:r>
      <w:r w:rsidR="00551F6B" w:rsidRPr="00551F6B">
        <w:rPr>
          <w:vertAlign w:val="superscript"/>
        </w:rPr>
        <w:t>,</w:t>
      </w:r>
      <w:r w:rsidR="00551F6B" w:rsidRPr="00551F6B">
        <w:rPr>
          <w:rStyle w:val="FootnoteReference"/>
        </w:rPr>
        <w:footnoteReference w:id="35"/>
      </w:r>
      <w:r w:rsidRPr="00551F6B">
        <w:rPr>
          <w:vertAlign w:val="superscript"/>
        </w:rPr>
        <w:t xml:space="preserve"> </w:t>
      </w:r>
      <w:r w:rsidRPr="003C742E">
        <w:t>demonstrate the effectiveness of Spikevax at different phases of the pandemic.</w:t>
      </w:r>
    </w:p>
    <w:p w14:paraId="2B60B8B9" w14:textId="45B498B4" w:rsidR="00A62EF5" w:rsidRPr="003C742E" w:rsidRDefault="00A62EF5" w:rsidP="00A62EF5">
      <w:r w:rsidRPr="003C742E">
        <w:t>The ACV reaffirmed that Spikevax should be used ‘in accordance with official recommendations’, which are not static.</w:t>
      </w:r>
      <w:r w:rsidR="00E1345D">
        <w:rPr>
          <w:rStyle w:val="FootnoteReference"/>
        </w:rPr>
        <w:footnoteReference w:id="36"/>
      </w:r>
    </w:p>
    <w:p w14:paraId="34BA869E" w14:textId="7A4F398F" w:rsidR="00A62EF5" w:rsidRPr="003C742E" w:rsidRDefault="00A62EF5" w:rsidP="00A62EF5">
      <w:r w:rsidRPr="003C742E">
        <w:t xml:space="preserve">It was noted that while the overall benefit-risk profile for use of Spikevax is positive this evolved since introduction and is likely to continue to do so in the future given the evolving nature of the virus variants now causing infection and population immunity. Effectiveness has varied against evolving </w:t>
      </w:r>
      <w:r w:rsidR="00A76EB7">
        <w:t>s</w:t>
      </w:r>
      <w:r w:rsidR="00516475" w:rsidRPr="003C742E">
        <w:t>evere acute respiratory syndrome coronavirus 2 (</w:t>
      </w:r>
      <w:r w:rsidRPr="003C742E">
        <w:t>SARS-CoV-2</w:t>
      </w:r>
      <w:r w:rsidR="00516475" w:rsidRPr="003C742E">
        <w:t>)</w:t>
      </w:r>
      <w:r w:rsidRPr="003C742E">
        <w:t xml:space="preserve"> variants and will continue to do so; the ancestral strain used in the development of Spikevax is no longer in circulation.</w:t>
      </w:r>
    </w:p>
    <w:p w14:paraId="72CB30F7" w14:textId="4C601E48" w:rsidR="00A62EF5" w:rsidRPr="003C742E" w:rsidRDefault="00A62EF5" w:rsidP="00A62EF5">
      <w:r w:rsidRPr="003C742E">
        <w:t>The ACV has previously noted emerging evidence on a range of factors, including immune imprinting by prior antigenic exposure, which can influence development of robust immunity against future SARS-CoV-2 variants, depending on vaccine composition.</w:t>
      </w:r>
    </w:p>
    <w:p w14:paraId="5D0307C2" w14:textId="1E768966" w:rsidR="00E1345D" w:rsidRPr="003C742E" w:rsidRDefault="00A62EF5" w:rsidP="00A62EF5">
      <w:r w:rsidRPr="003C742E">
        <w:lastRenderedPageBreak/>
        <w:t xml:space="preserve">The ACV concluded that the benefit-risk profile for Spikevax in individuals 6 years of age and older is well established by cumulative clinical and post-authorisation data, for use as both primary course (6+ years) and booster (12+ years). It is not expected that remaining outstanding data (to be specified in the Conditions of registration associated with full registration) will alter the benefit-risk profile. Such comprehensive existing data for this vaccine warrant transition from </w:t>
      </w:r>
      <w:r w:rsidR="00A76EB7" w:rsidRPr="003C742E">
        <w:t xml:space="preserve">provisional registration to full registration, </w:t>
      </w:r>
      <w:r w:rsidRPr="003C742E">
        <w:t>in keeping with comparable overseas regulators.</w:t>
      </w:r>
    </w:p>
    <w:p w14:paraId="5291EA2A" w14:textId="77777777" w:rsidR="00C22214" w:rsidRPr="003C742E" w:rsidRDefault="00C22214" w:rsidP="00C22214">
      <w:pPr>
        <w:pStyle w:val="Heading5"/>
      </w:pPr>
      <w:r w:rsidRPr="003C742E">
        <w:t>Conclusion</w:t>
      </w:r>
    </w:p>
    <w:p w14:paraId="40AC978A" w14:textId="4481CE58" w:rsidR="00A62EF5" w:rsidRPr="003C742E" w:rsidRDefault="00A62EF5" w:rsidP="00A62EF5">
      <w:r w:rsidRPr="003C742E">
        <w:t>The ACV considered this product to have an overall positive benefit-risk profile for the indication:</w:t>
      </w:r>
    </w:p>
    <w:p w14:paraId="383E6080" w14:textId="42D5D9F7" w:rsidR="00A62EF5" w:rsidRPr="003C742E" w:rsidRDefault="00A62EF5" w:rsidP="00A62EF5">
      <w:pPr>
        <w:ind w:left="720"/>
        <w:rPr>
          <w:i/>
          <w:iCs/>
        </w:rPr>
      </w:pPr>
      <w:r w:rsidRPr="003C742E">
        <w:rPr>
          <w:i/>
          <w:iCs/>
        </w:rPr>
        <w:t>Spikevax (elasomeran) COVID-19 vaccine has provisional approval for the indication below:</w:t>
      </w:r>
    </w:p>
    <w:p w14:paraId="4C08E065" w14:textId="4D572B58" w:rsidR="00A62EF5" w:rsidRPr="003C742E" w:rsidRDefault="00A62EF5" w:rsidP="00A62EF5">
      <w:pPr>
        <w:ind w:left="720"/>
        <w:rPr>
          <w:i/>
          <w:iCs/>
        </w:rPr>
      </w:pPr>
      <w:r w:rsidRPr="003C742E">
        <w:rPr>
          <w:i/>
          <w:iCs/>
        </w:rPr>
        <w:t>Active immunisation to prevent coronavirus disease 2019 (COVID-19) caused by SARS</w:t>
      </w:r>
      <w:r w:rsidRPr="003C742E">
        <w:rPr>
          <w:i/>
          <w:iCs/>
        </w:rPr>
        <w:noBreakHyphen/>
        <w:t>CoV</w:t>
      </w:r>
      <w:r w:rsidRPr="003C742E">
        <w:rPr>
          <w:i/>
          <w:iCs/>
        </w:rPr>
        <w:noBreakHyphen/>
        <w:t>2 in individuals 6 months of age to &lt;6 years of age.</w:t>
      </w:r>
    </w:p>
    <w:p w14:paraId="0B9570FD" w14:textId="2117A3F6" w:rsidR="00A62EF5" w:rsidRPr="003C742E" w:rsidRDefault="00A62EF5" w:rsidP="00A62EF5">
      <w:pPr>
        <w:ind w:left="720"/>
        <w:rPr>
          <w:i/>
          <w:iCs/>
        </w:rPr>
      </w:pPr>
      <w:r w:rsidRPr="003C742E">
        <w:rPr>
          <w:i/>
          <w:iCs/>
        </w:rPr>
        <w:t>The use of this vaccine should be in accordance with official recommendations.</w:t>
      </w:r>
    </w:p>
    <w:p w14:paraId="7F1C5BC5" w14:textId="2426B639" w:rsidR="00A62EF5" w:rsidRPr="003C742E" w:rsidRDefault="00A62EF5" w:rsidP="00A62EF5">
      <w:pPr>
        <w:ind w:left="720"/>
        <w:rPr>
          <w:i/>
          <w:iCs/>
        </w:rPr>
      </w:pPr>
      <w:r w:rsidRPr="003C742E">
        <w:rPr>
          <w:i/>
          <w:iCs/>
        </w:rPr>
        <w:t>The decision has been made on the basis of short-term efficacy and safety data. Continued approval depends on the evidence of longer term efficacy and safety from ongoing clinical trials and post-market assessment.</w:t>
      </w:r>
    </w:p>
    <w:p w14:paraId="7DF987CD" w14:textId="53CF101B" w:rsidR="00A62EF5" w:rsidRPr="003C742E" w:rsidRDefault="00A62EF5" w:rsidP="00A62EF5">
      <w:pPr>
        <w:ind w:left="720"/>
        <w:rPr>
          <w:i/>
          <w:iCs/>
        </w:rPr>
      </w:pPr>
      <w:r w:rsidRPr="003C742E">
        <w:rPr>
          <w:i/>
          <w:iCs/>
        </w:rPr>
        <w:t>Spikevax (elasomeran) COVID-19 vaccine is indicated for:</w:t>
      </w:r>
    </w:p>
    <w:p w14:paraId="68DBD1C2" w14:textId="14927CEA" w:rsidR="00A62EF5" w:rsidRPr="003C742E" w:rsidRDefault="00A62EF5" w:rsidP="00A62EF5">
      <w:pPr>
        <w:ind w:left="720"/>
        <w:rPr>
          <w:i/>
          <w:iCs/>
        </w:rPr>
      </w:pPr>
      <w:r w:rsidRPr="003C742E">
        <w:rPr>
          <w:i/>
          <w:iCs/>
        </w:rPr>
        <w:t>Active immunisation to prevent coronavirus disease 2019 (COVID-19) caused by SARS</w:t>
      </w:r>
      <w:r w:rsidR="00E15923" w:rsidRPr="003C742E">
        <w:rPr>
          <w:i/>
          <w:iCs/>
        </w:rPr>
        <w:noBreakHyphen/>
      </w:r>
      <w:r w:rsidRPr="003C742E">
        <w:rPr>
          <w:i/>
          <w:iCs/>
        </w:rPr>
        <w:t>CoV</w:t>
      </w:r>
      <w:r w:rsidR="00E15923" w:rsidRPr="003C742E">
        <w:rPr>
          <w:i/>
          <w:iCs/>
        </w:rPr>
        <w:noBreakHyphen/>
      </w:r>
      <w:r w:rsidRPr="003C742E">
        <w:rPr>
          <w:i/>
          <w:iCs/>
        </w:rPr>
        <w:t>2 in individuals 6 years of age and older.</w:t>
      </w:r>
    </w:p>
    <w:p w14:paraId="3215A91C" w14:textId="7D1522B1" w:rsidR="00A62EF5" w:rsidRPr="003C742E" w:rsidRDefault="00A62EF5" w:rsidP="00A62EF5">
      <w:pPr>
        <w:ind w:left="720"/>
        <w:rPr>
          <w:i/>
          <w:iCs/>
        </w:rPr>
      </w:pPr>
      <w:r w:rsidRPr="003C742E">
        <w:rPr>
          <w:i/>
          <w:iCs/>
        </w:rPr>
        <w:t>The use of this vaccine should be in accordance with official recommendations.</w:t>
      </w:r>
    </w:p>
    <w:p w14:paraId="307F236C" w14:textId="77777777" w:rsidR="00C22214" w:rsidRPr="003C742E" w:rsidRDefault="00C22214" w:rsidP="00C22214">
      <w:pPr>
        <w:pStyle w:val="Heading2"/>
      </w:pPr>
      <w:bookmarkStart w:id="155" w:name="_Toc103679300"/>
      <w:bookmarkStart w:id="156" w:name="_Toc134622058"/>
      <w:r w:rsidRPr="003C742E">
        <w:t>Outcome</w:t>
      </w:r>
      <w:bookmarkEnd w:id="153"/>
      <w:bookmarkEnd w:id="154"/>
      <w:bookmarkEnd w:id="155"/>
      <w:bookmarkEnd w:id="156"/>
    </w:p>
    <w:p w14:paraId="62F90861" w14:textId="624A6FF0" w:rsidR="005E435C" w:rsidRPr="003C742E" w:rsidRDefault="00C22214" w:rsidP="005E435C">
      <w:r w:rsidRPr="003C742E">
        <w:t xml:space="preserve">Based on a review of quality, safety, and efficacy, the TGA approved the registration of </w:t>
      </w:r>
      <w:r w:rsidR="005E435C" w:rsidRPr="003C742E">
        <w:t xml:space="preserve">Spikevax (elasomeran) 0.1 mg/mL and 0.2 mg/mL, suspension for injection, vial and prefilled syringe, </w:t>
      </w:r>
      <w:r w:rsidRPr="003C742E">
        <w:t>indicated for:</w:t>
      </w:r>
    </w:p>
    <w:p w14:paraId="66FB101D" w14:textId="357860BB" w:rsidR="00D55F64" w:rsidRPr="003C742E" w:rsidRDefault="00D55F64" w:rsidP="00D55F64">
      <w:pPr>
        <w:ind w:left="720"/>
        <w:rPr>
          <w:i/>
          <w:iCs/>
        </w:rPr>
      </w:pPr>
      <w:r w:rsidRPr="003C742E">
        <w:rPr>
          <w:i/>
          <w:iCs/>
        </w:rPr>
        <w:t>Active immunisation to prevent coronavirus disease 2019 (COVID-19) caused by SARS</w:t>
      </w:r>
      <w:r w:rsidRPr="003C742E">
        <w:rPr>
          <w:i/>
          <w:iCs/>
        </w:rPr>
        <w:noBreakHyphen/>
        <w:t>CoV</w:t>
      </w:r>
      <w:r w:rsidRPr="003C742E">
        <w:rPr>
          <w:i/>
          <w:iCs/>
        </w:rPr>
        <w:noBreakHyphen/>
        <w:t>2 in individuals 6 years of age and older.</w:t>
      </w:r>
    </w:p>
    <w:p w14:paraId="5CB53F86" w14:textId="27CF1F58" w:rsidR="00D55F64" w:rsidRPr="003C742E" w:rsidRDefault="00D55F64" w:rsidP="00D55F64">
      <w:pPr>
        <w:ind w:left="720"/>
        <w:rPr>
          <w:i/>
          <w:iCs/>
        </w:rPr>
      </w:pPr>
      <w:r w:rsidRPr="003C742E">
        <w:rPr>
          <w:i/>
          <w:iCs/>
        </w:rPr>
        <w:t>The use of this vaccine should be in accordance with official recommendations.</w:t>
      </w:r>
    </w:p>
    <w:p w14:paraId="693DE364" w14:textId="0DC56E08" w:rsidR="00D55F64" w:rsidRPr="003C742E" w:rsidRDefault="00D55F64" w:rsidP="00D55F64">
      <w:r w:rsidRPr="003C742E">
        <w:t>At this time, Spikevax will remain provisionally registered in relation to the following indication:</w:t>
      </w:r>
    </w:p>
    <w:p w14:paraId="242322AF" w14:textId="7D1375E5" w:rsidR="00D55F64" w:rsidRPr="003C742E" w:rsidRDefault="00D55F64" w:rsidP="00D55F64">
      <w:pPr>
        <w:ind w:left="720"/>
        <w:rPr>
          <w:i/>
          <w:iCs/>
        </w:rPr>
      </w:pPr>
      <w:r w:rsidRPr="003C742E">
        <w:rPr>
          <w:i/>
          <w:iCs/>
        </w:rPr>
        <w:t>Spikevax (elasomeran) COVID-19 vaccine has provisional approval for the indication below:</w:t>
      </w:r>
    </w:p>
    <w:p w14:paraId="6E5280E8" w14:textId="62D35705" w:rsidR="00D55F64" w:rsidRPr="003C742E" w:rsidRDefault="00D55F64" w:rsidP="00D55F64">
      <w:pPr>
        <w:ind w:left="720"/>
        <w:rPr>
          <w:i/>
          <w:iCs/>
        </w:rPr>
      </w:pPr>
      <w:r w:rsidRPr="003C742E">
        <w:rPr>
          <w:i/>
          <w:iCs/>
        </w:rPr>
        <w:t>Active immunisation to prevent coronavirus disease 2019 (COVID-19) caused by SARS</w:t>
      </w:r>
      <w:r w:rsidRPr="003C742E">
        <w:rPr>
          <w:i/>
          <w:iCs/>
        </w:rPr>
        <w:noBreakHyphen/>
        <w:t>CoV</w:t>
      </w:r>
      <w:r w:rsidRPr="003C742E">
        <w:rPr>
          <w:i/>
          <w:iCs/>
        </w:rPr>
        <w:noBreakHyphen/>
        <w:t>2 in individuals 6 months of age to &lt;6 years of age.</w:t>
      </w:r>
    </w:p>
    <w:p w14:paraId="6E2842FC" w14:textId="77777777" w:rsidR="00D55F64" w:rsidRPr="003C742E" w:rsidRDefault="00D55F64" w:rsidP="00D55F64">
      <w:pPr>
        <w:ind w:left="720"/>
        <w:rPr>
          <w:i/>
          <w:iCs/>
        </w:rPr>
      </w:pPr>
      <w:r w:rsidRPr="003C742E">
        <w:rPr>
          <w:i/>
          <w:iCs/>
        </w:rPr>
        <w:t>The use of this vaccine should be in accordance with official recommendations.</w:t>
      </w:r>
    </w:p>
    <w:p w14:paraId="4FF24457" w14:textId="6A1AF149" w:rsidR="00D55F64" w:rsidRPr="003C742E" w:rsidRDefault="00D55F64" w:rsidP="00D55F64">
      <w:pPr>
        <w:ind w:left="720"/>
        <w:rPr>
          <w:i/>
          <w:iCs/>
        </w:rPr>
      </w:pPr>
      <w:r w:rsidRPr="003C742E">
        <w:rPr>
          <w:i/>
          <w:iCs/>
        </w:rPr>
        <w:t>The decision has been made on the basis of short-term efficacy and safety data. Continued approval depends on the evidence of longer term efficacy and safety from ongoing clinical trials and post-market assessment.</w:t>
      </w:r>
    </w:p>
    <w:p w14:paraId="0D732DA4" w14:textId="77777777" w:rsidR="00854D98" w:rsidRPr="003C742E" w:rsidRDefault="00854D98" w:rsidP="00854D98">
      <w:pPr>
        <w:pStyle w:val="Heading3"/>
      </w:pPr>
      <w:bookmarkStart w:id="157" w:name="_Toc103679301"/>
      <w:bookmarkStart w:id="158" w:name="_Toc134622059"/>
      <w:r w:rsidRPr="003C742E">
        <w:lastRenderedPageBreak/>
        <w:t>Specific conditions of registration applying to these goods</w:t>
      </w:r>
      <w:bookmarkEnd w:id="157"/>
      <w:bookmarkEnd w:id="158"/>
    </w:p>
    <w:p w14:paraId="006E9ACE" w14:textId="1C4CA27E" w:rsidR="007F4CA7" w:rsidRPr="003C742E" w:rsidRDefault="007F4CA7" w:rsidP="007F4CA7">
      <w:pPr>
        <w:pStyle w:val="ListBullet"/>
        <w:numPr>
          <w:ilvl w:val="0"/>
          <w:numId w:val="0"/>
        </w:numPr>
        <w:ind w:left="360"/>
        <w:rPr>
          <w:b/>
          <w:bCs/>
        </w:rPr>
      </w:pPr>
      <w:r w:rsidRPr="003C742E">
        <w:rPr>
          <w:b/>
          <w:bCs/>
        </w:rPr>
        <w:t>Risk management plan conditions:</w:t>
      </w:r>
    </w:p>
    <w:p w14:paraId="64A88591" w14:textId="0947416F" w:rsidR="007F4CA7" w:rsidRPr="003C742E" w:rsidRDefault="007F4CA7" w:rsidP="007F4CA7">
      <w:pPr>
        <w:pStyle w:val="ListBullet"/>
      </w:pPr>
      <w:r w:rsidRPr="003C742E">
        <w:t>The Spikevax (elasomeran) EU-risk management plan (RMP) (version 6.1, dated date 30</w:t>
      </w:r>
      <w:r w:rsidR="003C742E" w:rsidRPr="003C742E">
        <w:t> </w:t>
      </w:r>
      <w:r w:rsidRPr="003C742E">
        <w:t>October 2022; DLP 12 September 2022), with Australian specific annex (version 3.0, dated 13 December 2022), included with Submission PM-2022-05374-1-2, and any subsequent revisions, as agreed with the TGA will be implemented in Australia.</w:t>
      </w:r>
    </w:p>
    <w:p w14:paraId="17D43BAD" w14:textId="7CF47020" w:rsidR="007F4CA7" w:rsidRPr="003C742E" w:rsidRDefault="007F4CA7" w:rsidP="007F4CA7">
      <w:pPr>
        <w:pStyle w:val="ListBullet"/>
      </w:pPr>
      <w:r w:rsidRPr="003C742E">
        <w:t>An obligatory component of risk management plans is routine pharmacovigilance. Routine pharmacovigilance includes the submission of periodic safety update reports (PSURs).</w:t>
      </w:r>
    </w:p>
    <w:p w14:paraId="7C21F101" w14:textId="1429BB8E" w:rsidR="007F4CA7" w:rsidRPr="003C742E" w:rsidRDefault="007F4CA7" w:rsidP="007F4CA7">
      <w:pPr>
        <w:pStyle w:val="ListBullet"/>
        <w:numPr>
          <w:ilvl w:val="0"/>
          <w:numId w:val="0"/>
        </w:numPr>
        <w:ind w:left="360"/>
      </w:pPr>
      <w:r w:rsidRPr="003C742E">
        <w:t>Reports are to be provided in line with the current published list of EU reference dates and frequency of submission of PSURs until the period covered by such reports is not less than three years from the date of the approval letter.</w:t>
      </w:r>
    </w:p>
    <w:p w14:paraId="2EA491EC" w14:textId="2A42BC13" w:rsidR="007F4CA7" w:rsidRPr="003C742E" w:rsidRDefault="007F4CA7" w:rsidP="007F4CA7">
      <w:pPr>
        <w:pStyle w:val="ListBullet"/>
        <w:numPr>
          <w:ilvl w:val="0"/>
          <w:numId w:val="0"/>
        </w:numPr>
        <w:ind w:left="360"/>
      </w:pPr>
      <w:r w:rsidRPr="003C742E">
        <w:t>The reports are to at least meet the requirements for PSURs as described in the European Medicines Agency’s Guideline on Good Pharmacovigilance Practices (GVP) Module VII-periodic safety update report (Rev 1), Part VII.B Structures and processes. Note that submission of a PSUR does not constitute an application to vary the registration. Each report must have been prepared within ninety calendar days of the data lock point for that report.</w:t>
      </w:r>
    </w:p>
    <w:p w14:paraId="7A7ECD31" w14:textId="77777777" w:rsidR="007F4CA7" w:rsidRPr="003C742E" w:rsidRDefault="007F4CA7" w:rsidP="007F4CA7">
      <w:pPr>
        <w:pStyle w:val="ListBullet"/>
        <w:numPr>
          <w:ilvl w:val="0"/>
          <w:numId w:val="0"/>
        </w:numPr>
        <w:ind w:left="360"/>
        <w:rPr>
          <w:b/>
          <w:bCs/>
        </w:rPr>
      </w:pPr>
      <w:r w:rsidRPr="003C742E">
        <w:rPr>
          <w:b/>
          <w:bCs/>
        </w:rPr>
        <w:t>Clinical conditions:</w:t>
      </w:r>
    </w:p>
    <w:p w14:paraId="1C4D483D" w14:textId="638AFC59" w:rsidR="007F4CA7" w:rsidRPr="003C742E" w:rsidRDefault="007F4CA7" w:rsidP="007F4CA7">
      <w:pPr>
        <w:pStyle w:val="ListBullet"/>
      </w:pPr>
      <w:r w:rsidRPr="003C742E">
        <w:t>Submit the outstanding clinical data from all the requested data (study reports and/or published data) which were requested, as conditions, and/or part of the clinical study plan, including Studies P301, P203 and P204, for the provisional registration of Spikevax in individuals 6 years of age and older when available.</w:t>
      </w:r>
    </w:p>
    <w:p w14:paraId="5BD90494" w14:textId="77777777" w:rsidR="007F4CA7" w:rsidRPr="003C742E" w:rsidRDefault="007F4CA7" w:rsidP="007F4CA7">
      <w:pPr>
        <w:pStyle w:val="ListBullet"/>
        <w:numPr>
          <w:ilvl w:val="0"/>
          <w:numId w:val="0"/>
        </w:numPr>
        <w:ind w:left="360"/>
        <w:rPr>
          <w:b/>
          <w:bCs/>
        </w:rPr>
      </w:pPr>
      <w:r w:rsidRPr="003C742E">
        <w:rPr>
          <w:b/>
          <w:bCs/>
        </w:rPr>
        <w:t>Quality conditions:</w:t>
      </w:r>
    </w:p>
    <w:p w14:paraId="0F29527A" w14:textId="0C15DBF5" w:rsidR="007F4CA7" w:rsidRPr="003C742E" w:rsidRDefault="003C742E" w:rsidP="007F4CA7">
      <w:pPr>
        <w:pStyle w:val="ListBullet"/>
      </w:pPr>
      <w:r w:rsidRPr="003C742E">
        <w:t>[Good Manufacturing Practice]</w:t>
      </w:r>
      <w:r w:rsidRPr="003C742E">
        <w:rPr>
          <w:vertAlign w:val="superscript"/>
        </w:rPr>
        <w:t>[</w:t>
      </w:r>
      <w:r w:rsidRPr="003C742E">
        <w:rPr>
          <w:rStyle w:val="FootnoteReference"/>
        </w:rPr>
        <w:footnoteReference w:id="37"/>
      </w:r>
      <w:r w:rsidRPr="003C742E">
        <w:rPr>
          <w:vertAlign w:val="superscript"/>
        </w:rPr>
        <w:t>]</w:t>
      </w:r>
      <w:r w:rsidRPr="003C742E">
        <w:t xml:space="preserve"> </w:t>
      </w:r>
      <w:r w:rsidR="007F4CA7" w:rsidRPr="003C742E">
        <w:t>GMP clearance for listed manufacturers: All relevant manufacturing sites require approved and current GMP Clearances prior to Australian supply. A commitment is required from the sponsor that they maintain the validity of all manufacturer GMP clearances for the duration of product supply to Australia. Additionally, that adherence to the conditions of GMP clearance approval is upheld.</w:t>
      </w:r>
    </w:p>
    <w:p w14:paraId="7C0EA84D" w14:textId="643BF69A" w:rsidR="007F4CA7" w:rsidRPr="003C742E" w:rsidRDefault="007F4CA7" w:rsidP="007F4CA7">
      <w:pPr>
        <w:pStyle w:val="ListBullet"/>
      </w:pPr>
      <w:r w:rsidRPr="003C742E">
        <w:t>Post-approval stability protocol and stability commitment: The manufacturer has provided a commitment to continue the ongoing stability studies presented in the stability studies protocol. Additionally, 1 batch of drug product (DP) per year for all relevant products will be placed on long-term stability program and on accelerated stability testing where significant changes are made to the manufacturing process. The manufacturer has committed to communicate any out of specifications stability test results to the TGA.</w:t>
      </w:r>
    </w:p>
    <w:p w14:paraId="595B8D9A" w14:textId="77777777" w:rsidR="007F4CA7" w:rsidRPr="003C742E" w:rsidRDefault="007F4CA7" w:rsidP="007F4CA7">
      <w:pPr>
        <w:pStyle w:val="ListBullet"/>
        <w:numPr>
          <w:ilvl w:val="0"/>
          <w:numId w:val="0"/>
        </w:numPr>
        <w:ind w:left="360"/>
        <w:rPr>
          <w:b/>
          <w:bCs/>
        </w:rPr>
      </w:pPr>
      <w:r w:rsidRPr="003C742E">
        <w:rPr>
          <w:b/>
          <w:bCs/>
        </w:rPr>
        <w:t>Toxicology conditions:</w:t>
      </w:r>
    </w:p>
    <w:p w14:paraId="525D0C22" w14:textId="7213AC33" w:rsidR="007F4CA7" w:rsidRPr="003C742E" w:rsidRDefault="007F4CA7" w:rsidP="007F4CA7">
      <w:pPr>
        <w:pStyle w:val="ListBullet"/>
      </w:pPr>
      <w:r w:rsidRPr="003C742E">
        <w:t>The requested report ‘Antigen expression in tissues’ should be provided when it becomes available (anticipated by July 2023).</w:t>
      </w:r>
    </w:p>
    <w:p w14:paraId="6D132C97" w14:textId="1B010891" w:rsidR="007F4CA7" w:rsidRPr="003C742E" w:rsidRDefault="007F4CA7" w:rsidP="007F4CA7">
      <w:pPr>
        <w:pStyle w:val="ListBullet"/>
      </w:pPr>
      <w:r w:rsidRPr="003C742E">
        <w:t>For all injectable products the Product Information must be included with the product as a package insert.</w:t>
      </w:r>
    </w:p>
    <w:p w14:paraId="451DC3FC" w14:textId="77777777" w:rsidR="00C22214" w:rsidRPr="003C742E" w:rsidRDefault="00C22214" w:rsidP="00C22214">
      <w:pPr>
        <w:pStyle w:val="Heading2"/>
      </w:pPr>
      <w:bookmarkStart w:id="159" w:name="_Toc103679303"/>
      <w:bookmarkStart w:id="160" w:name="_Toc134622060"/>
      <w:r w:rsidRPr="003C742E">
        <w:lastRenderedPageBreak/>
        <w:t>Attachment 1. Product Information</w:t>
      </w:r>
      <w:bookmarkEnd w:id="159"/>
      <w:bookmarkEnd w:id="160"/>
    </w:p>
    <w:p w14:paraId="21F47164" w14:textId="49C61CC6" w:rsidR="00C22214" w:rsidRPr="003C742E" w:rsidRDefault="00C22214" w:rsidP="00C22214">
      <w:pPr>
        <w:rPr>
          <w:szCs w:val="22"/>
        </w:rPr>
      </w:pPr>
      <w:r w:rsidRPr="003C742E">
        <w:rPr>
          <w:szCs w:val="22"/>
        </w:rPr>
        <w:t xml:space="preserve">The PI for </w:t>
      </w:r>
      <w:r w:rsidR="006B6782" w:rsidRPr="003C742E">
        <w:rPr>
          <w:szCs w:val="22"/>
        </w:rPr>
        <w:t xml:space="preserve">Spikevax </w:t>
      </w:r>
      <w:r w:rsidRPr="003C742E">
        <w:rPr>
          <w:szCs w:val="22"/>
        </w:rPr>
        <w:t xml:space="preserve">approved with the submission which is described in this AusPAR is at Attachment 1. For the most recent PI, please refer to the TGA </w:t>
      </w:r>
      <w:hyperlink r:id="rId67" w:history="1">
        <w:r w:rsidRPr="003C742E">
          <w:rPr>
            <w:rStyle w:val="Hyperlink"/>
            <w:szCs w:val="22"/>
          </w:rPr>
          <w:t>PI/CMI search facility.</w:t>
        </w:r>
      </w:hyperlink>
    </w:p>
    <w:p w14:paraId="40740B65" w14:textId="77777777" w:rsidR="00C22214" w:rsidRPr="003C742E" w:rsidRDefault="00C22214" w:rsidP="00C22214">
      <w:pPr>
        <w:autoSpaceDE w:val="0"/>
        <w:autoSpaceDN w:val="0"/>
        <w:adjustRightInd w:val="0"/>
        <w:spacing w:after="0"/>
      </w:pPr>
      <w:r w:rsidRPr="003C742E">
        <w:rPr>
          <w:b/>
        </w:rPr>
        <w:br w:type="page"/>
      </w:r>
    </w:p>
    <w:p w14:paraId="53357BF3" w14:textId="276457B5" w:rsidR="00C22214" w:rsidRPr="003C742E" w:rsidRDefault="00C22214" w:rsidP="00C22214">
      <w:pPr>
        <w:rPr>
          <w:lang w:eastAsia="ja-JP"/>
        </w:rPr>
        <w:sectPr w:rsidR="00C22214" w:rsidRPr="003C742E" w:rsidSect="007452E8">
          <w:headerReference w:type="default" r:id="rId68"/>
          <w:footerReference w:type="default" r:id="rId69"/>
          <w:pgSz w:w="11906" w:h="16838" w:code="9"/>
          <w:pgMar w:top="1134" w:right="1418" w:bottom="1361" w:left="1418" w:header="573" w:footer="567" w:gutter="0"/>
          <w:cols w:space="708"/>
          <w:docGrid w:linePitch="360"/>
        </w:sectPr>
      </w:pPr>
    </w:p>
    <w:tbl>
      <w:tblPr>
        <w:tblW w:w="9145" w:type="dxa"/>
        <w:jc w:val="center"/>
        <w:tblLayout w:type="fixed"/>
        <w:tblCellMar>
          <w:left w:w="0" w:type="dxa"/>
          <w:right w:w="0" w:type="dxa"/>
        </w:tblCellMar>
        <w:tblLook w:val="04A0" w:firstRow="1" w:lastRow="0" w:firstColumn="1" w:lastColumn="0" w:noHBand="0" w:noVBand="1"/>
      </w:tblPr>
      <w:tblGrid>
        <w:gridCol w:w="9145"/>
      </w:tblGrid>
      <w:tr w:rsidR="00F02AEC" w:rsidRPr="003C742E" w14:paraId="3C0C07BF" w14:textId="77777777" w:rsidTr="007452E8">
        <w:trPr>
          <w:trHeight w:hRule="exact" w:val="565"/>
          <w:jc w:val="center"/>
        </w:trPr>
        <w:tc>
          <w:tcPr>
            <w:tcW w:w="9145" w:type="dxa"/>
          </w:tcPr>
          <w:bookmarkEnd w:id="4"/>
          <w:bookmarkEnd w:id="5"/>
          <w:p w14:paraId="7E090B86" w14:textId="77777777" w:rsidR="00F02AEC" w:rsidRPr="003C742E" w:rsidRDefault="00F02AEC" w:rsidP="007452E8">
            <w:pPr>
              <w:pStyle w:val="TGASignoff"/>
            </w:pPr>
            <w:r w:rsidRPr="003C742E">
              <w:lastRenderedPageBreak/>
              <w:t>Therapeutic Goods Administration</w:t>
            </w:r>
          </w:p>
        </w:tc>
      </w:tr>
      <w:tr w:rsidR="00F02AEC" w:rsidRPr="003C742E" w14:paraId="70F47EA1" w14:textId="77777777" w:rsidTr="007452E8">
        <w:trPr>
          <w:trHeight w:val="963"/>
          <w:jc w:val="center"/>
        </w:trPr>
        <w:tc>
          <w:tcPr>
            <w:tcW w:w="9145" w:type="dxa"/>
            <w:tcMar>
              <w:top w:w="28" w:type="dxa"/>
            </w:tcMar>
          </w:tcPr>
          <w:p w14:paraId="3491EBCD" w14:textId="77777777" w:rsidR="00F02AEC" w:rsidRPr="003C742E" w:rsidRDefault="00F02AEC" w:rsidP="007452E8">
            <w:pPr>
              <w:pStyle w:val="Address"/>
              <w:jc w:val="center"/>
            </w:pPr>
            <w:r w:rsidRPr="003C742E">
              <w:t>PO Box 100 Woden ACT 2606 Australia</w:t>
            </w:r>
          </w:p>
          <w:p w14:paraId="5D0FE0E7" w14:textId="4C46F33C" w:rsidR="00F02AEC" w:rsidRPr="003C742E" w:rsidRDefault="00F02AEC">
            <w:pPr>
              <w:pStyle w:val="Address"/>
              <w:jc w:val="center"/>
              <w:rPr>
                <w:sz w:val="22"/>
                <w:szCs w:val="22"/>
              </w:rPr>
            </w:pPr>
            <w:r w:rsidRPr="003C742E">
              <w:t xml:space="preserve">Email: </w:t>
            </w:r>
            <w:hyperlink r:id="rId70" w:history="1">
              <w:r w:rsidRPr="003C742E">
                <w:rPr>
                  <w:rStyle w:val="Hyperlink"/>
                </w:rPr>
                <w:t>info@tga.gov.au</w:t>
              </w:r>
            </w:hyperlink>
            <w:r w:rsidRPr="003C742E">
              <w:t xml:space="preserve">  Phone: 1800 020 653  Fax: 02 6203 1605</w:t>
            </w:r>
          </w:p>
          <w:p w14:paraId="4533D80F" w14:textId="58EE22E8" w:rsidR="00F02AEC" w:rsidRPr="003C742E" w:rsidRDefault="009809E2">
            <w:pPr>
              <w:pStyle w:val="Address"/>
              <w:jc w:val="center"/>
              <w:rPr>
                <w:rStyle w:val="Hyperlink"/>
                <w:b/>
                <w:color w:val="auto"/>
                <w:sz w:val="22"/>
              </w:rPr>
            </w:pPr>
            <w:hyperlink r:id="rId71" w:history="1">
              <w:r w:rsidR="00F02AEC" w:rsidRPr="003C742E">
                <w:rPr>
                  <w:rStyle w:val="Hyperlink"/>
                  <w:b/>
                </w:rPr>
                <w:t>https://www.tga.gov.au</w:t>
              </w:r>
            </w:hyperlink>
          </w:p>
        </w:tc>
      </w:tr>
      <w:tr w:rsidR="00F02AEC" w:rsidRPr="00215D48" w14:paraId="2AD74347" w14:textId="77777777" w:rsidTr="007452E8">
        <w:trPr>
          <w:trHeight w:val="251"/>
          <w:jc w:val="center"/>
        </w:trPr>
        <w:tc>
          <w:tcPr>
            <w:tcW w:w="9145" w:type="dxa"/>
            <w:tcMar>
              <w:top w:w="28" w:type="dxa"/>
            </w:tcMar>
          </w:tcPr>
          <w:p w14:paraId="6EAAD5C1" w14:textId="77777777" w:rsidR="00F02AEC" w:rsidRPr="00215D48" w:rsidRDefault="00F02AEC" w:rsidP="007452E8">
            <w:pPr>
              <w:pStyle w:val="Address"/>
              <w:jc w:val="center"/>
            </w:pPr>
            <w:r w:rsidRPr="003C742E">
              <w:t>Reference/Publication #</w:t>
            </w:r>
          </w:p>
        </w:tc>
      </w:tr>
    </w:tbl>
    <w:p w14:paraId="788B80FD" w14:textId="77777777" w:rsidR="007452E8" w:rsidRDefault="007452E8"/>
    <w:sectPr w:rsidR="007452E8" w:rsidSect="007452E8">
      <w:headerReference w:type="first" r:id="rId72"/>
      <w:footerReference w:type="first" r:id="rId73"/>
      <w:pgSz w:w="11906" w:h="16838" w:code="9"/>
      <w:pgMar w:top="13571" w:right="1701" w:bottom="567" w:left="1701" w:header="1134" w:footer="7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2C7E6" w14:textId="77777777" w:rsidR="00DC0A46" w:rsidRDefault="00DC0A46" w:rsidP="00F02AEC">
      <w:pPr>
        <w:spacing w:after="0" w:line="240" w:lineRule="auto"/>
      </w:pPr>
      <w:r>
        <w:separator/>
      </w:r>
    </w:p>
  </w:endnote>
  <w:endnote w:type="continuationSeparator" w:id="0">
    <w:p w14:paraId="3B8BC5B9" w14:textId="77777777" w:rsidR="00DC0A46" w:rsidRDefault="00DC0A46" w:rsidP="00F02A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TimesNewRoman">
    <w:altName w:val="Yu Gothic U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60"/>
      <w:gridCol w:w="4360"/>
    </w:tblGrid>
    <w:tr w:rsidR="00E1345D" w:rsidRPr="00257138" w14:paraId="162D69C2" w14:textId="77777777" w:rsidTr="007452E8">
      <w:trPr>
        <w:trHeight w:val="423"/>
      </w:trPr>
      <w:tc>
        <w:tcPr>
          <w:tcW w:w="4360" w:type="dxa"/>
          <w:tcBorders>
            <w:top w:val="single" w:sz="4" w:space="0" w:color="auto"/>
          </w:tcBorders>
        </w:tcPr>
        <w:p w14:paraId="32E1B782" w14:textId="77777777" w:rsidR="00E1345D" w:rsidRDefault="00E1345D" w:rsidP="007452E8">
          <w:pPr>
            <w:pStyle w:val="Footer"/>
          </w:pPr>
        </w:p>
        <w:p w14:paraId="1849C07C" w14:textId="77777777" w:rsidR="00E1345D" w:rsidRPr="00257138" w:rsidRDefault="00E1345D" w:rsidP="007452E8">
          <w:pPr>
            <w:pStyle w:val="Footer"/>
          </w:pPr>
          <w:r w:rsidRPr="00257138">
            <w:t>Document title</w:t>
          </w:r>
        </w:p>
      </w:tc>
      <w:tc>
        <w:tcPr>
          <w:tcW w:w="4360" w:type="dxa"/>
          <w:tcBorders>
            <w:top w:val="single" w:sz="4" w:space="0" w:color="auto"/>
          </w:tcBorders>
        </w:tcPr>
        <w:sdt>
          <w:sdtPr>
            <w:id w:val="1087729233"/>
            <w:docPartObj>
              <w:docPartGallery w:val="Page Numbers (Top of Page)"/>
              <w:docPartUnique/>
            </w:docPartObj>
          </w:sdtPr>
          <w:sdtEndPr/>
          <w:sdtContent>
            <w:p w14:paraId="606A08BF" w14:textId="77777777" w:rsidR="00E1345D" w:rsidRDefault="00E1345D" w:rsidP="007452E8">
              <w:pPr>
                <w:pStyle w:val="Footer"/>
                <w:jc w:val="right"/>
              </w:pPr>
            </w:p>
            <w:p w14:paraId="5EDE6DF6" w14:textId="77777777" w:rsidR="00E1345D" w:rsidRPr="00257138" w:rsidRDefault="00E1345D" w:rsidP="007452E8">
              <w:pPr>
                <w:pStyle w:val="Footer"/>
                <w:jc w:val="right"/>
              </w:pPr>
              <w:r w:rsidRPr="00257138">
                <w:t xml:space="preserve">Page </w:t>
              </w:r>
              <w:r>
                <w:fldChar w:fldCharType="begin"/>
              </w:r>
              <w:r>
                <w:instrText xml:space="preserve"> PAGE </w:instrText>
              </w:r>
              <w:r>
                <w:fldChar w:fldCharType="separate"/>
              </w:r>
              <w:r>
                <w:rPr>
                  <w:noProof/>
                </w:rPr>
                <w:t>2</w:t>
              </w:r>
              <w:r>
                <w:rPr>
                  <w:noProof/>
                </w:rPr>
                <w:fldChar w:fldCharType="end"/>
              </w:r>
              <w:r w:rsidRPr="00257138">
                <w:t xml:space="preserve"> of </w:t>
              </w:r>
              <w:r w:rsidR="009809E2">
                <w:fldChar w:fldCharType="begin"/>
              </w:r>
              <w:r w:rsidR="009809E2">
                <w:instrText xml:space="preserve"> NUMPAGES  </w:instrText>
              </w:r>
              <w:r w:rsidR="009809E2">
                <w:fldChar w:fldCharType="separate"/>
              </w:r>
              <w:r>
                <w:rPr>
                  <w:noProof/>
                </w:rPr>
                <w:t>2</w:t>
              </w:r>
              <w:r w:rsidR="009809E2">
                <w:rPr>
                  <w:noProof/>
                </w:rPr>
                <w:fldChar w:fldCharType="end"/>
              </w:r>
            </w:p>
          </w:sdtContent>
        </w:sdt>
      </w:tc>
    </w:tr>
    <w:tr w:rsidR="00E1345D" w:rsidRPr="00257138" w14:paraId="280F09C8" w14:textId="77777777" w:rsidTr="007452E8">
      <w:trPr>
        <w:trHeight w:val="263"/>
      </w:trPr>
      <w:tc>
        <w:tcPr>
          <w:tcW w:w="4360" w:type="dxa"/>
        </w:tcPr>
        <w:p w14:paraId="673F06D3" w14:textId="77777777" w:rsidR="00E1345D" w:rsidRPr="00257138" w:rsidRDefault="00E1345D" w:rsidP="007452E8">
          <w:pPr>
            <w:pStyle w:val="Footer"/>
          </w:pPr>
          <w:r w:rsidRPr="00257138">
            <w:t xml:space="preserve">V1.0 </w:t>
          </w:r>
          <w:r>
            <w:t>Month</w:t>
          </w:r>
          <w:r w:rsidRPr="00257138">
            <w:t xml:space="preserve"> 201</w:t>
          </w:r>
          <w:r>
            <w:t>2</w:t>
          </w:r>
        </w:p>
      </w:tc>
      <w:tc>
        <w:tcPr>
          <w:tcW w:w="4360" w:type="dxa"/>
        </w:tcPr>
        <w:p w14:paraId="77F5B433" w14:textId="77777777" w:rsidR="00E1345D" w:rsidRPr="00257138" w:rsidRDefault="00E1345D" w:rsidP="007452E8">
          <w:pPr>
            <w:pStyle w:val="Footer"/>
            <w:jc w:val="right"/>
          </w:pPr>
        </w:p>
      </w:tc>
    </w:tr>
  </w:tbl>
  <w:p w14:paraId="63F6FDDE" w14:textId="77777777" w:rsidR="00E1345D" w:rsidRPr="00826007" w:rsidRDefault="00E1345D" w:rsidP="007452E8">
    <w:pPr>
      <w:pStyle w:val="Footer"/>
      <w:tabs>
        <w:tab w:val="left" w:pos="7620"/>
        <w:tab w:val="right" w:pos="8504"/>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AA29C" w14:textId="77777777" w:rsidR="00E1345D" w:rsidRDefault="00E1345D" w:rsidP="007452E8">
    <w:pPr>
      <w:pStyle w:val="Footer"/>
      <w:ind w:left="-1701"/>
    </w:pPr>
    <w:r w:rsidRPr="002B29B2">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85" w:type="dxa"/>
      </w:tblCellMar>
      <w:tblLook w:val="04A0" w:firstRow="1" w:lastRow="0" w:firstColumn="1" w:lastColumn="0" w:noHBand="0" w:noVBand="1"/>
    </w:tblPr>
    <w:tblGrid>
      <w:gridCol w:w="7338"/>
      <w:gridCol w:w="1734"/>
    </w:tblGrid>
    <w:tr w:rsidR="00E1345D" w:rsidRPr="004A3084" w14:paraId="6266BC33" w14:textId="77777777" w:rsidTr="007452E8">
      <w:trPr>
        <w:trHeight w:val="423"/>
      </w:trPr>
      <w:tc>
        <w:tcPr>
          <w:tcW w:w="7338" w:type="dxa"/>
          <w:tcBorders>
            <w:top w:val="single" w:sz="4" w:space="0" w:color="auto"/>
          </w:tcBorders>
        </w:tcPr>
        <w:p w14:paraId="3C421323" w14:textId="7E4366FC" w:rsidR="00E1345D" w:rsidRPr="004A3084" w:rsidRDefault="00E1345D" w:rsidP="007452E8">
          <w:pPr>
            <w:pStyle w:val="Footer"/>
          </w:pPr>
          <w:r w:rsidRPr="00487162">
            <w:t>AusPA</w:t>
          </w:r>
          <w:r>
            <w:t xml:space="preserve">R - </w:t>
          </w:r>
          <w:r w:rsidRPr="006B6782">
            <w:t xml:space="preserve">Spikevax </w:t>
          </w:r>
          <w:r>
            <w:t>-</w:t>
          </w:r>
          <w:r w:rsidRPr="00460036">
            <w:t xml:space="preserve"> </w:t>
          </w:r>
          <w:r w:rsidRPr="0014446B">
            <w:t xml:space="preserve">elasomeran </w:t>
          </w:r>
          <w:r>
            <w:t xml:space="preserve">- </w:t>
          </w:r>
          <w:r w:rsidRPr="0014446B">
            <w:t>Moderna Australia Pty Ltd</w:t>
          </w:r>
          <w:r>
            <w:t xml:space="preserve"> - </w:t>
          </w:r>
          <w:r w:rsidRPr="005E435C">
            <w:t>PM-2022-05374-1-2</w:t>
          </w:r>
          <w:r>
            <w:br/>
          </w:r>
          <w:r w:rsidR="007D0354">
            <w:t xml:space="preserve">Final </w:t>
          </w:r>
          <w:r w:rsidR="0068581B">
            <w:t>10</w:t>
          </w:r>
          <w:r w:rsidR="007D0354">
            <w:t xml:space="preserve"> </w:t>
          </w:r>
          <w:r>
            <w:t>May 2023</w:t>
          </w:r>
          <w:r w:rsidR="0030621E">
            <w:t xml:space="preserve"> </w:t>
          </w:r>
        </w:p>
      </w:tc>
      <w:tc>
        <w:tcPr>
          <w:tcW w:w="1734" w:type="dxa"/>
          <w:tcBorders>
            <w:top w:val="single" w:sz="4" w:space="0" w:color="auto"/>
          </w:tcBorders>
        </w:tcPr>
        <w:sdt>
          <w:sdtPr>
            <w:id w:val="11571659"/>
            <w:docPartObj>
              <w:docPartGallery w:val="Page Numbers (Top of Page)"/>
              <w:docPartUnique/>
            </w:docPartObj>
          </w:sdtPr>
          <w:sdtEndPr/>
          <w:sdtContent>
            <w:p w14:paraId="4DE4ED0C" w14:textId="4530CF73" w:rsidR="00E1345D" w:rsidRPr="004A3084" w:rsidRDefault="00E1345D" w:rsidP="007452E8">
              <w:pPr>
                <w:pStyle w:val="Footer"/>
                <w:jc w:val="right"/>
              </w:pPr>
              <w:r w:rsidRPr="004A3084">
                <w:t xml:space="preserve">Page </w:t>
              </w:r>
              <w:r>
                <w:fldChar w:fldCharType="begin"/>
              </w:r>
              <w:r>
                <w:instrText xml:space="preserve"> PAGE </w:instrText>
              </w:r>
              <w:r>
                <w:fldChar w:fldCharType="separate"/>
              </w:r>
              <w:r w:rsidR="00F63EA4">
                <w:rPr>
                  <w:noProof/>
                </w:rPr>
                <w:t>63</w:t>
              </w:r>
              <w:r>
                <w:rPr>
                  <w:noProof/>
                </w:rPr>
                <w:fldChar w:fldCharType="end"/>
              </w:r>
              <w:r w:rsidRPr="004A3084">
                <w:t xml:space="preserve"> of </w:t>
              </w:r>
              <w:r w:rsidR="009809E2">
                <w:fldChar w:fldCharType="begin"/>
              </w:r>
              <w:r w:rsidR="009809E2">
                <w:instrText xml:space="preserve"> NUMPAGES  </w:instrText>
              </w:r>
              <w:r w:rsidR="009809E2">
                <w:fldChar w:fldCharType="separate"/>
              </w:r>
              <w:r w:rsidR="00F63EA4">
                <w:rPr>
                  <w:noProof/>
                </w:rPr>
                <w:t>65</w:t>
              </w:r>
              <w:r w:rsidR="009809E2">
                <w:rPr>
                  <w:noProof/>
                </w:rPr>
                <w:fldChar w:fldCharType="end"/>
              </w:r>
            </w:p>
          </w:sdtContent>
        </w:sdt>
      </w:tc>
    </w:tr>
  </w:tbl>
  <w:p w14:paraId="1A4EDE60" w14:textId="77777777" w:rsidR="00E1345D" w:rsidRPr="00826007" w:rsidRDefault="00E1345D" w:rsidP="007452E8">
    <w:pPr>
      <w:pStyle w:val="Footer"/>
      <w:tabs>
        <w:tab w:val="left" w:pos="7620"/>
        <w:tab w:val="right" w:pos="8504"/>
      </w:tabs>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3F70A" w14:textId="77777777" w:rsidR="00E1345D" w:rsidRPr="008E3C43" w:rsidRDefault="00E1345D" w:rsidP="007452E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ED5E44" w14:textId="77777777" w:rsidR="00DC0A46" w:rsidRDefault="00DC0A46" w:rsidP="00F02AEC">
      <w:pPr>
        <w:spacing w:after="0" w:line="240" w:lineRule="auto"/>
      </w:pPr>
      <w:r>
        <w:separator/>
      </w:r>
    </w:p>
  </w:footnote>
  <w:footnote w:type="continuationSeparator" w:id="0">
    <w:p w14:paraId="1211E992" w14:textId="77777777" w:rsidR="00DC0A46" w:rsidRDefault="00DC0A46" w:rsidP="00F02AEC">
      <w:pPr>
        <w:spacing w:after="0" w:line="240" w:lineRule="auto"/>
      </w:pPr>
      <w:r>
        <w:continuationSeparator/>
      </w:r>
    </w:p>
  </w:footnote>
  <w:footnote w:id="1">
    <w:p w14:paraId="68402A9B" w14:textId="60286C39" w:rsidR="00E1345D" w:rsidRPr="00A93DC6" w:rsidRDefault="00E1345D">
      <w:pPr>
        <w:pStyle w:val="FootnoteText"/>
        <w:rPr>
          <w:lang w:val="en-GB"/>
        </w:rPr>
      </w:pPr>
      <w:r>
        <w:rPr>
          <w:rStyle w:val="FootnoteReference"/>
        </w:rPr>
        <w:footnoteRef/>
      </w:r>
      <w:r>
        <w:t xml:space="preserve"> This is the original indication proposed by the sponsor</w:t>
      </w:r>
      <w:r>
        <w:rPr>
          <w:lang w:val="en-GB"/>
        </w:rPr>
        <w:t xml:space="preserve"> when the TGA commenced the evaluation of this submission. It </w:t>
      </w:r>
      <w:r w:rsidRPr="007452E8">
        <w:rPr>
          <w:lang w:val="en-GB"/>
        </w:rPr>
        <w:t xml:space="preserve">may </w:t>
      </w:r>
      <w:r>
        <w:rPr>
          <w:lang w:val="en-GB"/>
        </w:rPr>
        <w:t>differ</w:t>
      </w:r>
      <w:r w:rsidRPr="007452E8">
        <w:rPr>
          <w:lang w:val="en-GB"/>
        </w:rPr>
        <w:t xml:space="preserve"> to the final indication approved by th</w:t>
      </w:r>
      <w:r>
        <w:rPr>
          <w:lang w:val="en-GB"/>
        </w:rPr>
        <w:t>e TGA and registered on the Australian Register of Therapeutic Goods.</w:t>
      </w:r>
    </w:p>
  </w:footnote>
  <w:footnote w:id="2">
    <w:p w14:paraId="045A41A7" w14:textId="48D37FCE" w:rsidR="00E1345D" w:rsidRPr="00A53503" w:rsidRDefault="00E1345D" w:rsidP="00C56E16">
      <w:pPr>
        <w:pStyle w:val="FootnoteText"/>
        <w:rPr>
          <w:lang w:val="en-GB"/>
        </w:rPr>
      </w:pPr>
      <w:r>
        <w:rPr>
          <w:rStyle w:val="FootnoteReference"/>
        </w:rPr>
        <w:footnoteRef/>
      </w:r>
      <w:r>
        <w:t xml:space="preserve"> World Health Organization (2020) WHO Director-General speeches: WHO Director-General's opening remarks at the media briefing on COVID-19 - 11 March 2020; WHO. Available </w:t>
      </w:r>
      <w:r w:rsidR="00A47F9D">
        <w:t xml:space="preserve">at: </w:t>
      </w:r>
      <w:hyperlink r:id="rId1" w:history="1">
        <w:r w:rsidR="00A47F9D" w:rsidRPr="0017316C">
          <w:rPr>
            <w:rStyle w:val="Hyperlink"/>
          </w:rPr>
          <w:t>https://www.who.int/director-general/speeches/detail/who-director-general-s-opening-remarks-at-the-media-briefing-on-covid-19---11-march-2020</w:t>
        </w:r>
      </w:hyperlink>
      <w:r w:rsidR="00A47F9D">
        <w:t>.</w:t>
      </w:r>
    </w:p>
  </w:footnote>
  <w:footnote w:id="3">
    <w:p w14:paraId="2E1EF9FE" w14:textId="1DF23864" w:rsidR="00E1345D" w:rsidRPr="001E1224" w:rsidRDefault="00E1345D">
      <w:pPr>
        <w:pStyle w:val="FootnoteText"/>
        <w:rPr>
          <w:lang w:val="en-GB"/>
        </w:rPr>
      </w:pPr>
      <w:r>
        <w:rPr>
          <w:rStyle w:val="FootnoteReference"/>
        </w:rPr>
        <w:footnoteRef/>
      </w:r>
      <w:r>
        <w:t xml:space="preserve"> </w:t>
      </w:r>
      <w:r w:rsidRPr="00C56E16">
        <w:t>Levin</w:t>
      </w:r>
      <w:r w:rsidR="001E1224">
        <w:t>,</w:t>
      </w:r>
      <w:r w:rsidRPr="00C56E16">
        <w:t xml:space="preserve"> A</w:t>
      </w:r>
      <w:r w:rsidR="001E1224">
        <w:t>.</w:t>
      </w:r>
      <w:r w:rsidRPr="00C56E16">
        <w:t>T</w:t>
      </w:r>
      <w:r w:rsidR="001E1224">
        <w:t xml:space="preserve">. et al. </w:t>
      </w:r>
      <w:r w:rsidRPr="00C56E16">
        <w:t xml:space="preserve">Assessing the </w:t>
      </w:r>
      <w:r w:rsidR="001E1224" w:rsidRPr="00C56E16">
        <w:t xml:space="preserve">Age Specificity </w:t>
      </w:r>
      <w:r w:rsidRPr="00C56E16">
        <w:t xml:space="preserve">of </w:t>
      </w:r>
      <w:r w:rsidR="001E1224" w:rsidRPr="00C56E16">
        <w:t xml:space="preserve">Infection Fatality Rates </w:t>
      </w:r>
      <w:r w:rsidRPr="00C56E16">
        <w:t xml:space="preserve">for COVID-19: </w:t>
      </w:r>
      <w:r w:rsidR="001E1224" w:rsidRPr="00C56E16">
        <w:t>Systematic Review, Meta</w:t>
      </w:r>
      <w:r w:rsidRPr="00C56E16">
        <w:t xml:space="preserve">-analysis, and </w:t>
      </w:r>
      <w:r w:rsidR="001E1224" w:rsidRPr="00C56E16">
        <w:t>Public Policy Implications</w:t>
      </w:r>
      <w:r w:rsidR="001E1224">
        <w:t>,</w:t>
      </w:r>
      <w:r w:rsidRPr="00C56E16">
        <w:t xml:space="preserve"> </w:t>
      </w:r>
      <w:r w:rsidRPr="001E1224">
        <w:rPr>
          <w:i/>
        </w:rPr>
        <w:t>Eur J Epidemiol</w:t>
      </w:r>
      <w:r w:rsidR="001E1224">
        <w:rPr>
          <w:i/>
        </w:rPr>
        <w:t>,</w:t>
      </w:r>
      <w:r w:rsidRPr="00C56E16">
        <w:t xml:space="preserve"> 2020;</w:t>
      </w:r>
      <w:r w:rsidR="001E1224">
        <w:t xml:space="preserve"> </w:t>
      </w:r>
      <w:r w:rsidRPr="00C56E16">
        <w:t>35:1123–</w:t>
      </w:r>
      <w:r w:rsidR="001E1224">
        <w:t>11</w:t>
      </w:r>
      <w:r w:rsidRPr="00C56E16">
        <w:t>38.</w:t>
      </w:r>
    </w:p>
  </w:footnote>
  <w:footnote w:id="4">
    <w:p w14:paraId="68828C80" w14:textId="1F982645" w:rsidR="00E1345D" w:rsidRPr="001E1224" w:rsidRDefault="00E1345D">
      <w:pPr>
        <w:pStyle w:val="FootnoteText"/>
        <w:rPr>
          <w:lang w:val="en-GB"/>
        </w:rPr>
      </w:pPr>
      <w:r>
        <w:rPr>
          <w:rStyle w:val="FootnoteReference"/>
        </w:rPr>
        <w:footnoteRef/>
      </w:r>
      <w:r>
        <w:t xml:space="preserve"> </w:t>
      </w:r>
      <w:r w:rsidRPr="00AF378E">
        <w:t>Callaway</w:t>
      </w:r>
      <w:r w:rsidR="001E1224">
        <w:t>,</w:t>
      </w:r>
      <w:r>
        <w:t xml:space="preserve"> E. </w:t>
      </w:r>
      <w:r w:rsidRPr="00174D55">
        <w:t xml:space="preserve">Coronavirus </w:t>
      </w:r>
      <w:r w:rsidR="001E1224" w:rsidRPr="00174D55">
        <w:t xml:space="preserve">Variant </w:t>
      </w:r>
      <w:r w:rsidRPr="00174D55">
        <w:t xml:space="preserve">XBB.1.5 </w:t>
      </w:r>
      <w:r w:rsidR="001E1224" w:rsidRPr="00174D55">
        <w:t xml:space="preserve">Rises </w:t>
      </w:r>
      <w:r w:rsidRPr="00174D55">
        <w:t xml:space="preserve">in the United States </w:t>
      </w:r>
      <w:r w:rsidR="001E1224">
        <w:t>-</w:t>
      </w:r>
      <w:r w:rsidRPr="00174D55">
        <w:t xml:space="preserve"> is </w:t>
      </w:r>
      <w:r w:rsidR="001E1224" w:rsidRPr="00174D55">
        <w:t xml:space="preserve">It </w:t>
      </w:r>
      <w:r w:rsidRPr="00174D55">
        <w:t xml:space="preserve">a </w:t>
      </w:r>
      <w:r w:rsidR="001E1224" w:rsidRPr="00174D55">
        <w:t>Global Threa</w:t>
      </w:r>
      <w:r w:rsidRPr="00174D55">
        <w:t>t?</w:t>
      </w:r>
      <w:r w:rsidR="001E1224">
        <w:t>,</w:t>
      </w:r>
      <w:r>
        <w:t xml:space="preserve"> </w:t>
      </w:r>
      <w:r w:rsidRPr="001E1224">
        <w:rPr>
          <w:i/>
        </w:rPr>
        <w:t>Nature</w:t>
      </w:r>
      <w:r w:rsidR="001E1224">
        <w:rPr>
          <w:i/>
        </w:rPr>
        <w:t>,</w:t>
      </w:r>
      <w:r w:rsidRPr="00174D55">
        <w:t xml:space="preserve"> </w:t>
      </w:r>
      <w:r w:rsidR="001E1224" w:rsidRPr="001E1224">
        <w:t>2023;</w:t>
      </w:r>
      <w:r w:rsidR="001E1224">
        <w:t xml:space="preserve"> </w:t>
      </w:r>
      <w:r w:rsidR="001E1224" w:rsidRPr="001E1224">
        <w:t>613(7943):</w:t>
      </w:r>
      <w:r w:rsidR="001E1224">
        <w:t xml:space="preserve"> </w:t>
      </w:r>
      <w:r w:rsidR="001E1224" w:rsidRPr="001E1224">
        <w:t>222-223</w:t>
      </w:r>
      <w:r w:rsidR="001E1224">
        <w:t>.</w:t>
      </w:r>
    </w:p>
  </w:footnote>
  <w:footnote w:id="5">
    <w:p w14:paraId="748354C4" w14:textId="5E5731F0" w:rsidR="00E1345D" w:rsidRDefault="00E1345D" w:rsidP="005E435C">
      <w:pPr>
        <w:pStyle w:val="FootnoteText"/>
      </w:pPr>
      <w:r>
        <w:rPr>
          <w:rStyle w:val="FootnoteReference"/>
        </w:rPr>
        <w:footnoteRef/>
      </w:r>
      <w:r>
        <w:t xml:space="preserve"> Department of Health and Aged Care (2023), </w:t>
      </w:r>
      <w:r w:rsidRPr="003C742E">
        <w:t>Coronavirus (COVID-19) case numbers and statistics</w:t>
      </w:r>
      <w:r>
        <w:t xml:space="preserve">. Available at: </w:t>
      </w:r>
      <w:hyperlink r:id="rId2" w:history="1">
        <w:r w:rsidRPr="001E253C">
          <w:rPr>
            <w:rStyle w:val="Hyperlink"/>
          </w:rPr>
          <w:t>https://www.health.gov.au/health-alerts/covid-19/case-numbers-and-statistics</w:t>
        </w:r>
      </w:hyperlink>
      <w:r>
        <w:t xml:space="preserve"> (accessed on 2 May 2023).</w:t>
      </w:r>
    </w:p>
  </w:footnote>
  <w:footnote w:id="6">
    <w:p w14:paraId="6D57DC0F" w14:textId="3CE233A9" w:rsidR="00E1345D" w:rsidRDefault="00E1345D" w:rsidP="005E435C">
      <w:pPr>
        <w:pStyle w:val="FootnoteText"/>
      </w:pPr>
      <w:r>
        <w:rPr>
          <w:rStyle w:val="FootnoteReference"/>
        </w:rPr>
        <w:footnoteRef/>
      </w:r>
      <w:r>
        <w:t xml:space="preserve"> World Health Organization (2023) WHO Health Emergency Dashboard WHO (COVID-19) Homepage, </w:t>
      </w:r>
      <w:r w:rsidRPr="003C742E">
        <w:t>Australia Situation</w:t>
      </w:r>
      <w:r>
        <w:t xml:space="preserve">. Available at: </w:t>
      </w:r>
      <w:hyperlink r:id="rId3" w:history="1">
        <w:r w:rsidRPr="001E253C">
          <w:rPr>
            <w:rStyle w:val="Hyperlink"/>
          </w:rPr>
          <w:t>https://covid19.who.int/region/wpro/country/au</w:t>
        </w:r>
      </w:hyperlink>
      <w:r>
        <w:t xml:space="preserve"> (accessed on 3 May 2023).</w:t>
      </w:r>
    </w:p>
  </w:footnote>
  <w:footnote w:id="7">
    <w:p w14:paraId="1EBA6D7B" w14:textId="6EDCF47F" w:rsidR="00E1345D" w:rsidRDefault="00E1345D" w:rsidP="00AD2F31">
      <w:pPr>
        <w:pStyle w:val="FootnoteText"/>
      </w:pPr>
      <w:r>
        <w:rPr>
          <w:rStyle w:val="FootnoteReference"/>
        </w:rPr>
        <w:footnoteRef/>
      </w:r>
      <w:r>
        <w:t xml:space="preserve"> Centers for Disease Control and Prevention (2022) </w:t>
      </w:r>
      <w:r w:rsidRPr="003C742E">
        <w:t>Benefits of Getting A COVID-19 Vaccine</w:t>
      </w:r>
      <w:r>
        <w:t xml:space="preserve">. Available at: </w:t>
      </w:r>
      <w:hyperlink r:id="rId4" w:history="1">
        <w:r w:rsidRPr="001E253C">
          <w:rPr>
            <w:rStyle w:val="Hyperlink"/>
          </w:rPr>
          <w:t>https://www.cdc.gov/coronavirus/2019-ncov/vaccines/vaccine-benefits.html</w:t>
        </w:r>
      </w:hyperlink>
      <w:r>
        <w:t xml:space="preserve"> (accessed on 28 February 2023).</w:t>
      </w:r>
    </w:p>
  </w:footnote>
  <w:footnote w:id="8">
    <w:p w14:paraId="3641D3EF" w14:textId="77777777" w:rsidR="00E1345D" w:rsidRPr="008C1E85" w:rsidRDefault="00E1345D" w:rsidP="005E435C">
      <w:pPr>
        <w:pStyle w:val="FootnoteText"/>
      </w:pPr>
      <w:r w:rsidRPr="008C1E85">
        <w:rPr>
          <w:rStyle w:val="FootnoteReference"/>
        </w:rPr>
        <w:footnoteRef/>
      </w:r>
      <w:r w:rsidRPr="008C1E85">
        <w:t xml:space="preserve"> As part of the </w:t>
      </w:r>
      <w:r w:rsidRPr="008C1E85">
        <w:rPr>
          <w:b/>
          <w:bCs/>
        </w:rPr>
        <w:t>provisional approval pathway</w:t>
      </w:r>
      <w:r w:rsidRPr="008C1E85">
        <w:t>, the provisional registration process will allow certain medicines to be provisionally registered in the Australian Register of Therapeutic Goods (ARTG) for a limited duration. These medicines are registered on the basis of preliminary clinical data, where there is the potential for a substantial benefit to Australian patients. The TGA will re-assess risks related to the absence of evidence through data provided at a later stage, as part of the confirmatory data. Confirmatory data should confirm the relationship between outcomes predicted by the surrogate endpoint, or other preliminary data, and the clinical benefit as demonstrated by direct clinical outcomes.</w:t>
      </w:r>
    </w:p>
    <w:p w14:paraId="166C59D5" w14:textId="77777777" w:rsidR="00E1345D" w:rsidRPr="008C1E85" w:rsidRDefault="00E1345D" w:rsidP="005E435C">
      <w:pPr>
        <w:pStyle w:val="FootnoteText"/>
      </w:pPr>
      <w:r w:rsidRPr="008C1E85">
        <w:t>The sponsor may apply to transition to full registration at any time up until the provisional registration lapse date, once they have completed the obligations outlined for the provisional registration period and complete confirmatory data on safety and efficacy are available.</w:t>
      </w:r>
    </w:p>
  </w:footnote>
  <w:footnote w:id="9">
    <w:p w14:paraId="1D093450" w14:textId="3F199422" w:rsidR="00E1345D" w:rsidRDefault="00E1345D">
      <w:pPr>
        <w:pStyle w:val="FootnoteText"/>
      </w:pPr>
      <w:r>
        <w:rPr>
          <w:rStyle w:val="FootnoteReference"/>
        </w:rPr>
        <w:footnoteRef/>
      </w:r>
      <w:r>
        <w:t xml:space="preserve"> Department of Health and Aged Care (2023)</w:t>
      </w:r>
      <w:r w:rsidRPr="003C742E">
        <w:t xml:space="preserve"> COVID-19 vaccine: Provisional registrations</w:t>
      </w:r>
      <w:r>
        <w:t xml:space="preserve">. Available at: </w:t>
      </w:r>
      <w:hyperlink r:id="rId5" w:history="1">
        <w:r w:rsidRPr="001E253C">
          <w:rPr>
            <w:rStyle w:val="Hyperlink"/>
          </w:rPr>
          <w:t>https://www.tga.gov.au/products/covid-19/covid-19-vaccines/covid-19-vaccine-provisional-registrations</w:t>
        </w:r>
      </w:hyperlink>
      <w:r>
        <w:t xml:space="preserve"> (accessed on 21 April 2022)</w:t>
      </w:r>
    </w:p>
  </w:footnote>
  <w:footnote w:id="10">
    <w:p w14:paraId="33CBA084" w14:textId="17862CA8" w:rsidR="00E1345D" w:rsidRDefault="00E1345D" w:rsidP="00B2387D">
      <w:pPr>
        <w:pStyle w:val="FootnoteText"/>
      </w:pPr>
      <w:r>
        <w:rPr>
          <w:rStyle w:val="FootnoteReference"/>
        </w:rPr>
        <w:footnoteRef/>
      </w:r>
      <w:r>
        <w:t xml:space="preserve"> </w:t>
      </w:r>
      <w:r w:rsidRPr="00B2387D">
        <w:t>Tseng</w:t>
      </w:r>
      <w:r>
        <w:t xml:space="preserve">, H.F. et al. </w:t>
      </w:r>
      <w:r w:rsidRPr="00B2387D">
        <w:t>Effectiveness of mRNA-1273 against SARS-CoV-2 Omicron and Delta variants</w:t>
      </w:r>
      <w:r>
        <w:t xml:space="preserve">, </w:t>
      </w:r>
      <w:r w:rsidRPr="00B2387D">
        <w:rPr>
          <w:i/>
          <w:iCs/>
        </w:rPr>
        <w:t>Nat Med</w:t>
      </w:r>
      <w:r>
        <w:t>, 2022; 28(5): 1063-1071.</w:t>
      </w:r>
    </w:p>
  </w:footnote>
  <w:footnote w:id="11">
    <w:p w14:paraId="74D1BCAE" w14:textId="46FB3404" w:rsidR="00E1345D" w:rsidRDefault="00E1345D">
      <w:pPr>
        <w:pStyle w:val="FootnoteText"/>
      </w:pPr>
      <w:r>
        <w:rPr>
          <w:rStyle w:val="FootnoteReference"/>
        </w:rPr>
        <w:footnoteRef/>
      </w:r>
      <w:r>
        <w:t xml:space="preserve"> </w:t>
      </w:r>
      <w:r w:rsidRPr="00B2387D">
        <w:t xml:space="preserve">Category 1 Type J </w:t>
      </w:r>
      <w:r>
        <w:t>application refers to</w:t>
      </w:r>
      <w:r w:rsidRPr="00B2387D">
        <w:t xml:space="preserve"> </w:t>
      </w:r>
      <w:r>
        <w:t xml:space="preserve">‘ </w:t>
      </w:r>
      <w:r w:rsidRPr="00B2387D">
        <w:t>variation to Register entry resulting in a change of product information requiring evaluation of clinical, nonclinical, or bioequivalence data</w:t>
      </w:r>
      <w:r>
        <w:t>.’</w:t>
      </w:r>
    </w:p>
  </w:footnote>
  <w:footnote w:id="12">
    <w:p w14:paraId="27176223" w14:textId="2E0751E6" w:rsidR="00E1345D" w:rsidRDefault="00E1345D">
      <w:pPr>
        <w:pStyle w:val="FootnoteText"/>
      </w:pPr>
      <w:r>
        <w:rPr>
          <w:rStyle w:val="FootnoteReference"/>
        </w:rPr>
        <w:footnoteRef/>
      </w:r>
      <w:r>
        <w:t xml:space="preserve"> </w:t>
      </w:r>
      <w:r w:rsidRPr="00B2387D">
        <w:t>Category 1 Type A</w:t>
      </w:r>
      <w:r>
        <w:t xml:space="preserve"> application refers to ‘new biological entity’.</w:t>
      </w:r>
    </w:p>
  </w:footnote>
  <w:footnote w:id="13">
    <w:p w14:paraId="0349AF82" w14:textId="27544E48" w:rsidR="00E1345D" w:rsidRPr="00F40587" w:rsidRDefault="00E1345D" w:rsidP="00246043">
      <w:pPr>
        <w:pStyle w:val="FootnoteText"/>
      </w:pPr>
      <w:r>
        <w:rPr>
          <w:rStyle w:val="FootnoteReference"/>
        </w:rPr>
        <w:footnoteRef/>
      </w:r>
      <w:r>
        <w:t xml:space="preserve"> Study DMID-20-0003: </w:t>
      </w:r>
      <w:r w:rsidRPr="00246043">
        <w:t>Safety and Immunogenicity Study of 2019-nCoV Vaccine (mRNA-1273) for Prophylaxis of SARS-CoV-2 Infection (COVID-19)</w:t>
      </w:r>
      <w:r>
        <w:t>. ClinicalTrials.gov Identifier: NCT04283461.</w:t>
      </w:r>
    </w:p>
  </w:footnote>
  <w:footnote w:id="14">
    <w:p w14:paraId="20FD8153" w14:textId="1F08D50B" w:rsidR="00E1345D" w:rsidRPr="001E1224" w:rsidRDefault="00E1345D">
      <w:pPr>
        <w:pStyle w:val="FootnoteText"/>
        <w:rPr>
          <w:lang w:val="en-GB"/>
        </w:rPr>
      </w:pPr>
      <w:r>
        <w:rPr>
          <w:rStyle w:val="FootnoteReference"/>
        </w:rPr>
        <w:footnoteRef/>
      </w:r>
      <w:r>
        <w:t xml:space="preserve"> Note, </w:t>
      </w:r>
      <w:r w:rsidRPr="00246043">
        <w:t>mRNA-1273</w:t>
      </w:r>
      <w:r>
        <w:t xml:space="preserve"> is the drug development name for elasomeran, the active ingredient in the Spikevax COVID-19 vaccine.</w:t>
      </w:r>
    </w:p>
  </w:footnote>
  <w:footnote w:id="15">
    <w:p w14:paraId="40249EF2" w14:textId="67DDC53C" w:rsidR="00E1345D" w:rsidRPr="001E1224" w:rsidRDefault="00E1345D" w:rsidP="00F3141E">
      <w:pPr>
        <w:pStyle w:val="FootnoteText"/>
        <w:rPr>
          <w:lang w:val="en-GB"/>
        </w:rPr>
      </w:pPr>
      <w:r>
        <w:rPr>
          <w:rStyle w:val="FootnoteReference"/>
        </w:rPr>
        <w:footnoteRef/>
      </w:r>
      <w:r>
        <w:t xml:space="preserve"> </w:t>
      </w:r>
      <w:r>
        <w:rPr>
          <w:lang w:val="en-GB"/>
        </w:rPr>
        <w:t xml:space="preserve">Study mRNA-1273-P201: </w:t>
      </w:r>
      <w:r w:rsidRPr="00F3141E">
        <w:rPr>
          <w:lang w:val="en-GB"/>
        </w:rPr>
        <w:t>Dose-Confirmation Study to Evaluate the Safety, Reactogenicity, and Immunogenicity of mRNA-1273 COVID-19 Vaccine in Adults Aged 18 Years and Older</w:t>
      </w:r>
      <w:r>
        <w:rPr>
          <w:lang w:val="en-GB"/>
        </w:rPr>
        <w:t xml:space="preserve">. </w:t>
      </w:r>
      <w:r w:rsidRPr="00F3141E">
        <w:rPr>
          <w:lang w:val="en-GB"/>
        </w:rPr>
        <w:t>ClinicalTrials.gov Identifier: NCT04405076</w:t>
      </w:r>
    </w:p>
  </w:footnote>
  <w:footnote w:id="16">
    <w:p w14:paraId="612067ED" w14:textId="7345D995" w:rsidR="00E1345D" w:rsidRDefault="00E1345D">
      <w:pPr>
        <w:pStyle w:val="FootnoteText"/>
      </w:pPr>
      <w:r>
        <w:rPr>
          <w:rStyle w:val="FootnoteReference"/>
        </w:rPr>
        <w:footnoteRef/>
      </w:r>
      <w:r>
        <w:t xml:space="preserve"> </w:t>
      </w:r>
      <w:r w:rsidRPr="00B2387D">
        <w:t>mRNA-1273.351</w:t>
      </w:r>
      <w:r>
        <w:t xml:space="preserve"> is a modified version of the active ingredient in the Spikevax </w:t>
      </w:r>
      <w:r w:rsidRPr="00B2387D">
        <w:t>mRNA-1273</w:t>
      </w:r>
      <w:r>
        <w:t xml:space="preserve"> (elasomeran) vaccine. The mRNA-1273.351 modification </w:t>
      </w:r>
      <w:r w:rsidRPr="00B2387D">
        <w:t>encod</w:t>
      </w:r>
      <w:r>
        <w:t>es</w:t>
      </w:r>
      <w:r w:rsidRPr="00B2387D">
        <w:t xml:space="preserve"> </w:t>
      </w:r>
      <w:r>
        <w:t>for the</w:t>
      </w:r>
      <w:r w:rsidRPr="00B2387D">
        <w:t xml:space="preserve"> </w:t>
      </w:r>
      <w:r>
        <w:t>spike</w:t>
      </w:r>
      <w:r w:rsidRPr="00B2387D">
        <w:t xml:space="preserve"> protein of</w:t>
      </w:r>
      <w:r>
        <w:t xml:space="preserve"> the Beta</w:t>
      </w:r>
      <w:r w:rsidRPr="00B2387D">
        <w:t xml:space="preserve"> </w:t>
      </w:r>
      <w:r>
        <w:t>(</w:t>
      </w:r>
      <w:r w:rsidRPr="00B2387D">
        <w:t>B.1.351</w:t>
      </w:r>
      <w:r>
        <w:t>) SARS-CoV-2 variant. It was used in the investigational vaccine development program but is not a component of Spikevax or any other currently approved vaccine.</w:t>
      </w:r>
    </w:p>
  </w:footnote>
  <w:footnote w:id="17">
    <w:p w14:paraId="751CE021" w14:textId="14E043F9" w:rsidR="00E1345D" w:rsidRPr="00F40587" w:rsidRDefault="00E1345D" w:rsidP="00F40587">
      <w:pPr>
        <w:pStyle w:val="FootnoteText"/>
      </w:pPr>
      <w:r>
        <w:rPr>
          <w:rStyle w:val="FootnoteReference"/>
        </w:rPr>
        <w:footnoteRef/>
      </w:r>
      <w:r>
        <w:t xml:space="preserve"> Study mRNA-1273-P301: </w:t>
      </w:r>
      <w:r w:rsidRPr="00F40587">
        <w:t>A Study to Evaluate Efficacy, Safety, and Immunogenicity of mRNA-1273 Vaccine in Adults Aged 18 Years and Older to Prevent COVID-19</w:t>
      </w:r>
      <w:r>
        <w:t>. ClinicalTrials.gov Identifier: NCT04470427.</w:t>
      </w:r>
    </w:p>
  </w:footnote>
  <w:footnote w:id="18">
    <w:p w14:paraId="54C7399A" w14:textId="4E681917" w:rsidR="00E1345D" w:rsidRDefault="00E1345D" w:rsidP="003C742E">
      <w:pPr>
        <w:pStyle w:val="FootnoteText"/>
      </w:pPr>
      <w:r>
        <w:rPr>
          <w:rStyle w:val="FootnoteReference"/>
        </w:rPr>
        <w:footnoteRef/>
      </w:r>
      <w:r>
        <w:t xml:space="preserve"> </w:t>
      </w:r>
      <w:r w:rsidRPr="000A1C95">
        <w:t>Baden</w:t>
      </w:r>
      <w:r>
        <w:t>,</w:t>
      </w:r>
      <w:r w:rsidRPr="000A1C95">
        <w:t xml:space="preserve"> L</w:t>
      </w:r>
      <w:r>
        <w:t>.</w:t>
      </w:r>
      <w:r w:rsidRPr="000A1C95">
        <w:t>R</w:t>
      </w:r>
      <w:r>
        <w:t>. et al</w:t>
      </w:r>
      <w:r w:rsidRPr="000A1C95">
        <w:t>. COVID-19 in the</w:t>
      </w:r>
      <w:r>
        <w:t xml:space="preserve"> </w:t>
      </w:r>
      <w:r w:rsidRPr="000A1C95">
        <w:t>Phase 3 Trial of mRNA</w:t>
      </w:r>
      <w:r>
        <w:t xml:space="preserve"> </w:t>
      </w:r>
      <w:r w:rsidRPr="000A1C95">
        <w:t>1273 during the Delta-Variant Surge</w:t>
      </w:r>
      <w:r>
        <w:t>,</w:t>
      </w:r>
      <w:r w:rsidRPr="000A1C95">
        <w:t xml:space="preserve"> </w:t>
      </w:r>
      <w:r w:rsidRPr="003C742E">
        <w:rPr>
          <w:i/>
          <w:iCs/>
        </w:rPr>
        <w:t>medRxiv</w:t>
      </w:r>
      <w:r>
        <w:t>, 2021; 2021.09.17.21263624 (reprint).</w:t>
      </w:r>
    </w:p>
  </w:footnote>
  <w:footnote w:id="19">
    <w:p w14:paraId="63ED914D" w14:textId="67CC625C" w:rsidR="00E1345D" w:rsidRDefault="00E1345D">
      <w:pPr>
        <w:pStyle w:val="FootnoteText"/>
      </w:pPr>
      <w:r>
        <w:rPr>
          <w:rStyle w:val="FootnoteReference"/>
        </w:rPr>
        <w:footnoteRef/>
      </w:r>
      <w:r>
        <w:t xml:space="preserve"> </w:t>
      </w:r>
      <w:r w:rsidRPr="00A64A37">
        <w:t xml:space="preserve">The </w:t>
      </w:r>
      <w:r w:rsidRPr="00A64A37">
        <w:rPr>
          <w:b/>
          <w:bCs/>
        </w:rPr>
        <w:t>per-protocol (PP)</w:t>
      </w:r>
      <w:r w:rsidRPr="00A64A37">
        <w:t xml:space="preserve"> analysis is restricted to the participants who strictly adhered to the protocol. Also known as ‘on-treatment’ analysis.</w:t>
      </w:r>
    </w:p>
  </w:footnote>
  <w:footnote w:id="20">
    <w:p w14:paraId="36410D90" w14:textId="10FCED17" w:rsidR="00E1345D" w:rsidRPr="001E1224" w:rsidRDefault="00E1345D">
      <w:pPr>
        <w:pStyle w:val="FootnoteText"/>
        <w:rPr>
          <w:lang w:val="en-GB"/>
        </w:rPr>
      </w:pPr>
      <w:r>
        <w:rPr>
          <w:rStyle w:val="FootnoteReference"/>
        </w:rPr>
        <w:footnoteRef/>
      </w:r>
      <w:r>
        <w:t xml:space="preserve"> </w:t>
      </w:r>
      <w:r>
        <w:rPr>
          <w:lang w:val="en-GB"/>
        </w:rPr>
        <w:t>D614G is a mutation in the SARS-CoV-2</w:t>
      </w:r>
      <w:r w:rsidRPr="003824AF">
        <w:rPr>
          <w:lang w:val="en-GB"/>
        </w:rPr>
        <w:t xml:space="preserve"> </w:t>
      </w:r>
      <w:r>
        <w:rPr>
          <w:lang w:val="en-GB"/>
        </w:rPr>
        <w:t>spike protein, characteris</w:t>
      </w:r>
      <w:r w:rsidRPr="003824AF">
        <w:rPr>
          <w:lang w:val="en-GB"/>
        </w:rPr>
        <w:t xml:space="preserve">ed by an aspartic acid to glycine shift at </w:t>
      </w:r>
      <w:r>
        <w:rPr>
          <w:lang w:val="en-GB"/>
        </w:rPr>
        <w:t>the amino acid position 614 of the</w:t>
      </w:r>
      <w:r w:rsidRPr="003824AF">
        <w:rPr>
          <w:lang w:val="en-GB"/>
        </w:rPr>
        <w:t xml:space="preserve"> protein.</w:t>
      </w:r>
    </w:p>
  </w:footnote>
  <w:footnote w:id="21">
    <w:p w14:paraId="0DCBAB28" w14:textId="6F7AC8EE" w:rsidR="00E1345D" w:rsidRPr="001E1224" w:rsidRDefault="00E1345D">
      <w:pPr>
        <w:pStyle w:val="FootnoteText"/>
        <w:rPr>
          <w:lang w:val="en-GB"/>
        </w:rPr>
      </w:pPr>
      <w:r>
        <w:rPr>
          <w:rStyle w:val="FootnoteReference"/>
        </w:rPr>
        <w:footnoteRef/>
      </w:r>
      <w:r>
        <w:t xml:space="preserve"> Study mRNA-1273-P203: </w:t>
      </w:r>
      <w:r w:rsidRPr="00493725">
        <w:t>A Study to Evaluate the Safety, Reactogenicity, and Effectiveness of mRNA-1273 Vaccine in Adolescents 12 to &lt;18 Years Old to Prevent COVID-19 (</w:t>
      </w:r>
      <w:r>
        <w:t xml:space="preserve">also known as the </w:t>
      </w:r>
      <w:r w:rsidRPr="00493725">
        <w:t>TeenCove</w:t>
      </w:r>
      <w:r>
        <w:t xml:space="preserve"> trial</w:t>
      </w:r>
      <w:r w:rsidRPr="00493725">
        <w:t>)</w:t>
      </w:r>
      <w:r>
        <w:t>.</w:t>
      </w:r>
      <w:r w:rsidR="001E1224">
        <w:t xml:space="preserve"> </w:t>
      </w:r>
      <w:r w:rsidRPr="00493725">
        <w:t>ClinicalTrials.gov Identifier: NCT04649151</w:t>
      </w:r>
    </w:p>
  </w:footnote>
  <w:footnote w:id="22">
    <w:p w14:paraId="484B920F" w14:textId="53C3B7A7" w:rsidR="00E1345D" w:rsidRPr="001E1224" w:rsidRDefault="00E1345D" w:rsidP="009F3CB4">
      <w:pPr>
        <w:pStyle w:val="FootnoteText"/>
        <w:rPr>
          <w:lang w:val="en-GB"/>
        </w:rPr>
      </w:pPr>
      <w:r>
        <w:rPr>
          <w:rStyle w:val="FootnoteReference"/>
        </w:rPr>
        <w:footnoteRef/>
      </w:r>
      <w:r>
        <w:t xml:space="preserve"> </w:t>
      </w:r>
      <w:r>
        <w:rPr>
          <w:lang w:val="en-GB"/>
        </w:rPr>
        <w:t xml:space="preserve">mRNA-1273.222 refers to a vaccine containing a combination of mRNA-1273 (elasomeran, the active ingredient in Spikevax COVID-19 vaccine and the subject of this AusPAR) along with davesomeran, a modified version of mRNA-1273 targeted for the spike protein of the Omicron (BA.4/BA.5) SARS-CoV-2 variant. This bivalent vaccine, as </w:t>
      </w:r>
      <w:r w:rsidRPr="009F3CB4">
        <w:rPr>
          <w:lang w:val="en-GB"/>
        </w:rPr>
        <w:t>Spikevax Bivalent Original/Omicron BA.4-5 COVID-19 vaccine</w:t>
      </w:r>
      <w:r>
        <w:rPr>
          <w:lang w:val="en-GB"/>
        </w:rPr>
        <w:t xml:space="preserve"> (containing elasomeran and davesomeran) has received provisional registration in Australia (</w:t>
      </w:r>
      <w:r>
        <w:t xml:space="preserve">ARTG number: 399552) </w:t>
      </w:r>
      <w:r>
        <w:rPr>
          <w:lang w:val="en-GB"/>
        </w:rPr>
        <w:t xml:space="preserve">and was approved on 20 February 2023. See the related </w:t>
      </w:r>
      <w:hyperlink r:id="rId6" w:history="1">
        <w:r>
          <w:rPr>
            <w:rStyle w:val="Hyperlink"/>
          </w:rPr>
          <w:t>AusPAR</w:t>
        </w:r>
      </w:hyperlink>
      <w:r>
        <w:t xml:space="preserve"> for further information.</w:t>
      </w:r>
    </w:p>
  </w:footnote>
  <w:footnote w:id="23">
    <w:p w14:paraId="4A49174F" w14:textId="0EC9E09D" w:rsidR="00E1345D" w:rsidRDefault="00E1345D">
      <w:pPr>
        <w:pStyle w:val="FootnoteText"/>
      </w:pPr>
      <w:r>
        <w:rPr>
          <w:rStyle w:val="FootnoteReference"/>
        </w:rPr>
        <w:footnoteRef/>
      </w:r>
      <w:r>
        <w:t xml:space="preserve"> </w:t>
      </w:r>
      <w:r w:rsidRPr="007E3135">
        <w:t>C</w:t>
      </w:r>
      <w:r w:rsidR="001E1224">
        <w:t>enters for Disease Control and Prevention (</w:t>
      </w:r>
      <w:r w:rsidRPr="007E3135">
        <w:t>2022</w:t>
      </w:r>
      <w:r w:rsidR="001E1224">
        <w:t xml:space="preserve">) </w:t>
      </w:r>
      <w:r w:rsidR="001E1224" w:rsidRPr="001E1224">
        <w:t xml:space="preserve">Rates of Laboratory-Confirmed COVID-19 </w:t>
      </w:r>
      <w:r w:rsidR="001E1224" w:rsidRPr="001E1224">
        <w:rPr>
          <w:sz w:val="18"/>
          <w:szCs w:val="22"/>
        </w:rPr>
        <w:t xml:space="preserve">hospitalizations </w:t>
      </w:r>
      <w:r w:rsidR="001E1224" w:rsidRPr="001E1224">
        <w:t xml:space="preserve">by </w:t>
      </w:r>
      <w:r w:rsidR="001E1224" w:rsidRPr="001E1224">
        <w:rPr>
          <w:sz w:val="18"/>
          <w:szCs w:val="22"/>
        </w:rPr>
        <w:t>vaccination status</w:t>
      </w:r>
      <w:r w:rsidR="001E1224">
        <w:t>, Available at:</w:t>
      </w:r>
      <w:r w:rsidRPr="001E1224">
        <w:t xml:space="preserve"> </w:t>
      </w:r>
      <w:hyperlink r:id="rId7" w:anchor="covidnet-hospitalizations-vaccination" w:history="1">
        <w:r w:rsidR="001E1224" w:rsidRPr="0017316C">
          <w:rPr>
            <w:rStyle w:val="Hyperlink"/>
          </w:rPr>
          <w:t>https://covid.cdc.gov/covid-data-tracker/#covidnet-hospitalizations-vaccination</w:t>
        </w:r>
      </w:hyperlink>
      <w:r w:rsidR="001E1224">
        <w:t xml:space="preserve"> </w:t>
      </w:r>
      <w:r w:rsidR="001E1224" w:rsidRPr="001E1224">
        <w:t>(access</w:t>
      </w:r>
      <w:r w:rsidR="001E1224">
        <w:t>ed</w:t>
      </w:r>
      <w:r w:rsidR="001E1224" w:rsidRPr="001E1224">
        <w:t xml:space="preserve"> on 21 March 2022)</w:t>
      </w:r>
    </w:p>
  </w:footnote>
  <w:footnote w:id="24">
    <w:p w14:paraId="1A2FC048" w14:textId="1B5CFFD2" w:rsidR="00E1345D" w:rsidRDefault="00E1345D" w:rsidP="00551F6B">
      <w:pPr>
        <w:pStyle w:val="FootnoteText"/>
      </w:pPr>
      <w:r>
        <w:rPr>
          <w:rStyle w:val="FootnoteReference"/>
        </w:rPr>
        <w:footnoteRef/>
      </w:r>
      <w:r>
        <w:t xml:space="preserve"> </w:t>
      </w:r>
      <w:r w:rsidRPr="00551F6B">
        <w:t>Wang</w:t>
      </w:r>
      <w:r>
        <w:t xml:space="preserve">, L. et al. </w:t>
      </w:r>
      <w:r w:rsidRPr="00551F6B">
        <w:t>Comparison of Outcomes from COVID Infection in Pediatric and Adult Patients before and after the Emergence of Omicron</w:t>
      </w:r>
      <w:r>
        <w:t xml:space="preserve">, </w:t>
      </w:r>
      <w:r w:rsidRPr="00551F6B">
        <w:rPr>
          <w:i/>
          <w:iCs/>
        </w:rPr>
        <w:t>medRxiv</w:t>
      </w:r>
      <w:r>
        <w:t>, 2022; 2021.12.30.21268495.</w:t>
      </w:r>
    </w:p>
  </w:footnote>
  <w:footnote w:id="25">
    <w:p w14:paraId="5E353458" w14:textId="1BB5C59B" w:rsidR="00E1345D" w:rsidRDefault="00E1345D">
      <w:pPr>
        <w:pStyle w:val="FootnoteText"/>
      </w:pPr>
      <w:r>
        <w:rPr>
          <w:rStyle w:val="FootnoteReference"/>
        </w:rPr>
        <w:footnoteRef/>
      </w:r>
      <w:r>
        <w:t xml:space="preserve"> </w:t>
      </w:r>
      <w:r w:rsidRPr="003C742E">
        <w:t xml:space="preserve">The </w:t>
      </w:r>
      <w:r w:rsidRPr="003C742E">
        <w:rPr>
          <w:b/>
          <w:bCs/>
        </w:rPr>
        <w:t>Medical Dictionary for Regulatory Activities (MedDRA)</w:t>
      </w:r>
      <w:r w:rsidRPr="003C742E">
        <w:t xml:space="preserve"> is a single standardised international medical terminology, developed as a project of the International Council for Harmonisation of Technical Requirements for Pharmaceuticals for Human Use (ICH) which can be used for regulatory communication and evaluation of data pertaining to medicinal products for human use. As a result, MedDRA is designed for use in the registration, documentation and safety monitoring of medicinal products through all phases of the development cycle (that is, from clinical trials to post-marketing surveillance). Furthermore, MedDRA supports ICH electronic communication within the ICH’s Electronic Common Technical Document (eCTD) and the E2B Individual Case Safety Report.</w:t>
      </w:r>
    </w:p>
  </w:footnote>
  <w:footnote w:id="26">
    <w:p w14:paraId="28623CC9" w14:textId="2D1D4ADF" w:rsidR="00E1345D" w:rsidRDefault="00E1345D">
      <w:pPr>
        <w:pStyle w:val="FootnoteText"/>
      </w:pPr>
      <w:r>
        <w:rPr>
          <w:rStyle w:val="FootnoteReference"/>
        </w:rPr>
        <w:footnoteRef/>
      </w:r>
      <w:r>
        <w:t xml:space="preserve"> </w:t>
      </w:r>
      <w:r w:rsidRPr="003C742E">
        <w:rPr>
          <w:b/>
          <w:bCs/>
        </w:rPr>
        <w:t>Standardised MedDRA Queries (SMQs)</w:t>
      </w:r>
      <w:r w:rsidRPr="003C742E">
        <w:t xml:space="preserve"> are groupings of terms from one or more MedDRA System Organ Classes (SOCs) that relate to a defined medical condition or area of interest. They are intended to aid in case identification.</w:t>
      </w:r>
    </w:p>
  </w:footnote>
  <w:footnote w:id="27">
    <w:p w14:paraId="61E0A175" w14:textId="604739BC" w:rsidR="00E1345D" w:rsidRPr="0087261C" w:rsidRDefault="00E1345D" w:rsidP="0087261C">
      <w:pPr>
        <w:pStyle w:val="FootnoteText"/>
      </w:pPr>
      <w:r>
        <w:rPr>
          <w:rStyle w:val="FootnoteReference"/>
        </w:rPr>
        <w:footnoteRef/>
      </w:r>
      <w:r>
        <w:t xml:space="preserve"> Study </w:t>
      </w:r>
      <w:r w:rsidRPr="0087261C">
        <w:t>mRNA-1273-P204</w:t>
      </w:r>
      <w:r>
        <w:t xml:space="preserve">: </w:t>
      </w:r>
      <w:r w:rsidRPr="0087261C">
        <w:t>A Study to Evaluate Safety and Effectiveness of mRNA-1273 COVID-19 Vaccine in Healthy Children Between 6 Months of Age and Less Than 12 Years of Age</w:t>
      </w:r>
      <w:r>
        <w:t>. ClinicalTrials.gov Identifier: NCT04796896</w:t>
      </w:r>
    </w:p>
  </w:footnote>
  <w:footnote w:id="28">
    <w:p w14:paraId="5A7BD452" w14:textId="748CF1DA" w:rsidR="00E1345D" w:rsidRPr="001E1224" w:rsidRDefault="00E1345D">
      <w:pPr>
        <w:pStyle w:val="FootnoteText"/>
        <w:rPr>
          <w:lang w:val="en-GB"/>
        </w:rPr>
      </w:pPr>
      <w:r>
        <w:rPr>
          <w:rStyle w:val="FootnoteReference"/>
        </w:rPr>
        <w:footnoteRef/>
      </w:r>
      <w:r>
        <w:t xml:space="preserve"> Further information on the Spikevax (elasomeran) COVID-19 vaccine submission (PM-2021-05269-1-2) and provisional registration (22 February 2022) as a primary series </w:t>
      </w:r>
      <w:r w:rsidRPr="00EF4C78">
        <w:t>for ind</w:t>
      </w:r>
      <w:r>
        <w:t xml:space="preserve">ividuals aged 6 years and over can be found in the following </w:t>
      </w:r>
      <w:hyperlink r:id="rId8" w:history="1">
        <w:r w:rsidRPr="00EF4C78">
          <w:rPr>
            <w:rStyle w:val="Hyperlink"/>
          </w:rPr>
          <w:t>AusPAR</w:t>
        </w:r>
      </w:hyperlink>
      <w:r>
        <w:t>.</w:t>
      </w:r>
    </w:p>
  </w:footnote>
  <w:footnote w:id="29">
    <w:p w14:paraId="6ACFDCD0" w14:textId="77777777" w:rsidR="00E1345D" w:rsidRDefault="00E1345D" w:rsidP="00A663AF">
      <w:pPr>
        <w:pStyle w:val="FootnoteText"/>
      </w:pPr>
      <w:r>
        <w:rPr>
          <w:rStyle w:val="FootnoteReference"/>
        </w:rPr>
        <w:footnoteRef/>
      </w:r>
      <w:r>
        <w:t xml:space="preserve"> </w:t>
      </w:r>
      <w:r w:rsidRPr="003C742E">
        <w:t xml:space="preserve">The randomised clinical trials analysed by the intention-to-treat (ITT) approach provide unbiased comparisons among the treatment groups. In the ITT population, none of the subjects are excluded, regardless of treatment compliance or attrition due to dropout or crossover, and the subjects are analysed according to the randomisation scheme. A </w:t>
      </w:r>
      <w:r w:rsidRPr="003C742E">
        <w:rPr>
          <w:b/>
          <w:bCs/>
        </w:rPr>
        <w:t>modified intention-to-treat analysis (mITT)</w:t>
      </w:r>
      <w:r w:rsidRPr="003C742E">
        <w:t xml:space="preserve"> may sometimes be conducted excluding subjects post-randomisation.</w:t>
      </w:r>
    </w:p>
  </w:footnote>
  <w:footnote w:id="30">
    <w:p w14:paraId="5FE730BC" w14:textId="1D8C606F" w:rsidR="00E1345D" w:rsidRDefault="00E1345D">
      <w:pPr>
        <w:pStyle w:val="FootnoteText"/>
      </w:pPr>
      <w:r>
        <w:rPr>
          <w:rStyle w:val="FootnoteReference"/>
        </w:rPr>
        <w:footnoteRef/>
      </w:r>
      <w:r>
        <w:t xml:space="preserve"> Centers for Disease Control and Prevention (2023) </w:t>
      </w:r>
      <w:r w:rsidRPr="003C742E">
        <w:t>COVID Data Tracker</w:t>
      </w:r>
      <w:r>
        <w:t xml:space="preserve">, </w:t>
      </w:r>
      <w:r w:rsidRPr="003C742E">
        <w:t>Vaccination Distribution &amp; Coverage</w:t>
      </w:r>
      <w:r>
        <w:t>.</w:t>
      </w:r>
      <w:r w:rsidRPr="003C742E">
        <w:t xml:space="preserve"> </w:t>
      </w:r>
      <w:r>
        <w:t xml:space="preserve">Available at: </w:t>
      </w:r>
      <w:hyperlink r:id="rId9" w:anchor="vaccine-delivery-coverage" w:history="1">
        <w:r w:rsidRPr="001E253C">
          <w:rPr>
            <w:rStyle w:val="Hyperlink"/>
          </w:rPr>
          <w:t>https://covid.cdc.gov/covid-data-tracker/#vaccine-delivery-coverage</w:t>
        </w:r>
      </w:hyperlink>
      <w:r>
        <w:t xml:space="preserve"> </w:t>
      </w:r>
      <w:r w:rsidRPr="00D72C23">
        <w:t>(</w:t>
      </w:r>
      <w:r>
        <w:t xml:space="preserve">data current as of </w:t>
      </w:r>
      <w:r w:rsidRPr="00D72C23">
        <w:t>15 February 2023)</w:t>
      </w:r>
      <w:r>
        <w:t>.</w:t>
      </w:r>
    </w:p>
  </w:footnote>
  <w:footnote w:id="31">
    <w:p w14:paraId="5677F8A1" w14:textId="61156425" w:rsidR="00E1345D" w:rsidRDefault="00E1345D">
      <w:pPr>
        <w:pStyle w:val="FootnoteText"/>
      </w:pPr>
      <w:r>
        <w:rPr>
          <w:rStyle w:val="FootnoteReference"/>
        </w:rPr>
        <w:footnoteRef/>
      </w:r>
      <w:r>
        <w:t xml:space="preserve"> Therapeutic Goods Administration (TGA), </w:t>
      </w:r>
      <w:r w:rsidRPr="00551F6B">
        <w:t>Provisional registration extension and transition to full registration</w:t>
      </w:r>
      <w:r>
        <w:t xml:space="preserve">, </w:t>
      </w:r>
      <w:r w:rsidRPr="00551F6B">
        <w:t>A step-by-step guide for prescription medicines</w:t>
      </w:r>
      <w:r>
        <w:t>, last updated 21 January 2021. Available at:</w:t>
      </w:r>
      <w:r w:rsidRPr="00551F6B">
        <w:t xml:space="preserve"> </w:t>
      </w:r>
      <w:hyperlink r:id="rId10" w:anchor="transition-to-full" w:history="1">
        <w:r w:rsidRPr="001E253C">
          <w:rPr>
            <w:rStyle w:val="Hyperlink"/>
          </w:rPr>
          <w:t>https://www.tga.gov.au/resources/resource/guidance/provisional-registration-extension-and-transition-full-registration#transition-to-full</w:t>
        </w:r>
      </w:hyperlink>
      <w:r>
        <w:t>.</w:t>
      </w:r>
    </w:p>
  </w:footnote>
  <w:footnote w:id="32">
    <w:p w14:paraId="0D8BD947" w14:textId="4D627EFB" w:rsidR="00E1345D" w:rsidRDefault="00E1345D">
      <w:pPr>
        <w:pStyle w:val="FootnoteText"/>
      </w:pPr>
      <w:r>
        <w:rPr>
          <w:rStyle w:val="FootnoteReference"/>
        </w:rPr>
        <w:footnoteRef/>
      </w:r>
      <w:r>
        <w:t xml:space="preserve"> Therapeutic Goods Administration (TGA),</w:t>
      </w:r>
      <w:r w:rsidRPr="00551F6B">
        <w:t xml:space="preserve"> Prescription Medicines Registration Process</w:t>
      </w:r>
      <w:r>
        <w:t xml:space="preserve">, </w:t>
      </w:r>
      <w:r w:rsidRPr="00551F6B">
        <w:t>Phase 7: Decision</w:t>
      </w:r>
      <w:r>
        <w:t xml:space="preserve">, last updated </w:t>
      </w:r>
      <w:r w:rsidRPr="00551F6B">
        <w:t>12 August 2021</w:t>
      </w:r>
      <w:r>
        <w:t xml:space="preserve">. Available at: </w:t>
      </w:r>
      <w:hyperlink r:id="rId11" w:history="1">
        <w:r w:rsidRPr="001E253C">
          <w:rPr>
            <w:rStyle w:val="Hyperlink"/>
          </w:rPr>
          <w:t>https://www.tga.gov.au/how-we-regulate/supply-therapeutic-good-0/supply-prescription-medicine/application-process/prescription-medicines-registration-process/phase-7-decision</w:t>
        </w:r>
      </w:hyperlink>
      <w:r>
        <w:t>.</w:t>
      </w:r>
    </w:p>
  </w:footnote>
  <w:footnote w:id="33">
    <w:p w14:paraId="7F6840F2" w14:textId="4CF69E35" w:rsidR="00E1345D" w:rsidRDefault="00E1345D">
      <w:pPr>
        <w:pStyle w:val="FootnoteText"/>
      </w:pPr>
      <w:r>
        <w:rPr>
          <w:rStyle w:val="FootnoteReference"/>
        </w:rPr>
        <w:footnoteRef/>
      </w:r>
      <w:r>
        <w:t xml:space="preserve"> </w:t>
      </w:r>
      <w:r w:rsidRPr="00551F6B">
        <w:t xml:space="preserve">Category 1 Type S application </w:t>
      </w:r>
      <w:r>
        <w:t>in here refers to ‘t</w:t>
      </w:r>
      <w:r w:rsidRPr="00551F6B">
        <w:t>ransition from provisional registration to full registration</w:t>
      </w:r>
      <w:r>
        <w:t>’.</w:t>
      </w:r>
    </w:p>
  </w:footnote>
  <w:footnote w:id="34">
    <w:p w14:paraId="13F5B245" w14:textId="55244DBB" w:rsidR="00E1345D" w:rsidRDefault="00E1345D" w:rsidP="00551F6B">
      <w:pPr>
        <w:pStyle w:val="FootnoteText"/>
      </w:pPr>
      <w:r>
        <w:rPr>
          <w:rStyle w:val="FootnoteReference"/>
        </w:rPr>
        <w:footnoteRef/>
      </w:r>
      <w:r>
        <w:t xml:space="preserve"> </w:t>
      </w:r>
      <w:r w:rsidRPr="00551F6B">
        <w:t>Bruxvoort</w:t>
      </w:r>
      <w:r>
        <w:t xml:space="preserve">, K.J. et al. </w:t>
      </w:r>
      <w:r w:rsidRPr="00551F6B">
        <w:t>Real-World Effectiveness of the mRNA-1273 Vaccine Against COVID-19: Interim Results from a Prospective Observational Cohort Study</w:t>
      </w:r>
      <w:r>
        <w:t xml:space="preserve">, </w:t>
      </w:r>
      <w:r w:rsidRPr="00551F6B">
        <w:rPr>
          <w:i/>
          <w:iCs/>
        </w:rPr>
        <w:t>Lancet Reg Health Am</w:t>
      </w:r>
      <w:r>
        <w:t>, 2022; 6: 100134.</w:t>
      </w:r>
    </w:p>
  </w:footnote>
  <w:footnote w:id="35">
    <w:p w14:paraId="64A1D26C" w14:textId="714C5997" w:rsidR="00E1345D" w:rsidRDefault="00E1345D" w:rsidP="00551F6B">
      <w:pPr>
        <w:pStyle w:val="FootnoteText"/>
      </w:pPr>
      <w:r>
        <w:rPr>
          <w:rStyle w:val="FootnoteReference"/>
        </w:rPr>
        <w:footnoteRef/>
      </w:r>
      <w:r>
        <w:t xml:space="preserve"> </w:t>
      </w:r>
      <w:r w:rsidRPr="00551F6B">
        <w:t>Chemaitelly</w:t>
      </w:r>
      <w:r>
        <w:t xml:space="preserve">, H. et al. mRNA-1273 COVID-19 Vaccine Effectiveness against the B.1.1.7 and B.1.351 Variants and Severe COVID-19 Disease in Qatar, </w:t>
      </w:r>
      <w:r w:rsidRPr="00551F6B">
        <w:rPr>
          <w:i/>
          <w:iCs/>
        </w:rPr>
        <w:t>Nat Med</w:t>
      </w:r>
      <w:r>
        <w:t>, 2021; 27(9): 1614-1621.</w:t>
      </w:r>
    </w:p>
  </w:footnote>
  <w:footnote w:id="36">
    <w:p w14:paraId="3C5319C4" w14:textId="738A360D" w:rsidR="00E1345D" w:rsidRPr="001E1224" w:rsidRDefault="00E1345D">
      <w:pPr>
        <w:pStyle w:val="FootnoteText"/>
        <w:rPr>
          <w:lang w:val="en-GB"/>
        </w:rPr>
      </w:pPr>
      <w:r>
        <w:rPr>
          <w:rStyle w:val="FootnoteReference"/>
        </w:rPr>
        <w:footnoteRef/>
      </w:r>
      <w:r>
        <w:t xml:space="preserve"> </w:t>
      </w:r>
      <w:r>
        <w:rPr>
          <w:lang w:val="en-GB"/>
        </w:rPr>
        <w:t xml:space="preserve">In Australia, official recommendations </w:t>
      </w:r>
      <w:r w:rsidR="00A76EB7">
        <w:rPr>
          <w:lang w:val="en-GB"/>
        </w:rPr>
        <w:t>include</w:t>
      </w:r>
      <w:r>
        <w:rPr>
          <w:lang w:val="en-GB"/>
        </w:rPr>
        <w:t xml:space="preserve"> those </w:t>
      </w:r>
      <w:r w:rsidR="00A76EB7">
        <w:rPr>
          <w:lang w:val="en-GB"/>
        </w:rPr>
        <w:t xml:space="preserve">advised by the </w:t>
      </w:r>
      <w:hyperlink r:id="rId12" w:history="1">
        <w:r w:rsidRPr="00E1345D">
          <w:rPr>
            <w:rStyle w:val="Hyperlink"/>
            <w:lang w:val="en-GB"/>
          </w:rPr>
          <w:t>Australian Technical Advisory Group on Immunisation</w:t>
        </w:r>
      </w:hyperlink>
      <w:r w:rsidRPr="00E1345D">
        <w:rPr>
          <w:lang w:val="en-GB"/>
        </w:rPr>
        <w:t xml:space="preserve"> (</w:t>
      </w:r>
      <w:hyperlink r:id="rId13" w:history="1">
        <w:r w:rsidRPr="00E1345D">
          <w:rPr>
            <w:rStyle w:val="Hyperlink"/>
            <w:lang w:val="en-GB"/>
          </w:rPr>
          <w:t>ATAGI</w:t>
        </w:r>
      </w:hyperlink>
      <w:r w:rsidRPr="00E1345D">
        <w:rPr>
          <w:lang w:val="en-GB"/>
        </w:rPr>
        <w:t>)</w:t>
      </w:r>
      <w:r>
        <w:rPr>
          <w:lang w:val="en-GB"/>
        </w:rPr>
        <w:t xml:space="preserve">, </w:t>
      </w:r>
      <w:r w:rsidR="00A76EB7">
        <w:t xml:space="preserve">including those </w:t>
      </w:r>
      <w:r w:rsidR="00F63EA4">
        <w:t>within</w:t>
      </w:r>
      <w:r w:rsidR="00A76EB7">
        <w:t xml:space="preserve"> the</w:t>
      </w:r>
      <w:r w:rsidRPr="00E1345D">
        <w:t> </w:t>
      </w:r>
      <w:hyperlink r:id="rId14" w:tooltip="National Immunisation Program" w:history="1">
        <w:r w:rsidRPr="00E1345D">
          <w:rPr>
            <w:rStyle w:val="Hyperlink"/>
          </w:rPr>
          <w:t>National Immunisation Program (NIP)</w:t>
        </w:r>
      </w:hyperlink>
      <w:r w:rsidR="00A76EB7">
        <w:rPr>
          <w:lang w:val="en-GB"/>
        </w:rPr>
        <w:t xml:space="preserve">, and </w:t>
      </w:r>
      <w:r w:rsidR="00A76EB7" w:rsidRPr="00A76EB7">
        <w:t>the </w:t>
      </w:r>
      <w:hyperlink r:id="rId15" w:history="1">
        <w:r w:rsidR="00A76EB7" w:rsidRPr="00A76EB7">
          <w:rPr>
            <w:rStyle w:val="Hyperlink"/>
          </w:rPr>
          <w:t>Australian Immunisation Handbook</w:t>
        </w:r>
      </w:hyperlink>
      <w:r w:rsidR="00A76EB7">
        <w:rPr>
          <w:lang w:val="en-GB"/>
        </w:rPr>
        <w:t>.</w:t>
      </w:r>
    </w:p>
  </w:footnote>
  <w:footnote w:id="37">
    <w:p w14:paraId="764BFFF1" w14:textId="12719B31" w:rsidR="00E1345D" w:rsidRDefault="00E1345D">
      <w:pPr>
        <w:pStyle w:val="FootnoteText"/>
      </w:pPr>
      <w:r>
        <w:rPr>
          <w:rStyle w:val="FootnoteReference"/>
        </w:rPr>
        <w:footnoteRef/>
      </w:r>
      <w:r>
        <w:t xml:space="preserve"> </w:t>
      </w:r>
      <w:r w:rsidRPr="003C742E">
        <w:rPr>
          <w:b/>
          <w:bCs/>
        </w:rPr>
        <w:t>Good Manufacturing Practice (GMP)</w:t>
      </w:r>
      <w:r w:rsidRPr="003C742E">
        <w:t xml:space="preserve"> is a code of standards that describes a set of principles and procedures that when followed helps ensure that therapeutic goods are of high quality.</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E3517" w14:textId="77777777" w:rsidR="00E1345D" w:rsidRPr="00CB0550" w:rsidRDefault="00E1345D" w:rsidP="00CB0550">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1" w:rightFromText="181" w:vertAnchor="page" w:horzAnchor="page" w:tblpX="1" w:tblpY="8999"/>
      <w:tblOverlap w:val="never"/>
      <w:tblW w:w="1196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1964"/>
    </w:tblGrid>
    <w:tr w:rsidR="00E1345D" w:rsidRPr="002B29B2" w14:paraId="3E15C3BC" w14:textId="77777777" w:rsidTr="007452E8">
      <w:trPr>
        <w:trHeight w:hRule="exact" w:val="8845"/>
      </w:trPr>
      <w:tc>
        <w:tcPr>
          <w:tcW w:w="11964" w:type="dxa"/>
          <w:vAlign w:val="center"/>
        </w:tcPr>
        <w:p w14:paraId="6FDE4BFB" w14:textId="77777777" w:rsidR="00E1345D" w:rsidRPr="002B29B2" w:rsidRDefault="009809E2" w:rsidP="007452E8">
          <w:pPr>
            <w:ind w:left="-57"/>
            <w:rPr>
              <w:noProof/>
            </w:rPr>
          </w:pPr>
          <w:sdt>
            <w:sdtPr>
              <w:rPr>
                <w:noProof/>
              </w:rPr>
              <w:id w:val="1926993388"/>
              <w:showingPlcHdr/>
              <w:picture/>
            </w:sdtPr>
            <w:sdtEndPr/>
            <w:sdtContent>
              <w:r w:rsidR="00E1345D" w:rsidRPr="00F71E1E">
                <w:rPr>
                  <w:noProof/>
                  <w:lang w:val="en-GB" w:eastAsia="en-GB"/>
                </w:rPr>
                <w:drawing>
                  <wp:inline distT="0" distB="0" distL="0" distR="0" wp14:anchorId="5C7F8AC9" wp14:editId="23FC1BBE">
                    <wp:extent cx="7631430" cy="5523865"/>
                    <wp:effectExtent l="0" t="0" r="7620" b="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pic:cNvPicPr>
                              <a:picLocks noChangeAspect="1" noChangeArrowheads="1"/>
                            </pic:cNvPicPr>
                          </pic:nvPicPr>
                          <pic:blipFill>
                            <a:blip r:embed="rId1" cstate="print"/>
                            <a:srcRect/>
                            <a:stretch>
                              <a:fillRect/>
                            </a:stretch>
                          </pic:blipFill>
                          <pic:spPr bwMode="auto">
                            <a:xfrm>
                              <a:off x="0" y="0"/>
                              <a:ext cx="7631430" cy="5523865"/>
                            </a:xfrm>
                            <a:prstGeom prst="rect">
                              <a:avLst/>
                            </a:prstGeom>
                            <a:noFill/>
                            <a:ln w="9525">
                              <a:noFill/>
                              <a:miter lim="800000"/>
                              <a:headEnd/>
                              <a:tailEnd/>
                            </a:ln>
                          </pic:spPr>
                        </pic:pic>
                      </a:graphicData>
                    </a:graphic>
                  </wp:inline>
                </w:drawing>
              </w:r>
            </w:sdtContent>
          </w:sdt>
        </w:p>
      </w:tc>
    </w:tr>
  </w:tbl>
  <w:p w14:paraId="6402DE55" w14:textId="77777777" w:rsidR="00E1345D" w:rsidRDefault="00E1345D" w:rsidP="007452E8">
    <w:pPr>
      <w:rPr>
        <w:noProof/>
      </w:rPr>
    </w:pPr>
    <w:r>
      <w:rPr>
        <w:noProof/>
        <w:lang w:val="en-GB" w:eastAsia="en-GB"/>
      </w:rPr>
      <w:drawing>
        <wp:anchor distT="0" distB="0" distL="114300" distR="114300" simplePos="0" relativeHeight="251661312" behindDoc="0" locked="0" layoutInCell="1" allowOverlap="1" wp14:anchorId="19C10218" wp14:editId="1C7A23CB">
          <wp:simplePos x="0" y="0"/>
          <wp:positionH relativeFrom="column">
            <wp:posOffset>-400050</wp:posOffset>
          </wp:positionH>
          <wp:positionV relativeFrom="paragraph">
            <wp:posOffset>-116205</wp:posOffset>
          </wp:positionV>
          <wp:extent cx="2676525" cy="621665"/>
          <wp:effectExtent l="0" t="0" r="9525" b="6985"/>
          <wp:wrapTopAndBottom/>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2676525" cy="6216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2B29B2">
      <w:rPr>
        <w:noProof/>
        <w:lang w:val="en-GB" w:eastAsia="en-GB"/>
      </w:rPr>
      <w:drawing>
        <wp:anchor distT="0" distB="0" distL="114300" distR="114300" simplePos="0" relativeHeight="251660288" behindDoc="0" locked="0" layoutInCell="0" allowOverlap="1" wp14:anchorId="14BBEAC1" wp14:editId="0829B6F3">
          <wp:simplePos x="0" y="0"/>
          <wp:positionH relativeFrom="page">
            <wp:align>left</wp:align>
          </wp:positionH>
          <wp:positionV relativeFrom="page">
            <wp:posOffset>3239495</wp:posOffset>
          </wp:positionV>
          <wp:extent cx="7663815" cy="4323091"/>
          <wp:effectExtent l="0" t="0" r="0" b="127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
                    <a:extLst>
                      <a:ext uri="{28A0092B-C50C-407E-A947-70E740481C1C}">
                        <a14:useLocalDpi xmlns:a14="http://schemas.microsoft.com/office/drawing/2010/main" val="0"/>
                      </a:ext>
                    </a:extLst>
                  </a:blip>
                  <a:stretch>
                    <a:fillRect/>
                  </a:stretch>
                </pic:blipFill>
                <pic:spPr bwMode="auto">
                  <a:xfrm>
                    <a:off x="0" y="0"/>
                    <a:ext cx="7663815" cy="432309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91632D" w14:textId="77777777" w:rsidR="00E1345D" w:rsidRDefault="00E1345D" w:rsidP="007452E8">
    <w:pPr>
      <w:pStyle w:val="Header"/>
    </w:pPr>
    <w:r w:rsidRPr="000F5176">
      <w:t>Therapeutic Goods Administration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B477B" w14:textId="77777777" w:rsidR="00E1345D" w:rsidRPr="00FE501F" w:rsidRDefault="00E1345D" w:rsidP="007452E8">
    <w:pPr>
      <w:pStyle w:val="Headerno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66077"/>
    <w:multiLevelType w:val="hybridMultilevel"/>
    <w:tmpl w:val="02C8EA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7475AA0"/>
    <w:multiLevelType w:val="hybridMultilevel"/>
    <w:tmpl w:val="0DB678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E9108CD"/>
    <w:multiLevelType w:val="hybridMultilevel"/>
    <w:tmpl w:val="F07C7BCA"/>
    <w:lvl w:ilvl="0" w:tplc="7E7496A6">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53F11"/>
    <w:multiLevelType w:val="multilevel"/>
    <w:tmpl w:val="E58A81F0"/>
    <w:styleLink w:val="NumberBullet"/>
    <w:lvl w:ilvl="0">
      <w:start w:val="1"/>
      <w:numFmt w:val="decimal"/>
      <w:pStyle w:val="Numberbullet0"/>
      <w:lvlText w:val="%1."/>
      <w:lvlJc w:val="left"/>
      <w:pPr>
        <w:ind w:left="360" w:hanging="360"/>
      </w:pPr>
      <w:rPr>
        <w:rFonts w:ascii="Arial" w:hAnsi="Arial" w:hint="default"/>
      </w:rPr>
    </w:lvl>
    <w:lvl w:ilvl="1">
      <w:start w:val="1"/>
      <w:numFmt w:val="lowerLetter"/>
      <w:pStyle w:val="Numberbullet2"/>
      <w:lvlText w:val="%2."/>
      <w:lvlJc w:val="left"/>
      <w:pPr>
        <w:ind w:left="851" w:hanging="426"/>
      </w:pPr>
      <w:rPr>
        <w:rFonts w:hint="default"/>
      </w:rPr>
    </w:lvl>
    <w:lvl w:ilvl="2">
      <w:start w:val="1"/>
      <w:numFmt w:val="lowerRoman"/>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63F187C"/>
    <w:multiLevelType w:val="hybridMultilevel"/>
    <w:tmpl w:val="20409048"/>
    <w:lvl w:ilvl="0" w:tplc="669A989C">
      <w:start w:val="4"/>
      <w:numFmt w:val="bullet"/>
      <w:pStyle w:val="ListBullet3"/>
      <w:lvlText w:val="▪"/>
      <w:lvlJc w:val="left"/>
      <w:pPr>
        <w:ind w:left="1571" w:hanging="360"/>
      </w:pPr>
      <w:rPr>
        <w:rFonts w:ascii="Arial" w:eastAsia="Cambria" w:hAnsi="Aria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5" w15:restartNumberingAfterBreak="0">
    <w:nsid w:val="168F13E9"/>
    <w:multiLevelType w:val="multilevel"/>
    <w:tmpl w:val="520883D8"/>
    <w:styleLink w:val="ListBullets"/>
    <w:lvl w:ilvl="0">
      <w:start w:val="4"/>
      <w:numFmt w:val="bullet"/>
      <w:pStyle w:val="ListBullet"/>
      <w:lvlText w:val="•"/>
      <w:lvlJc w:val="left"/>
      <w:pPr>
        <w:ind w:left="360" w:hanging="360"/>
      </w:pPr>
      <w:rPr>
        <w:rFonts w:ascii="Cambria" w:eastAsia="Cambria" w:hAnsi="Cambria" w:hint="default"/>
      </w:rPr>
    </w:lvl>
    <w:lvl w:ilvl="1">
      <w:start w:val="1"/>
      <w:numFmt w:val="bullet"/>
      <w:pStyle w:val="ListBullet2"/>
      <w:lvlText w:val="–"/>
      <w:lvlJc w:val="left"/>
      <w:pPr>
        <w:ind w:left="720" w:hanging="360"/>
      </w:pPr>
      <w:rPr>
        <w:rFonts w:ascii="Arial" w:hAnsi="Arial"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183A2651"/>
    <w:multiLevelType w:val="hybridMultilevel"/>
    <w:tmpl w:val="48E02C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FD724B0"/>
    <w:multiLevelType w:val="hybridMultilevel"/>
    <w:tmpl w:val="51DAA4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3FB1C56"/>
    <w:multiLevelType w:val="multilevel"/>
    <w:tmpl w:val="339EBC96"/>
    <w:lvl w:ilvl="0">
      <w:start w:val="1"/>
      <w:numFmt w:val="bullet"/>
      <w:pStyle w:val="ListBullet-dotick"/>
      <w:lvlText w:val=""/>
      <w:lvlJc w:val="left"/>
      <w:pPr>
        <w:ind w:left="360" w:hanging="360"/>
      </w:pPr>
      <w:rPr>
        <w:rFonts w:ascii="Wingdings" w:hAnsi="Wingdings" w:hint="default"/>
        <w:b/>
        <w:i w:val="0"/>
        <w:color w:val="00B050"/>
        <w:sz w:val="24"/>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9" w15:restartNumberingAfterBreak="0">
    <w:nsid w:val="47635E3C"/>
    <w:multiLevelType w:val="hybridMultilevel"/>
    <w:tmpl w:val="4A6A2E54"/>
    <w:lvl w:ilvl="0" w:tplc="0C090019">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4F7912C9"/>
    <w:multiLevelType w:val="multilevel"/>
    <w:tmpl w:val="D6F4F1DE"/>
    <w:lvl w:ilvl="0">
      <w:start w:val="1"/>
      <w:numFmt w:val="bullet"/>
      <w:pStyle w:val="ListBullet-donotcross"/>
      <w:lvlText w:val=""/>
      <w:lvlJc w:val="left"/>
      <w:pPr>
        <w:ind w:left="785" w:hanging="360"/>
      </w:pPr>
      <w:rPr>
        <w:rFonts w:ascii="Wingdings" w:hAnsi="Wingdings" w:hint="default"/>
        <w:b/>
        <w:i w:val="0"/>
        <w:color w:val="800000"/>
        <w:sz w:val="26"/>
        <w:szCs w:val="22"/>
      </w:rPr>
    </w:lvl>
    <w:lvl w:ilvl="1">
      <w:start w:val="1"/>
      <w:numFmt w:val="bullet"/>
      <w:lvlText w:val="–"/>
      <w:lvlJc w:val="left"/>
      <w:pPr>
        <w:ind w:left="720" w:hanging="360"/>
      </w:pPr>
      <w:rPr>
        <w:rFonts w:ascii="Arial" w:hAnsi="Arial" w:cs="Times New Roman" w:hint="default"/>
      </w:rPr>
    </w:lvl>
    <w:lvl w:ilvl="2">
      <w:start w:val="1"/>
      <w:numFmt w:val="bullet"/>
      <w:lvlText w:val=""/>
      <w:lvlJc w:val="left"/>
      <w:pPr>
        <w:ind w:left="1080" w:hanging="360"/>
      </w:pPr>
      <w:rPr>
        <w:rFonts w:ascii="Wingdings" w:hAnsi="Wingdings" w:hint="default"/>
      </w:rPr>
    </w:lvl>
    <w:lvl w:ilvl="3">
      <w:start w:val="1"/>
      <w:numFmt w:val="none"/>
      <w:lvlText w:val=""/>
      <w:lvlJc w:val="left"/>
      <w:pPr>
        <w:ind w:left="1440" w:hanging="360"/>
      </w:pPr>
    </w:lvl>
    <w:lvl w:ilvl="4">
      <w:start w:val="1"/>
      <w:numFmt w:val="none"/>
      <w:lvlText w:val=""/>
      <w:lvlJc w:val="left"/>
      <w:pPr>
        <w:ind w:left="1800" w:hanging="360"/>
      </w:pPr>
    </w:lvl>
    <w:lvl w:ilvl="5">
      <w:start w:val="1"/>
      <w:numFmt w:val="none"/>
      <w:lvlText w:val=""/>
      <w:lvlJc w:val="left"/>
      <w:pPr>
        <w:ind w:left="2160" w:hanging="360"/>
      </w:pPr>
    </w:lvl>
    <w:lvl w:ilvl="6">
      <w:start w:val="1"/>
      <w:numFmt w:val="none"/>
      <w:lvlText w:val="%7"/>
      <w:lvlJc w:val="left"/>
      <w:pPr>
        <w:ind w:left="2520" w:hanging="360"/>
      </w:pPr>
    </w:lvl>
    <w:lvl w:ilvl="7">
      <w:start w:val="1"/>
      <w:numFmt w:val="none"/>
      <w:lvlText w:val="%8"/>
      <w:lvlJc w:val="left"/>
      <w:pPr>
        <w:ind w:left="2880" w:hanging="360"/>
      </w:pPr>
    </w:lvl>
    <w:lvl w:ilvl="8">
      <w:start w:val="1"/>
      <w:numFmt w:val="none"/>
      <w:lvlText w:val="%9"/>
      <w:lvlJc w:val="left"/>
      <w:pPr>
        <w:ind w:left="3240" w:hanging="360"/>
      </w:pPr>
    </w:lvl>
  </w:abstractNum>
  <w:abstractNum w:abstractNumId="12" w15:restartNumberingAfterBreak="0">
    <w:nsid w:val="50336B0D"/>
    <w:multiLevelType w:val="hybridMultilevel"/>
    <w:tmpl w:val="5D54CD1A"/>
    <w:lvl w:ilvl="0" w:tplc="4EDE096A">
      <w:start w:val="1"/>
      <w:numFmt w:val="lowerRoman"/>
      <w:pStyle w:val="Numberbullet3"/>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592C2FE1"/>
    <w:multiLevelType w:val="hybridMultilevel"/>
    <w:tmpl w:val="ECD427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ACB3A1A"/>
    <w:multiLevelType w:val="hybridMultilevel"/>
    <w:tmpl w:val="6E3EB6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D9C1BF9"/>
    <w:multiLevelType w:val="hybridMultilevel"/>
    <w:tmpl w:val="9E4A19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4"/>
  </w:num>
  <w:num w:numId="4">
    <w:abstractNumId w:val="12"/>
  </w:num>
  <w:num w:numId="5">
    <w:abstractNumId w:val="8"/>
  </w:num>
  <w:num w:numId="6">
    <w:abstractNumId w:val="11"/>
  </w:num>
  <w:num w:numId="7">
    <w:abstractNumId w:val="10"/>
  </w:num>
  <w:num w:numId="8">
    <w:abstractNumId w:val="2"/>
  </w:num>
  <w:num w:numId="9">
    <w:abstractNumId w:val="15"/>
  </w:num>
  <w:num w:numId="10">
    <w:abstractNumId w:val="13"/>
  </w:num>
  <w:num w:numId="11">
    <w:abstractNumId w:val="6"/>
  </w:num>
  <w:num w:numId="12">
    <w:abstractNumId w:val="14"/>
  </w:num>
  <w:num w:numId="13">
    <w:abstractNumId w:val="0"/>
  </w:num>
  <w:num w:numId="14">
    <w:abstractNumId w:val="7"/>
  </w:num>
  <w:num w:numId="15">
    <w:abstractNumId w:val="1"/>
  </w:num>
  <w:num w:numId="16">
    <w:abstractNumId w:val="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6EC2"/>
    <w:rsid w:val="000116E8"/>
    <w:rsid w:val="00037D94"/>
    <w:rsid w:val="0004709A"/>
    <w:rsid w:val="0005046B"/>
    <w:rsid w:val="000706C4"/>
    <w:rsid w:val="00075A2A"/>
    <w:rsid w:val="000762BD"/>
    <w:rsid w:val="00077844"/>
    <w:rsid w:val="00081469"/>
    <w:rsid w:val="00082A6F"/>
    <w:rsid w:val="0008609F"/>
    <w:rsid w:val="00094B81"/>
    <w:rsid w:val="000975AA"/>
    <w:rsid w:val="000A1A7C"/>
    <w:rsid w:val="000A3FFE"/>
    <w:rsid w:val="000C024B"/>
    <w:rsid w:val="000C3AAA"/>
    <w:rsid w:val="000D7934"/>
    <w:rsid w:val="000E0911"/>
    <w:rsid w:val="000E31F3"/>
    <w:rsid w:val="000E4A70"/>
    <w:rsid w:val="001006A1"/>
    <w:rsid w:val="00101FB1"/>
    <w:rsid w:val="00102770"/>
    <w:rsid w:val="00104AD4"/>
    <w:rsid w:val="0012473C"/>
    <w:rsid w:val="0013132F"/>
    <w:rsid w:val="0013528C"/>
    <w:rsid w:val="001372E8"/>
    <w:rsid w:val="0014446B"/>
    <w:rsid w:val="00165D28"/>
    <w:rsid w:val="001705C1"/>
    <w:rsid w:val="00174D55"/>
    <w:rsid w:val="00175CD8"/>
    <w:rsid w:val="00176683"/>
    <w:rsid w:val="00182802"/>
    <w:rsid w:val="001872C7"/>
    <w:rsid w:val="001A3205"/>
    <w:rsid w:val="001A39CE"/>
    <w:rsid w:val="001B4A92"/>
    <w:rsid w:val="001C1C2E"/>
    <w:rsid w:val="001C4720"/>
    <w:rsid w:val="001C4AE2"/>
    <w:rsid w:val="001C7557"/>
    <w:rsid w:val="001E1224"/>
    <w:rsid w:val="001E1DC3"/>
    <w:rsid w:val="001E2B87"/>
    <w:rsid w:val="001E365A"/>
    <w:rsid w:val="001E6609"/>
    <w:rsid w:val="001F1C9D"/>
    <w:rsid w:val="001F32B1"/>
    <w:rsid w:val="0020369B"/>
    <w:rsid w:val="00207101"/>
    <w:rsid w:val="00211529"/>
    <w:rsid w:val="002152F6"/>
    <w:rsid w:val="00216C6D"/>
    <w:rsid w:val="00221427"/>
    <w:rsid w:val="002221A7"/>
    <w:rsid w:val="00226F39"/>
    <w:rsid w:val="0023309E"/>
    <w:rsid w:val="0023406D"/>
    <w:rsid w:val="002365DD"/>
    <w:rsid w:val="00241B60"/>
    <w:rsid w:val="002444E0"/>
    <w:rsid w:val="00246043"/>
    <w:rsid w:val="002670FE"/>
    <w:rsid w:val="00280D55"/>
    <w:rsid w:val="002846FB"/>
    <w:rsid w:val="00294DC1"/>
    <w:rsid w:val="00297C8A"/>
    <w:rsid w:val="002A67BA"/>
    <w:rsid w:val="002B16CF"/>
    <w:rsid w:val="002B5299"/>
    <w:rsid w:val="002C5E29"/>
    <w:rsid w:val="002D3808"/>
    <w:rsid w:val="002D493A"/>
    <w:rsid w:val="002D5274"/>
    <w:rsid w:val="002D6D06"/>
    <w:rsid w:val="002D7127"/>
    <w:rsid w:val="002E3156"/>
    <w:rsid w:val="002E56E7"/>
    <w:rsid w:val="002E77C5"/>
    <w:rsid w:val="002F5715"/>
    <w:rsid w:val="003008D8"/>
    <w:rsid w:val="00303959"/>
    <w:rsid w:val="0030621E"/>
    <w:rsid w:val="00312AC3"/>
    <w:rsid w:val="00314430"/>
    <w:rsid w:val="003154A3"/>
    <w:rsid w:val="00324B33"/>
    <w:rsid w:val="00343969"/>
    <w:rsid w:val="00346EC2"/>
    <w:rsid w:val="00350251"/>
    <w:rsid w:val="0035184F"/>
    <w:rsid w:val="0035444D"/>
    <w:rsid w:val="00381294"/>
    <w:rsid w:val="003824AF"/>
    <w:rsid w:val="0039407E"/>
    <w:rsid w:val="00394E12"/>
    <w:rsid w:val="00395140"/>
    <w:rsid w:val="003A5CCB"/>
    <w:rsid w:val="003B149C"/>
    <w:rsid w:val="003C21CB"/>
    <w:rsid w:val="003C309F"/>
    <w:rsid w:val="003C742E"/>
    <w:rsid w:val="003D71A1"/>
    <w:rsid w:val="003F02BE"/>
    <w:rsid w:val="00412470"/>
    <w:rsid w:val="0041688F"/>
    <w:rsid w:val="00422D8E"/>
    <w:rsid w:val="0042376F"/>
    <w:rsid w:val="004246B8"/>
    <w:rsid w:val="00424CAC"/>
    <w:rsid w:val="004301DC"/>
    <w:rsid w:val="00433318"/>
    <w:rsid w:val="00442E27"/>
    <w:rsid w:val="00453F5D"/>
    <w:rsid w:val="004569E6"/>
    <w:rsid w:val="0046573C"/>
    <w:rsid w:val="004749F5"/>
    <w:rsid w:val="00477C4E"/>
    <w:rsid w:val="00481F91"/>
    <w:rsid w:val="00491A55"/>
    <w:rsid w:val="00493725"/>
    <w:rsid w:val="00497DBD"/>
    <w:rsid w:val="004A3F56"/>
    <w:rsid w:val="004B01BB"/>
    <w:rsid w:val="004B3081"/>
    <w:rsid w:val="004B51B0"/>
    <w:rsid w:val="00516475"/>
    <w:rsid w:val="00522282"/>
    <w:rsid w:val="0053405E"/>
    <w:rsid w:val="0053571E"/>
    <w:rsid w:val="00535DFE"/>
    <w:rsid w:val="0054226B"/>
    <w:rsid w:val="00551F6B"/>
    <w:rsid w:val="005568F2"/>
    <w:rsid w:val="00562F42"/>
    <w:rsid w:val="0056766D"/>
    <w:rsid w:val="00574623"/>
    <w:rsid w:val="00575E9E"/>
    <w:rsid w:val="00576E31"/>
    <w:rsid w:val="005804B6"/>
    <w:rsid w:val="00585630"/>
    <w:rsid w:val="0058575E"/>
    <w:rsid w:val="0058783C"/>
    <w:rsid w:val="005911AE"/>
    <w:rsid w:val="0059313A"/>
    <w:rsid w:val="005969ED"/>
    <w:rsid w:val="005A36C7"/>
    <w:rsid w:val="005B023F"/>
    <w:rsid w:val="005B3304"/>
    <w:rsid w:val="005C5469"/>
    <w:rsid w:val="005C7616"/>
    <w:rsid w:val="005C7634"/>
    <w:rsid w:val="005D2089"/>
    <w:rsid w:val="005D3438"/>
    <w:rsid w:val="005D5809"/>
    <w:rsid w:val="005D7514"/>
    <w:rsid w:val="005E1A7B"/>
    <w:rsid w:val="005E3258"/>
    <w:rsid w:val="005E435C"/>
    <w:rsid w:val="005F021E"/>
    <w:rsid w:val="005F2136"/>
    <w:rsid w:val="005F7DC8"/>
    <w:rsid w:val="00617985"/>
    <w:rsid w:val="006277A1"/>
    <w:rsid w:val="006351D9"/>
    <w:rsid w:val="00637130"/>
    <w:rsid w:val="00637F0E"/>
    <w:rsid w:val="006423F2"/>
    <w:rsid w:val="00647E95"/>
    <w:rsid w:val="00661B29"/>
    <w:rsid w:val="00664DBE"/>
    <w:rsid w:val="0068581B"/>
    <w:rsid w:val="00686149"/>
    <w:rsid w:val="006907D5"/>
    <w:rsid w:val="00692CCD"/>
    <w:rsid w:val="006971D3"/>
    <w:rsid w:val="006A1F0B"/>
    <w:rsid w:val="006A277A"/>
    <w:rsid w:val="006A77CC"/>
    <w:rsid w:val="006B6782"/>
    <w:rsid w:val="006C1440"/>
    <w:rsid w:val="006D270A"/>
    <w:rsid w:val="006D6B44"/>
    <w:rsid w:val="006D7F18"/>
    <w:rsid w:val="006E37C5"/>
    <w:rsid w:val="007072A1"/>
    <w:rsid w:val="00710481"/>
    <w:rsid w:val="00710BC5"/>
    <w:rsid w:val="00710DFB"/>
    <w:rsid w:val="00715E81"/>
    <w:rsid w:val="00716A85"/>
    <w:rsid w:val="0072003B"/>
    <w:rsid w:val="00722317"/>
    <w:rsid w:val="007342A6"/>
    <w:rsid w:val="007357B9"/>
    <w:rsid w:val="00736637"/>
    <w:rsid w:val="00737660"/>
    <w:rsid w:val="007452E8"/>
    <w:rsid w:val="00746990"/>
    <w:rsid w:val="00750D70"/>
    <w:rsid w:val="00752727"/>
    <w:rsid w:val="007648BC"/>
    <w:rsid w:val="00766807"/>
    <w:rsid w:val="00771F0C"/>
    <w:rsid w:val="00792EAB"/>
    <w:rsid w:val="00793272"/>
    <w:rsid w:val="007979A0"/>
    <w:rsid w:val="007B04DE"/>
    <w:rsid w:val="007C4D5C"/>
    <w:rsid w:val="007C57BC"/>
    <w:rsid w:val="007D0354"/>
    <w:rsid w:val="007D4138"/>
    <w:rsid w:val="007E3135"/>
    <w:rsid w:val="007F0A77"/>
    <w:rsid w:val="007F0DD1"/>
    <w:rsid w:val="007F4CA7"/>
    <w:rsid w:val="007F50D3"/>
    <w:rsid w:val="007F64F8"/>
    <w:rsid w:val="007F6F29"/>
    <w:rsid w:val="00810D08"/>
    <w:rsid w:val="00812709"/>
    <w:rsid w:val="00817780"/>
    <w:rsid w:val="008211ED"/>
    <w:rsid w:val="0082482B"/>
    <w:rsid w:val="00824A01"/>
    <w:rsid w:val="00827784"/>
    <w:rsid w:val="008329DB"/>
    <w:rsid w:val="008361C5"/>
    <w:rsid w:val="0083628F"/>
    <w:rsid w:val="00837574"/>
    <w:rsid w:val="00837AB9"/>
    <w:rsid w:val="00844060"/>
    <w:rsid w:val="00850637"/>
    <w:rsid w:val="00854D98"/>
    <w:rsid w:val="00855311"/>
    <w:rsid w:val="00860485"/>
    <w:rsid w:val="00860B29"/>
    <w:rsid w:val="00860D51"/>
    <w:rsid w:val="00862B2B"/>
    <w:rsid w:val="00871B50"/>
    <w:rsid w:val="0087261C"/>
    <w:rsid w:val="008804CF"/>
    <w:rsid w:val="008964B3"/>
    <w:rsid w:val="008B65F4"/>
    <w:rsid w:val="008B754C"/>
    <w:rsid w:val="008C49C6"/>
    <w:rsid w:val="008C754C"/>
    <w:rsid w:val="008D0ED1"/>
    <w:rsid w:val="008D2E10"/>
    <w:rsid w:val="008D2EF7"/>
    <w:rsid w:val="008D6A54"/>
    <w:rsid w:val="008D7C69"/>
    <w:rsid w:val="008F13F1"/>
    <w:rsid w:val="00900C15"/>
    <w:rsid w:val="00900C90"/>
    <w:rsid w:val="0090271C"/>
    <w:rsid w:val="00904642"/>
    <w:rsid w:val="00904E1B"/>
    <w:rsid w:val="0090605E"/>
    <w:rsid w:val="009108CE"/>
    <w:rsid w:val="00911452"/>
    <w:rsid w:val="00915A9F"/>
    <w:rsid w:val="009237DB"/>
    <w:rsid w:val="0092510E"/>
    <w:rsid w:val="00930D58"/>
    <w:rsid w:val="0094599B"/>
    <w:rsid w:val="00966EF1"/>
    <w:rsid w:val="009700F9"/>
    <w:rsid w:val="009774AA"/>
    <w:rsid w:val="009809E2"/>
    <w:rsid w:val="0098350E"/>
    <w:rsid w:val="00996FA5"/>
    <w:rsid w:val="00997A73"/>
    <w:rsid w:val="00997DE1"/>
    <w:rsid w:val="009B2A8B"/>
    <w:rsid w:val="009B79E9"/>
    <w:rsid w:val="009C3B2B"/>
    <w:rsid w:val="009C6859"/>
    <w:rsid w:val="009E0664"/>
    <w:rsid w:val="009E3A33"/>
    <w:rsid w:val="009E6F8C"/>
    <w:rsid w:val="009F3CB4"/>
    <w:rsid w:val="009F4539"/>
    <w:rsid w:val="009F6CA8"/>
    <w:rsid w:val="00A008B9"/>
    <w:rsid w:val="00A01C56"/>
    <w:rsid w:val="00A03313"/>
    <w:rsid w:val="00A03774"/>
    <w:rsid w:val="00A05FF2"/>
    <w:rsid w:val="00A15352"/>
    <w:rsid w:val="00A15C0C"/>
    <w:rsid w:val="00A16189"/>
    <w:rsid w:val="00A22DCE"/>
    <w:rsid w:val="00A34545"/>
    <w:rsid w:val="00A358E7"/>
    <w:rsid w:val="00A439C3"/>
    <w:rsid w:val="00A43D72"/>
    <w:rsid w:val="00A47F9D"/>
    <w:rsid w:val="00A510D1"/>
    <w:rsid w:val="00A51A2D"/>
    <w:rsid w:val="00A52A06"/>
    <w:rsid w:val="00A53503"/>
    <w:rsid w:val="00A62EF5"/>
    <w:rsid w:val="00A63D9B"/>
    <w:rsid w:val="00A6489E"/>
    <w:rsid w:val="00A64A37"/>
    <w:rsid w:val="00A663AF"/>
    <w:rsid w:val="00A76EB7"/>
    <w:rsid w:val="00A85A35"/>
    <w:rsid w:val="00A93647"/>
    <w:rsid w:val="00A93DC6"/>
    <w:rsid w:val="00AB6B99"/>
    <w:rsid w:val="00AB76D0"/>
    <w:rsid w:val="00AB7CBF"/>
    <w:rsid w:val="00AC74E0"/>
    <w:rsid w:val="00AD2F31"/>
    <w:rsid w:val="00AE1947"/>
    <w:rsid w:val="00AE328B"/>
    <w:rsid w:val="00AE7409"/>
    <w:rsid w:val="00AF378E"/>
    <w:rsid w:val="00B046EA"/>
    <w:rsid w:val="00B1008B"/>
    <w:rsid w:val="00B23698"/>
    <w:rsid w:val="00B2387D"/>
    <w:rsid w:val="00B32335"/>
    <w:rsid w:val="00B46BC0"/>
    <w:rsid w:val="00B519F7"/>
    <w:rsid w:val="00B55681"/>
    <w:rsid w:val="00B832B1"/>
    <w:rsid w:val="00B941A1"/>
    <w:rsid w:val="00B94C17"/>
    <w:rsid w:val="00B967FF"/>
    <w:rsid w:val="00B97103"/>
    <w:rsid w:val="00BA298A"/>
    <w:rsid w:val="00BA4CA3"/>
    <w:rsid w:val="00BA7F7D"/>
    <w:rsid w:val="00BC24BA"/>
    <w:rsid w:val="00BC2AF2"/>
    <w:rsid w:val="00BD07DF"/>
    <w:rsid w:val="00BD5DBD"/>
    <w:rsid w:val="00BF4638"/>
    <w:rsid w:val="00C01B77"/>
    <w:rsid w:val="00C07551"/>
    <w:rsid w:val="00C22214"/>
    <w:rsid w:val="00C361C3"/>
    <w:rsid w:val="00C37777"/>
    <w:rsid w:val="00C407AB"/>
    <w:rsid w:val="00C47636"/>
    <w:rsid w:val="00C558E4"/>
    <w:rsid w:val="00C56E16"/>
    <w:rsid w:val="00C570FF"/>
    <w:rsid w:val="00C6574E"/>
    <w:rsid w:val="00C816C6"/>
    <w:rsid w:val="00C82B78"/>
    <w:rsid w:val="00C831CD"/>
    <w:rsid w:val="00C91005"/>
    <w:rsid w:val="00C929C4"/>
    <w:rsid w:val="00C93484"/>
    <w:rsid w:val="00C945D5"/>
    <w:rsid w:val="00CB0550"/>
    <w:rsid w:val="00CB76C4"/>
    <w:rsid w:val="00CE38D2"/>
    <w:rsid w:val="00CF6BBC"/>
    <w:rsid w:val="00D01B21"/>
    <w:rsid w:val="00D01DDB"/>
    <w:rsid w:val="00D03EE9"/>
    <w:rsid w:val="00D078BE"/>
    <w:rsid w:val="00D07EC6"/>
    <w:rsid w:val="00D10BAB"/>
    <w:rsid w:val="00D13F8A"/>
    <w:rsid w:val="00D25E3C"/>
    <w:rsid w:val="00D27AC7"/>
    <w:rsid w:val="00D27E10"/>
    <w:rsid w:val="00D30F6A"/>
    <w:rsid w:val="00D40A3F"/>
    <w:rsid w:val="00D509CA"/>
    <w:rsid w:val="00D523F9"/>
    <w:rsid w:val="00D55F64"/>
    <w:rsid w:val="00D62877"/>
    <w:rsid w:val="00D63760"/>
    <w:rsid w:val="00D64759"/>
    <w:rsid w:val="00D72C23"/>
    <w:rsid w:val="00D91801"/>
    <w:rsid w:val="00D918D5"/>
    <w:rsid w:val="00D935F3"/>
    <w:rsid w:val="00D942E4"/>
    <w:rsid w:val="00D94C8E"/>
    <w:rsid w:val="00DB192C"/>
    <w:rsid w:val="00DB1CF3"/>
    <w:rsid w:val="00DB5691"/>
    <w:rsid w:val="00DC0A46"/>
    <w:rsid w:val="00DC5553"/>
    <w:rsid w:val="00DD1912"/>
    <w:rsid w:val="00DE2144"/>
    <w:rsid w:val="00DF55B2"/>
    <w:rsid w:val="00DF5BFE"/>
    <w:rsid w:val="00E1345D"/>
    <w:rsid w:val="00E15923"/>
    <w:rsid w:val="00E365C8"/>
    <w:rsid w:val="00E415ED"/>
    <w:rsid w:val="00E47E0C"/>
    <w:rsid w:val="00E51813"/>
    <w:rsid w:val="00E53D3F"/>
    <w:rsid w:val="00E54FA8"/>
    <w:rsid w:val="00E552E4"/>
    <w:rsid w:val="00E5579B"/>
    <w:rsid w:val="00E56B21"/>
    <w:rsid w:val="00E60420"/>
    <w:rsid w:val="00E615D4"/>
    <w:rsid w:val="00E7388D"/>
    <w:rsid w:val="00E77BA3"/>
    <w:rsid w:val="00E952A9"/>
    <w:rsid w:val="00EA1D99"/>
    <w:rsid w:val="00EA3BDD"/>
    <w:rsid w:val="00EB32D8"/>
    <w:rsid w:val="00EB3FCF"/>
    <w:rsid w:val="00EB7395"/>
    <w:rsid w:val="00EC3DFB"/>
    <w:rsid w:val="00EF4C78"/>
    <w:rsid w:val="00EF740D"/>
    <w:rsid w:val="00EF7C9B"/>
    <w:rsid w:val="00F014D8"/>
    <w:rsid w:val="00F020A2"/>
    <w:rsid w:val="00F02AEC"/>
    <w:rsid w:val="00F157FC"/>
    <w:rsid w:val="00F26B4F"/>
    <w:rsid w:val="00F27F2E"/>
    <w:rsid w:val="00F30AF3"/>
    <w:rsid w:val="00F3141E"/>
    <w:rsid w:val="00F34A77"/>
    <w:rsid w:val="00F40587"/>
    <w:rsid w:val="00F444AA"/>
    <w:rsid w:val="00F63EA4"/>
    <w:rsid w:val="00F657B4"/>
    <w:rsid w:val="00F65972"/>
    <w:rsid w:val="00F755B0"/>
    <w:rsid w:val="00F85AE0"/>
    <w:rsid w:val="00F865A7"/>
    <w:rsid w:val="00FA0754"/>
    <w:rsid w:val="00FA1BC9"/>
    <w:rsid w:val="00FA49C3"/>
    <w:rsid w:val="00FB236E"/>
    <w:rsid w:val="00FC30FC"/>
    <w:rsid w:val="00FC6F56"/>
    <w:rsid w:val="00FE087C"/>
    <w:rsid w:val="00FF42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C4C024"/>
  <w15:chartTrackingRefBased/>
  <w15:docId w15:val="{3B7A0CE6-F5BB-4D40-8ED5-1531A62F0C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AU" w:eastAsia="en-US" w:bidi="ar-SA"/>
      </w:rPr>
    </w:rPrDefault>
    <w:pPrDefault>
      <w:pPr>
        <w:spacing w:after="12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B149C"/>
    <w:rPr>
      <w:rFonts w:ascii="Cambria" w:hAnsi="Cambria"/>
      <w:sz w:val="22"/>
    </w:rPr>
  </w:style>
  <w:style w:type="paragraph" w:styleId="Heading1">
    <w:name w:val="heading 1"/>
    <w:basedOn w:val="Heading2"/>
    <w:next w:val="Normal"/>
    <w:link w:val="Heading1Char"/>
    <w:qFormat/>
    <w:rsid w:val="005E435C"/>
    <w:pPr>
      <w:spacing w:before="120" w:after="360"/>
      <w:outlineLvl w:val="0"/>
    </w:pPr>
    <w:rPr>
      <w:rFonts w:asciiTheme="majorHAnsi" w:hAnsiTheme="majorHAnsi" w:cstheme="majorHAnsi"/>
      <w:color w:val="auto"/>
      <w:sz w:val="64"/>
      <w:szCs w:val="64"/>
    </w:rPr>
  </w:style>
  <w:style w:type="paragraph" w:styleId="Heading2">
    <w:name w:val="heading 2"/>
    <w:basedOn w:val="Normal"/>
    <w:next w:val="Normal"/>
    <w:link w:val="Heading2Char"/>
    <w:qFormat/>
    <w:rsid w:val="00F02AEC"/>
    <w:pPr>
      <w:keepNext/>
      <w:keepLines/>
      <w:spacing w:before="480" w:line="240" w:lineRule="atLeast"/>
      <w:outlineLvl w:val="1"/>
    </w:pPr>
    <w:rPr>
      <w:rFonts w:ascii="Arial" w:eastAsia="Times New Roman" w:hAnsi="Arial" w:cs="Times New Roman"/>
      <w:b/>
      <w:bCs/>
      <w:color w:val="001871"/>
      <w:sz w:val="38"/>
      <w:szCs w:val="38"/>
    </w:rPr>
  </w:style>
  <w:style w:type="paragraph" w:styleId="Heading3">
    <w:name w:val="heading 3"/>
    <w:basedOn w:val="Normal"/>
    <w:next w:val="Normal"/>
    <w:link w:val="Heading3Char"/>
    <w:qFormat/>
    <w:rsid w:val="00F02AEC"/>
    <w:pPr>
      <w:keepNext/>
      <w:keepLines/>
      <w:spacing w:before="480" w:line="240" w:lineRule="atLeast"/>
      <w:outlineLvl w:val="2"/>
    </w:pPr>
    <w:rPr>
      <w:rFonts w:ascii="Arial" w:eastAsia="Times New Roman" w:hAnsi="Arial" w:cs="Times New Roman"/>
      <w:b/>
      <w:bCs/>
      <w:color w:val="001871"/>
      <w:sz w:val="32"/>
      <w:szCs w:val="32"/>
    </w:rPr>
  </w:style>
  <w:style w:type="paragraph" w:styleId="Heading4">
    <w:name w:val="heading 4"/>
    <w:basedOn w:val="Normal"/>
    <w:next w:val="Normal"/>
    <w:link w:val="Heading4Char"/>
    <w:qFormat/>
    <w:rsid w:val="00F02AEC"/>
    <w:pPr>
      <w:keepNext/>
      <w:keepLines/>
      <w:spacing w:before="360" w:line="240" w:lineRule="atLeast"/>
      <w:outlineLvl w:val="3"/>
    </w:pPr>
    <w:rPr>
      <w:rFonts w:ascii="Arial" w:eastAsia="Cambria" w:hAnsi="Arial" w:cs="Times New Roman"/>
      <w:b/>
      <w:bCs/>
      <w:color w:val="001871"/>
      <w:sz w:val="28"/>
      <w:szCs w:val="26"/>
    </w:rPr>
  </w:style>
  <w:style w:type="paragraph" w:styleId="Heading5">
    <w:name w:val="heading 5"/>
    <w:basedOn w:val="Normal"/>
    <w:next w:val="Normal"/>
    <w:link w:val="Heading5Char"/>
    <w:uiPriority w:val="9"/>
    <w:qFormat/>
    <w:rsid w:val="00F02AEC"/>
    <w:pPr>
      <w:keepNext/>
      <w:keepLines/>
      <w:spacing w:before="240" w:line="240" w:lineRule="atLeast"/>
      <w:outlineLvl w:val="4"/>
    </w:pPr>
    <w:rPr>
      <w:rFonts w:ascii="Arial" w:eastAsia="Times New Roman" w:hAnsi="Arial" w:cs="Times New Roman"/>
      <w:b/>
      <w:bCs/>
      <w:i/>
      <w:color w:val="001871"/>
      <w:sz w:val="26"/>
      <w:szCs w:val="26"/>
    </w:rPr>
  </w:style>
  <w:style w:type="paragraph" w:styleId="Heading6">
    <w:name w:val="heading 6"/>
    <w:basedOn w:val="Normal"/>
    <w:next w:val="Normal"/>
    <w:link w:val="Heading6Char"/>
    <w:uiPriority w:val="9"/>
    <w:qFormat/>
    <w:rsid w:val="00F02AEC"/>
    <w:pPr>
      <w:keepNext/>
      <w:keepLines/>
      <w:spacing w:before="240" w:line="240" w:lineRule="atLeast"/>
      <w:outlineLvl w:val="5"/>
    </w:pPr>
    <w:rPr>
      <w:rFonts w:ascii="Arial" w:eastAsia="Times New Roman" w:hAnsi="Arial" w:cs="Times New Roman"/>
      <w:b/>
      <w:bCs/>
      <w:i/>
      <w:color w:val="001871"/>
      <w:sz w:val="24"/>
      <w:szCs w:val="21"/>
    </w:rPr>
  </w:style>
  <w:style w:type="paragraph" w:styleId="Heading7">
    <w:name w:val="heading 7"/>
    <w:basedOn w:val="Normal"/>
    <w:next w:val="Normal"/>
    <w:link w:val="Heading7Char"/>
    <w:uiPriority w:val="9"/>
    <w:qFormat/>
    <w:rsid w:val="003824AF"/>
    <w:pPr>
      <w:keepNext/>
      <w:spacing w:before="120" w:after="60" w:line="180" w:lineRule="atLeast"/>
      <w:outlineLvl w:val="6"/>
    </w:pPr>
    <w:rPr>
      <w:rFonts w:eastAsia="Times New Roman" w:cs="Times New Roman"/>
      <w:b/>
      <w:bCs/>
      <w:sz w:val="20"/>
      <w:szCs w:val="24"/>
    </w:rPr>
  </w:style>
  <w:style w:type="paragraph" w:styleId="Heading8">
    <w:name w:val="heading 8"/>
    <w:basedOn w:val="Normal"/>
    <w:next w:val="Normal"/>
    <w:link w:val="Heading8Char"/>
    <w:uiPriority w:val="9"/>
    <w:unhideWhenUsed/>
    <w:qFormat/>
    <w:rsid w:val="00497DBD"/>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unhideWhenUsed/>
    <w:qFormat/>
    <w:rsid w:val="00B941A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TGAblue2023">
    <w:name w:val="Table TGA blue 2023"/>
    <w:basedOn w:val="TableNormal"/>
    <w:uiPriority w:val="99"/>
    <w:qFormat/>
    <w:rsid w:val="008329DB"/>
    <w:pPr>
      <w:spacing w:before="80" w:after="40" w:line="264" w:lineRule="auto"/>
      <w:ind w:left="113"/>
    </w:pPr>
    <w:rPr>
      <w:rFonts w:ascii="Arial" w:eastAsia="Cambria" w:hAnsi="Arial" w:cs="Times New Roman"/>
      <w:color w:val="000000"/>
      <w:sz w:val="18"/>
      <w:szCs w:val="21"/>
      <w:lang w:eastAsia="en-AU"/>
    </w:rPr>
    <w:tblPr>
      <w:tblBorders>
        <w:top w:val="single" w:sz="4" w:space="0" w:color="263287"/>
        <w:left w:val="single" w:sz="4" w:space="0" w:color="263287"/>
        <w:bottom w:val="single" w:sz="4" w:space="0" w:color="263287"/>
        <w:right w:val="single" w:sz="4" w:space="0" w:color="263287"/>
        <w:insideH w:val="single" w:sz="4" w:space="0" w:color="263287"/>
        <w:insideV w:val="single" w:sz="4" w:space="0" w:color="263287"/>
      </w:tblBorders>
    </w:tblPr>
    <w:trPr>
      <w:cantSplit/>
    </w:trPr>
    <w:tcPr>
      <w:shd w:val="clear" w:color="auto" w:fill="FFFFFF" w:themeFill="background1"/>
    </w:tcPr>
    <w:tblStylePr w:type="firstRow">
      <w:pPr>
        <w:keepNext/>
        <w:wordWrap/>
      </w:pPr>
      <w:rPr>
        <w:rFonts w:ascii="Arial" w:hAnsi="Arial"/>
        <w:b/>
        <w:color w:val="263287"/>
        <w:sz w:val="22"/>
      </w:rPr>
      <w:tblPr/>
      <w:trPr>
        <w:tblHeader/>
      </w:trPr>
      <w:tcPr>
        <w:shd w:val="clear" w:color="auto" w:fill="DEEAF6" w:themeFill="accent5" w:themeFillTint="33"/>
      </w:tcPr>
    </w:tblStylePr>
    <w:tblStylePr w:type="firstCol">
      <w:pPr>
        <w:keepNext w:val="0"/>
        <w:wordWrap/>
      </w:pPr>
    </w:tblStylePr>
  </w:style>
  <w:style w:type="character" w:customStyle="1" w:styleId="Heading2Char">
    <w:name w:val="Heading 2 Char"/>
    <w:basedOn w:val="DefaultParagraphFont"/>
    <w:link w:val="Heading2"/>
    <w:rsid w:val="00F02AEC"/>
    <w:rPr>
      <w:rFonts w:ascii="Arial" w:eastAsia="Times New Roman" w:hAnsi="Arial" w:cs="Times New Roman"/>
      <w:b/>
      <w:bCs/>
      <w:color w:val="001871"/>
      <w:sz w:val="38"/>
      <w:szCs w:val="38"/>
    </w:rPr>
  </w:style>
  <w:style w:type="character" w:customStyle="1" w:styleId="Heading3Char">
    <w:name w:val="Heading 3 Char"/>
    <w:basedOn w:val="DefaultParagraphFont"/>
    <w:link w:val="Heading3"/>
    <w:rsid w:val="00F02AEC"/>
    <w:rPr>
      <w:rFonts w:ascii="Arial" w:eastAsia="Times New Roman" w:hAnsi="Arial" w:cs="Times New Roman"/>
      <w:b/>
      <w:bCs/>
      <w:color w:val="001871"/>
      <w:sz w:val="32"/>
      <w:szCs w:val="32"/>
    </w:rPr>
  </w:style>
  <w:style w:type="character" w:customStyle="1" w:styleId="Heading4Char">
    <w:name w:val="Heading 4 Char"/>
    <w:basedOn w:val="DefaultParagraphFont"/>
    <w:link w:val="Heading4"/>
    <w:rsid w:val="00F02AEC"/>
    <w:rPr>
      <w:rFonts w:ascii="Arial" w:eastAsia="Cambria" w:hAnsi="Arial" w:cs="Times New Roman"/>
      <w:b/>
      <w:bCs/>
      <w:color w:val="001871"/>
      <w:sz w:val="28"/>
      <w:szCs w:val="26"/>
    </w:rPr>
  </w:style>
  <w:style w:type="character" w:customStyle="1" w:styleId="Heading5Char">
    <w:name w:val="Heading 5 Char"/>
    <w:basedOn w:val="DefaultParagraphFont"/>
    <w:link w:val="Heading5"/>
    <w:uiPriority w:val="9"/>
    <w:rsid w:val="00F02AEC"/>
    <w:rPr>
      <w:rFonts w:ascii="Arial" w:eastAsia="Times New Roman" w:hAnsi="Arial" w:cs="Times New Roman"/>
      <w:b/>
      <w:bCs/>
      <w:i/>
      <w:color w:val="001871"/>
      <w:sz w:val="26"/>
      <w:szCs w:val="26"/>
    </w:rPr>
  </w:style>
  <w:style w:type="character" w:customStyle="1" w:styleId="Heading6Char">
    <w:name w:val="Heading 6 Char"/>
    <w:basedOn w:val="DefaultParagraphFont"/>
    <w:link w:val="Heading6"/>
    <w:uiPriority w:val="9"/>
    <w:rsid w:val="00F02AEC"/>
    <w:rPr>
      <w:rFonts w:ascii="Arial" w:eastAsia="Times New Roman" w:hAnsi="Arial" w:cs="Times New Roman"/>
      <w:b/>
      <w:bCs/>
      <w:i/>
      <w:color w:val="001871"/>
      <w:sz w:val="24"/>
      <w:szCs w:val="21"/>
    </w:rPr>
  </w:style>
  <w:style w:type="paragraph" w:styleId="Date">
    <w:name w:val="Date"/>
    <w:basedOn w:val="Normal"/>
    <w:next w:val="Normal"/>
    <w:link w:val="DateChar"/>
    <w:uiPriority w:val="99"/>
    <w:rsid w:val="00F02AEC"/>
    <w:pPr>
      <w:spacing w:before="120" w:after="0" w:line="240" w:lineRule="atLeast"/>
    </w:pPr>
    <w:rPr>
      <w:rFonts w:ascii="Arial" w:eastAsia="Cambria" w:hAnsi="Arial" w:cs="Times New Roman"/>
      <w:color w:val="333F4A"/>
      <w:sz w:val="28"/>
    </w:rPr>
  </w:style>
  <w:style w:type="character" w:customStyle="1" w:styleId="DateChar">
    <w:name w:val="Date Char"/>
    <w:basedOn w:val="DefaultParagraphFont"/>
    <w:link w:val="Date"/>
    <w:uiPriority w:val="99"/>
    <w:rsid w:val="00F02AEC"/>
    <w:rPr>
      <w:rFonts w:ascii="Arial" w:eastAsia="Cambria" w:hAnsi="Arial" w:cs="Times New Roman"/>
      <w:color w:val="333F4A"/>
      <w:sz w:val="28"/>
      <w:szCs w:val="20"/>
    </w:rPr>
  </w:style>
  <w:style w:type="paragraph" w:styleId="Footer">
    <w:name w:val="footer"/>
    <w:basedOn w:val="Normal"/>
    <w:link w:val="FooterChar"/>
    <w:uiPriority w:val="99"/>
    <w:qFormat/>
    <w:rsid w:val="0056766D"/>
    <w:pPr>
      <w:tabs>
        <w:tab w:val="center" w:pos="4513"/>
        <w:tab w:val="right" w:pos="9026"/>
      </w:tabs>
      <w:spacing w:after="0" w:line="240" w:lineRule="auto"/>
    </w:pPr>
    <w:rPr>
      <w:rFonts w:eastAsia="Cambria" w:cs="Times New Roman"/>
      <w:color w:val="333F4A"/>
      <w:sz w:val="17"/>
    </w:rPr>
  </w:style>
  <w:style w:type="character" w:customStyle="1" w:styleId="FooterChar">
    <w:name w:val="Footer Char"/>
    <w:basedOn w:val="DefaultParagraphFont"/>
    <w:link w:val="Footer"/>
    <w:uiPriority w:val="99"/>
    <w:rsid w:val="0056766D"/>
    <w:rPr>
      <w:rFonts w:ascii="Cambria" w:eastAsia="Cambria" w:hAnsi="Cambria" w:cs="Times New Roman"/>
      <w:color w:val="333F4A"/>
      <w:sz w:val="17"/>
    </w:rPr>
  </w:style>
  <w:style w:type="paragraph" w:styleId="Header">
    <w:name w:val="header"/>
    <w:basedOn w:val="Normal"/>
    <w:link w:val="HeaderChar"/>
    <w:rsid w:val="00F02AEC"/>
    <w:pPr>
      <w:pBdr>
        <w:bottom w:val="single" w:sz="4" w:space="3" w:color="auto"/>
      </w:pBdr>
      <w:tabs>
        <w:tab w:val="center" w:pos="4513"/>
        <w:tab w:val="right" w:pos="9026"/>
      </w:tabs>
      <w:spacing w:after="0" w:line="240" w:lineRule="auto"/>
      <w:jc w:val="right"/>
    </w:pPr>
    <w:rPr>
      <w:rFonts w:ascii="Arial" w:eastAsia="Cambria" w:hAnsi="Arial" w:cs="Times New Roman"/>
      <w:color w:val="333F4A"/>
      <w:sz w:val="17"/>
    </w:rPr>
  </w:style>
  <w:style w:type="character" w:customStyle="1" w:styleId="HeaderChar">
    <w:name w:val="Header Char"/>
    <w:basedOn w:val="DefaultParagraphFont"/>
    <w:link w:val="Header"/>
    <w:rsid w:val="00F02AEC"/>
    <w:rPr>
      <w:rFonts w:ascii="Arial" w:eastAsia="Cambria" w:hAnsi="Arial" w:cs="Times New Roman"/>
      <w:color w:val="333F4A"/>
      <w:sz w:val="17"/>
      <w:szCs w:val="20"/>
    </w:rPr>
  </w:style>
  <w:style w:type="character" w:styleId="Hyperlink">
    <w:name w:val="Hyperlink"/>
    <w:basedOn w:val="DefaultParagraphFont"/>
    <w:uiPriority w:val="99"/>
    <w:unhideWhenUsed/>
    <w:rsid w:val="0056766D"/>
    <w:rPr>
      <w:rFonts w:ascii="Cambria" w:hAnsi="Cambria"/>
      <w:color w:val="0000FF"/>
      <w:u w:val="single"/>
    </w:rPr>
  </w:style>
  <w:style w:type="paragraph" w:customStyle="1" w:styleId="LegalCopy">
    <w:name w:val="Legal Copy"/>
    <w:basedOn w:val="Footer"/>
    <w:qFormat/>
    <w:rsid w:val="0056766D"/>
  </w:style>
  <w:style w:type="paragraph" w:customStyle="1" w:styleId="LegalSubheading">
    <w:name w:val="Legal Subheading"/>
    <w:basedOn w:val="Footer"/>
    <w:qFormat/>
    <w:rsid w:val="0056766D"/>
    <w:pPr>
      <w:outlineLvl w:val="1"/>
    </w:pPr>
    <w:rPr>
      <w:b/>
    </w:rPr>
  </w:style>
  <w:style w:type="paragraph" w:styleId="ListBullet">
    <w:name w:val="List Bullet"/>
    <w:basedOn w:val="Normal"/>
    <w:uiPriority w:val="99"/>
    <w:qFormat/>
    <w:rsid w:val="00FC6F56"/>
    <w:pPr>
      <w:numPr>
        <w:numId w:val="1"/>
      </w:numPr>
      <w:spacing w:before="120" w:after="180" w:line="240" w:lineRule="atLeast"/>
    </w:pPr>
    <w:rPr>
      <w:rFonts w:eastAsia="Cambria" w:cs="Times New Roman"/>
      <w:color w:val="000000" w:themeColor="text1"/>
    </w:rPr>
  </w:style>
  <w:style w:type="paragraph" w:styleId="ListBullet2">
    <w:name w:val="List Bullet 2"/>
    <w:basedOn w:val="Normal"/>
    <w:uiPriority w:val="99"/>
    <w:qFormat/>
    <w:rsid w:val="00FC6F56"/>
    <w:pPr>
      <w:numPr>
        <w:ilvl w:val="1"/>
        <w:numId w:val="1"/>
      </w:numPr>
      <w:spacing w:before="120" w:after="180" w:line="240" w:lineRule="atLeast"/>
      <w:ind w:left="850" w:hanging="425"/>
    </w:pPr>
    <w:rPr>
      <w:rFonts w:eastAsia="Cambria" w:cs="Times New Roman"/>
      <w:color w:val="000000" w:themeColor="text1"/>
    </w:rPr>
  </w:style>
  <w:style w:type="paragraph" w:styleId="ListBullet3">
    <w:name w:val="List Bullet 3"/>
    <w:basedOn w:val="Normal"/>
    <w:uiPriority w:val="99"/>
    <w:qFormat/>
    <w:rsid w:val="00FC6F56"/>
    <w:pPr>
      <w:numPr>
        <w:numId w:val="3"/>
      </w:numPr>
      <w:spacing w:before="120" w:after="180" w:line="240" w:lineRule="atLeast"/>
      <w:ind w:left="1276" w:hanging="425"/>
    </w:pPr>
    <w:rPr>
      <w:rFonts w:eastAsia="Cambria" w:cs="Times New Roman"/>
    </w:rPr>
  </w:style>
  <w:style w:type="numbering" w:customStyle="1" w:styleId="ListBullets">
    <w:name w:val="ListBullets"/>
    <w:uiPriority w:val="99"/>
    <w:locked/>
    <w:rsid w:val="00F02AEC"/>
    <w:pPr>
      <w:numPr>
        <w:numId w:val="1"/>
      </w:numPr>
    </w:pPr>
  </w:style>
  <w:style w:type="paragraph" w:customStyle="1" w:styleId="Numberbullet0">
    <w:name w:val="Number bullet"/>
    <w:basedOn w:val="ListBullet"/>
    <w:qFormat/>
    <w:rsid w:val="00FC6F56"/>
    <w:pPr>
      <w:numPr>
        <w:numId w:val="2"/>
      </w:numPr>
    </w:pPr>
  </w:style>
  <w:style w:type="paragraph" w:customStyle="1" w:styleId="Numberbullet2">
    <w:name w:val="Number bullet 2"/>
    <w:basedOn w:val="ListBullet2"/>
    <w:qFormat/>
    <w:rsid w:val="00F02AEC"/>
    <w:pPr>
      <w:numPr>
        <w:numId w:val="2"/>
      </w:numPr>
      <w:ind w:left="850" w:hanging="425"/>
    </w:pPr>
  </w:style>
  <w:style w:type="paragraph" w:customStyle="1" w:styleId="Numberbullet3">
    <w:name w:val="Number bullet 3"/>
    <w:basedOn w:val="Normal"/>
    <w:qFormat/>
    <w:rsid w:val="00F02AEC"/>
    <w:pPr>
      <w:numPr>
        <w:numId w:val="4"/>
      </w:numPr>
      <w:spacing w:before="120" w:after="180" w:line="240" w:lineRule="atLeast"/>
      <w:ind w:left="1361" w:hanging="397"/>
    </w:pPr>
    <w:rPr>
      <w:rFonts w:ascii="Arial" w:eastAsia="Cambria" w:hAnsi="Arial" w:cs="Times New Roman"/>
      <w:color w:val="333F48"/>
    </w:rPr>
  </w:style>
  <w:style w:type="numbering" w:customStyle="1" w:styleId="NumberBullet">
    <w:name w:val="NumberBullet"/>
    <w:uiPriority w:val="99"/>
    <w:locked/>
    <w:rsid w:val="00F02AEC"/>
    <w:pPr>
      <w:numPr>
        <w:numId w:val="2"/>
      </w:numPr>
    </w:pPr>
  </w:style>
  <w:style w:type="paragraph" w:styleId="Subtitle">
    <w:name w:val="Subtitle"/>
    <w:basedOn w:val="Normal"/>
    <w:link w:val="SubtitleChar"/>
    <w:uiPriority w:val="11"/>
    <w:rsid w:val="00F02AEC"/>
    <w:pPr>
      <w:numPr>
        <w:ilvl w:val="1"/>
      </w:numPr>
      <w:spacing w:after="0" w:line="240" w:lineRule="atLeast"/>
      <w:ind w:left="170"/>
    </w:pPr>
    <w:rPr>
      <w:rFonts w:ascii="Arial" w:eastAsia="Times New Roman" w:hAnsi="Arial" w:cs="Times New Roman"/>
      <w:bCs/>
      <w:iCs/>
      <w:color w:val="006BA6"/>
      <w:sz w:val="40"/>
      <w:szCs w:val="24"/>
    </w:rPr>
  </w:style>
  <w:style w:type="character" w:customStyle="1" w:styleId="SubtitleChar">
    <w:name w:val="Subtitle Char"/>
    <w:basedOn w:val="DefaultParagraphFont"/>
    <w:link w:val="Subtitle"/>
    <w:uiPriority w:val="11"/>
    <w:rsid w:val="00F02AEC"/>
    <w:rPr>
      <w:rFonts w:ascii="Arial" w:eastAsia="Times New Roman" w:hAnsi="Arial" w:cs="Times New Roman"/>
      <w:bCs/>
      <w:iCs/>
      <w:color w:val="006BA6"/>
      <w:sz w:val="40"/>
      <w:szCs w:val="24"/>
    </w:rPr>
  </w:style>
  <w:style w:type="table" w:styleId="TableGrid">
    <w:name w:val="Table Grid"/>
    <w:basedOn w:val="TableNormal"/>
    <w:uiPriority w:val="39"/>
    <w:rsid w:val="00F02AEC"/>
    <w:pPr>
      <w:spacing w:after="0" w:line="240" w:lineRule="auto"/>
    </w:pPr>
    <w:rPr>
      <w:rFonts w:ascii="Cambria" w:eastAsia="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GASignoff">
    <w:name w:val="TGA Signoff"/>
    <w:basedOn w:val="Normal"/>
    <w:qFormat/>
    <w:rsid w:val="00F02AEC"/>
    <w:pPr>
      <w:spacing w:before="120" w:after="360" w:line="240" w:lineRule="atLeast"/>
      <w:jc w:val="center"/>
    </w:pPr>
    <w:rPr>
      <w:rFonts w:ascii="Arial" w:eastAsia="Cambria" w:hAnsi="Arial" w:cs="Times New Roman"/>
      <w:b/>
      <w:color w:val="333F48"/>
      <w:sz w:val="28"/>
    </w:rPr>
  </w:style>
  <w:style w:type="paragraph" w:styleId="Title">
    <w:name w:val="Title"/>
    <w:link w:val="TitleChar"/>
    <w:uiPriority w:val="10"/>
    <w:rsid w:val="00F02AEC"/>
    <w:pPr>
      <w:spacing w:line="240" w:lineRule="auto"/>
      <w:contextualSpacing/>
      <w:outlineLvl w:val="0"/>
    </w:pPr>
    <w:rPr>
      <w:rFonts w:ascii="Arial" w:eastAsia="Times New Roman" w:hAnsi="Arial" w:cs="Times New Roman"/>
      <w:color w:val="001871"/>
      <w:spacing w:val="5"/>
      <w:kern w:val="28"/>
      <w:sz w:val="52"/>
      <w:szCs w:val="52"/>
    </w:rPr>
  </w:style>
  <w:style w:type="character" w:customStyle="1" w:styleId="TitleChar">
    <w:name w:val="Title Char"/>
    <w:basedOn w:val="DefaultParagraphFont"/>
    <w:link w:val="Title"/>
    <w:uiPriority w:val="10"/>
    <w:rsid w:val="00F02AEC"/>
    <w:rPr>
      <w:rFonts w:ascii="Arial" w:eastAsia="Times New Roman" w:hAnsi="Arial" w:cs="Times New Roman"/>
      <w:color w:val="001871"/>
      <w:spacing w:val="5"/>
      <w:kern w:val="28"/>
      <w:sz w:val="52"/>
      <w:szCs w:val="52"/>
    </w:rPr>
  </w:style>
  <w:style w:type="paragraph" w:styleId="TOC1">
    <w:name w:val="toc 1"/>
    <w:basedOn w:val="Normal"/>
    <w:next w:val="Normal"/>
    <w:uiPriority w:val="39"/>
    <w:unhideWhenUsed/>
    <w:rsid w:val="00F02AEC"/>
    <w:pPr>
      <w:keepNext/>
      <w:keepLines/>
      <w:tabs>
        <w:tab w:val="right" w:leader="underscore" w:pos="8505"/>
      </w:tabs>
      <w:spacing w:before="120" w:after="200" w:line="240" w:lineRule="atLeast"/>
    </w:pPr>
    <w:rPr>
      <w:rFonts w:ascii="Arial" w:eastAsia="Cambria" w:hAnsi="Arial" w:cs="Times New Roman"/>
      <w:b/>
      <w:color w:val="333F48"/>
      <w:sz w:val="32"/>
    </w:rPr>
  </w:style>
  <w:style w:type="paragraph" w:styleId="TOC2">
    <w:name w:val="toc 2"/>
    <w:basedOn w:val="Normal"/>
    <w:next w:val="Normal"/>
    <w:uiPriority w:val="39"/>
    <w:unhideWhenUsed/>
    <w:rsid w:val="00F02AEC"/>
    <w:pPr>
      <w:keepNext/>
      <w:keepLines/>
      <w:tabs>
        <w:tab w:val="right" w:leader="underscore" w:pos="8505"/>
      </w:tabs>
      <w:spacing w:before="120" w:after="100" w:line="240" w:lineRule="atLeast"/>
      <w:ind w:left="425"/>
    </w:pPr>
    <w:rPr>
      <w:rFonts w:ascii="Arial" w:eastAsia="Cambria" w:hAnsi="Arial" w:cs="Times New Roman"/>
      <w:b/>
      <w:color w:val="333F48"/>
      <w:sz w:val="25"/>
    </w:rPr>
  </w:style>
  <w:style w:type="paragraph" w:styleId="TOC3">
    <w:name w:val="toc 3"/>
    <w:basedOn w:val="Normal"/>
    <w:next w:val="Normal"/>
    <w:uiPriority w:val="39"/>
    <w:unhideWhenUsed/>
    <w:rsid w:val="00F02AEC"/>
    <w:pPr>
      <w:keepNext/>
      <w:keepLines/>
      <w:tabs>
        <w:tab w:val="right" w:leader="hyphen" w:pos="8505"/>
      </w:tabs>
      <w:spacing w:before="120" w:after="100" w:line="240" w:lineRule="atLeast"/>
      <w:ind w:left="851"/>
    </w:pPr>
    <w:rPr>
      <w:rFonts w:ascii="Arial" w:eastAsia="Cambria" w:hAnsi="Arial" w:cs="Times New Roman"/>
      <w:b/>
      <w:color w:val="333F48"/>
    </w:rPr>
  </w:style>
  <w:style w:type="paragraph" w:styleId="FootnoteText">
    <w:name w:val="footnote text"/>
    <w:basedOn w:val="Normal"/>
    <w:link w:val="FootnoteTextChar"/>
    <w:uiPriority w:val="99"/>
    <w:qFormat/>
    <w:rsid w:val="00FE087C"/>
    <w:pPr>
      <w:keepLines/>
      <w:spacing w:after="0" w:line="240" w:lineRule="atLeast"/>
    </w:pPr>
    <w:rPr>
      <w:rFonts w:eastAsia="Cambria" w:cs="Times New Roman"/>
      <w:color w:val="333F48"/>
      <w:sz w:val="17"/>
    </w:rPr>
  </w:style>
  <w:style w:type="character" w:customStyle="1" w:styleId="FootnoteTextChar">
    <w:name w:val="Footnote Text Char"/>
    <w:basedOn w:val="DefaultParagraphFont"/>
    <w:link w:val="FootnoteText"/>
    <w:uiPriority w:val="99"/>
    <w:rsid w:val="00FE087C"/>
    <w:rPr>
      <w:rFonts w:ascii="Cambria" w:eastAsia="Cambria" w:hAnsi="Cambria" w:cs="Times New Roman"/>
      <w:color w:val="333F48"/>
      <w:sz w:val="17"/>
    </w:rPr>
  </w:style>
  <w:style w:type="character" w:styleId="FootnoteReference">
    <w:name w:val="footnote reference"/>
    <w:basedOn w:val="DefaultParagraphFont"/>
    <w:semiHidden/>
    <w:unhideWhenUsed/>
    <w:rsid w:val="00F02AEC"/>
    <w:rPr>
      <w:vertAlign w:val="superscript"/>
    </w:rPr>
  </w:style>
  <w:style w:type="paragraph" w:customStyle="1" w:styleId="NonTOCheading2">
    <w:name w:val="Non TOC heading 2"/>
    <w:basedOn w:val="Normal"/>
    <w:next w:val="Normal"/>
    <w:rsid w:val="00F02AEC"/>
    <w:pPr>
      <w:keepNext/>
      <w:keepLines/>
      <w:pageBreakBefore/>
      <w:spacing w:after="180" w:line="240" w:lineRule="atLeast"/>
      <w:outlineLvl w:val="1"/>
    </w:pPr>
    <w:rPr>
      <w:rFonts w:ascii="Arial" w:eastAsia="Cambria" w:hAnsi="Arial" w:cs="Times New Roman"/>
      <w:b/>
      <w:color w:val="001871"/>
      <w:sz w:val="38"/>
    </w:rPr>
  </w:style>
  <w:style w:type="paragraph" w:customStyle="1" w:styleId="Headernoline">
    <w:name w:val="Header no line"/>
    <w:basedOn w:val="Header"/>
    <w:rsid w:val="00F02AEC"/>
    <w:pPr>
      <w:pBdr>
        <w:bottom w:val="none" w:sz="0" w:space="0" w:color="auto"/>
      </w:pBdr>
      <w:spacing w:line="240" w:lineRule="atLeast"/>
    </w:pPr>
  </w:style>
  <w:style w:type="paragraph" w:customStyle="1" w:styleId="Address">
    <w:name w:val="Address"/>
    <w:basedOn w:val="Normal"/>
    <w:rsid w:val="00F02AEC"/>
    <w:pPr>
      <w:spacing w:after="0" w:line="240" w:lineRule="auto"/>
    </w:pPr>
    <w:rPr>
      <w:rFonts w:ascii="Arial" w:eastAsia="Cambria" w:hAnsi="Arial" w:cs="Times New Roman"/>
      <w:color w:val="333F48"/>
      <w:sz w:val="21"/>
    </w:rPr>
  </w:style>
  <w:style w:type="paragraph" w:customStyle="1" w:styleId="ListBullet-dotick">
    <w:name w:val="List Bullet - do (tick)"/>
    <w:basedOn w:val="ListBullet"/>
    <w:autoRedefine/>
    <w:uiPriority w:val="1"/>
    <w:qFormat/>
    <w:rsid w:val="00F02AEC"/>
    <w:pPr>
      <w:numPr>
        <w:numId w:val="5"/>
      </w:numPr>
      <w:tabs>
        <w:tab w:val="left" w:pos="425"/>
      </w:tabs>
    </w:pPr>
  </w:style>
  <w:style w:type="paragraph" w:customStyle="1" w:styleId="ListBullet-donotcross">
    <w:name w:val="List Bullet - do not (cross)"/>
    <w:basedOn w:val="ListBullet"/>
    <w:autoRedefine/>
    <w:uiPriority w:val="1"/>
    <w:qFormat/>
    <w:rsid w:val="00F02AEC"/>
    <w:pPr>
      <w:numPr>
        <w:numId w:val="6"/>
      </w:numPr>
      <w:ind w:left="357" w:hanging="357"/>
    </w:pPr>
    <w:rPr>
      <w:rFonts w:eastAsiaTheme="minorHAnsi" w:cstheme="minorBidi"/>
      <w:szCs w:val="22"/>
    </w:rPr>
  </w:style>
  <w:style w:type="table" w:customStyle="1" w:styleId="TGABlack2023">
    <w:name w:val="TGA Black 2023"/>
    <w:basedOn w:val="TableTGAblue2023"/>
    <w:uiPriority w:val="99"/>
    <w:rsid w:val="00FA49C3"/>
    <w:pPr>
      <w:spacing w:line="240" w:lineRule="auto"/>
    </w:p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cPr>
      <w:shd w:val="clear" w:color="auto" w:fill="FFFFFF" w:themeFill="background1"/>
    </w:tcPr>
    <w:tblStylePr w:type="firstRow">
      <w:pPr>
        <w:keepNext/>
        <w:wordWrap/>
      </w:pPr>
      <w:rPr>
        <w:rFonts w:ascii="Arial" w:hAnsi="Arial"/>
        <w:b/>
        <w:color w:val="FFFFFF" w:themeColor="background1"/>
        <w:sz w:val="22"/>
      </w:rPr>
      <w:tblPr/>
      <w:trPr>
        <w:tblHeader/>
      </w:trPr>
      <w:tcPr>
        <w:shd w:val="clear" w:color="auto" w:fill="171717" w:themeFill="background2" w:themeFillShade="1A"/>
      </w:tcPr>
    </w:tblStylePr>
    <w:tblStylePr w:type="firstCol">
      <w:pPr>
        <w:keepNext w:val="0"/>
        <w:wordWrap/>
      </w:pPr>
    </w:tblStylePr>
  </w:style>
  <w:style w:type="paragraph" w:customStyle="1" w:styleId="NonTOCHeading20">
    <w:name w:val="Non TOC Heading 2"/>
    <w:basedOn w:val="Normal"/>
    <w:rsid w:val="00346EC2"/>
    <w:pPr>
      <w:spacing w:before="240" w:line="240" w:lineRule="atLeast"/>
      <w:outlineLvl w:val="1"/>
    </w:pPr>
    <w:rPr>
      <w:rFonts w:ascii="Arial" w:eastAsia="Cambria" w:hAnsi="Arial" w:cs="Times New Roman"/>
      <w:b/>
      <w:sz w:val="32"/>
      <w:szCs w:val="22"/>
    </w:rPr>
  </w:style>
  <w:style w:type="table" w:customStyle="1" w:styleId="TableTGAblue">
    <w:name w:val="Table TGA blue"/>
    <w:basedOn w:val="TableNormal"/>
    <w:uiPriority w:val="99"/>
    <w:qFormat/>
    <w:rsid w:val="00324B33"/>
    <w:pPr>
      <w:spacing w:after="0" w:line="240" w:lineRule="auto"/>
      <w:ind w:left="170" w:right="170"/>
    </w:pPr>
    <w:rPr>
      <w:rFonts w:ascii="Cambria" w:hAnsi="Cambria" w:cs="Times New Roman"/>
      <w:color w:val="000000" w:themeColor="text1"/>
      <w:sz w:val="22"/>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paragraph" w:customStyle="1" w:styleId="Instructions">
    <w:name w:val="Instructions"/>
    <w:basedOn w:val="Normal"/>
    <w:next w:val="Normal"/>
    <w:uiPriority w:val="1"/>
    <w:qFormat/>
    <w:rsid w:val="00324B33"/>
    <w:pPr>
      <w:spacing w:before="120" w:line="240" w:lineRule="atLeast"/>
    </w:pPr>
    <w:rPr>
      <w:rFonts w:eastAsia="Cambria" w:cs="Times New Roman"/>
      <w:i/>
      <w:color w:val="007099"/>
      <w:szCs w:val="22"/>
    </w:rPr>
  </w:style>
  <w:style w:type="paragraph" w:customStyle="1" w:styleId="TableTitle">
    <w:name w:val="Table Title"/>
    <w:basedOn w:val="Normal"/>
    <w:qFormat/>
    <w:rsid w:val="00324B33"/>
    <w:pPr>
      <w:keepNext/>
      <w:spacing w:before="120" w:line="240" w:lineRule="atLeast"/>
    </w:pPr>
    <w:rPr>
      <w:rFonts w:eastAsia="Cambria" w:cs="Times New Roman"/>
      <w:b/>
      <w:szCs w:val="22"/>
    </w:rPr>
  </w:style>
  <w:style w:type="paragraph" w:customStyle="1" w:styleId="TableDescription">
    <w:name w:val="Table Description"/>
    <w:basedOn w:val="Normal"/>
    <w:qFormat/>
    <w:rsid w:val="00854D98"/>
    <w:pPr>
      <w:spacing w:before="120" w:line="240" w:lineRule="auto"/>
    </w:pPr>
    <w:rPr>
      <w:rFonts w:eastAsia="Cambria" w:cs="Times New Roman"/>
      <w:sz w:val="18"/>
      <w:szCs w:val="19"/>
    </w:rPr>
  </w:style>
  <w:style w:type="character" w:styleId="CommentReference">
    <w:name w:val="annotation reference"/>
    <w:basedOn w:val="DefaultParagraphFont"/>
    <w:uiPriority w:val="99"/>
    <w:semiHidden/>
    <w:unhideWhenUsed/>
    <w:rsid w:val="00E47E0C"/>
    <w:rPr>
      <w:sz w:val="16"/>
      <w:szCs w:val="16"/>
    </w:rPr>
  </w:style>
  <w:style w:type="paragraph" w:styleId="CommentText">
    <w:name w:val="annotation text"/>
    <w:basedOn w:val="Normal"/>
    <w:link w:val="CommentTextChar"/>
    <w:uiPriority w:val="99"/>
    <w:unhideWhenUsed/>
    <w:rsid w:val="00E47E0C"/>
    <w:pPr>
      <w:spacing w:line="240" w:lineRule="auto"/>
    </w:pPr>
  </w:style>
  <w:style w:type="character" w:customStyle="1" w:styleId="CommentTextChar">
    <w:name w:val="Comment Text Char"/>
    <w:basedOn w:val="DefaultParagraphFont"/>
    <w:link w:val="CommentText"/>
    <w:uiPriority w:val="99"/>
    <w:rsid w:val="00E47E0C"/>
    <w:rPr>
      <w:rFonts w:ascii="Cambria" w:hAnsi="Cambria"/>
    </w:rPr>
  </w:style>
  <w:style w:type="paragraph" w:styleId="CommentSubject">
    <w:name w:val="annotation subject"/>
    <w:basedOn w:val="CommentText"/>
    <w:next w:val="CommentText"/>
    <w:link w:val="CommentSubjectChar"/>
    <w:uiPriority w:val="99"/>
    <w:semiHidden/>
    <w:unhideWhenUsed/>
    <w:rsid w:val="00E47E0C"/>
    <w:rPr>
      <w:b/>
      <w:bCs/>
    </w:rPr>
  </w:style>
  <w:style w:type="character" w:customStyle="1" w:styleId="CommentSubjectChar">
    <w:name w:val="Comment Subject Char"/>
    <w:basedOn w:val="CommentTextChar"/>
    <w:link w:val="CommentSubject"/>
    <w:uiPriority w:val="99"/>
    <w:semiHidden/>
    <w:rsid w:val="00E47E0C"/>
    <w:rPr>
      <w:rFonts w:ascii="Cambria" w:hAnsi="Cambria"/>
      <w:b/>
      <w:bCs/>
    </w:rPr>
  </w:style>
  <w:style w:type="paragraph" w:styleId="BalloonText">
    <w:name w:val="Balloon Text"/>
    <w:basedOn w:val="Normal"/>
    <w:link w:val="BalloonTextChar"/>
    <w:uiPriority w:val="99"/>
    <w:semiHidden/>
    <w:unhideWhenUsed/>
    <w:rsid w:val="00D637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63760"/>
    <w:rPr>
      <w:rFonts w:ascii="Segoe UI" w:hAnsi="Segoe UI" w:cs="Segoe UI"/>
      <w:sz w:val="18"/>
      <w:szCs w:val="18"/>
    </w:rPr>
  </w:style>
  <w:style w:type="character" w:styleId="FollowedHyperlink">
    <w:name w:val="FollowedHyperlink"/>
    <w:basedOn w:val="DefaultParagraphFont"/>
    <w:uiPriority w:val="99"/>
    <w:semiHidden/>
    <w:unhideWhenUsed/>
    <w:rsid w:val="001C1C2E"/>
    <w:rPr>
      <w:color w:val="954F72" w:themeColor="followedHyperlink"/>
      <w:u w:val="single"/>
    </w:rPr>
  </w:style>
  <w:style w:type="paragraph" w:styleId="Revision">
    <w:name w:val="Revision"/>
    <w:hidden/>
    <w:uiPriority w:val="99"/>
    <w:semiHidden/>
    <w:rsid w:val="008964B3"/>
    <w:pPr>
      <w:spacing w:after="0" w:line="240" w:lineRule="auto"/>
    </w:pPr>
    <w:rPr>
      <w:rFonts w:ascii="Cambria" w:hAnsi="Cambria"/>
    </w:rPr>
  </w:style>
  <w:style w:type="character" w:customStyle="1" w:styleId="UnresolvedMention1">
    <w:name w:val="Unresolved Mention1"/>
    <w:basedOn w:val="DefaultParagraphFont"/>
    <w:uiPriority w:val="99"/>
    <w:unhideWhenUsed/>
    <w:rsid w:val="00966EF1"/>
    <w:rPr>
      <w:color w:val="605E5C"/>
      <w:shd w:val="clear" w:color="auto" w:fill="E1DFDD"/>
    </w:rPr>
  </w:style>
  <w:style w:type="paragraph" w:customStyle="1" w:styleId="TableText">
    <w:name w:val="Table Text"/>
    <w:basedOn w:val="FootnoteText"/>
    <w:qFormat/>
    <w:rsid w:val="0098350E"/>
    <w:rPr>
      <w:color w:val="000000" w:themeColor="text1"/>
      <w:sz w:val="20"/>
      <w:lang w:val="en-GB"/>
    </w:rPr>
  </w:style>
  <w:style w:type="paragraph" w:customStyle="1" w:styleId="FigureTitle">
    <w:name w:val="Figure Title"/>
    <w:basedOn w:val="Normal"/>
    <w:qFormat/>
    <w:rsid w:val="00FC6F56"/>
    <w:rPr>
      <w:b/>
    </w:rPr>
  </w:style>
  <w:style w:type="paragraph" w:styleId="Caption">
    <w:name w:val="caption"/>
    <w:basedOn w:val="Normal"/>
    <w:next w:val="Normal"/>
    <w:uiPriority w:val="35"/>
    <w:unhideWhenUsed/>
    <w:qFormat/>
    <w:rsid w:val="0098350E"/>
    <w:pPr>
      <w:spacing w:after="200" w:line="240" w:lineRule="auto"/>
    </w:pPr>
    <w:rPr>
      <w:i/>
      <w:iCs/>
      <w:color w:val="44546A" w:themeColor="text2"/>
      <w:sz w:val="18"/>
      <w:szCs w:val="18"/>
    </w:rPr>
  </w:style>
  <w:style w:type="paragraph" w:customStyle="1" w:styleId="FigureDescription">
    <w:name w:val="Figure Description"/>
    <w:basedOn w:val="FigureTitle"/>
    <w:qFormat/>
    <w:rsid w:val="0098350E"/>
    <w:rPr>
      <w:b w:val="0"/>
      <w:sz w:val="19"/>
    </w:rPr>
  </w:style>
  <w:style w:type="paragraph" w:styleId="ListParagraph">
    <w:name w:val="List Paragraph"/>
    <w:basedOn w:val="Normal"/>
    <w:uiPriority w:val="34"/>
    <w:rsid w:val="005E435C"/>
    <w:pPr>
      <w:adjustRightInd w:val="0"/>
      <w:snapToGrid w:val="0"/>
      <w:spacing w:before="180" w:after="180" w:line="240" w:lineRule="atLeast"/>
      <w:ind w:left="720"/>
      <w:contextualSpacing/>
    </w:pPr>
    <w:rPr>
      <w:rFonts w:eastAsia="MS Mincho" w:cs="Times New Roman"/>
      <w:lang w:eastAsia="ja-JP"/>
    </w:rPr>
  </w:style>
  <w:style w:type="character" w:customStyle="1" w:styleId="Heading1Char">
    <w:name w:val="Heading 1 Char"/>
    <w:basedOn w:val="DefaultParagraphFont"/>
    <w:link w:val="Heading1"/>
    <w:rsid w:val="005E435C"/>
    <w:rPr>
      <w:rFonts w:asciiTheme="majorHAnsi" w:eastAsia="Times New Roman" w:hAnsiTheme="majorHAnsi" w:cstheme="majorHAnsi"/>
      <w:b/>
      <w:bCs/>
      <w:sz w:val="64"/>
      <w:szCs w:val="64"/>
    </w:rPr>
  </w:style>
  <w:style w:type="character" w:customStyle="1" w:styleId="Heading7Char">
    <w:name w:val="Heading 7 Char"/>
    <w:basedOn w:val="DefaultParagraphFont"/>
    <w:link w:val="Heading7"/>
    <w:uiPriority w:val="9"/>
    <w:rsid w:val="003824AF"/>
    <w:rPr>
      <w:rFonts w:ascii="Cambria" w:eastAsia="Times New Roman" w:hAnsi="Cambria" w:cs="Times New Roman"/>
      <w:b/>
      <w:bCs/>
      <w:szCs w:val="24"/>
    </w:rPr>
  </w:style>
  <w:style w:type="paragraph" w:customStyle="1" w:styleId="AxisLabel">
    <w:name w:val="Axis Label"/>
    <w:basedOn w:val="Normal"/>
    <w:qFormat/>
    <w:rsid w:val="005E435C"/>
    <w:pPr>
      <w:spacing w:before="120" w:after="0" w:line="240" w:lineRule="auto"/>
    </w:pPr>
    <w:rPr>
      <w:rFonts w:ascii="Arial" w:eastAsia="Cambria" w:hAnsi="Arial" w:cs="Times New Roman"/>
      <w:noProof/>
      <w:sz w:val="14"/>
      <w:szCs w:val="22"/>
      <w:lang w:eastAsia="en-AU"/>
    </w:rPr>
  </w:style>
  <w:style w:type="paragraph" w:customStyle="1" w:styleId="AxisTitle">
    <w:name w:val="Axis Title"/>
    <w:basedOn w:val="Normal"/>
    <w:qFormat/>
    <w:rsid w:val="005E435C"/>
    <w:pPr>
      <w:spacing w:before="120" w:after="0" w:line="240" w:lineRule="auto"/>
    </w:pPr>
    <w:rPr>
      <w:rFonts w:ascii="Arial" w:eastAsia="Cambria" w:hAnsi="Arial" w:cs="Times New Roman"/>
      <w:sz w:val="16"/>
      <w:szCs w:val="22"/>
    </w:rPr>
  </w:style>
  <w:style w:type="paragraph" w:customStyle="1" w:styleId="Contents">
    <w:name w:val="Contents"/>
    <w:basedOn w:val="Normal"/>
    <w:rsid w:val="005E435C"/>
    <w:pPr>
      <w:spacing w:after="0" w:line="240" w:lineRule="atLeast"/>
    </w:pPr>
    <w:rPr>
      <w:rFonts w:ascii="Arial" w:eastAsia="Cambria" w:hAnsi="Arial" w:cs="Times New Roman"/>
      <w:b/>
      <w:sz w:val="48"/>
      <w:szCs w:val="22"/>
    </w:rPr>
  </w:style>
  <w:style w:type="paragraph" w:customStyle="1" w:styleId="HeaderNoLine0">
    <w:name w:val="Header No Line"/>
    <w:basedOn w:val="Header"/>
    <w:rsid w:val="005E435C"/>
    <w:pPr>
      <w:pBdr>
        <w:bottom w:val="none" w:sz="0" w:space="0" w:color="auto"/>
      </w:pBdr>
      <w:spacing w:before="120" w:after="240"/>
      <w:jc w:val="left"/>
    </w:pPr>
    <w:rPr>
      <w:rFonts w:ascii="Cambria" w:hAnsi="Cambria"/>
      <w:color w:val="auto"/>
      <w:szCs w:val="22"/>
    </w:rPr>
  </w:style>
  <w:style w:type="paragraph" w:customStyle="1" w:styleId="Key">
    <w:name w:val="Key"/>
    <w:basedOn w:val="Normal"/>
    <w:qFormat/>
    <w:rsid w:val="005E435C"/>
    <w:pPr>
      <w:spacing w:before="120" w:line="240" w:lineRule="atLeast"/>
    </w:pPr>
    <w:rPr>
      <w:rFonts w:eastAsia="Cambria" w:cs="Times New Roman"/>
      <w:sz w:val="14"/>
      <w:szCs w:val="22"/>
    </w:rPr>
  </w:style>
  <w:style w:type="table" w:styleId="LightShading-Accent2">
    <w:name w:val="Light Shading Accent 2"/>
    <w:basedOn w:val="TableNormal"/>
    <w:uiPriority w:val="60"/>
    <w:rsid w:val="005E435C"/>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MediumGrid2-Accent5">
    <w:name w:val="Medium Grid 2 Accent 5"/>
    <w:basedOn w:val="TableNormal"/>
    <w:uiPriority w:val="68"/>
    <w:rsid w:val="005E435C"/>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tes">
    <w:name w:val="Notes"/>
    <w:basedOn w:val="Normal"/>
    <w:qFormat/>
    <w:locked/>
    <w:rsid w:val="005E435C"/>
    <w:pPr>
      <w:spacing w:before="120" w:after="0" w:line="240" w:lineRule="auto"/>
    </w:pPr>
    <w:rPr>
      <w:rFonts w:ascii="Arial" w:eastAsia="Cambria" w:hAnsi="Arial" w:cs="Times New Roman"/>
      <w:sz w:val="16"/>
      <w:szCs w:val="22"/>
    </w:rPr>
  </w:style>
  <w:style w:type="character" w:styleId="PlaceholderText">
    <w:name w:val="Placeholder Text"/>
    <w:basedOn w:val="DefaultParagraphFont"/>
    <w:uiPriority w:val="99"/>
    <w:semiHidden/>
    <w:rsid w:val="005E435C"/>
    <w:rPr>
      <w:color w:val="808080"/>
    </w:rPr>
  </w:style>
  <w:style w:type="paragraph" w:customStyle="1" w:styleId="Reference">
    <w:name w:val="Reference"/>
    <w:basedOn w:val="Normal"/>
    <w:rsid w:val="005E435C"/>
    <w:pPr>
      <w:spacing w:before="40" w:after="0" w:line="180" w:lineRule="atLeast"/>
      <w:ind w:hanging="170"/>
    </w:pPr>
    <w:rPr>
      <w:rFonts w:eastAsia="Cambria" w:cs="Times New Roman"/>
      <w:sz w:val="19"/>
      <w:szCs w:val="22"/>
    </w:rPr>
  </w:style>
  <w:style w:type="paragraph" w:customStyle="1" w:styleId="Tabletext0">
    <w:name w:val="Table text"/>
    <w:basedOn w:val="Normal"/>
    <w:link w:val="TabletextChar"/>
    <w:qFormat/>
    <w:rsid w:val="005E435C"/>
    <w:pPr>
      <w:spacing w:before="120" w:line="240" w:lineRule="atLeast"/>
    </w:pPr>
    <w:rPr>
      <w:rFonts w:eastAsia="Cambria" w:cs="Times New Roman"/>
      <w:sz w:val="19"/>
      <w:szCs w:val="22"/>
    </w:rPr>
  </w:style>
  <w:style w:type="table" w:customStyle="1" w:styleId="TableTGAblack">
    <w:name w:val="Table TGA black"/>
    <w:basedOn w:val="TableNormal"/>
    <w:uiPriority w:val="99"/>
    <w:rsid w:val="005E435C"/>
    <w:pPr>
      <w:spacing w:before="60" w:after="0" w:line="240" w:lineRule="auto"/>
      <w:ind w:left="170" w:right="170"/>
    </w:pPr>
    <w:rPr>
      <w:rFonts w:ascii="Cambria" w:eastAsia="MS Mincho"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styleId="TOCHeading">
    <w:name w:val="TOC Heading"/>
    <w:basedOn w:val="Heading1"/>
    <w:next w:val="Normal"/>
    <w:uiPriority w:val="39"/>
    <w:semiHidden/>
    <w:unhideWhenUsed/>
    <w:qFormat/>
    <w:rsid w:val="005E435C"/>
    <w:pPr>
      <w:framePr w:wrap="around" w:hAnchor="text"/>
      <w:spacing w:before="480" w:after="0" w:line="276" w:lineRule="auto"/>
      <w:outlineLvl w:val="9"/>
    </w:pPr>
    <w:rPr>
      <w:rFonts w:cstheme="minorBidi"/>
      <w:color w:val="002035"/>
      <w:sz w:val="28"/>
      <w:lang w:val="en-US"/>
    </w:rPr>
  </w:style>
  <w:style w:type="paragraph" w:customStyle="1" w:styleId="Quotation">
    <w:name w:val="Quotation"/>
    <w:basedOn w:val="Normal"/>
    <w:next w:val="Normal"/>
    <w:uiPriority w:val="4"/>
    <w:qFormat/>
    <w:rsid w:val="005E435C"/>
    <w:pPr>
      <w:spacing w:before="120" w:after="180" w:line="240" w:lineRule="atLeast"/>
      <w:ind w:left="425"/>
    </w:pPr>
    <w:rPr>
      <w:rFonts w:eastAsiaTheme="minorEastAsia"/>
      <w:sz w:val="20"/>
      <w:szCs w:val="22"/>
      <w:lang w:eastAsia="zh-TW"/>
    </w:rPr>
  </w:style>
  <w:style w:type="paragraph" w:customStyle="1" w:styleId="Comment">
    <w:name w:val="Comment"/>
    <w:basedOn w:val="Normal"/>
    <w:next w:val="Normal"/>
    <w:uiPriority w:val="1"/>
    <w:qFormat/>
    <w:rsid w:val="005E435C"/>
    <w:pPr>
      <w:spacing w:before="120" w:line="240" w:lineRule="atLeast"/>
      <w:ind w:left="992" w:hanging="992"/>
    </w:pPr>
    <w:rPr>
      <w:rFonts w:eastAsia="Cambria" w:cs="Times New Roman"/>
      <w:szCs w:val="22"/>
    </w:rPr>
  </w:style>
  <w:style w:type="paragraph" w:styleId="EndnoteText">
    <w:name w:val="endnote text"/>
    <w:basedOn w:val="Normal"/>
    <w:link w:val="EndnoteTextChar"/>
    <w:uiPriority w:val="99"/>
    <w:semiHidden/>
    <w:unhideWhenUsed/>
    <w:rsid w:val="005E435C"/>
    <w:pPr>
      <w:spacing w:after="0" w:line="240" w:lineRule="auto"/>
    </w:pPr>
    <w:rPr>
      <w:rFonts w:eastAsia="Cambria" w:cs="Times New Roman"/>
      <w:sz w:val="20"/>
    </w:rPr>
  </w:style>
  <w:style w:type="character" w:customStyle="1" w:styleId="EndnoteTextChar">
    <w:name w:val="Endnote Text Char"/>
    <w:basedOn w:val="DefaultParagraphFont"/>
    <w:link w:val="EndnoteText"/>
    <w:uiPriority w:val="99"/>
    <w:semiHidden/>
    <w:rsid w:val="005E435C"/>
    <w:rPr>
      <w:rFonts w:ascii="Cambria" w:eastAsia="Cambria" w:hAnsi="Cambria" w:cs="Times New Roman"/>
    </w:rPr>
  </w:style>
  <w:style w:type="character" w:styleId="EndnoteReference">
    <w:name w:val="endnote reference"/>
    <w:basedOn w:val="DefaultParagraphFont"/>
    <w:uiPriority w:val="99"/>
    <w:semiHidden/>
    <w:unhideWhenUsed/>
    <w:rsid w:val="005E435C"/>
    <w:rPr>
      <w:vertAlign w:val="superscript"/>
    </w:rPr>
  </w:style>
  <w:style w:type="paragraph" w:customStyle="1" w:styleId="FigureCaption">
    <w:name w:val="Figure Caption"/>
    <w:basedOn w:val="Normal"/>
    <w:qFormat/>
    <w:rsid w:val="005E435C"/>
    <w:pPr>
      <w:adjustRightInd w:val="0"/>
      <w:snapToGrid w:val="0"/>
      <w:spacing w:before="180" w:after="180" w:line="240" w:lineRule="atLeast"/>
    </w:pPr>
    <w:rPr>
      <w:rFonts w:eastAsia="MS Mincho" w:cs="Times New Roman"/>
      <w:lang w:eastAsia="ja-JP"/>
    </w:rPr>
  </w:style>
  <w:style w:type="paragraph" w:customStyle="1" w:styleId="TableCaption">
    <w:name w:val="Table Caption"/>
    <w:basedOn w:val="FigureCaption"/>
    <w:qFormat/>
    <w:rsid w:val="005E435C"/>
    <w:pPr>
      <w:spacing w:after="240"/>
    </w:pPr>
    <w:rPr>
      <w:sz w:val="17"/>
    </w:rPr>
  </w:style>
  <w:style w:type="table" w:customStyle="1" w:styleId="TableTGA2">
    <w:name w:val="Table TGA 2"/>
    <w:basedOn w:val="TableNormal"/>
    <w:uiPriority w:val="99"/>
    <w:rsid w:val="005E435C"/>
    <w:pPr>
      <w:spacing w:before="60" w:after="0" w:line="240" w:lineRule="auto"/>
    </w:pPr>
    <w:rPr>
      <w:rFonts w:ascii="Cambria" w:eastAsia="MS Mincho" w:hAnsi="Cambria" w:cs="Times New Roman"/>
      <w:color w:val="000000"/>
      <w:sz w:val="22"/>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5E435C"/>
    <w:pPr>
      <w:adjustRightInd w:val="0"/>
      <w:snapToGrid w:val="0"/>
      <w:spacing w:before="180" w:after="180" w:line="240" w:lineRule="atLeast"/>
    </w:pPr>
    <w:rPr>
      <w:rFonts w:eastAsia="MS Mincho" w:cs="Times New Roman"/>
      <w:b/>
      <w:lang w:eastAsia="ja-JP"/>
    </w:rPr>
  </w:style>
  <w:style w:type="paragraph" w:customStyle="1" w:styleId="Addressee">
    <w:name w:val="Addressee"/>
    <w:basedOn w:val="Normal"/>
    <w:qFormat/>
    <w:rsid w:val="005E435C"/>
    <w:pPr>
      <w:adjustRightInd w:val="0"/>
      <w:snapToGrid w:val="0"/>
      <w:spacing w:before="180" w:after="180" w:line="240" w:lineRule="atLeast"/>
    </w:pPr>
    <w:rPr>
      <w:rFonts w:eastAsia="MS Mincho" w:cs="Times New Roman"/>
      <w:lang w:eastAsia="ja-JP"/>
    </w:rPr>
  </w:style>
  <w:style w:type="character" w:customStyle="1" w:styleId="ABN">
    <w:name w:val="ABN"/>
    <w:basedOn w:val="DefaultParagraphFont"/>
    <w:uiPriority w:val="1"/>
    <w:qFormat/>
    <w:rsid w:val="005E435C"/>
    <w:rPr>
      <w:rFonts w:ascii="Arial" w:hAnsi="Arial"/>
      <w:color w:val="002C47"/>
      <w:sz w:val="14"/>
    </w:rPr>
  </w:style>
  <w:style w:type="paragraph" w:customStyle="1" w:styleId="BodyCopy">
    <w:name w:val="Body Copy"/>
    <w:basedOn w:val="Normal"/>
    <w:qFormat/>
    <w:rsid w:val="005E435C"/>
    <w:pPr>
      <w:adjustRightInd w:val="0"/>
      <w:snapToGrid w:val="0"/>
      <w:spacing w:before="180" w:after="180" w:line="240" w:lineRule="atLeast"/>
    </w:pPr>
    <w:rPr>
      <w:rFonts w:eastAsia="MS Mincho" w:cs="Times New Roman"/>
      <w:lang w:eastAsia="ja-JP"/>
    </w:rPr>
  </w:style>
  <w:style w:type="paragraph" w:customStyle="1" w:styleId="Standard">
    <w:name w:val="Standard"/>
    <w:basedOn w:val="Normal"/>
    <w:link w:val="StandardChar"/>
    <w:qFormat/>
    <w:rsid w:val="005E435C"/>
    <w:pPr>
      <w:spacing w:after="220" w:line="252" w:lineRule="auto"/>
    </w:pPr>
    <w:rPr>
      <w:rFonts w:eastAsia="Times New Roman" w:cs="Times New Roman"/>
      <w:snapToGrid w:val="0"/>
      <w:kern w:val="16"/>
      <w:sz w:val="23"/>
      <w:szCs w:val="24"/>
    </w:rPr>
  </w:style>
  <w:style w:type="character" w:customStyle="1" w:styleId="StandardChar">
    <w:name w:val="Standard Char"/>
    <w:basedOn w:val="DefaultParagraphFont"/>
    <w:link w:val="Standard"/>
    <w:rsid w:val="005E435C"/>
    <w:rPr>
      <w:rFonts w:ascii="Cambria" w:eastAsia="Times New Roman" w:hAnsi="Cambria" w:cs="Times New Roman"/>
      <w:snapToGrid w:val="0"/>
      <w:kern w:val="16"/>
      <w:sz w:val="23"/>
      <w:szCs w:val="24"/>
    </w:rPr>
  </w:style>
  <w:style w:type="paragraph" w:customStyle="1" w:styleId="Bulletpoint">
    <w:name w:val="Bullet point"/>
    <w:basedOn w:val="Standard"/>
    <w:rsid w:val="005E435C"/>
    <w:pPr>
      <w:numPr>
        <w:numId w:val="7"/>
      </w:numPr>
      <w:tabs>
        <w:tab w:val="clear" w:pos="369"/>
        <w:tab w:val="left" w:pos="397"/>
        <w:tab w:val="num" w:pos="511"/>
      </w:tabs>
      <w:spacing w:after="180"/>
      <w:ind w:left="0" w:firstLine="0"/>
    </w:pPr>
    <w:rPr>
      <w:sz w:val="22"/>
    </w:rPr>
  </w:style>
  <w:style w:type="paragraph" w:customStyle="1" w:styleId="PISubsection">
    <w:name w:val="PI Subsection"/>
    <w:basedOn w:val="Standard"/>
    <w:next w:val="Standard"/>
    <w:rsid w:val="005E435C"/>
    <w:pPr>
      <w:keepNext/>
      <w:spacing w:after="120"/>
    </w:pPr>
    <w:rPr>
      <w:b/>
      <w:i/>
      <w:kern w:val="2"/>
      <w:sz w:val="22"/>
    </w:rPr>
  </w:style>
  <w:style w:type="paragraph" w:customStyle="1" w:styleId="Bulletlist">
    <w:name w:val="Bullet list"/>
    <w:basedOn w:val="Standard"/>
    <w:link w:val="BulletlistChar"/>
    <w:qFormat/>
    <w:rsid w:val="005E435C"/>
    <w:pPr>
      <w:numPr>
        <w:numId w:val="8"/>
      </w:numPr>
      <w:spacing w:after="180"/>
      <w:ind w:left="426" w:hanging="284"/>
    </w:pPr>
    <w:rPr>
      <w:kern w:val="2"/>
      <w:szCs w:val="22"/>
    </w:rPr>
  </w:style>
  <w:style w:type="character" w:customStyle="1" w:styleId="BulletlistChar">
    <w:name w:val="Bullet list Char"/>
    <w:basedOn w:val="StandardChar"/>
    <w:link w:val="Bulletlist"/>
    <w:rsid w:val="005E435C"/>
    <w:rPr>
      <w:rFonts w:ascii="Cambria" w:eastAsia="Times New Roman" w:hAnsi="Cambria" w:cs="Times New Roman"/>
      <w:snapToGrid w:val="0"/>
      <w:kern w:val="2"/>
      <w:sz w:val="23"/>
      <w:szCs w:val="22"/>
    </w:rPr>
  </w:style>
  <w:style w:type="character" w:customStyle="1" w:styleId="TabletextChar">
    <w:name w:val="Table text Char"/>
    <w:basedOn w:val="StandardChar"/>
    <w:link w:val="Tabletext0"/>
    <w:rsid w:val="005E435C"/>
    <w:rPr>
      <w:rFonts w:ascii="Cambria" w:eastAsia="Cambria" w:hAnsi="Cambria" w:cs="Times New Roman"/>
      <w:snapToGrid/>
      <w:kern w:val="16"/>
      <w:sz w:val="19"/>
      <w:szCs w:val="22"/>
    </w:rPr>
  </w:style>
  <w:style w:type="paragraph" w:customStyle="1" w:styleId="Default">
    <w:name w:val="Default"/>
    <w:rsid w:val="005E435C"/>
    <w:pPr>
      <w:autoSpaceDE w:val="0"/>
      <w:autoSpaceDN w:val="0"/>
      <w:adjustRightInd w:val="0"/>
      <w:spacing w:after="0" w:line="240" w:lineRule="auto"/>
    </w:pPr>
    <w:rPr>
      <w:rFonts w:ascii="Cambria" w:hAnsi="Cambria" w:cs="Cambria"/>
      <w:color w:val="000000"/>
      <w:sz w:val="24"/>
      <w:szCs w:val="24"/>
    </w:rPr>
  </w:style>
  <w:style w:type="character" w:styleId="Strong">
    <w:name w:val="Strong"/>
    <w:basedOn w:val="DefaultParagraphFont"/>
    <w:qFormat/>
    <w:rsid w:val="00E552E4"/>
    <w:rPr>
      <w:b/>
      <w:bCs/>
    </w:rPr>
  </w:style>
  <w:style w:type="character" w:customStyle="1" w:styleId="Heading8Char">
    <w:name w:val="Heading 8 Char"/>
    <w:basedOn w:val="DefaultParagraphFont"/>
    <w:link w:val="Heading8"/>
    <w:uiPriority w:val="9"/>
    <w:rsid w:val="00497DBD"/>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rsid w:val="00B941A1"/>
    <w:rPr>
      <w:rFonts w:asciiTheme="majorHAnsi" w:eastAsiaTheme="majorEastAsia" w:hAnsiTheme="majorHAnsi" w:cstheme="majorBidi"/>
      <w:i/>
      <w:iCs/>
      <w:color w:val="272727" w:themeColor="text1" w:themeTint="D8"/>
      <w:sz w:val="21"/>
      <w:szCs w:val="21"/>
    </w:rPr>
  </w:style>
  <w:style w:type="paragraph" w:styleId="NormalWeb">
    <w:name w:val="Normal (Web)"/>
    <w:basedOn w:val="Normal"/>
    <w:uiPriority w:val="99"/>
    <w:semiHidden/>
    <w:unhideWhenUsed/>
    <w:rsid w:val="00E15923"/>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Mention1">
    <w:name w:val="Mention1"/>
    <w:basedOn w:val="DefaultParagraphFont"/>
    <w:uiPriority w:val="99"/>
    <w:unhideWhenUsed/>
    <w:rsid w:val="0053405E"/>
    <w:rPr>
      <w:color w:val="2B579A"/>
      <w:shd w:val="clear" w:color="auto" w:fill="E1DFDD"/>
    </w:rPr>
  </w:style>
  <w:style w:type="character" w:styleId="UnresolvedMention">
    <w:name w:val="Unresolved Mention"/>
    <w:basedOn w:val="DefaultParagraphFont"/>
    <w:uiPriority w:val="99"/>
    <w:semiHidden/>
    <w:unhideWhenUsed/>
    <w:rsid w:val="001E122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205433">
      <w:bodyDiv w:val="1"/>
      <w:marLeft w:val="0"/>
      <w:marRight w:val="0"/>
      <w:marTop w:val="0"/>
      <w:marBottom w:val="0"/>
      <w:divBdr>
        <w:top w:val="none" w:sz="0" w:space="0" w:color="auto"/>
        <w:left w:val="none" w:sz="0" w:space="0" w:color="auto"/>
        <w:bottom w:val="none" w:sz="0" w:space="0" w:color="auto"/>
        <w:right w:val="none" w:sz="0" w:space="0" w:color="auto"/>
      </w:divBdr>
    </w:div>
    <w:div w:id="264310904">
      <w:bodyDiv w:val="1"/>
      <w:marLeft w:val="0"/>
      <w:marRight w:val="0"/>
      <w:marTop w:val="0"/>
      <w:marBottom w:val="0"/>
      <w:divBdr>
        <w:top w:val="none" w:sz="0" w:space="0" w:color="auto"/>
        <w:left w:val="none" w:sz="0" w:space="0" w:color="auto"/>
        <w:bottom w:val="none" w:sz="0" w:space="0" w:color="auto"/>
        <w:right w:val="none" w:sz="0" w:space="0" w:color="auto"/>
      </w:divBdr>
    </w:div>
    <w:div w:id="551769435">
      <w:bodyDiv w:val="1"/>
      <w:marLeft w:val="0"/>
      <w:marRight w:val="0"/>
      <w:marTop w:val="0"/>
      <w:marBottom w:val="0"/>
      <w:divBdr>
        <w:top w:val="none" w:sz="0" w:space="0" w:color="auto"/>
        <w:left w:val="none" w:sz="0" w:space="0" w:color="auto"/>
        <w:bottom w:val="none" w:sz="0" w:space="0" w:color="auto"/>
        <w:right w:val="none" w:sz="0" w:space="0" w:color="auto"/>
      </w:divBdr>
    </w:div>
    <w:div w:id="554199685">
      <w:bodyDiv w:val="1"/>
      <w:marLeft w:val="0"/>
      <w:marRight w:val="0"/>
      <w:marTop w:val="0"/>
      <w:marBottom w:val="0"/>
      <w:divBdr>
        <w:top w:val="none" w:sz="0" w:space="0" w:color="auto"/>
        <w:left w:val="none" w:sz="0" w:space="0" w:color="auto"/>
        <w:bottom w:val="none" w:sz="0" w:space="0" w:color="auto"/>
        <w:right w:val="none" w:sz="0" w:space="0" w:color="auto"/>
      </w:divBdr>
    </w:div>
    <w:div w:id="624115028">
      <w:bodyDiv w:val="1"/>
      <w:marLeft w:val="0"/>
      <w:marRight w:val="0"/>
      <w:marTop w:val="0"/>
      <w:marBottom w:val="0"/>
      <w:divBdr>
        <w:top w:val="none" w:sz="0" w:space="0" w:color="auto"/>
        <w:left w:val="none" w:sz="0" w:space="0" w:color="auto"/>
        <w:bottom w:val="none" w:sz="0" w:space="0" w:color="auto"/>
        <w:right w:val="none" w:sz="0" w:space="0" w:color="auto"/>
      </w:divBdr>
    </w:div>
    <w:div w:id="649134357">
      <w:bodyDiv w:val="1"/>
      <w:marLeft w:val="0"/>
      <w:marRight w:val="0"/>
      <w:marTop w:val="0"/>
      <w:marBottom w:val="0"/>
      <w:divBdr>
        <w:top w:val="none" w:sz="0" w:space="0" w:color="auto"/>
        <w:left w:val="none" w:sz="0" w:space="0" w:color="auto"/>
        <w:bottom w:val="none" w:sz="0" w:space="0" w:color="auto"/>
        <w:right w:val="none" w:sz="0" w:space="0" w:color="auto"/>
      </w:divBdr>
    </w:div>
    <w:div w:id="677193372">
      <w:bodyDiv w:val="1"/>
      <w:marLeft w:val="0"/>
      <w:marRight w:val="0"/>
      <w:marTop w:val="0"/>
      <w:marBottom w:val="0"/>
      <w:divBdr>
        <w:top w:val="none" w:sz="0" w:space="0" w:color="auto"/>
        <w:left w:val="none" w:sz="0" w:space="0" w:color="auto"/>
        <w:bottom w:val="none" w:sz="0" w:space="0" w:color="auto"/>
        <w:right w:val="none" w:sz="0" w:space="0" w:color="auto"/>
      </w:divBdr>
    </w:div>
    <w:div w:id="695735718">
      <w:bodyDiv w:val="1"/>
      <w:marLeft w:val="0"/>
      <w:marRight w:val="0"/>
      <w:marTop w:val="0"/>
      <w:marBottom w:val="0"/>
      <w:divBdr>
        <w:top w:val="none" w:sz="0" w:space="0" w:color="auto"/>
        <w:left w:val="none" w:sz="0" w:space="0" w:color="auto"/>
        <w:bottom w:val="none" w:sz="0" w:space="0" w:color="auto"/>
        <w:right w:val="none" w:sz="0" w:space="0" w:color="auto"/>
      </w:divBdr>
    </w:div>
    <w:div w:id="705102564">
      <w:bodyDiv w:val="1"/>
      <w:marLeft w:val="0"/>
      <w:marRight w:val="0"/>
      <w:marTop w:val="0"/>
      <w:marBottom w:val="0"/>
      <w:divBdr>
        <w:top w:val="none" w:sz="0" w:space="0" w:color="auto"/>
        <w:left w:val="none" w:sz="0" w:space="0" w:color="auto"/>
        <w:bottom w:val="none" w:sz="0" w:space="0" w:color="auto"/>
        <w:right w:val="none" w:sz="0" w:space="0" w:color="auto"/>
      </w:divBdr>
    </w:div>
    <w:div w:id="823622390">
      <w:bodyDiv w:val="1"/>
      <w:marLeft w:val="0"/>
      <w:marRight w:val="0"/>
      <w:marTop w:val="0"/>
      <w:marBottom w:val="0"/>
      <w:divBdr>
        <w:top w:val="none" w:sz="0" w:space="0" w:color="auto"/>
        <w:left w:val="none" w:sz="0" w:space="0" w:color="auto"/>
        <w:bottom w:val="none" w:sz="0" w:space="0" w:color="auto"/>
        <w:right w:val="none" w:sz="0" w:space="0" w:color="auto"/>
      </w:divBdr>
    </w:div>
    <w:div w:id="979652394">
      <w:bodyDiv w:val="1"/>
      <w:marLeft w:val="0"/>
      <w:marRight w:val="0"/>
      <w:marTop w:val="0"/>
      <w:marBottom w:val="0"/>
      <w:divBdr>
        <w:top w:val="none" w:sz="0" w:space="0" w:color="auto"/>
        <w:left w:val="none" w:sz="0" w:space="0" w:color="auto"/>
        <w:bottom w:val="none" w:sz="0" w:space="0" w:color="auto"/>
        <w:right w:val="none" w:sz="0" w:space="0" w:color="auto"/>
      </w:divBdr>
    </w:div>
    <w:div w:id="998270869">
      <w:bodyDiv w:val="1"/>
      <w:marLeft w:val="0"/>
      <w:marRight w:val="0"/>
      <w:marTop w:val="0"/>
      <w:marBottom w:val="0"/>
      <w:divBdr>
        <w:top w:val="none" w:sz="0" w:space="0" w:color="auto"/>
        <w:left w:val="none" w:sz="0" w:space="0" w:color="auto"/>
        <w:bottom w:val="none" w:sz="0" w:space="0" w:color="auto"/>
        <w:right w:val="none" w:sz="0" w:space="0" w:color="auto"/>
      </w:divBdr>
    </w:div>
    <w:div w:id="1072436001">
      <w:bodyDiv w:val="1"/>
      <w:marLeft w:val="0"/>
      <w:marRight w:val="0"/>
      <w:marTop w:val="0"/>
      <w:marBottom w:val="0"/>
      <w:divBdr>
        <w:top w:val="none" w:sz="0" w:space="0" w:color="auto"/>
        <w:left w:val="none" w:sz="0" w:space="0" w:color="auto"/>
        <w:bottom w:val="none" w:sz="0" w:space="0" w:color="auto"/>
        <w:right w:val="none" w:sz="0" w:space="0" w:color="auto"/>
      </w:divBdr>
    </w:div>
    <w:div w:id="1133714802">
      <w:bodyDiv w:val="1"/>
      <w:marLeft w:val="0"/>
      <w:marRight w:val="0"/>
      <w:marTop w:val="0"/>
      <w:marBottom w:val="0"/>
      <w:divBdr>
        <w:top w:val="none" w:sz="0" w:space="0" w:color="auto"/>
        <w:left w:val="none" w:sz="0" w:space="0" w:color="auto"/>
        <w:bottom w:val="none" w:sz="0" w:space="0" w:color="auto"/>
        <w:right w:val="none" w:sz="0" w:space="0" w:color="auto"/>
      </w:divBdr>
    </w:div>
    <w:div w:id="1139111938">
      <w:bodyDiv w:val="1"/>
      <w:marLeft w:val="0"/>
      <w:marRight w:val="0"/>
      <w:marTop w:val="0"/>
      <w:marBottom w:val="0"/>
      <w:divBdr>
        <w:top w:val="none" w:sz="0" w:space="0" w:color="auto"/>
        <w:left w:val="none" w:sz="0" w:space="0" w:color="auto"/>
        <w:bottom w:val="none" w:sz="0" w:space="0" w:color="auto"/>
        <w:right w:val="none" w:sz="0" w:space="0" w:color="auto"/>
      </w:divBdr>
    </w:div>
    <w:div w:id="1244870928">
      <w:bodyDiv w:val="1"/>
      <w:marLeft w:val="0"/>
      <w:marRight w:val="0"/>
      <w:marTop w:val="0"/>
      <w:marBottom w:val="0"/>
      <w:divBdr>
        <w:top w:val="none" w:sz="0" w:space="0" w:color="auto"/>
        <w:left w:val="none" w:sz="0" w:space="0" w:color="auto"/>
        <w:bottom w:val="none" w:sz="0" w:space="0" w:color="auto"/>
        <w:right w:val="none" w:sz="0" w:space="0" w:color="auto"/>
      </w:divBdr>
    </w:div>
    <w:div w:id="1293705804">
      <w:bodyDiv w:val="1"/>
      <w:marLeft w:val="0"/>
      <w:marRight w:val="0"/>
      <w:marTop w:val="0"/>
      <w:marBottom w:val="0"/>
      <w:divBdr>
        <w:top w:val="none" w:sz="0" w:space="0" w:color="auto"/>
        <w:left w:val="none" w:sz="0" w:space="0" w:color="auto"/>
        <w:bottom w:val="none" w:sz="0" w:space="0" w:color="auto"/>
        <w:right w:val="none" w:sz="0" w:space="0" w:color="auto"/>
      </w:divBdr>
    </w:div>
    <w:div w:id="1554466620">
      <w:bodyDiv w:val="1"/>
      <w:marLeft w:val="0"/>
      <w:marRight w:val="0"/>
      <w:marTop w:val="0"/>
      <w:marBottom w:val="0"/>
      <w:divBdr>
        <w:top w:val="none" w:sz="0" w:space="0" w:color="auto"/>
        <w:left w:val="none" w:sz="0" w:space="0" w:color="auto"/>
        <w:bottom w:val="none" w:sz="0" w:space="0" w:color="auto"/>
        <w:right w:val="none" w:sz="0" w:space="0" w:color="auto"/>
      </w:divBdr>
    </w:div>
    <w:div w:id="1575432079">
      <w:bodyDiv w:val="1"/>
      <w:marLeft w:val="0"/>
      <w:marRight w:val="0"/>
      <w:marTop w:val="0"/>
      <w:marBottom w:val="0"/>
      <w:divBdr>
        <w:top w:val="none" w:sz="0" w:space="0" w:color="auto"/>
        <w:left w:val="none" w:sz="0" w:space="0" w:color="auto"/>
        <w:bottom w:val="none" w:sz="0" w:space="0" w:color="auto"/>
        <w:right w:val="none" w:sz="0" w:space="0" w:color="auto"/>
      </w:divBdr>
    </w:div>
    <w:div w:id="1649944270">
      <w:bodyDiv w:val="1"/>
      <w:marLeft w:val="0"/>
      <w:marRight w:val="0"/>
      <w:marTop w:val="0"/>
      <w:marBottom w:val="0"/>
      <w:divBdr>
        <w:top w:val="none" w:sz="0" w:space="0" w:color="auto"/>
        <w:left w:val="none" w:sz="0" w:space="0" w:color="auto"/>
        <w:bottom w:val="none" w:sz="0" w:space="0" w:color="auto"/>
        <w:right w:val="none" w:sz="0" w:space="0" w:color="auto"/>
      </w:divBdr>
    </w:div>
    <w:div w:id="1696073046">
      <w:bodyDiv w:val="1"/>
      <w:marLeft w:val="0"/>
      <w:marRight w:val="0"/>
      <w:marTop w:val="0"/>
      <w:marBottom w:val="0"/>
      <w:divBdr>
        <w:top w:val="none" w:sz="0" w:space="0" w:color="auto"/>
        <w:left w:val="none" w:sz="0" w:space="0" w:color="auto"/>
        <w:bottom w:val="none" w:sz="0" w:space="0" w:color="auto"/>
        <w:right w:val="none" w:sz="0" w:space="0" w:color="auto"/>
      </w:divBdr>
    </w:div>
    <w:div w:id="1927416284">
      <w:bodyDiv w:val="1"/>
      <w:marLeft w:val="0"/>
      <w:marRight w:val="0"/>
      <w:marTop w:val="0"/>
      <w:marBottom w:val="0"/>
      <w:divBdr>
        <w:top w:val="none" w:sz="0" w:space="0" w:color="auto"/>
        <w:left w:val="none" w:sz="0" w:space="0" w:color="auto"/>
        <w:bottom w:val="none" w:sz="0" w:space="0" w:color="auto"/>
        <w:right w:val="none" w:sz="0" w:space="0" w:color="auto"/>
      </w:divBdr>
    </w:div>
    <w:div w:id="1960993745">
      <w:bodyDiv w:val="1"/>
      <w:marLeft w:val="0"/>
      <w:marRight w:val="0"/>
      <w:marTop w:val="0"/>
      <w:marBottom w:val="0"/>
      <w:divBdr>
        <w:top w:val="none" w:sz="0" w:space="0" w:color="auto"/>
        <w:left w:val="none" w:sz="0" w:space="0" w:color="auto"/>
        <w:bottom w:val="none" w:sz="0" w:space="0" w:color="auto"/>
        <w:right w:val="none" w:sz="0" w:space="0" w:color="auto"/>
      </w:divBdr>
    </w:div>
    <w:div w:id="2011331598">
      <w:bodyDiv w:val="1"/>
      <w:marLeft w:val="0"/>
      <w:marRight w:val="0"/>
      <w:marTop w:val="0"/>
      <w:marBottom w:val="0"/>
      <w:divBdr>
        <w:top w:val="none" w:sz="0" w:space="0" w:color="auto"/>
        <w:left w:val="none" w:sz="0" w:space="0" w:color="auto"/>
        <w:bottom w:val="none" w:sz="0" w:space="0" w:color="auto"/>
        <w:right w:val="none" w:sz="0" w:space="0" w:color="auto"/>
      </w:divBdr>
    </w:div>
    <w:div w:id="2092461131">
      <w:bodyDiv w:val="1"/>
      <w:marLeft w:val="0"/>
      <w:marRight w:val="0"/>
      <w:marTop w:val="0"/>
      <w:marBottom w:val="0"/>
      <w:divBdr>
        <w:top w:val="none" w:sz="0" w:space="0" w:color="auto"/>
        <w:left w:val="none" w:sz="0" w:space="0" w:color="auto"/>
        <w:bottom w:val="none" w:sz="0" w:space="0" w:color="auto"/>
        <w:right w:val="none" w:sz="0" w:space="0" w:color="auto"/>
      </w:divBdr>
    </w:div>
    <w:div w:id="213347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www.tga.gov.au/black-triangle-scheme" TargetMode="External"/><Relationship Id="rId26" Type="http://schemas.openxmlformats.org/officeDocument/2006/relationships/hyperlink" Target="https://www.tga.gov.au/resources/auspar/auspar-tozinameran-1" TargetMode="External"/><Relationship Id="rId39" Type="http://schemas.openxmlformats.org/officeDocument/2006/relationships/hyperlink" Target="https://www.tga.gov.au/resources/auspar/auspar-nuvaxovid-heterologous-booster" TargetMode="External"/><Relationship Id="rId21" Type="http://schemas.openxmlformats.org/officeDocument/2006/relationships/hyperlink" Target="https://www.tga.gov.au/resources/auspar/auspar-bnt162b2-mrna-0" TargetMode="External"/><Relationship Id="rId34" Type="http://schemas.openxmlformats.org/officeDocument/2006/relationships/hyperlink" Target="https://www.tga.gov.au/resources/auspar/auspar-elasomeran-1" TargetMode="External"/><Relationship Id="rId42" Type="http://schemas.openxmlformats.org/officeDocument/2006/relationships/hyperlink" Target="https://www.health.gov.au/initiatives-and-progr%C3%A4ms/covid-19-vaccines" TargetMode="External"/><Relationship Id="rId47" Type="http://schemas.openxmlformats.org/officeDocument/2006/relationships/hyperlink" Target="https://www.tga.gov.au/products/covid-19/covid-19-vaccines/covid-19-vaccine-approval-process" TargetMode="External"/><Relationship Id="rId50" Type="http://schemas.openxmlformats.org/officeDocument/2006/relationships/hyperlink" Target="https://www.tga.gov.au/products/australian-register-therapeutic-goods-artg/consumer-medicines-information-cmi" TargetMode="External"/><Relationship Id="rId55" Type="http://schemas.openxmlformats.org/officeDocument/2006/relationships/image" Target="media/image5.png"/><Relationship Id="rId63" Type="http://schemas.openxmlformats.org/officeDocument/2006/relationships/image" Target="media/image13.png"/><Relationship Id="rId68" Type="http://schemas.openxmlformats.org/officeDocument/2006/relationships/header" Target="header3.xml"/><Relationship Id="rId7" Type="http://schemas.openxmlformats.org/officeDocument/2006/relationships/settings" Target="settings.xml"/><Relationship Id="rId71" Type="http://schemas.openxmlformats.org/officeDocument/2006/relationships/hyperlink" Target="https://www.tga.gov.au" TargetMode="External"/><Relationship Id="rId2" Type="http://schemas.openxmlformats.org/officeDocument/2006/relationships/customXml" Target="../customXml/item2.xml"/><Relationship Id="rId16" Type="http://schemas.openxmlformats.org/officeDocument/2006/relationships/hyperlink" Target="https://www.tga.gov.au/australian-public-assessment-report-auspar-guidance" TargetMode="External"/><Relationship Id="rId29" Type="http://schemas.openxmlformats.org/officeDocument/2006/relationships/hyperlink" Target="https://www.tga.gov.au/resources/auspar/auspar-chadox-1-s" TargetMode="External"/><Relationship Id="rId11" Type="http://schemas.openxmlformats.org/officeDocument/2006/relationships/header" Target="header1.xml"/><Relationship Id="rId24" Type="http://schemas.openxmlformats.org/officeDocument/2006/relationships/hyperlink" Target="https://www.tga.gov.au/resources/auspar/auspar-tozinameran-0" TargetMode="External"/><Relationship Id="rId32" Type="http://schemas.openxmlformats.org/officeDocument/2006/relationships/hyperlink" Target="https://www.tga.gov.au/resources/auspar/auspar-elasomeran-0" TargetMode="External"/><Relationship Id="rId37" Type="http://schemas.openxmlformats.org/officeDocument/2006/relationships/hyperlink" Target="https://www.tga.gov.au/resources/auspar/auspar-sars-cov-2-rs-matrix-m-adjuvant" TargetMode="External"/><Relationship Id="rId40" Type="http://schemas.openxmlformats.org/officeDocument/2006/relationships/hyperlink" Target="https://www.tga.gov.au/products/covid-19/covid-19-vaccines" TargetMode="External"/><Relationship Id="rId45" Type="http://schemas.openxmlformats.org/officeDocument/2006/relationships/hyperlink" Target="https://www.tga.gov.au/resources/auspar/auspar-comirnaty-original-omicron-ba1-covid-19-vaccine" TargetMode="External"/><Relationship Id="rId53" Type="http://schemas.openxmlformats.org/officeDocument/2006/relationships/hyperlink" Target="https://www.who.int/docs/default-source/blue-print/working-group-for-vaccine-evaluation-(4th-consultation)/ap1-guidelines-online-consultation.pdf" TargetMode="External"/><Relationship Id="rId58" Type="http://schemas.openxmlformats.org/officeDocument/2006/relationships/image" Target="media/image8.png"/><Relationship Id="rId66" Type="http://schemas.openxmlformats.org/officeDocument/2006/relationships/hyperlink" Target="https://www.tga.gov.au/committee/advisory-committee-vaccines-acv" TargetMode="External"/><Relationship Id="rId7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www.tga.gov.au" TargetMode="External"/><Relationship Id="rId23" Type="http://schemas.openxmlformats.org/officeDocument/2006/relationships/hyperlink" Target="https://www.tga.gov.au/resources/auspar/auspar-tozinameran-mrna-covid-19-vaccine" TargetMode="External"/><Relationship Id="rId28" Type="http://schemas.openxmlformats.org/officeDocument/2006/relationships/hyperlink" Target="https://www.tga.gov.au/resources/auspar/auspar-chadox1-s" TargetMode="External"/><Relationship Id="rId36" Type="http://schemas.openxmlformats.org/officeDocument/2006/relationships/hyperlink" Target="https://www.tga.gov.au/resources/auspar/auspar-spikevax-0" TargetMode="External"/><Relationship Id="rId49" Type="http://schemas.openxmlformats.org/officeDocument/2006/relationships/hyperlink" Target="https://www.tga.gov.au/products/australian-register-therapeutic-goods-artg/product-information-one" TargetMode="External"/><Relationship Id="rId57" Type="http://schemas.openxmlformats.org/officeDocument/2006/relationships/image" Target="media/image7.png"/><Relationship Id="rId61"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hyperlink" Target="https://www.tga.gov.au/resources/auspar/auspar-bnt162b2-mrna-comirnaty" TargetMode="External"/><Relationship Id="rId31" Type="http://schemas.openxmlformats.org/officeDocument/2006/relationships/hyperlink" Target="https://www.tga.gov.au/resources/auspar/auspar-elasomeran" TargetMode="External"/><Relationship Id="rId44" Type="http://schemas.openxmlformats.org/officeDocument/2006/relationships/hyperlink" Target="https://www.tga.gov.au/resources/auspar/auspar-spikevax-bivalent-originalomicron-ba4-5" TargetMode="External"/><Relationship Id="rId52" Type="http://schemas.openxmlformats.org/officeDocument/2006/relationships/hyperlink" Target="https://www.tga.gov.au/products/covid-19/covid-19-vaccines/covid-19-vaccine-approval-process" TargetMode="External"/><Relationship Id="rId60" Type="http://schemas.openxmlformats.org/officeDocument/2006/relationships/image" Target="media/image10.png"/><Relationship Id="rId65" Type="http://schemas.openxmlformats.org/officeDocument/2006/relationships/image" Target="media/image15.emf"/><Relationship Id="rId73"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hyperlink" Target="https://www.tga.gov.au/resources/auspar/auspar-tozinameran-mrna-covid-19-vaccine" TargetMode="External"/><Relationship Id="rId27" Type="http://schemas.openxmlformats.org/officeDocument/2006/relationships/hyperlink" Target="https://www.tga.gov.au/news/media-releases/tga-approves-name-change-covid-19-vaccine-astrazeneca-vaxzevria" TargetMode="External"/><Relationship Id="rId30" Type="http://schemas.openxmlformats.org/officeDocument/2006/relationships/hyperlink" Target="https://www.tga.gov.au/resources/auspar/auspar-ad26cov2s" TargetMode="External"/><Relationship Id="rId35" Type="http://schemas.openxmlformats.org/officeDocument/2006/relationships/hyperlink" Target="https://www.tga.gov.au/resources/auspar/auspar-spikevax" TargetMode="External"/><Relationship Id="rId43" Type="http://schemas.openxmlformats.org/officeDocument/2006/relationships/hyperlink" Target="https://www.tga.gov.au/resources/auspar/auspar-spikevax-bivalent-originalomicron" TargetMode="External"/><Relationship Id="rId48" Type="http://schemas.openxmlformats.org/officeDocument/2006/relationships/hyperlink" Target="https://www.tga.gov.au/products/australian-register-therapeutic-goods-artg/product-information-one" TargetMode="External"/><Relationship Id="rId56" Type="http://schemas.openxmlformats.org/officeDocument/2006/relationships/image" Target="media/image6.png"/><Relationship Id="rId64" Type="http://schemas.openxmlformats.org/officeDocument/2006/relationships/image" Target="media/image14.png"/><Relationship Id="rId69"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yperlink" Target="https://www.tga.gov.au/picmi-search-facility" TargetMode="External"/><Relationship Id="rId72"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tga.copyright@tga.gov.au" TargetMode="External"/><Relationship Id="rId25" Type="http://schemas.openxmlformats.org/officeDocument/2006/relationships/hyperlink" Target="https://www.tga.gov.au/resources/auspar/auspar-comirnaty" TargetMode="External"/><Relationship Id="rId33" Type="http://schemas.openxmlformats.org/officeDocument/2006/relationships/hyperlink" Target="https://www.tga.gov.au/resources/auspar/auspar-elasomeran-mrna-1273" TargetMode="External"/><Relationship Id="rId38" Type="http://schemas.openxmlformats.org/officeDocument/2006/relationships/hyperlink" Target="https://www.tga.gov.au/resources/auspar/auspar-nuvaxovid-homologous-booster" TargetMode="External"/><Relationship Id="rId46" Type="http://schemas.openxmlformats.org/officeDocument/2006/relationships/hyperlink" Target="https://www.tga.gov.au/resources/auspar/auspar-comirnaty-original-omicron-ba4-5-covid-19-vaccine" TargetMode="External"/><Relationship Id="rId59" Type="http://schemas.openxmlformats.org/officeDocument/2006/relationships/image" Target="media/image9.png"/><Relationship Id="rId67" Type="http://schemas.openxmlformats.org/officeDocument/2006/relationships/hyperlink" Target="https://www.tga.gov.au/picmi-search-facility" TargetMode="External"/><Relationship Id="rId20" Type="http://schemas.openxmlformats.org/officeDocument/2006/relationships/hyperlink" Target="https://www.tga.gov.au/resources/auspar/auspar-bnt162b2-mrna-comirnaty" TargetMode="External"/><Relationship Id="rId41" Type="http://schemas.openxmlformats.org/officeDocument/2006/relationships/hyperlink" Target="https://immunisationhandbook.health.gov.au/" TargetMode="External"/><Relationship Id="rId54" Type="http://schemas.openxmlformats.org/officeDocument/2006/relationships/image" Target="media/image4.png"/><Relationship Id="rId62" Type="http://schemas.openxmlformats.org/officeDocument/2006/relationships/image" Target="media/image12.png"/><Relationship Id="rId70" Type="http://schemas.openxmlformats.org/officeDocument/2006/relationships/hyperlink" Target="mailto:info@tga.gov.a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www.tga.gov.au/resources/auspar/auspar-elasomeran-1" TargetMode="External"/><Relationship Id="rId13" Type="http://schemas.openxmlformats.org/officeDocument/2006/relationships/hyperlink" Target="https://www.health.gov.au/committees-and-groups/australian-technical-advisory-group-on-immunisation-atagi" TargetMode="External"/><Relationship Id="rId3" Type="http://schemas.openxmlformats.org/officeDocument/2006/relationships/hyperlink" Target="https://covid19.who.int/region/wpro/country/au" TargetMode="External"/><Relationship Id="rId7" Type="http://schemas.openxmlformats.org/officeDocument/2006/relationships/hyperlink" Target="https://covid.cdc.gov/covid-data-tracker/" TargetMode="External"/><Relationship Id="rId12" Type="http://schemas.openxmlformats.org/officeDocument/2006/relationships/hyperlink" Target="https://www.health.gov.au/committees-and-groups/australian-technical-advisory-group-on-immunisation-atagi" TargetMode="External"/><Relationship Id="rId2" Type="http://schemas.openxmlformats.org/officeDocument/2006/relationships/hyperlink" Target="https://www.health.gov.au/health-alerts/covid-19/case-numbers-and-statistics" TargetMode="External"/><Relationship Id="rId1" Type="http://schemas.openxmlformats.org/officeDocument/2006/relationships/hyperlink" Target="https://www.who.int/director-general/speeches/detail/who-director-general-s-opening-remarks-at-the-media-briefing-on-covid-19---11-march-2020" TargetMode="External"/><Relationship Id="rId6" Type="http://schemas.openxmlformats.org/officeDocument/2006/relationships/hyperlink" Target="https://www.tga.gov.au/resources/auspar/auspar-spikevax-bivalent-originalomicron-ba4-5" TargetMode="External"/><Relationship Id="rId11" Type="http://schemas.openxmlformats.org/officeDocument/2006/relationships/hyperlink" Target="https://www.tga.gov.au/how-we-regulate/supply-therapeutic-good-0/supply-prescription-medicine/application-process/prescription-medicines-registration-process/phase-7-decision" TargetMode="External"/><Relationship Id="rId5" Type="http://schemas.openxmlformats.org/officeDocument/2006/relationships/hyperlink" Target="https://www.tga.gov.au/products/covid-19/covid-19-vaccines/covid-19-vaccine-provisional-registrations" TargetMode="External"/><Relationship Id="rId15" Type="http://schemas.openxmlformats.org/officeDocument/2006/relationships/hyperlink" Target="https://immunisationhandbook.health.gov.au/" TargetMode="External"/><Relationship Id="rId10" Type="http://schemas.openxmlformats.org/officeDocument/2006/relationships/hyperlink" Target="https://www.tga.gov.au/resources/resource/guidance/provisional-registration-extension-and-transition-full-registration" TargetMode="External"/><Relationship Id="rId4" Type="http://schemas.openxmlformats.org/officeDocument/2006/relationships/hyperlink" Target="https://www.cdc.gov/coronavirus/2019-ncov/vaccines/vaccine-benefits.html" TargetMode="External"/><Relationship Id="rId9" Type="http://schemas.openxmlformats.org/officeDocument/2006/relationships/hyperlink" Target="https://covid.cdc.gov/covid-data-tracker/" TargetMode="External"/><Relationship Id="rId14" Type="http://schemas.openxmlformats.org/officeDocument/2006/relationships/hyperlink" Target="https://www.health.gov.au/our-work/national-immunisation-program"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fe8e9ee1-c2e3-4952-8c38-c734ea004ddf">
      <UserInfo>
        <DisplayName>Dominika Stawiecka</DisplayName>
        <AccountId>548</AccountId>
        <AccountType/>
      </UserInfo>
      <UserInfo>
        <DisplayName>Veronica Urdaneta</DisplayName>
        <AccountId>76</AccountId>
        <AccountType/>
      </UserInfo>
      <UserInfo>
        <DisplayName>Michelle Olsen</DisplayName>
        <AccountId>28</AccountId>
        <AccountType/>
      </UserInfo>
      <UserInfo>
        <DisplayName>Amparo Figueroa</DisplayName>
        <AccountId>45</AccountId>
        <AccountType/>
      </UserInfo>
      <UserInfo>
        <DisplayName>Lana Gregory</DisplayName>
        <AccountId>894</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0478049D6F4B4408C09CDB7EF399612" ma:contentTypeVersion="6" ma:contentTypeDescription="Create a new document." ma:contentTypeScope="" ma:versionID="d6401d63c35a25716cef23dafbea2e3f">
  <xsd:schema xmlns:xsd="http://www.w3.org/2001/XMLSchema" xmlns:xs="http://www.w3.org/2001/XMLSchema" xmlns:p="http://schemas.microsoft.com/office/2006/metadata/properties" xmlns:ns2="fe8e9ee1-c2e3-4952-8c38-c734ea004ddf" xmlns:ns3="e75b8da0-2475-4e39-99e2-00680a850146" targetNamespace="http://schemas.microsoft.com/office/2006/metadata/properties" ma:root="true" ma:fieldsID="3df98d8d024c24262a452ea5b6f90bd5" ns2:_="" ns3:_="">
    <xsd:import namespace="fe8e9ee1-c2e3-4952-8c38-c734ea004ddf"/>
    <xsd:import namespace="e75b8da0-2475-4e39-99e2-00680a850146"/>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8e9ee1-c2e3-4952-8c38-c734ea004ddf"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75b8da0-2475-4e39-99e2-00680a85014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FEEA1E7-31F1-49AE-9750-CC48A34B1B42}">
  <ds:schemaRefs>
    <ds:schemaRef ds:uri="http://schemas.openxmlformats.org/officeDocument/2006/bibliography"/>
  </ds:schemaRefs>
</ds:datastoreItem>
</file>

<file path=customXml/itemProps2.xml><?xml version="1.0" encoding="utf-8"?>
<ds:datastoreItem xmlns:ds="http://schemas.openxmlformats.org/officeDocument/2006/customXml" ds:itemID="{E7EFBC7E-EEA4-422F-9018-D66710C953C3}">
  <ds:schemaRefs>
    <ds:schemaRef ds:uri="http://schemas.microsoft.com/office/2006/documentManagement/types"/>
    <ds:schemaRef ds:uri="http://purl.org/dc/elements/1.1/"/>
    <ds:schemaRef ds:uri="http://schemas.microsoft.com/office/2006/metadata/properties"/>
    <ds:schemaRef ds:uri="fe8e9ee1-c2e3-4952-8c38-c734ea004ddf"/>
    <ds:schemaRef ds:uri="http://purl.org/dc/terms/"/>
    <ds:schemaRef ds:uri="http://schemas.openxmlformats.org/package/2006/metadata/core-properties"/>
    <ds:schemaRef ds:uri="http://purl.org/dc/dcmitype/"/>
    <ds:schemaRef ds:uri="http://schemas.microsoft.com/office/infopath/2007/PartnerControls"/>
    <ds:schemaRef ds:uri="e75b8da0-2475-4e39-99e2-00680a850146"/>
    <ds:schemaRef ds:uri="http://www.w3.org/XML/1998/namespace"/>
  </ds:schemaRefs>
</ds:datastoreItem>
</file>

<file path=customXml/itemProps3.xml><?xml version="1.0" encoding="utf-8"?>
<ds:datastoreItem xmlns:ds="http://schemas.openxmlformats.org/officeDocument/2006/customXml" ds:itemID="{E4B64F21-D7C6-4259-8428-77C8339C7F63}">
  <ds:schemaRefs>
    <ds:schemaRef ds:uri="http://schemas.microsoft.com/sharepoint/v3/contenttype/forms"/>
  </ds:schemaRefs>
</ds:datastoreItem>
</file>

<file path=customXml/itemProps4.xml><?xml version="1.0" encoding="utf-8"?>
<ds:datastoreItem xmlns:ds="http://schemas.openxmlformats.org/officeDocument/2006/customXml" ds:itemID="{9DA6D6A1-59DB-4BF2-86B2-470150134D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8e9ee1-c2e3-4952-8c38-c734ea004ddf"/>
    <ds:schemaRef ds:uri="e75b8da0-2475-4e39-99e2-00680a8501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699</TotalTime>
  <Pages>65</Pages>
  <Words>26570</Words>
  <Characters>151454</Characters>
  <Application>Microsoft Office Word</Application>
  <DocSecurity>0</DocSecurity>
  <Lines>1262</Lines>
  <Paragraphs>355</Paragraphs>
  <ScaleCrop>false</ScaleCrop>
  <HeadingPairs>
    <vt:vector size="2" baseType="variant">
      <vt:variant>
        <vt:lpstr>Title</vt:lpstr>
      </vt:variant>
      <vt:variant>
        <vt:i4>1</vt:i4>
      </vt:variant>
    </vt:vector>
  </HeadingPairs>
  <TitlesOfParts>
    <vt:vector size="1" baseType="lpstr">
      <vt:lpstr>Australian public assessment report for</vt:lpstr>
    </vt:vector>
  </TitlesOfParts>
  <Company>Department of Health and Aged Care</Company>
  <LinksUpToDate>false</LinksUpToDate>
  <CharactersWithSpaces>177669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Spikevax</dc:title>
  <dc:subject>Prescription medicine regulation</dc:subject>
  <dc:creator>Therapeutic Goods Administration</dc:creator>
  <cp:keywords/>
  <dc:description/>
  <cp:lastModifiedBy>KOLARIK-O'REILLY, Kristy</cp:lastModifiedBy>
  <cp:revision>23</cp:revision>
  <dcterms:created xsi:type="dcterms:W3CDTF">2023-05-05T06:00:00Z</dcterms:created>
  <dcterms:modified xsi:type="dcterms:W3CDTF">2023-05-10T22:59:00Z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0x010100A0478049D6F4B4408C09CDB7EF399612</vt:lpwstr>
  </property>
</Properties>
</file>