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C9B8" w14:textId="08ED4B80" w:rsidR="002F5236" w:rsidRPr="005422B9" w:rsidRDefault="002F5236" w:rsidP="00E0141F">
      <w:pPr>
        <w:pStyle w:val="CLDNormal"/>
        <w:rPr>
          <w:rFonts w:eastAsiaTheme="minorHAnsi"/>
          <w:lang w:val="en-AU"/>
        </w:rPr>
      </w:pPr>
      <w:r w:rsidRPr="005422B9">
        <w:rPr>
          <w:rFonts w:eastAsiaTheme="minorHAnsi"/>
          <w:noProof/>
          <w:lang w:val="en-AU" w:eastAsia="en-AU"/>
        </w:rPr>
        <mc:AlternateContent>
          <mc:Choice Requires="wps">
            <w:drawing>
              <wp:inline distT="0" distB="0" distL="0" distR="0" wp14:anchorId="585E425B" wp14:editId="3324940C">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5FD91" w14:textId="77777777" w:rsidR="00792757" w:rsidRPr="00BE2A26" w:rsidRDefault="00792757" w:rsidP="002F5236">
                            <w:pPr>
                              <w:spacing w:after="0"/>
                              <w:rPr>
                                <w:rFonts w:ascii="Wingdings 3" w:hAnsi="Wingdings 3" w:hint="eastAsia"/>
                              </w:rPr>
                            </w:pPr>
                            <w:r w:rsidRPr="00BE2A26">
                              <w:rPr>
                                <w:rFonts w:ascii="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85E425B"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0DA5FD91" w14:textId="77777777" w:rsidR="00792757" w:rsidRPr="00BE2A26" w:rsidRDefault="00792757" w:rsidP="002F5236">
                      <w:pPr>
                        <w:spacing w:after="0"/>
                        <w:rPr>
                          <w:rFonts w:ascii="Wingdings 3" w:hAnsi="Wingdings 3" w:hint="eastAsia"/>
                        </w:rPr>
                      </w:pPr>
                      <w:r w:rsidRPr="00BE2A26">
                        <w:rPr>
                          <w:rFonts w:ascii="SimSun" w:hAnsi="SimSun" w:cs="Arial" w:hint="eastAsia"/>
                          <w:sz w:val="40"/>
                        </w:rPr>
                        <w:t>▼</w:t>
                      </w:r>
                    </w:p>
                  </w:txbxContent>
                </v:textbox>
                <w10:anchorlock/>
              </v:shape>
            </w:pict>
          </mc:Fallback>
        </mc:AlternateContent>
      </w:r>
      <w:r w:rsidRPr="005422B9">
        <w:rPr>
          <w:rFonts w:eastAsiaTheme="minorHAnsi"/>
          <w:lang w:val="en-AU"/>
        </w:rPr>
        <w:t xml:space="preserve">This </w:t>
      </w:r>
      <w:r w:rsidR="00A565FF" w:rsidRPr="005422B9">
        <w:rPr>
          <w:rFonts w:eastAsiaTheme="minorHAnsi"/>
          <w:lang w:val="en-AU"/>
        </w:rPr>
        <w:t>vaccine</w:t>
      </w:r>
      <w:r w:rsidRPr="005422B9">
        <w:rPr>
          <w:rFonts w:eastAsiaTheme="minorHAnsi"/>
          <w:lang w:val="en-AU"/>
        </w:rPr>
        <w:t xml:space="preserve"> is subject to additional monitoring </w:t>
      </w:r>
      <w:r w:rsidRPr="005422B9">
        <w:rPr>
          <w:rFonts w:eastAsiaTheme="minorHAnsi"/>
          <w:b/>
          <w:bCs/>
          <w:lang w:val="en-AU"/>
        </w:rPr>
        <w:t>in Australia</w:t>
      </w:r>
      <w:r w:rsidRPr="005422B9">
        <w:rPr>
          <w:rFonts w:eastAsiaTheme="minorHAnsi"/>
          <w:lang w:val="en-AU"/>
        </w:rPr>
        <w:t xml:space="preserve">. This will allow quick identification of new safety information. Healthcare professionals are asked to report any suspected adverse events at </w:t>
      </w:r>
      <w:hyperlink r:id="rId12" w:history="1">
        <w:r w:rsidRPr="005422B9">
          <w:rPr>
            <w:rFonts w:eastAsiaTheme="minorHAnsi"/>
            <w:u w:val="single"/>
            <w:lang w:val="en-AU"/>
          </w:rPr>
          <w:t>www.tga.gov.au/reporting-problems</w:t>
        </w:r>
      </w:hyperlink>
      <w:r w:rsidRPr="005422B9">
        <w:rPr>
          <w:rFonts w:eastAsiaTheme="minorHAnsi"/>
          <w:lang w:val="en-AU"/>
        </w:rPr>
        <w:t>.</w:t>
      </w:r>
    </w:p>
    <w:p w14:paraId="048E8039" w14:textId="0C3DB8A4" w:rsidR="005F0573" w:rsidRPr="005422B9" w:rsidRDefault="003B255D" w:rsidP="00E0141F">
      <w:pPr>
        <w:pStyle w:val="CLDTITLE"/>
        <w:rPr>
          <w:kern w:val="0"/>
          <w:lang w:val="en-AU"/>
        </w:rPr>
      </w:pPr>
      <w:r w:rsidRPr="005422B9">
        <w:rPr>
          <w:kern w:val="0"/>
          <w:lang w:val="en-AU"/>
        </w:rPr>
        <w:t>AUSTRALIAN PRODUCT INFORMATION –</w:t>
      </w:r>
      <w:r w:rsidR="005809FF" w:rsidRPr="005422B9">
        <w:rPr>
          <w:kern w:val="0"/>
          <w:lang w:val="en-AU"/>
        </w:rPr>
        <w:t xml:space="preserve"> </w:t>
      </w:r>
      <w:r w:rsidR="00E715A3" w:rsidRPr="005422B9">
        <w:rPr>
          <w:kern w:val="0"/>
          <w:lang w:val="en-AU"/>
        </w:rPr>
        <w:t>PREVENAR 20</w:t>
      </w:r>
      <w:r w:rsidR="00076636">
        <w:rPr>
          <w:kern w:val="0"/>
          <w:vertAlign w:val="superscript"/>
          <w:lang w:val="en-AU"/>
        </w:rPr>
        <w:t>®</w:t>
      </w:r>
      <w:r w:rsidRPr="005422B9">
        <w:rPr>
          <w:kern w:val="0"/>
          <w:lang w:val="en-AU"/>
        </w:rPr>
        <w:t xml:space="preserve"> (</w:t>
      </w:r>
      <w:r w:rsidR="00E715A3" w:rsidRPr="005422B9">
        <w:rPr>
          <w:kern w:val="0"/>
          <w:lang w:val="en-AU"/>
        </w:rPr>
        <w:t>p</w:t>
      </w:r>
      <w:r w:rsidR="00E715A3" w:rsidRPr="005422B9">
        <w:rPr>
          <w:lang w:val="en-AU"/>
        </w:rPr>
        <w:t xml:space="preserve">neumococcal polysaccharide conjugate, 20-valent adsorbed) </w:t>
      </w:r>
      <w:r w:rsidR="00754133" w:rsidRPr="005422B9">
        <w:rPr>
          <w:kern w:val="0"/>
          <w:lang w:val="en-AU"/>
        </w:rPr>
        <w:t>VACCINE</w:t>
      </w:r>
    </w:p>
    <w:p w14:paraId="69D9BF28" w14:textId="6F04F5C4" w:rsidR="00EB4D43" w:rsidRPr="005422B9" w:rsidRDefault="00E60520" w:rsidP="00E0141F">
      <w:pPr>
        <w:pStyle w:val="CLDHeading1"/>
        <w:rPr>
          <w:kern w:val="0"/>
          <w:lang w:val="en-AU"/>
        </w:rPr>
      </w:pPr>
      <w:r w:rsidRPr="005422B9">
        <w:rPr>
          <w:kern w:val="0"/>
          <w:lang w:val="en-AU"/>
        </w:rPr>
        <w:t>1.</w:t>
      </w:r>
      <w:r w:rsidR="00294A15" w:rsidRPr="005422B9">
        <w:rPr>
          <w:kern w:val="0"/>
          <w:lang w:val="en-AU"/>
        </w:rPr>
        <w:tab/>
      </w:r>
      <w:r w:rsidRPr="005422B9">
        <w:rPr>
          <w:kern w:val="0"/>
          <w:lang w:val="en-AU"/>
        </w:rPr>
        <w:t>NAME</w:t>
      </w:r>
      <w:r w:rsidR="003B255D" w:rsidRPr="005422B9">
        <w:rPr>
          <w:kern w:val="0"/>
          <w:lang w:val="en-AU"/>
        </w:rPr>
        <w:t xml:space="preserve"> OF THE MEDICINE</w:t>
      </w:r>
    </w:p>
    <w:p w14:paraId="61874110" w14:textId="17A12F68" w:rsidR="00636841" w:rsidRPr="005422B9" w:rsidRDefault="00E715A3" w:rsidP="00E0141F">
      <w:pPr>
        <w:pStyle w:val="CLDNormal"/>
        <w:rPr>
          <w:lang w:val="en-AU"/>
        </w:rPr>
      </w:pPr>
      <w:r w:rsidRPr="005422B9">
        <w:rPr>
          <w:lang w:val="en-AU"/>
        </w:rPr>
        <w:t>Pneumococcal polysaccharide conjugate vaccine (20-valent, adsorbed)</w:t>
      </w:r>
    </w:p>
    <w:p w14:paraId="1CD7F35B" w14:textId="59F87BB0" w:rsidR="00EB4D43" w:rsidRPr="005422B9" w:rsidRDefault="00294A15" w:rsidP="00E0141F">
      <w:pPr>
        <w:pStyle w:val="CLDHeading1"/>
        <w:rPr>
          <w:kern w:val="0"/>
          <w:lang w:val="en-AU"/>
        </w:rPr>
      </w:pPr>
      <w:r w:rsidRPr="005422B9">
        <w:rPr>
          <w:kern w:val="0"/>
          <w:lang w:val="en-AU"/>
        </w:rPr>
        <w:t>2.</w:t>
      </w:r>
      <w:r w:rsidRPr="005422B9">
        <w:rPr>
          <w:kern w:val="0"/>
          <w:lang w:val="en-AU"/>
        </w:rPr>
        <w:tab/>
      </w:r>
      <w:r w:rsidR="0018348D" w:rsidRPr="005422B9">
        <w:rPr>
          <w:kern w:val="0"/>
          <w:lang w:val="en-AU"/>
        </w:rPr>
        <w:t>QUALITATIVE AND QUANTITATIVE COMPOSITION</w:t>
      </w:r>
    </w:p>
    <w:p w14:paraId="09C93218" w14:textId="77777777" w:rsidR="00E715A3" w:rsidRPr="005422B9" w:rsidRDefault="00E715A3" w:rsidP="009950C7">
      <w:pPr>
        <w:spacing w:after="0"/>
        <w:rPr>
          <w:lang w:val="en-AU"/>
        </w:rPr>
      </w:pPr>
      <w:r w:rsidRPr="005422B9">
        <w:rPr>
          <w:lang w:val="en-AU"/>
        </w:rPr>
        <w:t>One dose (0.5 mL) contains:</w:t>
      </w:r>
    </w:p>
    <w:p w14:paraId="61B45323" w14:textId="7D397B06" w:rsidR="00E715A3" w:rsidRPr="005422B9" w:rsidRDefault="00E715A3" w:rsidP="009950C7">
      <w:pPr>
        <w:spacing w:after="0"/>
        <w:rPr>
          <w:lang w:val="en-AU"/>
        </w:rPr>
      </w:pPr>
      <w:bookmarkStart w:id="0" w:name="_Hlk3462869"/>
      <w:r w:rsidRPr="005422B9">
        <w:rPr>
          <w:lang w:val="en-AU"/>
        </w:rPr>
        <w:t>Pneumococcal polysaccharide serotype 1</w:t>
      </w:r>
      <w:r w:rsidRPr="005422B9">
        <w:rPr>
          <w:vertAlign w:val="superscript"/>
          <w:lang w:val="en-AU"/>
        </w:rPr>
        <w:t>1,2</w:t>
      </w:r>
      <w:r w:rsidRPr="005422B9">
        <w:rPr>
          <w:lang w:val="en-AU"/>
        </w:rPr>
        <w:tab/>
      </w:r>
      <w:r w:rsidR="006C75A6" w:rsidRPr="005422B9">
        <w:rPr>
          <w:lang w:val="en-AU"/>
        </w:rPr>
        <w:tab/>
      </w:r>
      <w:r w:rsidRPr="005422B9">
        <w:rPr>
          <w:lang w:val="en-AU"/>
        </w:rPr>
        <w:t>2.2 µg</w:t>
      </w:r>
    </w:p>
    <w:p w14:paraId="5DE64E9D" w14:textId="343F58AC" w:rsidR="00E715A3" w:rsidRPr="005422B9" w:rsidRDefault="00E715A3" w:rsidP="009950C7">
      <w:pPr>
        <w:spacing w:after="0"/>
        <w:rPr>
          <w:lang w:val="en-AU"/>
        </w:rPr>
      </w:pPr>
      <w:r w:rsidRPr="005422B9">
        <w:rPr>
          <w:lang w:val="en-AU"/>
        </w:rPr>
        <w:t>Pneumococcal polysaccharide serotype 3</w:t>
      </w:r>
      <w:r w:rsidRPr="005422B9">
        <w:rPr>
          <w:vertAlign w:val="superscript"/>
          <w:lang w:val="en-AU"/>
        </w:rPr>
        <w:t>1,2</w:t>
      </w:r>
      <w:r w:rsidRPr="005422B9">
        <w:rPr>
          <w:lang w:val="en-AU"/>
        </w:rPr>
        <w:tab/>
      </w:r>
      <w:r w:rsidR="006C75A6" w:rsidRPr="005422B9">
        <w:rPr>
          <w:lang w:val="en-AU"/>
        </w:rPr>
        <w:tab/>
      </w:r>
      <w:r w:rsidRPr="005422B9">
        <w:rPr>
          <w:lang w:val="en-AU"/>
        </w:rPr>
        <w:t>2.2 µg</w:t>
      </w:r>
    </w:p>
    <w:p w14:paraId="6762C243" w14:textId="00D2DB9A" w:rsidR="00E715A3" w:rsidRPr="005422B9" w:rsidRDefault="00E715A3" w:rsidP="009950C7">
      <w:pPr>
        <w:spacing w:after="0"/>
        <w:rPr>
          <w:lang w:val="en-AU"/>
        </w:rPr>
      </w:pPr>
      <w:r w:rsidRPr="005422B9">
        <w:rPr>
          <w:lang w:val="en-AU"/>
        </w:rPr>
        <w:t>Pneumococcal polysaccharide serotype 4</w:t>
      </w:r>
      <w:r w:rsidRPr="005422B9">
        <w:rPr>
          <w:vertAlign w:val="superscript"/>
          <w:lang w:val="en-AU"/>
        </w:rPr>
        <w:t>1,2</w:t>
      </w:r>
      <w:r w:rsidRPr="005422B9">
        <w:rPr>
          <w:lang w:val="en-AU"/>
        </w:rPr>
        <w:tab/>
      </w:r>
      <w:r w:rsidR="006C75A6" w:rsidRPr="005422B9">
        <w:rPr>
          <w:lang w:val="en-AU"/>
        </w:rPr>
        <w:tab/>
      </w:r>
      <w:r w:rsidRPr="005422B9">
        <w:rPr>
          <w:lang w:val="en-AU"/>
        </w:rPr>
        <w:t>2.2 µg</w:t>
      </w:r>
    </w:p>
    <w:p w14:paraId="52C36D63" w14:textId="5F4BFA6C" w:rsidR="00E715A3" w:rsidRPr="005422B9" w:rsidRDefault="00E715A3" w:rsidP="009950C7">
      <w:pPr>
        <w:spacing w:after="0"/>
        <w:rPr>
          <w:lang w:val="en-AU"/>
        </w:rPr>
      </w:pPr>
      <w:r w:rsidRPr="005422B9">
        <w:rPr>
          <w:lang w:val="en-AU"/>
        </w:rPr>
        <w:t>Pneumococcal polysaccharide serotype 5</w:t>
      </w:r>
      <w:r w:rsidRPr="005422B9">
        <w:rPr>
          <w:vertAlign w:val="superscript"/>
          <w:lang w:val="en-AU"/>
        </w:rPr>
        <w:t>1,2</w:t>
      </w:r>
      <w:r w:rsidRPr="005422B9">
        <w:rPr>
          <w:lang w:val="en-AU"/>
        </w:rPr>
        <w:tab/>
      </w:r>
      <w:r w:rsidR="006C75A6" w:rsidRPr="005422B9">
        <w:rPr>
          <w:lang w:val="en-AU"/>
        </w:rPr>
        <w:tab/>
      </w:r>
      <w:r w:rsidRPr="005422B9">
        <w:rPr>
          <w:lang w:val="en-AU"/>
        </w:rPr>
        <w:t>2.2 µg</w:t>
      </w:r>
    </w:p>
    <w:p w14:paraId="2E486222" w14:textId="77777777" w:rsidR="00E715A3" w:rsidRPr="005422B9" w:rsidRDefault="00E715A3" w:rsidP="009950C7">
      <w:pPr>
        <w:spacing w:after="0"/>
        <w:rPr>
          <w:lang w:val="en-AU"/>
        </w:rPr>
      </w:pPr>
      <w:r w:rsidRPr="005422B9">
        <w:rPr>
          <w:lang w:val="en-AU"/>
        </w:rPr>
        <w:t>Pneumococcal polysaccharide serotype 6A</w:t>
      </w:r>
      <w:r w:rsidRPr="005422B9">
        <w:rPr>
          <w:vertAlign w:val="superscript"/>
          <w:lang w:val="en-AU"/>
        </w:rPr>
        <w:t>1,2</w:t>
      </w:r>
      <w:r w:rsidRPr="005422B9">
        <w:rPr>
          <w:lang w:val="en-AU"/>
        </w:rPr>
        <w:tab/>
        <w:t>2.2 µg</w:t>
      </w:r>
    </w:p>
    <w:p w14:paraId="29E96CCC" w14:textId="77777777" w:rsidR="00E715A3" w:rsidRPr="005422B9" w:rsidRDefault="00E715A3" w:rsidP="009950C7">
      <w:pPr>
        <w:spacing w:after="0"/>
        <w:rPr>
          <w:lang w:val="en-AU"/>
        </w:rPr>
      </w:pPr>
      <w:r w:rsidRPr="005422B9">
        <w:rPr>
          <w:lang w:val="en-AU"/>
        </w:rPr>
        <w:t>Pneumococcal polysaccharide serotype 6B</w:t>
      </w:r>
      <w:r w:rsidRPr="005422B9">
        <w:rPr>
          <w:vertAlign w:val="superscript"/>
          <w:lang w:val="en-AU"/>
        </w:rPr>
        <w:t>1,2</w:t>
      </w:r>
      <w:r w:rsidRPr="005422B9">
        <w:rPr>
          <w:lang w:val="en-AU"/>
        </w:rPr>
        <w:tab/>
        <w:t>4.4 µg</w:t>
      </w:r>
    </w:p>
    <w:p w14:paraId="7AFF9BA8" w14:textId="77777777" w:rsidR="00E715A3" w:rsidRPr="005422B9" w:rsidRDefault="00E715A3" w:rsidP="009950C7">
      <w:pPr>
        <w:spacing w:after="0"/>
        <w:rPr>
          <w:lang w:val="en-AU"/>
        </w:rPr>
      </w:pPr>
      <w:r w:rsidRPr="005422B9">
        <w:rPr>
          <w:lang w:val="en-AU"/>
        </w:rPr>
        <w:t>Pneumococcal polysaccharide serotype 7F</w:t>
      </w:r>
      <w:r w:rsidRPr="005422B9">
        <w:rPr>
          <w:vertAlign w:val="superscript"/>
          <w:lang w:val="en-AU"/>
        </w:rPr>
        <w:t>1,2</w:t>
      </w:r>
      <w:r w:rsidRPr="005422B9">
        <w:rPr>
          <w:lang w:val="en-AU"/>
        </w:rPr>
        <w:tab/>
        <w:t>2.2 µg</w:t>
      </w:r>
    </w:p>
    <w:p w14:paraId="3B037C29" w14:textId="3080FBE3" w:rsidR="00E715A3" w:rsidRPr="005422B9" w:rsidRDefault="00E715A3" w:rsidP="009950C7">
      <w:pPr>
        <w:spacing w:after="0"/>
        <w:rPr>
          <w:lang w:val="en-AU"/>
        </w:rPr>
      </w:pPr>
      <w:r w:rsidRPr="005422B9">
        <w:rPr>
          <w:lang w:val="en-AU"/>
        </w:rPr>
        <w:t>Pneumococcal polysaccharide serotype 8</w:t>
      </w:r>
      <w:r w:rsidRPr="005422B9">
        <w:rPr>
          <w:vertAlign w:val="superscript"/>
          <w:lang w:val="en-AU"/>
        </w:rPr>
        <w:t>1,2</w:t>
      </w:r>
      <w:r w:rsidRPr="005422B9">
        <w:rPr>
          <w:vertAlign w:val="superscript"/>
          <w:lang w:val="en-AU"/>
        </w:rPr>
        <w:tab/>
      </w:r>
      <w:r w:rsidR="006C75A6" w:rsidRPr="005422B9">
        <w:rPr>
          <w:vertAlign w:val="superscript"/>
          <w:lang w:val="en-AU"/>
        </w:rPr>
        <w:tab/>
      </w:r>
      <w:r w:rsidRPr="005422B9">
        <w:rPr>
          <w:lang w:val="en-AU"/>
        </w:rPr>
        <w:t>2.2 µg</w:t>
      </w:r>
    </w:p>
    <w:p w14:paraId="0FBEFBC0" w14:textId="77777777" w:rsidR="00E715A3" w:rsidRPr="005422B9" w:rsidRDefault="00E715A3" w:rsidP="009950C7">
      <w:pPr>
        <w:spacing w:after="0"/>
        <w:rPr>
          <w:lang w:val="en-AU"/>
        </w:rPr>
      </w:pPr>
      <w:r w:rsidRPr="005422B9">
        <w:rPr>
          <w:lang w:val="en-AU"/>
        </w:rPr>
        <w:t>Pneumococcal polysaccharide serotype 9V</w:t>
      </w:r>
      <w:r w:rsidRPr="005422B9">
        <w:rPr>
          <w:vertAlign w:val="superscript"/>
          <w:lang w:val="en-AU"/>
        </w:rPr>
        <w:t>1,2</w:t>
      </w:r>
      <w:r w:rsidRPr="005422B9">
        <w:rPr>
          <w:lang w:val="en-AU"/>
        </w:rPr>
        <w:tab/>
        <w:t xml:space="preserve">2.2 µg </w:t>
      </w:r>
    </w:p>
    <w:p w14:paraId="2CCCB9D6" w14:textId="77777777" w:rsidR="00E715A3" w:rsidRPr="005422B9" w:rsidRDefault="00E715A3" w:rsidP="009950C7">
      <w:pPr>
        <w:spacing w:after="0"/>
        <w:rPr>
          <w:lang w:val="en-AU"/>
        </w:rPr>
      </w:pPr>
      <w:r w:rsidRPr="005422B9">
        <w:rPr>
          <w:lang w:val="en-AU"/>
        </w:rPr>
        <w:t>Pneumococcal polysaccharide serotype 10A</w:t>
      </w:r>
      <w:r w:rsidRPr="005422B9">
        <w:rPr>
          <w:vertAlign w:val="superscript"/>
          <w:lang w:val="en-AU"/>
        </w:rPr>
        <w:t>1,2</w:t>
      </w:r>
      <w:r w:rsidRPr="005422B9">
        <w:rPr>
          <w:vertAlign w:val="superscript"/>
          <w:lang w:val="en-AU"/>
        </w:rPr>
        <w:tab/>
      </w:r>
      <w:r w:rsidRPr="005422B9">
        <w:rPr>
          <w:lang w:val="en-AU"/>
        </w:rPr>
        <w:t>2.2 µg</w:t>
      </w:r>
    </w:p>
    <w:p w14:paraId="45020C5A" w14:textId="77777777" w:rsidR="00E715A3" w:rsidRPr="005422B9" w:rsidRDefault="00E715A3" w:rsidP="009950C7">
      <w:pPr>
        <w:spacing w:after="0"/>
        <w:rPr>
          <w:lang w:val="en-AU"/>
        </w:rPr>
      </w:pPr>
      <w:r w:rsidRPr="005422B9">
        <w:rPr>
          <w:lang w:val="en-AU"/>
        </w:rPr>
        <w:t>Pneumococcal polysaccharide serotype 11A</w:t>
      </w:r>
      <w:r w:rsidRPr="005422B9">
        <w:rPr>
          <w:vertAlign w:val="superscript"/>
          <w:lang w:val="en-AU"/>
        </w:rPr>
        <w:t>1,2</w:t>
      </w:r>
      <w:r w:rsidRPr="005422B9">
        <w:rPr>
          <w:vertAlign w:val="superscript"/>
          <w:lang w:val="en-AU"/>
        </w:rPr>
        <w:tab/>
      </w:r>
      <w:r w:rsidRPr="005422B9">
        <w:rPr>
          <w:lang w:val="en-AU"/>
        </w:rPr>
        <w:t>2.2 µg</w:t>
      </w:r>
    </w:p>
    <w:p w14:paraId="7AA0A8B7" w14:textId="77777777" w:rsidR="00E715A3" w:rsidRPr="005422B9" w:rsidRDefault="00E715A3" w:rsidP="009950C7">
      <w:pPr>
        <w:spacing w:after="0"/>
        <w:rPr>
          <w:lang w:val="en-AU"/>
        </w:rPr>
      </w:pPr>
      <w:r w:rsidRPr="005422B9">
        <w:rPr>
          <w:lang w:val="en-AU"/>
        </w:rPr>
        <w:t>Pneumococcal polysaccharide serotype 12F</w:t>
      </w:r>
      <w:r w:rsidRPr="005422B9">
        <w:rPr>
          <w:vertAlign w:val="superscript"/>
          <w:lang w:val="en-AU"/>
        </w:rPr>
        <w:t>1,2</w:t>
      </w:r>
      <w:r w:rsidRPr="005422B9">
        <w:rPr>
          <w:vertAlign w:val="superscript"/>
          <w:lang w:val="en-AU"/>
        </w:rPr>
        <w:tab/>
      </w:r>
      <w:r w:rsidRPr="005422B9">
        <w:rPr>
          <w:lang w:val="en-AU"/>
        </w:rPr>
        <w:t>2.2 µg</w:t>
      </w:r>
    </w:p>
    <w:p w14:paraId="00757463" w14:textId="77777777" w:rsidR="00E715A3" w:rsidRPr="005422B9" w:rsidRDefault="00E715A3" w:rsidP="009950C7">
      <w:pPr>
        <w:spacing w:after="0"/>
        <w:rPr>
          <w:lang w:val="en-AU"/>
        </w:rPr>
      </w:pPr>
      <w:r w:rsidRPr="005422B9">
        <w:rPr>
          <w:lang w:val="en-AU"/>
        </w:rPr>
        <w:t>Pneumococcal polysaccharide serotype 14</w:t>
      </w:r>
      <w:r w:rsidRPr="005422B9">
        <w:rPr>
          <w:vertAlign w:val="superscript"/>
          <w:lang w:val="en-AU"/>
        </w:rPr>
        <w:t>1,2</w:t>
      </w:r>
      <w:r w:rsidRPr="005422B9">
        <w:rPr>
          <w:lang w:val="en-AU"/>
        </w:rPr>
        <w:tab/>
        <w:t xml:space="preserve">2.2 µg </w:t>
      </w:r>
    </w:p>
    <w:p w14:paraId="34FEAFD7" w14:textId="77777777" w:rsidR="00E715A3" w:rsidRPr="005422B9" w:rsidRDefault="00E715A3" w:rsidP="009950C7">
      <w:pPr>
        <w:spacing w:after="0"/>
        <w:rPr>
          <w:lang w:val="en-AU"/>
        </w:rPr>
      </w:pPr>
      <w:r w:rsidRPr="005422B9">
        <w:rPr>
          <w:lang w:val="en-AU"/>
        </w:rPr>
        <w:t>Pneumococcal polysaccharide serotype 15B</w:t>
      </w:r>
      <w:r w:rsidRPr="005422B9">
        <w:rPr>
          <w:vertAlign w:val="superscript"/>
          <w:lang w:val="en-AU"/>
        </w:rPr>
        <w:t>1,2</w:t>
      </w:r>
      <w:r w:rsidRPr="005422B9">
        <w:rPr>
          <w:lang w:val="en-AU"/>
        </w:rPr>
        <w:tab/>
        <w:t>2.2 µg</w:t>
      </w:r>
    </w:p>
    <w:p w14:paraId="29AC9596" w14:textId="77777777" w:rsidR="00E715A3" w:rsidRPr="005422B9" w:rsidRDefault="00E715A3" w:rsidP="009950C7">
      <w:pPr>
        <w:spacing w:after="0"/>
        <w:rPr>
          <w:lang w:val="en-AU"/>
        </w:rPr>
      </w:pPr>
      <w:r w:rsidRPr="005422B9">
        <w:rPr>
          <w:lang w:val="en-AU"/>
        </w:rPr>
        <w:t>Pneumococcal polysaccharide serotype 18C</w:t>
      </w:r>
      <w:r w:rsidRPr="005422B9">
        <w:rPr>
          <w:vertAlign w:val="superscript"/>
          <w:lang w:val="en-AU"/>
        </w:rPr>
        <w:t>1,2</w:t>
      </w:r>
      <w:r w:rsidRPr="005422B9">
        <w:rPr>
          <w:lang w:val="en-AU"/>
        </w:rPr>
        <w:tab/>
        <w:t>2.2 µg</w:t>
      </w:r>
    </w:p>
    <w:p w14:paraId="5CF36F99" w14:textId="77777777" w:rsidR="00E715A3" w:rsidRPr="005422B9" w:rsidRDefault="00E715A3" w:rsidP="009950C7">
      <w:pPr>
        <w:spacing w:after="0"/>
        <w:rPr>
          <w:lang w:val="en-AU"/>
        </w:rPr>
      </w:pPr>
      <w:r w:rsidRPr="005422B9">
        <w:rPr>
          <w:lang w:val="en-AU"/>
        </w:rPr>
        <w:t>Pneumococcal polysaccharide serotype 19A</w:t>
      </w:r>
      <w:r w:rsidRPr="005422B9">
        <w:rPr>
          <w:vertAlign w:val="superscript"/>
          <w:lang w:val="en-AU"/>
        </w:rPr>
        <w:t>1,2</w:t>
      </w:r>
      <w:r w:rsidRPr="005422B9">
        <w:rPr>
          <w:lang w:val="en-AU"/>
        </w:rPr>
        <w:tab/>
        <w:t>2.2 µg</w:t>
      </w:r>
    </w:p>
    <w:p w14:paraId="020D2973" w14:textId="77777777" w:rsidR="00E715A3" w:rsidRPr="005422B9" w:rsidRDefault="00E715A3" w:rsidP="009950C7">
      <w:pPr>
        <w:spacing w:after="0"/>
        <w:rPr>
          <w:lang w:val="en-AU"/>
        </w:rPr>
      </w:pPr>
      <w:r w:rsidRPr="005422B9">
        <w:rPr>
          <w:lang w:val="en-AU"/>
        </w:rPr>
        <w:t>Pneumococcal polysaccharide serotype 19F</w:t>
      </w:r>
      <w:r w:rsidRPr="005422B9">
        <w:rPr>
          <w:vertAlign w:val="superscript"/>
          <w:lang w:val="en-AU"/>
        </w:rPr>
        <w:t>1,2</w:t>
      </w:r>
      <w:r w:rsidRPr="005422B9">
        <w:rPr>
          <w:lang w:val="en-AU"/>
        </w:rPr>
        <w:tab/>
        <w:t>2.2 µg</w:t>
      </w:r>
    </w:p>
    <w:p w14:paraId="4DFBC8F0" w14:textId="77777777" w:rsidR="00E715A3" w:rsidRPr="005422B9" w:rsidRDefault="00E715A3" w:rsidP="009950C7">
      <w:pPr>
        <w:spacing w:after="0"/>
        <w:rPr>
          <w:lang w:val="en-AU"/>
        </w:rPr>
      </w:pPr>
      <w:r w:rsidRPr="005422B9">
        <w:rPr>
          <w:lang w:val="en-AU"/>
        </w:rPr>
        <w:t>Pneumococcal polysaccharide serotype 22F</w:t>
      </w:r>
      <w:r w:rsidRPr="005422B9">
        <w:rPr>
          <w:vertAlign w:val="superscript"/>
          <w:lang w:val="en-AU"/>
        </w:rPr>
        <w:t>1,2</w:t>
      </w:r>
      <w:r w:rsidRPr="005422B9">
        <w:rPr>
          <w:lang w:val="en-AU"/>
        </w:rPr>
        <w:tab/>
        <w:t>2.2 µg</w:t>
      </w:r>
    </w:p>
    <w:p w14:paraId="4F5886D1" w14:textId="77777777" w:rsidR="00E715A3" w:rsidRPr="005422B9" w:rsidRDefault="00E715A3" w:rsidP="009950C7">
      <w:pPr>
        <w:spacing w:after="0"/>
        <w:rPr>
          <w:lang w:val="en-AU"/>
        </w:rPr>
      </w:pPr>
      <w:r w:rsidRPr="005422B9">
        <w:rPr>
          <w:lang w:val="en-AU"/>
        </w:rPr>
        <w:t>Pneumococcal polysaccharide serotype 23F</w:t>
      </w:r>
      <w:r w:rsidRPr="005422B9">
        <w:rPr>
          <w:vertAlign w:val="superscript"/>
          <w:lang w:val="en-AU"/>
        </w:rPr>
        <w:t>1,2</w:t>
      </w:r>
      <w:r w:rsidRPr="005422B9">
        <w:rPr>
          <w:vertAlign w:val="superscript"/>
          <w:lang w:val="en-AU"/>
        </w:rPr>
        <w:tab/>
      </w:r>
      <w:r w:rsidRPr="005422B9">
        <w:rPr>
          <w:lang w:val="en-AU"/>
        </w:rPr>
        <w:t>2.2 µg</w:t>
      </w:r>
    </w:p>
    <w:p w14:paraId="1238D26D" w14:textId="77777777" w:rsidR="00E715A3" w:rsidRPr="005422B9" w:rsidRDefault="00E715A3" w:rsidP="009950C7">
      <w:pPr>
        <w:spacing w:after="0"/>
        <w:rPr>
          <w:lang w:val="en-AU"/>
        </w:rPr>
      </w:pPr>
      <w:r w:rsidRPr="005422B9">
        <w:rPr>
          <w:lang w:val="en-AU"/>
        </w:rPr>
        <w:t>Pneumococcal polysaccharide serotype 33F</w:t>
      </w:r>
      <w:r w:rsidRPr="005422B9">
        <w:rPr>
          <w:vertAlign w:val="superscript"/>
          <w:lang w:val="en-AU"/>
        </w:rPr>
        <w:t>1,2</w:t>
      </w:r>
      <w:r w:rsidRPr="005422B9">
        <w:rPr>
          <w:lang w:val="en-AU"/>
        </w:rPr>
        <w:tab/>
        <w:t>2.2 µg</w:t>
      </w:r>
    </w:p>
    <w:bookmarkEnd w:id="0"/>
    <w:p w14:paraId="28ED528D" w14:textId="77777777" w:rsidR="00E715A3" w:rsidRPr="005422B9" w:rsidRDefault="00E715A3" w:rsidP="009950C7">
      <w:pPr>
        <w:spacing w:after="0"/>
        <w:rPr>
          <w:lang w:val="en-AU"/>
        </w:rPr>
      </w:pPr>
    </w:p>
    <w:p w14:paraId="3384B27B" w14:textId="761AC620" w:rsidR="00E715A3" w:rsidRPr="005422B9" w:rsidRDefault="00E715A3" w:rsidP="009950C7">
      <w:pPr>
        <w:spacing w:after="0"/>
        <w:rPr>
          <w:szCs w:val="22"/>
          <w:lang w:val="en-AU"/>
        </w:rPr>
      </w:pPr>
      <w:r w:rsidRPr="005422B9">
        <w:rPr>
          <w:szCs w:val="22"/>
          <w:vertAlign w:val="superscript"/>
          <w:lang w:val="en-AU"/>
        </w:rPr>
        <w:t>1</w:t>
      </w:r>
      <w:r w:rsidRPr="005422B9">
        <w:rPr>
          <w:szCs w:val="22"/>
          <w:lang w:val="en-AU"/>
        </w:rPr>
        <w:t>Conjugated to</w:t>
      </w:r>
      <w:r w:rsidR="00327310">
        <w:rPr>
          <w:szCs w:val="22"/>
          <w:lang w:val="en-AU"/>
        </w:rPr>
        <w:t xml:space="preserve"> </w:t>
      </w:r>
      <w:proofErr w:type="spellStart"/>
      <w:r w:rsidR="00327310">
        <w:rPr>
          <w:szCs w:val="22"/>
          <w:lang w:val="en-AU"/>
        </w:rPr>
        <w:t>diptheria</w:t>
      </w:r>
      <w:proofErr w:type="spellEnd"/>
      <w:r w:rsidRPr="005422B9">
        <w:rPr>
          <w:szCs w:val="22"/>
          <w:lang w:val="en-AU"/>
        </w:rPr>
        <w:t xml:space="preserve"> CRM</w:t>
      </w:r>
      <w:r w:rsidRPr="005422B9">
        <w:rPr>
          <w:szCs w:val="22"/>
          <w:vertAlign w:val="subscript"/>
          <w:lang w:val="en-AU"/>
        </w:rPr>
        <w:t>197</w:t>
      </w:r>
      <w:r w:rsidRPr="005422B9">
        <w:rPr>
          <w:szCs w:val="22"/>
          <w:lang w:val="en-AU"/>
        </w:rPr>
        <w:t xml:space="preserve"> protein (approximately 51 </w:t>
      </w:r>
      <w:bookmarkStart w:id="1" w:name="_Hlk56685186"/>
      <w:r w:rsidRPr="005422B9">
        <w:rPr>
          <w:szCs w:val="22"/>
          <w:lang w:val="en-AU"/>
        </w:rPr>
        <w:t>µg</w:t>
      </w:r>
      <w:bookmarkEnd w:id="1"/>
      <w:r w:rsidRPr="005422B9">
        <w:rPr>
          <w:szCs w:val="22"/>
          <w:lang w:val="en-AU"/>
        </w:rPr>
        <w:t xml:space="preserve"> per dose)</w:t>
      </w:r>
    </w:p>
    <w:p w14:paraId="04BFE890" w14:textId="77777777" w:rsidR="00E715A3" w:rsidRPr="005422B9" w:rsidRDefault="00E715A3" w:rsidP="009950C7">
      <w:pPr>
        <w:spacing w:after="0"/>
        <w:rPr>
          <w:szCs w:val="22"/>
          <w:lang w:val="en-AU"/>
        </w:rPr>
      </w:pPr>
      <w:r w:rsidRPr="005422B9">
        <w:rPr>
          <w:szCs w:val="22"/>
          <w:vertAlign w:val="superscript"/>
          <w:lang w:val="en-AU"/>
        </w:rPr>
        <w:t>2</w:t>
      </w:r>
      <w:r w:rsidRPr="005422B9">
        <w:rPr>
          <w:szCs w:val="22"/>
          <w:lang w:val="en-AU"/>
        </w:rPr>
        <w:t>Adsorbed on aluminium phosphate (0.125 mg aluminium per dose)</w:t>
      </w:r>
    </w:p>
    <w:p w14:paraId="5149818D" w14:textId="77777777" w:rsidR="00E715A3" w:rsidRPr="005422B9" w:rsidRDefault="00E715A3" w:rsidP="009950C7">
      <w:pPr>
        <w:spacing w:after="0"/>
        <w:rPr>
          <w:szCs w:val="22"/>
          <w:u w:val="single"/>
          <w:lang w:val="en-AU"/>
        </w:rPr>
      </w:pPr>
    </w:p>
    <w:p w14:paraId="0BFBE2A1" w14:textId="4DE36BFD" w:rsidR="00E715A3" w:rsidRPr="005422B9" w:rsidRDefault="00E715A3" w:rsidP="009950C7">
      <w:pPr>
        <w:spacing w:after="0"/>
        <w:rPr>
          <w:szCs w:val="22"/>
          <w:lang w:val="en-AU"/>
        </w:rPr>
      </w:pPr>
      <w:r w:rsidRPr="005422B9">
        <w:rPr>
          <w:szCs w:val="22"/>
          <w:lang w:val="en-AU"/>
        </w:rPr>
        <w:t>For the full list of excipients, see section 6.1</w:t>
      </w:r>
      <w:r w:rsidR="009950C7" w:rsidRPr="005422B9">
        <w:rPr>
          <w:szCs w:val="22"/>
          <w:lang w:val="en-AU"/>
        </w:rPr>
        <w:t xml:space="preserve"> List of excipients</w:t>
      </w:r>
      <w:r w:rsidRPr="005422B9">
        <w:rPr>
          <w:szCs w:val="22"/>
          <w:lang w:val="en-AU"/>
        </w:rPr>
        <w:t>.</w:t>
      </w:r>
    </w:p>
    <w:p w14:paraId="6F158CD7" w14:textId="28D0348F" w:rsidR="0034484A" w:rsidRPr="005422B9" w:rsidRDefault="00932B9D" w:rsidP="00E0141F">
      <w:pPr>
        <w:pStyle w:val="CLDHeading1"/>
        <w:rPr>
          <w:kern w:val="0"/>
          <w:lang w:val="en-AU"/>
        </w:rPr>
      </w:pPr>
      <w:r w:rsidRPr="005422B9">
        <w:rPr>
          <w:kern w:val="0"/>
          <w:lang w:val="en-AU"/>
        </w:rPr>
        <w:lastRenderedPageBreak/>
        <w:t>3.</w:t>
      </w:r>
      <w:r w:rsidRPr="005422B9">
        <w:rPr>
          <w:kern w:val="0"/>
          <w:lang w:val="en-AU"/>
        </w:rPr>
        <w:tab/>
      </w:r>
      <w:r w:rsidR="0018348D" w:rsidRPr="005422B9">
        <w:rPr>
          <w:kern w:val="0"/>
          <w:lang w:val="en-AU"/>
        </w:rPr>
        <w:t>PHARMACEUTICAL FORM</w:t>
      </w:r>
    </w:p>
    <w:p w14:paraId="42262F53" w14:textId="00B54F56" w:rsidR="00E715A3" w:rsidRPr="005422B9" w:rsidRDefault="00C54712" w:rsidP="00E715A3">
      <w:pPr>
        <w:autoSpaceDE w:val="0"/>
        <w:autoSpaceDN w:val="0"/>
        <w:adjustRightInd w:val="0"/>
        <w:rPr>
          <w:lang w:val="en-AU"/>
        </w:rPr>
      </w:pPr>
      <w:r w:rsidRPr="005422B9">
        <w:rPr>
          <w:lang w:val="en-AU"/>
        </w:rPr>
        <w:t>S</w:t>
      </w:r>
      <w:r w:rsidR="00E715A3" w:rsidRPr="005422B9">
        <w:rPr>
          <w:lang w:val="en-AU"/>
        </w:rPr>
        <w:t>uspension for injection.</w:t>
      </w:r>
    </w:p>
    <w:p w14:paraId="4DF25F17" w14:textId="77777777" w:rsidR="00E715A3" w:rsidRPr="005422B9" w:rsidRDefault="00E715A3" w:rsidP="00E715A3">
      <w:pPr>
        <w:autoSpaceDE w:val="0"/>
        <w:autoSpaceDN w:val="0"/>
        <w:adjustRightInd w:val="0"/>
        <w:rPr>
          <w:lang w:val="en-AU"/>
        </w:rPr>
      </w:pPr>
      <w:r w:rsidRPr="005422B9">
        <w:rPr>
          <w:lang w:val="en-AU"/>
        </w:rPr>
        <w:t>The vaccine is a homogeneous white suspension.</w:t>
      </w:r>
    </w:p>
    <w:p w14:paraId="3ECD5BAD" w14:textId="3A5127D5" w:rsidR="00E4558F" w:rsidRPr="005422B9" w:rsidRDefault="00932B9D" w:rsidP="00E0141F">
      <w:pPr>
        <w:pStyle w:val="CLDHeading1"/>
        <w:rPr>
          <w:kern w:val="0"/>
          <w:lang w:val="en-AU"/>
        </w:rPr>
      </w:pPr>
      <w:r w:rsidRPr="005422B9">
        <w:rPr>
          <w:kern w:val="0"/>
          <w:lang w:val="en-AU"/>
        </w:rPr>
        <w:t>4.</w:t>
      </w:r>
      <w:r w:rsidRPr="005422B9">
        <w:rPr>
          <w:kern w:val="0"/>
          <w:lang w:val="en-AU"/>
        </w:rPr>
        <w:tab/>
      </w:r>
      <w:r w:rsidR="0018348D" w:rsidRPr="005422B9">
        <w:rPr>
          <w:kern w:val="0"/>
          <w:lang w:val="en-AU"/>
        </w:rPr>
        <w:t>CLINICAL PARTICULARS</w:t>
      </w:r>
    </w:p>
    <w:p w14:paraId="6742D815" w14:textId="5671FB4E" w:rsidR="00E60520" w:rsidRPr="005422B9" w:rsidRDefault="00932B9D" w:rsidP="00E0141F">
      <w:pPr>
        <w:pStyle w:val="CLDHeading2"/>
        <w:rPr>
          <w:rFonts w:ascii="Times New Roman" w:hAnsi="Times New Roman"/>
          <w:bCs/>
          <w:lang w:val="en-AU"/>
        </w:rPr>
      </w:pPr>
      <w:r w:rsidRPr="005422B9">
        <w:rPr>
          <w:rFonts w:ascii="Times New Roman" w:hAnsi="Times New Roman"/>
          <w:lang w:val="en-AU"/>
        </w:rPr>
        <w:t>4.1</w:t>
      </w:r>
      <w:r w:rsidRPr="005422B9">
        <w:rPr>
          <w:rFonts w:ascii="Times New Roman" w:hAnsi="Times New Roman"/>
          <w:lang w:val="en-AU"/>
        </w:rPr>
        <w:tab/>
      </w:r>
      <w:r w:rsidR="004779F5" w:rsidRPr="005422B9">
        <w:rPr>
          <w:rFonts w:ascii="Times New Roman" w:hAnsi="Times New Roman"/>
          <w:lang w:val="en-AU"/>
        </w:rPr>
        <w:t>Therapeutic i</w:t>
      </w:r>
      <w:r w:rsidR="00E60520" w:rsidRPr="005422B9">
        <w:rPr>
          <w:rFonts w:ascii="Times New Roman" w:hAnsi="Times New Roman"/>
          <w:lang w:val="en-AU"/>
        </w:rPr>
        <w:t>ndications</w:t>
      </w:r>
    </w:p>
    <w:p w14:paraId="6016297A" w14:textId="5937D2DF" w:rsidR="00D96C64" w:rsidRDefault="00D96C64" w:rsidP="00D96C64">
      <w:pPr>
        <w:rPr>
          <w:lang w:val="en-AU"/>
        </w:rPr>
      </w:pPr>
      <w:r w:rsidRPr="005422B9">
        <w:rPr>
          <w:lang w:val="en-AU"/>
        </w:rPr>
        <w:t xml:space="preserve">Active immunisation for the prevention of pneumococcal disease caused by </w:t>
      </w:r>
      <w:r w:rsidRPr="005422B9">
        <w:rPr>
          <w:i/>
          <w:iCs/>
          <w:lang w:val="en-AU"/>
        </w:rPr>
        <w:t>Streptococcus pneumoniae</w:t>
      </w:r>
      <w:r w:rsidRPr="005422B9">
        <w:rPr>
          <w:lang w:val="en-AU"/>
        </w:rPr>
        <w:t xml:space="preserve"> serotypes 1, 3, 4, 5, 6A, 6B, 7F, 8, 9V, 10A, 11A, 12F, 14, 15B, 18C, 19A, 19F, 22F, 23F, and 33F in adults 18 years of age and older.</w:t>
      </w:r>
    </w:p>
    <w:p w14:paraId="58C5D92A" w14:textId="77777777" w:rsidR="00FE5383" w:rsidRPr="005422B9" w:rsidRDefault="00FE5383" w:rsidP="00FE5383">
      <w:pPr>
        <w:rPr>
          <w:lang w:val="en-AU"/>
        </w:rPr>
      </w:pPr>
      <w:r w:rsidRPr="00FE5383">
        <w:rPr>
          <w:lang w:val="en-AU"/>
        </w:rPr>
        <w:t xml:space="preserve">Prevenar 20 may not prevent disease caused by </w:t>
      </w:r>
      <w:r w:rsidRPr="00C73ADE">
        <w:rPr>
          <w:i/>
          <w:iCs/>
          <w:lang w:val="en-AU"/>
        </w:rPr>
        <w:t>S. pneumoniae</w:t>
      </w:r>
      <w:r w:rsidRPr="00FE5383">
        <w:rPr>
          <w:lang w:val="en-AU"/>
        </w:rPr>
        <w:t xml:space="preserve"> serotypes that are not contained in the vaccine.</w:t>
      </w:r>
    </w:p>
    <w:p w14:paraId="5A4A4733" w14:textId="17D3A723" w:rsidR="00676EEC" w:rsidRPr="005422B9" w:rsidRDefault="00676EEC" w:rsidP="00676EEC">
      <w:pPr>
        <w:rPr>
          <w:lang w:val="en-AU"/>
        </w:rPr>
      </w:pPr>
      <w:r w:rsidRPr="005422B9">
        <w:rPr>
          <w:lang w:val="en-AU"/>
        </w:rPr>
        <w:t xml:space="preserve">Prevenar 20 should be </w:t>
      </w:r>
      <w:r w:rsidR="00C54712" w:rsidRPr="005422B9">
        <w:rPr>
          <w:lang w:val="en-AU"/>
        </w:rPr>
        <w:t>used in accordance with</w:t>
      </w:r>
      <w:r w:rsidRPr="005422B9">
        <w:rPr>
          <w:lang w:val="en-AU"/>
        </w:rPr>
        <w:t xml:space="preserve"> official recommendations.</w:t>
      </w:r>
    </w:p>
    <w:p w14:paraId="682E808F" w14:textId="67E63638" w:rsidR="00E60520" w:rsidRPr="005422B9" w:rsidRDefault="00932B9D" w:rsidP="00E0141F">
      <w:pPr>
        <w:pStyle w:val="CLDHeading2"/>
        <w:rPr>
          <w:rFonts w:ascii="Times New Roman" w:hAnsi="Times New Roman"/>
          <w:bCs/>
          <w:lang w:val="en-AU"/>
        </w:rPr>
      </w:pPr>
      <w:bookmarkStart w:id="2" w:name="_Hlk59623708"/>
      <w:r w:rsidRPr="005422B9">
        <w:rPr>
          <w:rFonts w:ascii="Times New Roman" w:hAnsi="Times New Roman"/>
          <w:lang w:val="en-AU"/>
        </w:rPr>
        <w:t>4.2</w:t>
      </w:r>
      <w:r w:rsidRPr="005422B9">
        <w:rPr>
          <w:rFonts w:ascii="Times New Roman" w:hAnsi="Times New Roman"/>
          <w:lang w:val="en-AU"/>
        </w:rPr>
        <w:tab/>
      </w:r>
      <w:r w:rsidR="004779F5" w:rsidRPr="005422B9">
        <w:rPr>
          <w:rFonts w:ascii="Times New Roman" w:hAnsi="Times New Roman"/>
          <w:lang w:val="en-AU"/>
        </w:rPr>
        <w:t>Dose and method of a</w:t>
      </w:r>
      <w:r w:rsidR="00E60520" w:rsidRPr="005422B9">
        <w:rPr>
          <w:rFonts w:ascii="Times New Roman" w:hAnsi="Times New Roman"/>
          <w:lang w:val="en-AU"/>
        </w:rPr>
        <w:t>dministration</w:t>
      </w:r>
    </w:p>
    <w:bookmarkEnd w:id="2"/>
    <w:p w14:paraId="5B06EE86" w14:textId="3D469971" w:rsidR="00112B3F" w:rsidRPr="005422B9" w:rsidRDefault="00112B3F" w:rsidP="0071397E">
      <w:pPr>
        <w:pStyle w:val="Heading3"/>
        <w:keepNext w:val="0"/>
        <w:rPr>
          <w:lang w:val="en-AU"/>
        </w:rPr>
      </w:pPr>
      <w:r w:rsidRPr="005422B9">
        <w:rPr>
          <w:lang w:val="en-AU"/>
        </w:rPr>
        <w:t>Dos</w:t>
      </w:r>
      <w:r w:rsidR="00837C3E" w:rsidRPr="005422B9">
        <w:rPr>
          <w:lang w:val="en-AU"/>
        </w:rPr>
        <w:t>age</w:t>
      </w:r>
    </w:p>
    <w:p w14:paraId="6D2C4B80" w14:textId="77777777" w:rsidR="00E715A3" w:rsidRPr="005422B9" w:rsidRDefault="00E715A3" w:rsidP="0071397E">
      <w:pPr>
        <w:pStyle w:val="Heading4"/>
        <w:keepNext w:val="0"/>
        <w:rPr>
          <w:lang w:val="en-AU"/>
        </w:rPr>
      </w:pPr>
      <w:r w:rsidRPr="005422B9">
        <w:rPr>
          <w:lang w:val="en-AU"/>
        </w:rPr>
        <w:t>Adults 18 years of age and older</w:t>
      </w:r>
    </w:p>
    <w:p w14:paraId="1A2922DD" w14:textId="028C39BE" w:rsidR="00E715A3" w:rsidRPr="005422B9" w:rsidRDefault="00A67670" w:rsidP="0071397E">
      <w:pPr>
        <w:rPr>
          <w:szCs w:val="22"/>
          <w:lang w:val="en-AU"/>
        </w:rPr>
      </w:pPr>
      <w:r w:rsidRPr="005422B9">
        <w:rPr>
          <w:szCs w:val="22"/>
          <w:lang w:val="en-AU"/>
        </w:rPr>
        <w:t>PREVENAR 20</w:t>
      </w:r>
      <w:r w:rsidR="00E715A3" w:rsidRPr="005422B9">
        <w:rPr>
          <w:szCs w:val="22"/>
          <w:lang w:val="en-AU"/>
        </w:rPr>
        <w:t xml:space="preserve"> is to be administered as a single dose to adults 18 years of age and older. </w:t>
      </w:r>
    </w:p>
    <w:p w14:paraId="588FE7A4" w14:textId="3D3D13E1" w:rsidR="00C54712" w:rsidRPr="005422B9" w:rsidRDefault="00C54712" w:rsidP="0071397E">
      <w:pPr>
        <w:rPr>
          <w:szCs w:val="22"/>
          <w:lang w:val="en-AU"/>
        </w:rPr>
      </w:pPr>
      <w:r w:rsidRPr="005422B9">
        <w:rPr>
          <w:szCs w:val="22"/>
        </w:rPr>
        <w:t>The need for revaccination with a subsequent dose of PREVENAR 20 has not been established.</w:t>
      </w:r>
      <w:r w:rsidR="00EC17C2">
        <w:rPr>
          <w:szCs w:val="22"/>
        </w:rPr>
        <w:t xml:space="preserve"> </w:t>
      </w:r>
      <w:r w:rsidR="00A50515">
        <w:rPr>
          <w:szCs w:val="22"/>
        </w:rPr>
        <w:t>Refer to local recommendations.</w:t>
      </w:r>
    </w:p>
    <w:p w14:paraId="514B9A4E" w14:textId="3F3FBF47" w:rsidR="00021DFC" w:rsidRPr="005422B9" w:rsidRDefault="00E715A3" w:rsidP="00021DFC">
      <w:pPr>
        <w:rPr>
          <w:szCs w:val="22"/>
          <w:lang w:val="en-AU"/>
        </w:rPr>
      </w:pPr>
      <w:r w:rsidRPr="005422B9">
        <w:rPr>
          <w:szCs w:val="22"/>
          <w:lang w:val="en-AU"/>
        </w:rPr>
        <w:t xml:space="preserve">Based on the clinical experience with </w:t>
      </w:r>
      <w:r w:rsidR="00C54712" w:rsidRPr="005422B9">
        <w:rPr>
          <w:szCs w:val="22"/>
        </w:rPr>
        <w:t>a related pneumococcal conjugate vaccine (</w:t>
      </w:r>
      <w:r w:rsidRPr="005422B9">
        <w:rPr>
          <w:szCs w:val="22"/>
          <w:lang w:val="en-AU"/>
        </w:rPr>
        <w:t>Prevenar 13</w:t>
      </w:r>
      <w:r w:rsidR="00C54712" w:rsidRPr="005422B9">
        <w:rPr>
          <w:szCs w:val="22"/>
          <w:lang w:val="en-AU"/>
        </w:rPr>
        <w:t>)</w:t>
      </w:r>
      <w:r w:rsidRPr="005422B9">
        <w:rPr>
          <w:szCs w:val="22"/>
          <w:lang w:val="en-AU"/>
        </w:rPr>
        <w:t xml:space="preserve">, if the use of </w:t>
      </w:r>
      <w:r w:rsidR="00D96C64" w:rsidRPr="005422B9">
        <w:rPr>
          <w:szCs w:val="22"/>
          <w:lang w:val="en-AU"/>
        </w:rPr>
        <w:t>Pneumovax</w:t>
      </w:r>
      <w:r w:rsidR="00CF28BC" w:rsidRPr="005422B9">
        <w:rPr>
          <w:szCs w:val="22"/>
          <w:vertAlign w:val="superscript"/>
          <w:lang w:val="en-AU"/>
        </w:rPr>
        <w:t>®</w:t>
      </w:r>
      <w:r w:rsidR="00F13EDF" w:rsidRPr="005422B9">
        <w:rPr>
          <w:szCs w:val="22"/>
          <w:lang w:val="en-AU"/>
        </w:rPr>
        <w:t>23,</w:t>
      </w:r>
      <w:r w:rsidR="00D96C64" w:rsidRPr="005422B9">
        <w:rPr>
          <w:szCs w:val="22"/>
          <w:lang w:val="en-AU"/>
        </w:rPr>
        <w:t xml:space="preserve"> </w:t>
      </w:r>
      <w:r w:rsidR="001A517E" w:rsidRPr="005422B9">
        <w:rPr>
          <w:lang w:val="en-AU"/>
        </w:rPr>
        <w:t>pneumococcal vaccine polyvalent</w:t>
      </w:r>
      <w:r w:rsidRPr="005422B9">
        <w:rPr>
          <w:szCs w:val="22"/>
          <w:lang w:val="en-AU"/>
        </w:rPr>
        <w:t xml:space="preserve"> (</w:t>
      </w:r>
      <w:r w:rsidR="001A517E" w:rsidRPr="005422B9">
        <w:rPr>
          <w:szCs w:val="22"/>
          <w:lang w:val="en-AU"/>
        </w:rPr>
        <w:t>23vPPV</w:t>
      </w:r>
      <w:r w:rsidRPr="005422B9">
        <w:rPr>
          <w:szCs w:val="22"/>
          <w:lang w:val="en-AU"/>
        </w:rPr>
        <w:t>)</w:t>
      </w:r>
      <w:r w:rsidR="00D96C64" w:rsidRPr="005422B9">
        <w:rPr>
          <w:szCs w:val="22"/>
          <w:lang w:val="en-AU"/>
        </w:rPr>
        <w:t>,</w:t>
      </w:r>
      <w:r w:rsidRPr="005422B9">
        <w:rPr>
          <w:szCs w:val="22"/>
          <w:lang w:val="en-AU"/>
        </w:rPr>
        <w:t xml:space="preserve"> is considered appropriate, </w:t>
      </w:r>
      <w:r w:rsidR="00A67670" w:rsidRPr="005422B9">
        <w:rPr>
          <w:szCs w:val="22"/>
          <w:lang w:val="en-AU"/>
        </w:rPr>
        <w:t>PREVENAR 20</w:t>
      </w:r>
      <w:r w:rsidRPr="005422B9">
        <w:rPr>
          <w:szCs w:val="22"/>
          <w:lang w:val="en-AU"/>
        </w:rPr>
        <w:t xml:space="preserve"> should be given first (see section 5.1</w:t>
      </w:r>
      <w:r w:rsidR="009950C7" w:rsidRPr="005422B9">
        <w:rPr>
          <w:szCs w:val="22"/>
          <w:lang w:val="en-AU"/>
        </w:rPr>
        <w:t xml:space="preserve"> Pharmacodynamic properties</w:t>
      </w:r>
      <w:r w:rsidRPr="005422B9">
        <w:rPr>
          <w:szCs w:val="22"/>
          <w:lang w:val="en-AU"/>
        </w:rPr>
        <w:t xml:space="preserve">). </w:t>
      </w:r>
    </w:p>
    <w:p w14:paraId="7DE5447D" w14:textId="77777777" w:rsidR="00E715A3" w:rsidRPr="005422B9" w:rsidRDefault="00E715A3" w:rsidP="0071397E">
      <w:pPr>
        <w:pStyle w:val="Heading4"/>
        <w:keepNext w:val="0"/>
        <w:rPr>
          <w:lang w:val="en-AU"/>
        </w:rPr>
      </w:pPr>
      <w:r w:rsidRPr="005422B9">
        <w:rPr>
          <w:lang w:val="en-AU"/>
        </w:rPr>
        <w:t>Special populations</w:t>
      </w:r>
    </w:p>
    <w:p w14:paraId="0B005E9A" w14:textId="6650A4B4" w:rsidR="00C54712" w:rsidRPr="005422B9" w:rsidRDefault="00C54712" w:rsidP="00C54712">
      <w:pPr>
        <w:rPr>
          <w:szCs w:val="22"/>
        </w:rPr>
      </w:pPr>
      <w:bookmarkStart w:id="3" w:name="_Hlk49169211"/>
      <w:r w:rsidRPr="005422B9">
        <w:rPr>
          <w:szCs w:val="22"/>
        </w:rPr>
        <w:t>There are no data with PREVENAR 20 in special populations.</w:t>
      </w:r>
    </w:p>
    <w:p w14:paraId="001FF457" w14:textId="744724D6" w:rsidR="00E715A3" w:rsidRPr="005422B9" w:rsidRDefault="00C54712" w:rsidP="0071397E">
      <w:pPr>
        <w:rPr>
          <w:szCs w:val="22"/>
          <w:lang w:val="en-AU"/>
        </w:rPr>
      </w:pPr>
      <w:r w:rsidRPr="005422B9">
        <w:rPr>
          <w:szCs w:val="22"/>
        </w:rPr>
        <w:t xml:space="preserve">However, safety and immunogenicity studies of Prevenar 13 have been conducted in adults with </w:t>
      </w:r>
      <w:r w:rsidR="00E715A3" w:rsidRPr="005422B9">
        <w:rPr>
          <w:szCs w:val="22"/>
          <w:lang w:val="en-AU"/>
        </w:rPr>
        <w:t>human immunodeficiency virus (HIV)</w:t>
      </w:r>
      <w:r w:rsidRPr="005422B9">
        <w:rPr>
          <w:szCs w:val="22"/>
          <w:lang w:val="en-AU"/>
        </w:rPr>
        <w:t xml:space="preserve"> infection</w:t>
      </w:r>
      <w:r w:rsidR="00E715A3" w:rsidRPr="005422B9">
        <w:rPr>
          <w:szCs w:val="22"/>
          <w:lang w:val="en-AU"/>
        </w:rPr>
        <w:t xml:space="preserve"> and </w:t>
      </w:r>
      <w:r w:rsidRPr="005422B9">
        <w:rPr>
          <w:szCs w:val="22"/>
          <w:lang w:val="en-AU"/>
        </w:rPr>
        <w:t xml:space="preserve">following </w:t>
      </w:r>
      <w:r w:rsidR="00A50515">
        <w:rPr>
          <w:lang w:val="en-AU" w:eastAsia="en-GB"/>
        </w:rPr>
        <w:t>ha</w:t>
      </w:r>
      <w:r w:rsidR="00A50515" w:rsidRPr="005422B9">
        <w:rPr>
          <w:lang w:val="en-AU" w:eastAsia="en-GB"/>
        </w:rPr>
        <w:t>ematopoietic stem cell transplant</w:t>
      </w:r>
      <w:r w:rsidR="00A50515">
        <w:rPr>
          <w:lang w:val="en-AU" w:eastAsia="en-GB"/>
        </w:rPr>
        <w:t>ation</w:t>
      </w:r>
      <w:r w:rsidR="00A50515" w:rsidRPr="005422B9">
        <w:rPr>
          <w:lang w:val="en-AU" w:eastAsia="en-GB"/>
        </w:rPr>
        <w:t xml:space="preserve"> (HSCT)</w:t>
      </w:r>
      <w:r w:rsidRPr="005422B9">
        <w:rPr>
          <w:szCs w:val="22"/>
          <w:lang w:val="en-AU"/>
        </w:rPr>
        <w:t>; these</w:t>
      </w:r>
      <w:r w:rsidR="00E715A3" w:rsidRPr="005422B9" w:rsidDel="00C45531">
        <w:rPr>
          <w:szCs w:val="22"/>
          <w:lang w:val="en-AU"/>
        </w:rPr>
        <w:t xml:space="preserve"> </w:t>
      </w:r>
      <w:r w:rsidR="00E715A3" w:rsidRPr="005422B9">
        <w:rPr>
          <w:szCs w:val="22"/>
          <w:lang w:val="en-AU"/>
        </w:rPr>
        <w:t xml:space="preserve">are relevant to </w:t>
      </w:r>
      <w:r w:rsidR="00A67670" w:rsidRPr="005422B9">
        <w:rPr>
          <w:szCs w:val="22"/>
          <w:lang w:val="en-AU"/>
        </w:rPr>
        <w:t>PREVENAR 20</w:t>
      </w:r>
      <w:r w:rsidR="00E715A3" w:rsidRPr="005422B9">
        <w:rPr>
          <w:szCs w:val="22"/>
          <w:lang w:val="en-AU"/>
        </w:rPr>
        <w:t xml:space="preserve">, since the vaccines are manufactured and formulated similarly and contain 13 of the same </w:t>
      </w:r>
      <w:bookmarkEnd w:id="3"/>
      <w:r w:rsidR="00E715A3" w:rsidRPr="005422B9">
        <w:rPr>
          <w:szCs w:val="22"/>
          <w:lang w:val="en-AU"/>
        </w:rPr>
        <w:t xml:space="preserve">polysaccharide conjugates. </w:t>
      </w:r>
    </w:p>
    <w:p w14:paraId="018CD5FD" w14:textId="13A972C3" w:rsidR="00E715A3" w:rsidRPr="005422B9" w:rsidRDefault="00E715A3" w:rsidP="0071397E">
      <w:pPr>
        <w:rPr>
          <w:szCs w:val="22"/>
          <w:lang w:val="en-AU"/>
        </w:rPr>
      </w:pPr>
      <w:r w:rsidRPr="005422B9">
        <w:rPr>
          <w:szCs w:val="22"/>
          <w:lang w:val="en-AU"/>
        </w:rPr>
        <w:lastRenderedPageBreak/>
        <w:t xml:space="preserve">Individuals at higher risk of pneumococcal infection (e.g., individuals with sickle cell disease or HIV infection), including those previously vaccinated with 1 or more doses of </w:t>
      </w:r>
      <w:r w:rsidR="001A517E" w:rsidRPr="005422B9">
        <w:rPr>
          <w:szCs w:val="22"/>
          <w:lang w:val="en-AU"/>
        </w:rPr>
        <w:t>23vPPV</w:t>
      </w:r>
      <w:r w:rsidRPr="005422B9">
        <w:rPr>
          <w:szCs w:val="22"/>
          <w:lang w:val="en-AU"/>
        </w:rPr>
        <w:t>, were recommended to receive at least 1 dose of Prevenar 13.</w:t>
      </w:r>
      <w:bookmarkStart w:id="4" w:name="_Ref345010632"/>
      <w:bookmarkEnd w:id="4"/>
    </w:p>
    <w:p w14:paraId="1A3F5D8C" w14:textId="380ACDE9" w:rsidR="00E715A3" w:rsidRPr="005422B9" w:rsidRDefault="00E715A3" w:rsidP="0071397E">
      <w:pPr>
        <w:rPr>
          <w:szCs w:val="22"/>
          <w:lang w:val="en-AU"/>
        </w:rPr>
      </w:pPr>
      <w:r w:rsidRPr="005422B9">
        <w:rPr>
          <w:szCs w:val="22"/>
          <w:lang w:val="en-AU"/>
        </w:rPr>
        <w:t>In individuals with a hematopoietic stem cell transplant (HSCT), the recommended immunisation series with Prevenar 13</w:t>
      </w:r>
      <w:r w:rsidRPr="005422B9" w:rsidDel="00C45531">
        <w:rPr>
          <w:szCs w:val="22"/>
          <w:lang w:val="en-AU"/>
        </w:rPr>
        <w:t xml:space="preserve"> </w:t>
      </w:r>
      <w:r w:rsidRPr="005422B9">
        <w:rPr>
          <w:szCs w:val="22"/>
          <w:lang w:val="en-AU"/>
        </w:rPr>
        <w:t>consisted of 4 doses of Prevenar 13, each of 0.5 </w:t>
      </w:r>
      <w:proofErr w:type="spellStart"/>
      <w:r w:rsidRPr="005422B9">
        <w:rPr>
          <w:szCs w:val="22"/>
          <w:lang w:val="en-AU"/>
        </w:rPr>
        <w:t>mL.</w:t>
      </w:r>
      <w:proofErr w:type="spellEnd"/>
      <w:r w:rsidRPr="005422B9">
        <w:rPr>
          <w:szCs w:val="22"/>
          <w:lang w:val="en-AU"/>
        </w:rPr>
        <w:t xml:space="preserve"> The primary series consisted of 3 doses, with the first dose given 3 to 6 months after HSCT and with an interval of at least 1 month between doses. A booster dose was recommended 6 months after the third dose (see section 5.1</w:t>
      </w:r>
      <w:r w:rsidR="009950C7" w:rsidRPr="005422B9">
        <w:rPr>
          <w:szCs w:val="22"/>
          <w:lang w:val="en-AU"/>
        </w:rPr>
        <w:t xml:space="preserve"> Pharmacodynamic properties</w:t>
      </w:r>
      <w:r w:rsidRPr="005422B9">
        <w:rPr>
          <w:szCs w:val="22"/>
          <w:lang w:val="en-AU"/>
        </w:rPr>
        <w:t xml:space="preserve">). </w:t>
      </w:r>
    </w:p>
    <w:p w14:paraId="3F743EBE" w14:textId="00B4B721" w:rsidR="00E715A3" w:rsidRPr="005422B9" w:rsidRDefault="00E715A3" w:rsidP="0071397E">
      <w:pPr>
        <w:rPr>
          <w:szCs w:val="22"/>
          <w:lang w:val="en-AU"/>
        </w:rPr>
      </w:pPr>
      <w:r w:rsidRPr="005422B9">
        <w:rPr>
          <w:szCs w:val="22"/>
          <w:lang w:val="en-AU"/>
        </w:rPr>
        <w:t>The recommended dosing of Prevenar 13</w:t>
      </w:r>
      <w:r w:rsidRPr="005422B9" w:rsidDel="00C45531">
        <w:rPr>
          <w:szCs w:val="22"/>
          <w:lang w:val="en-AU"/>
        </w:rPr>
        <w:t xml:space="preserve"> </w:t>
      </w:r>
      <w:r w:rsidRPr="005422B9">
        <w:rPr>
          <w:szCs w:val="22"/>
          <w:lang w:val="en-AU"/>
        </w:rPr>
        <w:t xml:space="preserve">may be considered in guiding vaccination with </w:t>
      </w:r>
      <w:r w:rsidR="00A67670" w:rsidRPr="005422B9">
        <w:rPr>
          <w:szCs w:val="22"/>
          <w:lang w:val="en-AU"/>
        </w:rPr>
        <w:t>PREVENAR 20</w:t>
      </w:r>
      <w:r w:rsidRPr="005422B9">
        <w:rPr>
          <w:szCs w:val="22"/>
          <w:lang w:val="en-AU"/>
        </w:rPr>
        <w:t xml:space="preserve"> in these populations.</w:t>
      </w:r>
      <w:r w:rsidR="00C54712" w:rsidRPr="005422B9">
        <w:rPr>
          <w:szCs w:val="22"/>
          <w:lang w:val="en-AU"/>
        </w:rPr>
        <w:t xml:space="preserve"> </w:t>
      </w:r>
      <w:r w:rsidR="00C54712" w:rsidRPr="005422B9">
        <w:t xml:space="preserve">For immune responses to pneumococcal vaccines in immunocompromised individuals, see section 4.4 </w:t>
      </w:r>
      <w:r w:rsidR="00C54712" w:rsidRPr="005422B9">
        <w:rPr>
          <w:szCs w:val="22"/>
          <w:lang w:val="en-AU"/>
        </w:rPr>
        <w:t>Special warnings and precautions for use.</w:t>
      </w:r>
      <w:r w:rsidR="00DF34FA">
        <w:rPr>
          <w:szCs w:val="22"/>
          <w:lang w:val="en-AU"/>
        </w:rPr>
        <w:t xml:space="preserve">  </w:t>
      </w:r>
      <w:bookmarkStart w:id="5" w:name="_Hlk114482295"/>
      <w:r w:rsidR="00DF34FA">
        <w:t>The use of PREVENAR 20 in special populations should be guided by official recommendations.</w:t>
      </w:r>
      <w:bookmarkEnd w:id="5"/>
    </w:p>
    <w:p w14:paraId="01071C42" w14:textId="77777777" w:rsidR="00E715A3" w:rsidRPr="005422B9" w:rsidRDefault="00E715A3" w:rsidP="00EB52D3">
      <w:pPr>
        <w:pStyle w:val="Heading3"/>
        <w:rPr>
          <w:rStyle w:val="SPCHeading4"/>
          <w:bCs w:val="0"/>
          <w:i/>
          <w:iCs/>
          <w:color w:val="auto"/>
          <w:sz w:val="24"/>
          <w:lang w:val="en-AU"/>
        </w:rPr>
      </w:pPr>
      <w:r w:rsidRPr="005422B9">
        <w:rPr>
          <w:rStyle w:val="SPCHeading4"/>
          <w:bCs w:val="0"/>
          <w:i/>
          <w:iCs/>
          <w:color w:val="auto"/>
          <w:sz w:val="24"/>
          <w:lang w:val="en-AU"/>
        </w:rPr>
        <w:t>Method of administration</w:t>
      </w:r>
    </w:p>
    <w:p w14:paraId="4A46629E" w14:textId="1825A24A" w:rsidR="00717E11" w:rsidRPr="005422B9" w:rsidRDefault="00717E11" w:rsidP="00E715A3">
      <w:pPr>
        <w:keepNext/>
        <w:rPr>
          <w:szCs w:val="22"/>
          <w:lang w:val="en-AU"/>
        </w:rPr>
      </w:pPr>
      <w:r w:rsidRPr="005422B9">
        <w:rPr>
          <w:color w:val="000000"/>
          <w:szCs w:val="22"/>
          <w:lang w:val="en-AU"/>
        </w:rPr>
        <w:t>PREVENAR 20 should be administered as soon as possible after being removed from refrigeration</w:t>
      </w:r>
      <w:r w:rsidR="00475EDD">
        <w:rPr>
          <w:color w:val="000000"/>
          <w:szCs w:val="22"/>
          <w:lang w:val="en-AU"/>
        </w:rPr>
        <w:t>.</w:t>
      </w:r>
    </w:p>
    <w:p w14:paraId="3C186C2E" w14:textId="7C00ADA9" w:rsidR="00E715A3" w:rsidRPr="005422B9" w:rsidRDefault="00E715A3" w:rsidP="00E715A3">
      <w:pPr>
        <w:keepNext/>
        <w:rPr>
          <w:szCs w:val="22"/>
          <w:lang w:val="en-AU"/>
        </w:rPr>
      </w:pPr>
      <w:r w:rsidRPr="005422B9">
        <w:rPr>
          <w:szCs w:val="22"/>
          <w:lang w:val="en-AU"/>
        </w:rPr>
        <w:t xml:space="preserve">For intramuscular use only. </w:t>
      </w:r>
      <w:r w:rsidR="00495966">
        <w:rPr>
          <w:szCs w:val="22"/>
          <w:lang w:val="en-AU"/>
        </w:rPr>
        <w:t xml:space="preserve"> </w:t>
      </w:r>
      <w:r w:rsidR="00495966" w:rsidRPr="00C43048">
        <w:rPr>
          <w:lang w:val="en-AU"/>
        </w:rPr>
        <w:t>Product is for single use in one patient only. Discard any residue.</w:t>
      </w:r>
    </w:p>
    <w:p w14:paraId="2A6F14BD" w14:textId="41E8ADD9" w:rsidR="00E715A3" w:rsidRPr="005422B9" w:rsidRDefault="00C54712" w:rsidP="00E715A3">
      <w:pPr>
        <w:keepNext/>
        <w:rPr>
          <w:szCs w:val="22"/>
          <w:lang w:val="en-AU"/>
        </w:rPr>
      </w:pPr>
      <w:r w:rsidRPr="005422B9">
        <w:rPr>
          <w:szCs w:val="22"/>
          <w:lang w:val="en-AU"/>
        </w:rPr>
        <w:t xml:space="preserve">One </w:t>
      </w:r>
      <w:r w:rsidR="00E715A3" w:rsidRPr="005422B9">
        <w:rPr>
          <w:szCs w:val="22"/>
          <w:lang w:val="en-AU"/>
        </w:rPr>
        <w:t xml:space="preserve">dose </w:t>
      </w:r>
      <w:r w:rsidRPr="005422B9">
        <w:rPr>
          <w:szCs w:val="22"/>
          <w:lang w:val="en-AU"/>
        </w:rPr>
        <w:t xml:space="preserve">(0.5 mL) </w:t>
      </w:r>
      <w:r w:rsidR="00E715A3" w:rsidRPr="005422B9">
        <w:rPr>
          <w:szCs w:val="22"/>
          <w:lang w:val="en-AU"/>
        </w:rPr>
        <w:t xml:space="preserve">of </w:t>
      </w:r>
      <w:r w:rsidR="00A67670" w:rsidRPr="005422B9">
        <w:rPr>
          <w:szCs w:val="22"/>
          <w:lang w:val="en-AU"/>
        </w:rPr>
        <w:t>PREVENAR 20</w:t>
      </w:r>
      <w:r w:rsidR="00E715A3" w:rsidRPr="005422B9">
        <w:rPr>
          <w:szCs w:val="22"/>
          <w:lang w:val="en-AU"/>
        </w:rPr>
        <w:t xml:space="preserve"> </w:t>
      </w:r>
      <w:r w:rsidRPr="005422B9">
        <w:rPr>
          <w:szCs w:val="22"/>
          <w:lang w:val="en-AU"/>
        </w:rPr>
        <w:t xml:space="preserve">should be administered </w:t>
      </w:r>
      <w:r w:rsidR="00E715A3" w:rsidRPr="005422B9">
        <w:rPr>
          <w:szCs w:val="22"/>
          <w:lang w:val="en-AU"/>
        </w:rPr>
        <w:t xml:space="preserve">intramuscularly, preferably in the deltoid muscle, with care to avoid injection into or near nerves and blood vessels. </w:t>
      </w:r>
      <w:r w:rsidR="009950C7" w:rsidRPr="005422B9">
        <w:rPr>
          <w:szCs w:val="22"/>
          <w:lang w:val="en-AU"/>
        </w:rPr>
        <w:t xml:space="preserve">The vaccine should not be injected in the </w:t>
      </w:r>
      <w:proofErr w:type="gramStart"/>
      <w:r w:rsidR="009950C7" w:rsidRPr="005422B9">
        <w:rPr>
          <w:szCs w:val="22"/>
          <w:lang w:val="en-AU"/>
        </w:rPr>
        <w:t>gluteal</w:t>
      </w:r>
      <w:r w:rsidR="00C43048">
        <w:rPr>
          <w:szCs w:val="22"/>
          <w:lang w:val="en-AU"/>
        </w:rPr>
        <w:t xml:space="preserve"> </w:t>
      </w:r>
      <w:r w:rsidR="009950C7" w:rsidRPr="005422B9">
        <w:rPr>
          <w:szCs w:val="22"/>
          <w:lang w:val="en-AU"/>
        </w:rPr>
        <w:t xml:space="preserve"> area</w:t>
      </w:r>
      <w:proofErr w:type="gramEnd"/>
      <w:r w:rsidR="009950C7" w:rsidRPr="005422B9">
        <w:rPr>
          <w:szCs w:val="22"/>
          <w:lang w:val="en-AU"/>
        </w:rPr>
        <w:t xml:space="preserve">. </w:t>
      </w:r>
      <w:r w:rsidR="00E715A3" w:rsidRPr="005422B9">
        <w:rPr>
          <w:szCs w:val="22"/>
          <w:lang w:val="en-AU"/>
        </w:rPr>
        <w:t xml:space="preserve">Do not </w:t>
      </w:r>
      <w:r w:rsidRPr="005422B9">
        <w:rPr>
          <w:szCs w:val="22"/>
          <w:lang w:val="en-AU"/>
        </w:rPr>
        <w:t xml:space="preserve">inject </w:t>
      </w:r>
      <w:r w:rsidR="00A67670" w:rsidRPr="005422B9">
        <w:rPr>
          <w:szCs w:val="22"/>
          <w:lang w:val="en-AU"/>
        </w:rPr>
        <w:t>PREVENAR 20</w:t>
      </w:r>
      <w:r w:rsidR="00E715A3" w:rsidRPr="005422B9">
        <w:rPr>
          <w:szCs w:val="22"/>
          <w:lang w:val="en-AU"/>
        </w:rPr>
        <w:t xml:space="preserve"> intravascularly.</w:t>
      </w:r>
    </w:p>
    <w:p w14:paraId="5F94DE7A" w14:textId="77777777" w:rsidR="00EB52D3" w:rsidRPr="005422B9" w:rsidRDefault="00EB52D3" w:rsidP="00EB52D3">
      <w:pPr>
        <w:pStyle w:val="Heading4"/>
        <w:rPr>
          <w:lang w:val="en-AU"/>
        </w:rPr>
      </w:pPr>
      <w:r w:rsidRPr="005422B9">
        <w:rPr>
          <w:lang w:val="en-AU"/>
        </w:rPr>
        <w:t>Preparation for 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EB52D3" w:rsidRPr="005422B9" w14:paraId="50890E93" w14:textId="77777777" w:rsidTr="008D69D8">
        <w:tc>
          <w:tcPr>
            <w:tcW w:w="4508" w:type="dxa"/>
          </w:tcPr>
          <w:p w14:paraId="6D27E873" w14:textId="44A1F5E7" w:rsidR="00EB52D3" w:rsidRPr="005422B9" w:rsidRDefault="00EB52D3" w:rsidP="00EB52D3">
            <w:pPr>
              <w:spacing w:after="0"/>
              <w:rPr>
                <w:b/>
                <w:bCs/>
                <w:szCs w:val="22"/>
                <w:lang w:val="en-AU"/>
              </w:rPr>
            </w:pPr>
            <w:r w:rsidRPr="005422B9">
              <w:rPr>
                <w:b/>
                <w:bCs/>
                <w:szCs w:val="22"/>
                <w:lang w:val="en-AU"/>
              </w:rPr>
              <w:t xml:space="preserve">Step 1. </w:t>
            </w:r>
            <w:r w:rsidR="00265197">
              <w:rPr>
                <w:b/>
                <w:bCs/>
                <w:szCs w:val="22"/>
                <w:lang w:val="en-AU"/>
              </w:rPr>
              <w:t>Vaccine resuspension</w:t>
            </w:r>
          </w:p>
          <w:p w14:paraId="2F0D86D4" w14:textId="3467D694" w:rsidR="00EB52D3" w:rsidRDefault="00EB52D3" w:rsidP="00EB52D3">
            <w:pPr>
              <w:spacing w:after="0"/>
              <w:rPr>
                <w:szCs w:val="22"/>
                <w:lang w:val="en-AU"/>
              </w:rPr>
            </w:pPr>
            <w:r w:rsidRPr="005422B9">
              <w:rPr>
                <w:szCs w:val="22"/>
                <w:lang w:val="en-AU"/>
              </w:rPr>
              <w:t>Hold the pre-filled syringe horizontally between the thumb and the forefinger and shake vigorously until the contents of the syringe are a homogeneous white suspension. Do not use the vaccine if it cannot be re-suspended.</w:t>
            </w:r>
          </w:p>
          <w:p w14:paraId="7B1C8569" w14:textId="77777777" w:rsidR="00EB52D3" w:rsidRDefault="00EB52D3" w:rsidP="00EB52D3">
            <w:pPr>
              <w:spacing w:after="0"/>
              <w:rPr>
                <w:szCs w:val="22"/>
                <w:lang w:val="en-AU"/>
              </w:rPr>
            </w:pPr>
          </w:p>
          <w:p w14:paraId="7E8353E9" w14:textId="6CAB1A4A" w:rsidR="008939DF" w:rsidRPr="005422B9" w:rsidRDefault="008939DF" w:rsidP="00EB52D3">
            <w:pPr>
              <w:spacing w:after="0"/>
              <w:rPr>
                <w:szCs w:val="22"/>
                <w:lang w:val="en-AU"/>
              </w:rPr>
            </w:pPr>
          </w:p>
        </w:tc>
        <w:tc>
          <w:tcPr>
            <w:tcW w:w="4509" w:type="dxa"/>
          </w:tcPr>
          <w:p w14:paraId="0F371E10" w14:textId="68E2143A" w:rsidR="00EB52D3" w:rsidRPr="005422B9" w:rsidRDefault="008D69D8" w:rsidP="008D69D8">
            <w:pPr>
              <w:spacing w:after="0"/>
              <w:jc w:val="center"/>
              <w:rPr>
                <w:szCs w:val="22"/>
                <w:lang w:val="en-AU"/>
              </w:rPr>
            </w:pPr>
            <w:r w:rsidRPr="00B805CB">
              <w:rPr>
                <w:noProof/>
                <w:szCs w:val="24"/>
                <w:lang w:val="en-US"/>
              </w:rPr>
              <w:drawing>
                <wp:inline distT="0" distB="0" distL="0" distR="0" wp14:anchorId="489F679B" wp14:editId="7D9FAFAE">
                  <wp:extent cx="2038350" cy="1400175"/>
                  <wp:effectExtent l="0" t="0" r="0" b="9525"/>
                  <wp:docPr id="10" name="Picture 2" descr="A close up of an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n anima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8350" cy="1400175"/>
                          </a:xfrm>
                          <a:prstGeom prst="rect">
                            <a:avLst/>
                          </a:prstGeom>
                          <a:noFill/>
                          <a:ln>
                            <a:noFill/>
                          </a:ln>
                        </pic:spPr>
                      </pic:pic>
                    </a:graphicData>
                  </a:graphic>
                </wp:inline>
              </w:drawing>
            </w:r>
          </w:p>
        </w:tc>
      </w:tr>
      <w:tr w:rsidR="008D69D8" w:rsidRPr="005422B9" w14:paraId="5B944872" w14:textId="77777777" w:rsidTr="008D69D8">
        <w:tc>
          <w:tcPr>
            <w:tcW w:w="4508" w:type="dxa"/>
          </w:tcPr>
          <w:p w14:paraId="1761B928" w14:textId="77777777" w:rsidR="008D69D8" w:rsidRPr="005422B9" w:rsidRDefault="008D69D8" w:rsidP="008D69D8">
            <w:pPr>
              <w:spacing w:after="0"/>
              <w:rPr>
                <w:b/>
                <w:bCs/>
                <w:szCs w:val="22"/>
                <w:lang w:val="en-AU"/>
              </w:rPr>
            </w:pPr>
            <w:r w:rsidRPr="005422B9">
              <w:rPr>
                <w:b/>
                <w:bCs/>
                <w:szCs w:val="22"/>
                <w:lang w:val="en-AU"/>
              </w:rPr>
              <w:lastRenderedPageBreak/>
              <w:t>Step 2. Visual inspection</w:t>
            </w:r>
          </w:p>
          <w:p w14:paraId="49CEC1AF" w14:textId="1B08E9DB" w:rsidR="008D69D8" w:rsidRPr="005422B9" w:rsidRDefault="008D69D8" w:rsidP="008D69D8">
            <w:pPr>
              <w:spacing w:after="0"/>
              <w:rPr>
                <w:b/>
                <w:bCs/>
                <w:szCs w:val="22"/>
                <w:lang w:val="en-AU"/>
              </w:rPr>
            </w:pPr>
            <w:r>
              <w:rPr>
                <w:szCs w:val="22"/>
                <w:lang w:val="en-AU"/>
              </w:rPr>
              <w:t>V</w:t>
            </w:r>
            <w:r w:rsidRPr="005422B9">
              <w:rPr>
                <w:szCs w:val="22"/>
                <w:lang w:val="en-AU"/>
              </w:rPr>
              <w:t xml:space="preserve">isually </w:t>
            </w:r>
            <w:r>
              <w:rPr>
                <w:szCs w:val="22"/>
                <w:lang w:val="en-AU"/>
              </w:rPr>
              <w:t xml:space="preserve">inspect the vaccine </w:t>
            </w:r>
            <w:r w:rsidRPr="005422B9">
              <w:rPr>
                <w:szCs w:val="22"/>
                <w:lang w:val="en-AU"/>
              </w:rPr>
              <w:t xml:space="preserve">for large particulate matter and discoloration prior to administration. </w:t>
            </w:r>
            <w:r>
              <w:rPr>
                <w:szCs w:val="22"/>
                <w:lang w:val="en-AU"/>
              </w:rPr>
              <w:t xml:space="preserve">Do not use </w:t>
            </w:r>
            <w:r w:rsidRPr="005422B9">
              <w:rPr>
                <w:szCs w:val="22"/>
                <w:lang w:val="en-AU"/>
              </w:rPr>
              <w:t>if large particulate matter or discolo</w:t>
            </w:r>
            <w:r>
              <w:rPr>
                <w:szCs w:val="22"/>
                <w:lang w:val="en-AU"/>
              </w:rPr>
              <w:t>u</w:t>
            </w:r>
            <w:r w:rsidRPr="005422B9">
              <w:rPr>
                <w:szCs w:val="22"/>
                <w:lang w:val="en-AU"/>
              </w:rPr>
              <w:t xml:space="preserve">ration is found. If the </w:t>
            </w:r>
            <w:r>
              <w:rPr>
                <w:szCs w:val="22"/>
                <w:lang w:val="en-AU"/>
              </w:rPr>
              <w:t>vaccine is not</w:t>
            </w:r>
            <w:r w:rsidRPr="005422B9">
              <w:rPr>
                <w:szCs w:val="22"/>
                <w:lang w:val="en-AU"/>
              </w:rPr>
              <w:t xml:space="preserve"> a homogenous white suspension, repeat Steps 1 and 2.</w:t>
            </w:r>
          </w:p>
        </w:tc>
        <w:tc>
          <w:tcPr>
            <w:tcW w:w="4509" w:type="dxa"/>
            <w:vAlign w:val="center"/>
          </w:tcPr>
          <w:p w14:paraId="1BE92DF1" w14:textId="6C1E98D3" w:rsidR="008D69D8" w:rsidRPr="005422B9" w:rsidRDefault="008D69D8" w:rsidP="008D69D8">
            <w:pPr>
              <w:spacing w:after="0"/>
              <w:jc w:val="center"/>
              <w:rPr>
                <w:noProof/>
                <w:szCs w:val="22"/>
                <w:lang w:val="en-AU"/>
              </w:rPr>
            </w:pPr>
            <w:r w:rsidRPr="00B805CB">
              <w:rPr>
                <w:noProof/>
                <w:szCs w:val="24"/>
                <w:lang w:val="en-US"/>
              </w:rPr>
              <w:drawing>
                <wp:inline distT="0" distB="0" distL="0" distR="0" wp14:anchorId="6CD9C6F8" wp14:editId="383A7D60">
                  <wp:extent cx="809625" cy="1695450"/>
                  <wp:effectExtent l="0" t="0" r="9525" b="0"/>
                  <wp:docPr id="11" name="Picture 3"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gh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1695450"/>
                          </a:xfrm>
                          <a:prstGeom prst="rect">
                            <a:avLst/>
                          </a:prstGeom>
                          <a:noFill/>
                          <a:ln>
                            <a:noFill/>
                          </a:ln>
                        </pic:spPr>
                      </pic:pic>
                    </a:graphicData>
                  </a:graphic>
                </wp:inline>
              </w:drawing>
            </w:r>
          </w:p>
        </w:tc>
      </w:tr>
      <w:tr w:rsidR="00EB52D3" w:rsidRPr="005422B9" w14:paraId="08C5FD06" w14:textId="77777777" w:rsidTr="008D69D8">
        <w:tc>
          <w:tcPr>
            <w:tcW w:w="4508" w:type="dxa"/>
          </w:tcPr>
          <w:p w14:paraId="3500F12C" w14:textId="77777777" w:rsidR="00EB52D3" w:rsidRPr="005422B9" w:rsidRDefault="00EB52D3" w:rsidP="00EB52D3">
            <w:pPr>
              <w:spacing w:after="0"/>
              <w:rPr>
                <w:b/>
                <w:bCs/>
                <w:szCs w:val="22"/>
                <w:lang w:val="en-AU"/>
              </w:rPr>
            </w:pPr>
            <w:r w:rsidRPr="005422B9">
              <w:rPr>
                <w:b/>
                <w:bCs/>
                <w:szCs w:val="22"/>
                <w:lang w:val="en-AU"/>
              </w:rPr>
              <w:t>Step 3. Remove syringe cap</w:t>
            </w:r>
          </w:p>
          <w:p w14:paraId="003101AD" w14:textId="77777777" w:rsidR="00EB52D3" w:rsidRPr="005422B9" w:rsidRDefault="00EB52D3" w:rsidP="00EB52D3">
            <w:pPr>
              <w:spacing w:after="0"/>
              <w:rPr>
                <w:szCs w:val="22"/>
                <w:lang w:val="en-AU"/>
              </w:rPr>
            </w:pPr>
            <w:r w:rsidRPr="005422B9">
              <w:rPr>
                <w:szCs w:val="22"/>
                <w:lang w:val="en-AU"/>
              </w:rPr>
              <w:t xml:space="preserve">Remove the syringe cap from the </w:t>
            </w:r>
            <w:proofErr w:type="spellStart"/>
            <w:r w:rsidRPr="005422B9">
              <w:rPr>
                <w:szCs w:val="22"/>
                <w:lang w:val="en-AU"/>
              </w:rPr>
              <w:t>Luer</w:t>
            </w:r>
            <w:proofErr w:type="spellEnd"/>
            <w:r w:rsidRPr="005422B9">
              <w:rPr>
                <w:szCs w:val="22"/>
                <w:lang w:val="en-AU"/>
              </w:rPr>
              <w:t xml:space="preserve"> lock adapter by slowly turning the cap counter-clockwise while holding the </w:t>
            </w:r>
            <w:proofErr w:type="spellStart"/>
            <w:r w:rsidRPr="005422B9">
              <w:rPr>
                <w:szCs w:val="22"/>
                <w:lang w:val="en-AU"/>
              </w:rPr>
              <w:t>Luer</w:t>
            </w:r>
            <w:proofErr w:type="spellEnd"/>
            <w:r w:rsidRPr="005422B9">
              <w:rPr>
                <w:szCs w:val="22"/>
                <w:lang w:val="en-AU"/>
              </w:rPr>
              <w:t xml:space="preserve"> lock adapter.</w:t>
            </w:r>
          </w:p>
          <w:p w14:paraId="7319F168" w14:textId="77777777" w:rsidR="00EB52D3" w:rsidRPr="005422B9" w:rsidRDefault="00EB52D3" w:rsidP="00EB52D3">
            <w:pPr>
              <w:spacing w:after="0"/>
              <w:rPr>
                <w:szCs w:val="22"/>
                <w:lang w:val="en-AU"/>
              </w:rPr>
            </w:pPr>
            <w:r w:rsidRPr="005422B9">
              <w:rPr>
                <w:szCs w:val="22"/>
                <w:lang w:val="en-AU"/>
              </w:rPr>
              <w:t>Note: Care should be taken to ensure that the extended plunger rod is not depressed while removing the syringe cap.</w:t>
            </w:r>
          </w:p>
          <w:p w14:paraId="454F1F63" w14:textId="77777777" w:rsidR="00EB52D3" w:rsidRPr="005422B9" w:rsidRDefault="00EB52D3" w:rsidP="00EB52D3">
            <w:pPr>
              <w:spacing w:after="0"/>
              <w:rPr>
                <w:szCs w:val="22"/>
                <w:lang w:val="en-AU"/>
              </w:rPr>
            </w:pPr>
          </w:p>
        </w:tc>
        <w:tc>
          <w:tcPr>
            <w:tcW w:w="4509" w:type="dxa"/>
            <w:vAlign w:val="center"/>
          </w:tcPr>
          <w:p w14:paraId="077403E4" w14:textId="77777777" w:rsidR="00EB52D3" w:rsidRPr="005422B9" w:rsidRDefault="00EB52D3" w:rsidP="00EB52D3">
            <w:pPr>
              <w:spacing w:after="0"/>
              <w:jc w:val="center"/>
              <w:rPr>
                <w:szCs w:val="22"/>
                <w:lang w:val="en-AU"/>
              </w:rPr>
            </w:pPr>
            <w:r w:rsidRPr="005422B9">
              <w:rPr>
                <w:noProof/>
                <w:szCs w:val="22"/>
                <w:lang w:val="en-AU"/>
              </w:rPr>
              <w:drawing>
                <wp:inline distT="0" distB="0" distL="0" distR="0" wp14:anchorId="7D56ACC5" wp14:editId="012EF1E3">
                  <wp:extent cx="1438274" cy="17146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875" cy="1741630"/>
                          </a:xfrm>
                          <a:prstGeom prst="rect">
                            <a:avLst/>
                          </a:prstGeom>
                          <a:noFill/>
                          <a:ln>
                            <a:noFill/>
                          </a:ln>
                        </pic:spPr>
                      </pic:pic>
                    </a:graphicData>
                  </a:graphic>
                </wp:inline>
              </w:drawing>
            </w:r>
          </w:p>
        </w:tc>
      </w:tr>
      <w:tr w:rsidR="00EB52D3" w:rsidRPr="005422B9" w14:paraId="54AE3B02" w14:textId="77777777" w:rsidTr="008D69D8">
        <w:tc>
          <w:tcPr>
            <w:tcW w:w="9017" w:type="dxa"/>
            <w:gridSpan w:val="2"/>
          </w:tcPr>
          <w:p w14:paraId="2E8895B0" w14:textId="77777777" w:rsidR="00EB52D3" w:rsidRPr="005422B9" w:rsidRDefault="00EB52D3" w:rsidP="00EB52D3">
            <w:pPr>
              <w:spacing w:after="0"/>
              <w:rPr>
                <w:b/>
                <w:bCs/>
                <w:szCs w:val="22"/>
                <w:lang w:val="en-AU"/>
              </w:rPr>
            </w:pPr>
            <w:r w:rsidRPr="005422B9">
              <w:rPr>
                <w:b/>
                <w:bCs/>
                <w:szCs w:val="22"/>
                <w:lang w:val="en-AU"/>
              </w:rPr>
              <w:t>Step 4. Attach a sterile needle</w:t>
            </w:r>
          </w:p>
          <w:p w14:paraId="48E357DB" w14:textId="77777777" w:rsidR="00EB52D3" w:rsidRPr="005422B9" w:rsidRDefault="00EB52D3" w:rsidP="00EB52D3">
            <w:pPr>
              <w:spacing w:after="0"/>
              <w:rPr>
                <w:szCs w:val="22"/>
                <w:lang w:val="en-AU"/>
              </w:rPr>
            </w:pPr>
            <w:r w:rsidRPr="005422B9">
              <w:rPr>
                <w:szCs w:val="22"/>
                <w:lang w:val="en-AU"/>
              </w:rPr>
              <w:t xml:space="preserve">Attach a needle appropriate for intramuscular administration to the pre-filled syringe by holding the </w:t>
            </w:r>
            <w:proofErr w:type="spellStart"/>
            <w:r w:rsidRPr="005422B9">
              <w:rPr>
                <w:szCs w:val="22"/>
                <w:lang w:val="en-AU"/>
              </w:rPr>
              <w:t>Luer</w:t>
            </w:r>
            <w:proofErr w:type="spellEnd"/>
            <w:r w:rsidRPr="005422B9">
              <w:rPr>
                <w:szCs w:val="22"/>
                <w:lang w:val="en-AU"/>
              </w:rPr>
              <w:t xml:space="preserve"> lock adapter and turning the needle clockwise.</w:t>
            </w:r>
          </w:p>
        </w:tc>
      </w:tr>
    </w:tbl>
    <w:p w14:paraId="541EF59A" w14:textId="02BF766D" w:rsidR="00E715A3" w:rsidRPr="005422B9" w:rsidRDefault="00E715A3" w:rsidP="00E715A3">
      <w:pPr>
        <w:rPr>
          <w:rFonts w:eastAsia="TimesNewRoman"/>
          <w:lang w:val="en-AU"/>
        </w:rPr>
      </w:pPr>
    </w:p>
    <w:p w14:paraId="3C12EA42" w14:textId="68AA93DB" w:rsidR="0062454C" w:rsidRPr="005422B9" w:rsidRDefault="00787D1C" w:rsidP="00E0141F">
      <w:pPr>
        <w:pStyle w:val="CLDHeading2"/>
        <w:rPr>
          <w:rFonts w:ascii="Times New Roman" w:hAnsi="Times New Roman"/>
          <w:lang w:val="en-AU"/>
        </w:rPr>
      </w:pPr>
      <w:r w:rsidRPr="005422B9">
        <w:rPr>
          <w:rFonts w:ascii="Times New Roman" w:hAnsi="Times New Roman"/>
          <w:lang w:val="en-AU"/>
        </w:rPr>
        <w:t>4.3</w:t>
      </w:r>
      <w:r w:rsidRPr="005422B9">
        <w:rPr>
          <w:rFonts w:ascii="Times New Roman" w:hAnsi="Times New Roman"/>
          <w:lang w:val="en-AU"/>
        </w:rPr>
        <w:tab/>
      </w:r>
      <w:r w:rsidR="00520868" w:rsidRPr="005422B9">
        <w:rPr>
          <w:rFonts w:ascii="Times New Roman" w:hAnsi="Times New Roman"/>
          <w:lang w:val="en-AU"/>
        </w:rPr>
        <w:t>Contraindications</w:t>
      </w:r>
    </w:p>
    <w:p w14:paraId="3CB1C702" w14:textId="6DED2C45" w:rsidR="00081A83" w:rsidRPr="005422B9" w:rsidRDefault="00081A83" w:rsidP="00E0141F">
      <w:pPr>
        <w:pStyle w:val="CLDNormal"/>
        <w:rPr>
          <w:lang w:val="en-AU"/>
        </w:rPr>
      </w:pPr>
      <w:r w:rsidRPr="005422B9">
        <w:rPr>
          <w:lang w:val="en-AU"/>
        </w:rPr>
        <w:t>Hypersensitivity to the active substance</w:t>
      </w:r>
      <w:r w:rsidR="00676EEC" w:rsidRPr="005422B9">
        <w:rPr>
          <w:lang w:val="en-AU"/>
        </w:rPr>
        <w:t>, diphtheria toxoid,</w:t>
      </w:r>
      <w:r w:rsidRPr="005422B9">
        <w:rPr>
          <w:lang w:val="en-AU"/>
        </w:rPr>
        <w:t xml:space="preserve"> or to any of the excipients listed in </w:t>
      </w:r>
      <w:r w:rsidR="00CC02CF" w:rsidRPr="005422B9">
        <w:rPr>
          <w:lang w:val="en-AU"/>
        </w:rPr>
        <w:t>S</w:t>
      </w:r>
      <w:r w:rsidRPr="005422B9">
        <w:rPr>
          <w:lang w:val="en-AU"/>
        </w:rPr>
        <w:t>ection 6.1</w:t>
      </w:r>
      <w:r w:rsidR="00CC02CF" w:rsidRPr="005422B9">
        <w:rPr>
          <w:lang w:val="en-AU"/>
        </w:rPr>
        <w:t xml:space="preserve"> List of excipients</w:t>
      </w:r>
      <w:r w:rsidRPr="005422B9">
        <w:rPr>
          <w:lang w:val="en-AU"/>
        </w:rPr>
        <w:t>.</w:t>
      </w:r>
    </w:p>
    <w:p w14:paraId="0B2C7A30" w14:textId="72F72799" w:rsidR="0062454C" w:rsidRPr="005422B9" w:rsidRDefault="00787D1C" w:rsidP="00E0141F">
      <w:pPr>
        <w:pStyle w:val="CLDHeading2"/>
        <w:rPr>
          <w:rFonts w:ascii="Times New Roman" w:hAnsi="Times New Roman"/>
          <w:lang w:val="en-AU"/>
        </w:rPr>
      </w:pPr>
      <w:r w:rsidRPr="005422B9">
        <w:rPr>
          <w:rFonts w:ascii="Times New Roman" w:hAnsi="Times New Roman"/>
          <w:lang w:val="en-AU"/>
        </w:rPr>
        <w:t>4.4</w:t>
      </w:r>
      <w:r w:rsidRPr="005422B9">
        <w:rPr>
          <w:rFonts w:ascii="Times New Roman" w:hAnsi="Times New Roman"/>
          <w:lang w:val="en-AU"/>
        </w:rPr>
        <w:tab/>
      </w:r>
      <w:bookmarkStart w:id="6" w:name="_Hlk59546256"/>
      <w:r w:rsidR="00CD7E76" w:rsidRPr="005422B9">
        <w:rPr>
          <w:rFonts w:ascii="Times New Roman" w:hAnsi="Times New Roman"/>
          <w:lang w:val="en-AU"/>
        </w:rPr>
        <w:t>Special w</w:t>
      </w:r>
      <w:r w:rsidR="0062454C" w:rsidRPr="005422B9">
        <w:rPr>
          <w:rFonts w:ascii="Times New Roman" w:hAnsi="Times New Roman"/>
          <w:lang w:val="en-AU"/>
        </w:rPr>
        <w:t xml:space="preserve">arnings and </w:t>
      </w:r>
      <w:r w:rsidR="00CD7E76" w:rsidRPr="005422B9">
        <w:rPr>
          <w:rFonts w:ascii="Times New Roman" w:hAnsi="Times New Roman"/>
          <w:lang w:val="en-AU"/>
        </w:rPr>
        <w:t>p</w:t>
      </w:r>
      <w:r w:rsidR="0062454C" w:rsidRPr="005422B9">
        <w:rPr>
          <w:rFonts w:ascii="Times New Roman" w:hAnsi="Times New Roman"/>
          <w:lang w:val="en-AU"/>
        </w:rPr>
        <w:t>recautions</w:t>
      </w:r>
      <w:r w:rsidR="00315AB0" w:rsidRPr="005422B9">
        <w:rPr>
          <w:rFonts w:ascii="Times New Roman" w:hAnsi="Times New Roman"/>
          <w:lang w:val="en-AU"/>
        </w:rPr>
        <w:t xml:space="preserve"> </w:t>
      </w:r>
      <w:r w:rsidR="00CD7E76" w:rsidRPr="005422B9">
        <w:rPr>
          <w:rFonts w:ascii="Times New Roman" w:hAnsi="Times New Roman"/>
          <w:lang w:val="en-AU"/>
        </w:rPr>
        <w:t>for u</w:t>
      </w:r>
      <w:r w:rsidR="00683128" w:rsidRPr="005422B9">
        <w:rPr>
          <w:rFonts w:ascii="Times New Roman" w:hAnsi="Times New Roman"/>
          <w:lang w:val="en-AU"/>
        </w:rPr>
        <w:t>se</w:t>
      </w:r>
      <w:bookmarkEnd w:id="6"/>
    </w:p>
    <w:p w14:paraId="0B8F4A9E" w14:textId="77777777" w:rsidR="00E715A3" w:rsidRPr="005422B9" w:rsidRDefault="00E715A3" w:rsidP="00E715A3">
      <w:pPr>
        <w:pStyle w:val="CLDHeading3"/>
        <w:rPr>
          <w:lang w:val="en-AU"/>
        </w:rPr>
      </w:pPr>
      <w:bookmarkStart w:id="7" w:name="OLE_LINK3"/>
      <w:r w:rsidRPr="005422B9">
        <w:rPr>
          <w:lang w:val="en-AU"/>
        </w:rPr>
        <w:t>Traceability</w:t>
      </w:r>
    </w:p>
    <w:p w14:paraId="132E4893" w14:textId="7BE05527" w:rsidR="00E715A3" w:rsidRPr="005422B9" w:rsidRDefault="001A517E" w:rsidP="00E715A3">
      <w:pPr>
        <w:rPr>
          <w:lang w:val="en-AU"/>
        </w:rPr>
      </w:pPr>
      <w:r w:rsidRPr="005422B9">
        <w:rPr>
          <w:lang w:val="en-AU"/>
        </w:rPr>
        <w:t>In order to improve the traceability of biological medicinal products, the name and the batch number of the administered product should be recorded in the Australian Immunisation Register.</w:t>
      </w:r>
    </w:p>
    <w:p w14:paraId="17A8E918" w14:textId="7A04E6EC" w:rsidR="00C54712" w:rsidRPr="005422B9" w:rsidRDefault="00C54712" w:rsidP="00C54712">
      <w:pPr>
        <w:pStyle w:val="CLDHeading3"/>
        <w:rPr>
          <w:lang w:val="en-AU"/>
        </w:rPr>
      </w:pPr>
      <w:r w:rsidRPr="005422B9">
        <w:rPr>
          <w:lang w:val="en-AU"/>
        </w:rPr>
        <w:t>Hypersensitivity</w:t>
      </w:r>
    </w:p>
    <w:p w14:paraId="10471A97" w14:textId="664C9942" w:rsidR="00E715A3" w:rsidRPr="005422B9" w:rsidRDefault="00E715A3" w:rsidP="00E715A3">
      <w:pPr>
        <w:rPr>
          <w:lang w:val="en-AU"/>
        </w:rPr>
      </w:pPr>
      <w:r w:rsidRPr="005422B9">
        <w:rPr>
          <w:lang w:val="en-AU"/>
        </w:rPr>
        <w:t>As with all injectable vaccines, appropriate medical treatment and supervision must always be readily available in case of a rare anaphylactic event following the administration of the vaccine (see section 4.8</w:t>
      </w:r>
      <w:r w:rsidR="00021DFC" w:rsidRPr="005422B9">
        <w:rPr>
          <w:lang w:val="en-AU"/>
        </w:rPr>
        <w:t xml:space="preserve"> Adverse effects (undesirable effects)</w:t>
      </w:r>
      <w:r w:rsidRPr="005422B9">
        <w:rPr>
          <w:lang w:val="en-AU"/>
        </w:rPr>
        <w:t xml:space="preserve">). </w:t>
      </w:r>
    </w:p>
    <w:p w14:paraId="291BD77C" w14:textId="056AFDC2" w:rsidR="00C54712" w:rsidRPr="005422B9" w:rsidRDefault="00C54712" w:rsidP="00C54712">
      <w:pPr>
        <w:pStyle w:val="CLDHeading3"/>
        <w:rPr>
          <w:lang w:val="en-AU"/>
        </w:rPr>
      </w:pPr>
      <w:r w:rsidRPr="005422B9">
        <w:rPr>
          <w:lang w:val="en-AU"/>
        </w:rPr>
        <w:lastRenderedPageBreak/>
        <w:t>Concurrent illness</w:t>
      </w:r>
    </w:p>
    <w:p w14:paraId="64075E8C" w14:textId="4519F34C" w:rsidR="00E715A3" w:rsidRPr="005422B9" w:rsidRDefault="00C54712" w:rsidP="00E715A3">
      <w:pPr>
        <w:rPr>
          <w:lang w:val="en-AU"/>
        </w:rPr>
      </w:pPr>
      <w:r w:rsidRPr="005422B9">
        <w:rPr>
          <w:lang w:val="en-AU"/>
        </w:rPr>
        <w:t>Vaccination</w:t>
      </w:r>
      <w:r w:rsidR="00E715A3" w:rsidRPr="005422B9">
        <w:rPr>
          <w:lang w:val="en-AU"/>
        </w:rPr>
        <w:t xml:space="preserve"> should be postponed in individuals suffering from acute severe febrile illness. However, the presence of a minor infection, such as a cold, should not result in the deferral of vaccination. </w:t>
      </w:r>
    </w:p>
    <w:p w14:paraId="3366A176" w14:textId="7CD6A778" w:rsidR="00C54712" w:rsidRPr="005422B9" w:rsidRDefault="00B81DF5" w:rsidP="00C54712">
      <w:pPr>
        <w:pStyle w:val="CLDHeading3"/>
        <w:rPr>
          <w:lang w:val="en-AU"/>
        </w:rPr>
      </w:pPr>
      <w:r w:rsidRPr="005422B9">
        <w:rPr>
          <w:lang w:val="en-AU"/>
        </w:rPr>
        <w:t>Thrombocytopenia and coagulation disorders</w:t>
      </w:r>
    </w:p>
    <w:p w14:paraId="187A324E" w14:textId="0F978CC5" w:rsidR="00E715A3" w:rsidRPr="005422B9" w:rsidRDefault="00B81DF5" w:rsidP="00E715A3">
      <w:pPr>
        <w:rPr>
          <w:lang w:val="en-AU"/>
        </w:rPr>
      </w:pPr>
      <w:r w:rsidRPr="005422B9">
        <w:rPr>
          <w:lang w:val="en-AU"/>
        </w:rPr>
        <w:t>T</w:t>
      </w:r>
      <w:r w:rsidR="00E715A3" w:rsidRPr="005422B9">
        <w:rPr>
          <w:lang w:val="en-AU"/>
        </w:rPr>
        <w:t xml:space="preserve">he vaccine must be administered with caution to individuals with thrombocytopenia or a bleeding disorder since bleeding may occur following an intramuscular administration. </w:t>
      </w:r>
    </w:p>
    <w:p w14:paraId="54CBEBA0" w14:textId="13FFAA57" w:rsidR="00B81DF5" w:rsidRPr="005422B9" w:rsidRDefault="00B81DF5" w:rsidP="00B81DF5">
      <w:pPr>
        <w:keepNext/>
        <w:keepLines/>
        <w:widowControl w:val="0"/>
        <w:rPr>
          <w:lang w:val="en-AU"/>
        </w:rPr>
      </w:pPr>
      <w:r w:rsidRPr="005422B9">
        <w:t>The risk of bleeding in patients with coagulation disorders needs to be carefully evaluated before intramuscular administration of any vaccine, and subcutaneous administration should be considered if the potential benefit clearly outweighs the risks.</w:t>
      </w:r>
    </w:p>
    <w:p w14:paraId="0E268C48" w14:textId="1DE8C906" w:rsidR="00B81DF5" w:rsidRPr="005422B9" w:rsidRDefault="00B81DF5" w:rsidP="00B81DF5">
      <w:pPr>
        <w:pStyle w:val="CLDHeading3"/>
        <w:rPr>
          <w:lang w:val="en-AU"/>
        </w:rPr>
      </w:pPr>
      <w:r w:rsidRPr="005422B9">
        <w:rPr>
          <w:lang w:val="en-AU"/>
        </w:rPr>
        <w:t>Protection against pneumococcal disease</w:t>
      </w:r>
    </w:p>
    <w:p w14:paraId="50839FFD" w14:textId="165A8B0E" w:rsidR="00E715A3" w:rsidRPr="005422B9" w:rsidRDefault="00B81DF5" w:rsidP="00E715A3">
      <w:pPr>
        <w:rPr>
          <w:lang w:val="en-AU"/>
        </w:rPr>
      </w:pPr>
      <w:r w:rsidRPr="005422B9">
        <w:rPr>
          <w:lang w:val="en-AU"/>
        </w:rPr>
        <w:t xml:space="preserve">PREVENAR 20 </w:t>
      </w:r>
      <w:r w:rsidRPr="005422B9">
        <w:t xml:space="preserve">will only protect against </w:t>
      </w:r>
      <w:r w:rsidRPr="005422B9">
        <w:rPr>
          <w:i/>
        </w:rPr>
        <w:t>Streptococcus pneumoniae</w:t>
      </w:r>
      <w:r w:rsidRPr="005422B9">
        <w:t xml:space="preserve"> serotypes included in the </w:t>
      </w:r>
      <w:proofErr w:type="gramStart"/>
      <w:r w:rsidRPr="005422B9">
        <w:t>vaccine, and</w:t>
      </w:r>
      <w:proofErr w:type="gramEnd"/>
      <w:r w:rsidRPr="005422B9">
        <w:t xml:space="preserve"> will not protect against other microorganisms that cause invasive disease or pneumonia. </w:t>
      </w:r>
      <w:r w:rsidR="00E715A3" w:rsidRPr="005422B9">
        <w:rPr>
          <w:lang w:val="en-AU"/>
        </w:rPr>
        <w:t xml:space="preserve">As with any vaccine, </w:t>
      </w:r>
      <w:r w:rsidR="00A67670" w:rsidRPr="005422B9">
        <w:rPr>
          <w:lang w:val="en-AU"/>
        </w:rPr>
        <w:t>PREVENAR 20</w:t>
      </w:r>
      <w:r w:rsidR="00E715A3" w:rsidRPr="005422B9">
        <w:rPr>
          <w:lang w:val="en-AU"/>
        </w:rPr>
        <w:t xml:space="preserve"> may not protect all individuals receiving the vaccine from pneumococcal disease</w:t>
      </w:r>
      <w:r w:rsidRPr="005422B9">
        <w:rPr>
          <w:lang w:val="en-AU"/>
        </w:rPr>
        <w:t xml:space="preserve"> or pneumonia</w:t>
      </w:r>
      <w:r w:rsidR="00E715A3" w:rsidRPr="005422B9">
        <w:rPr>
          <w:lang w:val="en-AU"/>
        </w:rPr>
        <w:t>.</w:t>
      </w:r>
    </w:p>
    <w:p w14:paraId="10C5EB20" w14:textId="5FDDE74D" w:rsidR="00B81DF5" w:rsidRPr="005422B9" w:rsidRDefault="00B81DF5" w:rsidP="00B81DF5">
      <w:pPr>
        <w:pStyle w:val="CLDHeading3"/>
        <w:rPr>
          <w:lang w:val="en-AU"/>
        </w:rPr>
      </w:pPr>
      <w:r w:rsidRPr="005422B9">
        <w:rPr>
          <w:lang w:val="en-AU"/>
        </w:rPr>
        <w:t>Immunocompromised individuals</w:t>
      </w:r>
    </w:p>
    <w:p w14:paraId="0D38638B" w14:textId="5BD20D14" w:rsidR="00E715A3" w:rsidRPr="005422B9" w:rsidRDefault="00E715A3" w:rsidP="00E715A3">
      <w:pPr>
        <w:rPr>
          <w:lang w:val="en-AU"/>
        </w:rPr>
      </w:pPr>
      <w:r w:rsidRPr="005422B9">
        <w:rPr>
          <w:lang w:val="en-AU"/>
        </w:rPr>
        <w:t xml:space="preserve">Safety and immunogenicity data on </w:t>
      </w:r>
      <w:r w:rsidR="00A67670" w:rsidRPr="005422B9">
        <w:rPr>
          <w:lang w:val="en-AU"/>
        </w:rPr>
        <w:t>PREVENAR 20</w:t>
      </w:r>
      <w:r w:rsidRPr="005422B9">
        <w:rPr>
          <w:lang w:val="en-AU"/>
        </w:rPr>
        <w:t xml:space="preserve"> are not available for individuals in immunocompromised groups and vaccination should be considered on an individual basis.</w:t>
      </w:r>
    </w:p>
    <w:p w14:paraId="4EE0F279" w14:textId="2CE6556F" w:rsidR="00E715A3" w:rsidRPr="005422B9" w:rsidRDefault="00E715A3" w:rsidP="00E715A3">
      <w:pPr>
        <w:rPr>
          <w:lang w:val="en-AU"/>
        </w:rPr>
      </w:pPr>
      <w:r w:rsidRPr="005422B9">
        <w:rPr>
          <w:lang w:val="en-AU"/>
        </w:rPr>
        <w:t xml:space="preserve">Based on experience with pneumococcal vaccines, some individuals with altered immunocompetence may have reduced immune responses to </w:t>
      </w:r>
      <w:r w:rsidR="00A67670" w:rsidRPr="005422B9">
        <w:rPr>
          <w:lang w:val="en-AU"/>
        </w:rPr>
        <w:t>PREVENAR 20</w:t>
      </w:r>
      <w:r w:rsidRPr="005422B9">
        <w:rPr>
          <w:lang w:val="en-AU"/>
        </w:rPr>
        <w:t>.</w:t>
      </w:r>
    </w:p>
    <w:p w14:paraId="214F2E3F" w14:textId="4BAFF950" w:rsidR="00E715A3" w:rsidRPr="005422B9" w:rsidRDefault="00E715A3" w:rsidP="00E715A3">
      <w:pPr>
        <w:rPr>
          <w:lang w:val="en-AU"/>
        </w:rPr>
      </w:pPr>
      <w:r w:rsidRPr="005422B9">
        <w:rPr>
          <w:lang w:val="en-AU"/>
        </w:rPr>
        <w:t>Individuals with impaired immune responsiveness, whether due to the use of immunosuppressive therapy, a genetic defect, HIV infection, or other causes, may have reduced antibody response to active immuni</w:t>
      </w:r>
      <w:r w:rsidR="00395FC9" w:rsidRPr="005422B9">
        <w:rPr>
          <w:lang w:val="en-AU"/>
        </w:rPr>
        <w:t>s</w:t>
      </w:r>
      <w:r w:rsidRPr="005422B9">
        <w:rPr>
          <w:lang w:val="en-AU"/>
        </w:rPr>
        <w:t xml:space="preserve">ation. The clinical relevance of this is unknown. </w:t>
      </w:r>
    </w:p>
    <w:p w14:paraId="5C2ED40B" w14:textId="0BF6DF0D" w:rsidR="0014514D" w:rsidRDefault="00E715A3" w:rsidP="00E715A3">
      <w:pPr>
        <w:rPr>
          <w:lang w:val="en-AU"/>
        </w:rPr>
      </w:pPr>
      <w:r w:rsidRPr="005422B9">
        <w:rPr>
          <w:lang w:val="en-AU"/>
        </w:rPr>
        <w:t>Safety and immunogenicity data with Prevenar 13 are available for a limited number of individuals with HIV infection, or with a HSCT (see section</w:t>
      </w:r>
      <w:r w:rsidR="00B81DF5" w:rsidRPr="005422B9">
        <w:rPr>
          <w:lang w:val="en-AU"/>
        </w:rPr>
        <w:t>s 4.8 Adverse effects (undesirable effects) and</w:t>
      </w:r>
      <w:r w:rsidRPr="005422B9">
        <w:rPr>
          <w:lang w:val="en-AU"/>
        </w:rPr>
        <w:t xml:space="preserve"> 5.1</w:t>
      </w:r>
      <w:r w:rsidR="00021DFC" w:rsidRPr="005422B9">
        <w:rPr>
          <w:lang w:val="en-AU"/>
        </w:rPr>
        <w:t xml:space="preserve"> </w:t>
      </w:r>
      <w:r w:rsidR="00021DFC" w:rsidRPr="005422B9">
        <w:rPr>
          <w:szCs w:val="22"/>
          <w:lang w:val="en-AU"/>
        </w:rPr>
        <w:t>Pharmacodynamic properties</w:t>
      </w:r>
      <w:r w:rsidRPr="005422B9">
        <w:rPr>
          <w:lang w:val="en-AU"/>
        </w:rPr>
        <w:t xml:space="preserve">). </w:t>
      </w:r>
      <w:r w:rsidR="009803E2" w:rsidRPr="009803E2">
        <w:rPr>
          <w:lang w:val="en-AU"/>
        </w:rPr>
        <w:t xml:space="preserve"> </w:t>
      </w:r>
    </w:p>
    <w:p w14:paraId="297C7503" w14:textId="349F8623" w:rsidR="00E715A3" w:rsidRPr="005422B9" w:rsidRDefault="009803E2" w:rsidP="00E715A3">
      <w:pPr>
        <w:rPr>
          <w:lang w:val="en-AU"/>
        </w:rPr>
      </w:pPr>
      <w:r w:rsidRPr="009803E2">
        <w:rPr>
          <w:lang w:val="en-AU"/>
        </w:rPr>
        <w:t xml:space="preserve">In adults across all studied age groups, formal non-inferiority criteria were met although numerically lower geometric mean titres were observed with </w:t>
      </w:r>
      <w:r w:rsidR="0014514D">
        <w:rPr>
          <w:lang w:val="en-AU"/>
        </w:rPr>
        <w:t xml:space="preserve">PREVENAR </w:t>
      </w:r>
      <w:r>
        <w:rPr>
          <w:lang w:val="en-AU"/>
        </w:rPr>
        <w:t>20</w:t>
      </w:r>
      <w:r w:rsidRPr="009803E2">
        <w:rPr>
          <w:lang w:val="en-AU"/>
        </w:rPr>
        <w:t xml:space="preserve"> for most of the serotypes compared to </w:t>
      </w:r>
      <w:r w:rsidR="0014514D" w:rsidRPr="009803E2">
        <w:rPr>
          <w:lang w:val="en-AU"/>
        </w:rPr>
        <w:t xml:space="preserve">PREVENAR </w:t>
      </w:r>
      <w:r w:rsidRPr="009803E2">
        <w:rPr>
          <w:lang w:val="en-AU"/>
        </w:rPr>
        <w:t>13 (see section 5.1), however the clinical relevance of this observation for immunocompromised individuals is unknown</w:t>
      </w:r>
      <w:r>
        <w:rPr>
          <w:lang w:val="en-AU"/>
        </w:rPr>
        <w:t>.</w:t>
      </w:r>
    </w:p>
    <w:bookmarkEnd w:id="7"/>
    <w:p w14:paraId="1F87FA8F" w14:textId="529C95EB" w:rsidR="00C40E91" w:rsidRPr="005422B9" w:rsidRDefault="00E11F1D" w:rsidP="00E0141F">
      <w:pPr>
        <w:pStyle w:val="CLDHeading3"/>
        <w:rPr>
          <w:lang w:val="en-AU"/>
        </w:rPr>
      </w:pPr>
      <w:r w:rsidRPr="005422B9">
        <w:rPr>
          <w:lang w:val="en-AU"/>
        </w:rPr>
        <w:t>Use in the elderly</w:t>
      </w:r>
    </w:p>
    <w:p w14:paraId="75E691C0" w14:textId="77777777" w:rsidR="00C0494B" w:rsidRPr="005422B9" w:rsidRDefault="00CF52AB" w:rsidP="00E0141F">
      <w:pPr>
        <w:pStyle w:val="CLDNormal"/>
        <w:rPr>
          <w:szCs w:val="22"/>
          <w:lang w:val="en-AU"/>
        </w:rPr>
      </w:pPr>
      <w:r w:rsidRPr="005422B9">
        <w:rPr>
          <w:lang w:val="en-AU"/>
        </w:rPr>
        <w:t>No dose adjustment or special precautions are applicable to use in the elderly</w:t>
      </w:r>
      <w:r w:rsidR="60EA227E" w:rsidRPr="005422B9">
        <w:rPr>
          <w:lang w:val="en-AU"/>
        </w:rPr>
        <w:t>.</w:t>
      </w:r>
      <w:bookmarkStart w:id="8" w:name="_Hlk59625548"/>
      <w:r w:rsidR="00C0494B" w:rsidRPr="005422B9">
        <w:rPr>
          <w:szCs w:val="22"/>
          <w:lang w:val="en-AU"/>
        </w:rPr>
        <w:t xml:space="preserve"> </w:t>
      </w:r>
    </w:p>
    <w:p w14:paraId="21CA6943" w14:textId="039EF1D1" w:rsidR="00A805D2" w:rsidRPr="005422B9" w:rsidRDefault="00C0494B" w:rsidP="00E0141F">
      <w:pPr>
        <w:pStyle w:val="CLDNormal"/>
        <w:rPr>
          <w:highlight w:val="yellow"/>
          <w:lang w:val="en-AU"/>
        </w:rPr>
      </w:pPr>
      <w:r w:rsidRPr="005422B9">
        <w:rPr>
          <w:szCs w:val="22"/>
          <w:lang w:val="en-AU"/>
        </w:rPr>
        <w:t xml:space="preserve">Of the 4263 adults in the 3 studies (B7471006, B7471007, B7471008) of the clinical development program who received PREVENAR 20, 668 (15.7%) were 65 through 69 years of age, 398 (9.3%) were 70 through 79 years of age, and 72 (1.7%) were 80 years of age and </w:t>
      </w:r>
      <w:r w:rsidRPr="005422B9">
        <w:rPr>
          <w:szCs w:val="22"/>
          <w:lang w:val="en-AU"/>
        </w:rPr>
        <w:lastRenderedPageBreak/>
        <w:t>older. PREVENAR 20 has been shown to be safe and immunogenic in the geriatric population regardless of prior pneumococcal vaccination (see Section 5.1 Pharmacodynamic properties).</w:t>
      </w:r>
    </w:p>
    <w:bookmarkEnd w:id="8"/>
    <w:p w14:paraId="325852F9" w14:textId="3E1F1F5B" w:rsidR="00E11F1D" w:rsidRPr="005422B9" w:rsidRDefault="00C40E91" w:rsidP="00E0141F">
      <w:pPr>
        <w:pStyle w:val="CLDHeading3"/>
        <w:rPr>
          <w:lang w:val="en-AU"/>
        </w:rPr>
      </w:pPr>
      <w:r w:rsidRPr="005422B9">
        <w:rPr>
          <w:lang w:val="en-AU"/>
        </w:rPr>
        <w:t>Paediatric use</w:t>
      </w:r>
    </w:p>
    <w:p w14:paraId="352944D1" w14:textId="2D4AC2C4" w:rsidR="001A517E" w:rsidRPr="005422B9" w:rsidRDefault="001A517E" w:rsidP="00B2074B">
      <w:pPr>
        <w:rPr>
          <w:lang w:val="en-AU"/>
        </w:rPr>
      </w:pPr>
      <w:r w:rsidRPr="005422B9">
        <w:rPr>
          <w:lang w:val="en-AU"/>
        </w:rPr>
        <w:t xml:space="preserve">PREVENAR 20 </w:t>
      </w:r>
      <w:r w:rsidR="00890CCC" w:rsidRPr="005422B9">
        <w:rPr>
          <w:lang w:val="en-AU"/>
        </w:rPr>
        <w:t>is not approved for use in children or adolescents.</w:t>
      </w:r>
      <w:r w:rsidRPr="005422B9">
        <w:rPr>
          <w:lang w:val="en-AU"/>
        </w:rPr>
        <w:t xml:space="preserve"> </w:t>
      </w:r>
    </w:p>
    <w:p w14:paraId="488F1986" w14:textId="5461ABE4" w:rsidR="00DC5D19" w:rsidRPr="005422B9" w:rsidRDefault="001A517E" w:rsidP="00B2074B">
      <w:pPr>
        <w:rPr>
          <w:lang w:val="en-AU"/>
        </w:rPr>
      </w:pPr>
      <w:r w:rsidRPr="00B2074B">
        <w:rPr>
          <w:lang w:val="en-AU"/>
        </w:rPr>
        <w:t>The safety and efficacy of PREVENAR 20 in children and adolescents aged less than 18 years of age have not yet been established. Limited data are available in this age group</w:t>
      </w:r>
      <w:r w:rsidRPr="005422B9">
        <w:rPr>
          <w:lang w:val="en-AU"/>
        </w:rPr>
        <w:t>.</w:t>
      </w:r>
    </w:p>
    <w:p w14:paraId="5A9061E8" w14:textId="280034E4" w:rsidR="00C40E91" w:rsidRPr="005422B9" w:rsidRDefault="00C40E91" w:rsidP="00E0141F">
      <w:pPr>
        <w:pStyle w:val="CLDHeading3"/>
        <w:rPr>
          <w:lang w:val="en-AU"/>
        </w:rPr>
      </w:pPr>
      <w:r w:rsidRPr="005422B9">
        <w:rPr>
          <w:lang w:val="en-AU"/>
        </w:rPr>
        <w:t>Effects on laboratory tests</w:t>
      </w:r>
    </w:p>
    <w:p w14:paraId="69270471" w14:textId="7C82CB48" w:rsidR="00FD6E1D" w:rsidRPr="005422B9" w:rsidRDefault="00FD6E1D" w:rsidP="00E0141F">
      <w:pPr>
        <w:pStyle w:val="CLDNormal"/>
        <w:rPr>
          <w:lang w:val="en-AU"/>
        </w:rPr>
      </w:pPr>
      <w:r w:rsidRPr="005422B9">
        <w:rPr>
          <w:lang w:val="en-AU"/>
        </w:rPr>
        <w:t>No data available.</w:t>
      </w:r>
    </w:p>
    <w:p w14:paraId="5392B0F3" w14:textId="4B02BD80" w:rsidR="00EC2C85" w:rsidRPr="005422B9" w:rsidRDefault="00787D1C" w:rsidP="00E0141F">
      <w:pPr>
        <w:pStyle w:val="CLDHeading2"/>
        <w:rPr>
          <w:rFonts w:ascii="Times New Roman" w:hAnsi="Times New Roman"/>
          <w:lang w:val="en-AU"/>
        </w:rPr>
      </w:pPr>
      <w:r w:rsidRPr="005422B9">
        <w:rPr>
          <w:rFonts w:ascii="Times New Roman" w:hAnsi="Times New Roman"/>
          <w:lang w:val="en-AU"/>
        </w:rPr>
        <w:t>4.5</w:t>
      </w:r>
      <w:r w:rsidRPr="005422B9">
        <w:rPr>
          <w:rFonts w:ascii="Times New Roman" w:hAnsi="Times New Roman"/>
          <w:lang w:val="en-AU"/>
        </w:rPr>
        <w:tab/>
      </w:r>
      <w:r w:rsidR="00112E5B" w:rsidRPr="005422B9">
        <w:rPr>
          <w:rFonts w:ascii="Times New Roman" w:hAnsi="Times New Roman"/>
          <w:lang w:val="en-AU"/>
        </w:rPr>
        <w:t>Interaction</w:t>
      </w:r>
      <w:r w:rsidR="00CD7E76" w:rsidRPr="005422B9">
        <w:rPr>
          <w:rFonts w:ascii="Times New Roman" w:hAnsi="Times New Roman"/>
          <w:lang w:val="en-AU"/>
        </w:rPr>
        <w:t>s with other m</w:t>
      </w:r>
      <w:r w:rsidR="00112E5B" w:rsidRPr="005422B9">
        <w:rPr>
          <w:rFonts w:ascii="Times New Roman" w:hAnsi="Times New Roman"/>
          <w:lang w:val="en-AU"/>
        </w:rPr>
        <w:t>ed</w:t>
      </w:r>
      <w:r w:rsidR="00591258" w:rsidRPr="005422B9">
        <w:rPr>
          <w:rFonts w:ascii="Times New Roman" w:hAnsi="Times New Roman"/>
          <w:lang w:val="en-AU"/>
        </w:rPr>
        <w:t>i</w:t>
      </w:r>
      <w:r w:rsidR="00112E5B" w:rsidRPr="005422B9">
        <w:rPr>
          <w:rFonts w:ascii="Times New Roman" w:hAnsi="Times New Roman"/>
          <w:lang w:val="en-AU"/>
        </w:rPr>
        <w:t>cines</w:t>
      </w:r>
      <w:r w:rsidR="00CD7E76" w:rsidRPr="005422B9">
        <w:rPr>
          <w:rFonts w:ascii="Times New Roman" w:hAnsi="Times New Roman"/>
          <w:lang w:val="en-AU"/>
        </w:rPr>
        <w:t xml:space="preserve"> and other forms of i</w:t>
      </w:r>
      <w:r w:rsidR="004A5EA8" w:rsidRPr="005422B9">
        <w:rPr>
          <w:rFonts w:ascii="Times New Roman" w:hAnsi="Times New Roman"/>
          <w:lang w:val="en-AU"/>
        </w:rPr>
        <w:t>nteraction</w:t>
      </w:r>
      <w:r w:rsidR="00C40E91" w:rsidRPr="005422B9">
        <w:rPr>
          <w:rFonts w:ascii="Times New Roman" w:hAnsi="Times New Roman"/>
          <w:lang w:val="en-AU"/>
        </w:rPr>
        <w:t>s</w:t>
      </w:r>
    </w:p>
    <w:p w14:paraId="57A3D009" w14:textId="5CC63DF5" w:rsidR="00E715A3" w:rsidRDefault="00E715A3" w:rsidP="00E715A3">
      <w:pPr>
        <w:rPr>
          <w:lang w:val="en-AU"/>
        </w:rPr>
      </w:pPr>
      <w:r w:rsidRPr="005422B9">
        <w:rPr>
          <w:lang w:val="en-AU"/>
        </w:rPr>
        <w:t>Different injectable vaccines should always be given at different vaccination sites.</w:t>
      </w:r>
    </w:p>
    <w:p w14:paraId="6AB9F518" w14:textId="77777777" w:rsidR="00CA2BEE" w:rsidRDefault="00DA31E1" w:rsidP="00CA2BEE">
      <w:pPr>
        <w:rPr>
          <w:lang w:val="en-AU"/>
        </w:rPr>
      </w:pPr>
      <w:r>
        <w:rPr>
          <w:lang w:val="en-AU"/>
        </w:rPr>
        <w:t>PREVENAR 20</w:t>
      </w:r>
      <w:r w:rsidRPr="00DA31E1">
        <w:rPr>
          <w:lang w:val="en-AU"/>
        </w:rPr>
        <w:t xml:space="preserve"> can be administered concomitantly with influenza vaccine, adjuvanted (</w:t>
      </w:r>
      <w:proofErr w:type="spellStart"/>
      <w:r w:rsidRPr="00DA31E1">
        <w:rPr>
          <w:lang w:val="en-AU"/>
        </w:rPr>
        <w:t>Fluad</w:t>
      </w:r>
      <w:proofErr w:type="spellEnd"/>
      <w:r w:rsidRPr="00DA31E1">
        <w:rPr>
          <w:lang w:val="en-AU"/>
        </w:rPr>
        <w:t xml:space="preserve"> Quadrivalent [QIV]) and COVID-19 mRNA vaccine (</w:t>
      </w:r>
      <w:r w:rsidR="00E7433E">
        <w:rPr>
          <w:lang w:val="en-AU"/>
        </w:rPr>
        <w:t>Comirnaty [tozinameran]</w:t>
      </w:r>
      <w:r w:rsidRPr="00DA31E1">
        <w:rPr>
          <w:lang w:val="en-AU"/>
        </w:rPr>
        <w:t>) (see Section 5.1).</w:t>
      </w:r>
      <w:r w:rsidR="00CA2BEE">
        <w:rPr>
          <w:lang w:val="en-AU"/>
        </w:rPr>
        <w:t xml:space="preserve">  </w:t>
      </w:r>
    </w:p>
    <w:p w14:paraId="47B305AA" w14:textId="20A7216B" w:rsidR="00DA31E1" w:rsidRPr="005422B9" w:rsidRDefault="00CA2BEE" w:rsidP="00CA2BEE">
      <w:pPr>
        <w:rPr>
          <w:lang w:val="en-AU"/>
        </w:rPr>
      </w:pPr>
      <w:r>
        <w:rPr>
          <w:lang w:val="en-AU"/>
        </w:rPr>
        <w:t xml:space="preserve">It has been demonstrated in adults 50 years of age and older that </w:t>
      </w:r>
      <w:r w:rsidRPr="00CA2BEE">
        <w:rPr>
          <w:lang w:val="en-AU"/>
        </w:rPr>
        <w:t>Prevenar 13 may be administered concomitantly with the seasonal trivalent or quadrivalent inactivated influenza vaccine (TIV or QIV) with no interference with the immune responses to TIV or QIV</w:t>
      </w:r>
      <w:r>
        <w:rPr>
          <w:lang w:val="en-AU"/>
        </w:rPr>
        <w:t>.</w:t>
      </w:r>
      <w:r w:rsidRPr="00CA2BEE">
        <w:t xml:space="preserve"> Safety and immunogenicity of Prevenar 13 are relevant to PREVENAR </w:t>
      </w:r>
      <w:proofErr w:type="gramStart"/>
      <w:r w:rsidRPr="00CA2BEE">
        <w:t>20, since</w:t>
      </w:r>
      <w:proofErr w:type="gramEnd"/>
      <w:r w:rsidRPr="00CA2BEE">
        <w:t xml:space="preserve"> the vaccines are manufactured similarly and contain 13 of the same polysaccharide conjugates.</w:t>
      </w:r>
    </w:p>
    <w:p w14:paraId="20F6C463" w14:textId="42604159" w:rsidR="000A53B5" w:rsidRPr="005422B9" w:rsidRDefault="00E715A3" w:rsidP="00E715A3">
      <w:pPr>
        <w:rPr>
          <w:lang w:val="en-AU"/>
        </w:rPr>
      </w:pPr>
      <w:r w:rsidRPr="005422B9">
        <w:rPr>
          <w:lang w:val="en-AU"/>
        </w:rPr>
        <w:t xml:space="preserve">Do not mix </w:t>
      </w:r>
      <w:r w:rsidR="00A67670" w:rsidRPr="005422B9">
        <w:rPr>
          <w:lang w:val="en-AU"/>
        </w:rPr>
        <w:t>PREVENAR 20</w:t>
      </w:r>
      <w:r w:rsidRPr="005422B9">
        <w:rPr>
          <w:lang w:val="en-AU"/>
        </w:rPr>
        <w:t xml:space="preserve"> with other vaccines/</w:t>
      </w:r>
      <w:r w:rsidR="00B81DF5" w:rsidRPr="005422B9">
        <w:rPr>
          <w:lang w:val="en-AU"/>
        </w:rPr>
        <w:t xml:space="preserve">medicinal </w:t>
      </w:r>
      <w:r w:rsidRPr="005422B9">
        <w:rPr>
          <w:lang w:val="en-AU"/>
        </w:rPr>
        <w:t>products in the same syringe</w:t>
      </w:r>
      <w:r w:rsidR="00140E17">
        <w:rPr>
          <w:lang w:val="en-AU"/>
        </w:rPr>
        <w:t>.</w:t>
      </w:r>
    </w:p>
    <w:p w14:paraId="0EAB2EA2" w14:textId="432CB05D" w:rsidR="00112E5B" w:rsidRPr="005422B9" w:rsidRDefault="00787D1C" w:rsidP="00E0141F">
      <w:pPr>
        <w:pStyle w:val="CLDHeading2"/>
        <w:rPr>
          <w:rFonts w:ascii="Times New Roman" w:hAnsi="Times New Roman"/>
          <w:lang w:val="en-AU"/>
        </w:rPr>
      </w:pPr>
      <w:r w:rsidRPr="005422B9">
        <w:rPr>
          <w:rFonts w:ascii="Times New Roman" w:hAnsi="Times New Roman"/>
          <w:lang w:val="en-AU"/>
        </w:rPr>
        <w:t>4.6</w:t>
      </w:r>
      <w:r w:rsidRPr="005422B9">
        <w:rPr>
          <w:rFonts w:ascii="Times New Roman" w:hAnsi="Times New Roman"/>
          <w:lang w:val="en-AU"/>
        </w:rPr>
        <w:tab/>
      </w:r>
      <w:r w:rsidR="00CD7E76" w:rsidRPr="005422B9">
        <w:rPr>
          <w:rFonts w:ascii="Times New Roman" w:hAnsi="Times New Roman"/>
          <w:lang w:val="en-AU"/>
        </w:rPr>
        <w:t xml:space="preserve">Fertility, </w:t>
      </w:r>
      <w:proofErr w:type="gramStart"/>
      <w:r w:rsidR="00CD7E76" w:rsidRPr="005422B9">
        <w:rPr>
          <w:rFonts w:ascii="Times New Roman" w:hAnsi="Times New Roman"/>
          <w:lang w:val="en-AU"/>
        </w:rPr>
        <w:t>pregnancy</w:t>
      </w:r>
      <w:proofErr w:type="gramEnd"/>
      <w:r w:rsidR="00CD7E76" w:rsidRPr="005422B9">
        <w:rPr>
          <w:rFonts w:ascii="Times New Roman" w:hAnsi="Times New Roman"/>
          <w:lang w:val="en-AU"/>
        </w:rPr>
        <w:t xml:space="preserve"> and l</w:t>
      </w:r>
      <w:r w:rsidR="00112E5B" w:rsidRPr="005422B9">
        <w:rPr>
          <w:rFonts w:ascii="Times New Roman" w:hAnsi="Times New Roman"/>
          <w:lang w:val="en-AU"/>
        </w:rPr>
        <w:t>actation</w:t>
      </w:r>
    </w:p>
    <w:p w14:paraId="5828B9FE" w14:textId="2476C9F6" w:rsidR="00807A52" w:rsidRPr="005422B9" w:rsidRDefault="00C40E91" w:rsidP="00E0141F">
      <w:pPr>
        <w:pStyle w:val="CLDHeading3"/>
        <w:rPr>
          <w:lang w:val="en-AU"/>
        </w:rPr>
      </w:pPr>
      <w:r w:rsidRPr="005422B9">
        <w:rPr>
          <w:lang w:val="en-AU"/>
        </w:rPr>
        <w:t>Effects on f</w:t>
      </w:r>
      <w:r w:rsidR="00807A52" w:rsidRPr="005422B9">
        <w:rPr>
          <w:lang w:val="en-AU"/>
        </w:rPr>
        <w:t>ertility</w:t>
      </w:r>
    </w:p>
    <w:p w14:paraId="2D742782" w14:textId="5D0965D0" w:rsidR="00807A52" w:rsidRPr="005422B9" w:rsidRDefault="005422B9" w:rsidP="00B2074B">
      <w:pPr>
        <w:pStyle w:val="Default"/>
        <w:keepNext/>
        <w:keepLines/>
        <w:widowControl w:val="0"/>
        <w:jc w:val="both"/>
        <w:rPr>
          <w:rFonts w:ascii="Times New Roman" w:hAnsi="Times New Roman" w:cs="Times New Roman"/>
          <w:szCs w:val="28"/>
          <w:lang w:val="en-AU"/>
        </w:rPr>
      </w:pPr>
      <w:r w:rsidRPr="00393DD3">
        <w:rPr>
          <w:rFonts w:ascii="Times New Roman" w:hAnsi="Times New Roman" w:cs="Times New Roman"/>
          <w:lang w:val="en-GB"/>
        </w:rPr>
        <w:t xml:space="preserve">No human data on the effect of </w:t>
      </w:r>
      <w:r w:rsidRPr="00393DD3">
        <w:rPr>
          <w:rFonts w:ascii="Times New Roman" w:hAnsi="Times New Roman" w:cs="Times New Roman"/>
        </w:rPr>
        <w:t>PREVENAR 20</w:t>
      </w:r>
      <w:r w:rsidRPr="00393DD3">
        <w:rPr>
          <w:rFonts w:ascii="Times New Roman" w:hAnsi="Times New Roman" w:cs="Times New Roman"/>
          <w:lang w:val="en-GB"/>
        </w:rPr>
        <w:t xml:space="preserve"> on fertility are available. </w:t>
      </w:r>
      <w:r w:rsidR="009571B0">
        <w:rPr>
          <w:rFonts w:ascii="Times New Roman" w:hAnsi="Times New Roman" w:cs="Times New Roman"/>
          <w:szCs w:val="28"/>
          <w:lang w:val="en-AU"/>
        </w:rPr>
        <w:t xml:space="preserve"> </w:t>
      </w:r>
      <w:r w:rsidR="009571B0" w:rsidRPr="009571B0">
        <w:rPr>
          <w:rFonts w:ascii="Times New Roman" w:hAnsi="Times New Roman" w:cs="Times New Roman"/>
          <w:lang w:val="en-GB"/>
        </w:rPr>
        <w:t>PREVENAR 20 showed no adverse effects on mating or fertility in a combined fertility, embryofetal development and pre/postnatal study in which female rabbits were administered the human dose (0.5 mL) of the vaccine intramuscularly 17 and 3 days prior to mating, and on gestation days 10 and 24.</w:t>
      </w:r>
    </w:p>
    <w:p w14:paraId="5C1C5EB9" w14:textId="4C93CCE1" w:rsidR="00112E5B" w:rsidRPr="005422B9" w:rsidRDefault="00C40E91" w:rsidP="00E0141F">
      <w:pPr>
        <w:pStyle w:val="CLDHeading3"/>
        <w:rPr>
          <w:lang w:val="en-AU"/>
        </w:rPr>
      </w:pPr>
      <w:r w:rsidRPr="005422B9">
        <w:rPr>
          <w:lang w:val="en-AU"/>
        </w:rPr>
        <w:t>Use in p</w:t>
      </w:r>
      <w:r w:rsidR="00112E5B" w:rsidRPr="005422B9">
        <w:rPr>
          <w:lang w:val="en-AU"/>
        </w:rPr>
        <w:t>regnancy</w:t>
      </w:r>
      <w:r w:rsidR="00F3091B" w:rsidRPr="005422B9">
        <w:rPr>
          <w:lang w:val="en-AU"/>
        </w:rPr>
        <w:t xml:space="preserve"> </w:t>
      </w:r>
      <w:r w:rsidR="003D4570" w:rsidRPr="005422B9">
        <w:rPr>
          <w:lang w:val="en-AU"/>
        </w:rPr>
        <w:t xml:space="preserve">- </w:t>
      </w:r>
      <w:r w:rsidR="00F3091B" w:rsidRPr="005422B9">
        <w:rPr>
          <w:lang w:val="en-AU"/>
        </w:rPr>
        <w:t xml:space="preserve">Pregnancy Category </w:t>
      </w:r>
      <w:r w:rsidR="001A517E" w:rsidRPr="005422B9">
        <w:rPr>
          <w:lang w:val="en-AU"/>
        </w:rPr>
        <w:t>B</w:t>
      </w:r>
      <w:r w:rsidR="009571B0">
        <w:rPr>
          <w:lang w:val="en-AU"/>
        </w:rPr>
        <w:t>1</w:t>
      </w:r>
    </w:p>
    <w:p w14:paraId="068F1B47" w14:textId="281EB1D8" w:rsidR="00E715A3" w:rsidRPr="005422B9" w:rsidRDefault="00E715A3" w:rsidP="00ED0014">
      <w:pPr>
        <w:rPr>
          <w:lang w:val="en-AU"/>
        </w:rPr>
      </w:pPr>
      <w:r w:rsidRPr="005422B9">
        <w:rPr>
          <w:lang w:val="en-AU"/>
        </w:rPr>
        <w:t xml:space="preserve">There are no data from the use of </w:t>
      </w:r>
      <w:r w:rsidR="001A517E" w:rsidRPr="005422B9">
        <w:rPr>
          <w:lang w:val="en-AU"/>
        </w:rPr>
        <w:t>PREVENAR 20</w:t>
      </w:r>
      <w:r w:rsidRPr="005422B9">
        <w:rPr>
          <w:lang w:val="en-AU"/>
        </w:rPr>
        <w:t xml:space="preserve"> in pregnant women. </w:t>
      </w:r>
    </w:p>
    <w:p w14:paraId="5B1A7E7F" w14:textId="5D27B84A" w:rsidR="00E715A3" w:rsidRPr="005422B9" w:rsidRDefault="009571B0" w:rsidP="00ED0014">
      <w:pPr>
        <w:rPr>
          <w:lang w:val="en-AU"/>
        </w:rPr>
      </w:pPr>
      <w:r w:rsidRPr="009571B0">
        <w:rPr>
          <w:lang w:val="en-AU"/>
        </w:rPr>
        <w:t xml:space="preserve">In an animal study </w:t>
      </w:r>
      <w:proofErr w:type="gramStart"/>
      <w:r w:rsidRPr="009571B0">
        <w:rPr>
          <w:lang w:val="en-AU"/>
        </w:rPr>
        <w:t>where</w:t>
      </w:r>
      <w:proofErr w:type="gramEnd"/>
      <w:r w:rsidRPr="009571B0">
        <w:rPr>
          <w:lang w:val="en-AU"/>
        </w:rPr>
        <w:t xml:space="preserve"> female rabbits were administered the human dose (0.5 mL) of the vaccine intramuscularly 17 and 3 days prior to mating, and on gestation days 10 and 24, there were no effects on pregnancy, parturition, </w:t>
      </w:r>
      <w:proofErr w:type="spellStart"/>
      <w:r w:rsidRPr="009571B0">
        <w:rPr>
          <w:lang w:val="en-AU"/>
        </w:rPr>
        <w:t>fetal</w:t>
      </w:r>
      <w:proofErr w:type="spellEnd"/>
      <w:r w:rsidRPr="009571B0">
        <w:rPr>
          <w:lang w:val="en-AU"/>
        </w:rPr>
        <w:t xml:space="preserve"> abnormalities, or pup survival and growth. </w:t>
      </w:r>
      <w:r w:rsidRPr="009571B0">
        <w:rPr>
          <w:lang w:val="en-AU"/>
        </w:rPr>
        <w:lastRenderedPageBreak/>
        <w:t xml:space="preserve">Serotype-specific antibodies against each of the 20 vaccine serotypes were detected in does, </w:t>
      </w:r>
      <w:proofErr w:type="spellStart"/>
      <w:r w:rsidRPr="009571B0">
        <w:rPr>
          <w:lang w:val="en-AU"/>
        </w:rPr>
        <w:t>fetuses</w:t>
      </w:r>
      <w:proofErr w:type="spellEnd"/>
      <w:r w:rsidRPr="009571B0">
        <w:rPr>
          <w:lang w:val="en-AU"/>
        </w:rPr>
        <w:t xml:space="preserve"> and pups.</w:t>
      </w:r>
    </w:p>
    <w:p w14:paraId="476AB766" w14:textId="78491452" w:rsidR="00112E5B" w:rsidRPr="009405F0" w:rsidRDefault="005422B9" w:rsidP="00ED0014">
      <w:pPr>
        <w:rPr>
          <w:szCs w:val="24"/>
          <w:lang w:val="en-AU"/>
        </w:rPr>
      </w:pPr>
      <w:r w:rsidRPr="009405F0">
        <w:rPr>
          <w:szCs w:val="24"/>
        </w:rPr>
        <w:t xml:space="preserve">Administration of PREVENAR 20 in pregnancy should only be considered when the potential benefits outweigh any potential risks for the mother and </w:t>
      </w:r>
      <w:proofErr w:type="spellStart"/>
      <w:r w:rsidRPr="009405F0">
        <w:rPr>
          <w:szCs w:val="24"/>
        </w:rPr>
        <w:t>fetus</w:t>
      </w:r>
      <w:proofErr w:type="spellEnd"/>
      <w:r w:rsidRPr="009405F0">
        <w:rPr>
          <w:szCs w:val="24"/>
        </w:rPr>
        <w:t>.</w:t>
      </w:r>
    </w:p>
    <w:p w14:paraId="640A95E0" w14:textId="1B602801" w:rsidR="00EC2C85" w:rsidRPr="005422B9" w:rsidRDefault="00C40E91" w:rsidP="00E0141F">
      <w:pPr>
        <w:pStyle w:val="CLDHeading3"/>
        <w:rPr>
          <w:lang w:val="en-AU"/>
        </w:rPr>
      </w:pPr>
      <w:r w:rsidRPr="005422B9">
        <w:rPr>
          <w:lang w:val="en-AU"/>
        </w:rPr>
        <w:t>Use in l</w:t>
      </w:r>
      <w:r w:rsidR="00807A52" w:rsidRPr="005422B9">
        <w:rPr>
          <w:lang w:val="en-AU"/>
        </w:rPr>
        <w:t>actation</w:t>
      </w:r>
    </w:p>
    <w:p w14:paraId="052499B4" w14:textId="7BF34F91" w:rsidR="00337999" w:rsidRPr="005422B9" w:rsidRDefault="007227F0" w:rsidP="00E0141F">
      <w:pPr>
        <w:pStyle w:val="CLDNormal"/>
        <w:rPr>
          <w:lang w:val="en-AU"/>
        </w:rPr>
      </w:pPr>
      <w:r w:rsidRPr="005422B9">
        <w:rPr>
          <w:color w:val="000000"/>
          <w:szCs w:val="22"/>
          <w:lang w:val="en-AU" w:eastAsia="zh-CN"/>
        </w:rPr>
        <w:t xml:space="preserve">It is unknown whether </w:t>
      </w:r>
      <w:r w:rsidR="001A517E" w:rsidRPr="005422B9">
        <w:rPr>
          <w:color w:val="000000"/>
          <w:szCs w:val="22"/>
          <w:lang w:val="en-AU" w:eastAsia="zh-CN"/>
        </w:rPr>
        <w:t>PREVENAR 20</w:t>
      </w:r>
      <w:r w:rsidRPr="005422B9">
        <w:rPr>
          <w:color w:val="000000"/>
          <w:szCs w:val="22"/>
          <w:lang w:val="en-AU" w:eastAsia="zh-CN"/>
        </w:rPr>
        <w:t xml:space="preserve"> is excreted in human milk.</w:t>
      </w:r>
    </w:p>
    <w:p w14:paraId="6829545F" w14:textId="52EB80A2" w:rsidR="00EC2C85" w:rsidRPr="005422B9" w:rsidRDefault="002F6F96" w:rsidP="00E0141F">
      <w:pPr>
        <w:pStyle w:val="CLDHeading2"/>
        <w:rPr>
          <w:rFonts w:ascii="Times New Roman" w:hAnsi="Times New Roman"/>
          <w:bCs/>
          <w:lang w:val="en-AU"/>
        </w:rPr>
      </w:pPr>
      <w:r w:rsidRPr="005422B9">
        <w:rPr>
          <w:rFonts w:ascii="Times New Roman" w:hAnsi="Times New Roman"/>
          <w:lang w:val="en-AU"/>
        </w:rPr>
        <w:t>4.7</w:t>
      </w:r>
      <w:r w:rsidRPr="005422B9">
        <w:rPr>
          <w:rFonts w:ascii="Times New Roman" w:hAnsi="Times New Roman"/>
          <w:lang w:val="en-AU"/>
        </w:rPr>
        <w:tab/>
      </w:r>
      <w:r w:rsidR="00A52C16" w:rsidRPr="005422B9">
        <w:rPr>
          <w:rFonts w:ascii="Times New Roman" w:hAnsi="Times New Roman"/>
          <w:lang w:val="en-AU"/>
        </w:rPr>
        <w:t xml:space="preserve">Effects on </w:t>
      </w:r>
      <w:r w:rsidR="00003485" w:rsidRPr="005422B9">
        <w:rPr>
          <w:rFonts w:ascii="Times New Roman" w:hAnsi="Times New Roman"/>
          <w:lang w:val="en-AU"/>
        </w:rPr>
        <w:t>ability to d</w:t>
      </w:r>
      <w:r w:rsidR="009021BA" w:rsidRPr="005422B9">
        <w:rPr>
          <w:rFonts w:ascii="Times New Roman" w:hAnsi="Times New Roman"/>
          <w:lang w:val="en-AU"/>
        </w:rPr>
        <w:t xml:space="preserve">rive </w:t>
      </w:r>
      <w:r w:rsidR="00003485" w:rsidRPr="005422B9">
        <w:rPr>
          <w:rFonts w:ascii="Times New Roman" w:hAnsi="Times New Roman"/>
          <w:lang w:val="en-AU"/>
        </w:rPr>
        <w:t>and u</w:t>
      </w:r>
      <w:r w:rsidR="00A52C16" w:rsidRPr="005422B9">
        <w:rPr>
          <w:rFonts w:ascii="Times New Roman" w:hAnsi="Times New Roman"/>
          <w:lang w:val="en-AU"/>
        </w:rPr>
        <w:t>se</w:t>
      </w:r>
      <w:r w:rsidR="00003485" w:rsidRPr="005422B9">
        <w:rPr>
          <w:rFonts w:ascii="Times New Roman" w:hAnsi="Times New Roman"/>
          <w:lang w:val="en-AU"/>
        </w:rPr>
        <w:t xml:space="preserve"> m</w:t>
      </w:r>
      <w:r w:rsidR="00C40E91" w:rsidRPr="005422B9">
        <w:rPr>
          <w:rFonts w:ascii="Times New Roman" w:hAnsi="Times New Roman"/>
          <w:lang w:val="en-AU"/>
        </w:rPr>
        <w:t>achines</w:t>
      </w:r>
    </w:p>
    <w:p w14:paraId="1496B361" w14:textId="51B9A23B" w:rsidR="00740CB0" w:rsidRPr="005422B9" w:rsidRDefault="00A67670" w:rsidP="00ED0014">
      <w:pPr>
        <w:rPr>
          <w:lang w:val="en-AU"/>
        </w:rPr>
      </w:pPr>
      <w:r w:rsidRPr="005422B9">
        <w:rPr>
          <w:lang w:val="en-AU"/>
        </w:rPr>
        <w:t>PREVENAR 20</w:t>
      </w:r>
      <w:r w:rsidR="007227F0" w:rsidRPr="005422B9">
        <w:rPr>
          <w:lang w:val="en-AU"/>
        </w:rPr>
        <w:t xml:space="preserve"> has no</w:t>
      </w:r>
      <w:r w:rsidR="00890CCC" w:rsidRPr="005422B9">
        <w:rPr>
          <w:lang w:val="en-AU"/>
        </w:rPr>
        <w:t>,</w:t>
      </w:r>
      <w:r w:rsidR="007227F0" w:rsidRPr="005422B9">
        <w:rPr>
          <w:lang w:val="en-AU"/>
        </w:rPr>
        <w:t xml:space="preserve"> or negligible</w:t>
      </w:r>
      <w:r w:rsidR="00890CCC" w:rsidRPr="005422B9">
        <w:rPr>
          <w:lang w:val="en-AU"/>
        </w:rPr>
        <w:t>,</w:t>
      </w:r>
      <w:r w:rsidR="007227F0" w:rsidRPr="005422B9">
        <w:rPr>
          <w:lang w:val="en-AU"/>
        </w:rPr>
        <w:t xml:space="preserve"> influence on the ability to drive and use machines. However, some of the effects mentioned under section 4.8 </w:t>
      </w:r>
      <w:r w:rsidR="00021DFC" w:rsidRPr="005422B9">
        <w:rPr>
          <w:lang w:val="en-AU"/>
        </w:rPr>
        <w:t xml:space="preserve">Adverse effects (undesirable effects) </w:t>
      </w:r>
      <w:r w:rsidR="007227F0" w:rsidRPr="005422B9">
        <w:rPr>
          <w:lang w:val="en-AU"/>
        </w:rPr>
        <w:t>may temporarily affect the ability to drive or use machines.</w:t>
      </w:r>
    </w:p>
    <w:p w14:paraId="746C552B" w14:textId="2FB2B1A0" w:rsidR="0062454C" w:rsidRPr="005422B9" w:rsidRDefault="002F6F96" w:rsidP="00E0141F">
      <w:pPr>
        <w:pStyle w:val="CLDHeading2"/>
        <w:rPr>
          <w:rFonts w:ascii="Times New Roman" w:hAnsi="Times New Roman"/>
          <w:lang w:val="en-AU"/>
        </w:rPr>
      </w:pPr>
      <w:r w:rsidRPr="005422B9">
        <w:rPr>
          <w:rFonts w:ascii="Times New Roman" w:hAnsi="Times New Roman"/>
          <w:lang w:val="en-AU"/>
        </w:rPr>
        <w:t>4.8</w:t>
      </w:r>
      <w:r w:rsidRPr="005422B9">
        <w:rPr>
          <w:rFonts w:ascii="Times New Roman" w:hAnsi="Times New Roman"/>
          <w:lang w:val="en-AU"/>
        </w:rPr>
        <w:tab/>
      </w:r>
      <w:r w:rsidR="00003485" w:rsidRPr="005422B9">
        <w:rPr>
          <w:rFonts w:ascii="Times New Roman" w:hAnsi="Times New Roman"/>
          <w:lang w:val="en-AU"/>
        </w:rPr>
        <w:t>Adverse effects (undesirable e</w:t>
      </w:r>
      <w:r w:rsidR="0062454C" w:rsidRPr="005422B9">
        <w:rPr>
          <w:rFonts w:ascii="Times New Roman" w:hAnsi="Times New Roman"/>
          <w:lang w:val="en-AU"/>
        </w:rPr>
        <w:t>ffects</w:t>
      </w:r>
      <w:r w:rsidR="00C40E91" w:rsidRPr="005422B9">
        <w:rPr>
          <w:rFonts w:ascii="Times New Roman" w:hAnsi="Times New Roman"/>
          <w:lang w:val="en-AU"/>
        </w:rPr>
        <w:t>)</w:t>
      </w:r>
    </w:p>
    <w:p w14:paraId="0E1834C4" w14:textId="324F9FD2" w:rsidR="005422B9" w:rsidRPr="005422B9" w:rsidRDefault="005422B9" w:rsidP="005422B9">
      <w:pPr>
        <w:keepNext/>
        <w:outlineLvl w:val="2"/>
        <w:rPr>
          <w:u w:val="single"/>
        </w:rPr>
      </w:pPr>
      <w:r w:rsidRPr="005422B9">
        <w:rPr>
          <w:u w:val="single"/>
        </w:rPr>
        <w:t>Summary of the safety profile</w:t>
      </w:r>
    </w:p>
    <w:p w14:paraId="746B6B32" w14:textId="5FFD28EF" w:rsidR="007227F0" w:rsidRPr="005422B9" w:rsidRDefault="007227F0" w:rsidP="007227F0">
      <w:pPr>
        <w:pStyle w:val="CLDHeading3"/>
        <w:rPr>
          <w:bCs/>
          <w:lang w:val="en-AU" w:eastAsia="x-none"/>
        </w:rPr>
      </w:pPr>
      <w:r w:rsidRPr="005422B9">
        <w:rPr>
          <w:bCs/>
          <w:lang w:val="en-AU" w:eastAsia="x-none"/>
        </w:rPr>
        <w:t>Adults</w:t>
      </w:r>
      <w:r w:rsidRPr="005422B9">
        <w:rPr>
          <w:lang w:val="en-AU"/>
        </w:rPr>
        <w:t xml:space="preserve"> 18 years of age and older </w:t>
      </w:r>
    </w:p>
    <w:p w14:paraId="00CF7896" w14:textId="0073B7E6" w:rsidR="005422B9" w:rsidRPr="000A104A" w:rsidRDefault="005422B9" w:rsidP="005422B9">
      <w:r w:rsidRPr="005422B9">
        <w:t xml:space="preserve">The safety of </w:t>
      </w:r>
      <w:r w:rsidRPr="005422B9">
        <w:rPr>
          <w:szCs w:val="22"/>
        </w:rPr>
        <w:t>PREVENAR 20</w:t>
      </w:r>
      <w:r w:rsidRPr="005422B9">
        <w:t xml:space="preserve"> was evaluated in 4,552 participants 18 years of age and older in six clinical trials (two Phase 1, one </w:t>
      </w:r>
      <w:proofErr w:type="gramStart"/>
      <w:r w:rsidRPr="005422B9">
        <w:t>Phase</w:t>
      </w:r>
      <w:proofErr w:type="gramEnd"/>
      <w:r w:rsidRPr="005422B9">
        <w:t xml:space="preserve"> 2, and three Phase 3), and 2,496 participants in the control groups.</w:t>
      </w:r>
    </w:p>
    <w:p w14:paraId="3251CF2F" w14:textId="619DCE93" w:rsidR="005422B9" w:rsidRPr="005422B9" w:rsidRDefault="005422B9" w:rsidP="002635D8">
      <w:pPr>
        <w:pStyle w:val="CommentText"/>
      </w:pPr>
      <w:r w:rsidRPr="002635D8">
        <w:rPr>
          <w:sz w:val="24"/>
        </w:rPr>
        <w:t>In the Phase 3 trials, 4,263 participants received PREVENAR 20, which included 1,798 adults 18 through 49 years of age, 334 adults 50 through 59 years of age, and 2,131 adults 60 years of age and older (1,138 were 65 years of age and older). Of the Phase 3 PREVENAR 20 recipients, 3,639 adults were naïve to pneumococcal vaccines, 253 had received Pneumovax 23 (pneumococcal polysaccharide vaccine [23</w:t>
      </w:r>
      <w:r w:rsidRPr="002635D8">
        <w:rPr>
          <w:sz w:val="24"/>
        </w:rPr>
        <w:noBreakHyphen/>
        <w:t xml:space="preserve">valent]; </w:t>
      </w:r>
      <w:r w:rsidR="001C00C4" w:rsidRPr="002635D8">
        <w:rPr>
          <w:sz w:val="24"/>
        </w:rPr>
        <w:t>23vPPV</w:t>
      </w:r>
      <w:r w:rsidRPr="002635D8">
        <w:rPr>
          <w:sz w:val="24"/>
        </w:rPr>
        <w:t>) (≥ 1 to ≤ 5 </w:t>
      </w:r>
      <w:proofErr w:type="gramStart"/>
      <w:r w:rsidRPr="002635D8">
        <w:rPr>
          <w:sz w:val="24"/>
        </w:rPr>
        <w:t>years</w:t>
      </w:r>
      <w:proofErr w:type="gramEnd"/>
      <w:r w:rsidRPr="002635D8">
        <w:rPr>
          <w:sz w:val="24"/>
        </w:rPr>
        <w:t xml:space="preserve"> prior to </w:t>
      </w:r>
      <w:r w:rsidR="001C00C4" w:rsidRPr="002635D8">
        <w:rPr>
          <w:sz w:val="24"/>
        </w:rPr>
        <w:t>enrolment</w:t>
      </w:r>
      <w:r w:rsidRPr="002635D8">
        <w:rPr>
          <w:sz w:val="24"/>
        </w:rPr>
        <w:t xml:space="preserve">), 246 had received Prevenar 13 only (≥ 6 months prior to </w:t>
      </w:r>
      <w:r w:rsidR="001C00C4" w:rsidRPr="002635D8">
        <w:rPr>
          <w:sz w:val="24"/>
        </w:rPr>
        <w:t>enrolment</w:t>
      </w:r>
      <w:r w:rsidRPr="002635D8">
        <w:rPr>
          <w:sz w:val="24"/>
        </w:rPr>
        <w:t xml:space="preserve">), and 125 had received both Prevenar 13 followed by </w:t>
      </w:r>
      <w:r w:rsidR="001C00C4" w:rsidRPr="002635D8">
        <w:rPr>
          <w:sz w:val="24"/>
        </w:rPr>
        <w:t>23vPPV</w:t>
      </w:r>
      <w:r w:rsidRPr="002635D8">
        <w:rPr>
          <w:sz w:val="24"/>
        </w:rPr>
        <w:t xml:space="preserve"> (the dose of </w:t>
      </w:r>
      <w:r w:rsidR="001C00C4" w:rsidRPr="002635D8">
        <w:rPr>
          <w:sz w:val="24"/>
        </w:rPr>
        <w:t>23vPPV</w:t>
      </w:r>
      <w:r w:rsidRPr="002635D8">
        <w:rPr>
          <w:sz w:val="24"/>
        </w:rPr>
        <w:t xml:space="preserve"> ≥ 1</w:t>
      </w:r>
      <w:r w:rsidRPr="002635D8">
        <w:rPr>
          <w:sz w:val="24"/>
        </w:rPr>
        <w:noBreakHyphen/>
        <w:t xml:space="preserve">year prior to </w:t>
      </w:r>
      <w:r w:rsidR="001C00C4" w:rsidRPr="002635D8">
        <w:rPr>
          <w:sz w:val="24"/>
        </w:rPr>
        <w:t>enrolment</w:t>
      </w:r>
      <w:r w:rsidRPr="002635D8">
        <w:rPr>
          <w:sz w:val="24"/>
        </w:rPr>
        <w:t>).</w:t>
      </w:r>
      <w:r w:rsidR="002635D8">
        <w:rPr>
          <w:rStyle w:val="CommentReference"/>
        </w:rPr>
        <w:t xml:space="preserve"> </w:t>
      </w:r>
    </w:p>
    <w:p w14:paraId="3F0E00A5" w14:textId="0029A8E7" w:rsidR="005422B9" w:rsidRPr="005422B9" w:rsidRDefault="005422B9" w:rsidP="00070103">
      <w:r w:rsidRPr="005422B9">
        <w:t>Participants in the Phase 3 trial B7471007 (Pivotal Study 1007), were evaluated for adverse events for 1 month after vaccination, and serious adverse events through 6 months after vaccination. This study included 447 participants 18 to 49 years of age, 445 participants 50 to 59 years of age, 1,985 participants 60 to 64 years of age, 624 participants 65 to 69 years of age, 319 participants 70 to 79 years of age, and 69 participants ≥ 80 years of age.</w:t>
      </w:r>
    </w:p>
    <w:p w14:paraId="653DAECE" w14:textId="727B16CD" w:rsidR="005422B9" w:rsidRPr="00070103" w:rsidRDefault="005422B9" w:rsidP="00070103">
      <w:pPr>
        <w:pStyle w:val="PINormal"/>
      </w:pPr>
      <w:r w:rsidRPr="00070103">
        <w:t xml:space="preserve">The most frequent adverse reactions (&gt; 10%) after vaccination with PREVENAR 20 </w:t>
      </w:r>
      <w:r w:rsidRPr="00070103" w:rsidDel="005059FF">
        <w:t>in</w:t>
      </w:r>
      <w:r w:rsidRPr="00070103" w:rsidDel="006F1391">
        <w:t xml:space="preserve"> </w:t>
      </w:r>
      <w:r w:rsidRPr="00070103">
        <w:t>Phase 3 trials in adults ≥ 18 years of age were pain at the injection site (&gt; 40%), muscle pain (&gt; 30%), fatigue (&gt; 20%) and headache (&gt; 10%). A slightly lower frequency of reactogenicity events was associated with greater age.</w:t>
      </w:r>
    </w:p>
    <w:p w14:paraId="540D888C" w14:textId="7D8550F7" w:rsidR="005422B9" w:rsidRPr="005422B9" w:rsidRDefault="005422B9" w:rsidP="005422B9">
      <w:r w:rsidRPr="00070103">
        <w:lastRenderedPageBreak/>
        <w:t>In Study 1007 participants 18 to 59 years of age, the most commonly reported adverse reactions were pain at the injection site (&gt; 70%), muscle pain (&gt; 50%), fatigue (&gt; 40%), headache (&gt; 30%), and joint pain and injection site swelling (&gt; 10%), while the most frequent in participants older than 60 years of age were pain at the injection site (&gt; 50%), muscle pain and fatigue (&gt; 30%), headache (&gt; 20%), and joint pain (&gt; 10%). These were usually mild or moderate in intensity and resolved within a few days after vaccination.</w:t>
      </w:r>
    </w:p>
    <w:p w14:paraId="070CB71B" w14:textId="4F6856B1" w:rsidR="007227F0" w:rsidRPr="005422B9" w:rsidRDefault="007227F0" w:rsidP="00ED0014">
      <w:pPr>
        <w:rPr>
          <w:lang w:val="en-AU"/>
        </w:rPr>
      </w:pPr>
    </w:p>
    <w:p w14:paraId="29671EAD" w14:textId="77777777" w:rsidR="005422B9" w:rsidRPr="005422B9" w:rsidRDefault="005422B9" w:rsidP="005422B9">
      <w:pPr>
        <w:keepNext/>
        <w:outlineLvl w:val="2"/>
        <w:rPr>
          <w:u w:val="single"/>
        </w:rPr>
      </w:pPr>
      <w:r w:rsidRPr="005422B9">
        <w:rPr>
          <w:u w:val="single"/>
        </w:rPr>
        <w:t>Tabulated list of adverse reactions</w:t>
      </w:r>
    </w:p>
    <w:p w14:paraId="48DACB8F" w14:textId="3B50F50E" w:rsidR="005422B9" w:rsidRPr="005422B9" w:rsidRDefault="005422B9" w:rsidP="005422B9">
      <w:pPr>
        <w:rPr>
          <w:sz w:val="21"/>
          <w:szCs w:val="21"/>
          <w:lang w:val="en-AU"/>
        </w:rPr>
      </w:pPr>
      <w:r w:rsidRPr="005422B9">
        <w:rPr>
          <w:szCs w:val="22"/>
        </w:rPr>
        <w:t xml:space="preserve">Tabulated lists of adverse reactions from the Phase 3 clinical trials and </w:t>
      </w:r>
      <w:proofErr w:type="spellStart"/>
      <w:r w:rsidRPr="005422B9">
        <w:rPr>
          <w:szCs w:val="22"/>
        </w:rPr>
        <w:t>postmarketing</w:t>
      </w:r>
      <w:proofErr w:type="spellEnd"/>
      <w:r w:rsidRPr="005422B9">
        <w:rPr>
          <w:szCs w:val="22"/>
        </w:rPr>
        <w:t xml:space="preserve"> experience are presented below.</w:t>
      </w:r>
    </w:p>
    <w:p w14:paraId="637DDE98" w14:textId="59299259" w:rsidR="007227F0" w:rsidRPr="005422B9" w:rsidRDefault="007227F0" w:rsidP="005422B9">
      <w:pPr>
        <w:pStyle w:val="CLDHeading3"/>
        <w:keepNext w:val="0"/>
        <w:rPr>
          <w:lang w:val="en-AU"/>
        </w:rPr>
      </w:pPr>
      <w:r w:rsidRPr="005422B9">
        <w:rPr>
          <w:lang w:val="en-AU"/>
        </w:rPr>
        <w:t xml:space="preserve">Adverse reactions from clinical trials </w:t>
      </w:r>
    </w:p>
    <w:p w14:paraId="6DE7B8E3" w14:textId="65B01734" w:rsidR="007227F0" w:rsidRPr="005422B9" w:rsidRDefault="005422B9" w:rsidP="005422B9">
      <w:pPr>
        <w:keepLines/>
        <w:widowControl w:val="0"/>
        <w:rPr>
          <w:szCs w:val="22"/>
          <w:lang w:val="en-AU"/>
        </w:rPr>
      </w:pPr>
      <w:r w:rsidRPr="005422B9">
        <w:rPr>
          <w:szCs w:val="22"/>
          <w:lang w:val="en-AU"/>
        </w:rPr>
        <w:t xml:space="preserve">As </w:t>
      </w:r>
      <w:r w:rsidR="00A67670" w:rsidRPr="005422B9">
        <w:rPr>
          <w:szCs w:val="22"/>
          <w:lang w:val="en-AU"/>
        </w:rPr>
        <w:t>PREVENAR 20</w:t>
      </w:r>
      <w:r w:rsidR="007227F0" w:rsidRPr="005422B9">
        <w:rPr>
          <w:szCs w:val="22"/>
          <w:lang w:val="en-AU"/>
        </w:rPr>
        <w:t xml:space="preserve"> contains the same 13 serotype-specific capsular polysaccharide conjugates and the same vaccine excipients as Prevenar 13, the adverse reactions already identified for Prevenar 13 have been adopted for </w:t>
      </w:r>
      <w:r w:rsidR="00A67670" w:rsidRPr="005422B9">
        <w:rPr>
          <w:szCs w:val="22"/>
          <w:lang w:val="en-AU"/>
        </w:rPr>
        <w:t>PREVENAR 20</w:t>
      </w:r>
      <w:r w:rsidR="007227F0" w:rsidRPr="005422B9">
        <w:rPr>
          <w:szCs w:val="22"/>
          <w:lang w:val="en-AU"/>
        </w:rPr>
        <w:t xml:space="preserve">. </w:t>
      </w:r>
    </w:p>
    <w:p w14:paraId="179B0BE9" w14:textId="7E8014C1" w:rsidR="007227F0" w:rsidRPr="00A76684" w:rsidRDefault="007227F0" w:rsidP="005422B9">
      <w:pPr>
        <w:keepNext/>
        <w:keepLines/>
        <w:widowControl w:val="0"/>
      </w:pPr>
      <w:r w:rsidRPr="005422B9">
        <w:rPr>
          <w:szCs w:val="22"/>
          <w:lang w:val="en-AU"/>
        </w:rPr>
        <w:t xml:space="preserve">Table 1 presents adverse reactions reported in </w:t>
      </w:r>
      <w:r w:rsidR="005422B9">
        <w:rPr>
          <w:szCs w:val="22"/>
          <w:lang w:val="en-AU"/>
        </w:rPr>
        <w:t xml:space="preserve">Phase 3 </w:t>
      </w:r>
      <w:r w:rsidRPr="005422B9">
        <w:rPr>
          <w:szCs w:val="22"/>
          <w:lang w:val="en-AU"/>
        </w:rPr>
        <w:t xml:space="preserve">trials of </w:t>
      </w:r>
      <w:r w:rsidR="00A67670" w:rsidRPr="005422B9">
        <w:rPr>
          <w:szCs w:val="22"/>
          <w:lang w:val="en-AU"/>
        </w:rPr>
        <w:t>PREVENAR 20</w:t>
      </w:r>
      <w:r w:rsidRPr="005422B9">
        <w:rPr>
          <w:szCs w:val="22"/>
          <w:lang w:val="en-AU"/>
        </w:rPr>
        <w:t xml:space="preserve">, based on the highest frequency among adverse reactions, local reactions, or systemic events after vaccination in any </w:t>
      </w:r>
      <w:r w:rsidR="00A67670" w:rsidRPr="005422B9">
        <w:rPr>
          <w:szCs w:val="22"/>
          <w:lang w:val="en-AU"/>
        </w:rPr>
        <w:t>PREVENAR 20</w:t>
      </w:r>
      <w:r w:rsidRPr="005422B9">
        <w:rPr>
          <w:szCs w:val="22"/>
          <w:lang w:val="en-AU"/>
        </w:rPr>
        <w:t xml:space="preserve"> group. In clinical trials, the safety profile of </w:t>
      </w:r>
      <w:r w:rsidR="00A67670" w:rsidRPr="005422B9">
        <w:rPr>
          <w:szCs w:val="22"/>
          <w:lang w:val="en-AU"/>
        </w:rPr>
        <w:t>PREVENAR 20</w:t>
      </w:r>
      <w:r w:rsidRPr="005422B9">
        <w:rPr>
          <w:szCs w:val="22"/>
          <w:lang w:val="en-AU"/>
        </w:rPr>
        <w:t xml:space="preserve"> was similar to that of Prevenar 13.</w:t>
      </w:r>
      <w:r w:rsidR="005422B9">
        <w:rPr>
          <w:szCs w:val="22"/>
          <w:lang w:val="en-AU"/>
        </w:rPr>
        <w:t xml:space="preserve"> </w:t>
      </w:r>
      <w:r w:rsidR="005422B9">
        <w:t xml:space="preserve">No new adverse reactions were identified as compared to Prevenar 13, and none of the reported serious adverse events were considered related to </w:t>
      </w:r>
      <w:r w:rsidR="005422B9" w:rsidRPr="00A76684">
        <w:t>PREVENAR 20.</w:t>
      </w:r>
      <w:r w:rsidR="00A76684" w:rsidRPr="00A76684">
        <w:t xml:space="preserve"> </w:t>
      </w:r>
    </w:p>
    <w:p w14:paraId="440DE484" w14:textId="01147D28" w:rsidR="007227F0" w:rsidRPr="005422B9" w:rsidRDefault="007227F0" w:rsidP="005422B9">
      <w:pPr>
        <w:keepLines/>
        <w:widowControl w:val="0"/>
        <w:rPr>
          <w:szCs w:val="22"/>
          <w:lang w:val="en-AU"/>
        </w:rPr>
      </w:pPr>
      <w:r w:rsidRPr="004656B1">
        <w:rPr>
          <w:szCs w:val="22"/>
          <w:lang w:val="en-AU"/>
        </w:rPr>
        <w:t xml:space="preserve">Adverse reactions are listed </w:t>
      </w:r>
      <w:r w:rsidR="002E7809" w:rsidRPr="004656B1">
        <w:rPr>
          <w:szCs w:val="22"/>
          <w:lang w:val="en-AU"/>
        </w:rPr>
        <w:t>by</w:t>
      </w:r>
      <w:r w:rsidRPr="004656B1">
        <w:rPr>
          <w:szCs w:val="22"/>
          <w:lang w:val="en-AU"/>
        </w:rPr>
        <w:t xml:space="preserve"> system organ class, in decreasing order of frequency and seriousness. The frequency is defined as follows: very common (≥ 1/10), common (≥ 1/100 to &lt; 1/10), uncommon (≥ 1/1,000 to &lt; 1/100), rare (≥ 1/10,000 to &lt; 1/1,000), very rare (&lt; 1/10,000), not known (cannot be estimated from available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769"/>
        <w:gridCol w:w="1991"/>
        <w:gridCol w:w="2125"/>
        <w:gridCol w:w="1372"/>
      </w:tblGrid>
      <w:tr w:rsidR="002E7809" w:rsidRPr="005422B9" w14:paraId="6402683B" w14:textId="6A528774" w:rsidTr="002E7809">
        <w:trPr>
          <w:tblHeader/>
        </w:trPr>
        <w:tc>
          <w:tcPr>
            <w:tcW w:w="4240" w:type="pct"/>
            <w:gridSpan w:val="4"/>
            <w:tcBorders>
              <w:top w:val="nil"/>
              <w:left w:val="nil"/>
              <w:right w:val="nil"/>
            </w:tcBorders>
          </w:tcPr>
          <w:p w14:paraId="1B63F032" w14:textId="025B125D" w:rsidR="002E7809" w:rsidRPr="005422B9" w:rsidRDefault="002E7809" w:rsidP="007227F0">
            <w:pPr>
              <w:tabs>
                <w:tab w:val="left" w:pos="1080"/>
              </w:tabs>
              <w:spacing w:after="0"/>
              <w:ind w:left="1080" w:hanging="1080"/>
              <w:rPr>
                <w:b/>
                <w:szCs w:val="22"/>
                <w:lang w:val="en-AU"/>
              </w:rPr>
            </w:pPr>
            <w:r w:rsidRPr="005422B9">
              <w:rPr>
                <w:b/>
                <w:szCs w:val="22"/>
                <w:lang w:val="en-AU"/>
              </w:rPr>
              <w:t>Table 1.</w:t>
            </w:r>
            <w:r w:rsidRPr="005422B9">
              <w:rPr>
                <w:b/>
                <w:szCs w:val="22"/>
                <w:lang w:val="en-AU"/>
              </w:rPr>
              <w:tab/>
              <w:t>Adverse reactions from PREVENAR 20 Clinical Trials</w:t>
            </w:r>
          </w:p>
        </w:tc>
        <w:tc>
          <w:tcPr>
            <w:tcW w:w="760" w:type="pct"/>
            <w:tcBorders>
              <w:top w:val="nil"/>
              <w:left w:val="nil"/>
              <w:right w:val="nil"/>
            </w:tcBorders>
          </w:tcPr>
          <w:p w14:paraId="7B23694B" w14:textId="77777777" w:rsidR="002E7809" w:rsidRPr="005422B9" w:rsidRDefault="002E7809" w:rsidP="007227F0">
            <w:pPr>
              <w:tabs>
                <w:tab w:val="left" w:pos="1080"/>
              </w:tabs>
              <w:spacing w:after="0"/>
              <w:ind w:left="1080" w:hanging="1080"/>
              <w:rPr>
                <w:b/>
                <w:szCs w:val="22"/>
                <w:lang w:val="en-AU"/>
              </w:rPr>
            </w:pPr>
          </w:p>
        </w:tc>
      </w:tr>
      <w:tr w:rsidR="002E7809" w:rsidRPr="005422B9" w14:paraId="072BDAFB" w14:textId="188B61A0" w:rsidTr="002E7809">
        <w:trPr>
          <w:tblHeader/>
        </w:trPr>
        <w:tc>
          <w:tcPr>
            <w:tcW w:w="980" w:type="pct"/>
          </w:tcPr>
          <w:p w14:paraId="4B6596DE" w14:textId="77777777" w:rsidR="002E7809" w:rsidRPr="002E7809" w:rsidRDefault="002E7809" w:rsidP="007227F0">
            <w:pPr>
              <w:spacing w:after="0"/>
              <w:rPr>
                <w:b/>
                <w:sz w:val="22"/>
                <w:lang w:val="en-AU"/>
              </w:rPr>
            </w:pPr>
            <w:bookmarkStart w:id="9" w:name="_Hlk52440631"/>
            <w:r w:rsidRPr="002E7809">
              <w:rPr>
                <w:b/>
                <w:sz w:val="22"/>
                <w:lang w:val="en-AU"/>
              </w:rPr>
              <w:t>System Organ Class</w:t>
            </w:r>
          </w:p>
        </w:tc>
        <w:tc>
          <w:tcPr>
            <w:tcW w:w="980" w:type="pct"/>
          </w:tcPr>
          <w:p w14:paraId="1359B105" w14:textId="2730B570" w:rsidR="002E7809" w:rsidRPr="002E7809" w:rsidRDefault="002E7809" w:rsidP="007227F0">
            <w:pPr>
              <w:spacing w:after="0"/>
              <w:jc w:val="center"/>
              <w:rPr>
                <w:b/>
                <w:sz w:val="22"/>
                <w:lang w:val="en-AU"/>
              </w:rPr>
            </w:pPr>
            <w:r w:rsidRPr="002E7809">
              <w:rPr>
                <w:b/>
                <w:sz w:val="22"/>
                <w:lang w:val="en-AU"/>
              </w:rPr>
              <w:t xml:space="preserve">Very </w:t>
            </w:r>
            <w:r>
              <w:rPr>
                <w:b/>
                <w:sz w:val="22"/>
                <w:lang w:val="en-AU"/>
              </w:rPr>
              <w:t>C</w:t>
            </w:r>
            <w:r w:rsidRPr="002E7809">
              <w:rPr>
                <w:b/>
                <w:sz w:val="22"/>
                <w:lang w:val="en-AU"/>
              </w:rPr>
              <w:t>ommon</w:t>
            </w:r>
          </w:p>
          <w:p w14:paraId="72E8D5A5" w14:textId="12AD512C" w:rsidR="002E7809" w:rsidRPr="002E7809" w:rsidRDefault="002E7809" w:rsidP="007227F0">
            <w:pPr>
              <w:spacing w:after="0"/>
              <w:jc w:val="center"/>
              <w:rPr>
                <w:b/>
                <w:sz w:val="22"/>
                <w:lang w:val="en-AU"/>
              </w:rPr>
            </w:pPr>
          </w:p>
        </w:tc>
        <w:tc>
          <w:tcPr>
            <w:tcW w:w="1103" w:type="pct"/>
          </w:tcPr>
          <w:p w14:paraId="69590A0F" w14:textId="77777777" w:rsidR="002E7809" w:rsidRPr="002E7809" w:rsidRDefault="002E7809" w:rsidP="007227F0">
            <w:pPr>
              <w:spacing w:after="0"/>
              <w:jc w:val="center"/>
              <w:rPr>
                <w:b/>
                <w:sz w:val="22"/>
                <w:lang w:val="en-AU"/>
              </w:rPr>
            </w:pPr>
            <w:r w:rsidRPr="002E7809">
              <w:rPr>
                <w:b/>
                <w:sz w:val="22"/>
                <w:lang w:val="en-AU"/>
              </w:rPr>
              <w:t>Common</w:t>
            </w:r>
          </w:p>
          <w:p w14:paraId="17E3C9AD" w14:textId="1E0FCEE7" w:rsidR="002E7809" w:rsidRPr="002E7809" w:rsidRDefault="002E7809" w:rsidP="007227F0">
            <w:pPr>
              <w:spacing w:after="0"/>
              <w:jc w:val="center"/>
              <w:rPr>
                <w:b/>
                <w:sz w:val="22"/>
                <w:lang w:val="en-AU"/>
              </w:rPr>
            </w:pPr>
          </w:p>
        </w:tc>
        <w:tc>
          <w:tcPr>
            <w:tcW w:w="1177" w:type="pct"/>
          </w:tcPr>
          <w:p w14:paraId="18BCBEBA" w14:textId="77777777" w:rsidR="002E7809" w:rsidRPr="002E7809" w:rsidRDefault="002E7809" w:rsidP="007227F0">
            <w:pPr>
              <w:spacing w:after="0"/>
              <w:jc w:val="center"/>
              <w:rPr>
                <w:b/>
                <w:sz w:val="22"/>
                <w:lang w:val="en-AU"/>
              </w:rPr>
            </w:pPr>
            <w:r w:rsidRPr="002E7809">
              <w:rPr>
                <w:b/>
                <w:sz w:val="22"/>
                <w:lang w:val="en-AU"/>
              </w:rPr>
              <w:t>Uncommon</w:t>
            </w:r>
          </w:p>
          <w:p w14:paraId="1BEDA6FC" w14:textId="5F8141CE" w:rsidR="002E7809" w:rsidRPr="002E7809" w:rsidRDefault="002E7809" w:rsidP="007227F0">
            <w:pPr>
              <w:spacing w:after="0"/>
              <w:jc w:val="center"/>
              <w:rPr>
                <w:b/>
                <w:sz w:val="22"/>
                <w:lang w:val="en-AU"/>
              </w:rPr>
            </w:pPr>
          </w:p>
        </w:tc>
        <w:tc>
          <w:tcPr>
            <w:tcW w:w="760" w:type="pct"/>
          </w:tcPr>
          <w:p w14:paraId="362D08DF" w14:textId="72878BAA" w:rsidR="002E7809" w:rsidRPr="002E7809" w:rsidRDefault="002E7809" w:rsidP="007227F0">
            <w:pPr>
              <w:spacing w:after="0"/>
              <w:jc w:val="center"/>
              <w:rPr>
                <w:b/>
                <w:sz w:val="22"/>
                <w:lang w:val="en-AU"/>
              </w:rPr>
            </w:pPr>
            <w:r w:rsidRPr="002E7809">
              <w:rPr>
                <w:b/>
                <w:sz w:val="22"/>
              </w:rPr>
              <w:t>Frequency Not Known</w:t>
            </w:r>
          </w:p>
        </w:tc>
      </w:tr>
      <w:tr w:rsidR="002E7809" w:rsidRPr="005422B9" w14:paraId="72B05725" w14:textId="78BA335E" w:rsidTr="002E7809">
        <w:tc>
          <w:tcPr>
            <w:tcW w:w="980" w:type="pct"/>
          </w:tcPr>
          <w:p w14:paraId="387C82F6" w14:textId="77777777" w:rsidR="002E7809" w:rsidRPr="002E7809" w:rsidRDefault="002E7809" w:rsidP="007227F0">
            <w:pPr>
              <w:spacing w:after="0"/>
              <w:jc w:val="left"/>
              <w:rPr>
                <w:sz w:val="22"/>
                <w:lang w:val="en-AU"/>
              </w:rPr>
            </w:pPr>
            <w:r w:rsidRPr="002E7809">
              <w:rPr>
                <w:sz w:val="22"/>
                <w:lang w:val="en-AU"/>
              </w:rPr>
              <w:t>Immune system disorders</w:t>
            </w:r>
          </w:p>
        </w:tc>
        <w:tc>
          <w:tcPr>
            <w:tcW w:w="980" w:type="pct"/>
          </w:tcPr>
          <w:p w14:paraId="1BB8DE8D" w14:textId="77777777" w:rsidR="002E7809" w:rsidRPr="002E7809" w:rsidRDefault="002E7809" w:rsidP="007227F0">
            <w:pPr>
              <w:spacing w:after="0"/>
              <w:rPr>
                <w:sz w:val="22"/>
                <w:lang w:val="en-AU"/>
              </w:rPr>
            </w:pPr>
          </w:p>
        </w:tc>
        <w:tc>
          <w:tcPr>
            <w:tcW w:w="1103" w:type="pct"/>
          </w:tcPr>
          <w:p w14:paraId="1E3E9021" w14:textId="77777777" w:rsidR="002E7809" w:rsidRPr="002E7809" w:rsidRDefault="002E7809" w:rsidP="007227F0">
            <w:pPr>
              <w:spacing w:after="0"/>
              <w:rPr>
                <w:sz w:val="22"/>
                <w:lang w:val="en-AU"/>
              </w:rPr>
            </w:pPr>
          </w:p>
        </w:tc>
        <w:tc>
          <w:tcPr>
            <w:tcW w:w="1177" w:type="pct"/>
          </w:tcPr>
          <w:p w14:paraId="612C11B6" w14:textId="77777777" w:rsidR="002E7809" w:rsidRPr="002E7809" w:rsidRDefault="002E7809" w:rsidP="007227F0">
            <w:pPr>
              <w:spacing w:after="0"/>
              <w:jc w:val="left"/>
              <w:rPr>
                <w:sz w:val="22"/>
                <w:lang w:val="en-AU"/>
              </w:rPr>
            </w:pPr>
            <w:r w:rsidRPr="002E7809">
              <w:rPr>
                <w:sz w:val="22"/>
                <w:lang w:val="en-AU"/>
              </w:rPr>
              <w:t>Hypersensitivity reaction, including face oedema, dyspnoea, bronchospasm</w:t>
            </w:r>
          </w:p>
        </w:tc>
        <w:tc>
          <w:tcPr>
            <w:tcW w:w="760" w:type="pct"/>
          </w:tcPr>
          <w:p w14:paraId="1A518D9E" w14:textId="77777777" w:rsidR="002E7809" w:rsidRPr="002E7809" w:rsidRDefault="002E7809" w:rsidP="007227F0">
            <w:pPr>
              <w:spacing w:after="0"/>
              <w:jc w:val="left"/>
              <w:rPr>
                <w:sz w:val="22"/>
                <w:lang w:val="en-AU"/>
              </w:rPr>
            </w:pPr>
          </w:p>
        </w:tc>
      </w:tr>
      <w:bookmarkEnd w:id="9"/>
      <w:tr w:rsidR="002E7809" w:rsidRPr="005422B9" w14:paraId="19346F82" w14:textId="45B2B29A" w:rsidTr="002E7809">
        <w:tc>
          <w:tcPr>
            <w:tcW w:w="980" w:type="pct"/>
          </w:tcPr>
          <w:p w14:paraId="6F7EADE1" w14:textId="2F4F5DBD" w:rsidR="002E7809" w:rsidRPr="002E7809" w:rsidRDefault="002E7809" w:rsidP="002E7809">
            <w:pPr>
              <w:keepNext/>
              <w:overflowPunct w:val="0"/>
              <w:autoSpaceDE w:val="0"/>
              <w:autoSpaceDN w:val="0"/>
              <w:adjustRightInd w:val="0"/>
              <w:spacing w:after="0"/>
              <w:textAlignment w:val="baseline"/>
              <w:rPr>
                <w:sz w:val="22"/>
              </w:rPr>
            </w:pPr>
            <w:r w:rsidRPr="002E7809">
              <w:rPr>
                <w:sz w:val="22"/>
              </w:rPr>
              <w:t>Metabolism and nutrition disorders</w:t>
            </w:r>
          </w:p>
        </w:tc>
        <w:tc>
          <w:tcPr>
            <w:tcW w:w="980" w:type="pct"/>
          </w:tcPr>
          <w:p w14:paraId="69E17E35" w14:textId="77777777" w:rsidR="002E7809" w:rsidRPr="002E7809" w:rsidRDefault="002E7809" w:rsidP="002E7809">
            <w:pPr>
              <w:spacing w:after="0"/>
              <w:rPr>
                <w:sz w:val="22"/>
                <w:lang w:val="en-AU"/>
              </w:rPr>
            </w:pPr>
          </w:p>
        </w:tc>
        <w:tc>
          <w:tcPr>
            <w:tcW w:w="1103" w:type="pct"/>
          </w:tcPr>
          <w:p w14:paraId="0AB39FA2" w14:textId="77777777" w:rsidR="002E7809" w:rsidRPr="002E7809" w:rsidRDefault="002E7809" w:rsidP="002E7809">
            <w:pPr>
              <w:spacing w:after="0"/>
              <w:rPr>
                <w:sz w:val="22"/>
                <w:lang w:val="en-AU"/>
              </w:rPr>
            </w:pPr>
          </w:p>
        </w:tc>
        <w:tc>
          <w:tcPr>
            <w:tcW w:w="1177" w:type="pct"/>
          </w:tcPr>
          <w:p w14:paraId="27FFBE4E" w14:textId="77777777" w:rsidR="002E7809" w:rsidRPr="002E7809" w:rsidRDefault="002E7809" w:rsidP="002E7809">
            <w:pPr>
              <w:spacing w:after="0"/>
              <w:jc w:val="left"/>
              <w:rPr>
                <w:sz w:val="22"/>
                <w:lang w:val="en-AU"/>
              </w:rPr>
            </w:pPr>
          </w:p>
        </w:tc>
        <w:tc>
          <w:tcPr>
            <w:tcW w:w="760" w:type="pct"/>
          </w:tcPr>
          <w:p w14:paraId="737A8D5E" w14:textId="417F7DD6" w:rsidR="002E7809" w:rsidRPr="002E7809" w:rsidRDefault="002E7809" w:rsidP="002E7809">
            <w:pPr>
              <w:spacing w:after="0"/>
              <w:jc w:val="left"/>
              <w:rPr>
                <w:sz w:val="22"/>
                <w:lang w:val="en-AU"/>
              </w:rPr>
            </w:pPr>
            <w:r w:rsidRPr="002E7809">
              <w:rPr>
                <w:sz w:val="22"/>
              </w:rPr>
              <w:t xml:space="preserve">Decreased </w:t>
            </w:r>
            <w:proofErr w:type="spellStart"/>
            <w:r w:rsidRPr="002E7809">
              <w:rPr>
                <w:sz w:val="22"/>
              </w:rPr>
              <w:t>appetite</w:t>
            </w:r>
            <w:r w:rsidRPr="002E7809">
              <w:rPr>
                <w:sz w:val="22"/>
                <w:vertAlign w:val="superscript"/>
              </w:rPr>
              <w:t>a</w:t>
            </w:r>
            <w:proofErr w:type="spellEnd"/>
          </w:p>
        </w:tc>
      </w:tr>
      <w:tr w:rsidR="002E7809" w:rsidRPr="005422B9" w14:paraId="71CFB58A" w14:textId="3F8E3DAB" w:rsidTr="002E7809">
        <w:tc>
          <w:tcPr>
            <w:tcW w:w="980" w:type="pct"/>
          </w:tcPr>
          <w:p w14:paraId="720C1316" w14:textId="77777777" w:rsidR="002E7809" w:rsidRPr="002E7809" w:rsidRDefault="002E7809" w:rsidP="002E7809">
            <w:pPr>
              <w:spacing w:after="0"/>
              <w:jc w:val="left"/>
              <w:rPr>
                <w:sz w:val="22"/>
                <w:lang w:val="en-AU"/>
              </w:rPr>
            </w:pPr>
            <w:r w:rsidRPr="002E7809">
              <w:rPr>
                <w:sz w:val="22"/>
                <w:lang w:val="en-AU"/>
              </w:rPr>
              <w:t xml:space="preserve">Nervous system disorders </w:t>
            </w:r>
          </w:p>
        </w:tc>
        <w:tc>
          <w:tcPr>
            <w:tcW w:w="980" w:type="pct"/>
          </w:tcPr>
          <w:p w14:paraId="54451B84" w14:textId="77777777" w:rsidR="002E7809" w:rsidRPr="002E7809" w:rsidRDefault="002E7809" w:rsidP="002E7809">
            <w:pPr>
              <w:spacing w:after="0"/>
              <w:rPr>
                <w:sz w:val="22"/>
                <w:lang w:val="en-AU"/>
              </w:rPr>
            </w:pPr>
            <w:r w:rsidRPr="002E7809">
              <w:rPr>
                <w:sz w:val="22"/>
                <w:lang w:val="en-AU"/>
              </w:rPr>
              <w:t>Headache</w:t>
            </w:r>
          </w:p>
        </w:tc>
        <w:tc>
          <w:tcPr>
            <w:tcW w:w="1103" w:type="pct"/>
          </w:tcPr>
          <w:p w14:paraId="7A3D7FC6" w14:textId="77777777" w:rsidR="002E7809" w:rsidRPr="002E7809" w:rsidRDefault="002E7809" w:rsidP="002E7809">
            <w:pPr>
              <w:spacing w:after="0"/>
              <w:rPr>
                <w:sz w:val="22"/>
                <w:lang w:val="en-AU"/>
              </w:rPr>
            </w:pPr>
          </w:p>
        </w:tc>
        <w:tc>
          <w:tcPr>
            <w:tcW w:w="1177" w:type="pct"/>
          </w:tcPr>
          <w:p w14:paraId="245BD38E" w14:textId="77777777" w:rsidR="002E7809" w:rsidRPr="002E7809" w:rsidRDefault="002E7809" w:rsidP="002E7809">
            <w:pPr>
              <w:spacing w:after="0"/>
              <w:jc w:val="left"/>
              <w:rPr>
                <w:sz w:val="22"/>
                <w:lang w:val="en-AU"/>
              </w:rPr>
            </w:pPr>
          </w:p>
        </w:tc>
        <w:tc>
          <w:tcPr>
            <w:tcW w:w="760" w:type="pct"/>
          </w:tcPr>
          <w:p w14:paraId="4EE09FF6" w14:textId="77777777" w:rsidR="002E7809" w:rsidRPr="002E7809" w:rsidRDefault="002E7809" w:rsidP="002E7809">
            <w:pPr>
              <w:spacing w:after="0"/>
              <w:jc w:val="left"/>
              <w:rPr>
                <w:sz w:val="22"/>
                <w:lang w:val="en-AU"/>
              </w:rPr>
            </w:pPr>
          </w:p>
        </w:tc>
      </w:tr>
      <w:tr w:rsidR="002E7809" w:rsidRPr="005422B9" w14:paraId="15FCD861" w14:textId="1A658E37" w:rsidTr="002E7809">
        <w:tc>
          <w:tcPr>
            <w:tcW w:w="980" w:type="pct"/>
          </w:tcPr>
          <w:p w14:paraId="48746FDC" w14:textId="77777777" w:rsidR="002E7809" w:rsidRPr="002E7809" w:rsidRDefault="002E7809" w:rsidP="002E7809">
            <w:pPr>
              <w:spacing w:after="0"/>
              <w:jc w:val="left"/>
              <w:rPr>
                <w:sz w:val="22"/>
                <w:lang w:val="en-AU"/>
              </w:rPr>
            </w:pPr>
            <w:r w:rsidRPr="002E7809">
              <w:rPr>
                <w:sz w:val="22"/>
                <w:lang w:val="en-AU"/>
              </w:rPr>
              <w:t xml:space="preserve">Gastrointestinal disorders </w:t>
            </w:r>
          </w:p>
        </w:tc>
        <w:tc>
          <w:tcPr>
            <w:tcW w:w="980" w:type="pct"/>
          </w:tcPr>
          <w:p w14:paraId="35F42729" w14:textId="77777777" w:rsidR="002E7809" w:rsidRPr="002E7809" w:rsidRDefault="002E7809" w:rsidP="002E7809">
            <w:pPr>
              <w:spacing w:after="0"/>
              <w:rPr>
                <w:sz w:val="22"/>
                <w:lang w:val="en-AU"/>
              </w:rPr>
            </w:pPr>
          </w:p>
        </w:tc>
        <w:tc>
          <w:tcPr>
            <w:tcW w:w="1103" w:type="pct"/>
          </w:tcPr>
          <w:p w14:paraId="728F1A5F" w14:textId="77777777" w:rsidR="002E7809" w:rsidRPr="002E7809" w:rsidRDefault="002E7809" w:rsidP="002E7809">
            <w:pPr>
              <w:spacing w:after="0"/>
              <w:rPr>
                <w:sz w:val="22"/>
                <w:lang w:val="en-AU"/>
              </w:rPr>
            </w:pPr>
          </w:p>
        </w:tc>
        <w:tc>
          <w:tcPr>
            <w:tcW w:w="1177" w:type="pct"/>
          </w:tcPr>
          <w:p w14:paraId="76F39D7A" w14:textId="77777777" w:rsidR="002E7809" w:rsidRPr="002E7809" w:rsidRDefault="002E7809" w:rsidP="002E7809">
            <w:pPr>
              <w:spacing w:after="0"/>
              <w:jc w:val="left"/>
              <w:rPr>
                <w:sz w:val="22"/>
                <w:lang w:val="en-AU"/>
              </w:rPr>
            </w:pPr>
            <w:proofErr w:type="spellStart"/>
            <w:r w:rsidRPr="002E7809">
              <w:rPr>
                <w:sz w:val="22"/>
                <w:lang w:val="en-AU"/>
              </w:rPr>
              <w:t>Diarrhoea</w:t>
            </w:r>
            <w:r w:rsidRPr="002E7809">
              <w:rPr>
                <w:sz w:val="22"/>
                <w:vertAlign w:val="superscript"/>
                <w:lang w:val="en-AU"/>
              </w:rPr>
              <w:t>a</w:t>
            </w:r>
            <w:proofErr w:type="spellEnd"/>
            <w:r w:rsidRPr="002E7809">
              <w:rPr>
                <w:sz w:val="22"/>
                <w:lang w:val="en-AU"/>
              </w:rPr>
              <w:t xml:space="preserve"> </w:t>
            </w:r>
          </w:p>
          <w:p w14:paraId="7AED51F8" w14:textId="77777777" w:rsidR="002E7809" w:rsidRPr="002E7809" w:rsidRDefault="002E7809" w:rsidP="002E7809">
            <w:pPr>
              <w:spacing w:after="0"/>
              <w:jc w:val="left"/>
              <w:rPr>
                <w:sz w:val="22"/>
                <w:lang w:val="en-AU"/>
              </w:rPr>
            </w:pPr>
            <w:r w:rsidRPr="002E7809">
              <w:rPr>
                <w:sz w:val="22"/>
                <w:lang w:val="en-AU"/>
              </w:rPr>
              <w:t>Nausea</w:t>
            </w:r>
          </w:p>
          <w:p w14:paraId="7D6E92A6" w14:textId="77777777" w:rsidR="002E7809" w:rsidRPr="002E7809" w:rsidRDefault="002E7809" w:rsidP="002E7809">
            <w:pPr>
              <w:spacing w:after="0"/>
              <w:jc w:val="left"/>
              <w:rPr>
                <w:sz w:val="22"/>
                <w:lang w:val="en-AU"/>
              </w:rPr>
            </w:pPr>
            <w:proofErr w:type="spellStart"/>
            <w:r w:rsidRPr="002E7809">
              <w:rPr>
                <w:sz w:val="22"/>
                <w:lang w:val="en-AU"/>
              </w:rPr>
              <w:t>Vomiting</w:t>
            </w:r>
            <w:r w:rsidRPr="002E7809">
              <w:rPr>
                <w:sz w:val="22"/>
                <w:vertAlign w:val="superscript"/>
                <w:lang w:val="en-AU"/>
              </w:rPr>
              <w:t>a</w:t>
            </w:r>
            <w:proofErr w:type="spellEnd"/>
          </w:p>
        </w:tc>
        <w:tc>
          <w:tcPr>
            <w:tcW w:w="760" w:type="pct"/>
          </w:tcPr>
          <w:p w14:paraId="450D9265" w14:textId="77777777" w:rsidR="002E7809" w:rsidRPr="002E7809" w:rsidRDefault="002E7809" w:rsidP="002E7809">
            <w:pPr>
              <w:spacing w:after="0"/>
              <w:jc w:val="left"/>
              <w:rPr>
                <w:sz w:val="22"/>
                <w:lang w:val="en-AU"/>
              </w:rPr>
            </w:pPr>
          </w:p>
        </w:tc>
      </w:tr>
      <w:tr w:rsidR="002E7809" w:rsidRPr="005422B9" w14:paraId="2C622C78" w14:textId="34B6124C" w:rsidTr="002E7809">
        <w:tc>
          <w:tcPr>
            <w:tcW w:w="980" w:type="pct"/>
          </w:tcPr>
          <w:p w14:paraId="2005AE46" w14:textId="77777777" w:rsidR="002E7809" w:rsidRPr="002E7809" w:rsidRDefault="002E7809" w:rsidP="002E7809">
            <w:pPr>
              <w:spacing w:after="0"/>
              <w:jc w:val="left"/>
              <w:rPr>
                <w:sz w:val="22"/>
                <w:lang w:val="en-AU"/>
              </w:rPr>
            </w:pPr>
            <w:r w:rsidRPr="002E7809">
              <w:rPr>
                <w:sz w:val="22"/>
                <w:lang w:val="en-AU"/>
              </w:rPr>
              <w:lastRenderedPageBreak/>
              <w:t xml:space="preserve">Skin and subcutaneous tissue disorders </w:t>
            </w:r>
          </w:p>
        </w:tc>
        <w:tc>
          <w:tcPr>
            <w:tcW w:w="980" w:type="pct"/>
          </w:tcPr>
          <w:p w14:paraId="14FB6D47" w14:textId="77777777" w:rsidR="002E7809" w:rsidRPr="002E7809" w:rsidRDefault="002E7809" w:rsidP="002E7809">
            <w:pPr>
              <w:spacing w:after="0"/>
              <w:rPr>
                <w:sz w:val="22"/>
                <w:lang w:val="en-AU"/>
              </w:rPr>
            </w:pPr>
          </w:p>
        </w:tc>
        <w:tc>
          <w:tcPr>
            <w:tcW w:w="1103" w:type="pct"/>
          </w:tcPr>
          <w:p w14:paraId="0C9BF8F7" w14:textId="77777777" w:rsidR="002E7809" w:rsidRPr="002E7809" w:rsidRDefault="002E7809" w:rsidP="002E7809">
            <w:pPr>
              <w:spacing w:after="0"/>
              <w:rPr>
                <w:sz w:val="22"/>
                <w:lang w:val="en-AU"/>
              </w:rPr>
            </w:pPr>
          </w:p>
        </w:tc>
        <w:tc>
          <w:tcPr>
            <w:tcW w:w="1177" w:type="pct"/>
          </w:tcPr>
          <w:p w14:paraId="56AAC9BC" w14:textId="77777777" w:rsidR="002E7809" w:rsidRPr="002E7809" w:rsidRDefault="002E7809" w:rsidP="002E7809">
            <w:pPr>
              <w:spacing w:after="0"/>
              <w:jc w:val="left"/>
              <w:rPr>
                <w:sz w:val="22"/>
                <w:vertAlign w:val="superscript"/>
                <w:lang w:val="en-AU"/>
              </w:rPr>
            </w:pPr>
            <w:proofErr w:type="spellStart"/>
            <w:r w:rsidRPr="002E7809">
              <w:rPr>
                <w:sz w:val="22"/>
                <w:lang w:val="en-AU"/>
              </w:rPr>
              <w:t>Rash</w:t>
            </w:r>
            <w:r w:rsidRPr="002E7809">
              <w:rPr>
                <w:sz w:val="22"/>
                <w:vertAlign w:val="superscript"/>
                <w:lang w:val="en-AU"/>
              </w:rPr>
              <w:t>a</w:t>
            </w:r>
            <w:proofErr w:type="spellEnd"/>
          </w:p>
          <w:p w14:paraId="710A1F5D" w14:textId="7E609D69" w:rsidR="002E7809" w:rsidRPr="002E7809" w:rsidRDefault="002E7809" w:rsidP="002E7809">
            <w:pPr>
              <w:spacing w:after="0"/>
              <w:jc w:val="left"/>
              <w:rPr>
                <w:sz w:val="22"/>
                <w:lang w:val="en-AU"/>
              </w:rPr>
            </w:pPr>
            <w:r w:rsidRPr="002E7809">
              <w:rPr>
                <w:sz w:val="22"/>
                <w:lang w:val="en-AU"/>
              </w:rPr>
              <w:t>Angioedema</w:t>
            </w:r>
          </w:p>
        </w:tc>
        <w:tc>
          <w:tcPr>
            <w:tcW w:w="760" w:type="pct"/>
          </w:tcPr>
          <w:p w14:paraId="47E8ACC6" w14:textId="77777777" w:rsidR="002E7809" w:rsidRPr="002E7809" w:rsidRDefault="002E7809" w:rsidP="002E7809">
            <w:pPr>
              <w:spacing w:after="0"/>
              <w:jc w:val="left"/>
              <w:rPr>
                <w:sz w:val="22"/>
                <w:lang w:val="en-AU"/>
              </w:rPr>
            </w:pPr>
          </w:p>
        </w:tc>
      </w:tr>
      <w:tr w:rsidR="002E7809" w:rsidRPr="005422B9" w14:paraId="103B4585" w14:textId="4439067D" w:rsidTr="002E7809">
        <w:tc>
          <w:tcPr>
            <w:tcW w:w="980" w:type="pct"/>
          </w:tcPr>
          <w:p w14:paraId="4D50D0D5" w14:textId="77777777" w:rsidR="002E7809" w:rsidRPr="002E7809" w:rsidRDefault="002E7809" w:rsidP="002E7809">
            <w:pPr>
              <w:spacing w:after="0"/>
              <w:jc w:val="left"/>
              <w:rPr>
                <w:sz w:val="22"/>
                <w:lang w:val="en-AU"/>
              </w:rPr>
            </w:pPr>
            <w:r w:rsidRPr="002E7809">
              <w:rPr>
                <w:sz w:val="22"/>
                <w:lang w:val="en-AU"/>
              </w:rPr>
              <w:t xml:space="preserve">Musculoskeletal and connective tissue disorders </w:t>
            </w:r>
          </w:p>
        </w:tc>
        <w:tc>
          <w:tcPr>
            <w:tcW w:w="980" w:type="pct"/>
          </w:tcPr>
          <w:p w14:paraId="30686208" w14:textId="77777777" w:rsidR="002E7809" w:rsidRPr="002E7809" w:rsidRDefault="002E7809" w:rsidP="002E7809">
            <w:pPr>
              <w:spacing w:after="0"/>
              <w:rPr>
                <w:sz w:val="22"/>
                <w:lang w:val="en-AU"/>
              </w:rPr>
            </w:pPr>
            <w:r w:rsidRPr="002E7809">
              <w:rPr>
                <w:sz w:val="22"/>
                <w:lang w:val="en-AU"/>
              </w:rPr>
              <w:t>Joint pain</w:t>
            </w:r>
          </w:p>
          <w:p w14:paraId="2F85A0E7" w14:textId="77777777" w:rsidR="002E7809" w:rsidRPr="002E7809" w:rsidRDefault="002E7809" w:rsidP="002E7809">
            <w:pPr>
              <w:spacing w:after="0"/>
              <w:rPr>
                <w:sz w:val="22"/>
                <w:lang w:val="en-AU"/>
              </w:rPr>
            </w:pPr>
            <w:r w:rsidRPr="002E7809">
              <w:rPr>
                <w:sz w:val="22"/>
                <w:lang w:val="en-AU"/>
              </w:rPr>
              <w:t>Muscle pain</w:t>
            </w:r>
          </w:p>
        </w:tc>
        <w:tc>
          <w:tcPr>
            <w:tcW w:w="1103" w:type="pct"/>
          </w:tcPr>
          <w:p w14:paraId="347A8926" w14:textId="77777777" w:rsidR="002E7809" w:rsidRPr="002E7809" w:rsidRDefault="002E7809" w:rsidP="002E7809">
            <w:pPr>
              <w:spacing w:after="0"/>
              <w:rPr>
                <w:sz w:val="22"/>
                <w:lang w:val="en-AU"/>
              </w:rPr>
            </w:pPr>
          </w:p>
        </w:tc>
        <w:tc>
          <w:tcPr>
            <w:tcW w:w="1177" w:type="pct"/>
          </w:tcPr>
          <w:p w14:paraId="5BEC385E" w14:textId="77777777" w:rsidR="002E7809" w:rsidRPr="002E7809" w:rsidRDefault="002E7809" w:rsidP="002E7809">
            <w:pPr>
              <w:spacing w:after="0"/>
              <w:jc w:val="left"/>
              <w:rPr>
                <w:sz w:val="22"/>
                <w:lang w:val="en-AU"/>
              </w:rPr>
            </w:pPr>
          </w:p>
        </w:tc>
        <w:tc>
          <w:tcPr>
            <w:tcW w:w="760" w:type="pct"/>
          </w:tcPr>
          <w:p w14:paraId="5ABACC17" w14:textId="77777777" w:rsidR="002E7809" w:rsidRPr="002E7809" w:rsidRDefault="002E7809" w:rsidP="002E7809">
            <w:pPr>
              <w:spacing w:after="0"/>
              <w:jc w:val="left"/>
              <w:rPr>
                <w:sz w:val="22"/>
                <w:lang w:val="en-AU"/>
              </w:rPr>
            </w:pPr>
          </w:p>
        </w:tc>
      </w:tr>
      <w:tr w:rsidR="002E7809" w:rsidRPr="005422B9" w14:paraId="1052E010" w14:textId="4B3470A9" w:rsidTr="002E7809">
        <w:tc>
          <w:tcPr>
            <w:tcW w:w="980" w:type="pct"/>
            <w:tcBorders>
              <w:bottom w:val="single" w:sz="4" w:space="0" w:color="auto"/>
            </w:tcBorders>
          </w:tcPr>
          <w:p w14:paraId="4CE6AAD9" w14:textId="77777777" w:rsidR="002E7809" w:rsidRPr="002E7809" w:rsidRDefault="002E7809" w:rsidP="002E7809">
            <w:pPr>
              <w:spacing w:after="0"/>
              <w:jc w:val="left"/>
              <w:rPr>
                <w:sz w:val="22"/>
                <w:lang w:val="en-AU"/>
              </w:rPr>
            </w:pPr>
            <w:r w:rsidRPr="002E7809">
              <w:rPr>
                <w:sz w:val="22"/>
                <w:lang w:val="en-AU"/>
              </w:rPr>
              <w:t xml:space="preserve">General disorders and administration site conditions </w:t>
            </w:r>
          </w:p>
        </w:tc>
        <w:tc>
          <w:tcPr>
            <w:tcW w:w="980" w:type="pct"/>
            <w:tcBorders>
              <w:bottom w:val="single" w:sz="4" w:space="0" w:color="auto"/>
            </w:tcBorders>
          </w:tcPr>
          <w:p w14:paraId="48353520" w14:textId="77777777" w:rsidR="002E7809" w:rsidRPr="002E7809" w:rsidRDefault="002E7809" w:rsidP="002E7809">
            <w:pPr>
              <w:spacing w:after="0"/>
              <w:rPr>
                <w:sz w:val="22"/>
                <w:lang w:val="en-AU"/>
              </w:rPr>
            </w:pPr>
            <w:r w:rsidRPr="002E7809">
              <w:rPr>
                <w:sz w:val="22"/>
                <w:lang w:val="en-AU"/>
              </w:rPr>
              <w:t>Vaccination</w:t>
            </w:r>
            <w:r w:rsidRPr="002E7809">
              <w:rPr>
                <w:sz w:val="22"/>
                <w:lang w:val="en-AU"/>
              </w:rPr>
              <w:noBreakHyphen/>
              <w:t>site pain/tenderness</w:t>
            </w:r>
          </w:p>
          <w:p w14:paraId="3C43F4DA" w14:textId="77777777" w:rsidR="002E7809" w:rsidRPr="002E7809" w:rsidRDefault="002E7809" w:rsidP="002E7809">
            <w:pPr>
              <w:spacing w:after="0"/>
              <w:rPr>
                <w:sz w:val="22"/>
                <w:lang w:val="en-AU"/>
              </w:rPr>
            </w:pPr>
            <w:r w:rsidRPr="002E7809">
              <w:rPr>
                <w:sz w:val="22"/>
                <w:lang w:val="en-AU"/>
              </w:rPr>
              <w:t>Fatigue</w:t>
            </w:r>
          </w:p>
          <w:p w14:paraId="16151C13" w14:textId="77777777" w:rsidR="002E7809" w:rsidRPr="002E7809" w:rsidRDefault="002E7809" w:rsidP="002E7809">
            <w:pPr>
              <w:spacing w:after="0"/>
              <w:rPr>
                <w:sz w:val="22"/>
                <w:lang w:val="en-AU"/>
              </w:rPr>
            </w:pPr>
          </w:p>
        </w:tc>
        <w:tc>
          <w:tcPr>
            <w:tcW w:w="1103" w:type="pct"/>
            <w:tcBorders>
              <w:bottom w:val="single" w:sz="4" w:space="0" w:color="auto"/>
            </w:tcBorders>
          </w:tcPr>
          <w:p w14:paraId="42E2C651" w14:textId="77777777" w:rsidR="002E7809" w:rsidRPr="002E7809" w:rsidRDefault="002E7809" w:rsidP="002E7809">
            <w:pPr>
              <w:spacing w:after="0"/>
              <w:rPr>
                <w:sz w:val="22"/>
                <w:vertAlign w:val="superscript"/>
                <w:lang w:val="en-AU"/>
              </w:rPr>
            </w:pPr>
            <w:r w:rsidRPr="002E7809">
              <w:rPr>
                <w:sz w:val="22"/>
                <w:lang w:val="en-AU"/>
              </w:rPr>
              <w:t>Vaccination-site induration/</w:t>
            </w:r>
            <w:proofErr w:type="spellStart"/>
            <w:r w:rsidRPr="002E7809">
              <w:rPr>
                <w:sz w:val="22"/>
                <w:lang w:val="en-AU"/>
              </w:rPr>
              <w:t>swelling</w:t>
            </w:r>
            <w:r w:rsidRPr="002E7809">
              <w:rPr>
                <w:sz w:val="22"/>
                <w:vertAlign w:val="superscript"/>
                <w:lang w:val="en-AU"/>
              </w:rPr>
              <w:t>a</w:t>
            </w:r>
            <w:proofErr w:type="spellEnd"/>
          </w:p>
          <w:p w14:paraId="10DEDADC" w14:textId="77777777" w:rsidR="002E7809" w:rsidRPr="002E7809" w:rsidRDefault="002E7809" w:rsidP="002E7809">
            <w:pPr>
              <w:spacing w:after="0"/>
              <w:rPr>
                <w:sz w:val="22"/>
                <w:lang w:val="en-AU"/>
              </w:rPr>
            </w:pPr>
            <w:r w:rsidRPr="002E7809">
              <w:rPr>
                <w:sz w:val="22"/>
                <w:lang w:val="en-AU"/>
              </w:rPr>
              <w:t xml:space="preserve">Vaccination-site </w:t>
            </w:r>
            <w:proofErr w:type="spellStart"/>
            <w:r w:rsidRPr="002E7809">
              <w:rPr>
                <w:sz w:val="22"/>
                <w:lang w:val="en-AU"/>
              </w:rPr>
              <w:t>erythema</w:t>
            </w:r>
            <w:r w:rsidRPr="002E7809">
              <w:rPr>
                <w:sz w:val="22"/>
                <w:vertAlign w:val="superscript"/>
                <w:lang w:val="en-AU"/>
              </w:rPr>
              <w:t>a</w:t>
            </w:r>
            <w:proofErr w:type="spellEnd"/>
          </w:p>
          <w:p w14:paraId="507EDDB2" w14:textId="77777777" w:rsidR="002E7809" w:rsidRPr="002E7809" w:rsidRDefault="002E7809" w:rsidP="002E7809">
            <w:pPr>
              <w:spacing w:after="0"/>
              <w:rPr>
                <w:sz w:val="22"/>
                <w:lang w:val="en-AU"/>
              </w:rPr>
            </w:pPr>
            <w:r w:rsidRPr="002E7809">
              <w:rPr>
                <w:sz w:val="22"/>
                <w:lang w:val="en-AU"/>
              </w:rPr>
              <w:t>Pyrexia</w:t>
            </w:r>
          </w:p>
        </w:tc>
        <w:tc>
          <w:tcPr>
            <w:tcW w:w="1177" w:type="pct"/>
            <w:tcBorders>
              <w:bottom w:val="single" w:sz="4" w:space="0" w:color="auto"/>
            </w:tcBorders>
          </w:tcPr>
          <w:p w14:paraId="2E0BE336" w14:textId="5B83B5E9" w:rsidR="002E7809" w:rsidRPr="002E7809" w:rsidRDefault="002E7809" w:rsidP="002E7809">
            <w:pPr>
              <w:spacing w:after="0"/>
              <w:jc w:val="left"/>
              <w:rPr>
                <w:sz w:val="22"/>
                <w:lang w:val="en-AU" w:eastAsia="en-GB"/>
              </w:rPr>
            </w:pPr>
            <w:r w:rsidRPr="002E7809">
              <w:rPr>
                <w:sz w:val="22"/>
                <w:lang w:val="en-AU" w:eastAsia="en-GB"/>
              </w:rPr>
              <w:t xml:space="preserve">Vaccination-site pruritus </w:t>
            </w:r>
          </w:p>
          <w:p w14:paraId="19185786" w14:textId="66E693B8" w:rsidR="002E7809" w:rsidRPr="002E7809" w:rsidRDefault="002E7809" w:rsidP="002E7809">
            <w:pPr>
              <w:spacing w:after="0"/>
              <w:jc w:val="left"/>
              <w:rPr>
                <w:sz w:val="22"/>
                <w:lang w:val="en-AU" w:eastAsia="en-GB"/>
              </w:rPr>
            </w:pPr>
            <w:r w:rsidRPr="002E7809">
              <w:rPr>
                <w:sz w:val="22"/>
                <w:lang w:val="en-AU" w:eastAsia="en-GB"/>
              </w:rPr>
              <w:t xml:space="preserve">Lymphadenopathy </w:t>
            </w:r>
          </w:p>
          <w:p w14:paraId="55E27F67" w14:textId="36BDDF26" w:rsidR="002E7809" w:rsidRPr="002E7809" w:rsidRDefault="002E7809" w:rsidP="002E7809">
            <w:pPr>
              <w:spacing w:after="0"/>
              <w:jc w:val="left"/>
              <w:rPr>
                <w:sz w:val="22"/>
                <w:lang w:val="en-AU" w:eastAsia="en-GB"/>
              </w:rPr>
            </w:pPr>
            <w:r w:rsidRPr="002E7809">
              <w:rPr>
                <w:sz w:val="22"/>
                <w:lang w:val="en-AU" w:eastAsia="en-GB"/>
              </w:rPr>
              <w:t>Vaccination-site urticaria</w:t>
            </w:r>
          </w:p>
          <w:p w14:paraId="6D3E7672" w14:textId="77777777" w:rsidR="002E7809" w:rsidRPr="002E7809" w:rsidRDefault="002E7809" w:rsidP="002E7809">
            <w:pPr>
              <w:spacing w:after="0"/>
              <w:jc w:val="left"/>
              <w:rPr>
                <w:sz w:val="22"/>
                <w:lang w:val="en-AU"/>
              </w:rPr>
            </w:pPr>
            <w:proofErr w:type="spellStart"/>
            <w:r w:rsidRPr="002E7809">
              <w:rPr>
                <w:sz w:val="22"/>
                <w:lang w:val="en-AU" w:eastAsia="en-GB"/>
              </w:rPr>
              <w:t>Chills</w:t>
            </w:r>
            <w:r w:rsidRPr="002E7809">
              <w:rPr>
                <w:sz w:val="22"/>
                <w:vertAlign w:val="superscript"/>
                <w:lang w:val="en-AU" w:eastAsia="en-GB"/>
              </w:rPr>
              <w:t>a</w:t>
            </w:r>
            <w:proofErr w:type="spellEnd"/>
          </w:p>
        </w:tc>
        <w:tc>
          <w:tcPr>
            <w:tcW w:w="760" w:type="pct"/>
            <w:tcBorders>
              <w:bottom w:val="single" w:sz="4" w:space="0" w:color="auto"/>
            </w:tcBorders>
          </w:tcPr>
          <w:p w14:paraId="35D2E939" w14:textId="77777777" w:rsidR="002E7809" w:rsidRPr="002E7809" w:rsidRDefault="002E7809" w:rsidP="002E7809">
            <w:pPr>
              <w:spacing w:after="0"/>
              <w:jc w:val="left"/>
              <w:rPr>
                <w:sz w:val="22"/>
                <w:lang w:val="en-AU" w:eastAsia="en-GB"/>
              </w:rPr>
            </w:pPr>
          </w:p>
        </w:tc>
      </w:tr>
      <w:tr w:rsidR="002E7809" w:rsidRPr="005422B9" w14:paraId="2B6ED1CA" w14:textId="774A03C6" w:rsidTr="002E7809">
        <w:tc>
          <w:tcPr>
            <w:tcW w:w="4240" w:type="pct"/>
            <w:gridSpan w:val="4"/>
            <w:tcBorders>
              <w:left w:val="nil"/>
              <w:bottom w:val="nil"/>
              <w:right w:val="nil"/>
            </w:tcBorders>
          </w:tcPr>
          <w:p w14:paraId="566A87F9" w14:textId="5D896682" w:rsidR="002E7809" w:rsidRPr="005422B9" w:rsidRDefault="002E7809" w:rsidP="002E7809">
            <w:pPr>
              <w:tabs>
                <w:tab w:val="left" w:pos="306"/>
              </w:tabs>
              <w:spacing w:after="0"/>
              <w:ind w:left="251" w:hanging="251"/>
              <w:rPr>
                <w:sz w:val="18"/>
                <w:szCs w:val="18"/>
                <w:lang w:val="en-AU"/>
              </w:rPr>
            </w:pPr>
            <w:r w:rsidRPr="005422B9">
              <w:rPr>
                <w:sz w:val="18"/>
                <w:szCs w:val="18"/>
                <w:lang w:val="en-AU"/>
              </w:rPr>
              <w:t xml:space="preserve">a. </w:t>
            </w:r>
            <w:r w:rsidRPr="005422B9">
              <w:rPr>
                <w:sz w:val="18"/>
                <w:szCs w:val="18"/>
                <w:lang w:val="en-AU"/>
              </w:rPr>
              <w:tab/>
              <w:t>Event reported in Prevenar 13</w:t>
            </w:r>
            <w:r w:rsidRPr="005422B9" w:rsidDel="00B73D24">
              <w:rPr>
                <w:sz w:val="18"/>
                <w:szCs w:val="18"/>
                <w:lang w:val="en-AU"/>
              </w:rPr>
              <w:t xml:space="preserve"> </w:t>
            </w:r>
            <w:r w:rsidRPr="005422B9">
              <w:rPr>
                <w:sz w:val="18"/>
                <w:szCs w:val="18"/>
                <w:lang w:val="en-AU"/>
              </w:rPr>
              <w:t>clinical trials with Very Common frequency (&gt; 1/10).</w:t>
            </w:r>
            <w:r>
              <w:rPr>
                <w:sz w:val="18"/>
                <w:szCs w:val="18"/>
                <w:lang w:val="en-AU"/>
              </w:rPr>
              <w:t xml:space="preserve"> </w:t>
            </w:r>
            <w:r>
              <w:rPr>
                <w:rFonts w:cs="Arial"/>
                <w:sz w:val="18"/>
                <w:szCs w:val="18"/>
              </w:rPr>
              <w:t xml:space="preserve">Decreased appetite was not reported in adult Phase 3 trials of </w:t>
            </w:r>
            <w:r w:rsidR="001C00C4">
              <w:rPr>
                <w:rFonts w:cs="Arial"/>
                <w:sz w:val="18"/>
                <w:szCs w:val="18"/>
              </w:rPr>
              <w:t>PREVENAR 20</w:t>
            </w:r>
            <w:r>
              <w:rPr>
                <w:rFonts w:cs="Arial"/>
                <w:sz w:val="18"/>
                <w:szCs w:val="18"/>
              </w:rPr>
              <w:t xml:space="preserve"> therefore, the frequency is not known.</w:t>
            </w:r>
          </w:p>
          <w:p w14:paraId="29187C8C" w14:textId="5B1C050A" w:rsidR="002E7809" w:rsidRPr="005422B9" w:rsidRDefault="002E7809" w:rsidP="002E7809">
            <w:pPr>
              <w:tabs>
                <w:tab w:val="left" w:pos="306"/>
              </w:tabs>
              <w:spacing w:after="0"/>
              <w:ind w:left="251" w:hanging="251"/>
              <w:rPr>
                <w:szCs w:val="24"/>
                <w:lang w:val="en-AU"/>
              </w:rPr>
            </w:pPr>
          </w:p>
        </w:tc>
        <w:tc>
          <w:tcPr>
            <w:tcW w:w="760" w:type="pct"/>
            <w:tcBorders>
              <w:left w:val="nil"/>
              <w:bottom w:val="nil"/>
              <w:right w:val="nil"/>
            </w:tcBorders>
          </w:tcPr>
          <w:p w14:paraId="6D7FBB7D" w14:textId="77777777" w:rsidR="002E7809" w:rsidRPr="005422B9" w:rsidRDefault="002E7809" w:rsidP="002E7809">
            <w:pPr>
              <w:tabs>
                <w:tab w:val="left" w:pos="306"/>
              </w:tabs>
              <w:spacing w:after="0"/>
              <w:ind w:left="251" w:hanging="251"/>
              <w:rPr>
                <w:sz w:val="18"/>
                <w:szCs w:val="18"/>
                <w:lang w:val="en-AU"/>
              </w:rPr>
            </w:pPr>
          </w:p>
        </w:tc>
      </w:tr>
    </w:tbl>
    <w:p w14:paraId="4CB06D64" w14:textId="4A942588" w:rsidR="007227F0" w:rsidRPr="005422B9" w:rsidRDefault="007227F0" w:rsidP="00B675C9">
      <w:pPr>
        <w:rPr>
          <w:lang w:val="en-AU"/>
        </w:rPr>
      </w:pPr>
    </w:p>
    <w:p w14:paraId="27617B3C" w14:textId="1B6224A1" w:rsidR="007227F0" w:rsidRPr="005422B9" w:rsidRDefault="007227F0" w:rsidP="007227F0">
      <w:pPr>
        <w:pStyle w:val="CLDHeading3"/>
        <w:rPr>
          <w:lang w:val="en-AU"/>
        </w:rPr>
      </w:pPr>
      <w:r w:rsidRPr="005422B9">
        <w:rPr>
          <w:lang w:val="en-AU"/>
        </w:rPr>
        <w:t>Adverse reactions from post</w:t>
      </w:r>
      <w:r w:rsidRPr="005422B9">
        <w:rPr>
          <w:lang w:val="en-AU"/>
        </w:rPr>
        <w:noBreakHyphen/>
        <w:t>marketing experience</w:t>
      </w:r>
    </w:p>
    <w:p w14:paraId="52C52D08" w14:textId="2390A8C0" w:rsidR="007227F0" w:rsidRPr="005422B9" w:rsidRDefault="002E7809" w:rsidP="007227F0">
      <w:pPr>
        <w:autoSpaceDE w:val="0"/>
        <w:autoSpaceDN w:val="0"/>
        <w:adjustRightInd w:val="0"/>
        <w:rPr>
          <w:rFonts w:eastAsia="TimesNewRoman"/>
          <w:szCs w:val="22"/>
          <w:lang w:val="en-AU"/>
        </w:rPr>
      </w:pPr>
      <w:r>
        <w:t xml:space="preserve">Table 2 includes adverse experiences that have been spontaneously reported during Prevenar 13 </w:t>
      </w:r>
      <w:proofErr w:type="spellStart"/>
      <w:r>
        <w:t>postmarketing</w:t>
      </w:r>
      <w:proofErr w:type="spellEnd"/>
      <w:r>
        <w:t xml:space="preserve"> use and may also be seen with </w:t>
      </w:r>
      <w:r w:rsidR="001C00C4">
        <w:t>PREVENAR 20</w:t>
      </w:r>
      <w:r>
        <w:t xml:space="preserve">. The </w:t>
      </w:r>
      <w:proofErr w:type="spellStart"/>
      <w:r>
        <w:t>postmarketing</w:t>
      </w:r>
      <w:proofErr w:type="spellEnd"/>
      <w:r>
        <w:t xml:space="preserve"> safety experience with Prevenar 13 is relevant to </w:t>
      </w:r>
      <w:r w:rsidR="001C00C4">
        <w:t>PREVENAR 20</w:t>
      </w:r>
      <w:r>
        <w:t xml:space="preserve">, as </w:t>
      </w:r>
      <w:r w:rsidR="001C00C4">
        <w:t>PREVENAR 20</w:t>
      </w:r>
      <w:r>
        <w:t xml:space="preserve"> contains all components (polysaccharide conjugates and excipients) of Prevenar 13. Because these events were reported voluntarily from a population of uncertain size, it is not possible to reliably estimate their frequency or to establish, for all events, a causal relationship to vaccine exposure.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7"/>
        <w:gridCol w:w="4770"/>
      </w:tblGrid>
      <w:tr w:rsidR="007227F0" w:rsidRPr="005422B9" w14:paraId="62BD87C0" w14:textId="77777777" w:rsidTr="00B01F15">
        <w:tc>
          <w:tcPr>
            <w:tcW w:w="5000" w:type="pct"/>
            <w:gridSpan w:val="2"/>
            <w:tcBorders>
              <w:top w:val="nil"/>
              <w:left w:val="nil"/>
              <w:right w:val="nil"/>
            </w:tcBorders>
            <w:vAlign w:val="bottom"/>
          </w:tcPr>
          <w:p w14:paraId="28A1D037" w14:textId="77777777" w:rsidR="007227F0" w:rsidRPr="005422B9" w:rsidRDefault="007227F0" w:rsidP="00B01F15">
            <w:pPr>
              <w:tabs>
                <w:tab w:val="left" w:pos="1064"/>
              </w:tabs>
              <w:ind w:left="1080" w:hanging="1080"/>
              <w:rPr>
                <w:b/>
                <w:szCs w:val="22"/>
                <w:lang w:val="en-AU"/>
              </w:rPr>
            </w:pPr>
            <w:r w:rsidRPr="005422B9">
              <w:rPr>
                <w:b/>
                <w:szCs w:val="22"/>
                <w:lang w:val="en-AU"/>
              </w:rPr>
              <w:t>Table 2.</w:t>
            </w:r>
            <w:r w:rsidRPr="005422B9">
              <w:rPr>
                <w:b/>
                <w:szCs w:val="22"/>
                <w:lang w:val="en-AU"/>
              </w:rPr>
              <w:tab/>
              <w:t>Adverse reactions from Prevenar 13 post</w:t>
            </w:r>
            <w:r w:rsidRPr="005422B9">
              <w:rPr>
                <w:b/>
                <w:szCs w:val="22"/>
                <w:lang w:val="en-AU"/>
              </w:rPr>
              <w:noBreakHyphen/>
              <w:t>marketing experience</w:t>
            </w:r>
          </w:p>
        </w:tc>
      </w:tr>
      <w:tr w:rsidR="007227F0" w:rsidRPr="005422B9" w14:paraId="0A07BD37" w14:textId="77777777" w:rsidTr="00B01F15">
        <w:tblPrEx>
          <w:tblLook w:val="01E0" w:firstRow="1" w:lastRow="1" w:firstColumn="1" w:lastColumn="1" w:noHBand="0" w:noVBand="0"/>
        </w:tblPrEx>
        <w:trPr>
          <w:tblHeader/>
        </w:trPr>
        <w:tc>
          <w:tcPr>
            <w:tcW w:w="2358" w:type="pct"/>
          </w:tcPr>
          <w:p w14:paraId="1C0DAC51" w14:textId="77777777" w:rsidR="007227F0" w:rsidRPr="005422B9" w:rsidRDefault="007227F0" w:rsidP="00D734CB">
            <w:pPr>
              <w:spacing w:after="0"/>
              <w:rPr>
                <w:b/>
                <w:szCs w:val="22"/>
                <w:lang w:val="en-AU"/>
              </w:rPr>
            </w:pPr>
            <w:r w:rsidRPr="005422B9">
              <w:rPr>
                <w:b/>
                <w:szCs w:val="22"/>
                <w:lang w:val="en-AU"/>
              </w:rPr>
              <w:t>System Organ Class</w:t>
            </w:r>
          </w:p>
        </w:tc>
        <w:tc>
          <w:tcPr>
            <w:tcW w:w="2642" w:type="pct"/>
          </w:tcPr>
          <w:p w14:paraId="5398518D" w14:textId="694D00DE" w:rsidR="007227F0" w:rsidRPr="005422B9" w:rsidRDefault="007227F0" w:rsidP="00D734CB">
            <w:pPr>
              <w:spacing w:after="0"/>
              <w:jc w:val="center"/>
              <w:rPr>
                <w:b/>
                <w:szCs w:val="22"/>
                <w:lang w:val="en-AU"/>
              </w:rPr>
            </w:pPr>
            <w:r w:rsidRPr="005422B9">
              <w:rPr>
                <w:b/>
                <w:szCs w:val="22"/>
                <w:lang w:val="en-AU"/>
              </w:rPr>
              <w:t xml:space="preserve">Frequency </w:t>
            </w:r>
            <w:r w:rsidR="002E7809">
              <w:rPr>
                <w:b/>
                <w:szCs w:val="22"/>
                <w:lang w:val="en-AU"/>
              </w:rPr>
              <w:t>N</w:t>
            </w:r>
            <w:r w:rsidRPr="005422B9">
              <w:rPr>
                <w:b/>
                <w:szCs w:val="22"/>
                <w:lang w:val="en-AU"/>
              </w:rPr>
              <w:t xml:space="preserve">ot </w:t>
            </w:r>
            <w:r w:rsidR="002E7809">
              <w:rPr>
                <w:b/>
                <w:szCs w:val="22"/>
                <w:lang w:val="en-AU"/>
              </w:rPr>
              <w:t>K</w:t>
            </w:r>
            <w:r w:rsidRPr="005422B9">
              <w:rPr>
                <w:b/>
                <w:szCs w:val="22"/>
                <w:lang w:val="en-AU"/>
              </w:rPr>
              <w:t>nown</w:t>
            </w:r>
          </w:p>
          <w:p w14:paraId="157D7BEC" w14:textId="4A273989" w:rsidR="007227F0" w:rsidRPr="005422B9" w:rsidRDefault="007227F0" w:rsidP="00D734CB">
            <w:pPr>
              <w:spacing w:after="0"/>
              <w:jc w:val="center"/>
              <w:rPr>
                <w:b/>
                <w:szCs w:val="22"/>
                <w:lang w:val="en-AU"/>
              </w:rPr>
            </w:pPr>
          </w:p>
        </w:tc>
      </w:tr>
      <w:tr w:rsidR="007227F0" w:rsidRPr="005422B9" w14:paraId="0713A48C" w14:textId="77777777" w:rsidTr="00B01F15">
        <w:tblPrEx>
          <w:tblLook w:val="01E0" w:firstRow="1" w:lastRow="1" w:firstColumn="1" w:lastColumn="1" w:noHBand="0" w:noVBand="0"/>
        </w:tblPrEx>
        <w:tc>
          <w:tcPr>
            <w:tcW w:w="2358" w:type="pct"/>
          </w:tcPr>
          <w:p w14:paraId="65F2AE76" w14:textId="77777777" w:rsidR="007227F0" w:rsidRPr="005422B9" w:rsidRDefault="007227F0" w:rsidP="00D734CB">
            <w:pPr>
              <w:spacing w:after="0"/>
              <w:rPr>
                <w:szCs w:val="22"/>
                <w:lang w:val="en-AU"/>
              </w:rPr>
            </w:pPr>
            <w:r w:rsidRPr="005422B9">
              <w:rPr>
                <w:szCs w:val="22"/>
                <w:lang w:val="en-AU"/>
              </w:rPr>
              <w:t>Immune system disorders</w:t>
            </w:r>
          </w:p>
        </w:tc>
        <w:tc>
          <w:tcPr>
            <w:tcW w:w="2642" w:type="pct"/>
          </w:tcPr>
          <w:p w14:paraId="2A1BC9A6" w14:textId="77777777" w:rsidR="007227F0" w:rsidRPr="005422B9" w:rsidRDefault="007227F0" w:rsidP="00D734CB">
            <w:pPr>
              <w:tabs>
                <w:tab w:val="left" w:pos="1710"/>
              </w:tabs>
              <w:spacing w:after="0"/>
              <w:ind w:left="-20"/>
              <w:rPr>
                <w:szCs w:val="22"/>
                <w:lang w:val="en-AU"/>
              </w:rPr>
            </w:pPr>
            <w:r w:rsidRPr="005422B9">
              <w:rPr>
                <w:szCs w:val="22"/>
                <w:lang w:val="en-AU"/>
              </w:rPr>
              <w:t>Anaphylactic/anaphylactoid reaction, including shock</w:t>
            </w:r>
          </w:p>
        </w:tc>
      </w:tr>
      <w:tr w:rsidR="007227F0" w:rsidRPr="005422B9" w14:paraId="1B90A758" w14:textId="77777777" w:rsidTr="00B01F15">
        <w:tblPrEx>
          <w:tblLook w:val="01E0" w:firstRow="1" w:lastRow="1" w:firstColumn="1" w:lastColumn="1" w:noHBand="0" w:noVBand="0"/>
        </w:tblPrEx>
        <w:tc>
          <w:tcPr>
            <w:tcW w:w="2358" w:type="pct"/>
          </w:tcPr>
          <w:p w14:paraId="179C4E07" w14:textId="77777777" w:rsidR="007227F0" w:rsidRPr="005422B9" w:rsidRDefault="007227F0" w:rsidP="00D734CB">
            <w:pPr>
              <w:spacing w:after="0"/>
              <w:rPr>
                <w:szCs w:val="22"/>
                <w:lang w:val="en-AU"/>
              </w:rPr>
            </w:pPr>
            <w:r w:rsidRPr="005422B9">
              <w:rPr>
                <w:szCs w:val="22"/>
                <w:lang w:val="en-AU"/>
              </w:rPr>
              <w:t xml:space="preserve">Skin and subcutaneous tissue disorders </w:t>
            </w:r>
          </w:p>
        </w:tc>
        <w:tc>
          <w:tcPr>
            <w:tcW w:w="2642" w:type="pct"/>
          </w:tcPr>
          <w:p w14:paraId="626A1ABD" w14:textId="77777777" w:rsidR="007227F0" w:rsidRPr="005422B9" w:rsidRDefault="007227F0" w:rsidP="00D734CB">
            <w:pPr>
              <w:spacing w:after="0"/>
              <w:ind w:left="-20"/>
              <w:rPr>
                <w:szCs w:val="22"/>
                <w:lang w:val="en-AU"/>
              </w:rPr>
            </w:pPr>
            <w:r w:rsidRPr="005422B9">
              <w:rPr>
                <w:szCs w:val="22"/>
                <w:lang w:val="en-AU"/>
              </w:rPr>
              <w:t>Erythema multiforme</w:t>
            </w:r>
          </w:p>
        </w:tc>
      </w:tr>
      <w:tr w:rsidR="007227F0" w:rsidRPr="005422B9" w14:paraId="04814C08" w14:textId="77777777" w:rsidTr="00B01F15">
        <w:tblPrEx>
          <w:tblLook w:val="01E0" w:firstRow="1" w:lastRow="1" w:firstColumn="1" w:lastColumn="1" w:noHBand="0" w:noVBand="0"/>
        </w:tblPrEx>
        <w:tc>
          <w:tcPr>
            <w:tcW w:w="2358" w:type="pct"/>
            <w:tcBorders>
              <w:bottom w:val="single" w:sz="4" w:space="0" w:color="auto"/>
            </w:tcBorders>
          </w:tcPr>
          <w:p w14:paraId="177096EA" w14:textId="77777777" w:rsidR="007227F0" w:rsidRPr="005422B9" w:rsidRDefault="007227F0" w:rsidP="00D734CB">
            <w:pPr>
              <w:spacing w:after="0"/>
              <w:rPr>
                <w:szCs w:val="22"/>
                <w:lang w:val="en-AU"/>
              </w:rPr>
            </w:pPr>
            <w:r w:rsidRPr="005422B9">
              <w:rPr>
                <w:szCs w:val="22"/>
                <w:lang w:val="en-AU"/>
              </w:rPr>
              <w:t xml:space="preserve">General disorders and administration site conditions </w:t>
            </w:r>
          </w:p>
        </w:tc>
        <w:tc>
          <w:tcPr>
            <w:tcW w:w="2642" w:type="pct"/>
            <w:tcBorders>
              <w:bottom w:val="single" w:sz="4" w:space="0" w:color="auto"/>
            </w:tcBorders>
          </w:tcPr>
          <w:p w14:paraId="555A4E79" w14:textId="77777777" w:rsidR="007227F0" w:rsidRPr="005422B9" w:rsidRDefault="007227F0" w:rsidP="00D734CB">
            <w:pPr>
              <w:spacing w:after="0"/>
              <w:ind w:left="-20"/>
              <w:rPr>
                <w:szCs w:val="22"/>
                <w:lang w:val="en-AU"/>
              </w:rPr>
            </w:pPr>
            <w:r w:rsidRPr="005422B9">
              <w:rPr>
                <w:szCs w:val="22"/>
                <w:lang w:val="en-AU"/>
              </w:rPr>
              <w:t>Vaccination-site dermatitis</w:t>
            </w:r>
          </w:p>
        </w:tc>
      </w:tr>
    </w:tbl>
    <w:p w14:paraId="6F4E7ABD" w14:textId="7D34E746" w:rsidR="007227F0" w:rsidRPr="002E7809" w:rsidRDefault="002E7809" w:rsidP="002E7809">
      <w:r w:rsidRPr="00B805CB">
        <w:rPr>
          <w:rFonts w:cs="Arial"/>
          <w:sz w:val="18"/>
          <w:szCs w:val="18"/>
        </w:rPr>
        <w:t>Event</w:t>
      </w:r>
      <w:r>
        <w:rPr>
          <w:rFonts w:cs="Arial"/>
          <w:sz w:val="18"/>
          <w:szCs w:val="18"/>
        </w:rPr>
        <w:t>s</w:t>
      </w:r>
      <w:r w:rsidRPr="00B805CB">
        <w:rPr>
          <w:rFonts w:cs="Arial"/>
          <w:sz w:val="18"/>
          <w:szCs w:val="18"/>
        </w:rPr>
        <w:t xml:space="preserve"> reported spontaneously in Prevenar</w:t>
      </w:r>
      <w:r>
        <w:rPr>
          <w:rFonts w:cs="Arial"/>
          <w:sz w:val="18"/>
          <w:szCs w:val="18"/>
        </w:rPr>
        <w:t> </w:t>
      </w:r>
      <w:r w:rsidRPr="00B805CB">
        <w:rPr>
          <w:rFonts w:cs="Arial"/>
          <w:sz w:val="18"/>
          <w:szCs w:val="18"/>
        </w:rPr>
        <w:t>13</w:t>
      </w:r>
      <w:r w:rsidRPr="00B805CB" w:rsidDel="00B73D24">
        <w:rPr>
          <w:rFonts w:cs="Arial"/>
          <w:sz w:val="18"/>
          <w:szCs w:val="18"/>
        </w:rPr>
        <w:t xml:space="preserve"> </w:t>
      </w:r>
      <w:proofErr w:type="spellStart"/>
      <w:r w:rsidRPr="61BD38B9">
        <w:rPr>
          <w:rFonts w:cs="Arial"/>
          <w:sz w:val="18"/>
          <w:szCs w:val="18"/>
        </w:rPr>
        <w:t>postmarketing</w:t>
      </w:r>
      <w:proofErr w:type="spellEnd"/>
      <w:r w:rsidRPr="00B805CB">
        <w:rPr>
          <w:rFonts w:cs="Arial"/>
          <w:sz w:val="18"/>
          <w:szCs w:val="18"/>
        </w:rPr>
        <w:t xml:space="preserve"> experience</w:t>
      </w:r>
      <w:r>
        <w:t xml:space="preserve">; </w:t>
      </w:r>
      <w:r w:rsidRPr="00D1453B">
        <w:rPr>
          <w:sz w:val="18"/>
          <w:szCs w:val="18"/>
        </w:rPr>
        <w:t xml:space="preserve">therefore, the frequencies could not be </w:t>
      </w:r>
      <w:r w:rsidRPr="00E27B36">
        <w:rPr>
          <w:sz w:val="18"/>
          <w:szCs w:val="18"/>
        </w:rPr>
        <w:t>estimated from available data</w:t>
      </w:r>
      <w:r w:rsidRPr="00E27B36" w:rsidDel="00E27B36">
        <w:rPr>
          <w:sz w:val="18"/>
          <w:szCs w:val="18"/>
        </w:rPr>
        <w:t xml:space="preserve"> </w:t>
      </w:r>
      <w:r w:rsidRPr="00D1453B">
        <w:rPr>
          <w:sz w:val="18"/>
          <w:szCs w:val="18"/>
        </w:rPr>
        <w:t>and are thus considered as not known.</w:t>
      </w:r>
    </w:p>
    <w:p w14:paraId="30C78877" w14:textId="17C6BEBC" w:rsidR="007227F0" w:rsidRPr="005422B9" w:rsidRDefault="007227F0" w:rsidP="007227F0">
      <w:pPr>
        <w:tabs>
          <w:tab w:val="left" w:pos="1710"/>
        </w:tabs>
        <w:rPr>
          <w:szCs w:val="22"/>
          <w:lang w:val="en-AU" w:eastAsia="en-GB"/>
        </w:rPr>
      </w:pPr>
    </w:p>
    <w:p w14:paraId="16F062D6" w14:textId="77777777" w:rsidR="007227F0" w:rsidRPr="005422B9" w:rsidRDefault="007227F0" w:rsidP="007227F0">
      <w:pPr>
        <w:pStyle w:val="CLDHeading3"/>
        <w:rPr>
          <w:lang w:val="en-AU"/>
        </w:rPr>
      </w:pPr>
      <w:r w:rsidRPr="005422B9">
        <w:rPr>
          <w:lang w:val="en-AU"/>
        </w:rPr>
        <w:lastRenderedPageBreak/>
        <w:t>Additional information in special populations in studies with Prevenar 13</w:t>
      </w:r>
    </w:p>
    <w:p w14:paraId="3B3845F8" w14:textId="77777777" w:rsidR="002E7809" w:rsidRPr="00961601" w:rsidRDefault="002E7809" w:rsidP="002E7809">
      <w:r>
        <w:t>Adults (</w:t>
      </w:r>
      <w:r w:rsidRPr="00EE2AA4">
        <w:t>≥</w:t>
      </w:r>
      <w:r>
        <w:t> 18 years of age) with HIV infection have similar frequencies of adverse reactions in Table 1, except that pyrexia (5% to 18%) and vomiting (8% to 12%) were very common and nausea (&lt; 1% to 3%) common.</w:t>
      </w:r>
    </w:p>
    <w:p w14:paraId="6CC1F3F2" w14:textId="407114FA" w:rsidR="002E7809" w:rsidRDefault="002E7809" w:rsidP="002E7809">
      <w:r>
        <w:t>Adults (</w:t>
      </w:r>
      <w:r w:rsidRPr="00EE2AA4">
        <w:t>≥</w:t>
      </w:r>
      <w:r>
        <w:t> 18 years of age) with an HSCT have similar frequencies of adverse reactions in Table 1, except that pyrexia (4% to 15%), vomiting (6% to 21%), and diarrhoea (25% to 36%) were very common.</w:t>
      </w:r>
    </w:p>
    <w:p w14:paraId="0FD2EB43" w14:textId="5B319B30" w:rsidR="00DB0306" w:rsidRPr="00DB0306" w:rsidRDefault="00DB0306" w:rsidP="00DB0306">
      <w:pPr>
        <w:pStyle w:val="CLDHeading3"/>
        <w:rPr>
          <w:lang w:val="en-AU"/>
        </w:rPr>
      </w:pPr>
      <w:r>
        <w:rPr>
          <w:lang w:val="en-AU"/>
        </w:rPr>
        <w:t>Safety with concomitant vaccine administration in adults</w:t>
      </w:r>
    </w:p>
    <w:p w14:paraId="4C8AA49B" w14:textId="70824369" w:rsidR="00DB0306" w:rsidRPr="00DB0306" w:rsidRDefault="00DB0306" w:rsidP="00DB0306">
      <w:pPr>
        <w:rPr>
          <w:lang w:val="en-AU"/>
        </w:rPr>
      </w:pPr>
      <w:r>
        <w:rPr>
          <w:lang w:val="en-AU"/>
        </w:rPr>
        <w:t>The safety profile was similar when PREVENAR 20 was administered with or without influenza vaccine, adjuvanted (</w:t>
      </w:r>
      <w:proofErr w:type="spellStart"/>
      <w:r>
        <w:rPr>
          <w:lang w:val="en-AU"/>
        </w:rPr>
        <w:t>Fluad</w:t>
      </w:r>
      <w:proofErr w:type="spellEnd"/>
      <w:r>
        <w:rPr>
          <w:lang w:val="en-AU"/>
        </w:rPr>
        <w:t xml:space="preserve"> Quadrivalent [QIV]).</w:t>
      </w:r>
    </w:p>
    <w:p w14:paraId="4D3EA31F" w14:textId="7A956A66" w:rsidR="00DB0306" w:rsidRPr="00961601" w:rsidRDefault="00DB0306" w:rsidP="00DB0306">
      <w:r>
        <w:rPr>
          <w:lang w:val="en-AU"/>
        </w:rPr>
        <w:t>PREVENAR 20 administered together with COVID-19 mRNA vaccine (</w:t>
      </w:r>
      <w:r w:rsidR="00E7433E">
        <w:rPr>
          <w:lang w:val="en-AU"/>
        </w:rPr>
        <w:t>Comirnaty [tozinameran]</w:t>
      </w:r>
      <w:r>
        <w:rPr>
          <w:lang w:val="en-AU"/>
        </w:rPr>
        <w:t xml:space="preserve">) was observed to have a tolerability profile </w:t>
      </w:r>
      <w:proofErr w:type="gramStart"/>
      <w:r>
        <w:rPr>
          <w:lang w:val="en-AU"/>
        </w:rPr>
        <w:t>similar to</w:t>
      </w:r>
      <w:proofErr w:type="gramEnd"/>
      <w:r>
        <w:rPr>
          <w:lang w:val="en-AU"/>
        </w:rPr>
        <w:t xml:space="preserve"> COVID-19 mRNA vaccine (</w:t>
      </w:r>
      <w:r w:rsidR="00E7433E">
        <w:rPr>
          <w:lang w:val="en-AU"/>
        </w:rPr>
        <w:t>Comirnaty [tozinameran]</w:t>
      </w:r>
      <w:r>
        <w:rPr>
          <w:lang w:val="en-AU"/>
        </w:rPr>
        <w:t>) administered alone, and an overall safety profile consistent with PREVENAR 20 or COVID-19 mRNA vaccine (</w:t>
      </w:r>
      <w:r w:rsidR="00E7433E">
        <w:rPr>
          <w:lang w:val="en-AU"/>
        </w:rPr>
        <w:t>Comirnaty [tozinameran]</w:t>
      </w:r>
      <w:r>
        <w:rPr>
          <w:lang w:val="en-AU"/>
        </w:rPr>
        <w:t>) given alone.</w:t>
      </w:r>
    </w:p>
    <w:p w14:paraId="52282637" w14:textId="6B373954" w:rsidR="003C4BE5" w:rsidRPr="005422B9" w:rsidRDefault="003C4BE5" w:rsidP="007227F0">
      <w:pPr>
        <w:pStyle w:val="CLDHeading3"/>
        <w:rPr>
          <w:lang w:val="en-AU"/>
        </w:rPr>
      </w:pPr>
      <w:r w:rsidRPr="005422B9">
        <w:rPr>
          <w:lang w:val="en-AU"/>
        </w:rPr>
        <w:t>Reporting suspected adverse effects</w:t>
      </w:r>
    </w:p>
    <w:p w14:paraId="694EDABA" w14:textId="7D632B86" w:rsidR="00C40E91" w:rsidRPr="005422B9" w:rsidRDefault="00C40E91" w:rsidP="00E0141F">
      <w:pPr>
        <w:pStyle w:val="CLDNormal"/>
        <w:rPr>
          <w:lang w:val="en-AU"/>
        </w:rPr>
      </w:pPr>
      <w:r w:rsidRPr="005422B9">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6" w:history="1">
        <w:r w:rsidR="00433191" w:rsidRPr="005422B9">
          <w:rPr>
            <w:rStyle w:val="Hyperlink"/>
            <w:color w:val="auto"/>
            <w:lang w:val="en-AU"/>
          </w:rPr>
          <w:t>www.tga.gov.au/reporting-problems</w:t>
        </w:r>
      </w:hyperlink>
      <w:r w:rsidRPr="005422B9">
        <w:rPr>
          <w:lang w:val="en-AU"/>
        </w:rPr>
        <w:t>.</w:t>
      </w:r>
    </w:p>
    <w:p w14:paraId="112A0E1B" w14:textId="77777777" w:rsidR="00112E5B" w:rsidRPr="005422B9" w:rsidRDefault="00003E72" w:rsidP="00E0141F">
      <w:pPr>
        <w:pStyle w:val="CLDHeading2"/>
        <w:rPr>
          <w:rFonts w:ascii="Times New Roman" w:hAnsi="Times New Roman"/>
          <w:lang w:val="en-AU"/>
        </w:rPr>
      </w:pPr>
      <w:r w:rsidRPr="005422B9">
        <w:rPr>
          <w:rFonts w:ascii="Times New Roman" w:hAnsi="Times New Roman"/>
          <w:lang w:val="en-AU"/>
        </w:rPr>
        <w:t>4.9</w:t>
      </w:r>
      <w:r w:rsidRPr="005422B9">
        <w:rPr>
          <w:rFonts w:ascii="Times New Roman" w:hAnsi="Times New Roman"/>
          <w:lang w:val="en-AU"/>
        </w:rPr>
        <w:tab/>
      </w:r>
      <w:r w:rsidR="00112E5B" w:rsidRPr="005422B9">
        <w:rPr>
          <w:rFonts w:ascii="Times New Roman" w:hAnsi="Times New Roman"/>
          <w:lang w:val="en-AU"/>
        </w:rPr>
        <w:t>Overdos</w:t>
      </w:r>
      <w:r w:rsidR="0061777E" w:rsidRPr="005422B9">
        <w:rPr>
          <w:rFonts w:ascii="Times New Roman" w:hAnsi="Times New Roman"/>
          <w:lang w:val="en-AU"/>
        </w:rPr>
        <w:t>e</w:t>
      </w:r>
    </w:p>
    <w:p w14:paraId="643B6AB1" w14:textId="46A4FA23" w:rsidR="00740CB0" w:rsidRPr="005422B9" w:rsidRDefault="007227F0" w:rsidP="002E5338">
      <w:pPr>
        <w:keepNext/>
        <w:keepLines/>
        <w:widowControl w:val="0"/>
        <w:rPr>
          <w:lang w:val="en-AU"/>
        </w:rPr>
      </w:pPr>
      <w:r w:rsidRPr="005422B9">
        <w:rPr>
          <w:bCs/>
          <w:iCs/>
          <w:snapToGrid w:val="0"/>
          <w:szCs w:val="22"/>
          <w:lang w:val="en-AU"/>
        </w:rPr>
        <w:t xml:space="preserve">Overdose with </w:t>
      </w:r>
      <w:r w:rsidR="00A67670" w:rsidRPr="005422B9">
        <w:rPr>
          <w:bCs/>
          <w:iCs/>
          <w:snapToGrid w:val="0"/>
          <w:szCs w:val="22"/>
          <w:lang w:val="en-AU"/>
        </w:rPr>
        <w:t>PREVENAR 20</w:t>
      </w:r>
      <w:r w:rsidRPr="005422B9">
        <w:rPr>
          <w:bCs/>
          <w:iCs/>
          <w:snapToGrid w:val="0"/>
          <w:szCs w:val="22"/>
          <w:lang w:val="en-AU"/>
        </w:rPr>
        <w:t xml:space="preserve"> is unlikely due to its presentation as a </w:t>
      </w:r>
      <w:r w:rsidR="002E5338" w:rsidRPr="005422B9">
        <w:rPr>
          <w:bCs/>
          <w:iCs/>
          <w:snapToGrid w:val="0"/>
          <w:szCs w:val="22"/>
          <w:lang w:val="en-AU"/>
        </w:rPr>
        <w:t xml:space="preserve">single dose </w:t>
      </w:r>
      <w:r w:rsidRPr="005422B9">
        <w:rPr>
          <w:bCs/>
          <w:iCs/>
          <w:snapToGrid w:val="0"/>
          <w:szCs w:val="22"/>
          <w:lang w:val="en-AU"/>
        </w:rPr>
        <w:t>pre-filled syringe.</w:t>
      </w:r>
      <w:r w:rsidR="002E5338" w:rsidRPr="005422B9">
        <w:rPr>
          <w:bCs/>
          <w:iCs/>
          <w:snapToGrid w:val="0"/>
          <w:szCs w:val="22"/>
          <w:lang w:val="en-AU"/>
        </w:rPr>
        <w:t xml:space="preserve"> </w:t>
      </w:r>
      <w:r w:rsidR="00740CB0" w:rsidRPr="005422B9">
        <w:rPr>
          <w:lang w:val="en-AU"/>
        </w:rPr>
        <w:t>In the event of overdose, monitoring of vital functions and possible symptomatic treatment is recommended.</w:t>
      </w:r>
    </w:p>
    <w:p w14:paraId="2AA54685" w14:textId="25968A61" w:rsidR="00F50101" w:rsidRPr="005422B9" w:rsidRDefault="00F50101" w:rsidP="00E0141F">
      <w:pPr>
        <w:pStyle w:val="CLDNormal"/>
        <w:rPr>
          <w:lang w:val="en-AU"/>
        </w:rPr>
      </w:pPr>
      <w:r w:rsidRPr="005422B9">
        <w:rPr>
          <w:lang w:val="en-AU"/>
        </w:rPr>
        <w:t>For information on the management of overdose, contact the Poisons Information Centre on 131126 (Australia).</w:t>
      </w:r>
    </w:p>
    <w:p w14:paraId="5678EA88" w14:textId="496D0F07" w:rsidR="0062454C" w:rsidRPr="005422B9" w:rsidRDefault="00003E72" w:rsidP="00E0141F">
      <w:pPr>
        <w:pStyle w:val="CLDHeading1"/>
        <w:rPr>
          <w:kern w:val="0"/>
          <w:lang w:val="en-AU"/>
        </w:rPr>
      </w:pPr>
      <w:bookmarkStart w:id="10" w:name="_Hlk57638369"/>
      <w:r w:rsidRPr="005422B9">
        <w:rPr>
          <w:kern w:val="0"/>
          <w:lang w:val="en-AU"/>
        </w:rPr>
        <w:t>5.</w:t>
      </w:r>
      <w:r w:rsidRPr="005422B9">
        <w:rPr>
          <w:kern w:val="0"/>
          <w:lang w:val="en-AU"/>
        </w:rPr>
        <w:tab/>
      </w:r>
      <w:r w:rsidR="0018348D" w:rsidRPr="005422B9">
        <w:rPr>
          <w:kern w:val="0"/>
          <w:lang w:val="en-AU"/>
        </w:rPr>
        <w:t>PHARMACOLOGICAL PROPERTIES</w:t>
      </w:r>
    </w:p>
    <w:p w14:paraId="77CA4243" w14:textId="77E6613F" w:rsidR="00112E5B" w:rsidRPr="005422B9" w:rsidRDefault="00003E72" w:rsidP="00E0141F">
      <w:pPr>
        <w:pStyle w:val="CLDHeading2"/>
        <w:rPr>
          <w:rFonts w:ascii="Times New Roman" w:hAnsi="Times New Roman"/>
          <w:lang w:val="en-AU"/>
        </w:rPr>
      </w:pPr>
      <w:r w:rsidRPr="005422B9">
        <w:rPr>
          <w:rFonts w:ascii="Times New Roman" w:hAnsi="Times New Roman"/>
          <w:lang w:val="en-AU"/>
        </w:rPr>
        <w:t>5.1</w:t>
      </w:r>
      <w:r w:rsidRPr="005422B9">
        <w:rPr>
          <w:rFonts w:ascii="Times New Roman" w:hAnsi="Times New Roman"/>
          <w:lang w:val="en-AU"/>
        </w:rPr>
        <w:tab/>
      </w:r>
      <w:r w:rsidR="00112E5B" w:rsidRPr="005422B9">
        <w:rPr>
          <w:rFonts w:ascii="Times New Roman" w:hAnsi="Times New Roman"/>
          <w:lang w:val="en-AU"/>
        </w:rPr>
        <w:t>Pharmacodynamic properties</w:t>
      </w:r>
    </w:p>
    <w:p w14:paraId="6726B5AB" w14:textId="7B06F7E6" w:rsidR="009A4EE2" w:rsidRPr="005422B9" w:rsidRDefault="0015760D" w:rsidP="007227F0">
      <w:pPr>
        <w:keepNext/>
        <w:keepLines/>
        <w:widowControl w:val="0"/>
        <w:rPr>
          <w:szCs w:val="22"/>
          <w:lang w:val="en-AU"/>
        </w:rPr>
      </w:pPr>
      <w:r w:rsidRPr="005422B9">
        <w:rPr>
          <w:lang w:val="en-AU"/>
        </w:rPr>
        <w:t xml:space="preserve">Pharmacotherapeutic group: </w:t>
      </w:r>
      <w:r w:rsidR="007227F0" w:rsidRPr="005422B9">
        <w:rPr>
          <w:szCs w:val="22"/>
          <w:lang w:val="en-AU"/>
        </w:rPr>
        <w:t>vaccines, pneumococcal vaccines; ATC code: J07AL02</w:t>
      </w:r>
    </w:p>
    <w:p w14:paraId="255D02E5" w14:textId="5F1A6E1C" w:rsidR="003C6DC6" w:rsidRPr="005422B9" w:rsidRDefault="003C6DC6" w:rsidP="00E0141F">
      <w:pPr>
        <w:pStyle w:val="CLDHeading3"/>
        <w:rPr>
          <w:lang w:val="en-AU"/>
        </w:rPr>
      </w:pPr>
      <w:r w:rsidRPr="005422B9">
        <w:rPr>
          <w:lang w:val="en-AU"/>
        </w:rPr>
        <w:t>Mechanism of action</w:t>
      </w:r>
      <w:bookmarkEnd w:id="10"/>
    </w:p>
    <w:p w14:paraId="4C064D94" w14:textId="7AB675E5" w:rsidR="007227F0" w:rsidRPr="005422B9" w:rsidRDefault="00A67670" w:rsidP="007227F0">
      <w:pPr>
        <w:shd w:val="clear" w:color="auto" w:fill="FFFFFF"/>
        <w:autoSpaceDE w:val="0"/>
        <w:autoSpaceDN w:val="0"/>
        <w:adjustRightInd w:val="0"/>
        <w:contextualSpacing/>
        <w:rPr>
          <w:color w:val="000000"/>
          <w:szCs w:val="22"/>
          <w:lang w:val="en-AU"/>
        </w:rPr>
      </w:pPr>
      <w:r w:rsidRPr="005422B9">
        <w:rPr>
          <w:color w:val="000000"/>
          <w:szCs w:val="22"/>
          <w:lang w:val="en-AU"/>
        </w:rPr>
        <w:t>PREVENAR 20</w:t>
      </w:r>
      <w:r w:rsidR="007227F0" w:rsidRPr="005422B9">
        <w:rPr>
          <w:color w:val="000000"/>
          <w:szCs w:val="22"/>
          <w:lang w:val="en-AU"/>
        </w:rPr>
        <w:t xml:space="preserve"> contains 20 pneumococcal capsular polysaccharides all conjugated to a CRM</w:t>
      </w:r>
      <w:r w:rsidR="007227F0" w:rsidRPr="005422B9">
        <w:rPr>
          <w:color w:val="000000"/>
          <w:szCs w:val="22"/>
          <w:vertAlign w:val="subscript"/>
          <w:lang w:val="en-AU"/>
        </w:rPr>
        <w:t>197</w:t>
      </w:r>
      <w:r w:rsidR="007227F0" w:rsidRPr="005422B9">
        <w:rPr>
          <w:szCs w:val="22"/>
          <w:lang w:val="en-AU"/>
        </w:rPr>
        <w:t xml:space="preserve"> carrier protein, which modifies the immune response to the polysaccharide from a T</w:t>
      </w:r>
      <w:r w:rsidR="007227F0" w:rsidRPr="005422B9">
        <w:rPr>
          <w:szCs w:val="22"/>
          <w:lang w:val="en-AU"/>
        </w:rPr>
        <w:noBreakHyphen/>
        <w:t>cell independent response to a T</w:t>
      </w:r>
      <w:r w:rsidR="007227F0" w:rsidRPr="005422B9">
        <w:rPr>
          <w:szCs w:val="22"/>
          <w:lang w:val="en-AU"/>
        </w:rPr>
        <w:noBreakHyphen/>
        <w:t xml:space="preserve">cell dependent response. The T-cell dependent response </w:t>
      </w:r>
      <w:r w:rsidR="007227F0" w:rsidRPr="005422B9">
        <w:rPr>
          <w:szCs w:val="22"/>
          <w:lang w:val="en-AU"/>
        </w:rPr>
        <w:lastRenderedPageBreak/>
        <w:t>leads to both an enhanced antibody response and generation of memory B</w:t>
      </w:r>
      <w:r w:rsidR="007227F0" w:rsidRPr="005422B9">
        <w:rPr>
          <w:szCs w:val="22"/>
          <w:lang w:val="en-AU"/>
        </w:rPr>
        <w:noBreakHyphen/>
        <w:t>cells, allowing for an anamnestic (booster) response on re-exposure to the bacteria.</w:t>
      </w:r>
    </w:p>
    <w:p w14:paraId="28DAF8F7" w14:textId="77777777" w:rsidR="007227F0" w:rsidRPr="005422B9" w:rsidRDefault="007227F0" w:rsidP="007227F0">
      <w:pPr>
        <w:shd w:val="clear" w:color="auto" w:fill="FFFFFF"/>
        <w:autoSpaceDE w:val="0"/>
        <w:autoSpaceDN w:val="0"/>
        <w:adjustRightInd w:val="0"/>
        <w:contextualSpacing/>
        <w:rPr>
          <w:rFonts w:eastAsia="Calibri"/>
          <w:color w:val="000000"/>
          <w:szCs w:val="22"/>
          <w:lang w:val="en-AU"/>
        </w:rPr>
      </w:pPr>
    </w:p>
    <w:p w14:paraId="738DD92B" w14:textId="64E03036" w:rsidR="007227F0" w:rsidRPr="005422B9" w:rsidRDefault="007227F0" w:rsidP="007227F0">
      <w:pPr>
        <w:overflowPunct w:val="0"/>
        <w:autoSpaceDE w:val="0"/>
        <w:autoSpaceDN w:val="0"/>
        <w:adjustRightInd w:val="0"/>
        <w:textAlignment w:val="baseline"/>
        <w:rPr>
          <w:color w:val="000000"/>
          <w:szCs w:val="22"/>
          <w:lang w:val="en-AU"/>
        </w:rPr>
      </w:pPr>
      <w:r w:rsidRPr="005422B9">
        <w:rPr>
          <w:color w:val="000000"/>
          <w:szCs w:val="22"/>
          <w:lang w:val="en-AU"/>
        </w:rPr>
        <w:t xml:space="preserve">Vaccination with </w:t>
      </w:r>
      <w:r w:rsidR="00A67670" w:rsidRPr="005422B9">
        <w:rPr>
          <w:color w:val="000000"/>
          <w:szCs w:val="22"/>
          <w:lang w:val="en-AU"/>
        </w:rPr>
        <w:t>PREVENAR 20</w:t>
      </w:r>
      <w:r w:rsidRPr="005422B9">
        <w:rPr>
          <w:color w:val="000000"/>
          <w:szCs w:val="22"/>
          <w:lang w:val="en-AU"/>
        </w:rPr>
        <w:t xml:space="preserve"> induces serum antibody production and immunologic memory against </w:t>
      </w:r>
      <w:r w:rsidRPr="005422B9">
        <w:rPr>
          <w:szCs w:val="22"/>
          <w:lang w:val="en-AU"/>
        </w:rPr>
        <w:t xml:space="preserve">the serotypes contained within the vaccine. </w:t>
      </w:r>
    </w:p>
    <w:p w14:paraId="158BC1D8" w14:textId="43E34071" w:rsidR="00FE5383" w:rsidRPr="005422B9" w:rsidRDefault="00FE5383" w:rsidP="007227F0">
      <w:pPr>
        <w:pStyle w:val="CLDNormal"/>
        <w:rPr>
          <w:lang w:val="en-AU"/>
        </w:rPr>
      </w:pPr>
      <w:r w:rsidRPr="00FE5383">
        <w:rPr>
          <w:color w:val="000000"/>
          <w:szCs w:val="22"/>
          <w:lang w:val="en-AU" w:eastAsia="en-GB"/>
        </w:rPr>
        <w:t xml:space="preserve">Protection against pneumococcal disease is conferred mainly by opsonophagocytic killing of </w:t>
      </w:r>
      <w:r w:rsidRPr="00C73ADE">
        <w:rPr>
          <w:i/>
          <w:iCs/>
          <w:color w:val="000000"/>
          <w:szCs w:val="22"/>
          <w:lang w:val="en-AU" w:eastAsia="en-GB"/>
        </w:rPr>
        <w:t>S. pneumoniae</w:t>
      </w:r>
      <w:r w:rsidRPr="00FE5383">
        <w:rPr>
          <w:color w:val="000000"/>
          <w:szCs w:val="22"/>
          <w:lang w:val="en-AU" w:eastAsia="en-GB"/>
        </w:rPr>
        <w:t>.</w:t>
      </w:r>
      <w:r>
        <w:rPr>
          <w:color w:val="000000"/>
          <w:szCs w:val="22"/>
          <w:lang w:val="en-AU" w:eastAsia="en-GB"/>
        </w:rPr>
        <w:t xml:space="preserve">  </w:t>
      </w:r>
      <w:r w:rsidR="00C73ADE">
        <w:rPr>
          <w:color w:val="000000"/>
          <w:szCs w:val="22"/>
          <w:lang w:val="en-AU" w:eastAsia="en-GB"/>
        </w:rPr>
        <w:t>PREVENAR</w:t>
      </w:r>
      <w:r w:rsidRPr="00FE5383">
        <w:rPr>
          <w:color w:val="000000"/>
          <w:szCs w:val="22"/>
          <w:lang w:val="en-AU" w:eastAsia="en-GB"/>
        </w:rPr>
        <w:t xml:space="preserve"> 20 generates functional antibodies as measured by opsonophagocytic activity (OPA).</w:t>
      </w:r>
      <w:r>
        <w:rPr>
          <w:color w:val="000000"/>
          <w:szCs w:val="22"/>
          <w:lang w:val="en-AU" w:eastAsia="en-GB"/>
        </w:rPr>
        <w:t xml:space="preserve">  </w:t>
      </w:r>
      <w:r w:rsidRPr="00FE5383">
        <w:rPr>
          <w:color w:val="000000"/>
          <w:szCs w:val="22"/>
          <w:lang w:val="en-AU" w:eastAsia="en-GB"/>
        </w:rPr>
        <w:t>An opsonic antibody titre that is predictive of protection against invasive pneumococcal disease or</w:t>
      </w:r>
      <w:r>
        <w:rPr>
          <w:color w:val="000000"/>
          <w:szCs w:val="22"/>
          <w:lang w:val="en-AU" w:eastAsia="en-GB"/>
        </w:rPr>
        <w:t xml:space="preserve"> </w:t>
      </w:r>
      <w:r w:rsidRPr="00FE5383">
        <w:rPr>
          <w:color w:val="000000"/>
          <w:szCs w:val="22"/>
          <w:lang w:val="en-AU" w:eastAsia="en-GB"/>
        </w:rPr>
        <w:t>pneumococcal pneumonia has not been established.</w:t>
      </w:r>
    </w:p>
    <w:p w14:paraId="0AF195F1" w14:textId="77777777" w:rsidR="00B01F15" w:rsidRPr="005422B9" w:rsidRDefault="00B01F15" w:rsidP="00D734CB">
      <w:pPr>
        <w:pStyle w:val="CLDHeading3"/>
        <w:rPr>
          <w:lang w:val="en-AU"/>
        </w:rPr>
      </w:pPr>
      <w:bookmarkStart w:id="11" w:name="_Hlk49867224"/>
      <w:bookmarkStart w:id="12" w:name="_Hlk46165592"/>
      <w:r w:rsidRPr="005422B9">
        <w:rPr>
          <w:lang w:val="en-AU"/>
        </w:rPr>
        <w:t>Disease burden for adults</w:t>
      </w:r>
    </w:p>
    <w:p w14:paraId="6CBC043E" w14:textId="6FD5F434" w:rsidR="00B01F15" w:rsidRPr="001D6BE3" w:rsidRDefault="002E7809" w:rsidP="00B2074B">
      <w:pPr>
        <w:shd w:val="clear" w:color="auto" w:fill="FFFFFF"/>
        <w:spacing w:after="0"/>
      </w:pPr>
      <w:r w:rsidRPr="00EC694A">
        <w:rPr>
          <w:i/>
        </w:rPr>
        <w:t>S. pneumoniae</w:t>
      </w:r>
      <w:r>
        <w:t xml:space="preserve"> (pneumococcus) is</w:t>
      </w:r>
      <w:r w:rsidRPr="009076E5">
        <w:t xml:space="preserve"> the most frequent bacterial cause of community-acquired pneumonia (CAP) and has been estimated to be responsible for approximately 30% of all CAP cases requiring hospitali</w:t>
      </w:r>
      <w:r>
        <w:t>s</w:t>
      </w:r>
      <w:r w:rsidRPr="009076E5">
        <w:t xml:space="preserve">ation in adults in developed countries, with </w:t>
      </w:r>
      <w:proofErr w:type="gramStart"/>
      <w:r w:rsidRPr="009076E5">
        <w:t>the majority of</w:t>
      </w:r>
      <w:proofErr w:type="gramEnd"/>
      <w:r w:rsidRPr="009076E5">
        <w:t xml:space="preserve"> cases considered nonbacteraemic.</w:t>
      </w:r>
      <w:r w:rsidR="00D654BB" w:rsidRPr="00D654BB">
        <w:rPr>
          <w:lang w:val="en-AU"/>
        </w:rPr>
        <w:t xml:space="preserve">  </w:t>
      </w:r>
      <w:r w:rsidR="000C559F" w:rsidRPr="001D6BE3">
        <w:t xml:space="preserve">In addition, bacteraemic pneumonia is the most common manifestation of invasive pneumococcal disease (IPD) (approximately 80% of cases) in adults. Based on surveillance data, the pneumococcal serotypes in </w:t>
      </w:r>
      <w:r w:rsidR="000C559F" w:rsidRPr="001D6BE3">
        <w:rPr>
          <w:szCs w:val="22"/>
        </w:rPr>
        <w:t>PREVENAR 20</w:t>
      </w:r>
      <w:r w:rsidR="000C559F" w:rsidRPr="001D6BE3">
        <w:t xml:space="preserve"> may be responsible for at least 63% to 76% (depending on country) of IPD in older adults in Europe.</w:t>
      </w:r>
      <w:r w:rsidR="00C074CA">
        <w:t xml:space="preserve"> </w:t>
      </w:r>
    </w:p>
    <w:bookmarkEnd w:id="11"/>
    <w:bookmarkEnd w:id="12"/>
    <w:p w14:paraId="66C33183" w14:textId="77777777" w:rsidR="00B01F15" w:rsidRPr="005422B9" w:rsidRDefault="00B01F15" w:rsidP="00D734CB">
      <w:pPr>
        <w:pStyle w:val="CLDHeading3"/>
        <w:rPr>
          <w:vertAlign w:val="superscript"/>
          <w:lang w:val="en-AU" w:eastAsia="en-GB"/>
        </w:rPr>
      </w:pPr>
      <w:r w:rsidRPr="005422B9">
        <w:rPr>
          <w:lang w:val="en-AU" w:eastAsia="en-GB"/>
        </w:rPr>
        <w:t>PREVENAR 20 effectiveness</w:t>
      </w:r>
    </w:p>
    <w:p w14:paraId="2488B3E1" w14:textId="41AEE188" w:rsidR="00B01F15" w:rsidRPr="005422B9" w:rsidRDefault="002E7809" w:rsidP="00B01F15">
      <w:pPr>
        <w:rPr>
          <w:color w:val="000000"/>
          <w:szCs w:val="22"/>
          <w:lang w:val="en-AU"/>
        </w:rPr>
      </w:pPr>
      <w:r>
        <w:rPr>
          <w:szCs w:val="22"/>
          <w:lang w:eastAsia="en-GB"/>
        </w:rPr>
        <w:t xml:space="preserve">No efficacy studies have been performed for </w:t>
      </w:r>
      <w:r w:rsidR="001C00C4">
        <w:rPr>
          <w:szCs w:val="22"/>
          <w:lang w:eastAsia="en-GB"/>
        </w:rPr>
        <w:t>PREVENAR 20</w:t>
      </w:r>
      <w:r>
        <w:rPr>
          <w:szCs w:val="22"/>
          <w:lang w:eastAsia="en-GB"/>
        </w:rPr>
        <w:t>, however t</w:t>
      </w:r>
      <w:r w:rsidR="00B01F15" w:rsidRPr="005422B9">
        <w:rPr>
          <w:szCs w:val="22"/>
          <w:lang w:val="en-AU" w:eastAsia="en-GB"/>
        </w:rPr>
        <w:t>he efficacy and effectiveness of Prevenar </w:t>
      </w:r>
      <w:r w:rsidR="00B01F15" w:rsidRPr="005422B9">
        <w:rPr>
          <w:szCs w:val="22"/>
          <w:lang w:val="en-AU"/>
        </w:rPr>
        <w:t>13</w:t>
      </w:r>
      <w:r w:rsidR="00B01F15" w:rsidRPr="005422B9" w:rsidDel="00303CB8">
        <w:rPr>
          <w:szCs w:val="22"/>
          <w:lang w:val="en-AU" w:eastAsia="en-GB"/>
        </w:rPr>
        <w:t xml:space="preserve"> </w:t>
      </w:r>
      <w:r w:rsidR="00B01F15" w:rsidRPr="005422B9">
        <w:rPr>
          <w:szCs w:val="22"/>
          <w:lang w:val="en-AU" w:eastAsia="en-GB"/>
        </w:rPr>
        <w:t xml:space="preserve">are relevant to PREVENAR </w:t>
      </w:r>
      <w:proofErr w:type="gramStart"/>
      <w:r w:rsidR="00B01F15" w:rsidRPr="005422B9">
        <w:rPr>
          <w:szCs w:val="22"/>
          <w:lang w:val="en-AU" w:eastAsia="en-GB"/>
        </w:rPr>
        <w:t>20, since</w:t>
      </w:r>
      <w:proofErr w:type="gramEnd"/>
      <w:r w:rsidR="00B01F15" w:rsidRPr="005422B9">
        <w:rPr>
          <w:szCs w:val="22"/>
          <w:lang w:val="en-AU" w:eastAsia="en-GB"/>
        </w:rPr>
        <w:t xml:space="preserve"> the vaccines are manufactured similarly and contain 13 of the same polysaccharide conjugates.</w:t>
      </w:r>
    </w:p>
    <w:p w14:paraId="0CC75AAD" w14:textId="77777777" w:rsidR="00B01F15" w:rsidRPr="005422B9" w:rsidRDefault="00B01F15" w:rsidP="00B675C9">
      <w:pPr>
        <w:pStyle w:val="Heading3"/>
        <w:rPr>
          <w:lang w:val="en-AU" w:eastAsia="en-GB"/>
        </w:rPr>
      </w:pPr>
      <w:r w:rsidRPr="005422B9">
        <w:rPr>
          <w:lang w:val="en-AU"/>
        </w:rPr>
        <w:t>Prevenar 13</w:t>
      </w:r>
      <w:r w:rsidRPr="005422B9" w:rsidDel="00303CB8">
        <w:rPr>
          <w:lang w:val="en-AU" w:eastAsia="en-GB"/>
        </w:rPr>
        <w:t xml:space="preserve"> </w:t>
      </w:r>
      <w:r w:rsidRPr="005422B9">
        <w:rPr>
          <w:lang w:val="en-AU" w:eastAsia="en-GB"/>
        </w:rPr>
        <w:t>efficacy study in adults 65 years of age and older</w:t>
      </w:r>
    </w:p>
    <w:p w14:paraId="73355C2A" w14:textId="77777777" w:rsidR="00023618" w:rsidRPr="005422B9" w:rsidRDefault="00023618" w:rsidP="00A579AE">
      <w:pPr>
        <w:pStyle w:val="PINormal"/>
      </w:pPr>
      <w:r w:rsidRPr="005422B9">
        <w:t>The efficacy of Prevenar 13 against vaccine-type (VT) pneumococcal community</w:t>
      </w:r>
      <w:r w:rsidRPr="005422B9">
        <w:noBreakHyphen/>
        <w:t xml:space="preserve">acquired pneumonia (CAP) and IPD was assessed </w:t>
      </w:r>
      <w:bookmarkStart w:id="13" w:name="_Hlk14428518"/>
      <w:r w:rsidRPr="005422B9">
        <w:t>in a randomised, double-blind, placebo-controlled study (CAPiTA) conducted over approximately 4 years in the Netherlands. A total of 84,496 subjects, 65 years and older, received a single dose of either Prevenar 13 or placebo in a 1:1 randomisation; 42,240 subjects were vaccinated with Prevenar 13 and 42,256 subjects were vaccinated with placebo.</w:t>
      </w:r>
    </w:p>
    <w:bookmarkEnd w:id="13"/>
    <w:p w14:paraId="611DA0D5" w14:textId="77777777" w:rsidR="00023618" w:rsidRPr="005422B9" w:rsidRDefault="00023618" w:rsidP="00A579AE">
      <w:pPr>
        <w:pStyle w:val="PINormal"/>
        <w:rPr>
          <w:szCs w:val="24"/>
        </w:rPr>
      </w:pPr>
      <w:r w:rsidRPr="005422B9">
        <w:t>The primary objective was to demonstrate the efficacy of Prevenar 13 in the prevention of a first episode of confirmed</w:t>
      </w:r>
      <w:r w:rsidRPr="005422B9">
        <w:rPr>
          <w:szCs w:val="24"/>
        </w:rPr>
        <w:t xml:space="preserve"> VT-CAP (defined as presence of ≥2 specified clinical criteria; chest X</w:t>
      </w:r>
      <w:r w:rsidRPr="005422B9">
        <w:rPr>
          <w:szCs w:val="24"/>
        </w:rPr>
        <w:noBreakHyphen/>
        <w:t xml:space="preserve">ray consistent with CAP as determined by a central committee of radiologists; and positive VT-specific Urinary Antigen Detection assay (UAD) or isolation of VT </w:t>
      </w:r>
      <w:r w:rsidRPr="005422B9">
        <w:rPr>
          <w:i/>
          <w:szCs w:val="24"/>
        </w:rPr>
        <w:t>S. pneumoniae</w:t>
      </w:r>
      <w:r w:rsidRPr="005422B9">
        <w:rPr>
          <w:szCs w:val="24"/>
        </w:rPr>
        <w:t xml:space="preserve"> from blood or other sterile site). The secondary objectives were to demonstrate the efficacy of Prevenar 13 in the prevention of a first episode of 1) confirmed non-bacteraemic/non-invasive (NB/NI) VT-CAP (an episode of VT-CAP for which the blood culture result and any other sterile site culture results were negative for </w:t>
      </w:r>
      <w:r w:rsidRPr="005422B9">
        <w:rPr>
          <w:i/>
          <w:szCs w:val="24"/>
        </w:rPr>
        <w:t>S. pneumoniae</w:t>
      </w:r>
      <w:r w:rsidRPr="005422B9">
        <w:rPr>
          <w:szCs w:val="24"/>
        </w:rPr>
        <w:t xml:space="preserve">) and 2) VT-IPD (the presence of </w:t>
      </w:r>
      <w:r w:rsidRPr="005422B9">
        <w:rPr>
          <w:i/>
          <w:szCs w:val="24"/>
        </w:rPr>
        <w:t>S. pneumoniae</w:t>
      </w:r>
      <w:r w:rsidRPr="005422B9">
        <w:rPr>
          <w:szCs w:val="24"/>
        </w:rPr>
        <w:t xml:space="preserve"> in a sterile site).</w:t>
      </w:r>
    </w:p>
    <w:p w14:paraId="48AFE2AC" w14:textId="77777777" w:rsidR="00023618" w:rsidRPr="005422B9" w:rsidRDefault="00023618" w:rsidP="00A579AE">
      <w:pPr>
        <w:pStyle w:val="PINormal"/>
        <w:rPr>
          <w:szCs w:val="24"/>
        </w:rPr>
      </w:pPr>
      <w:r w:rsidRPr="005422B9">
        <w:rPr>
          <w:szCs w:val="24"/>
        </w:rPr>
        <w:t xml:space="preserve">Surveillance for suspected pneumonia and IPD began immediately after vaccination and continued through identification of a pre-specified number of cases. Subjects who had a CAP </w:t>
      </w:r>
      <w:r w:rsidRPr="005422B9">
        <w:rPr>
          <w:szCs w:val="24"/>
        </w:rPr>
        <w:lastRenderedPageBreak/>
        <w:t xml:space="preserve">or IPD episode with symptom onset less than 14 days after vaccination were excluded from all analyses. </w:t>
      </w:r>
    </w:p>
    <w:p w14:paraId="042ABD0F" w14:textId="2A42C97E" w:rsidR="00B01F15" w:rsidRPr="005422B9" w:rsidRDefault="00023618" w:rsidP="00A579AE">
      <w:pPr>
        <w:rPr>
          <w:szCs w:val="22"/>
          <w:lang w:val="en-AU"/>
        </w:rPr>
      </w:pPr>
      <w:r w:rsidRPr="005422B9">
        <w:rPr>
          <w:iCs/>
          <w:szCs w:val="24"/>
          <w:lang w:val="en-AU"/>
        </w:rPr>
        <w:t xml:space="preserve">The median duration of follow up per subject was 3.93 years (0-4.95 years). </w:t>
      </w:r>
      <w:r w:rsidRPr="005422B9">
        <w:rPr>
          <w:szCs w:val="24"/>
          <w:lang w:val="en-AU"/>
        </w:rPr>
        <w:t>Prevenar 13 demonstrated statistically significant vaccine efficacy (VE) in preventing first episodes of VT pneumococcal CAP, non-bacteraemic/non-invasive (NB/NI) VT pneumococcal CAP, and VT-IPD (Table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6"/>
        <w:gridCol w:w="1244"/>
        <w:gridCol w:w="1403"/>
        <w:gridCol w:w="960"/>
        <w:gridCol w:w="964"/>
        <w:gridCol w:w="1240"/>
        <w:gridCol w:w="930"/>
      </w:tblGrid>
      <w:tr w:rsidR="00B01F15" w:rsidRPr="005422B9" w14:paraId="6050C7ED" w14:textId="77777777" w:rsidTr="00B01F15">
        <w:tc>
          <w:tcPr>
            <w:tcW w:w="5000" w:type="pct"/>
            <w:gridSpan w:val="7"/>
            <w:tcBorders>
              <w:top w:val="nil"/>
              <w:left w:val="nil"/>
              <w:right w:val="nil"/>
            </w:tcBorders>
            <w:shd w:val="clear" w:color="auto" w:fill="auto"/>
          </w:tcPr>
          <w:p w14:paraId="7FCC6BCE" w14:textId="77777777" w:rsidR="00B01F15" w:rsidRPr="005422B9" w:rsidRDefault="00B01F15" w:rsidP="00B675C9">
            <w:pPr>
              <w:keepNext/>
              <w:tabs>
                <w:tab w:val="left" w:pos="1065"/>
              </w:tabs>
              <w:overflowPunct w:val="0"/>
              <w:autoSpaceDE w:val="0"/>
              <w:autoSpaceDN w:val="0"/>
              <w:adjustRightInd w:val="0"/>
              <w:spacing w:after="0"/>
              <w:ind w:left="1065" w:hanging="1065"/>
              <w:textAlignment w:val="baseline"/>
              <w:rPr>
                <w:b/>
                <w:bCs/>
                <w:szCs w:val="22"/>
                <w:lang w:val="en-AU"/>
              </w:rPr>
            </w:pPr>
            <w:r w:rsidRPr="005422B9">
              <w:rPr>
                <w:b/>
                <w:bCs/>
                <w:szCs w:val="22"/>
                <w:lang w:val="en-AU"/>
              </w:rPr>
              <w:t>Table 3.</w:t>
            </w:r>
            <w:r w:rsidRPr="005422B9">
              <w:rPr>
                <w:b/>
                <w:bCs/>
                <w:szCs w:val="22"/>
                <w:lang w:val="en-AU"/>
              </w:rPr>
              <w:tab/>
              <w:t>Vaccine efficacy for the primary and secondary endpoints of the CAPiTA study (per</w:t>
            </w:r>
            <w:r w:rsidRPr="005422B9">
              <w:rPr>
                <w:b/>
                <w:bCs/>
                <w:szCs w:val="22"/>
                <w:lang w:val="en-AU"/>
              </w:rPr>
              <w:noBreakHyphen/>
              <w:t>protocol population)</w:t>
            </w:r>
          </w:p>
        </w:tc>
      </w:tr>
      <w:tr w:rsidR="00B01F15" w:rsidRPr="005422B9" w14:paraId="795EC43A" w14:textId="77777777" w:rsidTr="00B01F15">
        <w:tc>
          <w:tcPr>
            <w:tcW w:w="1266" w:type="pct"/>
            <w:vMerge w:val="restart"/>
            <w:shd w:val="clear" w:color="auto" w:fill="auto"/>
            <w:vAlign w:val="bottom"/>
          </w:tcPr>
          <w:p w14:paraId="1612C650" w14:textId="77777777" w:rsidR="00B01F15" w:rsidRPr="005422B9" w:rsidRDefault="00B01F15" w:rsidP="00B675C9">
            <w:pPr>
              <w:keepNext/>
              <w:overflowPunct w:val="0"/>
              <w:autoSpaceDE w:val="0"/>
              <w:autoSpaceDN w:val="0"/>
              <w:adjustRightInd w:val="0"/>
              <w:spacing w:after="0"/>
              <w:textAlignment w:val="baseline"/>
              <w:rPr>
                <w:b/>
                <w:bCs/>
                <w:sz w:val="21"/>
                <w:szCs w:val="21"/>
                <w:lang w:val="en-AU"/>
              </w:rPr>
            </w:pPr>
            <w:r w:rsidRPr="005422B9">
              <w:rPr>
                <w:b/>
                <w:bCs/>
                <w:sz w:val="21"/>
                <w:szCs w:val="21"/>
                <w:lang w:val="en-AU"/>
              </w:rPr>
              <w:t>Efficacy endpoint</w:t>
            </w:r>
          </w:p>
        </w:tc>
        <w:tc>
          <w:tcPr>
            <w:tcW w:w="689" w:type="pct"/>
            <w:vMerge w:val="restart"/>
            <w:shd w:val="clear" w:color="auto" w:fill="auto"/>
            <w:vAlign w:val="bottom"/>
          </w:tcPr>
          <w:p w14:paraId="694E9E29"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Total number of episodes</w:t>
            </w:r>
          </w:p>
        </w:tc>
        <w:tc>
          <w:tcPr>
            <w:tcW w:w="1309" w:type="pct"/>
            <w:gridSpan w:val="2"/>
            <w:shd w:val="clear" w:color="auto" w:fill="auto"/>
            <w:vAlign w:val="bottom"/>
          </w:tcPr>
          <w:p w14:paraId="08168674"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Vaccine group</w:t>
            </w:r>
          </w:p>
        </w:tc>
        <w:tc>
          <w:tcPr>
            <w:tcW w:w="534" w:type="pct"/>
            <w:vMerge w:val="restart"/>
            <w:shd w:val="clear" w:color="auto" w:fill="auto"/>
            <w:vAlign w:val="bottom"/>
          </w:tcPr>
          <w:p w14:paraId="6330D7C5"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VE (%)</w:t>
            </w:r>
          </w:p>
        </w:tc>
        <w:tc>
          <w:tcPr>
            <w:tcW w:w="687" w:type="pct"/>
            <w:vMerge w:val="restart"/>
            <w:shd w:val="clear" w:color="auto" w:fill="auto"/>
            <w:vAlign w:val="bottom"/>
          </w:tcPr>
          <w:p w14:paraId="63D29348"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(95.2% CI)</w:t>
            </w:r>
          </w:p>
        </w:tc>
        <w:tc>
          <w:tcPr>
            <w:tcW w:w="515" w:type="pct"/>
            <w:vMerge w:val="restart"/>
            <w:shd w:val="clear" w:color="auto" w:fill="auto"/>
            <w:vAlign w:val="bottom"/>
          </w:tcPr>
          <w:p w14:paraId="20690E85"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p-value</w:t>
            </w:r>
          </w:p>
        </w:tc>
      </w:tr>
      <w:tr w:rsidR="00B01F15" w:rsidRPr="005422B9" w14:paraId="747FA587" w14:textId="77777777" w:rsidTr="00B01F15">
        <w:tc>
          <w:tcPr>
            <w:tcW w:w="1266" w:type="pct"/>
            <w:vMerge/>
            <w:shd w:val="clear" w:color="auto" w:fill="auto"/>
          </w:tcPr>
          <w:p w14:paraId="439AE2F3" w14:textId="77777777" w:rsidR="00B01F15" w:rsidRPr="005422B9" w:rsidRDefault="00B01F15" w:rsidP="00B675C9">
            <w:pPr>
              <w:keepNext/>
              <w:overflowPunct w:val="0"/>
              <w:autoSpaceDE w:val="0"/>
              <w:autoSpaceDN w:val="0"/>
              <w:adjustRightInd w:val="0"/>
              <w:spacing w:after="0"/>
              <w:textAlignment w:val="baseline"/>
              <w:rPr>
                <w:sz w:val="21"/>
                <w:szCs w:val="21"/>
                <w:lang w:val="en-AU"/>
              </w:rPr>
            </w:pPr>
          </w:p>
        </w:tc>
        <w:tc>
          <w:tcPr>
            <w:tcW w:w="689" w:type="pct"/>
            <w:vMerge/>
            <w:shd w:val="clear" w:color="auto" w:fill="auto"/>
            <w:vAlign w:val="bottom"/>
          </w:tcPr>
          <w:p w14:paraId="2801641D"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p>
        </w:tc>
        <w:tc>
          <w:tcPr>
            <w:tcW w:w="777" w:type="pct"/>
            <w:shd w:val="clear" w:color="auto" w:fill="auto"/>
            <w:vAlign w:val="bottom"/>
          </w:tcPr>
          <w:p w14:paraId="586A6C39"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Prevenar 13</w:t>
            </w:r>
          </w:p>
        </w:tc>
        <w:tc>
          <w:tcPr>
            <w:tcW w:w="532" w:type="pct"/>
            <w:shd w:val="clear" w:color="auto" w:fill="auto"/>
            <w:vAlign w:val="bottom"/>
          </w:tcPr>
          <w:p w14:paraId="05C6AFAF"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Placebo</w:t>
            </w:r>
          </w:p>
        </w:tc>
        <w:tc>
          <w:tcPr>
            <w:tcW w:w="534" w:type="pct"/>
            <w:vMerge/>
            <w:shd w:val="clear" w:color="auto" w:fill="auto"/>
          </w:tcPr>
          <w:p w14:paraId="324E9269" w14:textId="77777777" w:rsidR="00B01F15" w:rsidRPr="005422B9" w:rsidRDefault="00B01F15" w:rsidP="00B675C9">
            <w:pPr>
              <w:keepNext/>
              <w:overflowPunct w:val="0"/>
              <w:autoSpaceDE w:val="0"/>
              <w:autoSpaceDN w:val="0"/>
              <w:adjustRightInd w:val="0"/>
              <w:spacing w:after="0"/>
              <w:textAlignment w:val="baseline"/>
              <w:rPr>
                <w:sz w:val="21"/>
                <w:szCs w:val="21"/>
                <w:lang w:val="en-AU"/>
              </w:rPr>
            </w:pPr>
          </w:p>
        </w:tc>
        <w:tc>
          <w:tcPr>
            <w:tcW w:w="687" w:type="pct"/>
            <w:vMerge/>
            <w:shd w:val="clear" w:color="auto" w:fill="auto"/>
          </w:tcPr>
          <w:p w14:paraId="0B5384B7" w14:textId="77777777" w:rsidR="00B01F15" w:rsidRPr="005422B9" w:rsidRDefault="00B01F15" w:rsidP="00B675C9">
            <w:pPr>
              <w:keepNext/>
              <w:overflowPunct w:val="0"/>
              <w:autoSpaceDE w:val="0"/>
              <w:autoSpaceDN w:val="0"/>
              <w:adjustRightInd w:val="0"/>
              <w:spacing w:after="0"/>
              <w:textAlignment w:val="baseline"/>
              <w:rPr>
                <w:sz w:val="21"/>
                <w:szCs w:val="21"/>
                <w:lang w:val="en-AU"/>
              </w:rPr>
            </w:pPr>
          </w:p>
        </w:tc>
        <w:tc>
          <w:tcPr>
            <w:tcW w:w="515" w:type="pct"/>
            <w:vMerge/>
            <w:shd w:val="clear" w:color="auto" w:fill="auto"/>
          </w:tcPr>
          <w:p w14:paraId="1E17074C" w14:textId="77777777" w:rsidR="00B01F15" w:rsidRPr="005422B9" w:rsidRDefault="00B01F15" w:rsidP="00B675C9">
            <w:pPr>
              <w:keepNext/>
              <w:overflowPunct w:val="0"/>
              <w:autoSpaceDE w:val="0"/>
              <w:autoSpaceDN w:val="0"/>
              <w:adjustRightInd w:val="0"/>
              <w:spacing w:after="0"/>
              <w:textAlignment w:val="baseline"/>
              <w:rPr>
                <w:sz w:val="21"/>
                <w:szCs w:val="21"/>
                <w:lang w:val="en-AU"/>
              </w:rPr>
            </w:pPr>
          </w:p>
        </w:tc>
      </w:tr>
      <w:tr w:rsidR="00B01F15" w:rsidRPr="005422B9" w14:paraId="47698EF6" w14:textId="77777777" w:rsidTr="00B01F15">
        <w:tc>
          <w:tcPr>
            <w:tcW w:w="1266" w:type="pct"/>
            <w:vMerge/>
            <w:shd w:val="clear" w:color="auto" w:fill="auto"/>
          </w:tcPr>
          <w:p w14:paraId="5FFE31B7" w14:textId="77777777" w:rsidR="00B01F15" w:rsidRPr="005422B9" w:rsidRDefault="00B01F15" w:rsidP="00B675C9">
            <w:pPr>
              <w:keepNext/>
              <w:overflowPunct w:val="0"/>
              <w:autoSpaceDE w:val="0"/>
              <w:autoSpaceDN w:val="0"/>
              <w:adjustRightInd w:val="0"/>
              <w:spacing w:after="0"/>
              <w:textAlignment w:val="baseline"/>
              <w:rPr>
                <w:sz w:val="21"/>
                <w:szCs w:val="21"/>
                <w:lang w:val="en-AU"/>
              </w:rPr>
            </w:pPr>
          </w:p>
        </w:tc>
        <w:tc>
          <w:tcPr>
            <w:tcW w:w="689" w:type="pct"/>
            <w:vMerge/>
            <w:shd w:val="clear" w:color="auto" w:fill="auto"/>
            <w:vAlign w:val="bottom"/>
          </w:tcPr>
          <w:p w14:paraId="35C6151E"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p>
        </w:tc>
        <w:tc>
          <w:tcPr>
            <w:tcW w:w="777" w:type="pct"/>
            <w:shd w:val="clear" w:color="auto" w:fill="auto"/>
            <w:vAlign w:val="bottom"/>
          </w:tcPr>
          <w:p w14:paraId="0B24FF5C"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n</w:t>
            </w:r>
          </w:p>
        </w:tc>
        <w:tc>
          <w:tcPr>
            <w:tcW w:w="532" w:type="pct"/>
            <w:shd w:val="clear" w:color="auto" w:fill="auto"/>
            <w:vAlign w:val="bottom"/>
          </w:tcPr>
          <w:p w14:paraId="25652FA2" w14:textId="77777777" w:rsidR="00B01F15" w:rsidRPr="005422B9" w:rsidRDefault="00B01F15" w:rsidP="00B675C9">
            <w:pPr>
              <w:keepNext/>
              <w:overflowPunct w:val="0"/>
              <w:autoSpaceDE w:val="0"/>
              <w:autoSpaceDN w:val="0"/>
              <w:adjustRightInd w:val="0"/>
              <w:spacing w:after="0"/>
              <w:jc w:val="center"/>
              <w:textAlignment w:val="baseline"/>
              <w:rPr>
                <w:b/>
                <w:bCs/>
                <w:sz w:val="21"/>
                <w:szCs w:val="21"/>
                <w:lang w:val="en-AU"/>
              </w:rPr>
            </w:pPr>
            <w:r w:rsidRPr="005422B9">
              <w:rPr>
                <w:b/>
                <w:bCs/>
                <w:sz w:val="21"/>
                <w:szCs w:val="21"/>
                <w:lang w:val="en-AU"/>
              </w:rPr>
              <w:t>n</w:t>
            </w:r>
          </w:p>
        </w:tc>
        <w:tc>
          <w:tcPr>
            <w:tcW w:w="534" w:type="pct"/>
            <w:vMerge/>
            <w:shd w:val="clear" w:color="auto" w:fill="auto"/>
          </w:tcPr>
          <w:p w14:paraId="35E13112" w14:textId="77777777" w:rsidR="00B01F15" w:rsidRPr="005422B9" w:rsidRDefault="00B01F15" w:rsidP="00B675C9">
            <w:pPr>
              <w:keepNext/>
              <w:overflowPunct w:val="0"/>
              <w:autoSpaceDE w:val="0"/>
              <w:autoSpaceDN w:val="0"/>
              <w:adjustRightInd w:val="0"/>
              <w:spacing w:after="0"/>
              <w:textAlignment w:val="baseline"/>
              <w:rPr>
                <w:sz w:val="21"/>
                <w:szCs w:val="21"/>
                <w:lang w:val="en-AU"/>
              </w:rPr>
            </w:pPr>
          </w:p>
        </w:tc>
        <w:tc>
          <w:tcPr>
            <w:tcW w:w="687" w:type="pct"/>
            <w:vMerge/>
            <w:shd w:val="clear" w:color="auto" w:fill="auto"/>
          </w:tcPr>
          <w:p w14:paraId="1B244380" w14:textId="77777777" w:rsidR="00B01F15" w:rsidRPr="005422B9" w:rsidRDefault="00B01F15" w:rsidP="00B675C9">
            <w:pPr>
              <w:keepNext/>
              <w:overflowPunct w:val="0"/>
              <w:autoSpaceDE w:val="0"/>
              <w:autoSpaceDN w:val="0"/>
              <w:adjustRightInd w:val="0"/>
              <w:spacing w:after="0"/>
              <w:textAlignment w:val="baseline"/>
              <w:rPr>
                <w:sz w:val="21"/>
                <w:szCs w:val="21"/>
                <w:lang w:val="en-AU"/>
              </w:rPr>
            </w:pPr>
          </w:p>
        </w:tc>
        <w:tc>
          <w:tcPr>
            <w:tcW w:w="515" w:type="pct"/>
            <w:vMerge/>
            <w:shd w:val="clear" w:color="auto" w:fill="auto"/>
          </w:tcPr>
          <w:p w14:paraId="593E55AC" w14:textId="77777777" w:rsidR="00B01F15" w:rsidRPr="005422B9" w:rsidRDefault="00B01F15" w:rsidP="00B675C9">
            <w:pPr>
              <w:keepNext/>
              <w:overflowPunct w:val="0"/>
              <w:autoSpaceDE w:val="0"/>
              <w:autoSpaceDN w:val="0"/>
              <w:adjustRightInd w:val="0"/>
              <w:spacing w:after="0"/>
              <w:textAlignment w:val="baseline"/>
              <w:rPr>
                <w:sz w:val="21"/>
                <w:szCs w:val="21"/>
                <w:lang w:val="en-AU"/>
              </w:rPr>
            </w:pPr>
          </w:p>
        </w:tc>
      </w:tr>
      <w:tr w:rsidR="00B01F15" w:rsidRPr="005422B9" w14:paraId="4E21A624" w14:textId="77777777" w:rsidTr="00B01F15">
        <w:tc>
          <w:tcPr>
            <w:tcW w:w="5000" w:type="pct"/>
            <w:gridSpan w:val="7"/>
            <w:shd w:val="clear" w:color="auto" w:fill="auto"/>
          </w:tcPr>
          <w:p w14:paraId="379E474A" w14:textId="77777777" w:rsidR="00B01F15" w:rsidRPr="005422B9" w:rsidRDefault="00B01F15" w:rsidP="00B675C9">
            <w:pPr>
              <w:keepNext/>
              <w:overflowPunct w:val="0"/>
              <w:autoSpaceDE w:val="0"/>
              <w:autoSpaceDN w:val="0"/>
              <w:adjustRightInd w:val="0"/>
              <w:spacing w:after="0"/>
              <w:textAlignment w:val="baseline"/>
              <w:rPr>
                <w:b/>
                <w:bCs/>
                <w:sz w:val="21"/>
                <w:szCs w:val="21"/>
                <w:lang w:val="en-AU"/>
              </w:rPr>
            </w:pPr>
            <w:r w:rsidRPr="005422B9">
              <w:rPr>
                <w:b/>
                <w:bCs/>
                <w:sz w:val="21"/>
                <w:szCs w:val="21"/>
                <w:lang w:val="en-AU"/>
              </w:rPr>
              <w:t>Primary endpoint</w:t>
            </w:r>
          </w:p>
        </w:tc>
      </w:tr>
      <w:tr w:rsidR="00B01F15" w:rsidRPr="005422B9" w14:paraId="11DAA8E8" w14:textId="77777777" w:rsidTr="00B01F15">
        <w:tc>
          <w:tcPr>
            <w:tcW w:w="1266" w:type="pct"/>
            <w:shd w:val="clear" w:color="auto" w:fill="auto"/>
          </w:tcPr>
          <w:p w14:paraId="7BEF9F1F" w14:textId="77777777" w:rsidR="00B01F15" w:rsidRPr="005422B9" w:rsidRDefault="00B01F15" w:rsidP="00FB0DC1">
            <w:pPr>
              <w:keepNext/>
              <w:overflowPunct w:val="0"/>
              <w:autoSpaceDE w:val="0"/>
              <w:autoSpaceDN w:val="0"/>
              <w:adjustRightInd w:val="0"/>
              <w:spacing w:after="0"/>
              <w:jc w:val="left"/>
              <w:textAlignment w:val="baseline"/>
              <w:rPr>
                <w:sz w:val="21"/>
                <w:szCs w:val="21"/>
                <w:lang w:val="en-AU"/>
              </w:rPr>
            </w:pPr>
            <w:r w:rsidRPr="005422B9">
              <w:rPr>
                <w:sz w:val="21"/>
                <w:szCs w:val="21"/>
                <w:lang w:val="en-AU"/>
              </w:rPr>
              <w:t>First case of confirmed VT pneumococcal CAP</w:t>
            </w:r>
          </w:p>
        </w:tc>
        <w:tc>
          <w:tcPr>
            <w:tcW w:w="689" w:type="pct"/>
            <w:shd w:val="clear" w:color="auto" w:fill="auto"/>
          </w:tcPr>
          <w:p w14:paraId="32B8659E"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139</w:t>
            </w:r>
          </w:p>
        </w:tc>
        <w:tc>
          <w:tcPr>
            <w:tcW w:w="777" w:type="pct"/>
            <w:shd w:val="clear" w:color="auto" w:fill="auto"/>
          </w:tcPr>
          <w:p w14:paraId="671F33E4"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49</w:t>
            </w:r>
          </w:p>
        </w:tc>
        <w:tc>
          <w:tcPr>
            <w:tcW w:w="532" w:type="pct"/>
            <w:shd w:val="clear" w:color="auto" w:fill="auto"/>
          </w:tcPr>
          <w:p w14:paraId="33169556"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90</w:t>
            </w:r>
          </w:p>
        </w:tc>
        <w:tc>
          <w:tcPr>
            <w:tcW w:w="534" w:type="pct"/>
            <w:shd w:val="clear" w:color="auto" w:fill="auto"/>
          </w:tcPr>
          <w:p w14:paraId="046BC01D"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45.6</w:t>
            </w:r>
          </w:p>
        </w:tc>
        <w:tc>
          <w:tcPr>
            <w:tcW w:w="687" w:type="pct"/>
            <w:shd w:val="clear" w:color="auto" w:fill="auto"/>
          </w:tcPr>
          <w:p w14:paraId="34B5D108"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(21.8, 62.5)</w:t>
            </w:r>
          </w:p>
        </w:tc>
        <w:tc>
          <w:tcPr>
            <w:tcW w:w="515" w:type="pct"/>
            <w:shd w:val="clear" w:color="auto" w:fill="auto"/>
          </w:tcPr>
          <w:p w14:paraId="3E20F819"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0.0006</w:t>
            </w:r>
          </w:p>
        </w:tc>
      </w:tr>
      <w:tr w:rsidR="00B01F15" w:rsidRPr="005422B9" w14:paraId="53CD6FDE" w14:textId="77777777" w:rsidTr="00B01F15">
        <w:tc>
          <w:tcPr>
            <w:tcW w:w="5000" w:type="pct"/>
            <w:gridSpan w:val="7"/>
            <w:shd w:val="clear" w:color="auto" w:fill="auto"/>
          </w:tcPr>
          <w:p w14:paraId="0C8E8D3F" w14:textId="77777777" w:rsidR="00B01F15" w:rsidRPr="005422B9" w:rsidRDefault="00B01F15" w:rsidP="00B675C9">
            <w:pPr>
              <w:keepNext/>
              <w:overflowPunct w:val="0"/>
              <w:autoSpaceDE w:val="0"/>
              <w:autoSpaceDN w:val="0"/>
              <w:adjustRightInd w:val="0"/>
              <w:spacing w:after="0"/>
              <w:jc w:val="left"/>
              <w:textAlignment w:val="baseline"/>
              <w:rPr>
                <w:b/>
                <w:bCs/>
                <w:sz w:val="21"/>
                <w:szCs w:val="21"/>
                <w:lang w:val="en-AU"/>
              </w:rPr>
            </w:pPr>
            <w:r w:rsidRPr="005422B9">
              <w:rPr>
                <w:b/>
                <w:bCs/>
                <w:sz w:val="21"/>
                <w:szCs w:val="21"/>
                <w:lang w:val="en-AU"/>
              </w:rPr>
              <w:t>Secondary endpoints</w:t>
            </w:r>
          </w:p>
        </w:tc>
      </w:tr>
      <w:tr w:rsidR="00B01F15" w:rsidRPr="005422B9" w14:paraId="22EFABFA" w14:textId="77777777" w:rsidTr="00B01F15">
        <w:tc>
          <w:tcPr>
            <w:tcW w:w="1266" w:type="pct"/>
            <w:shd w:val="clear" w:color="auto" w:fill="auto"/>
          </w:tcPr>
          <w:p w14:paraId="0B498A84" w14:textId="77777777" w:rsidR="00B01F15" w:rsidRPr="005422B9" w:rsidRDefault="00B01F15" w:rsidP="00FB0DC1">
            <w:pPr>
              <w:keepNext/>
              <w:overflowPunct w:val="0"/>
              <w:autoSpaceDE w:val="0"/>
              <w:autoSpaceDN w:val="0"/>
              <w:adjustRightInd w:val="0"/>
              <w:spacing w:after="0"/>
              <w:jc w:val="left"/>
              <w:textAlignment w:val="baseline"/>
              <w:rPr>
                <w:sz w:val="21"/>
                <w:szCs w:val="21"/>
                <w:lang w:val="en-AU"/>
              </w:rPr>
            </w:pPr>
            <w:r w:rsidRPr="005422B9">
              <w:rPr>
                <w:sz w:val="21"/>
                <w:szCs w:val="21"/>
                <w:lang w:val="en-AU"/>
              </w:rPr>
              <w:t xml:space="preserve">First episode of confirmed </w:t>
            </w:r>
            <w:r w:rsidRPr="005422B9">
              <w:rPr>
                <w:bCs/>
                <w:sz w:val="21"/>
                <w:szCs w:val="21"/>
                <w:lang w:val="en-AU"/>
              </w:rPr>
              <w:t>NB/NI VT pneumococcal CAP</w:t>
            </w:r>
          </w:p>
        </w:tc>
        <w:tc>
          <w:tcPr>
            <w:tcW w:w="689" w:type="pct"/>
            <w:shd w:val="clear" w:color="auto" w:fill="auto"/>
          </w:tcPr>
          <w:p w14:paraId="1F53AEE4"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93</w:t>
            </w:r>
          </w:p>
        </w:tc>
        <w:tc>
          <w:tcPr>
            <w:tcW w:w="777" w:type="pct"/>
            <w:shd w:val="clear" w:color="auto" w:fill="auto"/>
          </w:tcPr>
          <w:p w14:paraId="6869187F"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33</w:t>
            </w:r>
          </w:p>
        </w:tc>
        <w:tc>
          <w:tcPr>
            <w:tcW w:w="532" w:type="pct"/>
            <w:shd w:val="clear" w:color="auto" w:fill="auto"/>
          </w:tcPr>
          <w:p w14:paraId="22DDBEC5"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60</w:t>
            </w:r>
          </w:p>
        </w:tc>
        <w:tc>
          <w:tcPr>
            <w:tcW w:w="534" w:type="pct"/>
            <w:shd w:val="clear" w:color="auto" w:fill="auto"/>
          </w:tcPr>
          <w:p w14:paraId="2FEC3DFF"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45</w:t>
            </w:r>
          </w:p>
        </w:tc>
        <w:tc>
          <w:tcPr>
            <w:tcW w:w="687" w:type="pct"/>
            <w:shd w:val="clear" w:color="auto" w:fill="auto"/>
          </w:tcPr>
          <w:p w14:paraId="15131C7B"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(14.2, 65.3)</w:t>
            </w:r>
          </w:p>
        </w:tc>
        <w:tc>
          <w:tcPr>
            <w:tcW w:w="515" w:type="pct"/>
            <w:shd w:val="clear" w:color="auto" w:fill="auto"/>
          </w:tcPr>
          <w:p w14:paraId="1938610B"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0.0067</w:t>
            </w:r>
          </w:p>
        </w:tc>
      </w:tr>
      <w:tr w:rsidR="00B01F15" w:rsidRPr="005422B9" w14:paraId="54E51E7F" w14:textId="77777777" w:rsidTr="00B01F15">
        <w:tc>
          <w:tcPr>
            <w:tcW w:w="1266" w:type="pct"/>
            <w:tcBorders>
              <w:bottom w:val="single" w:sz="4" w:space="0" w:color="auto"/>
            </w:tcBorders>
            <w:shd w:val="clear" w:color="auto" w:fill="auto"/>
          </w:tcPr>
          <w:p w14:paraId="5FA56C83" w14:textId="77777777" w:rsidR="00B01F15" w:rsidRPr="005422B9" w:rsidRDefault="00B01F15" w:rsidP="00FB0DC1">
            <w:pPr>
              <w:keepNext/>
              <w:overflowPunct w:val="0"/>
              <w:autoSpaceDE w:val="0"/>
              <w:autoSpaceDN w:val="0"/>
              <w:adjustRightInd w:val="0"/>
              <w:spacing w:after="0"/>
              <w:jc w:val="left"/>
              <w:textAlignment w:val="baseline"/>
              <w:rPr>
                <w:sz w:val="21"/>
                <w:szCs w:val="21"/>
                <w:lang w:val="en-AU"/>
              </w:rPr>
            </w:pPr>
            <w:r w:rsidRPr="005422B9">
              <w:rPr>
                <w:bCs/>
                <w:sz w:val="21"/>
                <w:szCs w:val="21"/>
                <w:lang w:val="en-AU"/>
              </w:rPr>
              <w:t>First episode of VT-IPD</w:t>
            </w:r>
          </w:p>
        </w:tc>
        <w:tc>
          <w:tcPr>
            <w:tcW w:w="689" w:type="pct"/>
            <w:tcBorders>
              <w:bottom w:val="single" w:sz="4" w:space="0" w:color="auto"/>
            </w:tcBorders>
            <w:shd w:val="clear" w:color="auto" w:fill="auto"/>
          </w:tcPr>
          <w:p w14:paraId="6840BD7F"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35</w:t>
            </w:r>
          </w:p>
        </w:tc>
        <w:tc>
          <w:tcPr>
            <w:tcW w:w="777" w:type="pct"/>
            <w:tcBorders>
              <w:bottom w:val="single" w:sz="4" w:space="0" w:color="auto"/>
            </w:tcBorders>
            <w:shd w:val="clear" w:color="auto" w:fill="auto"/>
          </w:tcPr>
          <w:p w14:paraId="16B29E29"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7</w:t>
            </w:r>
          </w:p>
        </w:tc>
        <w:tc>
          <w:tcPr>
            <w:tcW w:w="532" w:type="pct"/>
            <w:tcBorders>
              <w:bottom w:val="single" w:sz="4" w:space="0" w:color="auto"/>
            </w:tcBorders>
            <w:shd w:val="clear" w:color="auto" w:fill="auto"/>
          </w:tcPr>
          <w:p w14:paraId="5D6A4962"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28</w:t>
            </w:r>
          </w:p>
        </w:tc>
        <w:tc>
          <w:tcPr>
            <w:tcW w:w="534" w:type="pct"/>
            <w:tcBorders>
              <w:bottom w:val="single" w:sz="4" w:space="0" w:color="auto"/>
            </w:tcBorders>
            <w:shd w:val="clear" w:color="auto" w:fill="auto"/>
          </w:tcPr>
          <w:p w14:paraId="518E212C"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75</w:t>
            </w:r>
          </w:p>
        </w:tc>
        <w:tc>
          <w:tcPr>
            <w:tcW w:w="687" w:type="pct"/>
            <w:tcBorders>
              <w:bottom w:val="single" w:sz="4" w:space="0" w:color="auto"/>
            </w:tcBorders>
            <w:shd w:val="clear" w:color="auto" w:fill="auto"/>
          </w:tcPr>
          <w:p w14:paraId="549B7664"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(41.1, 90.9)</w:t>
            </w:r>
          </w:p>
        </w:tc>
        <w:tc>
          <w:tcPr>
            <w:tcW w:w="515" w:type="pct"/>
            <w:tcBorders>
              <w:bottom w:val="single" w:sz="4" w:space="0" w:color="auto"/>
            </w:tcBorders>
            <w:shd w:val="clear" w:color="auto" w:fill="auto"/>
          </w:tcPr>
          <w:p w14:paraId="6B19B943" w14:textId="77777777" w:rsidR="00B01F15" w:rsidRPr="005422B9" w:rsidRDefault="00B01F15" w:rsidP="00B675C9">
            <w:pPr>
              <w:keepNext/>
              <w:overflowPunct w:val="0"/>
              <w:autoSpaceDE w:val="0"/>
              <w:autoSpaceDN w:val="0"/>
              <w:adjustRightInd w:val="0"/>
              <w:spacing w:after="0"/>
              <w:jc w:val="center"/>
              <w:textAlignment w:val="baseline"/>
              <w:rPr>
                <w:sz w:val="21"/>
                <w:szCs w:val="21"/>
                <w:lang w:val="en-AU"/>
              </w:rPr>
            </w:pPr>
            <w:r w:rsidRPr="005422B9">
              <w:rPr>
                <w:sz w:val="21"/>
                <w:szCs w:val="21"/>
                <w:lang w:val="en-AU"/>
              </w:rPr>
              <w:t>0.0005</w:t>
            </w:r>
          </w:p>
        </w:tc>
      </w:tr>
      <w:tr w:rsidR="00B01F15" w:rsidRPr="005422B9" w14:paraId="662B65F8" w14:textId="77777777" w:rsidTr="00B01F15">
        <w:tc>
          <w:tcPr>
            <w:tcW w:w="5000" w:type="pct"/>
            <w:gridSpan w:val="7"/>
            <w:tcBorders>
              <w:left w:val="nil"/>
              <w:bottom w:val="nil"/>
              <w:right w:val="nil"/>
            </w:tcBorders>
            <w:shd w:val="clear" w:color="auto" w:fill="auto"/>
          </w:tcPr>
          <w:p w14:paraId="74CFE259" w14:textId="74503A17" w:rsidR="00B01F15" w:rsidRPr="005422B9" w:rsidRDefault="00B01F15" w:rsidP="00B675C9">
            <w:pPr>
              <w:keepNext/>
              <w:overflowPunct w:val="0"/>
              <w:autoSpaceDE w:val="0"/>
              <w:autoSpaceDN w:val="0"/>
              <w:adjustRightInd w:val="0"/>
              <w:spacing w:after="0"/>
              <w:textAlignment w:val="baseline"/>
              <w:rPr>
                <w:sz w:val="18"/>
                <w:szCs w:val="18"/>
                <w:lang w:val="en-AU"/>
              </w:rPr>
            </w:pPr>
            <w:r w:rsidRPr="005422B9">
              <w:rPr>
                <w:sz w:val="18"/>
                <w:szCs w:val="18"/>
                <w:lang w:val="en-AU"/>
              </w:rPr>
              <w:t xml:space="preserve">Abbreviations: CAP = community-acquired pneumonia; CAPiTA = Community-Acquired Pneumonia </w:t>
            </w:r>
            <w:r w:rsidR="0016709B" w:rsidRPr="005422B9">
              <w:rPr>
                <w:sz w:val="18"/>
                <w:szCs w:val="18"/>
                <w:lang w:val="en-AU"/>
              </w:rPr>
              <w:t>Immunisation</w:t>
            </w:r>
            <w:r w:rsidRPr="005422B9">
              <w:rPr>
                <w:sz w:val="18"/>
                <w:szCs w:val="18"/>
                <w:lang w:val="en-AU"/>
              </w:rPr>
              <w:t xml:space="preserve"> Trial in Adults; CI = confidence interval; N = number of participants; NB/NI = non</w:t>
            </w:r>
            <w:r w:rsidRPr="005422B9">
              <w:rPr>
                <w:sz w:val="18"/>
                <w:szCs w:val="18"/>
                <w:lang w:val="en-AU"/>
              </w:rPr>
              <w:noBreakHyphen/>
              <w:t>bacteraemic/non</w:t>
            </w:r>
            <w:r w:rsidRPr="005422B9">
              <w:rPr>
                <w:sz w:val="18"/>
                <w:szCs w:val="18"/>
                <w:lang w:val="en-AU"/>
              </w:rPr>
              <w:noBreakHyphen/>
              <w:t>invasive; IPD = invasive pneumococcal disease; VE = vaccine efficacy; VT = vaccine</w:t>
            </w:r>
            <w:r w:rsidRPr="005422B9">
              <w:rPr>
                <w:sz w:val="18"/>
                <w:szCs w:val="18"/>
                <w:lang w:val="en-AU"/>
              </w:rPr>
              <w:noBreakHyphen/>
              <w:t>type.</w:t>
            </w:r>
          </w:p>
        </w:tc>
      </w:tr>
    </w:tbl>
    <w:p w14:paraId="29F3BBD4" w14:textId="77777777" w:rsidR="00B01F15" w:rsidRPr="005422B9" w:rsidRDefault="00B01F15" w:rsidP="00023618">
      <w:pPr>
        <w:spacing w:after="0"/>
        <w:rPr>
          <w:szCs w:val="22"/>
          <w:lang w:val="en-AU"/>
        </w:rPr>
      </w:pPr>
    </w:p>
    <w:p w14:paraId="710E111C" w14:textId="4BDB1972" w:rsidR="00B01F15" w:rsidRPr="005422B9" w:rsidRDefault="00023618" w:rsidP="00B01F15">
      <w:pPr>
        <w:autoSpaceDE w:val="0"/>
        <w:autoSpaceDN w:val="0"/>
        <w:adjustRightInd w:val="0"/>
        <w:rPr>
          <w:rFonts w:eastAsia="TimesNewRoman"/>
          <w:color w:val="000000"/>
          <w:szCs w:val="22"/>
          <w:lang w:val="en-AU"/>
        </w:rPr>
      </w:pPr>
      <w:r w:rsidRPr="005422B9">
        <w:rPr>
          <w:iCs/>
          <w:szCs w:val="24"/>
          <w:lang w:val="en-AU"/>
        </w:rPr>
        <w:t>A post-hoc analysis was used to estimate the following public health outcomes against clinical CAP (as defined in the CAPiTA study, and based on clinical findings regardless of radiologic infiltrate or etiologic confirmation): vaccine efficacy, incidence rate reduction and number needed to vaccinate (see Table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
        <w:gridCol w:w="1294"/>
        <w:gridCol w:w="988"/>
        <w:gridCol w:w="1524"/>
        <w:gridCol w:w="1298"/>
        <w:gridCol w:w="988"/>
        <w:gridCol w:w="1269"/>
        <w:gridCol w:w="702"/>
      </w:tblGrid>
      <w:tr w:rsidR="00B01F15" w:rsidRPr="005422B9" w14:paraId="058FE257" w14:textId="77777777" w:rsidTr="00B01F15">
        <w:tc>
          <w:tcPr>
            <w:tcW w:w="5000" w:type="pct"/>
            <w:gridSpan w:val="8"/>
            <w:tcBorders>
              <w:top w:val="nil"/>
              <w:left w:val="nil"/>
              <w:right w:val="nil"/>
            </w:tcBorders>
            <w:shd w:val="clear" w:color="auto" w:fill="auto"/>
          </w:tcPr>
          <w:p w14:paraId="52A10028" w14:textId="77777777" w:rsidR="00B01F15" w:rsidRPr="005422B9" w:rsidRDefault="00B01F15" w:rsidP="001B6CDF">
            <w:pPr>
              <w:keepNext/>
              <w:tabs>
                <w:tab w:val="left" w:pos="1029"/>
              </w:tabs>
              <w:spacing w:after="0"/>
              <w:rPr>
                <w:b/>
                <w:szCs w:val="22"/>
                <w:lang w:val="en-AU"/>
              </w:rPr>
            </w:pPr>
            <w:r w:rsidRPr="005422B9">
              <w:rPr>
                <w:b/>
                <w:szCs w:val="22"/>
                <w:lang w:val="en-AU"/>
              </w:rPr>
              <w:t xml:space="preserve">Table 4. </w:t>
            </w:r>
            <w:r w:rsidRPr="005422B9">
              <w:rPr>
                <w:b/>
                <w:szCs w:val="22"/>
                <w:lang w:val="en-AU"/>
              </w:rPr>
              <w:tab/>
              <w:t>Vaccine efficacy against clinical CAP</w:t>
            </w:r>
            <w:r w:rsidRPr="005422B9">
              <w:rPr>
                <w:b/>
                <w:szCs w:val="22"/>
                <w:vertAlign w:val="superscript"/>
                <w:lang w:val="en-AU"/>
              </w:rPr>
              <w:t>*</w:t>
            </w:r>
          </w:p>
        </w:tc>
      </w:tr>
      <w:tr w:rsidR="00B01F15" w:rsidRPr="005422B9" w14:paraId="7F4E8E9E" w14:textId="77777777" w:rsidTr="00B675C9">
        <w:tc>
          <w:tcPr>
            <w:tcW w:w="534" w:type="pct"/>
            <w:vMerge w:val="restart"/>
            <w:shd w:val="clear" w:color="auto" w:fill="auto"/>
          </w:tcPr>
          <w:p w14:paraId="7BEAD4FB" w14:textId="77777777" w:rsidR="00B01F15" w:rsidRPr="005422B9" w:rsidRDefault="00B01F15" w:rsidP="001B6CDF">
            <w:pPr>
              <w:keepNext/>
              <w:spacing w:after="0"/>
              <w:rPr>
                <w:b/>
                <w:sz w:val="21"/>
                <w:szCs w:val="21"/>
                <w:lang w:val="en-AU"/>
              </w:rPr>
            </w:pPr>
          </w:p>
        </w:tc>
        <w:tc>
          <w:tcPr>
            <w:tcW w:w="1264" w:type="pct"/>
            <w:gridSpan w:val="2"/>
            <w:shd w:val="clear" w:color="auto" w:fill="auto"/>
            <w:vAlign w:val="bottom"/>
          </w:tcPr>
          <w:p w14:paraId="7AF995EB" w14:textId="77777777" w:rsidR="00B01F15" w:rsidRPr="005422B9" w:rsidRDefault="00B01F15" w:rsidP="001B6CDF">
            <w:pPr>
              <w:keepNext/>
              <w:spacing w:after="0"/>
              <w:jc w:val="center"/>
              <w:rPr>
                <w:b/>
                <w:sz w:val="21"/>
                <w:szCs w:val="21"/>
                <w:lang w:val="en-AU"/>
              </w:rPr>
            </w:pPr>
            <w:r w:rsidRPr="005422B9">
              <w:rPr>
                <w:b/>
                <w:sz w:val="21"/>
                <w:szCs w:val="21"/>
                <w:lang w:val="en-AU"/>
              </w:rPr>
              <w:t>Episodes</w:t>
            </w:r>
          </w:p>
        </w:tc>
        <w:tc>
          <w:tcPr>
            <w:tcW w:w="844" w:type="pct"/>
            <w:vMerge w:val="restart"/>
            <w:shd w:val="clear" w:color="auto" w:fill="auto"/>
            <w:vAlign w:val="bottom"/>
          </w:tcPr>
          <w:p w14:paraId="53F95893" w14:textId="77777777" w:rsidR="00B01F15" w:rsidRPr="005422B9" w:rsidRDefault="00B01F15" w:rsidP="001B6CDF">
            <w:pPr>
              <w:keepNext/>
              <w:spacing w:after="0"/>
              <w:jc w:val="center"/>
              <w:rPr>
                <w:b/>
                <w:sz w:val="21"/>
                <w:szCs w:val="21"/>
                <w:lang w:val="en-AU"/>
              </w:rPr>
            </w:pPr>
            <w:proofErr w:type="spellStart"/>
            <w:r w:rsidRPr="005422B9">
              <w:rPr>
                <w:b/>
                <w:sz w:val="21"/>
                <w:szCs w:val="21"/>
                <w:lang w:val="en-AU"/>
              </w:rPr>
              <w:t>VE</w:t>
            </w:r>
            <w:r w:rsidRPr="005422B9">
              <w:rPr>
                <w:b/>
                <w:sz w:val="21"/>
                <w:szCs w:val="21"/>
                <w:vertAlign w:val="superscript"/>
                <w:lang w:val="en-AU"/>
              </w:rPr>
              <w:t>a</w:t>
            </w:r>
            <w:proofErr w:type="spellEnd"/>
            <w:r w:rsidRPr="005422B9">
              <w:rPr>
                <w:b/>
                <w:sz w:val="21"/>
                <w:szCs w:val="21"/>
                <w:lang w:val="en-AU"/>
              </w:rPr>
              <w:t xml:space="preserve"> %</w:t>
            </w:r>
          </w:p>
          <w:p w14:paraId="1FC7D127" w14:textId="77777777" w:rsidR="00B01F15" w:rsidRPr="005422B9" w:rsidRDefault="00B01F15" w:rsidP="001B6CDF">
            <w:pPr>
              <w:keepNext/>
              <w:spacing w:after="0"/>
              <w:jc w:val="center"/>
              <w:rPr>
                <w:b/>
                <w:sz w:val="21"/>
                <w:szCs w:val="21"/>
                <w:lang w:val="en-AU"/>
              </w:rPr>
            </w:pPr>
            <w:r w:rsidRPr="005422B9">
              <w:rPr>
                <w:b/>
                <w:sz w:val="21"/>
                <w:szCs w:val="21"/>
                <w:lang w:val="en-AU"/>
              </w:rPr>
              <w:t>(95% CI)</w:t>
            </w:r>
          </w:p>
          <w:p w14:paraId="4FAF7F29" w14:textId="77777777" w:rsidR="00B01F15" w:rsidRPr="005422B9" w:rsidRDefault="00B01F15" w:rsidP="001B6CDF">
            <w:pPr>
              <w:keepNext/>
              <w:spacing w:after="0"/>
              <w:jc w:val="center"/>
              <w:rPr>
                <w:b/>
                <w:sz w:val="21"/>
                <w:szCs w:val="21"/>
                <w:lang w:val="en-AU"/>
              </w:rPr>
            </w:pPr>
            <w:r w:rsidRPr="005422B9">
              <w:rPr>
                <w:b/>
                <w:sz w:val="21"/>
                <w:szCs w:val="21"/>
                <w:lang w:val="en-AU"/>
              </w:rPr>
              <w:t>(1-sided p</w:t>
            </w:r>
            <w:r w:rsidRPr="005422B9">
              <w:rPr>
                <w:b/>
                <w:sz w:val="21"/>
                <w:szCs w:val="21"/>
                <w:lang w:val="en-AU"/>
              </w:rPr>
              <w:noBreakHyphen/>
              <w:t>value)</w:t>
            </w:r>
          </w:p>
        </w:tc>
        <w:tc>
          <w:tcPr>
            <w:tcW w:w="1266" w:type="pct"/>
            <w:gridSpan w:val="2"/>
            <w:shd w:val="clear" w:color="auto" w:fill="auto"/>
            <w:vAlign w:val="bottom"/>
          </w:tcPr>
          <w:p w14:paraId="1AAE385D" w14:textId="77777777" w:rsidR="00B01F15" w:rsidRPr="005422B9" w:rsidRDefault="00B01F15" w:rsidP="001B6CDF">
            <w:pPr>
              <w:keepNext/>
              <w:spacing w:after="0"/>
              <w:jc w:val="center"/>
              <w:rPr>
                <w:b/>
                <w:sz w:val="21"/>
                <w:szCs w:val="21"/>
                <w:lang w:val="en-AU"/>
              </w:rPr>
            </w:pPr>
            <w:r w:rsidRPr="005422B9">
              <w:rPr>
                <w:b/>
                <w:sz w:val="21"/>
                <w:szCs w:val="21"/>
                <w:lang w:val="en-AU"/>
              </w:rPr>
              <w:t>Incidence per 100,000 PYO</w:t>
            </w:r>
          </w:p>
        </w:tc>
        <w:tc>
          <w:tcPr>
            <w:tcW w:w="703" w:type="pct"/>
            <w:vMerge w:val="restart"/>
            <w:shd w:val="clear" w:color="auto" w:fill="auto"/>
            <w:vAlign w:val="bottom"/>
          </w:tcPr>
          <w:p w14:paraId="28B513EA" w14:textId="77777777" w:rsidR="00B01F15" w:rsidRPr="005422B9" w:rsidRDefault="00B01F15" w:rsidP="001B6CDF">
            <w:pPr>
              <w:keepNext/>
              <w:spacing w:after="0"/>
              <w:jc w:val="center"/>
              <w:rPr>
                <w:b/>
                <w:sz w:val="21"/>
                <w:szCs w:val="21"/>
                <w:lang w:val="en-AU"/>
              </w:rPr>
            </w:pPr>
            <w:proofErr w:type="spellStart"/>
            <w:r w:rsidRPr="005422B9">
              <w:rPr>
                <w:b/>
                <w:sz w:val="21"/>
                <w:szCs w:val="21"/>
                <w:lang w:val="en-AU"/>
              </w:rPr>
              <w:t>IRR</w:t>
            </w:r>
            <w:r w:rsidRPr="005422B9">
              <w:rPr>
                <w:b/>
                <w:sz w:val="21"/>
                <w:szCs w:val="21"/>
                <w:vertAlign w:val="superscript"/>
                <w:lang w:val="en-AU"/>
              </w:rPr>
              <w:t>b</w:t>
            </w:r>
            <w:proofErr w:type="spellEnd"/>
          </w:p>
          <w:p w14:paraId="45C9C077" w14:textId="77777777" w:rsidR="00B01F15" w:rsidRPr="005422B9" w:rsidRDefault="00B01F15" w:rsidP="001B6CDF">
            <w:pPr>
              <w:keepNext/>
              <w:spacing w:after="0"/>
              <w:jc w:val="center"/>
              <w:rPr>
                <w:b/>
                <w:sz w:val="21"/>
                <w:szCs w:val="21"/>
                <w:lang w:val="en-AU"/>
              </w:rPr>
            </w:pPr>
            <w:r w:rsidRPr="005422B9">
              <w:rPr>
                <w:b/>
                <w:sz w:val="21"/>
                <w:szCs w:val="21"/>
                <w:lang w:val="en-AU"/>
              </w:rPr>
              <w:t>(95% CI)</w:t>
            </w:r>
          </w:p>
        </w:tc>
        <w:tc>
          <w:tcPr>
            <w:tcW w:w="389" w:type="pct"/>
            <w:vMerge w:val="restart"/>
            <w:shd w:val="clear" w:color="auto" w:fill="auto"/>
            <w:vAlign w:val="bottom"/>
          </w:tcPr>
          <w:p w14:paraId="67E96181" w14:textId="77777777" w:rsidR="00B01F15" w:rsidRPr="005422B9" w:rsidRDefault="00B01F15" w:rsidP="001B6CDF">
            <w:pPr>
              <w:keepNext/>
              <w:spacing w:after="0"/>
              <w:jc w:val="center"/>
              <w:rPr>
                <w:b/>
                <w:sz w:val="21"/>
                <w:szCs w:val="21"/>
                <w:lang w:val="en-AU"/>
              </w:rPr>
            </w:pPr>
            <w:proofErr w:type="spellStart"/>
            <w:r w:rsidRPr="005422B9">
              <w:rPr>
                <w:b/>
                <w:sz w:val="21"/>
                <w:szCs w:val="21"/>
                <w:lang w:val="en-AU"/>
              </w:rPr>
              <w:t>NNV</w:t>
            </w:r>
            <w:r w:rsidRPr="005422B9">
              <w:rPr>
                <w:b/>
                <w:sz w:val="21"/>
                <w:szCs w:val="21"/>
                <w:vertAlign w:val="superscript"/>
                <w:lang w:val="en-AU"/>
              </w:rPr>
              <w:t>c</w:t>
            </w:r>
            <w:proofErr w:type="spellEnd"/>
          </w:p>
        </w:tc>
      </w:tr>
      <w:tr w:rsidR="00B01F15" w:rsidRPr="005422B9" w14:paraId="2CA47968" w14:textId="77777777" w:rsidTr="00B675C9">
        <w:tc>
          <w:tcPr>
            <w:tcW w:w="534" w:type="pct"/>
            <w:vMerge/>
            <w:shd w:val="clear" w:color="auto" w:fill="auto"/>
          </w:tcPr>
          <w:p w14:paraId="03C22DCD" w14:textId="77777777" w:rsidR="00B01F15" w:rsidRPr="005422B9" w:rsidRDefault="00B01F15" w:rsidP="001B6CDF">
            <w:pPr>
              <w:keepNext/>
              <w:spacing w:after="0"/>
              <w:rPr>
                <w:b/>
                <w:sz w:val="21"/>
                <w:szCs w:val="21"/>
                <w:lang w:val="en-AU"/>
              </w:rPr>
            </w:pPr>
          </w:p>
        </w:tc>
        <w:tc>
          <w:tcPr>
            <w:tcW w:w="717" w:type="pct"/>
            <w:shd w:val="clear" w:color="auto" w:fill="auto"/>
            <w:vAlign w:val="bottom"/>
          </w:tcPr>
          <w:p w14:paraId="4B63C240" w14:textId="77777777" w:rsidR="00B01F15" w:rsidRPr="005422B9" w:rsidRDefault="00B01F15" w:rsidP="001B6CDF">
            <w:pPr>
              <w:keepNext/>
              <w:spacing w:after="0"/>
              <w:jc w:val="center"/>
              <w:rPr>
                <w:b/>
                <w:sz w:val="21"/>
                <w:szCs w:val="21"/>
                <w:lang w:val="en-AU"/>
              </w:rPr>
            </w:pPr>
            <w:r w:rsidRPr="005422B9">
              <w:rPr>
                <w:b/>
                <w:sz w:val="21"/>
                <w:szCs w:val="21"/>
                <w:lang w:val="en-AU"/>
              </w:rPr>
              <w:t>Prevenar 13</w:t>
            </w:r>
          </w:p>
        </w:tc>
        <w:tc>
          <w:tcPr>
            <w:tcW w:w="547" w:type="pct"/>
            <w:shd w:val="clear" w:color="auto" w:fill="auto"/>
            <w:vAlign w:val="bottom"/>
          </w:tcPr>
          <w:p w14:paraId="4D1FF49B" w14:textId="77777777" w:rsidR="00B01F15" w:rsidRPr="005422B9" w:rsidRDefault="00B01F15" w:rsidP="001B6CDF">
            <w:pPr>
              <w:keepNext/>
              <w:spacing w:after="0"/>
              <w:jc w:val="center"/>
              <w:rPr>
                <w:b/>
                <w:sz w:val="21"/>
                <w:szCs w:val="21"/>
                <w:lang w:val="en-AU"/>
              </w:rPr>
            </w:pPr>
            <w:r w:rsidRPr="005422B9">
              <w:rPr>
                <w:b/>
                <w:sz w:val="21"/>
                <w:szCs w:val="21"/>
                <w:lang w:val="en-AU"/>
              </w:rPr>
              <w:t>Placebo</w:t>
            </w:r>
          </w:p>
        </w:tc>
        <w:tc>
          <w:tcPr>
            <w:tcW w:w="844" w:type="pct"/>
            <w:vMerge/>
            <w:shd w:val="clear" w:color="auto" w:fill="auto"/>
            <w:vAlign w:val="bottom"/>
          </w:tcPr>
          <w:p w14:paraId="5DF7B29A" w14:textId="77777777" w:rsidR="00B01F15" w:rsidRPr="005422B9" w:rsidRDefault="00B01F15" w:rsidP="001B6CDF">
            <w:pPr>
              <w:keepNext/>
              <w:spacing w:after="0"/>
              <w:jc w:val="center"/>
              <w:rPr>
                <w:b/>
                <w:sz w:val="21"/>
                <w:szCs w:val="21"/>
                <w:lang w:val="en-AU"/>
              </w:rPr>
            </w:pPr>
          </w:p>
        </w:tc>
        <w:tc>
          <w:tcPr>
            <w:tcW w:w="719" w:type="pct"/>
            <w:shd w:val="clear" w:color="auto" w:fill="auto"/>
            <w:vAlign w:val="bottom"/>
          </w:tcPr>
          <w:p w14:paraId="028BA50D" w14:textId="77777777" w:rsidR="00B01F15" w:rsidRPr="005422B9" w:rsidRDefault="00B01F15" w:rsidP="001B6CDF">
            <w:pPr>
              <w:keepNext/>
              <w:spacing w:after="0"/>
              <w:jc w:val="center"/>
              <w:rPr>
                <w:b/>
                <w:sz w:val="21"/>
                <w:szCs w:val="21"/>
                <w:lang w:val="en-AU"/>
              </w:rPr>
            </w:pPr>
            <w:r w:rsidRPr="005422B9">
              <w:rPr>
                <w:b/>
                <w:sz w:val="21"/>
                <w:szCs w:val="21"/>
                <w:lang w:val="en-AU"/>
              </w:rPr>
              <w:t>Prevenar 13</w:t>
            </w:r>
          </w:p>
        </w:tc>
        <w:tc>
          <w:tcPr>
            <w:tcW w:w="547" w:type="pct"/>
            <w:shd w:val="clear" w:color="auto" w:fill="auto"/>
            <w:vAlign w:val="bottom"/>
          </w:tcPr>
          <w:p w14:paraId="424794CD" w14:textId="77777777" w:rsidR="00B01F15" w:rsidRPr="005422B9" w:rsidRDefault="00B01F15" w:rsidP="001B6CDF">
            <w:pPr>
              <w:keepNext/>
              <w:spacing w:after="0"/>
              <w:jc w:val="center"/>
              <w:rPr>
                <w:b/>
                <w:sz w:val="21"/>
                <w:szCs w:val="21"/>
                <w:lang w:val="en-AU"/>
              </w:rPr>
            </w:pPr>
            <w:r w:rsidRPr="005422B9">
              <w:rPr>
                <w:b/>
                <w:sz w:val="21"/>
                <w:szCs w:val="21"/>
                <w:lang w:val="en-AU"/>
              </w:rPr>
              <w:t>Placebo</w:t>
            </w:r>
          </w:p>
        </w:tc>
        <w:tc>
          <w:tcPr>
            <w:tcW w:w="703" w:type="pct"/>
            <w:vMerge/>
            <w:shd w:val="clear" w:color="auto" w:fill="auto"/>
            <w:vAlign w:val="bottom"/>
          </w:tcPr>
          <w:p w14:paraId="4F245557" w14:textId="77777777" w:rsidR="00B01F15" w:rsidRPr="005422B9" w:rsidRDefault="00B01F15" w:rsidP="001B6CDF">
            <w:pPr>
              <w:keepNext/>
              <w:spacing w:after="0"/>
              <w:jc w:val="center"/>
              <w:rPr>
                <w:b/>
                <w:sz w:val="21"/>
                <w:szCs w:val="21"/>
                <w:lang w:val="en-AU"/>
              </w:rPr>
            </w:pPr>
          </w:p>
        </w:tc>
        <w:tc>
          <w:tcPr>
            <w:tcW w:w="389" w:type="pct"/>
            <w:vMerge/>
            <w:shd w:val="clear" w:color="auto" w:fill="auto"/>
            <w:vAlign w:val="bottom"/>
          </w:tcPr>
          <w:p w14:paraId="3FEAC56B" w14:textId="77777777" w:rsidR="00B01F15" w:rsidRPr="005422B9" w:rsidRDefault="00B01F15" w:rsidP="001B6CDF">
            <w:pPr>
              <w:keepNext/>
              <w:spacing w:after="0"/>
              <w:jc w:val="center"/>
              <w:rPr>
                <w:b/>
                <w:sz w:val="21"/>
                <w:szCs w:val="21"/>
                <w:lang w:val="en-AU"/>
              </w:rPr>
            </w:pPr>
          </w:p>
        </w:tc>
      </w:tr>
      <w:tr w:rsidR="00B01F15" w:rsidRPr="005422B9" w14:paraId="40BB9806" w14:textId="77777777" w:rsidTr="00B675C9">
        <w:tc>
          <w:tcPr>
            <w:tcW w:w="534" w:type="pct"/>
            <w:shd w:val="clear" w:color="auto" w:fill="auto"/>
          </w:tcPr>
          <w:p w14:paraId="3CD254F6" w14:textId="77777777" w:rsidR="00B01F15" w:rsidRPr="005422B9" w:rsidRDefault="00B01F15" w:rsidP="00B675C9">
            <w:pPr>
              <w:spacing w:after="0"/>
              <w:rPr>
                <w:sz w:val="21"/>
                <w:szCs w:val="21"/>
                <w:lang w:val="en-AU"/>
              </w:rPr>
            </w:pPr>
            <w:r w:rsidRPr="005422B9">
              <w:rPr>
                <w:sz w:val="21"/>
                <w:szCs w:val="21"/>
                <w:lang w:val="en-AU"/>
              </w:rPr>
              <w:t xml:space="preserve">All </w:t>
            </w:r>
            <w:proofErr w:type="gramStart"/>
            <w:r w:rsidRPr="005422B9">
              <w:rPr>
                <w:sz w:val="21"/>
                <w:szCs w:val="21"/>
                <w:lang w:val="en-AU"/>
              </w:rPr>
              <w:t>episodes</w:t>
            </w:r>
            <w:proofErr w:type="gramEnd"/>
            <w:r w:rsidRPr="005422B9">
              <w:rPr>
                <w:sz w:val="21"/>
                <w:szCs w:val="21"/>
                <w:lang w:val="en-AU"/>
              </w:rPr>
              <w:t xml:space="preserve"> analysis</w:t>
            </w:r>
          </w:p>
        </w:tc>
        <w:tc>
          <w:tcPr>
            <w:tcW w:w="717" w:type="pct"/>
            <w:shd w:val="clear" w:color="auto" w:fill="auto"/>
          </w:tcPr>
          <w:p w14:paraId="6C123476" w14:textId="77777777" w:rsidR="00B01F15" w:rsidRPr="005422B9" w:rsidRDefault="00B01F15" w:rsidP="00B675C9">
            <w:pPr>
              <w:spacing w:after="0"/>
              <w:jc w:val="center"/>
              <w:rPr>
                <w:sz w:val="21"/>
                <w:szCs w:val="21"/>
                <w:lang w:val="en-AU"/>
              </w:rPr>
            </w:pPr>
            <w:r w:rsidRPr="005422B9">
              <w:rPr>
                <w:sz w:val="21"/>
                <w:szCs w:val="21"/>
                <w:lang w:val="en-AU"/>
              </w:rPr>
              <w:t>1375</w:t>
            </w:r>
          </w:p>
        </w:tc>
        <w:tc>
          <w:tcPr>
            <w:tcW w:w="547" w:type="pct"/>
            <w:shd w:val="clear" w:color="auto" w:fill="auto"/>
          </w:tcPr>
          <w:p w14:paraId="11737D91" w14:textId="77777777" w:rsidR="00B01F15" w:rsidRPr="005422B9" w:rsidRDefault="00B01F15" w:rsidP="00B675C9">
            <w:pPr>
              <w:spacing w:after="0"/>
              <w:jc w:val="center"/>
              <w:rPr>
                <w:sz w:val="21"/>
                <w:szCs w:val="21"/>
                <w:lang w:val="en-AU"/>
              </w:rPr>
            </w:pPr>
            <w:r w:rsidRPr="005422B9">
              <w:rPr>
                <w:sz w:val="21"/>
                <w:szCs w:val="21"/>
                <w:lang w:val="en-AU"/>
              </w:rPr>
              <w:t>1495</w:t>
            </w:r>
          </w:p>
        </w:tc>
        <w:tc>
          <w:tcPr>
            <w:tcW w:w="844" w:type="pct"/>
            <w:shd w:val="clear" w:color="auto" w:fill="auto"/>
          </w:tcPr>
          <w:p w14:paraId="16A4F055" w14:textId="77777777" w:rsidR="00B01F15" w:rsidRPr="005422B9" w:rsidRDefault="00B01F15" w:rsidP="00B675C9">
            <w:pPr>
              <w:spacing w:after="0"/>
              <w:jc w:val="center"/>
              <w:rPr>
                <w:sz w:val="21"/>
                <w:szCs w:val="21"/>
                <w:lang w:val="en-AU"/>
              </w:rPr>
            </w:pPr>
            <w:r w:rsidRPr="005422B9">
              <w:rPr>
                <w:sz w:val="21"/>
                <w:szCs w:val="21"/>
                <w:lang w:val="en-AU"/>
              </w:rPr>
              <w:t xml:space="preserve">8.1 </w:t>
            </w:r>
          </w:p>
          <w:p w14:paraId="50A49963" w14:textId="77777777" w:rsidR="00B01F15" w:rsidRPr="005422B9" w:rsidRDefault="00B01F15" w:rsidP="00B675C9">
            <w:pPr>
              <w:spacing w:after="0"/>
              <w:jc w:val="center"/>
              <w:rPr>
                <w:sz w:val="21"/>
                <w:szCs w:val="21"/>
                <w:lang w:val="en-AU"/>
              </w:rPr>
            </w:pPr>
            <w:r w:rsidRPr="005422B9">
              <w:rPr>
                <w:sz w:val="21"/>
                <w:szCs w:val="21"/>
                <w:lang w:val="en-AU"/>
              </w:rPr>
              <w:t xml:space="preserve">(-0.6, 16.1) </w:t>
            </w:r>
          </w:p>
          <w:p w14:paraId="559D40C2" w14:textId="77777777" w:rsidR="00B01F15" w:rsidRPr="005422B9" w:rsidRDefault="00B01F15" w:rsidP="00B675C9">
            <w:pPr>
              <w:spacing w:after="0"/>
              <w:jc w:val="center"/>
              <w:rPr>
                <w:sz w:val="21"/>
                <w:szCs w:val="21"/>
                <w:lang w:val="en-AU"/>
              </w:rPr>
            </w:pPr>
            <w:r w:rsidRPr="005422B9">
              <w:rPr>
                <w:sz w:val="21"/>
                <w:szCs w:val="21"/>
                <w:lang w:val="en-AU"/>
              </w:rPr>
              <w:t>(0.034)</w:t>
            </w:r>
          </w:p>
        </w:tc>
        <w:tc>
          <w:tcPr>
            <w:tcW w:w="719" w:type="pct"/>
            <w:shd w:val="clear" w:color="auto" w:fill="auto"/>
          </w:tcPr>
          <w:p w14:paraId="0CCA2B7F" w14:textId="77777777" w:rsidR="00B01F15" w:rsidRPr="005422B9" w:rsidRDefault="00B01F15" w:rsidP="00B675C9">
            <w:pPr>
              <w:spacing w:after="0"/>
              <w:jc w:val="center"/>
              <w:rPr>
                <w:sz w:val="21"/>
                <w:szCs w:val="21"/>
                <w:lang w:val="en-AU"/>
              </w:rPr>
            </w:pPr>
            <w:r w:rsidRPr="005422B9">
              <w:rPr>
                <w:sz w:val="21"/>
                <w:szCs w:val="21"/>
                <w:lang w:val="en-AU"/>
              </w:rPr>
              <w:t>819.1</w:t>
            </w:r>
          </w:p>
        </w:tc>
        <w:tc>
          <w:tcPr>
            <w:tcW w:w="547" w:type="pct"/>
            <w:shd w:val="clear" w:color="auto" w:fill="auto"/>
          </w:tcPr>
          <w:p w14:paraId="42F35285" w14:textId="77777777" w:rsidR="00B01F15" w:rsidRPr="005422B9" w:rsidRDefault="00B01F15" w:rsidP="00B675C9">
            <w:pPr>
              <w:spacing w:after="0"/>
              <w:jc w:val="center"/>
              <w:rPr>
                <w:sz w:val="21"/>
                <w:szCs w:val="21"/>
                <w:lang w:val="en-AU"/>
              </w:rPr>
            </w:pPr>
            <w:r w:rsidRPr="005422B9">
              <w:rPr>
                <w:sz w:val="21"/>
                <w:szCs w:val="21"/>
                <w:lang w:val="en-AU"/>
              </w:rPr>
              <w:t>891.2</w:t>
            </w:r>
          </w:p>
        </w:tc>
        <w:tc>
          <w:tcPr>
            <w:tcW w:w="703" w:type="pct"/>
            <w:shd w:val="clear" w:color="auto" w:fill="auto"/>
          </w:tcPr>
          <w:p w14:paraId="0BB198AD" w14:textId="77777777" w:rsidR="00B01F15" w:rsidRPr="005422B9" w:rsidRDefault="00B01F15" w:rsidP="00B675C9">
            <w:pPr>
              <w:spacing w:after="0"/>
              <w:jc w:val="center"/>
              <w:rPr>
                <w:sz w:val="21"/>
                <w:szCs w:val="21"/>
                <w:lang w:val="en-AU"/>
              </w:rPr>
            </w:pPr>
            <w:r w:rsidRPr="005422B9">
              <w:rPr>
                <w:sz w:val="21"/>
                <w:szCs w:val="21"/>
                <w:lang w:val="en-AU"/>
              </w:rPr>
              <w:t xml:space="preserve">72.2 </w:t>
            </w:r>
          </w:p>
          <w:p w14:paraId="373AEEF4" w14:textId="77777777" w:rsidR="00B01F15" w:rsidRPr="005422B9" w:rsidRDefault="00B01F15" w:rsidP="00B675C9">
            <w:pPr>
              <w:spacing w:after="0"/>
              <w:jc w:val="center"/>
              <w:rPr>
                <w:sz w:val="21"/>
                <w:szCs w:val="21"/>
                <w:lang w:val="en-AU"/>
              </w:rPr>
            </w:pPr>
            <w:r w:rsidRPr="005422B9">
              <w:rPr>
                <w:sz w:val="21"/>
                <w:szCs w:val="21"/>
                <w:lang w:val="en-AU"/>
              </w:rPr>
              <w:t>(-5.3, 149.6)</w:t>
            </w:r>
          </w:p>
        </w:tc>
        <w:tc>
          <w:tcPr>
            <w:tcW w:w="389" w:type="pct"/>
            <w:shd w:val="clear" w:color="auto" w:fill="auto"/>
          </w:tcPr>
          <w:p w14:paraId="6AEDD2C4" w14:textId="77777777" w:rsidR="00B01F15" w:rsidRPr="005422B9" w:rsidRDefault="00B01F15" w:rsidP="00B675C9">
            <w:pPr>
              <w:spacing w:after="0"/>
              <w:jc w:val="center"/>
              <w:rPr>
                <w:sz w:val="21"/>
                <w:szCs w:val="21"/>
                <w:lang w:val="en-AU"/>
              </w:rPr>
            </w:pPr>
            <w:r w:rsidRPr="005422B9">
              <w:rPr>
                <w:sz w:val="21"/>
                <w:szCs w:val="21"/>
                <w:lang w:val="en-AU"/>
              </w:rPr>
              <w:t>277</w:t>
            </w:r>
          </w:p>
        </w:tc>
      </w:tr>
      <w:tr w:rsidR="00B01F15" w:rsidRPr="005422B9" w14:paraId="0EB5C753" w14:textId="77777777" w:rsidTr="00B675C9">
        <w:tc>
          <w:tcPr>
            <w:tcW w:w="534" w:type="pct"/>
            <w:tcBorders>
              <w:bottom w:val="single" w:sz="4" w:space="0" w:color="auto"/>
            </w:tcBorders>
            <w:shd w:val="clear" w:color="auto" w:fill="auto"/>
          </w:tcPr>
          <w:p w14:paraId="77C3EA87" w14:textId="77777777" w:rsidR="00B01F15" w:rsidRPr="005422B9" w:rsidRDefault="00B01F15" w:rsidP="00B675C9">
            <w:pPr>
              <w:spacing w:after="0"/>
              <w:rPr>
                <w:sz w:val="21"/>
                <w:szCs w:val="21"/>
                <w:lang w:val="en-AU"/>
              </w:rPr>
            </w:pPr>
            <w:r w:rsidRPr="005422B9">
              <w:rPr>
                <w:sz w:val="21"/>
                <w:szCs w:val="21"/>
                <w:lang w:val="en-AU"/>
              </w:rPr>
              <w:t>First episode analysis</w:t>
            </w:r>
          </w:p>
        </w:tc>
        <w:tc>
          <w:tcPr>
            <w:tcW w:w="717" w:type="pct"/>
            <w:tcBorders>
              <w:bottom w:val="single" w:sz="4" w:space="0" w:color="auto"/>
            </w:tcBorders>
            <w:shd w:val="clear" w:color="auto" w:fill="auto"/>
          </w:tcPr>
          <w:p w14:paraId="320940C5" w14:textId="77777777" w:rsidR="00B01F15" w:rsidRPr="005422B9" w:rsidRDefault="00B01F15" w:rsidP="00B675C9">
            <w:pPr>
              <w:spacing w:after="0"/>
              <w:jc w:val="center"/>
              <w:rPr>
                <w:sz w:val="21"/>
                <w:szCs w:val="21"/>
                <w:lang w:val="en-AU"/>
              </w:rPr>
            </w:pPr>
            <w:r w:rsidRPr="005422B9">
              <w:rPr>
                <w:sz w:val="21"/>
                <w:szCs w:val="21"/>
                <w:lang w:val="en-AU"/>
              </w:rPr>
              <w:t>1126</w:t>
            </w:r>
          </w:p>
        </w:tc>
        <w:tc>
          <w:tcPr>
            <w:tcW w:w="547" w:type="pct"/>
            <w:tcBorders>
              <w:bottom w:val="single" w:sz="4" w:space="0" w:color="auto"/>
            </w:tcBorders>
            <w:shd w:val="clear" w:color="auto" w:fill="auto"/>
          </w:tcPr>
          <w:p w14:paraId="280685A2" w14:textId="77777777" w:rsidR="00B01F15" w:rsidRPr="005422B9" w:rsidRDefault="00B01F15" w:rsidP="00B675C9">
            <w:pPr>
              <w:spacing w:after="0"/>
              <w:jc w:val="center"/>
              <w:rPr>
                <w:sz w:val="21"/>
                <w:szCs w:val="21"/>
                <w:lang w:val="en-AU"/>
              </w:rPr>
            </w:pPr>
            <w:r w:rsidRPr="005422B9">
              <w:rPr>
                <w:sz w:val="21"/>
                <w:szCs w:val="21"/>
                <w:lang w:val="en-AU"/>
              </w:rPr>
              <w:t>1214</w:t>
            </w:r>
          </w:p>
        </w:tc>
        <w:tc>
          <w:tcPr>
            <w:tcW w:w="844" w:type="pct"/>
            <w:tcBorders>
              <w:bottom w:val="single" w:sz="4" w:space="0" w:color="auto"/>
            </w:tcBorders>
            <w:shd w:val="clear" w:color="auto" w:fill="auto"/>
          </w:tcPr>
          <w:p w14:paraId="1D4156F2" w14:textId="77777777" w:rsidR="00B01F15" w:rsidRPr="005422B9" w:rsidRDefault="00B01F15" w:rsidP="00B675C9">
            <w:pPr>
              <w:spacing w:after="0"/>
              <w:jc w:val="center"/>
              <w:rPr>
                <w:sz w:val="21"/>
                <w:szCs w:val="21"/>
                <w:lang w:val="en-AU"/>
              </w:rPr>
            </w:pPr>
            <w:r w:rsidRPr="005422B9">
              <w:rPr>
                <w:sz w:val="21"/>
                <w:szCs w:val="21"/>
                <w:lang w:val="en-AU"/>
              </w:rPr>
              <w:t>7.3</w:t>
            </w:r>
          </w:p>
          <w:p w14:paraId="6EB13324" w14:textId="77777777" w:rsidR="00B01F15" w:rsidRPr="005422B9" w:rsidRDefault="00B01F15" w:rsidP="00B675C9">
            <w:pPr>
              <w:spacing w:after="0"/>
              <w:jc w:val="center"/>
              <w:rPr>
                <w:sz w:val="21"/>
                <w:szCs w:val="21"/>
                <w:lang w:val="en-AU"/>
              </w:rPr>
            </w:pPr>
            <w:r w:rsidRPr="005422B9">
              <w:rPr>
                <w:sz w:val="21"/>
                <w:szCs w:val="21"/>
                <w:lang w:val="en-AU"/>
              </w:rPr>
              <w:t>(-0.4, 14.4)</w:t>
            </w:r>
          </w:p>
          <w:p w14:paraId="1F03D2E2" w14:textId="77777777" w:rsidR="00B01F15" w:rsidRPr="005422B9" w:rsidRDefault="00B01F15" w:rsidP="00B675C9">
            <w:pPr>
              <w:spacing w:after="0"/>
              <w:jc w:val="center"/>
              <w:rPr>
                <w:sz w:val="21"/>
                <w:szCs w:val="21"/>
                <w:lang w:val="en-AU"/>
              </w:rPr>
            </w:pPr>
            <w:r w:rsidRPr="005422B9">
              <w:rPr>
                <w:sz w:val="21"/>
                <w:szCs w:val="21"/>
                <w:lang w:val="en-AU"/>
              </w:rPr>
              <w:t>(0.031)</w:t>
            </w:r>
          </w:p>
        </w:tc>
        <w:tc>
          <w:tcPr>
            <w:tcW w:w="719" w:type="pct"/>
            <w:tcBorders>
              <w:bottom w:val="single" w:sz="4" w:space="0" w:color="auto"/>
            </w:tcBorders>
            <w:shd w:val="clear" w:color="auto" w:fill="auto"/>
          </w:tcPr>
          <w:p w14:paraId="70BDE3AB" w14:textId="77777777" w:rsidR="00B01F15" w:rsidRPr="005422B9" w:rsidRDefault="00B01F15" w:rsidP="00B675C9">
            <w:pPr>
              <w:spacing w:after="0"/>
              <w:jc w:val="center"/>
              <w:rPr>
                <w:sz w:val="21"/>
                <w:szCs w:val="21"/>
                <w:lang w:val="en-AU"/>
              </w:rPr>
            </w:pPr>
            <w:r w:rsidRPr="005422B9">
              <w:rPr>
                <w:sz w:val="21"/>
                <w:szCs w:val="21"/>
                <w:lang w:val="en-AU"/>
              </w:rPr>
              <w:t>670.7</w:t>
            </w:r>
          </w:p>
        </w:tc>
        <w:tc>
          <w:tcPr>
            <w:tcW w:w="547" w:type="pct"/>
            <w:tcBorders>
              <w:bottom w:val="single" w:sz="4" w:space="0" w:color="auto"/>
            </w:tcBorders>
            <w:shd w:val="clear" w:color="auto" w:fill="auto"/>
          </w:tcPr>
          <w:p w14:paraId="3FD40078" w14:textId="77777777" w:rsidR="00B01F15" w:rsidRPr="005422B9" w:rsidRDefault="00B01F15" w:rsidP="00B675C9">
            <w:pPr>
              <w:spacing w:after="0"/>
              <w:jc w:val="center"/>
              <w:rPr>
                <w:sz w:val="21"/>
                <w:szCs w:val="21"/>
                <w:lang w:val="en-AU"/>
              </w:rPr>
            </w:pPr>
            <w:r w:rsidRPr="005422B9">
              <w:rPr>
                <w:sz w:val="21"/>
                <w:szCs w:val="21"/>
                <w:lang w:val="en-AU"/>
              </w:rPr>
              <w:t>723.7</w:t>
            </w:r>
          </w:p>
        </w:tc>
        <w:tc>
          <w:tcPr>
            <w:tcW w:w="703" w:type="pct"/>
            <w:tcBorders>
              <w:bottom w:val="single" w:sz="4" w:space="0" w:color="auto"/>
            </w:tcBorders>
            <w:shd w:val="clear" w:color="auto" w:fill="auto"/>
          </w:tcPr>
          <w:p w14:paraId="4322E46B" w14:textId="77777777" w:rsidR="00B01F15" w:rsidRPr="005422B9" w:rsidRDefault="00B01F15" w:rsidP="00B675C9">
            <w:pPr>
              <w:spacing w:after="0"/>
              <w:jc w:val="center"/>
              <w:rPr>
                <w:sz w:val="21"/>
                <w:szCs w:val="21"/>
                <w:lang w:val="en-AU"/>
              </w:rPr>
            </w:pPr>
            <w:r w:rsidRPr="005422B9">
              <w:rPr>
                <w:sz w:val="21"/>
                <w:szCs w:val="21"/>
                <w:lang w:val="en-AU"/>
              </w:rPr>
              <w:t>53.0</w:t>
            </w:r>
          </w:p>
          <w:p w14:paraId="2CA1BB22" w14:textId="77777777" w:rsidR="00B01F15" w:rsidRPr="005422B9" w:rsidRDefault="00B01F15" w:rsidP="00B675C9">
            <w:pPr>
              <w:spacing w:after="0"/>
              <w:jc w:val="center"/>
              <w:rPr>
                <w:sz w:val="21"/>
                <w:szCs w:val="21"/>
                <w:lang w:val="en-AU"/>
              </w:rPr>
            </w:pPr>
            <w:r w:rsidRPr="005422B9">
              <w:rPr>
                <w:sz w:val="21"/>
                <w:szCs w:val="21"/>
                <w:lang w:val="en-AU"/>
              </w:rPr>
              <w:t>(-2.7, 108.7)</w:t>
            </w:r>
          </w:p>
        </w:tc>
        <w:tc>
          <w:tcPr>
            <w:tcW w:w="389" w:type="pct"/>
            <w:tcBorders>
              <w:bottom w:val="single" w:sz="4" w:space="0" w:color="auto"/>
            </w:tcBorders>
            <w:shd w:val="clear" w:color="auto" w:fill="auto"/>
          </w:tcPr>
          <w:p w14:paraId="5394CE28" w14:textId="77777777" w:rsidR="00B01F15" w:rsidRPr="005422B9" w:rsidRDefault="00B01F15" w:rsidP="00B675C9">
            <w:pPr>
              <w:spacing w:after="0"/>
              <w:jc w:val="center"/>
              <w:rPr>
                <w:sz w:val="21"/>
                <w:szCs w:val="21"/>
                <w:lang w:val="en-AU"/>
              </w:rPr>
            </w:pPr>
            <w:r w:rsidRPr="005422B9">
              <w:rPr>
                <w:sz w:val="21"/>
                <w:szCs w:val="21"/>
                <w:lang w:val="en-AU"/>
              </w:rPr>
              <w:t>378</w:t>
            </w:r>
          </w:p>
        </w:tc>
      </w:tr>
      <w:tr w:rsidR="00B01F15" w:rsidRPr="005422B9" w14:paraId="252FD35D" w14:textId="77777777" w:rsidTr="00B01F15">
        <w:tc>
          <w:tcPr>
            <w:tcW w:w="5000" w:type="pct"/>
            <w:gridSpan w:val="8"/>
            <w:tcBorders>
              <w:left w:val="nil"/>
              <w:bottom w:val="nil"/>
              <w:right w:val="nil"/>
            </w:tcBorders>
            <w:shd w:val="clear" w:color="auto" w:fill="auto"/>
          </w:tcPr>
          <w:p w14:paraId="6EAC791E" w14:textId="77777777" w:rsidR="00B01F15" w:rsidRPr="005422B9" w:rsidRDefault="00B01F15" w:rsidP="00B675C9">
            <w:pPr>
              <w:tabs>
                <w:tab w:val="left" w:pos="0"/>
              </w:tabs>
              <w:spacing w:after="0"/>
              <w:rPr>
                <w:sz w:val="18"/>
                <w:szCs w:val="18"/>
                <w:lang w:val="en-AU"/>
              </w:rPr>
            </w:pPr>
            <w:r w:rsidRPr="005422B9">
              <w:rPr>
                <w:sz w:val="18"/>
                <w:szCs w:val="18"/>
                <w:lang w:val="en-AU"/>
              </w:rPr>
              <w:t>Abbreviations: CAP = community-acquired pneumonia; CI = confidence interval; IRR = incidence rate reduction; NNV = number needed to vaccinate; PYO = person-years of observation; VE = vaccine efficacy.</w:t>
            </w:r>
          </w:p>
          <w:p w14:paraId="69AF560D" w14:textId="77777777" w:rsidR="00B01F15" w:rsidRPr="005422B9" w:rsidRDefault="00B01F15" w:rsidP="00B675C9">
            <w:pPr>
              <w:tabs>
                <w:tab w:val="left" w:pos="321"/>
              </w:tabs>
              <w:spacing w:after="0"/>
              <w:ind w:left="321" w:hanging="321"/>
              <w:rPr>
                <w:sz w:val="18"/>
                <w:szCs w:val="18"/>
                <w:lang w:val="en-AU"/>
              </w:rPr>
            </w:pPr>
            <w:r w:rsidRPr="005422B9">
              <w:rPr>
                <w:sz w:val="18"/>
                <w:szCs w:val="18"/>
                <w:lang w:val="en-AU"/>
              </w:rPr>
              <w:t xml:space="preserve">* </w:t>
            </w:r>
            <w:r w:rsidRPr="005422B9">
              <w:rPr>
                <w:sz w:val="18"/>
                <w:szCs w:val="18"/>
                <w:lang w:val="en-AU"/>
              </w:rPr>
              <w:tab/>
              <w:t xml:space="preserve">Patients with at least 2 of the following: cough; purulent sputum, temperature &gt; 38 °C or &lt; 36.1 °C; pneumonia (auscultatory findings); leucocytosis; C-reactive protein value &gt; 3 times the upper limit of normal; hypoxemia with a partial oxygen pressure &lt; 60 mm Hg while breathing room air.  </w:t>
            </w:r>
          </w:p>
          <w:p w14:paraId="06852F21" w14:textId="77777777" w:rsidR="00B01F15" w:rsidRPr="005422B9" w:rsidRDefault="00B01F15" w:rsidP="00B675C9">
            <w:pPr>
              <w:tabs>
                <w:tab w:val="left" w:pos="321"/>
              </w:tabs>
              <w:spacing w:after="0"/>
              <w:ind w:left="321" w:hanging="321"/>
              <w:rPr>
                <w:sz w:val="18"/>
                <w:szCs w:val="18"/>
                <w:lang w:val="en-AU"/>
              </w:rPr>
            </w:pPr>
            <w:r w:rsidRPr="005422B9">
              <w:rPr>
                <w:sz w:val="18"/>
                <w:szCs w:val="18"/>
                <w:lang w:val="en-AU"/>
              </w:rPr>
              <w:t>a.</w:t>
            </w:r>
            <w:r w:rsidRPr="005422B9">
              <w:rPr>
                <w:sz w:val="18"/>
                <w:szCs w:val="18"/>
                <w:lang w:val="en-AU"/>
              </w:rPr>
              <w:tab/>
            </w:r>
            <w:r w:rsidRPr="005422B9">
              <w:rPr>
                <w:rFonts w:eastAsia="TimesNewRoman"/>
                <w:sz w:val="18"/>
                <w:szCs w:val="18"/>
                <w:lang w:val="en-AU"/>
              </w:rPr>
              <w:t>A Poisson regression model with random effects was used to calculate VE</w:t>
            </w:r>
            <w:r w:rsidRPr="005422B9">
              <w:rPr>
                <w:rFonts w:eastAsia="TimesNewRoman"/>
                <w:color w:val="000000"/>
                <w:sz w:val="18"/>
                <w:szCs w:val="18"/>
                <w:lang w:val="en-AU"/>
              </w:rPr>
              <w:t>.</w:t>
            </w:r>
          </w:p>
          <w:p w14:paraId="3E6DC8E0" w14:textId="77777777" w:rsidR="00B01F15" w:rsidRPr="005422B9" w:rsidRDefault="00B01F15" w:rsidP="00B675C9">
            <w:pPr>
              <w:tabs>
                <w:tab w:val="left" w:pos="321"/>
              </w:tabs>
              <w:autoSpaceDE w:val="0"/>
              <w:autoSpaceDN w:val="0"/>
              <w:adjustRightInd w:val="0"/>
              <w:spacing w:after="0"/>
              <w:ind w:left="321" w:hanging="321"/>
              <w:rPr>
                <w:rFonts w:eastAsia="TimesNewRoman"/>
                <w:color w:val="131413"/>
                <w:sz w:val="18"/>
                <w:szCs w:val="18"/>
                <w:lang w:val="en-AU"/>
              </w:rPr>
            </w:pPr>
            <w:r w:rsidRPr="005422B9">
              <w:rPr>
                <w:sz w:val="18"/>
                <w:szCs w:val="18"/>
                <w:lang w:val="en-AU"/>
              </w:rPr>
              <w:t xml:space="preserve">b. </w:t>
            </w:r>
            <w:r w:rsidRPr="005422B9">
              <w:rPr>
                <w:sz w:val="18"/>
                <w:szCs w:val="18"/>
                <w:lang w:val="en-AU"/>
              </w:rPr>
              <w:tab/>
              <w:t xml:space="preserve">Per 100,000 person-years of observation. </w:t>
            </w:r>
            <w:r w:rsidRPr="005422B9">
              <w:rPr>
                <w:rFonts w:eastAsia="TimesNewRoman"/>
                <w:color w:val="131413"/>
                <w:sz w:val="18"/>
                <w:szCs w:val="18"/>
                <w:lang w:val="en-AU"/>
              </w:rPr>
              <w:t xml:space="preserve">IRR is calculated as the incidence in the placebo group minus the incidence in the vaccine </w:t>
            </w:r>
            <w:proofErr w:type="gramStart"/>
            <w:r w:rsidRPr="005422B9">
              <w:rPr>
                <w:rFonts w:eastAsia="TimesNewRoman"/>
                <w:color w:val="131413"/>
                <w:sz w:val="18"/>
                <w:szCs w:val="18"/>
                <w:lang w:val="en-AU"/>
              </w:rPr>
              <w:t>group, and</w:t>
            </w:r>
            <w:proofErr w:type="gramEnd"/>
            <w:r w:rsidRPr="005422B9">
              <w:rPr>
                <w:rFonts w:eastAsia="TimesNewRoman"/>
                <w:color w:val="131413"/>
                <w:sz w:val="18"/>
                <w:szCs w:val="18"/>
                <w:lang w:val="en-AU"/>
              </w:rPr>
              <w:t xml:space="preserve"> was mathematically equivalent to VE × the incidence in the placebo group. </w:t>
            </w:r>
          </w:p>
          <w:p w14:paraId="14C00295" w14:textId="77777777" w:rsidR="00B01F15" w:rsidRPr="005422B9" w:rsidRDefault="00B01F15" w:rsidP="00B675C9">
            <w:pPr>
              <w:tabs>
                <w:tab w:val="left" w:pos="321"/>
              </w:tabs>
              <w:autoSpaceDE w:val="0"/>
              <w:autoSpaceDN w:val="0"/>
              <w:adjustRightInd w:val="0"/>
              <w:spacing w:after="0"/>
              <w:ind w:left="321" w:hanging="321"/>
              <w:rPr>
                <w:sz w:val="18"/>
                <w:szCs w:val="18"/>
                <w:lang w:val="en-AU"/>
              </w:rPr>
            </w:pPr>
            <w:r w:rsidRPr="005422B9">
              <w:rPr>
                <w:sz w:val="18"/>
                <w:szCs w:val="18"/>
                <w:lang w:val="en-AU"/>
              </w:rPr>
              <w:t xml:space="preserve">c. </w:t>
            </w:r>
            <w:bookmarkStart w:id="14" w:name="_Hlk20384395"/>
            <w:r w:rsidRPr="005422B9">
              <w:rPr>
                <w:sz w:val="18"/>
                <w:szCs w:val="18"/>
                <w:lang w:val="en-AU"/>
              </w:rPr>
              <w:tab/>
              <w:t xml:space="preserve">Based on a 5-year duration of protection. </w:t>
            </w:r>
            <w:r w:rsidRPr="005422B9">
              <w:rPr>
                <w:rFonts w:eastAsia="TimesNewRoman"/>
                <w:color w:val="000000"/>
                <w:sz w:val="18"/>
                <w:szCs w:val="18"/>
                <w:lang w:val="en-AU"/>
              </w:rPr>
              <w:t>NNV is not a rate but instead indicates the number of cases prevented for a given number of persons vaccinated. NNV also incorporates the length of the trial or duration of protection and is calculated as 1 divided by the product of the IRR and duration of protection (or length of trial) (= 1/[IRR × duration]).</w:t>
            </w:r>
            <w:bookmarkEnd w:id="14"/>
          </w:p>
        </w:tc>
      </w:tr>
    </w:tbl>
    <w:p w14:paraId="22A61276" w14:textId="77777777" w:rsidR="00023618" w:rsidRPr="005422B9" w:rsidRDefault="00023618" w:rsidP="00023618">
      <w:pPr>
        <w:spacing w:after="0"/>
        <w:rPr>
          <w:iCs/>
          <w:szCs w:val="24"/>
          <w:lang w:val="en-AU"/>
        </w:rPr>
      </w:pPr>
      <w:bookmarkStart w:id="15" w:name="_Hlk41378623"/>
      <w:bookmarkStart w:id="16" w:name="_Hlk41378327"/>
    </w:p>
    <w:p w14:paraId="174BB79E" w14:textId="0691CE5A" w:rsidR="00023618" w:rsidRPr="005422B9" w:rsidRDefault="00023618" w:rsidP="00B675C9">
      <w:pPr>
        <w:rPr>
          <w:lang w:val="en-AU"/>
        </w:rPr>
      </w:pPr>
      <w:r w:rsidRPr="005422B9">
        <w:rPr>
          <w:iCs/>
          <w:szCs w:val="24"/>
          <w:lang w:val="en-AU"/>
        </w:rPr>
        <w:lastRenderedPageBreak/>
        <w:t>Although CAPiTA was not powered to demonstrate serotype specific VE, an evaluation of clinical CAP data (as defined in the CAPiTA study and based on clinical findings regardless of radiologic infiltrate or etiologic confirmation) was performed in a post-hoc analysis for serotypes with at least 10 outcomes in the placebo group. VE (95% CI) for the five evaluated serotypes against first clinical CAP episodes were: serotype 1, 20.0% (-83.1% to 65.8%); serotype 3, 61.5% (17.6% to 83.4%); serotype 6A, 33.3% (-58.6% to 73.2%); serotype 7F, 73.3% (40.5% to 89.4%); and serotype 19A, 45.2% (-2.2% to 71.5%).</w:t>
      </w:r>
    </w:p>
    <w:p w14:paraId="5B1806A9" w14:textId="77777777" w:rsidR="00B01F15" w:rsidRPr="005422B9" w:rsidRDefault="00B01F15" w:rsidP="00B675C9">
      <w:pPr>
        <w:pStyle w:val="Heading3"/>
        <w:rPr>
          <w:lang w:val="en-AU"/>
        </w:rPr>
      </w:pPr>
      <w:r w:rsidRPr="005422B9">
        <w:rPr>
          <w:lang w:val="en-AU"/>
        </w:rPr>
        <w:t>PREVENAR 20 clinical trials in adults</w:t>
      </w:r>
    </w:p>
    <w:p w14:paraId="5EFE1DB1" w14:textId="34D2F55C" w:rsidR="00B01F15" w:rsidRPr="005422B9" w:rsidRDefault="00B01F15" w:rsidP="00B01F15">
      <w:pPr>
        <w:autoSpaceDE w:val="0"/>
        <w:autoSpaceDN w:val="0"/>
        <w:adjustRightInd w:val="0"/>
        <w:rPr>
          <w:color w:val="000000"/>
          <w:szCs w:val="22"/>
          <w:lang w:val="en-AU"/>
        </w:rPr>
      </w:pPr>
      <w:r w:rsidRPr="005422B9">
        <w:rPr>
          <w:rFonts w:eastAsia="MS Mincho"/>
          <w:szCs w:val="22"/>
          <w:lang w:val="en-AU" w:eastAsia="en-GB"/>
        </w:rPr>
        <w:t>Three Phase 3 clinical trials, B7471006, B7471007 and B7471008 (Study 1006, Study 1007 and Study 1008, respectively), were conducted in the United States and Sweden evaluating the immunogenicity of PREVENAR 20 in different adult age groups and in individuals who were either pneumococcal vaccine</w:t>
      </w:r>
      <w:r w:rsidRPr="005422B9">
        <w:rPr>
          <w:rFonts w:eastAsia="MS Mincho"/>
          <w:szCs w:val="22"/>
          <w:lang w:val="en-AU" w:eastAsia="en-GB"/>
        </w:rPr>
        <w:noBreakHyphen/>
        <w:t>naïve or who were previously vaccinated with Prevenar </w:t>
      </w:r>
      <w:r w:rsidRPr="005422B9">
        <w:rPr>
          <w:szCs w:val="22"/>
          <w:lang w:val="en-AU"/>
        </w:rPr>
        <w:t>13</w:t>
      </w:r>
      <w:r w:rsidRPr="005422B9">
        <w:rPr>
          <w:rFonts w:eastAsia="MS Mincho"/>
          <w:szCs w:val="22"/>
          <w:lang w:val="en-AU" w:eastAsia="en-GB"/>
        </w:rPr>
        <w:t xml:space="preserve">, </w:t>
      </w:r>
      <w:r w:rsidR="001A517E" w:rsidRPr="005422B9">
        <w:rPr>
          <w:rFonts w:eastAsia="MS Mincho"/>
          <w:szCs w:val="22"/>
          <w:lang w:val="en-AU" w:eastAsia="en-GB"/>
        </w:rPr>
        <w:t>23vPPV</w:t>
      </w:r>
      <w:r w:rsidRPr="005422B9">
        <w:rPr>
          <w:rFonts w:eastAsia="MS Mincho"/>
          <w:szCs w:val="22"/>
          <w:lang w:val="en-AU" w:eastAsia="en-GB"/>
        </w:rPr>
        <w:t>, or both</w:t>
      </w:r>
      <w:r w:rsidRPr="005422B9">
        <w:rPr>
          <w:rFonts w:eastAsia="MS Mincho"/>
          <w:color w:val="000000"/>
          <w:szCs w:val="22"/>
          <w:lang w:val="en-AU" w:eastAsia="en-GB"/>
        </w:rPr>
        <w:t>.</w:t>
      </w:r>
      <w:r w:rsidRPr="005422B9">
        <w:rPr>
          <w:color w:val="000000"/>
          <w:szCs w:val="22"/>
          <w:lang w:val="en-AU"/>
        </w:rPr>
        <w:t xml:space="preserve"> </w:t>
      </w:r>
    </w:p>
    <w:p w14:paraId="2687C4FE" w14:textId="5471250A" w:rsidR="00B01F15" w:rsidRPr="005422B9" w:rsidRDefault="00B01F15" w:rsidP="00B01F15">
      <w:pPr>
        <w:autoSpaceDE w:val="0"/>
        <w:autoSpaceDN w:val="0"/>
        <w:adjustRightInd w:val="0"/>
        <w:rPr>
          <w:rFonts w:eastAsia="MS Mincho"/>
          <w:szCs w:val="22"/>
          <w:lang w:val="en-AU" w:eastAsia="en-GB"/>
        </w:rPr>
      </w:pPr>
      <w:r w:rsidRPr="005422B9">
        <w:rPr>
          <w:rFonts w:eastAsia="MS Mincho"/>
          <w:szCs w:val="22"/>
          <w:lang w:val="en-AU" w:eastAsia="en-GB"/>
        </w:rPr>
        <w:t xml:space="preserve">Each study included healthy adults and immunocompetent adults with stable underlying conditions including chronic cardiovascular disease, chronic pulmonary disease, renal disorders, diabetes mellitus, chronic liver disease, and medical risk conditions and behaviours (e.g., smoking) that are known to increase the risk of serious pneumococcal pneumonia and IPD. </w:t>
      </w:r>
      <w:r w:rsidR="002E7809">
        <w:rPr>
          <w:rFonts w:eastAsia="MS Mincho"/>
          <w:szCs w:val="22"/>
          <w:lang w:eastAsia="en-GB"/>
        </w:rPr>
        <w:t xml:space="preserve">In the pivotal study (Study 1007), these risk factors were identified in 34%, 32%, and 26% of participants 60 years of age and over, 50 to 59 years of age, and 18 to 49 years of age, respectively. </w:t>
      </w:r>
      <w:r w:rsidRPr="005422B9">
        <w:rPr>
          <w:rFonts w:eastAsia="MS Mincho"/>
          <w:szCs w:val="22"/>
          <w:lang w:val="en-AU" w:eastAsia="en-GB"/>
        </w:rPr>
        <w:t>A stable medical condition was defined as a medical condition not requiring significant change in therapy in the previous 6 weeks (i.e., change to new therapy category due to worsening disease) or any hospitali</w:t>
      </w:r>
      <w:r w:rsidR="0016709B" w:rsidRPr="005422B9">
        <w:rPr>
          <w:rFonts w:eastAsia="MS Mincho"/>
          <w:szCs w:val="22"/>
          <w:lang w:val="en-AU" w:eastAsia="en-GB"/>
        </w:rPr>
        <w:t>s</w:t>
      </w:r>
      <w:r w:rsidRPr="005422B9">
        <w:rPr>
          <w:rFonts w:eastAsia="MS Mincho"/>
          <w:szCs w:val="22"/>
          <w:lang w:val="en-AU" w:eastAsia="en-GB"/>
        </w:rPr>
        <w:t>ation for worsening disease within 12 weeks before receipt of the study vaccine.</w:t>
      </w:r>
    </w:p>
    <w:p w14:paraId="3E520CFE" w14:textId="5CD4DFFD" w:rsidR="00B01F15" w:rsidRDefault="00B01F15" w:rsidP="00B01F15">
      <w:pPr>
        <w:rPr>
          <w:szCs w:val="22"/>
          <w:lang w:val="en-AU"/>
        </w:rPr>
      </w:pPr>
      <w:r w:rsidRPr="005422B9">
        <w:rPr>
          <w:rFonts w:eastAsia="MS Mincho"/>
          <w:szCs w:val="22"/>
          <w:lang w:val="en-AU"/>
        </w:rPr>
        <w:t xml:space="preserve">In each study, immune responses elicited by PREVENAR 20 and the control pneumococcal vaccines were measured by an opsonophagocytic activity (OPA) assay. </w:t>
      </w:r>
      <w:r w:rsidRPr="005422B9">
        <w:rPr>
          <w:szCs w:val="22"/>
          <w:lang w:val="en-AU"/>
        </w:rPr>
        <w:t xml:space="preserve">OPA assays measure functional antibodies to </w:t>
      </w:r>
      <w:r w:rsidRPr="005422B9">
        <w:rPr>
          <w:i/>
          <w:szCs w:val="22"/>
          <w:lang w:val="en-AU"/>
        </w:rPr>
        <w:t>S pneumoniae</w:t>
      </w:r>
      <w:r w:rsidRPr="005422B9">
        <w:rPr>
          <w:szCs w:val="22"/>
          <w:lang w:val="en-AU"/>
        </w:rPr>
        <w:t xml:space="preserve">. </w:t>
      </w:r>
    </w:p>
    <w:tbl>
      <w:tblPr>
        <w:tblStyle w:val="TableGrid"/>
        <w:tblW w:w="9044" w:type="dxa"/>
        <w:tblLook w:val="04A0" w:firstRow="1" w:lastRow="0" w:firstColumn="1" w:lastColumn="0" w:noHBand="0" w:noVBand="1"/>
      </w:tblPr>
      <w:tblGrid>
        <w:gridCol w:w="1050"/>
        <w:gridCol w:w="1644"/>
        <w:gridCol w:w="1928"/>
        <w:gridCol w:w="2211"/>
        <w:gridCol w:w="2184"/>
        <w:gridCol w:w="27"/>
      </w:tblGrid>
      <w:tr w:rsidR="008B5AAD" w14:paraId="0F72F94C" w14:textId="77777777" w:rsidTr="004A713E">
        <w:trPr>
          <w:gridAfter w:val="1"/>
          <w:wAfter w:w="27" w:type="dxa"/>
        </w:trPr>
        <w:tc>
          <w:tcPr>
            <w:tcW w:w="9017" w:type="dxa"/>
            <w:gridSpan w:val="5"/>
            <w:tcBorders>
              <w:top w:val="nil"/>
              <w:left w:val="nil"/>
              <w:right w:val="nil"/>
            </w:tcBorders>
          </w:tcPr>
          <w:p w14:paraId="50EC2C79" w14:textId="3664B31F" w:rsidR="008B5AAD" w:rsidRPr="008B5AAD" w:rsidRDefault="008B5AAD" w:rsidP="00B01F15">
            <w:pPr>
              <w:rPr>
                <w:rFonts w:eastAsia="Calibri,Bold"/>
                <w:b/>
                <w:bCs/>
                <w:sz w:val="20"/>
                <w:lang w:val="en-AU"/>
              </w:rPr>
            </w:pPr>
            <w:r w:rsidRPr="008B5AAD">
              <w:rPr>
                <w:b/>
                <w:szCs w:val="22"/>
                <w:lang w:val="en-AU"/>
              </w:rPr>
              <w:t>Table 5. Summary of Patient Demographics for Clinical Trials in Adults</w:t>
            </w:r>
          </w:p>
        </w:tc>
      </w:tr>
      <w:tr w:rsidR="00C73ADE" w14:paraId="1F7BA211" w14:textId="77777777" w:rsidTr="004A713E">
        <w:tc>
          <w:tcPr>
            <w:tcW w:w="1050" w:type="dxa"/>
          </w:tcPr>
          <w:p w14:paraId="291BAAD8" w14:textId="4796B679" w:rsidR="008B5AAD" w:rsidRPr="008B5AAD" w:rsidRDefault="008B5AAD" w:rsidP="008B5AAD">
            <w:pPr>
              <w:autoSpaceDE w:val="0"/>
              <w:autoSpaceDN w:val="0"/>
              <w:adjustRightInd w:val="0"/>
              <w:spacing w:after="0"/>
              <w:jc w:val="left"/>
              <w:rPr>
                <w:rFonts w:eastAsia="Calibri,Bold"/>
                <w:b/>
                <w:bCs/>
                <w:sz w:val="20"/>
                <w:lang w:val="en-AU"/>
              </w:rPr>
            </w:pPr>
            <w:r w:rsidRPr="008B5AAD">
              <w:rPr>
                <w:rFonts w:eastAsia="Calibri,Bold"/>
                <w:b/>
                <w:bCs/>
                <w:sz w:val="20"/>
                <w:lang w:val="en-AU"/>
              </w:rPr>
              <w:t xml:space="preserve">Study # </w:t>
            </w:r>
          </w:p>
        </w:tc>
        <w:tc>
          <w:tcPr>
            <w:tcW w:w="1644" w:type="dxa"/>
          </w:tcPr>
          <w:p w14:paraId="2575E93A" w14:textId="6C490020" w:rsidR="008B5AAD" w:rsidRPr="008B5AAD" w:rsidRDefault="008B5AAD" w:rsidP="00B01F15">
            <w:pPr>
              <w:rPr>
                <w:sz w:val="20"/>
                <w:lang w:val="en-AU"/>
              </w:rPr>
            </w:pPr>
            <w:r w:rsidRPr="008B5AAD">
              <w:rPr>
                <w:rFonts w:eastAsia="Calibri,Bold"/>
                <w:b/>
                <w:bCs/>
                <w:sz w:val="20"/>
                <w:lang w:val="en-AU"/>
              </w:rPr>
              <w:t>Study design</w:t>
            </w:r>
          </w:p>
        </w:tc>
        <w:tc>
          <w:tcPr>
            <w:tcW w:w="1928" w:type="dxa"/>
          </w:tcPr>
          <w:p w14:paraId="378117DC" w14:textId="1CA4F3BD" w:rsidR="008B5AAD" w:rsidRPr="008B5AAD" w:rsidRDefault="008B5AAD" w:rsidP="008B5AAD">
            <w:pPr>
              <w:autoSpaceDE w:val="0"/>
              <w:autoSpaceDN w:val="0"/>
              <w:adjustRightInd w:val="0"/>
              <w:spacing w:after="0"/>
              <w:jc w:val="left"/>
              <w:rPr>
                <w:sz w:val="20"/>
                <w:lang w:val="en-AU"/>
              </w:rPr>
            </w:pPr>
            <w:r w:rsidRPr="008B5AAD">
              <w:rPr>
                <w:rFonts w:eastAsia="Calibri,Bold"/>
                <w:b/>
                <w:bCs/>
                <w:sz w:val="20"/>
                <w:lang w:val="en-AU"/>
              </w:rPr>
              <w:t>Dosage, route of administration</w:t>
            </w:r>
          </w:p>
        </w:tc>
        <w:tc>
          <w:tcPr>
            <w:tcW w:w="2211" w:type="dxa"/>
          </w:tcPr>
          <w:p w14:paraId="7DD498CC" w14:textId="77777777" w:rsidR="008B5AAD" w:rsidRPr="008B5AAD" w:rsidRDefault="008B5AAD" w:rsidP="008B5AAD">
            <w:pPr>
              <w:autoSpaceDE w:val="0"/>
              <w:autoSpaceDN w:val="0"/>
              <w:adjustRightInd w:val="0"/>
              <w:spacing w:after="0"/>
              <w:jc w:val="left"/>
              <w:rPr>
                <w:rFonts w:eastAsia="Calibri,Bold"/>
                <w:b/>
                <w:bCs/>
                <w:sz w:val="20"/>
                <w:lang w:val="en-AU"/>
              </w:rPr>
            </w:pPr>
            <w:r w:rsidRPr="008B5AAD">
              <w:rPr>
                <w:rFonts w:eastAsia="Calibri,Bold"/>
                <w:b/>
                <w:bCs/>
                <w:sz w:val="20"/>
                <w:lang w:val="en-AU"/>
              </w:rPr>
              <w:t>Study subjects</w:t>
            </w:r>
          </w:p>
          <w:p w14:paraId="6E7D18D4" w14:textId="7F275DEB" w:rsidR="008B5AAD" w:rsidRPr="008B5AAD" w:rsidRDefault="008B5AAD" w:rsidP="008B5AAD">
            <w:pPr>
              <w:autoSpaceDE w:val="0"/>
              <w:autoSpaceDN w:val="0"/>
              <w:adjustRightInd w:val="0"/>
              <w:spacing w:after="0"/>
              <w:jc w:val="left"/>
              <w:rPr>
                <w:rFonts w:eastAsia="Calibri,Bold"/>
                <w:b/>
                <w:bCs/>
                <w:sz w:val="20"/>
                <w:lang w:val="en-AU"/>
              </w:rPr>
            </w:pPr>
            <w:r w:rsidRPr="008B5AAD">
              <w:rPr>
                <w:rFonts w:eastAsia="Calibri,Bold"/>
                <w:b/>
                <w:bCs/>
                <w:sz w:val="20"/>
                <w:lang w:val="en-AU"/>
              </w:rPr>
              <w:t>(n)</w:t>
            </w:r>
            <w:r w:rsidRPr="00171061">
              <w:rPr>
                <w:rFonts w:eastAsia="Calibri,Bold"/>
                <w:b/>
                <w:bCs/>
                <w:sz w:val="20"/>
                <w:vertAlign w:val="superscript"/>
                <w:lang w:val="en-AU"/>
              </w:rPr>
              <w:t>a</w:t>
            </w:r>
          </w:p>
        </w:tc>
        <w:tc>
          <w:tcPr>
            <w:tcW w:w="2211" w:type="dxa"/>
            <w:gridSpan w:val="2"/>
          </w:tcPr>
          <w:p w14:paraId="502E68E9" w14:textId="4B0C6F60" w:rsidR="008B5AAD" w:rsidRPr="008B5AAD" w:rsidRDefault="008B5AAD" w:rsidP="00B01F15">
            <w:pPr>
              <w:rPr>
                <w:sz w:val="20"/>
                <w:lang w:val="en-AU"/>
              </w:rPr>
            </w:pPr>
            <w:r w:rsidRPr="008B5AAD">
              <w:rPr>
                <w:rFonts w:eastAsia="Calibri,Bold"/>
                <w:b/>
                <w:bCs/>
                <w:sz w:val="20"/>
                <w:lang w:val="en-AU"/>
              </w:rPr>
              <w:t>Demographics</w:t>
            </w:r>
          </w:p>
        </w:tc>
      </w:tr>
      <w:tr w:rsidR="00C73ADE" w14:paraId="64CCACFD" w14:textId="77777777" w:rsidTr="004A713E">
        <w:tc>
          <w:tcPr>
            <w:tcW w:w="1050" w:type="dxa"/>
          </w:tcPr>
          <w:p w14:paraId="65051D79" w14:textId="695C9C03" w:rsidR="008B5AAD" w:rsidRPr="008B5AAD" w:rsidRDefault="008B5AAD" w:rsidP="00B01F15">
            <w:pPr>
              <w:rPr>
                <w:sz w:val="20"/>
                <w:lang w:val="en-AU"/>
              </w:rPr>
            </w:pPr>
            <w:r w:rsidRPr="008B5AAD">
              <w:rPr>
                <w:sz w:val="20"/>
                <w:lang w:val="en-AU"/>
              </w:rPr>
              <w:t>B7471007</w:t>
            </w:r>
          </w:p>
        </w:tc>
        <w:tc>
          <w:tcPr>
            <w:tcW w:w="1644" w:type="dxa"/>
          </w:tcPr>
          <w:p w14:paraId="104886BF" w14:textId="129D4AB6" w:rsidR="008B5AAD" w:rsidRPr="008B5AAD" w:rsidRDefault="008B5AAD" w:rsidP="008B5AAD">
            <w:pPr>
              <w:autoSpaceDE w:val="0"/>
              <w:autoSpaceDN w:val="0"/>
              <w:adjustRightInd w:val="0"/>
              <w:spacing w:after="0"/>
              <w:jc w:val="left"/>
              <w:rPr>
                <w:sz w:val="20"/>
                <w:lang w:val="en-AU"/>
              </w:rPr>
            </w:pPr>
            <w:r w:rsidRPr="008B5AAD">
              <w:rPr>
                <w:sz w:val="20"/>
                <w:lang w:val="en-AU"/>
              </w:rPr>
              <w:t>Phase 3,</w:t>
            </w:r>
            <w:r>
              <w:rPr>
                <w:sz w:val="20"/>
                <w:lang w:val="en-AU"/>
              </w:rPr>
              <w:t xml:space="preserve"> </w:t>
            </w:r>
            <w:proofErr w:type="spellStart"/>
            <w:r w:rsidRPr="008B5AAD">
              <w:rPr>
                <w:sz w:val="20"/>
                <w:lang w:val="en-AU"/>
              </w:rPr>
              <w:t>multicenter</w:t>
            </w:r>
            <w:proofErr w:type="spellEnd"/>
            <w:r w:rsidRPr="008B5AAD">
              <w:rPr>
                <w:sz w:val="20"/>
                <w:lang w:val="en-AU"/>
              </w:rPr>
              <w:t>, randomi</w:t>
            </w:r>
            <w:r w:rsidR="00171061">
              <w:rPr>
                <w:sz w:val="20"/>
                <w:lang w:val="en-AU"/>
              </w:rPr>
              <w:t>s</w:t>
            </w:r>
            <w:r w:rsidRPr="008B5AAD">
              <w:rPr>
                <w:sz w:val="20"/>
                <w:lang w:val="en-AU"/>
              </w:rPr>
              <w:t>ed, double-blind study with an age-based 3-cohort design</w:t>
            </w:r>
          </w:p>
        </w:tc>
        <w:tc>
          <w:tcPr>
            <w:tcW w:w="1928" w:type="dxa"/>
          </w:tcPr>
          <w:p w14:paraId="326978B5"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1:</w:t>
            </w:r>
          </w:p>
          <w:p w14:paraId="4CC4ED99" w14:textId="26CC8E70" w:rsidR="008B5AAD" w:rsidRPr="008B5AAD" w:rsidRDefault="008B5AAD" w:rsidP="008B5AAD">
            <w:pPr>
              <w:autoSpaceDE w:val="0"/>
              <w:autoSpaceDN w:val="0"/>
              <w:adjustRightInd w:val="0"/>
              <w:spacing w:after="0"/>
              <w:jc w:val="left"/>
              <w:rPr>
                <w:sz w:val="20"/>
                <w:lang w:val="en-AU"/>
              </w:rPr>
            </w:pPr>
            <w:r w:rsidRPr="008B5AAD">
              <w:rPr>
                <w:sz w:val="20"/>
                <w:lang w:val="en-AU"/>
              </w:rPr>
              <w:t>One IM dose of</w:t>
            </w:r>
            <w:r>
              <w:rPr>
                <w:sz w:val="20"/>
                <w:lang w:val="en-AU"/>
              </w:rPr>
              <w:t xml:space="preserve"> </w:t>
            </w:r>
            <w:r w:rsidR="00C73ADE">
              <w:rPr>
                <w:sz w:val="20"/>
                <w:lang w:val="en-AU"/>
              </w:rPr>
              <w:t>PREVENAR 20</w:t>
            </w:r>
            <w:r w:rsidRPr="008B5AAD">
              <w:rPr>
                <w:sz w:val="20"/>
                <w:lang w:val="en-AU"/>
              </w:rPr>
              <w:t>/Saline or</w:t>
            </w:r>
            <w:r>
              <w:rPr>
                <w:sz w:val="20"/>
                <w:lang w:val="en-AU"/>
              </w:rPr>
              <w:t xml:space="preserve"> </w:t>
            </w:r>
            <w:r w:rsidR="00C73ADE">
              <w:rPr>
                <w:sz w:val="20"/>
                <w:lang w:val="en-AU"/>
              </w:rPr>
              <w:t>Prevenar 13</w:t>
            </w:r>
            <w:r w:rsidRPr="008B5AAD">
              <w:rPr>
                <w:sz w:val="20"/>
                <w:lang w:val="en-AU"/>
              </w:rPr>
              <w:t>/</w:t>
            </w:r>
            <w:r w:rsidR="00C73ADE">
              <w:rPr>
                <w:sz w:val="20"/>
                <w:lang w:val="en-AU"/>
              </w:rPr>
              <w:t>23vPPV</w:t>
            </w:r>
            <w:r>
              <w:rPr>
                <w:sz w:val="20"/>
                <w:lang w:val="en-AU"/>
              </w:rPr>
              <w:t xml:space="preserve"> </w:t>
            </w:r>
            <w:r w:rsidRPr="008B5AAD">
              <w:rPr>
                <w:sz w:val="20"/>
                <w:lang w:val="en-AU"/>
              </w:rPr>
              <w:t>(Vaccination 1/</w:t>
            </w:r>
            <w:r>
              <w:rPr>
                <w:sz w:val="20"/>
                <w:lang w:val="en-AU"/>
              </w:rPr>
              <w:t xml:space="preserve"> </w:t>
            </w:r>
            <w:r w:rsidRPr="008B5AAD">
              <w:rPr>
                <w:sz w:val="20"/>
                <w:lang w:val="en-AU"/>
              </w:rPr>
              <w:t>Vaccination 2)</w:t>
            </w:r>
          </w:p>
          <w:p w14:paraId="39DBDC3A" w14:textId="16CF48E2" w:rsidR="008B5AAD" w:rsidRPr="008B5AAD" w:rsidRDefault="008B5AAD" w:rsidP="008B5AAD">
            <w:pPr>
              <w:autoSpaceDE w:val="0"/>
              <w:autoSpaceDN w:val="0"/>
              <w:adjustRightInd w:val="0"/>
              <w:spacing w:after="0"/>
              <w:jc w:val="left"/>
              <w:rPr>
                <w:sz w:val="20"/>
                <w:lang w:val="en-AU"/>
              </w:rPr>
            </w:pPr>
            <w:r w:rsidRPr="008B5AAD">
              <w:rPr>
                <w:sz w:val="20"/>
                <w:lang w:val="en-AU"/>
              </w:rPr>
              <w:t>Cohorts 2 and 3:</w:t>
            </w:r>
            <w:r>
              <w:rPr>
                <w:sz w:val="20"/>
                <w:lang w:val="en-AU"/>
              </w:rPr>
              <w:t xml:space="preserve"> </w:t>
            </w:r>
          </w:p>
          <w:p w14:paraId="4966146B" w14:textId="64BAC87B" w:rsidR="008B5AAD" w:rsidRPr="008B5AAD" w:rsidRDefault="008B5AAD" w:rsidP="008B5AAD">
            <w:pPr>
              <w:autoSpaceDE w:val="0"/>
              <w:autoSpaceDN w:val="0"/>
              <w:adjustRightInd w:val="0"/>
              <w:spacing w:after="0"/>
              <w:jc w:val="left"/>
              <w:rPr>
                <w:sz w:val="20"/>
                <w:lang w:val="en-AU"/>
              </w:rPr>
            </w:pPr>
            <w:r w:rsidRPr="008B5AAD">
              <w:rPr>
                <w:sz w:val="20"/>
                <w:lang w:val="en-AU"/>
              </w:rPr>
              <w:t>One IM dose of</w:t>
            </w:r>
            <w:r>
              <w:rPr>
                <w:sz w:val="20"/>
                <w:lang w:val="en-AU"/>
              </w:rPr>
              <w:t xml:space="preserve"> </w:t>
            </w:r>
            <w:r w:rsidR="00C73ADE">
              <w:rPr>
                <w:sz w:val="20"/>
                <w:lang w:val="en-AU"/>
              </w:rPr>
              <w:t>PREVENAR 20</w:t>
            </w:r>
            <w:r w:rsidRPr="008B5AAD">
              <w:rPr>
                <w:sz w:val="20"/>
                <w:lang w:val="en-AU"/>
              </w:rPr>
              <w:t xml:space="preserve"> or </w:t>
            </w:r>
            <w:r w:rsidR="00C73ADE">
              <w:rPr>
                <w:sz w:val="20"/>
                <w:lang w:val="en-AU"/>
              </w:rPr>
              <w:t>Prevenar 13</w:t>
            </w:r>
          </w:p>
        </w:tc>
        <w:tc>
          <w:tcPr>
            <w:tcW w:w="2211" w:type="dxa"/>
          </w:tcPr>
          <w:p w14:paraId="403BFC76"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1 (≥60 years)</w:t>
            </w:r>
          </w:p>
          <w:p w14:paraId="585122CB" w14:textId="6CAA1576" w:rsidR="008B5AAD" w:rsidRPr="008B5AAD" w:rsidRDefault="00C73ADE" w:rsidP="008B5AAD">
            <w:pPr>
              <w:autoSpaceDE w:val="0"/>
              <w:autoSpaceDN w:val="0"/>
              <w:adjustRightInd w:val="0"/>
              <w:spacing w:after="0"/>
              <w:jc w:val="left"/>
              <w:rPr>
                <w:sz w:val="20"/>
                <w:lang w:val="en-AU"/>
              </w:rPr>
            </w:pPr>
            <w:r>
              <w:rPr>
                <w:sz w:val="20"/>
                <w:lang w:val="en-AU"/>
              </w:rPr>
              <w:t>PREVENAR 20</w:t>
            </w:r>
            <w:r w:rsidR="008B5AAD" w:rsidRPr="008B5AAD">
              <w:rPr>
                <w:sz w:val="20"/>
                <w:lang w:val="en-AU"/>
              </w:rPr>
              <w:t>/saline: 1507</w:t>
            </w:r>
          </w:p>
          <w:p w14:paraId="3BB09D1D" w14:textId="0D694043" w:rsidR="008B5AAD" w:rsidRPr="008B5AAD" w:rsidRDefault="00C73ADE" w:rsidP="008B5AAD">
            <w:pPr>
              <w:autoSpaceDE w:val="0"/>
              <w:autoSpaceDN w:val="0"/>
              <w:adjustRightInd w:val="0"/>
              <w:spacing w:after="0"/>
              <w:jc w:val="left"/>
              <w:rPr>
                <w:sz w:val="20"/>
                <w:lang w:val="en-AU"/>
              </w:rPr>
            </w:pPr>
            <w:r>
              <w:rPr>
                <w:sz w:val="20"/>
                <w:lang w:val="en-AU"/>
              </w:rPr>
              <w:t>Prevenar 13</w:t>
            </w:r>
            <w:r w:rsidR="008B5AAD" w:rsidRPr="008B5AAD">
              <w:rPr>
                <w:sz w:val="20"/>
                <w:lang w:val="en-AU"/>
              </w:rPr>
              <w:t>/</w:t>
            </w:r>
            <w:r>
              <w:rPr>
                <w:sz w:val="20"/>
                <w:lang w:val="en-AU"/>
              </w:rPr>
              <w:t>23VPPV</w:t>
            </w:r>
            <w:r w:rsidR="008B5AAD" w:rsidRPr="008B5AAD">
              <w:rPr>
                <w:sz w:val="20"/>
                <w:lang w:val="en-AU"/>
              </w:rPr>
              <w:t>: 1490</w:t>
            </w:r>
          </w:p>
          <w:p w14:paraId="01883370"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2 (50-59 years)</w:t>
            </w:r>
          </w:p>
          <w:p w14:paraId="6129F141" w14:textId="19D2F20E" w:rsidR="008B5AAD" w:rsidRPr="008B5AAD" w:rsidRDefault="00C73ADE" w:rsidP="008B5AAD">
            <w:pPr>
              <w:autoSpaceDE w:val="0"/>
              <w:autoSpaceDN w:val="0"/>
              <w:adjustRightInd w:val="0"/>
              <w:spacing w:after="0"/>
              <w:jc w:val="left"/>
              <w:rPr>
                <w:sz w:val="20"/>
                <w:lang w:val="en-AU"/>
              </w:rPr>
            </w:pPr>
            <w:r>
              <w:rPr>
                <w:sz w:val="20"/>
                <w:lang w:val="en-AU"/>
              </w:rPr>
              <w:t>PREVENAR 20</w:t>
            </w:r>
            <w:r w:rsidR="008B5AAD" w:rsidRPr="008B5AAD">
              <w:rPr>
                <w:sz w:val="20"/>
                <w:lang w:val="en-AU"/>
              </w:rPr>
              <w:t>: 334</w:t>
            </w:r>
          </w:p>
          <w:p w14:paraId="211932D8" w14:textId="4C9CC0E7" w:rsidR="008B5AAD" w:rsidRPr="008B5AAD" w:rsidRDefault="00C73ADE" w:rsidP="008B5AAD">
            <w:pPr>
              <w:autoSpaceDE w:val="0"/>
              <w:autoSpaceDN w:val="0"/>
              <w:adjustRightInd w:val="0"/>
              <w:spacing w:after="0"/>
              <w:jc w:val="left"/>
              <w:rPr>
                <w:sz w:val="20"/>
                <w:lang w:val="en-AU"/>
              </w:rPr>
            </w:pPr>
            <w:r>
              <w:rPr>
                <w:sz w:val="20"/>
                <w:lang w:val="en-AU"/>
              </w:rPr>
              <w:t>Prevenar 13</w:t>
            </w:r>
            <w:r w:rsidR="008B5AAD" w:rsidRPr="008B5AAD">
              <w:rPr>
                <w:sz w:val="20"/>
                <w:lang w:val="en-AU"/>
              </w:rPr>
              <w:t>: 111</w:t>
            </w:r>
          </w:p>
          <w:p w14:paraId="5EC03A72"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3 (18-49 years)</w:t>
            </w:r>
          </w:p>
          <w:p w14:paraId="0F8F072D" w14:textId="34A13223" w:rsidR="008B5AAD" w:rsidRPr="008B5AAD" w:rsidRDefault="00C73ADE" w:rsidP="008B5AAD">
            <w:pPr>
              <w:autoSpaceDE w:val="0"/>
              <w:autoSpaceDN w:val="0"/>
              <w:adjustRightInd w:val="0"/>
              <w:spacing w:after="0"/>
              <w:jc w:val="left"/>
              <w:rPr>
                <w:sz w:val="20"/>
                <w:lang w:val="en-AU"/>
              </w:rPr>
            </w:pPr>
            <w:r>
              <w:rPr>
                <w:sz w:val="20"/>
                <w:lang w:val="en-AU"/>
              </w:rPr>
              <w:t>PREVENAR 20</w:t>
            </w:r>
            <w:r w:rsidR="008B5AAD" w:rsidRPr="008B5AAD">
              <w:rPr>
                <w:sz w:val="20"/>
                <w:lang w:val="en-AU"/>
              </w:rPr>
              <w:t>: 335</w:t>
            </w:r>
          </w:p>
          <w:p w14:paraId="6C2A2E33" w14:textId="270D48DA" w:rsidR="008B5AAD" w:rsidRPr="008B5AAD" w:rsidRDefault="00C73ADE" w:rsidP="008B5AAD">
            <w:pPr>
              <w:rPr>
                <w:sz w:val="20"/>
                <w:lang w:val="en-AU"/>
              </w:rPr>
            </w:pPr>
            <w:r>
              <w:rPr>
                <w:sz w:val="20"/>
                <w:lang w:val="en-AU"/>
              </w:rPr>
              <w:t>Prevenar 13</w:t>
            </w:r>
            <w:r w:rsidR="008B5AAD" w:rsidRPr="008B5AAD">
              <w:rPr>
                <w:sz w:val="20"/>
                <w:lang w:val="en-AU"/>
              </w:rPr>
              <w:t>: 112</w:t>
            </w:r>
          </w:p>
        </w:tc>
        <w:tc>
          <w:tcPr>
            <w:tcW w:w="2211" w:type="dxa"/>
            <w:gridSpan w:val="2"/>
          </w:tcPr>
          <w:p w14:paraId="740E97ED"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1:</w:t>
            </w:r>
          </w:p>
          <w:p w14:paraId="6EE7600C"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Sex: 1221 M/1776 F</w:t>
            </w:r>
          </w:p>
          <w:p w14:paraId="3D5C9D6D"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Age: mean (min/max):</w:t>
            </w:r>
          </w:p>
          <w:p w14:paraId="25103C2F"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64.6 (60/91) years</w:t>
            </w:r>
          </w:p>
          <w:p w14:paraId="7AE1ABE4"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2:</w:t>
            </w:r>
          </w:p>
          <w:p w14:paraId="3E8C3B58"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Sex: 181 M/264 F</w:t>
            </w:r>
          </w:p>
          <w:p w14:paraId="24CD8001"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Age: mean (min/max):</w:t>
            </w:r>
          </w:p>
          <w:p w14:paraId="7AB46274"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54.9 (48</w:t>
            </w:r>
            <w:r w:rsidRPr="00171061">
              <w:rPr>
                <w:sz w:val="20"/>
                <w:vertAlign w:val="superscript"/>
                <w:lang w:val="en-AU"/>
              </w:rPr>
              <w:t>b</w:t>
            </w:r>
            <w:r w:rsidRPr="008B5AAD">
              <w:rPr>
                <w:sz w:val="20"/>
                <w:lang w:val="en-AU"/>
              </w:rPr>
              <w:t>/59) years</w:t>
            </w:r>
          </w:p>
          <w:p w14:paraId="7531EFE7"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3:</w:t>
            </w:r>
          </w:p>
          <w:p w14:paraId="17CD6330"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Sex: 156 M/291 F</w:t>
            </w:r>
          </w:p>
          <w:p w14:paraId="3D62DC10"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Age: mean (min/max):</w:t>
            </w:r>
          </w:p>
          <w:p w14:paraId="293B58DC" w14:textId="14A1316D" w:rsidR="008B5AAD" w:rsidRPr="008B5AAD" w:rsidRDefault="008B5AAD" w:rsidP="008B5AAD">
            <w:pPr>
              <w:rPr>
                <w:sz w:val="20"/>
                <w:lang w:val="en-AU"/>
              </w:rPr>
            </w:pPr>
            <w:r w:rsidRPr="008B5AAD">
              <w:rPr>
                <w:sz w:val="20"/>
                <w:lang w:val="en-AU"/>
              </w:rPr>
              <w:t>34.0 (18/60</w:t>
            </w:r>
            <w:r w:rsidRPr="00171061">
              <w:rPr>
                <w:sz w:val="20"/>
                <w:vertAlign w:val="superscript"/>
                <w:lang w:val="en-AU"/>
              </w:rPr>
              <w:t>b</w:t>
            </w:r>
            <w:r w:rsidRPr="008B5AAD">
              <w:rPr>
                <w:sz w:val="20"/>
                <w:lang w:val="en-AU"/>
              </w:rPr>
              <w:t>) years</w:t>
            </w:r>
          </w:p>
        </w:tc>
      </w:tr>
      <w:tr w:rsidR="00C73ADE" w14:paraId="7EEFF0F9" w14:textId="77777777" w:rsidTr="004A713E">
        <w:tc>
          <w:tcPr>
            <w:tcW w:w="1050" w:type="dxa"/>
          </w:tcPr>
          <w:p w14:paraId="1B15412D" w14:textId="3BEED200" w:rsidR="008B5AAD" w:rsidRPr="008B5AAD" w:rsidRDefault="008B5AAD" w:rsidP="00B01F15">
            <w:pPr>
              <w:rPr>
                <w:sz w:val="20"/>
                <w:lang w:val="en-AU"/>
              </w:rPr>
            </w:pPr>
            <w:r w:rsidRPr="008B5AAD">
              <w:rPr>
                <w:sz w:val="20"/>
                <w:lang w:val="en-AU"/>
              </w:rPr>
              <w:lastRenderedPageBreak/>
              <w:t>B7471006</w:t>
            </w:r>
          </w:p>
        </w:tc>
        <w:tc>
          <w:tcPr>
            <w:tcW w:w="1644" w:type="dxa"/>
          </w:tcPr>
          <w:p w14:paraId="197217F8" w14:textId="59F13133" w:rsidR="008B5AAD" w:rsidRPr="008B5AAD" w:rsidRDefault="008B5AAD" w:rsidP="008B5AAD">
            <w:pPr>
              <w:autoSpaceDE w:val="0"/>
              <w:autoSpaceDN w:val="0"/>
              <w:adjustRightInd w:val="0"/>
              <w:spacing w:after="0"/>
              <w:jc w:val="left"/>
              <w:rPr>
                <w:sz w:val="20"/>
                <w:lang w:val="en-AU"/>
              </w:rPr>
            </w:pPr>
            <w:r w:rsidRPr="008B5AAD">
              <w:rPr>
                <w:sz w:val="20"/>
                <w:lang w:val="en-AU"/>
              </w:rPr>
              <w:t xml:space="preserve">Phase 3, </w:t>
            </w:r>
            <w:proofErr w:type="spellStart"/>
            <w:r w:rsidRPr="008B5AAD">
              <w:rPr>
                <w:sz w:val="20"/>
                <w:lang w:val="en-AU"/>
              </w:rPr>
              <w:t>multicenter</w:t>
            </w:r>
            <w:proofErr w:type="spellEnd"/>
            <w:r w:rsidRPr="008B5AAD">
              <w:rPr>
                <w:sz w:val="20"/>
                <w:lang w:val="en-AU"/>
              </w:rPr>
              <w:t>, randomi</w:t>
            </w:r>
            <w:r w:rsidR="00171061">
              <w:rPr>
                <w:sz w:val="20"/>
                <w:lang w:val="en-AU"/>
              </w:rPr>
              <w:t>s</w:t>
            </w:r>
            <w:r w:rsidRPr="008B5AAD">
              <w:rPr>
                <w:sz w:val="20"/>
                <w:lang w:val="en-AU"/>
              </w:rPr>
              <w:t>ed, open- label study with a 3- cohort design based on prior pneumococcal vaccination status</w:t>
            </w:r>
          </w:p>
        </w:tc>
        <w:tc>
          <w:tcPr>
            <w:tcW w:w="1928" w:type="dxa"/>
          </w:tcPr>
          <w:p w14:paraId="2CC1244C"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A:</w:t>
            </w:r>
          </w:p>
          <w:p w14:paraId="1E70B149" w14:textId="666D632E" w:rsidR="008B5AAD" w:rsidRPr="008B5AAD" w:rsidRDefault="008B5AAD" w:rsidP="008B5AAD">
            <w:pPr>
              <w:autoSpaceDE w:val="0"/>
              <w:autoSpaceDN w:val="0"/>
              <w:adjustRightInd w:val="0"/>
              <w:spacing w:after="0"/>
              <w:jc w:val="left"/>
              <w:rPr>
                <w:sz w:val="20"/>
                <w:lang w:val="en-AU"/>
              </w:rPr>
            </w:pPr>
            <w:r w:rsidRPr="008B5AAD">
              <w:rPr>
                <w:sz w:val="20"/>
                <w:lang w:val="en-AU"/>
              </w:rPr>
              <w:t>One IM dose of</w:t>
            </w:r>
            <w:r>
              <w:rPr>
                <w:sz w:val="20"/>
                <w:lang w:val="en-AU"/>
              </w:rPr>
              <w:t xml:space="preserve"> </w:t>
            </w:r>
            <w:r w:rsidR="00C73ADE">
              <w:rPr>
                <w:sz w:val="20"/>
                <w:lang w:val="en-AU"/>
              </w:rPr>
              <w:t>PREVENAR 20</w:t>
            </w:r>
            <w:r w:rsidRPr="008B5AAD">
              <w:rPr>
                <w:sz w:val="20"/>
                <w:lang w:val="en-AU"/>
              </w:rPr>
              <w:t xml:space="preserve"> or </w:t>
            </w:r>
            <w:r w:rsidR="00C73ADE">
              <w:rPr>
                <w:sz w:val="20"/>
                <w:lang w:val="en-AU"/>
              </w:rPr>
              <w:t>Prevenar 13</w:t>
            </w:r>
          </w:p>
          <w:p w14:paraId="644E0586"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B:</w:t>
            </w:r>
          </w:p>
          <w:p w14:paraId="72915E21" w14:textId="6D75719F" w:rsidR="008B5AAD" w:rsidRPr="008B5AAD" w:rsidRDefault="008B5AAD" w:rsidP="008B5AAD">
            <w:pPr>
              <w:autoSpaceDE w:val="0"/>
              <w:autoSpaceDN w:val="0"/>
              <w:adjustRightInd w:val="0"/>
              <w:spacing w:after="0"/>
              <w:jc w:val="left"/>
              <w:rPr>
                <w:sz w:val="20"/>
                <w:lang w:val="en-AU"/>
              </w:rPr>
            </w:pPr>
            <w:r w:rsidRPr="008B5AAD">
              <w:rPr>
                <w:sz w:val="20"/>
                <w:lang w:val="en-AU"/>
              </w:rPr>
              <w:t>One IM dose of</w:t>
            </w:r>
            <w:r>
              <w:rPr>
                <w:sz w:val="20"/>
                <w:lang w:val="en-AU"/>
              </w:rPr>
              <w:t xml:space="preserve"> </w:t>
            </w:r>
            <w:r w:rsidR="00C73ADE">
              <w:rPr>
                <w:sz w:val="20"/>
                <w:lang w:val="en-AU"/>
              </w:rPr>
              <w:t>PREVENAR 20</w:t>
            </w:r>
            <w:r w:rsidRPr="008B5AAD">
              <w:rPr>
                <w:sz w:val="20"/>
                <w:lang w:val="en-AU"/>
              </w:rPr>
              <w:t xml:space="preserve"> or </w:t>
            </w:r>
            <w:r w:rsidR="00C73ADE">
              <w:rPr>
                <w:sz w:val="20"/>
                <w:lang w:val="en-AU"/>
              </w:rPr>
              <w:t>23</w:t>
            </w:r>
            <w:r w:rsidR="007A1284">
              <w:rPr>
                <w:sz w:val="20"/>
                <w:lang w:val="en-AU"/>
              </w:rPr>
              <w:t>v</w:t>
            </w:r>
            <w:r w:rsidR="00C73ADE">
              <w:rPr>
                <w:sz w:val="20"/>
                <w:lang w:val="en-AU"/>
              </w:rPr>
              <w:t>PPV</w:t>
            </w:r>
          </w:p>
          <w:p w14:paraId="4DD50023"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C:</w:t>
            </w:r>
          </w:p>
          <w:p w14:paraId="490E368C" w14:textId="4D94CE9B" w:rsidR="008B5AAD" w:rsidRPr="008B5AAD" w:rsidRDefault="008B5AAD" w:rsidP="008B5AAD">
            <w:pPr>
              <w:autoSpaceDE w:val="0"/>
              <w:autoSpaceDN w:val="0"/>
              <w:adjustRightInd w:val="0"/>
              <w:spacing w:after="0"/>
              <w:jc w:val="left"/>
              <w:rPr>
                <w:sz w:val="20"/>
                <w:lang w:val="en-AU"/>
              </w:rPr>
            </w:pPr>
            <w:r w:rsidRPr="008B5AAD">
              <w:rPr>
                <w:sz w:val="20"/>
                <w:lang w:val="en-AU"/>
              </w:rPr>
              <w:t>One IM dose of</w:t>
            </w:r>
            <w:r>
              <w:rPr>
                <w:sz w:val="20"/>
                <w:lang w:val="en-AU"/>
              </w:rPr>
              <w:t xml:space="preserve"> </w:t>
            </w:r>
            <w:r w:rsidR="00C73ADE">
              <w:rPr>
                <w:sz w:val="20"/>
                <w:lang w:val="en-AU"/>
              </w:rPr>
              <w:t>PREVENAR 20</w:t>
            </w:r>
          </w:p>
        </w:tc>
        <w:tc>
          <w:tcPr>
            <w:tcW w:w="2211" w:type="dxa"/>
          </w:tcPr>
          <w:p w14:paraId="4D58E7A7"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A:</w:t>
            </w:r>
          </w:p>
          <w:p w14:paraId="66BBCA15"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w:t>
            </w:r>
            <w:proofErr w:type="gramStart"/>
            <w:r w:rsidRPr="008B5AAD">
              <w:rPr>
                <w:sz w:val="20"/>
                <w:lang w:val="en-AU"/>
              </w:rPr>
              <w:t>prior</w:t>
            </w:r>
            <w:proofErr w:type="gramEnd"/>
            <w:r w:rsidRPr="008B5AAD">
              <w:rPr>
                <w:sz w:val="20"/>
                <w:lang w:val="en-AU"/>
              </w:rPr>
              <w:t xml:space="preserve"> vaccination with</w:t>
            </w:r>
          </w:p>
          <w:p w14:paraId="554A7405" w14:textId="60C6F53C" w:rsidR="008B5AAD" w:rsidRPr="008B5AAD" w:rsidRDefault="00C73ADE" w:rsidP="008B5AAD">
            <w:pPr>
              <w:autoSpaceDE w:val="0"/>
              <w:autoSpaceDN w:val="0"/>
              <w:adjustRightInd w:val="0"/>
              <w:spacing w:after="0"/>
              <w:jc w:val="left"/>
              <w:rPr>
                <w:sz w:val="20"/>
                <w:lang w:val="en-AU"/>
              </w:rPr>
            </w:pPr>
            <w:r>
              <w:rPr>
                <w:sz w:val="20"/>
                <w:lang w:val="en-AU"/>
              </w:rPr>
              <w:t>23</w:t>
            </w:r>
            <w:r w:rsidR="007A1284">
              <w:rPr>
                <w:sz w:val="20"/>
                <w:lang w:val="en-AU"/>
              </w:rPr>
              <w:t>v</w:t>
            </w:r>
            <w:r>
              <w:rPr>
                <w:sz w:val="20"/>
                <w:lang w:val="en-AU"/>
              </w:rPr>
              <w:t>PPV</w:t>
            </w:r>
            <w:r w:rsidR="008B5AAD" w:rsidRPr="008B5AAD">
              <w:rPr>
                <w:sz w:val="20"/>
                <w:lang w:val="en-AU"/>
              </w:rPr>
              <w:t xml:space="preserve"> ≥1 year and ≤5</w:t>
            </w:r>
            <w:r w:rsidR="008B5AAD">
              <w:rPr>
                <w:sz w:val="20"/>
                <w:lang w:val="en-AU"/>
              </w:rPr>
              <w:t xml:space="preserve"> </w:t>
            </w:r>
            <w:r w:rsidR="008B5AAD" w:rsidRPr="008B5AAD">
              <w:rPr>
                <w:sz w:val="20"/>
                <w:lang w:val="en-AU"/>
              </w:rPr>
              <w:t>years)</w:t>
            </w:r>
          </w:p>
          <w:p w14:paraId="2451D14A" w14:textId="4BBAF256" w:rsidR="008B5AAD" w:rsidRPr="008B5AAD" w:rsidRDefault="00C73ADE" w:rsidP="008B5AAD">
            <w:pPr>
              <w:autoSpaceDE w:val="0"/>
              <w:autoSpaceDN w:val="0"/>
              <w:adjustRightInd w:val="0"/>
              <w:spacing w:after="0"/>
              <w:jc w:val="left"/>
              <w:rPr>
                <w:sz w:val="20"/>
                <w:lang w:val="en-AU"/>
              </w:rPr>
            </w:pPr>
            <w:r>
              <w:rPr>
                <w:sz w:val="20"/>
                <w:lang w:val="en-AU"/>
              </w:rPr>
              <w:t>PREVENAR 20</w:t>
            </w:r>
            <w:r w:rsidR="008B5AAD" w:rsidRPr="008B5AAD">
              <w:rPr>
                <w:sz w:val="20"/>
                <w:lang w:val="en-AU"/>
              </w:rPr>
              <w:t>: 253</w:t>
            </w:r>
          </w:p>
          <w:p w14:paraId="71D6C5D1" w14:textId="5DEFAA87" w:rsidR="008B5AAD" w:rsidRPr="008B5AAD" w:rsidRDefault="00C73ADE" w:rsidP="008B5AAD">
            <w:pPr>
              <w:autoSpaceDE w:val="0"/>
              <w:autoSpaceDN w:val="0"/>
              <w:adjustRightInd w:val="0"/>
              <w:spacing w:after="0"/>
              <w:jc w:val="left"/>
              <w:rPr>
                <w:sz w:val="20"/>
                <w:lang w:val="en-AU"/>
              </w:rPr>
            </w:pPr>
            <w:r>
              <w:rPr>
                <w:sz w:val="20"/>
                <w:lang w:val="en-AU"/>
              </w:rPr>
              <w:t>Prevenar 13</w:t>
            </w:r>
            <w:r w:rsidR="008B5AAD" w:rsidRPr="008B5AAD">
              <w:rPr>
                <w:sz w:val="20"/>
                <w:lang w:val="en-AU"/>
              </w:rPr>
              <w:t>: 122</w:t>
            </w:r>
          </w:p>
          <w:p w14:paraId="576FDD22"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B:</w:t>
            </w:r>
          </w:p>
          <w:p w14:paraId="79834514"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w:t>
            </w:r>
            <w:proofErr w:type="gramStart"/>
            <w:r w:rsidRPr="008B5AAD">
              <w:rPr>
                <w:sz w:val="20"/>
                <w:lang w:val="en-AU"/>
              </w:rPr>
              <w:t>prior</w:t>
            </w:r>
            <w:proofErr w:type="gramEnd"/>
            <w:r w:rsidRPr="008B5AAD">
              <w:rPr>
                <w:sz w:val="20"/>
                <w:lang w:val="en-AU"/>
              </w:rPr>
              <w:t xml:space="preserve"> vaccination with</w:t>
            </w:r>
          </w:p>
          <w:p w14:paraId="3BFE0767" w14:textId="4E6DDC5A" w:rsidR="008B5AAD" w:rsidRPr="008B5AAD" w:rsidRDefault="00C73ADE" w:rsidP="008B5AAD">
            <w:pPr>
              <w:autoSpaceDE w:val="0"/>
              <w:autoSpaceDN w:val="0"/>
              <w:adjustRightInd w:val="0"/>
              <w:spacing w:after="0"/>
              <w:jc w:val="left"/>
              <w:rPr>
                <w:sz w:val="20"/>
                <w:lang w:val="en-AU"/>
              </w:rPr>
            </w:pPr>
            <w:r>
              <w:rPr>
                <w:sz w:val="20"/>
                <w:lang w:val="en-AU"/>
              </w:rPr>
              <w:t>Prevenar 13</w:t>
            </w:r>
            <w:r w:rsidR="008B5AAD" w:rsidRPr="008B5AAD">
              <w:rPr>
                <w:sz w:val="20"/>
                <w:lang w:val="en-AU"/>
              </w:rPr>
              <w:t xml:space="preserve"> ≥6 months)</w:t>
            </w:r>
          </w:p>
          <w:p w14:paraId="1B6ECD11" w14:textId="38BADB55" w:rsidR="008B5AAD" w:rsidRPr="008B5AAD" w:rsidRDefault="00C73ADE" w:rsidP="008B5AAD">
            <w:pPr>
              <w:autoSpaceDE w:val="0"/>
              <w:autoSpaceDN w:val="0"/>
              <w:adjustRightInd w:val="0"/>
              <w:spacing w:after="0"/>
              <w:jc w:val="left"/>
              <w:rPr>
                <w:sz w:val="20"/>
                <w:lang w:val="en-AU"/>
              </w:rPr>
            </w:pPr>
            <w:r>
              <w:rPr>
                <w:sz w:val="20"/>
                <w:lang w:val="en-AU"/>
              </w:rPr>
              <w:t>PREVENAR 20</w:t>
            </w:r>
            <w:r w:rsidR="008B5AAD" w:rsidRPr="008B5AAD">
              <w:rPr>
                <w:sz w:val="20"/>
                <w:lang w:val="en-AU"/>
              </w:rPr>
              <w:t>: 246</w:t>
            </w:r>
          </w:p>
          <w:p w14:paraId="04BDC611" w14:textId="737D1FCC" w:rsidR="008B5AAD" w:rsidRPr="008B5AAD" w:rsidRDefault="00C73ADE" w:rsidP="008B5AAD">
            <w:pPr>
              <w:autoSpaceDE w:val="0"/>
              <w:autoSpaceDN w:val="0"/>
              <w:adjustRightInd w:val="0"/>
              <w:spacing w:after="0"/>
              <w:jc w:val="left"/>
              <w:rPr>
                <w:sz w:val="20"/>
                <w:lang w:val="en-AU"/>
              </w:rPr>
            </w:pPr>
            <w:r>
              <w:rPr>
                <w:sz w:val="20"/>
                <w:lang w:val="en-AU"/>
              </w:rPr>
              <w:t>Prevenar 13</w:t>
            </w:r>
            <w:r w:rsidR="008B5AAD" w:rsidRPr="008B5AAD">
              <w:rPr>
                <w:sz w:val="20"/>
                <w:lang w:val="en-AU"/>
              </w:rPr>
              <w:t>: 127</w:t>
            </w:r>
          </w:p>
          <w:p w14:paraId="7F643930"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C:</w:t>
            </w:r>
          </w:p>
          <w:p w14:paraId="0759D717" w14:textId="1C7D550F" w:rsidR="008B5AAD" w:rsidRPr="008B5AAD" w:rsidRDefault="008B5AAD" w:rsidP="008B5AAD">
            <w:pPr>
              <w:autoSpaceDE w:val="0"/>
              <w:autoSpaceDN w:val="0"/>
              <w:adjustRightInd w:val="0"/>
              <w:spacing w:after="0"/>
              <w:jc w:val="left"/>
              <w:rPr>
                <w:sz w:val="20"/>
                <w:lang w:val="en-AU"/>
              </w:rPr>
            </w:pPr>
            <w:r w:rsidRPr="008B5AAD">
              <w:rPr>
                <w:sz w:val="20"/>
                <w:lang w:val="en-AU"/>
              </w:rPr>
              <w:t>(</w:t>
            </w:r>
            <w:proofErr w:type="gramStart"/>
            <w:r w:rsidRPr="008B5AAD">
              <w:rPr>
                <w:sz w:val="20"/>
                <w:lang w:val="en-AU"/>
              </w:rPr>
              <w:t>prior</w:t>
            </w:r>
            <w:proofErr w:type="gramEnd"/>
            <w:r w:rsidRPr="008B5AAD">
              <w:rPr>
                <w:sz w:val="20"/>
                <w:lang w:val="en-AU"/>
              </w:rPr>
              <w:t xml:space="preserve"> vaccination with</w:t>
            </w:r>
            <w:r>
              <w:rPr>
                <w:sz w:val="20"/>
                <w:lang w:val="en-AU"/>
              </w:rPr>
              <w:t xml:space="preserve"> </w:t>
            </w:r>
            <w:r w:rsidR="00C73ADE">
              <w:rPr>
                <w:sz w:val="20"/>
                <w:lang w:val="en-AU"/>
              </w:rPr>
              <w:t>Prevenar 13</w:t>
            </w:r>
            <w:r w:rsidRPr="008B5AAD">
              <w:rPr>
                <w:sz w:val="20"/>
                <w:lang w:val="en-AU"/>
              </w:rPr>
              <w:t xml:space="preserve"> followed by</w:t>
            </w:r>
            <w:r>
              <w:rPr>
                <w:sz w:val="20"/>
                <w:lang w:val="en-AU"/>
              </w:rPr>
              <w:t xml:space="preserve"> </w:t>
            </w:r>
            <w:r w:rsidR="00C73ADE">
              <w:rPr>
                <w:sz w:val="20"/>
                <w:lang w:val="en-AU"/>
              </w:rPr>
              <w:t>23</w:t>
            </w:r>
            <w:r w:rsidR="007A1284">
              <w:rPr>
                <w:sz w:val="20"/>
                <w:lang w:val="en-AU"/>
              </w:rPr>
              <w:t>v</w:t>
            </w:r>
            <w:r w:rsidR="00C73ADE">
              <w:rPr>
                <w:sz w:val="20"/>
                <w:lang w:val="en-AU"/>
              </w:rPr>
              <w:t>PPV</w:t>
            </w:r>
            <w:r w:rsidRPr="008B5AAD">
              <w:rPr>
                <w:sz w:val="20"/>
                <w:lang w:val="en-AU"/>
              </w:rPr>
              <w:t>)</w:t>
            </w:r>
          </w:p>
          <w:p w14:paraId="414F6E34" w14:textId="34734A20" w:rsidR="008B5AAD" w:rsidRPr="008B5AAD" w:rsidRDefault="00C73ADE" w:rsidP="008B5AAD">
            <w:pPr>
              <w:rPr>
                <w:sz w:val="20"/>
                <w:lang w:val="en-AU"/>
              </w:rPr>
            </w:pPr>
            <w:r>
              <w:rPr>
                <w:sz w:val="20"/>
                <w:lang w:val="en-AU"/>
              </w:rPr>
              <w:t>PREVENAR 20</w:t>
            </w:r>
            <w:r w:rsidR="008B5AAD" w:rsidRPr="008B5AAD">
              <w:rPr>
                <w:sz w:val="20"/>
                <w:lang w:val="en-AU"/>
              </w:rPr>
              <w:t>: 125</w:t>
            </w:r>
          </w:p>
        </w:tc>
        <w:tc>
          <w:tcPr>
            <w:tcW w:w="2211" w:type="dxa"/>
            <w:gridSpan w:val="2"/>
          </w:tcPr>
          <w:p w14:paraId="31A9337D"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A:</w:t>
            </w:r>
          </w:p>
          <w:p w14:paraId="43290373"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Sex: 171 M/204 F</w:t>
            </w:r>
          </w:p>
          <w:p w14:paraId="17761FBB"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Age: mean (min/max):</w:t>
            </w:r>
          </w:p>
          <w:p w14:paraId="29AC1151"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69.8 (65/84) years</w:t>
            </w:r>
          </w:p>
          <w:p w14:paraId="492115BC"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B:</w:t>
            </w:r>
          </w:p>
          <w:p w14:paraId="154BA7D0"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Sex: 167 M/206 F</w:t>
            </w:r>
          </w:p>
          <w:p w14:paraId="12719A3A"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Age: mean (min/max):</w:t>
            </w:r>
          </w:p>
          <w:p w14:paraId="2B36575F"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70.7 (65/92) years</w:t>
            </w:r>
          </w:p>
          <w:p w14:paraId="5EC2A91B"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Cohort C:</w:t>
            </w:r>
          </w:p>
          <w:p w14:paraId="6CDE6997"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Sex: 60 M/65 F</w:t>
            </w:r>
          </w:p>
          <w:p w14:paraId="2B85BE91"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Age: mean (min/max):</w:t>
            </w:r>
          </w:p>
          <w:p w14:paraId="1F439676" w14:textId="44EC8C21" w:rsidR="008B5AAD" w:rsidRPr="008B5AAD" w:rsidRDefault="008B5AAD" w:rsidP="008B5AAD">
            <w:pPr>
              <w:rPr>
                <w:sz w:val="20"/>
                <w:lang w:val="en-AU"/>
              </w:rPr>
            </w:pPr>
            <w:r w:rsidRPr="008B5AAD">
              <w:rPr>
                <w:sz w:val="20"/>
                <w:lang w:val="en-AU"/>
              </w:rPr>
              <w:t>70.8 (65/81) years</w:t>
            </w:r>
          </w:p>
        </w:tc>
      </w:tr>
      <w:tr w:rsidR="00C73ADE" w14:paraId="613E1321" w14:textId="77777777" w:rsidTr="004A713E">
        <w:tc>
          <w:tcPr>
            <w:tcW w:w="1050" w:type="dxa"/>
          </w:tcPr>
          <w:p w14:paraId="55FC84EE" w14:textId="2169D42A" w:rsidR="008B5AAD" w:rsidRPr="008B5AAD" w:rsidRDefault="008B5AAD" w:rsidP="00B01F15">
            <w:pPr>
              <w:rPr>
                <w:sz w:val="20"/>
                <w:lang w:val="en-AU"/>
              </w:rPr>
            </w:pPr>
            <w:r w:rsidRPr="008B5AAD">
              <w:rPr>
                <w:sz w:val="20"/>
                <w:lang w:val="en-AU"/>
              </w:rPr>
              <w:t>B7471008</w:t>
            </w:r>
          </w:p>
        </w:tc>
        <w:tc>
          <w:tcPr>
            <w:tcW w:w="1644" w:type="dxa"/>
          </w:tcPr>
          <w:p w14:paraId="53847DB2" w14:textId="3EF4B6F8" w:rsidR="008B5AAD" w:rsidRPr="008B5AAD" w:rsidRDefault="008B5AAD" w:rsidP="008B5AAD">
            <w:pPr>
              <w:autoSpaceDE w:val="0"/>
              <w:autoSpaceDN w:val="0"/>
              <w:adjustRightInd w:val="0"/>
              <w:spacing w:after="0"/>
              <w:jc w:val="left"/>
              <w:rPr>
                <w:sz w:val="20"/>
                <w:lang w:val="en-AU"/>
              </w:rPr>
            </w:pPr>
            <w:r w:rsidRPr="008B5AAD">
              <w:rPr>
                <w:sz w:val="20"/>
                <w:lang w:val="en-AU"/>
              </w:rPr>
              <w:t>Phase 3,</w:t>
            </w:r>
            <w:r>
              <w:rPr>
                <w:sz w:val="20"/>
                <w:lang w:val="en-AU"/>
              </w:rPr>
              <w:t xml:space="preserve"> </w:t>
            </w:r>
            <w:proofErr w:type="spellStart"/>
            <w:r w:rsidRPr="008B5AAD">
              <w:rPr>
                <w:sz w:val="20"/>
                <w:lang w:val="en-AU"/>
              </w:rPr>
              <w:t>multicenter</w:t>
            </w:r>
            <w:proofErr w:type="spellEnd"/>
            <w:r w:rsidRPr="008B5AAD">
              <w:rPr>
                <w:sz w:val="20"/>
                <w:lang w:val="en-AU"/>
              </w:rPr>
              <w:t>, randomi</w:t>
            </w:r>
            <w:r w:rsidR="00171061">
              <w:rPr>
                <w:sz w:val="20"/>
                <w:lang w:val="en-AU"/>
              </w:rPr>
              <w:t>s</w:t>
            </w:r>
            <w:r w:rsidRPr="008B5AAD">
              <w:rPr>
                <w:sz w:val="20"/>
                <w:lang w:val="en-AU"/>
              </w:rPr>
              <w:t>ed, double-blind, lot consistency study with a 4-arm parallel design</w:t>
            </w:r>
          </w:p>
        </w:tc>
        <w:tc>
          <w:tcPr>
            <w:tcW w:w="1928" w:type="dxa"/>
          </w:tcPr>
          <w:p w14:paraId="1CD6EA56" w14:textId="795115A7" w:rsidR="008B5AAD" w:rsidRPr="008B5AAD" w:rsidRDefault="008B5AAD" w:rsidP="008B5AAD">
            <w:pPr>
              <w:autoSpaceDE w:val="0"/>
              <w:autoSpaceDN w:val="0"/>
              <w:adjustRightInd w:val="0"/>
              <w:spacing w:after="0"/>
              <w:jc w:val="left"/>
              <w:rPr>
                <w:sz w:val="20"/>
                <w:lang w:val="en-AU"/>
              </w:rPr>
            </w:pPr>
            <w:r w:rsidRPr="008B5AAD">
              <w:rPr>
                <w:sz w:val="20"/>
                <w:lang w:val="en-AU"/>
              </w:rPr>
              <w:t>One IM dose of</w:t>
            </w:r>
            <w:r>
              <w:rPr>
                <w:sz w:val="20"/>
                <w:lang w:val="en-AU"/>
              </w:rPr>
              <w:t xml:space="preserve"> </w:t>
            </w:r>
            <w:r w:rsidR="00C73ADE">
              <w:rPr>
                <w:sz w:val="20"/>
                <w:lang w:val="en-AU"/>
              </w:rPr>
              <w:t>PREVENAR 20</w:t>
            </w:r>
            <w:r w:rsidRPr="008B5AAD">
              <w:rPr>
                <w:sz w:val="20"/>
                <w:lang w:val="en-AU"/>
              </w:rPr>
              <w:t xml:space="preserve"> (Lot 1, 2 or</w:t>
            </w:r>
            <w:r>
              <w:rPr>
                <w:sz w:val="20"/>
                <w:lang w:val="en-AU"/>
              </w:rPr>
              <w:t xml:space="preserve"> </w:t>
            </w:r>
            <w:r w:rsidRPr="008B5AAD">
              <w:rPr>
                <w:sz w:val="20"/>
                <w:lang w:val="en-AU"/>
              </w:rPr>
              <w:t xml:space="preserve">3) or </w:t>
            </w:r>
            <w:r w:rsidR="00C73ADE">
              <w:rPr>
                <w:sz w:val="20"/>
                <w:lang w:val="en-AU"/>
              </w:rPr>
              <w:t>Prevenar 13</w:t>
            </w:r>
          </w:p>
        </w:tc>
        <w:tc>
          <w:tcPr>
            <w:tcW w:w="2211" w:type="dxa"/>
          </w:tcPr>
          <w:p w14:paraId="4FC65FC7" w14:textId="6467F37B" w:rsidR="008B5AAD" w:rsidRPr="008B5AAD" w:rsidRDefault="008B5AAD" w:rsidP="008B5AAD">
            <w:pPr>
              <w:autoSpaceDE w:val="0"/>
              <w:autoSpaceDN w:val="0"/>
              <w:adjustRightInd w:val="0"/>
              <w:spacing w:after="0"/>
              <w:jc w:val="left"/>
              <w:rPr>
                <w:sz w:val="20"/>
                <w:lang w:val="en-AU"/>
              </w:rPr>
            </w:pPr>
            <w:r w:rsidRPr="008B5AAD">
              <w:rPr>
                <w:sz w:val="20"/>
                <w:lang w:val="en-AU"/>
              </w:rPr>
              <w:t>18-49 years, pneumococcal</w:t>
            </w:r>
            <w:r w:rsidR="00072B51">
              <w:rPr>
                <w:sz w:val="20"/>
                <w:lang w:val="en-AU"/>
              </w:rPr>
              <w:t xml:space="preserve"> </w:t>
            </w:r>
            <w:r w:rsidRPr="008B5AAD">
              <w:rPr>
                <w:sz w:val="20"/>
                <w:lang w:val="en-AU"/>
              </w:rPr>
              <w:t>vaccine naïve</w:t>
            </w:r>
          </w:p>
          <w:p w14:paraId="085531D5" w14:textId="36B8AAF1" w:rsidR="008B5AAD" w:rsidRPr="008B5AAD" w:rsidRDefault="008B5AAD" w:rsidP="008B5AAD">
            <w:pPr>
              <w:autoSpaceDE w:val="0"/>
              <w:autoSpaceDN w:val="0"/>
              <w:adjustRightInd w:val="0"/>
              <w:spacing w:after="0"/>
              <w:jc w:val="left"/>
              <w:rPr>
                <w:sz w:val="20"/>
                <w:lang w:val="en-AU"/>
              </w:rPr>
            </w:pPr>
            <w:r w:rsidRPr="008B5AAD">
              <w:rPr>
                <w:sz w:val="20"/>
                <w:lang w:val="en-AU"/>
              </w:rPr>
              <w:t xml:space="preserve">Pooled </w:t>
            </w:r>
            <w:r w:rsidR="00C73ADE">
              <w:rPr>
                <w:sz w:val="20"/>
                <w:lang w:val="en-AU"/>
              </w:rPr>
              <w:t>PREVENAR 20</w:t>
            </w:r>
            <w:r w:rsidRPr="008B5AAD">
              <w:rPr>
                <w:sz w:val="20"/>
                <w:lang w:val="en-AU"/>
              </w:rPr>
              <w:t>: 1463</w:t>
            </w:r>
          </w:p>
          <w:p w14:paraId="7BE8A275" w14:textId="7BC292E2" w:rsidR="008B5AAD" w:rsidRPr="008B5AAD" w:rsidRDefault="00C73ADE" w:rsidP="008B5AAD">
            <w:pPr>
              <w:rPr>
                <w:sz w:val="20"/>
                <w:lang w:val="en-AU"/>
              </w:rPr>
            </w:pPr>
            <w:r>
              <w:rPr>
                <w:sz w:val="20"/>
                <w:lang w:val="en-AU"/>
              </w:rPr>
              <w:t>Prevenar 13</w:t>
            </w:r>
            <w:r w:rsidR="008B5AAD" w:rsidRPr="008B5AAD">
              <w:rPr>
                <w:sz w:val="20"/>
                <w:lang w:val="en-AU"/>
              </w:rPr>
              <w:t>: 245</w:t>
            </w:r>
          </w:p>
        </w:tc>
        <w:tc>
          <w:tcPr>
            <w:tcW w:w="2211" w:type="dxa"/>
            <w:gridSpan w:val="2"/>
          </w:tcPr>
          <w:p w14:paraId="2059639E" w14:textId="7289D99E" w:rsidR="008B5AAD" w:rsidRPr="008B5AAD" w:rsidRDefault="008B5AAD" w:rsidP="008B5AAD">
            <w:pPr>
              <w:autoSpaceDE w:val="0"/>
              <w:autoSpaceDN w:val="0"/>
              <w:adjustRightInd w:val="0"/>
              <w:spacing w:after="0"/>
              <w:jc w:val="left"/>
              <w:rPr>
                <w:sz w:val="20"/>
                <w:lang w:val="en-AU"/>
              </w:rPr>
            </w:pPr>
            <w:r w:rsidRPr="008B5AAD">
              <w:rPr>
                <w:sz w:val="20"/>
                <w:lang w:val="en-AU"/>
              </w:rPr>
              <w:t xml:space="preserve">Pooled </w:t>
            </w:r>
            <w:r w:rsidR="00C73ADE">
              <w:rPr>
                <w:sz w:val="20"/>
                <w:lang w:val="en-AU"/>
              </w:rPr>
              <w:t>PREVENAR 20</w:t>
            </w:r>
            <w:r w:rsidRPr="008B5AAD">
              <w:rPr>
                <w:sz w:val="20"/>
                <w:lang w:val="en-AU"/>
              </w:rPr>
              <w:t>:</w:t>
            </w:r>
          </w:p>
          <w:p w14:paraId="204F59E6"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Sex: 492 M/971 F</w:t>
            </w:r>
          </w:p>
          <w:p w14:paraId="1F389A8F"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Age: mean (min/max):</w:t>
            </w:r>
          </w:p>
          <w:p w14:paraId="598E16CC"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35.4 (18/49) years</w:t>
            </w:r>
          </w:p>
          <w:p w14:paraId="3B0D6873" w14:textId="2D6E7A5C" w:rsidR="008B5AAD" w:rsidRPr="008B5AAD" w:rsidRDefault="00C73ADE" w:rsidP="008B5AAD">
            <w:pPr>
              <w:autoSpaceDE w:val="0"/>
              <w:autoSpaceDN w:val="0"/>
              <w:adjustRightInd w:val="0"/>
              <w:spacing w:after="0"/>
              <w:jc w:val="left"/>
              <w:rPr>
                <w:sz w:val="20"/>
                <w:lang w:val="en-AU"/>
              </w:rPr>
            </w:pPr>
            <w:r>
              <w:rPr>
                <w:sz w:val="20"/>
                <w:lang w:val="en-AU"/>
              </w:rPr>
              <w:t>Prevenar 13</w:t>
            </w:r>
            <w:r w:rsidR="008B5AAD" w:rsidRPr="008B5AAD">
              <w:rPr>
                <w:sz w:val="20"/>
                <w:lang w:val="en-AU"/>
              </w:rPr>
              <w:t>:</w:t>
            </w:r>
          </w:p>
          <w:p w14:paraId="0C6CE38A"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Sex: 101 M/144 F</w:t>
            </w:r>
          </w:p>
          <w:p w14:paraId="4861DDDA" w14:textId="77777777" w:rsidR="008B5AAD" w:rsidRPr="008B5AAD" w:rsidRDefault="008B5AAD" w:rsidP="008B5AAD">
            <w:pPr>
              <w:autoSpaceDE w:val="0"/>
              <w:autoSpaceDN w:val="0"/>
              <w:adjustRightInd w:val="0"/>
              <w:spacing w:after="0"/>
              <w:jc w:val="left"/>
              <w:rPr>
                <w:sz w:val="20"/>
                <w:lang w:val="en-AU"/>
              </w:rPr>
            </w:pPr>
            <w:r w:rsidRPr="008B5AAD">
              <w:rPr>
                <w:sz w:val="20"/>
                <w:lang w:val="en-AU"/>
              </w:rPr>
              <w:t>Age: mean (min/max):</w:t>
            </w:r>
          </w:p>
          <w:p w14:paraId="26AD4BB5" w14:textId="6D88E14A" w:rsidR="008B5AAD" w:rsidRPr="008B5AAD" w:rsidRDefault="008B5AAD" w:rsidP="008B5AAD">
            <w:pPr>
              <w:rPr>
                <w:sz w:val="20"/>
                <w:lang w:val="en-AU"/>
              </w:rPr>
            </w:pPr>
            <w:r w:rsidRPr="008B5AAD">
              <w:rPr>
                <w:sz w:val="20"/>
                <w:lang w:val="en-AU"/>
              </w:rPr>
              <w:t>35.0 (18/49) years</w:t>
            </w:r>
          </w:p>
        </w:tc>
      </w:tr>
    </w:tbl>
    <w:p w14:paraId="75CF7979" w14:textId="5DEBA705" w:rsidR="00171061" w:rsidRPr="00171061" w:rsidRDefault="00171061" w:rsidP="00171061">
      <w:pPr>
        <w:autoSpaceDE w:val="0"/>
        <w:autoSpaceDN w:val="0"/>
        <w:adjustRightInd w:val="0"/>
        <w:spacing w:after="0"/>
        <w:jc w:val="left"/>
        <w:rPr>
          <w:sz w:val="20"/>
          <w:lang w:val="en-AU"/>
        </w:rPr>
      </w:pPr>
      <w:r w:rsidRPr="00171061">
        <w:rPr>
          <w:sz w:val="20"/>
          <w:lang w:val="en-AU"/>
        </w:rPr>
        <w:t>Abbreviations: M: male; F: female</w:t>
      </w:r>
    </w:p>
    <w:p w14:paraId="337412AA" w14:textId="77777777" w:rsidR="00171061" w:rsidRPr="00171061" w:rsidRDefault="00171061" w:rsidP="00171061">
      <w:pPr>
        <w:autoSpaceDE w:val="0"/>
        <w:autoSpaceDN w:val="0"/>
        <w:adjustRightInd w:val="0"/>
        <w:spacing w:after="0"/>
        <w:jc w:val="left"/>
        <w:rPr>
          <w:sz w:val="20"/>
          <w:lang w:val="en-AU"/>
        </w:rPr>
      </w:pPr>
      <w:r w:rsidRPr="00171061">
        <w:rPr>
          <w:sz w:val="20"/>
          <w:lang w:val="en-AU"/>
        </w:rPr>
        <w:t>a. Number of subjects vaccinated.</w:t>
      </w:r>
    </w:p>
    <w:p w14:paraId="6E0077CA" w14:textId="5A5FCB59" w:rsidR="008B5AAD" w:rsidRPr="00171061" w:rsidRDefault="00171061" w:rsidP="00171061">
      <w:pPr>
        <w:autoSpaceDE w:val="0"/>
        <w:autoSpaceDN w:val="0"/>
        <w:adjustRightInd w:val="0"/>
        <w:spacing w:after="0"/>
        <w:jc w:val="left"/>
        <w:rPr>
          <w:szCs w:val="22"/>
          <w:lang w:val="en-AU"/>
        </w:rPr>
      </w:pPr>
      <w:r w:rsidRPr="00171061">
        <w:rPr>
          <w:sz w:val="20"/>
          <w:lang w:val="en-AU"/>
        </w:rPr>
        <w:t>b. One subject was incorrectly enrolled in Cohort 3 (18-49 years of age) rather than Cohort 1 (≥60 years of age), and one subject was incorrectly enrolled in Cohort 2 (50-59 years of age) rather than Cohort 3 (18-49 years of age).</w:t>
      </w:r>
    </w:p>
    <w:p w14:paraId="7D913ADD" w14:textId="34D48730" w:rsidR="00B01F15" w:rsidRPr="005422B9" w:rsidRDefault="00B01F15" w:rsidP="00B675C9">
      <w:pPr>
        <w:pStyle w:val="Heading3"/>
        <w:rPr>
          <w:lang w:val="en-AU"/>
        </w:rPr>
      </w:pPr>
      <w:r w:rsidRPr="005422B9">
        <w:rPr>
          <w:lang w:val="en-AU"/>
        </w:rPr>
        <w:t xml:space="preserve">Comparison of </w:t>
      </w:r>
      <w:r w:rsidRPr="005422B9">
        <w:rPr>
          <w:bCs/>
          <w:lang w:val="en-AU"/>
        </w:rPr>
        <w:t>immune responses</w:t>
      </w:r>
      <w:r w:rsidRPr="005422B9">
        <w:rPr>
          <w:lang w:val="en-AU"/>
        </w:rPr>
        <w:t xml:space="preserve"> of PREVENAR 20 to Prevenar 13</w:t>
      </w:r>
      <w:r w:rsidRPr="005422B9" w:rsidDel="00303CB8">
        <w:rPr>
          <w:lang w:val="en-AU"/>
        </w:rPr>
        <w:t xml:space="preserve"> </w:t>
      </w:r>
      <w:r w:rsidRPr="005422B9">
        <w:rPr>
          <w:lang w:val="en-AU"/>
        </w:rPr>
        <w:t xml:space="preserve">and </w:t>
      </w:r>
      <w:r w:rsidR="001A517E" w:rsidRPr="00D65C16">
        <w:rPr>
          <w:bCs/>
          <w:lang w:val="en-AU"/>
        </w:rPr>
        <w:t>23vPPV</w:t>
      </w:r>
      <w:r w:rsidR="00D65C16" w:rsidRPr="00D65C16">
        <w:rPr>
          <w:bCs/>
          <w:lang w:val="en-AU"/>
        </w:rPr>
        <w:t xml:space="preserve"> in Pneumococcal Vaccine Naïve Adults</w:t>
      </w:r>
    </w:p>
    <w:p w14:paraId="66EB0BA4" w14:textId="27D7FCFC" w:rsidR="00B01F15" w:rsidRPr="005422B9" w:rsidRDefault="00B01F15" w:rsidP="00B01F15">
      <w:pPr>
        <w:autoSpaceDE w:val="0"/>
        <w:autoSpaceDN w:val="0"/>
        <w:adjustRightInd w:val="0"/>
        <w:rPr>
          <w:rFonts w:eastAsia="MS Mincho"/>
          <w:szCs w:val="22"/>
          <w:lang w:val="en-AU"/>
        </w:rPr>
      </w:pPr>
      <w:bookmarkStart w:id="17" w:name="_Hlk38357253"/>
      <w:r w:rsidRPr="005422B9">
        <w:rPr>
          <w:rFonts w:eastAsia="MS Mincho"/>
          <w:szCs w:val="22"/>
          <w:lang w:val="en-AU"/>
        </w:rPr>
        <w:t>In a randomised, active-controlled, double-blind non</w:t>
      </w:r>
      <w:r w:rsidRPr="005422B9">
        <w:rPr>
          <w:rFonts w:eastAsia="MS Mincho"/>
          <w:szCs w:val="22"/>
          <w:lang w:val="en-AU"/>
        </w:rPr>
        <w:noBreakHyphen/>
        <w:t>inferiority clinical trial (</w:t>
      </w:r>
      <w:r w:rsidR="002E7809">
        <w:rPr>
          <w:rFonts w:eastAsia="MS Mincho"/>
          <w:szCs w:val="22"/>
          <w:lang w:val="en-AU"/>
        </w:rPr>
        <w:t xml:space="preserve">Pivotal </w:t>
      </w:r>
      <w:r w:rsidRPr="005422B9">
        <w:rPr>
          <w:rFonts w:eastAsia="MS Mincho"/>
          <w:szCs w:val="22"/>
          <w:lang w:val="en-AU"/>
        </w:rPr>
        <w:t>Study 1007) of PREVENAR 20 in the United States and Sweden, pneumococcal vaccine</w:t>
      </w:r>
      <w:r w:rsidRPr="005422B9">
        <w:rPr>
          <w:rFonts w:eastAsia="MS Mincho"/>
          <w:szCs w:val="22"/>
          <w:lang w:val="en-AU"/>
        </w:rPr>
        <w:noBreakHyphen/>
        <w:t xml:space="preserve">naïve adults 18 years of age and older were enrolled into 1 of 3 cohorts based on their age at </w:t>
      </w:r>
      <w:r w:rsidR="001C00C4">
        <w:rPr>
          <w:rFonts w:eastAsia="MS Mincho"/>
          <w:szCs w:val="22"/>
        </w:rPr>
        <w:t>enrolment</w:t>
      </w:r>
      <w:r w:rsidR="00C32451">
        <w:rPr>
          <w:rFonts w:eastAsia="MS Mincho"/>
          <w:szCs w:val="22"/>
        </w:rPr>
        <w:t xml:space="preserve"> (18 to 49, 50 to 59, and </w:t>
      </w:r>
      <w:r w:rsidR="00C32451" w:rsidRPr="00EE2AA4">
        <w:rPr>
          <w:rFonts w:eastAsia="MS Mincho"/>
          <w:szCs w:val="22"/>
        </w:rPr>
        <w:t>≥</w:t>
      </w:r>
      <w:r w:rsidR="00C32451">
        <w:rPr>
          <w:rFonts w:eastAsia="MS Mincho"/>
          <w:szCs w:val="22"/>
        </w:rPr>
        <w:t> 60</w:t>
      </w:r>
      <w:r w:rsidR="000A104A">
        <w:rPr>
          <w:rFonts w:eastAsia="MS Mincho"/>
          <w:szCs w:val="22"/>
        </w:rPr>
        <w:t xml:space="preserve"> </w:t>
      </w:r>
      <w:r w:rsidR="00C32451">
        <w:rPr>
          <w:rFonts w:eastAsia="MS Mincho"/>
          <w:szCs w:val="22"/>
        </w:rPr>
        <w:t>years of age)</w:t>
      </w:r>
      <w:r w:rsidR="000A104A">
        <w:rPr>
          <w:rFonts w:eastAsia="MS Mincho"/>
          <w:szCs w:val="22"/>
        </w:rPr>
        <w:t xml:space="preserve"> </w:t>
      </w:r>
      <w:r w:rsidR="001C00C4">
        <w:rPr>
          <w:rFonts w:eastAsia="MS Mincho"/>
          <w:szCs w:val="22"/>
          <w:lang w:val="en-AU"/>
        </w:rPr>
        <w:t>enrolment</w:t>
      </w:r>
      <w:r w:rsidR="00D65C16">
        <w:rPr>
          <w:rFonts w:eastAsia="MS Mincho"/>
          <w:szCs w:val="22"/>
          <w:lang w:val="en-AU"/>
        </w:rPr>
        <w:t xml:space="preserve"> </w:t>
      </w:r>
      <w:r w:rsidRPr="005422B9">
        <w:rPr>
          <w:rFonts w:eastAsia="MS Mincho"/>
          <w:szCs w:val="22"/>
          <w:lang w:val="en-AU"/>
        </w:rPr>
        <w:t xml:space="preserve">and </w:t>
      </w:r>
      <w:r w:rsidR="0016709B" w:rsidRPr="005422B9">
        <w:rPr>
          <w:rFonts w:eastAsia="MS Mincho"/>
          <w:szCs w:val="22"/>
          <w:lang w:val="en-AU"/>
        </w:rPr>
        <w:t>randomised</w:t>
      </w:r>
      <w:r w:rsidRPr="005422B9">
        <w:rPr>
          <w:rFonts w:eastAsia="MS Mincho"/>
          <w:szCs w:val="22"/>
          <w:lang w:val="en-AU"/>
        </w:rPr>
        <w:t xml:space="preserve"> to receive either PREVENAR</w:t>
      </w:r>
      <w:r w:rsidR="000A104A">
        <w:rPr>
          <w:rFonts w:eastAsia="MS Mincho"/>
          <w:szCs w:val="22"/>
          <w:lang w:val="en-AU"/>
        </w:rPr>
        <w:t> </w:t>
      </w:r>
      <w:r w:rsidRPr="005422B9">
        <w:rPr>
          <w:rFonts w:eastAsia="MS Mincho"/>
          <w:szCs w:val="22"/>
          <w:lang w:val="en-AU"/>
        </w:rPr>
        <w:t>20 or control. Participants</w:t>
      </w:r>
      <w:r w:rsidRPr="005422B9">
        <w:rPr>
          <w:rFonts w:eastAsia="MS Mincho"/>
          <w:color w:val="00B050"/>
          <w:szCs w:val="22"/>
          <w:lang w:val="en-AU"/>
        </w:rPr>
        <w:t xml:space="preserve"> </w:t>
      </w:r>
      <w:r w:rsidRPr="005422B9">
        <w:rPr>
          <w:rFonts w:eastAsia="MS Mincho"/>
          <w:szCs w:val="22"/>
          <w:lang w:val="en-AU"/>
        </w:rPr>
        <w:t xml:space="preserve">60 years of age and older were </w:t>
      </w:r>
      <w:r w:rsidR="00F67AA0" w:rsidRPr="005422B9">
        <w:rPr>
          <w:rFonts w:eastAsia="MS Mincho"/>
          <w:szCs w:val="22"/>
          <w:lang w:val="en-AU"/>
        </w:rPr>
        <w:t xml:space="preserve">randomised </w:t>
      </w:r>
      <w:r w:rsidRPr="005422B9">
        <w:rPr>
          <w:rFonts w:eastAsia="MS Mincho"/>
          <w:szCs w:val="22"/>
          <w:lang w:val="en-AU"/>
        </w:rPr>
        <w:t>(1:1</w:t>
      </w:r>
      <w:r w:rsidR="000A104A">
        <w:rPr>
          <w:rFonts w:eastAsia="MS Mincho"/>
          <w:szCs w:val="22"/>
          <w:lang w:val="en-AU"/>
        </w:rPr>
        <w:t xml:space="preserve"> </w:t>
      </w:r>
      <w:r w:rsidRPr="005422B9">
        <w:rPr>
          <w:rFonts w:eastAsia="MS Mincho"/>
          <w:szCs w:val="22"/>
          <w:lang w:val="en-AU"/>
        </w:rPr>
        <w:t xml:space="preserve">ratio) </w:t>
      </w:r>
      <w:r w:rsidR="00F67AA0">
        <w:rPr>
          <w:rFonts w:eastAsia="MS Mincho"/>
          <w:szCs w:val="22"/>
          <w:lang w:val="en-AU"/>
        </w:rPr>
        <w:t>and received</w:t>
      </w:r>
      <w:r w:rsidR="00F67AA0" w:rsidRPr="005422B9">
        <w:rPr>
          <w:rFonts w:eastAsia="MS Mincho"/>
          <w:szCs w:val="22"/>
          <w:lang w:val="en-AU"/>
        </w:rPr>
        <w:t xml:space="preserve"> </w:t>
      </w:r>
      <w:r w:rsidRPr="005422B9">
        <w:rPr>
          <w:rFonts w:eastAsia="MS Mincho"/>
          <w:szCs w:val="22"/>
          <w:lang w:val="en-AU"/>
        </w:rPr>
        <w:t xml:space="preserve">PREVENAR 20 </w:t>
      </w:r>
      <w:r w:rsidR="00F67AA0">
        <w:rPr>
          <w:rFonts w:eastAsia="MS Mincho"/>
          <w:szCs w:val="22"/>
          <w:lang w:val="en-AU"/>
        </w:rPr>
        <w:t xml:space="preserve">(n = 1,507) </w:t>
      </w:r>
      <w:r w:rsidRPr="005422B9">
        <w:rPr>
          <w:rFonts w:eastAsia="MS Mincho"/>
          <w:szCs w:val="22"/>
          <w:lang w:val="en-AU"/>
        </w:rPr>
        <w:t xml:space="preserve">followed 1 month later with saline placebo or Prevenar </w:t>
      </w:r>
      <w:r w:rsidRPr="005422B9">
        <w:rPr>
          <w:szCs w:val="22"/>
          <w:lang w:val="en-AU"/>
        </w:rPr>
        <w:t>13</w:t>
      </w:r>
      <w:r w:rsidRPr="005422B9" w:rsidDel="00303CB8">
        <w:rPr>
          <w:rFonts w:eastAsia="MS Mincho"/>
          <w:szCs w:val="22"/>
          <w:lang w:val="en-AU"/>
        </w:rPr>
        <w:t xml:space="preserve"> </w:t>
      </w:r>
      <w:r w:rsidR="00F67AA0">
        <w:rPr>
          <w:rFonts w:eastAsia="MS Mincho"/>
          <w:szCs w:val="22"/>
          <w:lang w:val="en-AU"/>
        </w:rPr>
        <w:t xml:space="preserve">(n = 1,490) </w:t>
      </w:r>
      <w:r w:rsidRPr="005422B9">
        <w:rPr>
          <w:rFonts w:eastAsia="MS Mincho"/>
          <w:szCs w:val="22"/>
          <w:lang w:val="en-AU"/>
        </w:rPr>
        <w:t xml:space="preserve">followed 1 month later with </w:t>
      </w:r>
      <w:r w:rsidR="001A517E" w:rsidRPr="005422B9">
        <w:rPr>
          <w:rFonts w:eastAsia="MS Mincho"/>
          <w:szCs w:val="22"/>
          <w:lang w:val="en-AU"/>
        </w:rPr>
        <w:t>23vPPV</w:t>
      </w:r>
      <w:r w:rsidRPr="005422B9">
        <w:rPr>
          <w:rFonts w:eastAsia="MS Mincho"/>
          <w:szCs w:val="22"/>
          <w:lang w:val="en-AU"/>
        </w:rPr>
        <w:t xml:space="preserve">. </w:t>
      </w:r>
      <w:r w:rsidR="00F67AA0">
        <w:rPr>
          <w:rFonts w:eastAsia="MS Mincho"/>
          <w:szCs w:val="22"/>
        </w:rPr>
        <w:t>Participants 18 to 49</w:t>
      </w:r>
      <w:r w:rsidR="000A104A">
        <w:rPr>
          <w:rFonts w:eastAsia="MS Mincho"/>
          <w:szCs w:val="22"/>
        </w:rPr>
        <w:t xml:space="preserve"> </w:t>
      </w:r>
      <w:r w:rsidR="00F67AA0">
        <w:rPr>
          <w:rFonts w:eastAsia="MS Mincho"/>
          <w:szCs w:val="22"/>
        </w:rPr>
        <w:t>years of age and 50</w:t>
      </w:r>
      <w:r w:rsidR="000A104A">
        <w:rPr>
          <w:rFonts w:eastAsia="MS Mincho"/>
          <w:szCs w:val="22"/>
        </w:rPr>
        <w:t xml:space="preserve"> </w:t>
      </w:r>
      <w:r w:rsidR="00F67AA0">
        <w:rPr>
          <w:rFonts w:eastAsia="MS Mincho"/>
          <w:szCs w:val="22"/>
        </w:rPr>
        <w:t>to</w:t>
      </w:r>
      <w:r w:rsidR="000A104A">
        <w:rPr>
          <w:rFonts w:eastAsia="MS Mincho"/>
          <w:szCs w:val="22"/>
        </w:rPr>
        <w:t xml:space="preserve"> </w:t>
      </w:r>
      <w:r w:rsidR="00F67AA0">
        <w:rPr>
          <w:rFonts w:eastAsia="MS Mincho"/>
          <w:szCs w:val="22"/>
        </w:rPr>
        <w:t>59</w:t>
      </w:r>
      <w:r w:rsidR="000A104A">
        <w:rPr>
          <w:rFonts w:eastAsia="MS Mincho"/>
          <w:szCs w:val="22"/>
        </w:rPr>
        <w:t xml:space="preserve"> </w:t>
      </w:r>
      <w:r w:rsidR="00F67AA0">
        <w:rPr>
          <w:rFonts w:eastAsia="MS Mincho"/>
          <w:szCs w:val="22"/>
        </w:rPr>
        <w:t xml:space="preserve">years of age were randomly assigned (3:1 ratio) and received a dose of </w:t>
      </w:r>
      <w:r w:rsidR="001C00C4">
        <w:rPr>
          <w:szCs w:val="22"/>
        </w:rPr>
        <w:t>PREVENAR 20</w:t>
      </w:r>
      <w:r w:rsidR="00F67AA0">
        <w:rPr>
          <w:rFonts w:eastAsia="MS Mincho"/>
          <w:szCs w:val="22"/>
        </w:rPr>
        <w:t xml:space="preserve"> (18</w:t>
      </w:r>
      <w:r w:rsidR="000A104A">
        <w:rPr>
          <w:rFonts w:eastAsia="MS Mincho"/>
          <w:szCs w:val="22"/>
        </w:rPr>
        <w:t xml:space="preserve"> </w:t>
      </w:r>
      <w:r w:rsidR="00F67AA0">
        <w:rPr>
          <w:rFonts w:eastAsia="MS Mincho"/>
          <w:szCs w:val="22"/>
        </w:rPr>
        <w:t>to</w:t>
      </w:r>
      <w:r w:rsidR="000A104A">
        <w:rPr>
          <w:rFonts w:eastAsia="MS Mincho"/>
          <w:szCs w:val="22"/>
        </w:rPr>
        <w:t xml:space="preserve"> </w:t>
      </w:r>
      <w:r w:rsidR="00F67AA0">
        <w:rPr>
          <w:rFonts w:eastAsia="MS Mincho"/>
          <w:szCs w:val="22"/>
        </w:rPr>
        <w:t>49</w:t>
      </w:r>
      <w:r w:rsidR="000A104A">
        <w:rPr>
          <w:rFonts w:eastAsia="MS Mincho"/>
          <w:szCs w:val="22"/>
        </w:rPr>
        <w:t xml:space="preserve"> </w:t>
      </w:r>
      <w:r w:rsidR="00F67AA0">
        <w:rPr>
          <w:rFonts w:eastAsia="MS Mincho"/>
          <w:szCs w:val="22"/>
        </w:rPr>
        <w:t>years of age: n = 335, 50</w:t>
      </w:r>
      <w:r w:rsidR="000A104A">
        <w:rPr>
          <w:rFonts w:eastAsia="MS Mincho"/>
          <w:szCs w:val="22"/>
        </w:rPr>
        <w:t xml:space="preserve"> </w:t>
      </w:r>
      <w:r w:rsidR="00F67AA0">
        <w:rPr>
          <w:rFonts w:eastAsia="MS Mincho"/>
          <w:szCs w:val="22"/>
        </w:rPr>
        <w:t>to</w:t>
      </w:r>
      <w:r w:rsidR="000A104A">
        <w:rPr>
          <w:rFonts w:eastAsia="MS Mincho"/>
          <w:szCs w:val="22"/>
        </w:rPr>
        <w:t xml:space="preserve"> </w:t>
      </w:r>
      <w:r w:rsidR="00F67AA0">
        <w:rPr>
          <w:rFonts w:eastAsia="MS Mincho"/>
          <w:szCs w:val="22"/>
        </w:rPr>
        <w:t>59</w:t>
      </w:r>
      <w:r w:rsidR="000A104A">
        <w:rPr>
          <w:rFonts w:eastAsia="MS Mincho"/>
          <w:szCs w:val="22"/>
        </w:rPr>
        <w:t xml:space="preserve"> </w:t>
      </w:r>
      <w:r w:rsidR="00F67AA0">
        <w:rPr>
          <w:rFonts w:eastAsia="MS Mincho"/>
          <w:szCs w:val="22"/>
        </w:rPr>
        <w:t>years of age: n = 334) or Prevenar 13 (18</w:t>
      </w:r>
      <w:r w:rsidR="000A104A">
        <w:rPr>
          <w:rFonts w:eastAsia="MS Mincho"/>
          <w:szCs w:val="22"/>
        </w:rPr>
        <w:t xml:space="preserve"> </w:t>
      </w:r>
      <w:r w:rsidR="00F67AA0">
        <w:rPr>
          <w:rFonts w:eastAsia="MS Mincho"/>
          <w:szCs w:val="22"/>
        </w:rPr>
        <w:t>to 49</w:t>
      </w:r>
      <w:r w:rsidR="000A104A">
        <w:rPr>
          <w:rFonts w:eastAsia="MS Mincho"/>
          <w:szCs w:val="22"/>
        </w:rPr>
        <w:t xml:space="preserve"> </w:t>
      </w:r>
      <w:r w:rsidR="00F67AA0">
        <w:rPr>
          <w:rFonts w:eastAsia="MS Mincho"/>
          <w:szCs w:val="22"/>
        </w:rPr>
        <w:t>years of age: n = 112, 50</w:t>
      </w:r>
      <w:r w:rsidR="000A104A">
        <w:rPr>
          <w:rFonts w:eastAsia="MS Mincho"/>
          <w:szCs w:val="22"/>
        </w:rPr>
        <w:t xml:space="preserve"> </w:t>
      </w:r>
      <w:r w:rsidR="00F67AA0">
        <w:rPr>
          <w:rFonts w:eastAsia="MS Mincho"/>
          <w:szCs w:val="22"/>
        </w:rPr>
        <w:t>to</w:t>
      </w:r>
      <w:r w:rsidR="000A104A">
        <w:rPr>
          <w:rFonts w:eastAsia="MS Mincho"/>
          <w:szCs w:val="22"/>
        </w:rPr>
        <w:t xml:space="preserve"> </w:t>
      </w:r>
      <w:r w:rsidR="00F67AA0">
        <w:rPr>
          <w:rFonts w:eastAsia="MS Mincho"/>
          <w:szCs w:val="22"/>
        </w:rPr>
        <w:t>59</w:t>
      </w:r>
      <w:r w:rsidR="000A104A">
        <w:rPr>
          <w:rFonts w:eastAsia="MS Mincho"/>
          <w:szCs w:val="22"/>
        </w:rPr>
        <w:t xml:space="preserve"> </w:t>
      </w:r>
      <w:r w:rsidR="00F67AA0">
        <w:rPr>
          <w:rFonts w:eastAsia="MS Mincho"/>
          <w:szCs w:val="22"/>
        </w:rPr>
        <w:t>years of age: n = 111).</w:t>
      </w:r>
      <w:r w:rsidR="00FD06BC">
        <w:rPr>
          <w:rFonts w:eastAsia="MS Mincho"/>
          <w:szCs w:val="22"/>
        </w:rPr>
        <w:t xml:space="preserve"> </w:t>
      </w:r>
    </w:p>
    <w:p w14:paraId="11B6293A" w14:textId="233C4E46" w:rsidR="00B01F15" w:rsidRPr="005422B9" w:rsidRDefault="00B01F15" w:rsidP="00B01F15">
      <w:pPr>
        <w:rPr>
          <w:rFonts w:eastAsia="MS Mincho"/>
          <w:szCs w:val="22"/>
          <w:lang w:val="en-AU"/>
        </w:rPr>
      </w:pPr>
      <w:r w:rsidRPr="005422B9">
        <w:rPr>
          <w:rFonts w:eastAsia="MS Mincho"/>
          <w:szCs w:val="22"/>
          <w:lang w:val="en-AU"/>
        </w:rPr>
        <w:t>Serotype-specific OPA geometric mean titres (GMTs) were measured before the first vaccination and 1 month after each vaccination. Non</w:t>
      </w:r>
      <w:r w:rsidRPr="005422B9">
        <w:rPr>
          <w:rFonts w:eastAsia="MS Mincho"/>
          <w:szCs w:val="22"/>
          <w:lang w:val="en-AU"/>
        </w:rPr>
        <w:noBreakHyphen/>
        <w:t>inferiority of immune responses, OPA GMTs 1 month after vaccination, with PREVENAR 20 to a control vaccine for a serotype was declared if the lower bound of the 2</w:t>
      </w:r>
      <w:r w:rsidRPr="005422B9">
        <w:rPr>
          <w:rFonts w:eastAsia="MS Mincho"/>
          <w:szCs w:val="22"/>
          <w:lang w:val="en-AU"/>
        </w:rPr>
        <w:noBreakHyphen/>
        <w:t>sided 95% confidence interval (CI) for the GMT ratio (PREVENAR 20/Prevenar </w:t>
      </w:r>
      <w:r w:rsidRPr="005422B9">
        <w:rPr>
          <w:szCs w:val="22"/>
          <w:lang w:val="en-AU"/>
        </w:rPr>
        <w:t>13</w:t>
      </w:r>
      <w:r w:rsidRPr="005422B9">
        <w:rPr>
          <w:rFonts w:eastAsia="MS Mincho"/>
          <w:szCs w:val="22"/>
          <w:lang w:val="en-AU"/>
        </w:rPr>
        <w:t>; PREVENAR 20/</w:t>
      </w:r>
      <w:r w:rsidR="001A517E" w:rsidRPr="005422B9">
        <w:rPr>
          <w:rFonts w:eastAsia="MS Mincho"/>
          <w:szCs w:val="22"/>
          <w:lang w:val="en-AU"/>
        </w:rPr>
        <w:t>23vPPV</w:t>
      </w:r>
      <w:r w:rsidRPr="005422B9">
        <w:rPr>
          <w:rFonts w:eastAsia="MS Mincho"/>
          <w:szCs w:val="22"/>
          <w:lang w:val="en-AU"/>
        </w:rPr>
        <w:t xml:space="preserve">) for that serotype was greater than 0.5. </w:t>
      </w:r>
    </w:p>
    <w:p w14:paraId="4DC8AAB1" w14:textId="0540CB00" w:rsidR="00F67AA0" w:rsidRPr="001D6BE3" w:rsidRDefault="00B01F15" w:rsidP="00B01F15">
      <w:pPr>
        <w:rPr>
          <w:rFonts w:eastAsia="MS Mincho"/>
          <w:szCs w:val="22"/>
          <w:lang w:val="en-AU"/>
        </w:rPr>
      </w:pPr>
      <w:r w:rsidRPr="001D6BE3">
        <w:rPr>
          <w:rFonts w:eastAsia="MS Mincho"/>
          <w:szCs w:val="22"/>
          <w:lang w:val="en-AU"/>
        </w:rPr>
        <w:lastRenderedPageBreak/>
        <w:t>In adults 60 years of age and older, immune responses to all 13 matched serotypes elicited by PREVENAR 20 were non</w:t>
      </w:r>
      <w:r w:rsidRPr="001D6BE3">
        <w:rPr>
          <w:rFonts w:eastAsia="MS Mincho"/>
          <w:szCs w:val="22"/>
          <w:lang w:val="en-AU"/>
        </w:rPr>
        <w:noBreakHyphen/>
        <w:t>inferior to the immune responses to the serotypes elicited by Prevenar </w:t>
      </w:r>
      <w:r w:rsidRPr="001D6BE3">
        <w:rPr>
          <w:szCs w:val="22"/>
          <w:lang w:val="en-AU"/>
        </w:rPr>
        <w:t>13</w:t>
      </w:r>
      <w:r w:rsidRPr="001D6BE3" w:rsidDel="00303CB8">
        <w:rPr>
          <w:rFonts w:eastAsia="MS Mincho"/>
          <w:szCs w:val="22"/>
          <w:lang w:val="en-AU"/>
        </w:rPr>
        <w:t xml:space="preserve"> </w:t>
      </w:r>
      <w:r w:rsidRPr="001D6BE3">
        <w:rPr>
          <w:rFonts w:eastAsia="MS Mincho"/>
          <w:szCs w:val="22"/>
          <w:lang w:val="en-AU"/>
        </w:rPr>
        <w:t>1</w:t>
      </w:r>
      <w:r w:rsidR="000A104A">
        <w:rPr>
          <w:rFonts w:eastAsia="MS Mincho"/>
          <w:szCs w:val="22"/>
          <w:lang w:val="en-AU"/>
        </w:rPr>
        <w:t xml:space="preserve"> </w:t>
      </w:r>
      <w:r w:rsidRPr="001D6BE3">
        <w:rPr>
          <w:rFonts w:eastAsia="MS Mincho"/>
          <w:szCs w:val="22"/>
          <w:lang w:val="en-AU"/>
        </w:rPr>
        <w:t xml:space="preserve">month after vaccination. </w:t>
      </w:r>
      <w:r w:rsidR="000A104A">
        <w:rPr>
          <w:rFonts w:eastAsia="MS Mincho"/>
          <w:color w:val="00B050"/>
          <w:szCs w:val="22"/>
          <w:lang w:val="en-AU"/>
        </w:rPr>
        <w:t xml:space="preserve"> </w:t>
      </w:r>
      <w:r w:rsidRPr="001D6BE3">
        <w:rPr>
          <w:rFonts w:eastAsia="MS Mincho"/>
          <w:szCs w:val="22"/>
          <w:lang w:val="en-AU"/>
        </w:rPr>
        <w:t>Immune responses to 6</w:t>
      </w:r>
      <w:r w:rsidR="000A104A">
        <w:rPr>
          <w:rFonts w:eastAsia="MS Mincho"/>
          <w:szCs w:val="22"/>
          <w:lang w:val="en-AU"/>
        </w:rPr>
        <w:t xml:space="preserve"> </w:t>
      </w:r>
      <w:r w:rsidRPr="001D6BE3">
        <w:rPr>
          <w:rFonts w:eastAsia="MS Mincho"/>
          <w:szCs w:val="22"/>
          <w:lang w:val="en-AU"/>
        </w:rPr>
        <w:t>out of the 7</w:t>
      </w:r>
      <w:r w:rsidR="000A104A">
        <w:rPr>
          <w:rFonts w:eastAsia="MS Mincho"/>
          <w:szCs w:val="22"/>
          <w:lang w:val="en-AU"/>
        </w:rPr>
        <w:t xml:space="preserve"> </w:t>
      </w:r>
      <w:r w:rsidRPr="001D6BE3">
        <w:rPr>
          <w:rFonts w:eastAsia="MS Mincho"/>
          <w:szCs w:val="22"/>
          <w:lang w:val="en-AU"/>
        </w:rPr>
        <w:t>additional serotypes induced by PREVENAR 20 were non</w:t>
      </w:r>
      <w:r w:rsidRPr="001D6BE3">
        <w:rPr>
          <w:rFonts w:eastAsia="MS Mincho"/>
          <w:szCs w:val="22"/>
          <w:lang w:val="en-AU"/>
        </w:rPr>
        <w:noBreakHyphen/>
        <w:t xml:space="preserve">inferior to the immune responses to these same serotypes induced by </w:t>
      </w:r>
      <w:r w:rsidR="001A517E" w:rsidRPr="001D6BE3">
        <w:rPr>
          <w:rFonts w:eastAsia="MS Mincho"/>
          <w:szCs w:val="22"/>
          <w:lang w:val="en-AU"/>
        </w:rPr>
        <w:t>23vPPV</w:t>
      </w:r>
      <w:r w:rsidRPr="001D6BE3">
        <w:rPr>
          <w:rFonts w:eastAsia="MS Mincho"/>
          <w:szCs w:val="22"/>
          <w:lang w:val="en-AU"/>
        </w:rPr>
        <w:t xml:space="preserve"> one month after vaccination.</w:t>
      </w:r>
    </w:p>
    <w:p w14:paraId="631FD36D" w14:textId="002C0C7E" w:rsidR="00B01F15" w:rsidRPr="001D6BE3" w:rsidRDefault="00B01F15" w:rsidP="00B01F15">
      <w:pPr>
        <w:rPr>
          <w:rFonts w:eastAsia="MS Mincho"/>
          <w:szCs w:val="22"/>
          <w:lang w:val="en-AU"/>
        </w:rPr>
      </w:pPr>
      <w:r w:rsidRPr="001D6BE3">
        <w:rPr>
          <w:rFonts w:eastAsia="MS Mincho"/>
          <w:szCs w:val="22"/>
          <w:lang w:val="en-AU"/>
        </w:rPr>
        <w:t>The response to serotype 8 missed the pre-specified statistical non</w:t>
      </w:r>
      <w:r w:rsidRPr="001D6BE3">
        <w:rPr>
          <w:rFonts w:eastAsia="MS Mincho"/>
          <w:szCs w:val="22"/>
          <w:lang w:val="en-AU"/>
        </w:rPr>
        <w:noBreakHyphen/>
        <w:t>inferiority criterion (the lower bound of the 2</w:t>
      </w:r>
      <w:r w:rsidRPr="001D6BE3">
        <w:rPr>
          <w:rFonts w:eastAsia="MS Mincho"/>
          <w:szCs w:val="22"/>
          <w:lang w:val="en-AU"/>
        </w:rPr>
        <w:noBreakHyphen/>
        <w:t xml:space="preserve">sided 95% CI for the GMT ratio being 0.49 versus &gt;0.50) (Table </w:t>
      </w:r>
      <w:r w:rsidR="00171061">
        <w:rPr>
          <w:rFonts w:eastAsia="MS Mincho"/>
          <w:szCs w:val="22"/>
          <w:lang w:val="en-AU"/>
        </w:rPr>
        <w:t>6</w:t>
      </w:r>
      <w:r w:rsidRPr="001D6BE3">
        <w:rPr>
          <w:rFonts w:eastAsia="MS Mincho"/>
          <w:szCs w:val="22"/>
          <w:lang w:val="en-AU"/>
        </w:rPr>
        <w:t>)</w:t>
      </w:r>
      <w:r w:rsidR="000A104A">
        <w:rPr>
          <w:rFonts w:eastAsia="MS Mincho"/>
          <w:szCs w:val="22"/>
          <w:lang w:val="en-AU"/>
        </w:rPr>
        <w:t xml:space="preserve">.  </w:t>
      </w:r>
      <w:r w:rsidR="00F67AA0" w:rsidRPr="001D6BE3">
        <w:rPr>
          <w:rFonts w:eastAsia="MS Mincho"/>
        </w:rPr>
        <w:t xml:space="preserve">The clinical relevance of this single data point is unknown, </w:t>
      </w:r>
      <w:r w:rsidR="00F67AA0" w:rsidRPr="001D6BE3">
        <w:t>particularly since supportive analyses for other serotype 8 endpoints showed favourable outcomes</w:t>
      </w:r>
      <w:r w:rsidR="00F67AA0" w:rsidRPr="001D6BE3">
        <w:rPr>
          <w:rFonts w:eastAsia="MS Mincho"/>
        </w:rPr>
        <w:t xml:space="preserve">. These include 22.1 geometric mean fold rise (GMFR) from before vaccination to </w:t>
      </w:r>
      <w:proofErr w:type="gramStart"/>
      <w:r w:rsidR="00F67AA0" w:rsidRPr="001D6BE3">
        <w:rPr>
          <w:rFonts w:eastAsia="MS Mincho"/>
        </w:rPr>
        <w:t>1 month</w:t>
      </w:r>
      <w:proofErr w:type="gramEnd"/>
      <w:r w:rsidR="00F67AA0" w:rsidRPr="001D6BE3">
        <w:rPr>
          <w:rFonts w:eastAsia="MS Mincho"/>
        </w:rPr>
        <w:t xml:space="preserve"> post-vaccination, f</w:t>
      </w:r>
      <w:r w:rsidR="00F67AA0" w:rsidRPr="001D6BE3">
        <w:rPr>
          <w:szCs w:val="22"/>
          <w:lang w:eastAsia="en-GB"/>
        </w:rPr>
        <w:t xml:space="preserve">or </w:t>
      </w:r>
      <w:r w:rsidR="00F67AA0" w:rsidRPr="001D6BE3">
        <w:rPr>
          <w:szCs w:val="22"/>
        </w:rPr>
        <w:t xml:space="preserve">serotype 8 in the </w:t>
      </w:r>
      <w:r w:rsidR="001C00C4" w:rsidRPr="001D6BE3">
        <w:rPr>
          <w:szCs w:val="22"/>
        </w:rPr>
        <w:t>PREVENAR 20</w:t>
      </w:r>
      <w:r w:rsidR="00F67AA0" w:rsidRPr="001D6BE3">
        <w:rPr>
          <w:szCs w:val="22"/>
        </w:rPr>
        <w:t xml:space="preserve"> group, 77.8% of participants achieved a ≥ 4-fold rise in OPA titres from before vaccination to 1 month after vaccination, and 92.9% of participants achieved OPA titres ≥ LLOQ 1 month after vaccination; these were within the corresponding ranges observed for the 13 serotypes in the Prevenar 13 control group</w:t>
      </w:r>
      <w:r w:rsidR="00F67AA0" w:rsidRPr="001D6BE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917"/>
        <w:gridCol w:w="1930"/>
        <w:gridCol w:w="1923"/>
        <w:gridCol w:w="1798"/>
      </w:tblGrid>
      <w:tr w:rsidR="00B01F15" w:rsidRPr="005422B9" w14:paraId="69C6B0E4" w14:textId="77777777" w:rsidTr="00B01F15">
        <w:trPr>
          <w:cantSplit/>
          <w:tblHeader/>
        </w:trPr>
        <w:tc>
          <w:tcPr>
            <w:tcW w:w="5000" w:type="pct"/>
            <w:gridSpan w:val="5"/>
            <w:tcBorders>
              <w:top w:val="nil"/>
              <w:left w:val="nil"/>
              <w:right w:val="nil"/>
            </w:tcBorders>
            <w:shd w:val="clear" w:color="auto" w:fill="auto"/>
          </w:tcPr>
          <w:p w14:paraId="0AAEAA44" w14:textId="34E7DE4B" w:rsidR="00B01F15" w:rsidRPr="005422B9" w:rsidRDefault="00B01F15" w:rsidP="00B675C9">
            <w:pPr>
              <w:keepNext/>
              <w:tabs>
                <w:tab w:val="left" w:pos="1080"/>
              </w:tabs>
              <w:overflowPunct w:val="0"/>
              <w:autoSpaceDE w:val="0"/>
              <w:autoSpaceDN w:val="0"/>
              <w:adjustRightInd w:val="0"/>
              <w:spacing w:after="0"/>
              <w:ind w:left="1080" w:hanging="1080"/>
              <w:textAlignment w:val="baseline"/>
              <w:rPr>
                <w:szCs w:val="22"/>
                <w:lang w:val="en-AU"/>
              </w:rPr>
            </w:pPr>
            <w:r w:rsidRPr="001D6BE3">
              <w:rPr>
                <w:b/>
                <w:bCs/>
                <w:color w:val="000000"/>
                <w:szCs w:val="22"/>
                <w:lang w:val="en-AU"/>
              </w:rPr>
              <w:t xml:space="preserve">Table </w:t>
            </w:r>
            <w:r w:rsidR="00171061">
              <w:rPr>
                <w:b/>
                <w:bCs/>
                <w:color w:val="000000"/>
                <w:szCs w:val="22"/>
                <w:lang w:val="en-AU"/>
              </w:rPr>
              <w:t>6</w:t>
            </w:r>
            <w:r w:rsidRPr="001D6BE3">
              <w:rPr>
                <w:b/>
                <w:bCs/>
                <w:color w:val="000000"/>
                <w:szCs w:val="22"/>
                <w:lang w:val="en-AU"/>
              </w:rPr>
              <w:t>.</w:t>
            </w:r>
            <w:r w:rsidRPr="001D6BE3">
              <w:rPr>
                <w:b/>
                <w:bCs/>
                <w:color w:val="000000"/>
                <w:szCs w:val="22"/>
                <w:lang w:val="en-AU"/>
              </w:rPr>
              <w:tab/>
              <w:t>OPA GMTs 1 month after vaccination in adults 60 years of age and older given PREVENAR 20 compared to Prevenar 13</w:t>
            </w:r>
            <w:r w:rsidRPr="001D6BE3" w:rsidDel="006754C6">
              <w:rPr>
                <w:b/>
                <w:bCs/>
                <w:color w:val="000000"/>
                <w:szCs w:val="22"/>
                <w:lang w:val="en-AU"/>
              </w:rPr>
              <w:t xml:space="preserve"> </w:t>
            </w:r>
            <w:r w:rsidRPr="001D6BE3">
              <w:rPr>
                <w:b/>
                <w:bCs/>
                <w:color w:val="000000"/>
                <w:szCs w:val="22"/>
                <w:lang w:val="en-AU"/>
              </w:rPr>
              <w:t xml:space="preserve">for the 13 matched serotypes and </w:t>
            </w:r>
            <w:r w:rsidR="001A517E" w:rsidRPr="001D6BE3">
              <w:rPr>
                <w:b/>
                <w:bCs/>
                <w:color w:val="000000"/>
                <w:szCs w:val="22"/>
                <w:lang w:val="en-AU"/>
              </w:rPr>
              <w:t>23vPPV</w:t>
            </w:r>
            <w:r w:rsidRPr="001D6BE3">
              <w:rPr>
                <w:b/>
                <w:bCs/>
                <w:color w:val="000000"/>
                <w:szCs w:val="22"/>
                <w:lang w:val="en-AU"/>
              </w:rPr>
              <w:t xml:space="preserve"> for the 7 additional serotypes (Study </w:t>
            </w:r>
            <w:proofErr w:type="gramStart"/>
            <w:r w:rsidRPr="001D6BE3">
              <w:rPr>
                <w:b/>
                <w:bCs/>
                <w:color w:val="000000"/>
                <w:szCs w:val="22"/>
                <w:lang w:val="en-AU"/>
              </w:rPr>
              <w:t>1007)</w:t>
            </w:r>
            <w:proofErr w:type="spellStart"/>
            <w:r w:rsidRPr="001D6BE3">
              <w:rPr>
                <w:b/>
                <w:bCs/>
                <w:color w:val="000000"/>
                <w:szCs w:val="22"/>
                <w:vertAlign w:val="superscript"/>
                <w:lang w:val="en-AU"/>
              </w:rPr>
              <w:t>a</w:t>
            </w:r>
            <w:proofErr w:type="gramEnd"/>
            <w:r w:rsidRPr="001D6BE3">
              <w:rPr>
                <w:b/>
                <w:bCs/>
                <w:color w:val="000000"/>
                <w:szCs w:val="22"/>
                <w:vertAlign w:val="superscript"/>
                <w:lang w:val="en-AU"/>
              </w:rPr>
              <w:t>,b,c,d</w:t>
            </w:r>
            <w:proofErr w:type="spellEnd"/>
            <w:r w:rsidRPr="005422B9">
              <w:rPr>
                <w:b/>
                <w:bCs/>
                <w:color w:val="000000"/>
                <w:szCs w:val="22"/>
                <w:vertAlign w:val="superscript"/>
                <w:lang w:val="en-AU"/>
              </w:rPr>
              <w:t xml:space="preserve"> </w:t>
            </w:r>
          </w:p>
        </w:tc>
      </w:tr>
      <w:tr w:rsidR="00B01F15" w:rsidRPr="005422B9" w14:paraId="530A011F" w14:textId="77777777" w:rsidTr="00B675C9">
        <w:trPr>
          <w:cantSplit/>
          <w:tblHeader/>
        </w:trPr>
        <w:tc>
          <w:tcPr>
            <w:tcW w:w="808" w:type="pct"/>
            <w:shd w:val="clear" w:color="auto" w:fill="auto"/>
          </w:tcPr>
          <w:p w14:paraId="067D11E5" w14:textId="77777777" w:rsidR="00B01F15" w:rsidRPr="005422B9" w:rsidRDefault="00B01F15" w:rsidP="00B675C9">
            <w:pPr>
              <w:keepNext/>
              <w:overflowPunct w:val="0"/>
              <w:autoSpaceDE w:val="0"/>
              <w:autoSpaceDN w:val="0"/>
              <w:adjustRightInd w:val="0"/>
              <w:spacing w:after="0"/>
              <w:textAlignment w:val="baseline"/>
              <w:rPr>
                <w:sz w:val="22"/>
                <w:lang w:val="en-AU"/>
              </w:rPr>
            </w:pPr>
          </w:p>
        </w:tc>
        <w:tc>
          <w:tcPr>
            <w:tcW w:w="1062" w:type="pct"/>
            <w:shd w:val="clear" w:color="auto" w:fill="auto"/>
            <w:vAlign w:val="bottom"/>
          </w:tcPr>
          <w:p w14:paraId="0724235C"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r w:rsidRPr="005422B9">
              <w:rPr>
                <w:b/>
                <w:bCs/>
                <w:sz w:val="22"/>
                <w:lang w:val="en-AU"/>
              </w:rPr>
              <w:t>PREVENAR 20</w:t>
            </w:r>
          </w:p>
          <w:p w14:paraId="106D377F"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r w:rsidRPr="005422B9">
              <w:rPr>
                <w:b/>
                <w:bCs/>
                <w:sz w:val="22"/>
                <w:lang w:val="en-AU"/>
              </w:rPr>
              <w:t>(N = 1157–1430)</w:t>
            </w:r>
          </w:p>
        </w:tc>
        <w:tc>
          <w:tcPr>
            <w:tcW w:w="1069" w:type="pct"/>
            <w:shd w:val="clear" w:color="auto" w:fill="auto"/>
            <w:vAlign w:val="bottom"/>
          </w:tcPr>
          <w:p w14:paraId="48F6CA05"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r w:rsidRPr="005422B9">
              <w:rPr>
                <w:b/>
                <w:bCs/>
                <w:sz w:val="22"/>
                <w:lang w:val="en-AU"/>
              </w:rPr>
              <w:t>Prevenar 13</w:t>
            </w:r>
          </w:p>
          <w:p w14:paraId="3EB0F536"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r w:rsidRPr="005422B9">
              <w:rPr>
                <w:b/>
                <w:bCs/>
                <w:sz w:val="22"/>
                <w:lang w:val="en-AU"/>
              </w:rPr>
              <w:t>(N = 1390–1419)</w:t>
            </w:r>
          </w:p>
        </w:tc>
        <w:tc>
          <w:tcPr>
            <w:tcW w:w="1065" w:type="pct"/>
            <w:shd w:val="clear" w:color="auto" w:fill="auto"/>
            <w:vAlign w:val="bottom"/>
          </w:tcPr>
          <w:p w14:paraId="25BBF8D4" w14:textId="5D5ABFC0" w:rsidR="00B01F15" w:rsidRPr="005422B9" w:rsidRDefault="001A517E" w:rsidP="00B675C9">
            <w:pPr>
              <w:keepNext/>
              <w:overflowPunct w:val="0"/>
              <w:autoSpaceDE w:val="0"/>
              <w:autoSpaceDN w:val="0"/>
              <w:adjustRightInd w:val="0"/>
              <w:spacing w:after="0"/>
              <w:jc w:val="center"/>
              <w:textAlignment w:val="baseline"/>
              <w:rPr>
                <w:b/>
                <w:bCs/>
                <w:sz w:val="22"/>
                <w:lang w:val="en-AU"/>
              </w:rPr>
            </w:pPr>
            <w:r w:rsidRPr="005422B9">
              <w:rPr>
                <w:b/>
                <w:bCs/>
                <w:sz w:val="22"/>
                <w:lang w:val="en-AU"/>
              </w:rPr>
              <w:t>23vPPV</w:t>
            </w:r>
          </w:p>
          <w:p w14:paraId="3745992F"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r w:rsidRPr="005422B9">
              <w:rPr>
                <w:b/>
                <w:bCs/>
                <w:sz w:val="22"/>
                <w:lang w:val="en-AU"/>
              </w:rPr>
              <w:t>(N = 1201–1319)</w:t>
            </w:r>
          </w:p>
        </w:tc>
        <w:tc>
          <w:tcPr>
            <w:tcW w:w="996" w:type="pct"/>
            <w:shd w:val="clear" w:color="auto" w:fill="auto"/>
            <w:vAlign w:val="bottom"/>
          </w:tcPr>
          <w:p w14:paraId="04127473"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r w:rsidRPr="005422B9">
              <w:rPr>
                <w:b/>
                <w:bCs/>
                <w:sz w:val="22"/>
                <w:lang w:val="en-AU"/>
              </w:rPr>
              <w:t>Vaccine comparison</w:t>
            </w:r>
          </w:p>
        </w:tc>
      </w:tr>
      <w:tr w:rsidR="00B01F15" w:rsidRPr="005422B9" w14:paraId="5A635958" w14:textId="77777777" w:rsidTr="00B675C9">
        <w:trPr>
          <w:cantSplit/>
          <w:tblHeader/>
        </w:trPr>
        <w:tc>
          <w:tcPr>
            <w:tcW w:w="808" w:type="pct"/>
            <w:shd w:val="clear" w:color="auto" w:fill="auto"/>
          </w:tcPr>
          <w:p w14:paraId="41D9D595" w14:textId="77777777" w:rsidR="00B01F15" w:rsidRPr="005422B9" w:rsidRDefault="00B01F15" w:rsidP="00B675C9">
            <w:pPr>
              <w:keepNext/>
              <w:overflowPunct w:val="0"/>
              <w:autoSpaceDE w:val="0"/>
              <w:autoSpaceDN w:val="0"/>
              <w:adjustRightInd w:val="0"/>
              <w:spacing w:after="0"/>
              <w:textAlignment w:val="baseline"/>
              <w:rPr>
                <w:sz w:val="22"/>
                <w:lang w:val="en-AU"/>
              </w:rPr>
            </w:pPr>
          </w:p>
        </w:tc>
        <w:tc>
          <w:tcPr>
            <w:tcW w:w="1062" w:type="pct"/>
            <w:shd w:val="clear" w:color="auto" w:fill="auto"/>
            <w:vAlign w:val="bottom"/>
          </w:tcPr>
          <w:p w14:paraId="5CE38E5E"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proofErr w:type="spellStart"/>
            <w:r w:rsidRPr="005422B9">
              <w:rPr>
                <w:b/>
                <w:bCs/>
                <w:sz w:val="22"/>
                <w:lang w:val="en-AU"/>
              </w:rPr>
              <w:t>GMT</w:t>
            </w:r>
            <w:r w:rsidRPr="005422B9">
              <w:rPr>
                <w:b/>
                <w:bCs/>
                <w:sz w:val="22"/>
                <w:vertAlign w:val="superscript"/>
                <w:lang w:val="en-AU"/>
              </w:rPr>
              <w:t>e</w:t>
            </w:r>
            <w:proofErr w:type="spellEnd"/>
          </w:p>
        </w:tc>
        <w:tc>
          <w:tcPr>
            <w:tcW w:w="1069" w:type="pct"/>
            <w:shd w:val="clear" w:color="auto" w:fill="auto"/>
            <w:vAlign w:val="bottom"/>
          </w:tcPr>
          <w:p w14:paraId="20D992CD"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proofErr w:type="spellStart"/>
            <w:r w:rsidRPr="005422B9">
              <w:rPr>
                <w:b/>
                <w:bCs/>
                <w:sz w:val="22"/>
                <w:lang w:val="en-AU"/>
              </w:rPr>
              <w:t>GMT</w:t>
            </w:r>
            <w:r w:rsidRPr="005422B9">
              <w:rPr>
                <w:b/>
                <w:bCs/>
                <w:sz w:val="22"/>
                <w:vertAlign w:val="superscript"/>
                <w:lang w:val="en-AU"/>
              </w:rPr>
              <w:t>e</w:t>
            </w:r>
            <w:proofErr w:type="spellEnd"/>
          </w:p>
        </w:tc>
        <w:tc>
          <w:tcPr>
            <w:tcW w:w="1065" w:type="pct"/>
            <w:shd w:val="clear" w:color="auto" w:fill="auto"/>
            <w:vAlign w:val="bottom"/>
          </w:tcPr>
          <w:p w14:paraId="55E19677"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proofErr w:type="spellStart"/>
            <w:r w:rsidRPr="005422B9">
              <w:rPr>
                <w:b/>
                <w:bCs/>
                <w:sz w:val="22"/>
                <w:lang w:val="en-AU"/>
              </w:rPr>
              <w:t>GMT</w:t>
            </w:r>
            <w:r w:rsidRPr="005422B9">
              <w:rPr>
                <w:b/>
                <w:bCs/>
                <w:sz w:val="22"/>
                <w:vertAlign w:val="superscript"/>
                <w:lang w:val="en-AU"/>
              </w:rPr>
              <w:t>e</w:t>
            </w:r>
            <w:proofErr w:type="spellEnd"/>
          </w:p>
        </w:tc>
        <w:tc>
          <w:tcPr>
            <w:tcW w:w="996" w:type="pct"/>
            <w:shd w:val="clear" w:color="auto" w:fill="auto"/>
            <w:vAlign w:val="bottom"/>
          </w:tcPr>
          <w:p w14:paraId="4A5644D2" w14:textId="77777777" w:rsidR="00B01F15" w:rsidRPr="005422B9" w:rsidRDefault="00B01F15" w:rsidP="00B675C9">
            <w:pPr>
              <w:keepNext/>
              <w:overflowPunct w:val="0"/>
              <w:autoSpaceDE w:val="0"/>
              <w:autoSpaceDN w:val="0"/>
              <w:adjustRightInd w:val="0"/>
              <w:spacing w:after="0"/>
              <w:jc w:val="center"/>
              <w:textAlignment w:val="baseline"/>
              <w:rPr>
                <w:b/>
                <w:bCs/>
                <w:sz w:val="22"/>
                <w:vertAlign w:val="superscript"/>
                <w:lang w:val="en-AU"/>
              </w:rPr>
            </w:pPr>
            <w:r w:rsidRPr="005422B9">
              <w:rPr>
                <w:b/>
                <w:bCs/>
                <w:sz w:val="22"/>
                <w:lang w:val="en-AU"/>
              </w:rPr>
              <w:t xml:space="preserve">GMT </w:t>
            </w:r>
            <w:proofErr w:type="spellStart"/>
            <w:r w:rsidRPr="005422B9">
              <w:rPr>
                <w:b/>
                <w:bCs/>
                <w:sz w:val="22"/>
                <w:lang w:val="en-AU"/>
              </w:rPr>
              <w:t>ratio</w:t>
            </w:r>
            <w:r w:rsidRPr="005422B9">
              <w:rPr>
                <w:b/>
                <w:bCs/>
                <w:sz w:val="22"/>
                <w:vertAlign w:val="superscript"/>
                <w:lang w:val="en-AU"/>
              </w:rPr>
              <w:t>e</w:t>
            </w:r>
            <w:proofErr w:type="spellEnd"/>
          </w:p>
          <w:p w14:paraId="6A9B1436" w14:textId="77777777" w:rsidR="00B01F15" w:rsidRPr="005422B9" w:rsidRDefault="00B01F15" w:rsidP="00B675C9">
            <w:pPr>
              <w:keepNext/>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r>
      <w:tr w:rsidR="00B01F15" w:rsidRPr="005422B9" w14:paraId="0D3C085E" w14:textId="77777777" w:rsidTr="00B01F15">
        <w:trPr>
          <w:cantSplit/>
        </w:trPr>
        <w:tc>
          <w:tcPr>
            <w:tcW w:w="5000" w:type="pct"/>
            <w:gridSpan w:val="5"/>
            <w:shd w:val="clear" w:color="auto" w:fill="auto"/>
          </w:tcPr>
          <w:p w14:paraId="30677D3B" w14:textId="77777777" w:rsidR="00B01F15" w:rsidRPr="005422B9" w:rsidRDefault="00B01F15" w:rsidP="00B675C9">
            <w:pPr>
              <w:keepNext/>
              <w:overflowPunct w:val="0"/>
              <w:autoSpaceDE w:val="0"/>
              <w:autoSpaceDN w:val="0"/>
              <w:adjustRightInd w:val="0"/>
              <w:spacing w:after="0"/>
              <w:textAlignment w:val="baseline"/>
              <w:rPr>
                <w:b/>
                <w:bCs/>
                <w:sz w:val="22"/>
                <w:lang w:val="en-AU"/>
              </w:rPr>
            </w:pPr>
            <w:r w:rsidRPr="005422B9">
              <w:rPr>
                <w:b/>
                <w:bCs/>
                <w:sz w:val="22"/>
                <w:lang w:val="en-AU"/>
              </w:rPr>
              <w:t>Serotype</w:t>
            </w:r>
          </w:p>
        </w:tc>
      </w:tr>
      <w:tr w:rsidR="00B01F15" w:rsidRPr="005422B9" w14:paraId="41577E87" w14:textId="77777777" w:rsidTr="00B675C9">
        <w:trPr>
          <w:cantSplit/>
        </w:trPr>
        <w:tc>
          <w:tcPr>
            <w:tcW w:w="808" w:type="pct"/>
            <w:shd w:val="clear" w:color="auto" w:fill="auto"/>
            <w:vAlign w:val="bottom"/>
          </w:tcPr>
          <w:p w14:paraId="5319C002"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w:t>
            </w:r>
          </w:p>
        </w:tc>
        <w:tc>
          <w:tcPr>
            <w:tcW w:w="1062" w:type="pct"/>
            <w:shd w:val="clear" w:color="auto" w:fill="auto"/>
            <w:vAlign w:val="bottom"/>
          </w:tcPr>
          <w:p w14:paraId="1DE7FFF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123</w:t>
            </w:r>
          </w:p>
        </w:tc>
        <w:tc>
          <w:tcPr>
            <w:tcW w:w="1069" w:type="pct"/>
            <w:shd w:val="clear" w:color="auto" w:fill="auto"/>
            <w:vAlign w:val="bottom"/>
          </w:tcPr>
          <w:p w14:paraId="68538E8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154</w:t>
            </w:r>
          </w:p>
        </w:tc>
        <w:tc>
          <w:tcPr>
            <w:tcW w:w="1065" w:type="pct"/>
            <w:shd w:val="clear" w:color="auto" w:fill="BFBFBF"/>
          </w:tcPr>
          <w:p w14:paraId="688EDAA7"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4B67392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0.80</w:t>
            </w:r>
          </w:p>
          <w:p w14:paraId="5209142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(0.71, 0.90)</w:t>
            </w:r>
          </w:p>
        </w:tc>
      </w:tr>
      <w:tr w:rsidR="00B01F15" w:rsidRPr="005422B9" w14:paraId="188DB378" w14:textId="77777777" w:rsidTr="00B675C9">
        <w:trPr>
          <w:cantSplit/>
        </w:trPr>
        <w:tc>
          <w:tcPr>
            <w:tcW w:w="808" w:type="pct"/>
            <w:shd w:val="clear" w:color="auto" w:fill="auto"/>
            <w:vAlign w:val="bottom"/>
          </w:tcPr>
          <w:p w14:paraId="549DD0C4"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3</w:t>
            </w:r>
          </w:p>
        </w:tc>
        <w:tc>
          <w:tcPr>
            <w:tcW w:w="1062" w:type="pct"/>
            <w:shd w:val="clear" w:color="auto" w:fill="auto"/>
            <w:vAlign w:val="bottom"/>
          </w:tcPr>
          <w:p w14:paraId="455ED33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41</w:t>
            </w:r>
          </w:p>
        </w:tc>
        <w:tc>
          <w:tcPr>
            <w:tcW w:w="1069" w:type="pct"/>
            <w:shd w:val="clear" w:color="auto" w:fill="auto"/>
            <w:vAlign w:val="bottom"/>
          </w:tcPr>
          <w:p w14:paraId="61DA6B1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48</w:t>
            </w:r>
          </w:p>
        </w:tc>
        <w:tc>
          <w:tcPr>
            <w:tcW w:w="1065" w:type="pct"/>
            <w:shd w:val="clear" w:color="auto" w:fill="BFBFBF"/>
          </w:tcPr>
          <w:p w14:paraId="134AC6A5"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36B35C6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0.85</w:t>
            </w:r>
          </w:p>
          <w:p w14:paraId="19EC47D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(0.78, 0.93)</w:t>
            </w:r>
          </w:p>
        </w:tc>
      </w:tr>
      <w:tr w:rsidR="00B01F15" w:rsidRPr="005422B9" w14:paraId="0848324F" w14:textId="77777777" w:rsidTr="00B675C9">
        <w:trPr>
          <w:cantSplit/>
        </w:trPr>
        <w:tc>
          <w:tcPr>
            <w:tcW w:w="808" w:type="pct"/>
            <w:shd w:val="clear" w:color="auto" w:fill="auto"/>
            <w:vAlign w:val="bottom"/>
          </w:tcPr>
          <w:p w14:paraId="0F2AAF54"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4</w:t>
            </w:r>
          </w:p>
        </w:tc>
        <w:tc>
          <w:tcPr>
            <w:tcW w:w="1062" w:type="pct"/>
            <w:shd w:val="clear" w:color="auto" w:fill="auto"/>
            <w:vAlign w:val="bottom"/>
          </w:tcPr>
          <w:p w14:paraId="7394EDD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509</w:t>
            </w:r>
          </w:p>
        </w:tc>
        <w:tc>
          <w:tcPr>
            <w:tcW w:w="1069" w:type="pct"/>
            <w:shd w:val="clear" w:color="auto" w:fill="auto"/>
            <w:vAlign w:val="bottom"/>
          </w:tcPr>
          <w:p w14:paraId="337590D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627</w:t>
            </w:r>
          </w:p>
        </w:tc>
        <w:tc>
          <w:tcPr>
            <w:tcW w:w="1065" w:type="pct"/>
            <w:shd w:val="clear" w:color="auto" w:fill="BFBFBF"/>
          </w:tcPr>
          <w:p w14:paraId="4042A7C7"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582B5A0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0.81</w:t>
            </w:r>
          </w:p>
          <w:p w14:paraId="122A9FF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(0.71, 0.93)</w:t>
            </w:r>
          </w:p>
        </w:tc>
      </w:tr>
      <w:tr w:rsidR="00B01F15" w:rsidRPr="005422B9" w14:paraId="177636D2" w14:textId="77777777" w:rsidTr="00B675C9">
        <w:trPr>
          <w:cantSplit/>
        </w:trPr>
        <w:tc>
          <w:tcPr>
            <w:tcW w:w="808" w:type="pct"/>
            <w:shd w:val="clear" w:color="auto" w:fill="auto"/>
            <w:vAlign w:val="bottom"/>
          </w:tcPr>
          <w:p w14:paraId="54BEB72C"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5</w:t>
            </w:r>
          </w:p>
        </w:tc>
        <w:tc>
          <w:tcPr>
            <w:tcW w:w="1062" w:type="pct"/>
            <w:shd w:val="clear" w:color="auto" w:fill="auto"/>
            <w:vAlign w:val="bottom"/>
          </w:tcPr>
          <w:p w14:paraId="3385EED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92</w:t>
            </w:r>
          </w:p>
        </w:tc>
        <w:tc>
          <w:tcPr>
            <w:tcW w:w="1069" w:type="pct"/>
            <w:shd w:val="clear" w:color="auto" w:fill="auto"/>
            <w:vAlign w:val="bottom"/>
          </w:tcPr>
          <w:p w14:paraId="3428C8D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110</w:t>
            </w:r>
          </w:p>
        </w:tc>
        <w:tc>
          <w:tcPr>
            <w:tcW w:w="1065" w:type="pct"/>
            <w:shd w:val="clear" w:color="auto" w:fill="BFBFBF"/>
          </w:tcPr>
          <w:p w14:paraId="1BAD7098"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67C5293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0.83</w:t>
            </w:r>
          </w:p>
          <w:p w14:paraId="11CA42E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(0.74, 0.94)</w:t>
            </w:r>
          </w:p>
        </w:tc>
      </w:tr>
      <w:tr w:rsidR="00B01F15" w:rsidRPr="005422B9" w14:paraId="1AB7E416" w14:textId="77777777" w:rsidTr="00B675C9">
        <w:trPr>
          <w:cantSplit/>
        </w:trPr>
        <w:tc>
          <w:tcPr>
            <w:tcW w:w="808" w:type="pct"/>
            <w:shd w:val="clear" w:color="auto" w:fill="auto"/>
            <w:vAlign w:val="bottom"/>
          </w:tcPr>
          <w:p w14:paraId="2D21DD06"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6A</w:t>
            </w:r>
          </w:p>
        </w:tc>
        <w:tc>
          <w:tcPr>
            <w:tcW w:w="1062" w:type="pct"/>
            <w:shd w:val="clear" w:color="auto" w:fill="auto"/>
            <w:vAlign w:val="bottom"/>
          </w:tcPr>
          <w:p w14:paraId="0728F4A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889</w:t>
            </w:r>
          </w:p>
        </w:tc>
        <w:tc>
          <w:tcPr>
            <w:tcW w:w="1069" w:type="pct"/>
            <w:shd w:val="clear" w:color="auto" w:fill="auto"/>
            <w:vAlign w:val="bottom"/>
          </w:tcPr>
          <w:p w14:paraId="493DF9A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1165</w:t>
            </w:r>
          </w:p>
        </w:tc>
        <w:tc>
          <w:tcPr>
            <w:tcW w:w="1065" w:type="pct"/>
            <w:shd w:val="clear" w:color="auto" w:fill="BFBFBF"/>
          </w:tcPr>
          <w:p w14:paraId="699FD089"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3310198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0.76</w:t>
            </w:r>
          </w:p>
          <w:p w14:paraId="0BB0DA6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(0.66, 0.88)</w:t>
            </w:r>
          </w:p>
        </w:tc>
      </w:tr>
      <w:tr w:rsidR="00B01F15" w:rsidRPr="005422B9" w14:paraId="0FB0A73F" w14:textId="77777777" w:rsidTr="00B675C9">
        <w:trPr>
          <w:cantSplit/>
        </w:trPr>
        <w:tc>
          <w:tcPr>
            <w:tcW w:w="808" w:type="pct"/>
            <w:shd w:val="clear" w:color="auto" w:fill="auto"/>
            <w:vAlign w:val="bottom"/>
          </w:tcPr>
          <w:p w14:paraId="1BB5CFB9"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6B</w:t>
            </w:r>
          </w:p>
        </w:tc>
        <w:tc>
          <w:tcPr>
            <w:tcW w:w="1062" w:type="pct"/>
            <w:shd w:val="clear" w:color="auto" w:fill="auto"/>
            <w:vAlign w:val="bottom"/>
          </w:tcPr>
          <w:p w14:paraId="28EEBAB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1115</w:t>
            </w:r>
          </w:p>
        </w:tc>
        <w:tc>
          <w:tcPr>
            <w:tcW w:w="1069" w:type="pct"/>
            <w:shd w:val="clear" w:color="auto" w:fill="auto"/>
            <w:vAlign w:val="bottom"/>
          </w:tcPr>
          <w:p w14:paraId="697E7F8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1341</w:t>
            </w:r>
          </w:p>
        </w:tc>
        <w:tc>
          <w:tcPr>
            <w:tcW w:w="1065" w:type="pct"/>
            <w:shd w:val="clear" w:color="auto" w:fill="BFBFBF"/>
          </w:tcPr>
          <w:p w14:paraId="34F072CE"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07712B3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0.83</w:t>
            </w:r>
          </w:p>
          <w:p w14:paraId="1B93C9C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(0.73, 0.95)</w:t>
            </w:r>
          </w:p>
        </w:tc>
      </w:tr>
      <w:tr w:rsidR="00B01F15" w:rsidRPr="005422B9" w14:paraId="790314CE" w14:textId="77777777" w:rsidTr="00B675C9">
        <w:trPr>
          <w:cantSplit/>
        </w:trPr>
        <w:tc>
          <w:tcPr>
            <w:tcW w:w="808" w:type="pct"/>
            <w:shd w:val="clear" w:color="auto" w:fill="auto"/>
            <w:vAlign w:val="bottom"/>
          </w:tcPr>
          <w:p w14:paraId="070CC819"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7F</w:t>
            </w:r>
          </w:p>
        </w:tc>
        <w:tc>
          <w:tcPr>
            <w:tcW w:w="1062" w:type="pct"/>
            <w:shd w:val="clear" w:color="auto" w:fill="auto"/>
            <w:vAlign w:val="bottom"/>
          </w:tcPr>
          <w:p w14:paraId="1065210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969</w:t>
            </w:r>
          </w:p>
        </w:tc>
        <w:tc>
          <w:tcPr>
            <w:tcW w:w="1069" w:type="pct"/>
            <w:shd w:val="clear" w:color="auto" w:fill="auto"/>
            <w:vAlign w:val="bottom"/>
          </w:tcPr>
          <w:p w14:paraId="12AFE68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1129</w:t>
            </w:r>
          </w:p>
        </w:tc>
        <w:tc>
          <w:tcPr>
            <w:tcW w:w="1065" w:type="pct"/>
            <w:shd w:val="clear" w:color="auto" w:fill="BFBFBF"/>
          </w:tcPr>
          <w:p w14:paraId="012A8CC1"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586669D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0.86</w:t>
            </w:r>
          </w:p>
          <w:p w14:paraId="6BF6E02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(0.77, 0.96)</w:t>
            </w:r>
          </w:p>
        </w:tc>
      </w:tr>
      <w:tr w:rsidR="00B01F15" w:rsidRPr="005422B9" w14:paraId="3EA46508" w14:textId="77777777" w:rsidTr="00B675C9">
        <w:trPr>
          <w:cantSplit/>
        </w:trPr>
        <w:tc>
          <w:tcPr>
            <w:tcW w:w="808" w:type="pct"/>
            <w:shd w:val="clear" w:color="auto" w:fill="auto"/>
            <w:vAlign w:val="bottom"/>
          </w:tcPr>
          <w:p w14:paraId="064229C9"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9V</w:t>
            </w:r>
          </w:p>
        </w:tc>
        <w:tc>
          <w:tcPr>
            <w:tcW w:w="1062" w:type="pct"/>
            <w:shd w:val="clear" w:color="auto" w:fill="auto"/>
            <w:vAlign w:val="bottom"/>
          </w:tcPr>
          <w:p w14:paraId="3349BCB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1456</w:t>
            </w:r>
          </w:p>
        </w:tc>
        <w:tc>
          <w:tcPr>
            <w:tcW w:w="1069" w:type="pct"/>
            <w:shd w:val="clear" w:color="auto" w:fill="auto"/>
            <w:vAlign w:val="bottom"/>
          </w:tcPr>
          <w:p w14:paraId="2EDA8BC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1568</w:t>
            </w:r>
          </w:p>
        </w:tc>
        <w:tc>
          <w:tcPr>
            <w:tcW w:w="1065" w:type="pct"/>
            <w:shd w:val="clear" w:color="auto" w:fill="BFBFBF"/>
          </w:tcPr>
          <w:p w14:paraId="113056F0"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0683F74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0.93</w:t>
            </w:r>
          </w:p>
          <w:p w14:paraId="0FB21A3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(0.82, 1.05)</w:t>
            </w:r>
          </w:p>
        </w:tc>
      </w:tr>
      <w:tr w:rsidR="00B01F15" w:rsidRPr="005422B9" w14:paraId="5B32F097" w14:textId="77777777" w:rsidTr="00B675C9">
        <w:trPr>
          <w:cantSplit/>
        </w:trPr>
        <w:tc>
          <w:tcPr>
            <w:tcW w:w="808" w:type="pct"/>
            <w:shd w:val="clear" w:color="auto" w:fill="auto"/>
            <w:vAlign w:val="bottom"/>
          </w:tcPr>
          <w:p w14:paraId="43C4AE76"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14</w:t>
            </w:r>
          </w:p>
        </w:tc>
        <w:tc>
          <w:tcPr>
            <w:tcW w:w="1062" w:type="pct"/>
            <w:shd w:val="clear" w:color="auto" w:fill="auto"/>
            <w:vAlign w:val="bottom"/>
          </w:tcPr>
          <w:p w14:paraId="6B65B47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747</w:t>
            </w:r>
          </w:p>
        </w:tc>
        <w:tc>
          <w:tcPr>
            <w:tcW w:w="1069" w:type="pct"/>
            <w:shd w:val="clear" w:color="auto" w:fill="auto"/>
            <w:vAlign w:val="bottom"/>
          </w:tcPr>
          <w:p w14:paraId="37C8292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747</w:t>
            </w:r>
          </w:p>
        </w:tc>
        <w:tc>
          <w:tcPr>
            <w:tcW w:w="1065" w:type="pct"/>
            <w:shd w:val="clear" w:color="auto" w:fill="BFBFBF"/>
          </w:tcPr>
          <w:p w14:paraId="14DF3F0B"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5382513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1.00</w:t>
            </w:r>
          </w:p>
          <w:p w14:paraId="4972FBC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(0.89, 1.13)</w:t>
            </w:r>
          </w:p>
        </w:tc>
      </w:tr>
      <w:tr w:rsidR="00B01F15" w:rsidRPr="005422B9" w14:paraId="56F1C73A" w14:textId="77777777" w:rsidTr="00B675C9">
        <w:trPr>
          <w:cantSplit/>
        </w:trPr>
        <w:tc>
          <w:tcPr>
            <w:tcW w:w="808" w:type="pct"/>
            <w:shd w:val="clear" w:color="auto" w:fill="auto"/>
            <w:vAlign w:val="bottom"/>
          </w:tcPr>
          <w:p w14:paraId="4C44BA21"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18C</w:t>
            </w:r>
          </w:p>
        </w:tc>
        <w:tc>
          <w:tcPr>
            <w:tcW w:w="1062" w:type="pct"/>
            <w:shd w:val="clear" w:color="auto" w:fill="auto"/>
            <w:vAlign w:val="bottom"/>
          </w:tcPr>
          <w:p w14:paraId="03A565B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1253</w:t>
            </w:r>
          </w:p>
        </w:tc>
        <w:tc>
          <w:tcPr>
            <w:tcW w:w="1069" w:type="pct"/>
            <w:shd w:val="clear" w:color="auto" w:fill="auto"/>
            <w:vAlign w:val="bottom"/>
          </w:tcPr>
          <w:p w14:paraId="7B3B321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1482</w:t>
            </w:r>
          </w:p>
        </w:tc>
        <w:tc>
          <w:tcPr>
            <w:tcW w:w="1065" w:type="pct"/>
            <w:shd w:val="clear" w:color="auto" w:fill="BFBFBF"/>
          </w:tcPr>
          <w:p w14:paraId="28FE2AD9"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39BE962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0.85</w:t>
            </w:r>
          </w:p>
          <w:p w14:paraId="5F944A4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(0.74, 0.97)</w:t>
            </w:r>
          </w:p>
        </w:tc>
      </w:tr>
      <w:tr w:rsidR="00B01F15" w:rsidRPr="005422B9" w14:paraId="27C9161B" w14:textId="77777777" w:rsidTr="00B675C9">
        <w:trPr>
          <w:cantSplit/>
        </w:trPr>
        <w:tc>
          <w:tcPr>
            <w:tcW w:w="808" w:type="pct"/>
            <w:shd w:val="clear" w:color="auto" w:fill="auto"/>
            <w:vAlign w:val="bottom"/>
          </w:tcPr>
          <w:p w14:paraId="1474E293"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19A</w:t>
            </w:r>
          </w:p>
        </w:tc>
        <w:tc>
          <w:tcPr>
            <w:tcW w:w="1062" w:type="pct"/>
            <w:shd w:val="clear" w:color="auto" w:fill="auto"/>
            <w:vAlign w:val="bottom"/>
          </w:tcPr>
          <w:p w14:paraId="6324E77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518</w:t>
            </w:r>
          </w:p>
        </w:tc>
        <w:tc>
          <w:tcPr>
            <w:tcW w:w="1069" w:type="pct"/>
            <w:shd w:val="clear" w:color="auto" w:fill="auto"/>
            <w:vAlign w:val="bottom"/>
          </w:tcPr>
          <w:p w14:paraId="19D06D5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645</w:t>
            </w:r>
          </w:p>
        </w:tc>
        <w:tc>
          <w:tcPr>
            <w:tcW w:w="1065" w:type="pct"/>
            <w:shd w:val="clear" w:color="auto" w:fill="BFBFBF"/>
          </w:tcPr>
          <w:p w14:paraId="6BFF636B"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3F95DE4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0.80</w:t>
            </w:r>
          </w:p>
          <w:p w14:paraId="737D44E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(0.71, 0.90)</w:t>
            </w:r>
          </w:p>
        </w:tc>
      </w:tr>
      <w:tr w:rsidR="00B01F15" w:rsidRPr="005422B9" w14:paraId="5E68EBDA" w14:textId="77777777" w:rsidTr="00B675C9">
        <w:trPr>
          <w:cantSplit/>
        </w:trPr>
        <w:tc>
          <w:tcPr>
            <w:tcW w:w="808" w:type="pct"/>
            <w:shd w:val="clear" w:color="auto" w:fill="auto"/>
            <w:vAlign w:val="bottom"/>
          </w:tcPr>
          <w:p w14:paraId="6861C8AC"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19F</w:t>
            </w:r>
          </w:p>
        </w:tc>
        <w:tc>
          <w:tcPr>
            <w:tcW w:w="1062" w:type="pct"/>
            <w:shd w:val="clear" w:color="auto" w:fill="auto"/>
            <w:vAlign w:val="bottom"/>
          </w:tcPr>
          <w:p w14:paraId="0A5C578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266</w:t>
            </w:r>
          </w:p>
        </w:tc>
        <w:tc>
          <w:tcPr>
            <w:tcW w:w="1069" w:type="pct"/>
            <w:shd w:val="clear" w:color="auto" w:fill="auto"/>
            <w:vAlign w:val="bottom"/>
          </w:tcPr>
          <w:p w14:paraId="1396EF9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333</w:t>
            </w:r>
          </w:p>
        </w:tc>
        <w:tc>
          <w:tcPr>
            <w:tcW w:w="1065" w:type="pct"/>
            <w:shd w:val="clear" w:color="auto" w:fill="BFBFBF"/>
          </w:tcPr>
          <w:p w14:paraId="207194D9"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4068166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0.80</w:t>
            </w:r>
          </w:p>
          <w:p w14:paraId="742F875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(0.70, 0.91)</w:t>
            </w:r>
          </w:p>
        </w:tc>
      </w:tr>
      <w:tr w:rsidR="00B01F15" w:rsidRPr="005422B9" w14:paraId="423724D9" w14:textId="77777777" w:rsidTr="00B675C9">
        <w:trPr>
          <w:cantSplit/>
        </w:trPr>
        <w:tc>
          <w:tcPr>
            <w:tcW w:w="808" w:type="pct"/>
            <w:shd w:val="clear" w:color="auto" w:fill="auto"/>
            <w:vAlign w:val="bottom"/>
          </w:tcPr>
          <w:p w14:paraId="7A2CE7C7"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lastRenderedPageBreak/>
              <w:t>23F</w:t>
            </w:r>
          </w:p>
        </w:tc>
        <w:tc>
          <w:tcPr>
            <w:tcW w:w="1062" w:type="pct"/>
            <w:shd w:val="clear" w:color="auto" w:fill="auto"/>
            <w:vAlign w:val="bottom"/>
          </w:tcPr>
          <w:p w14:paraId="27C4B87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277</w:t>
            </w:r>
          </w:p>
        </w:tc>
        <w:tc>
          <w:tcPr>
            <w:tcW w:w="1069" w:type="pct"/>
            <w:shd w:val="clear" w:color="auto" w:fill="auto"/>
            <w:vAlign w:val="bottom"/>
          </w:tcPr>
          <w:p w14:paraId="40E5EB7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335</w:t>
            </w:r>
          </w:p>
        </w:tc>
        <w:tc>
          <w:tcPr>
            <w:tcW w:w="1065" w:type="pct"/>
            <w:shd w:val="clear" w:color="auto" w:fill="BFBFBF"/>
          </w:tcPr>
          <w:p w14:paraId="4F8761EA"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996" w:type="pct"/>
            <w:shd w:val="clear" w:color="auto" w:fill="auto"/>
          </w:tcPr>
          <w:p w14:paraId="17C4297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0.83</w:t>
            </w:r>
          </w:p>
          <w:p w14:paraId="5B78BEA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(0.70, 0.97)</w:t>
            </w:r>
          </w:p>
        </w:tc>
      </w:tr>
      <w:tr w:rsidR="00B01F15" w:rsidRPr="005422B9" w14:paraId="44F3A7FA" w14:textId="77777777" w:rsidTr="00B01F15">
        <w:trPr>
          <w:cantSplit/>
        </w:trPr>
        <w:tc>
          <w:tcPr>
            <w:tcW w:w="5000" w:type="pct"/>
            <w:gridSpan w:val="5"/>
            <w:shd w:val="clear" w:color="auto" w:fill="auto"/>
          </w:tcPr>
          <w:p w14:paraId="588D6F4C" w14:textId="77777777" w:rsidR="00B01F15" w:rsidRPr="005422B9" w:rsidRDefault="00B01F15" w:rsidP="00B675C9">
            <w:pPr>
              <w:overflowPunct w:val="0"/>
              <w:autoSpaceDE w:val="0"/>
              <w:autoSpaceDN w:val="0"/>
              <w:adjustRightInd w:val="0"/>
              <w:spacing w:after="0"/>
              <w:textAlignment w:val="baseline"/>
              <w:rPr>
                <w:b/>
                <w:bCs/>
                <w:sz w:val="22"/>
                <w:lang w:val="en-AU"/>
              </w:rPr>
            </w:pPr>
            <w:r w:rsidRPr="005422B9">
              <w:rPr>
                <w:b/>
                <w:bCs/>
                <w:sz w:val="22"/>
                <w:lang w:val="en-AU"/>
              </w:rPr>
              <w:t>Additional Serotypes</w:t>
            </w:r>
          </w:p>
        </w:tc>
      </w:tr>
      <w:tr w:rsidR="00B01F15" w:rsidRPr="005422B9" w14:paraId="4F7F0795" w14:textId="77777777" w:rsidTr="00B675C9">
        <w:trPr>
          <w:cantSplit/>
        </w:trPr>
        <w:tc>
          <w:tcPr>
            <w:tcW w:w="808" w:type="pct"/>
            <w:shd w:val="clear" w:color="auto" w:fill="auto"/>
            <w:vAlign w:val="bottom"/>
          </w:tcPr>
          <w:p w14:paraId="527FF4D7"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8</w:t>
            </w:r>
          </w:p>
        </w:tc>
        <w:tc>
          <w:tcPr>
            <w:tcW w:w="1062" w:type="pct"/>
            <w:shd w:val="clear" w:color="auto" w:fill="auto"/>
            <w:vAlign w:val="bottom"/>
          </w:tcPr>
          <w:p w14:paraId="11E0BFD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466</w:t>
            </w:r>
          </w:p>
        </w:tc>
        <w:tc>
          <w:tcPr>
            <w:tcW w:w="1069" w:type="pct"/>
            <w:shd w:val="clear" w:color="auto" w:fill="BFBFBF"/>
            <w:vAlign w:val="bottom"/>
          </w:tcPr>
          <w:p w14:paraId="762C4583"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1065" w:type="pct"/>
            <w:shd w:val="clear" w:color="auto" w:fill="auto"/>
            <w:vAlign w:val="bottom"/>
          </w:tcPr>
          <w:p w14:paraId="1B73AB7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848</w:t>
            </w:r>
          </w:p>
        </w:tc>
        <w:tc>
          <w:tcPr>
            <w:tcW w:w="996" w:type="pct"/>
            <w:shd w:val="clear" w:color="auto" w:fill="auto"/>
            <w:vAlign w:val="bottom"/>
          </w:tcPr>
          <w:p w14:paraId="3F85342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0.55</w:t>
            </w:r>
          </w:p>
          <w:p w14:paraId="742F23D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(0.49, 0.62)</w:t>
            </w:r>
          </w:p>
        </w:tc>
      </w:tr>
      <w:tr w:rsidR="00B01F15" w:rsidRPr="005422B9" w14:paraId="54A1AAFF" w14:textId="77777777" w:rsidTr="00B675C9">
        <w:trPr>
          <w:cantSplit/>
        </w:trPr>
        <w:tc>
          <w:tcPr>
            <w:tcW w:w="808" w:type="pct"/>
            <w:shd w:val="clear" w:color="auto" w:fill="auto"/>
            <w:vAlign w:val="bottom"/>
          </w:tcPr>
          <w:p w14:paraId="5752D18B"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10A</w:t>
            </w:r>
          </w:p>
        </w:tc>
        <w:tc>
          <w:tcPr>
            <w:tcW w:w="1062" w:type="pct"/>
            <w:shd w:val="clear" w:color="auto" w:fill="auto"/>
            <w:vAlign w:val="bottom"/>
          </w:tcPr>
          <w:p w14:paraId="1F3DA95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2008</w:t>
            </w:r>
          </w:p>
        </w:tc>
        <w:tc>
          <w:tcPr>
            <w:tcW w:w="1069" w:type="pct"/>
            <w:shd w:val="clear" w:color="auto" w:fill="BFBFBF"/>
            <w:vAlign w:val="bottom"/>
          </w:tcPr>
          <w:p w14:paraId="1B968BBC"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1065" w:type="pct"/>
            <w:shd w:val="clear" w:color="auto" w:fill="auto"/>
            <w:vAlign w:val="bottom"/>
          </w:tcPr>
          <w:p w14:paraId="797B5AF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1080</w:t>
            </w:r>
          </w:p>
        </w:tc>
        <w:tc>
          <w:tcPr>
            <w:tcW w:w="996" w:type="pct"/>
            <w:shd w:val="clear" w:color="auto" w:fill="auto"/>
            <w:vAlign w:val="bottom"/>
          </w:tcPr>
          <w:p w14:paraId="0C5D0A3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1.86</w:t>
            </w:r>
          </w:p>
          <w:p w14:paraId="685D0BF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(1.63, 2.12)</w:t>
            </w:r>
          </w:p>
        </w:tc>
      </w:tr>
      <w:tr w:rsidR="00B01F15" w:rsidRPr="005422B9" w14:paraId="63E54688" w14:textId="77777777" w:rsidTr="00B675C9">
        <w:trPr>
          <w:cantSplit/>
        </w:trPr>
        <w:tc>
          <w:tcPr>
            <w:tcW w:w="808" w:type="pct"/>
            <w:shd w:val="clear" w:color="auto" w:fill="auto"/>
            <w:vAlign w:val="bottom"/>
          </w:tcPr>
          <w:p w14:paraId="5929DA6B"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11A</w:t>
            </w:r>
          </w:p>
        </w:tc>
        <w:tc>
          <w:tcPr>
            <w:tcW w:w="1062" w:type="pct"/>
            <w:shd w:val="clear" w:color="auto" w:fill="auto"/>
            <w:vAlign w:val="bottom"/>
          </w:tcPr>
          <w:p w14:paraId="35AD164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4427</w:t>
            </w:r>
          </w:p>
        </w:tc>
        <w:tc>
          <w:tcPr>
            <w:tcW w:w="1069" w:type="pct"/>
            <w:shd w:val="clear" w:color="auto" w:fill="BFBFBF"/>
            <w:vAlign w:val="bottom"/>
          </w:tcPr>
          <w:p w14:paraId="4C3CB913"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1065" w:type="pct"/>
            <w:shd w:val="clear" w:color="auto" w:fill="auto"/>
            <w:vAlign w:val="bottom"/>
          </w:tcPr>
          <w:p w14:paraId="5094DD7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2535</w:t>
            </w:r>
          </w:p>
        </w:tc>
        <w:tc>
          <w:tcPr>
            <w:tcW w:w="996" w:type="pct"/>
            <w:shd w:val="clear" w:color="auto" w:fill="auto"/>
            <w:vAlign w:val="bottom"/>
          </w:tcPr>
          <w:p w14:paraId="7A01676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1.75</w:t>
            </w:r>
          </w:p>
          <w:p w14:paraId="22E91C0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(1.52, 2.01)</w:t>
            </w:r>
          </w:p>
        </w:tc>
      </w:tr>
      <w:tr w:rsidR="00B01F15" w:rsidRPr="005422B9" w14:paraId="38A5E74B" w14:textId="77777777" w:rsidTr="00B675C9">
        <w:trPr>
          <w:cantSplit/>
        </w:trPr>
        <w:tc>
          <w:tcPr>
            <w:tcW w:w="808" w:type="pct"/>
            <w:shd w:val="clear" w:color="auto" w:fill="auto"/>
            <w:vAlign w:val="bottom"/>
          </w:tcPr>
          <w:p w14:paraId="6DCFB143"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12F</w:t>
            </w:r>
          </w:p>
        </w:tc>
        <w:tc>
          <w:tcPr>
            <w:tcW w:w="1062" w:type="pct"/>
            <w:shd w:val="clear" w:color="auto" w:fill="auto"/>
            <w:vAlign w:val="bottom"/>
          </w:tcPr>
          <w:p w14:paraId="53D039B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2539</w:t>
            </w:r>
          </w:p>
        </w:tc>
        <w:tc>
          <w:tcPr>
            <w:tcW w:w="1069" w:type="pct"/>
            <w:shd w:val="clear" w:color="auto" w:fill="BFBFBF"/>
            <w:vAlign w:val="bottom"/>
          </w:tcPr>
          <w:p w14:paraId="764334B6"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1065" w:type="pct"/>
            <w:shd w:val="clear" w:color="auto" w:fill="auto"/>
            <w:vAlign w:val="bottom"/>
          </w:tcPr>
          <w:p w14:paraId="0B4A276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1717</w:t>
            </w:r>
          </w:p>
        </w:tc>
        <w:tc>
          <w:tcPr>
            <w:tcW w:w="996" w:type="pct"/>
            <w:shd w:val="clear" w:color="auto" w:fill="auto"/>
            <w:vAlign w:val="bottom"/>
          </w:tcPr>
          <w:p w14:paraId="36D6428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1.48</w:t>
            </w:r>
          </w:p>
          <w:p w14:paraId="54C22F8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(1.27, 1.72)</w:t>
            </w:r>
          </w:p>
        </w:tc>
      </w:tr>
      <w:tr w:rsidR="00B01F15" w:rsidRPr="005422B9" w14:paraId="2A17ED3B" w14:textId="77777777" w:rsidTr="00B675C9">
        <w:trPr>
          <w:cantSplit/>
        </w:trPr>
        <w:tc>
          <w:tcPr>
            <w:tcW w:w="808" w:type="pct"/>
            <w:shd w:val="clear" w:color="auto" w:fill="auto"/>
            <w:vAlign w:val="bottom"/>
          </w:tcPr>
          <w:p w14:paraId="4FA70A40"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15B</w:t>
            </w:r>
          </w:p>
        </w:tc>
        <w:tc>
          <w:tcPr>
            <w:tcW w:w="1062" w:type="pct"/>
            <w:shd w:val="clear" w:color="auto" w:fill="auto"/>
            <w:vAlign w:val="bottom"/>
          </w:tcPr>
          <w:p w14:paraId="5641299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2398</w:t>
            </w:r>
          </w:p>
        </w:tc>
        <w:tc>
          <w:tcPr>
            <w:tcW w:w="1069" w:type="pct"/>
            <w:shd w:val="clear" w:color="auto" w:fill="BFBFBF"/>
            <w:vAlign w:val="bottom"/>
          </w:tcPr>
          <w:p w14:paraId="1CE4843B"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1065" w:type="pct"/>
            <w:shd w:val="clear" w:color="auto" w:fill="auto"/>
            <w:vAlign w:val="bottom"/>
          </w:tcPr>
          <w:p w14:paraId="05B19C2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769</w:t>
            </w:r>
          </w:p>
        </w:tc>
        <w:tc>
          <w:tcPr>
            <w:tcW w:w="996" w:type="pct"/>
            <w:shd w:val="clear" w:color="auto" w:fill="auto"/>
            <w:vAlign w:val="bottom"/>
          </w:tcPr>
          <w:p w14:paraId="09BF8FE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3.12</w:t>
            </w:r>
          </w:p>
          <w:p w14:paraId="14FF882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(2.62, 3.71)</w:t>
            </w:r>
          </w:p>
        </w:tc>
      </w:tr>
      <w:tr w:rsidR="00B01F15" w:rsidRPr="005422B9" w14:paraId="4F791BCC" w14:textId="77777777" w:rsidTr="00B675C9">
        <w:trPr>
          <w:cantSplit/>
        </w:trPr>
        <w:tc>
          <w:tcPr>
            <w:tcW w:w="808" w:type="pct"/>
            <w:shd w:val="clear" w:color="auto" w:fill="auto"/>
            <w:vAlign w:val="bottom"/>
          </w:tcPr>
          <w:p w14:paraId="72F4C3D3"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22F</w:t>
            </w:r>
          </w:p>
        </w:tc>
        <w:tc>
          <w:tcPr>
            <w:tcW w:w="1062" w:type="pct"/>
            <w:shd w:val="clear" w:color="auto" w:fill="auto"/>
            <w:vAlign w:val="bottom"/>
          </w:tcPr>
          <w:p w14:paraId="33097C3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3666</w:t>
            </w:r>
          </w:p>
        </w:tc>
        <w:tc>
          <w:tcPr>
            <w:tcW w:w="1069" w:type="pct"/>
            <w:shd w:val="clear" w:color="auto" w:fill="BFBFBF"/>
            <w:vAlign w:val="bottom"/>
          </w:tcPr>
          <w:p w14:paraId="0DEF793E"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1065" w:type="pct"/>
            <w:shd w:val="clear" w:color="auto" w:fill="auto"/>
            <w:vAlign w:val="bottom"/>
          </w:tcPr>
          <w:p w14:paraId="370AED8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1846</w:t>
            </w:r>
          </w:p>
        </w:tc>
        <w:tc>
          <w:tcPr>
            <w:tcW w:w="996" w:type="pct"/>
            <w:shd w:val="clear" w:color="auto" w:fill="auto"/>
            <w:vAlign w:val="bottom"/>
          </w:tcPr>
          <w:p w14:paraId="3947421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1.99</w:t>
            </w:r>
          </w:p>
          <w:p w14:paraId="7DC025D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(1.70, 2.32)</w:t>
            </w:r>
          </w:p>
        </w:tc>
      </w:tr>
      <w:tr w:rsidR="00B01F15" w:rsidRPr="005422B9" w14:paraId="777C0347" w14:textId="77777777" w:rsidTr="00B675C9">
        <w:trPr>
          <w:cantSplit/>
        </w:trPr>
        <w:tc>
          <w:tcPr>
            <w:tcW w:w="808" w:type="pct"/>
            <w:tcBorders>
              <w:bottom w:val="single" w:sz="4" w:space="0" w:color="auto"/>
            </w:tcBorders>
            <w:shd w:val="clear" w:color="auto" w:fill="auto"/>
            <w:vAlign w:val="bottom"/>
          </w:tcPr>
          <w:p w14:paraId="742C47D5"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33F</w:t>
            </w:r>
          </w:p>
        </w:tc>
        <w:tc>
          <w:tcPr>
            <w:tcW w:w="1062" w:type="pct"/>
            <w:tcBorders>
              <w:bottom w:val="single" w:sz="4" w:space="0" w:color="auto"/>
            </w:tcBorders>
            <w:shd w:val="clear" w:color="auto" w:fill="auto"/>
            <w:vAlign w:val="bottom"/>
          </w:tcPr>
          <w:p w14:paraId="61CCB7B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5126</w:t>
            </w:r>
          </w:p>
        </w:tc>
        <w:tc>
          <w:tcPr>
            <w:tcW w:w="1069" w:type="pct"/>
            <w:tcBorders>
              <w:bottom w:val="single" w:sz="4" w:space="0" w:color="auto"/>
            </w:tcBorders>
            <w:shd w:val="clear" w:color="auto" w:fill="BFBFBF"/>
            <w:vAlign w:val="bottom"/>
          </w:tcPr>
          <w:p w14:paraId="05B06204"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1065" w:type="pct"/>
            <w:tcBorders>
              <w:bottom w:val="single" w:sz="4" w:space="0" w:color="auto"/>
            </w:tcBorders>
            <w:shd w:val="clear" w:color="auto" w:fill="auto"/>
            <w:vAlign w:val="bottom"/>
          </w:tcPr>
          <w:p w14:paraId="5AACDCF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3721</w:t>
            </w:r>
          </w:p>
        </w:tc>
        <w:tc>
          <w:tcPr>
            <w:tcW w:w="996" w:type="pct"/>
            <w:tcBorders>
              <w:bottom w:val="single" w:sz="4" w:space="0" w:color="auto"/>
            </w:tcBorders>
            <w:shd w:val="clear" w:color="auto" w:fill="auto"/>
            <w:vAlign w:val="bottom"/>
          </w:tcPr>
          <w:p w14:paraId="34A5BB5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1.38</w:t>
            </w:r>
          </w:p>
          <w:p w14:paraId="5510904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(1.21, 1.57)</w:t>
            </w:r>
          </w:p>
        </w:tc>
      </w:tr>
      <w:tr w:rsidR="00B01F15" w:rsidRPr="005422B9" w14:paraId="25D20BD2" w14:textId="77777777" w:rsidTr="00B01F15">
        <w:trPr>
          <w:cantSplit/>
        </w:trPr>
        <w:tc>
          <w:tcPr>
            <w:tcW w:w="5000" w:type="pct"/>
            <w:gridSpan w:val="5"/>
            <w:tcBorders>
              <w:left w:val="nil"/>
              <w:bottom w:val="nil"/>
              <w:right w:val="nil"/>
            </w:tcBorders>
            <w:shd w:val="clear" w:color="auto" w:fill="auto"/>
          </w:tcPr>
          <w:p w14:paraId="6B96B4EC" w14:textId="7D7B0D3A" w:rsidR="00B01F15" w:rsidRPr="005422B9" w:rsidRDefault="00B01F15" w:rsidP="00B675C9">
            <w:pPr>
              <w:overflowPunct w:val="0"/>
              <w:autoSpaceDE w:val="0"/>
              <w:autoSpaceDN w:val="0"/>
              <w:adjustRightInd w:val="0"/>
              <w:spacing w:after="0"/>
              <w:textAlignment w:val="baseline"/>
              <w:rPr>
                <w:color w:val="000000"/>
                <w:sz w:val="18"/>
                <w:szCs w:val="18"/>
                <w:lang w:val="en-AU"/>
              </w:rPr>
            </w:pPr>
            <w:r w:rsidRPr="005422B9">
              <w:rPr>
                <w:sz w:val="18"/>
                <w:szCs w:val="18"/>
                <w:lang w:val="en-AU"/>
              </w:rPr>
              <w:t xml:space="preserve">Abbreviations: CI = confidence interval; </w:t>
            </w:r>
            <w:r w:rsidRPr="005422B9">
              <w:rPr>
                <w:color w:val="000000"/>
                <w:sz w:val="18"/>
                <w:szCs w:val="18"/>
                <w:lang w:val="en-AU"/>
              </w:rPr>
              <w:t>GMT = geometric mean titre</w:t>
            </w:r>
            <w:r w:rsidRPr="005422B9">
              <w:rPr>
                <w:sz w:val="18"/>
                <w:szCs w:val="18"/>
                <w:lang w:val="en-AU"/>
              </w:rPr>
              <w:t xml:space="preserve">; LLOQ = lower limit of quantitation; N = number of participants; OPA = opsonophagocytic activity; </w:t>
            </w:r>
            <w:r w:rsidR="001A517E" w:rsidRPr="005422B9">
              <w:rPr>
                <w:sz w:val="18"/>
                <w:szCs w:val="18"/>
                <w:lang w:val="en-AU"/>
              </w:rPr>
              <w:t>23vPPV</w:t>
            </w:r>
            <w:r w:rsidRPr="005422B9">
              <w:rPr>
                <w:sz w:val="18"/>
                <w:szCs w:val="18"/>
                <w:lang w:val="en-AU"/>
              </w:rPr>
              <w:t> = pneumococcal polysaccharide vaccine (23-valent)</w:t>
            </w:r>
            <w:r w:rsidRPr="005422B9">
              <w:rPr>
                <w:color w:val="000000"/>
                <w:sz w:val="18"/>
                <w:szCs w:val="18"/>
                <w:lang w:val="en-AU"/>
              </w:rPr>
              <w:t>.</w:t>
            </w:r>
          </w:p>
          <w:p w14:paraId="0FA7C4F0"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a.</w:t>
            </w:r>
            <w:r w:rsidRPr="005422B9">
              <w:rPr>
                <w:color w:val="000000"/>
                <w:sz w:val="18"/>
                <w:szCs w:val="18"/>
                <w:lang w:val="en-AU"/>
              </w:rPr>
              <w:tab/>
              <w:t>Study 1007 was conducted in the United States and in Sweden.</w:t>
            </w:r>
          </w:p>
          <w:p w14:paraId="323AE0C3"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b.</w:t>
            </w:r>
            <w:r w:rsidRPr="005422B9">
              <w:rPr>
                <w:color w:val="000000"/>
                <w:sz w:val="18"/>
                <w:szCs w:val="18"/>
                <w:lang w:val="en-AU"/>
              </w:rPr>
              <w:tab/>
              <w:t>Non</w:t>
            </w:r>
            <w:r w:rsidRPr="005422B9">
              <w:rPr>
                <w:color w:val="000000"/>
                <w:sz w:val="18"/>
                <w:szCs w:val="18"/>
                <w:lang w:val="en-AU"/>
              </w:rPr>
              <w:noBreakHyphen/>
              <w:t>inferiority for a serotype was met if the lower bound of the 2-sided 95% CI for the GMT ratio (ratio of PREVENAR 20/comparator) was greater than 0.5 (2-fold criterion for non</w:t>
            </w:r>
            <w:r w:rsidRPr="005422B9">
              <w:rPr>
                <w:color w:val="000000"/>
                <w:sz w:val="18"/>
                <w:szCs w:val="18"/>
                <w:lang w:val="en-AU"/>
              </w:rPr>
              <w:noBreakHyphen/>
              <w:t>inferiority).</w:t>
            </w:r>
          </w:p>
          <w:p w14:paraId="17CD6DD0"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c.</w:t>
            </w:r>
            <w:r w:rsidRPr="005422B9">
              <w:rPr>
                <w:color w:val="000000"/>
                <w:sz w:val="18"/>
                <w:szCs w:val="18"/>
                <w:lang w:val="en-AU"/>
              </w:rPr>
              <w:tab/>
              <w:t>Assay results below the LLOQ were set to 0.5 × LLOQ in the analysis.</w:t>
            </w:r>
          </w:p>
          <w:p w14:paraId="3EFA774A"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d.</w:t>
            </w:r>
            <w:r w:rsidRPr="005422B9">
              <w:rPr>
                <w:color w:val="000000"/>
                <w:sz w:val="18"/>
                <w:szCs w:val="18"/>
                <w:lang w:val="en-AU"/>
              </w:rPr>
              <w:tab/>
              <w:t>Evaluable immunogenicity population.</w:t>
            </w:r>
          </w:p>
          <w:p w14:paraId="29BF2A99"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sz w:val="18"/>
                <w:szCs w:val="18"/>
                <w:lang w:val="en-AU"/>
              </w:rPr>
            </w:pPr>
            <w:r w:rsidRPr="005422B9">
              <w:rPr>
                <w:color w:val="000000"/>
                <w:sz w:val="18"/>
                <w:szCs w:val="18"/>
                <w:lang w:val="en-AU"/>
              </w:rPr>
              <w:t>e.</w:t>
            </w:r>
            <w:r w:rsidRPr="005422B9">
              <w:rPr>
                <w:color w:val="000000"/>
                <w:sz w:val="18"/>
                <w:szCs w:val="18"/>
                <w:lang w:val="en-AU"/>
              </w:rPr>
              <w:tab/>
              <w:t>GMTs and GMT ratios as well as the associated 2-sided CIs were based on analysis of log-transformed OPA titres using a regression model with vaccine group, sex, smoking status, age at vaccination in years, and baseline log transformed OPA titres.</w:t>
            </w:r>
          </w:p>
        </w:tc>
      </w:tr>
    </w:tbl>
    <w:p w14:paraId="061C41C6" w14:textId="79C6605C" w:rsidR="00B01F15" w:rsidRPr="005422B9" w:rsidRDefault="00B01F15" w:rsidP="00B01F15">
      <w:pPr>
        <w:rPr>
          <w:rFonts w:eastAsia="MS Mincho"/>
          <w:szCs w:val="22"/>
          <w:lang w:val="en-AU"/>
        </w:rPr>
      </w:pPr>
    </w:p>
    <w:p w14:paraId="0513EB2D" w14:textId="6581C7D9" w:rsidR="00B01F15" w:rsidRPr="005422B9" w:rsidRDefault="00B01F15" w:rsidP="00D734CB">
      <w:pPr>
        <w:pStyle w:val="CLDHeading3"/>
        <w:rPr>
          <w:lang w:val="en-AU"/>
        </w:rPr>
      </w:pPr>
      <w:bookmarkStart w:id="18" w:name="_Hlk45701665"/>
      <w:bookmarkEnd w:id="15"/>
      <w:bookmarkEnd w:id="16"/>
      <w:bookmarkEnd w:id="17"/>
      <w:bookmarkEnd w:id="18"/>
      <w:r w:rsidRPr="005422B9">
        <w:rPr>
          <w:lang w:val="en-AU"/>
        </w:rPr>
        <w:t xml:space="preserve">Immunogenicity in </w:t>
      </w:r>
      <w:r w:rsidR="00D65C16" w:rsidRPr="00D65C16">
        <w:t>pneumococcal vaccine naïve</w:t>
      </w:r>
      <w:r w:rsidR="00D65C16">
        <w:rPr>
          <w:b w:val="0"/>
          <w:bCs/>
        </w:rPr>
        <w:t xml:space="preserve"> </w:t>
      </w:r>
      <w:r w:rsidRPr="005422B9">
        <w:rPr>
          <w:lang w:val="en-AU"/>
        </w:rPr>
        <w:t>adults 18 through 59 years of age</w:t>
      </w:r>
    </w:p>
    <w:p w14:paraId="5A335FAD" w14:textId="139B969A" w:rsidR="00B01F15" w:rsidRPr="005422B9" w:rsidRDefault="00B01F15" w:rsidP="00B01F15">
      <w:pPr>
        <w:rPr>
          <w:rFonts w:eastAsia="MS Mincho"/>
          <w:szCs w:val="22"/>
          <w:lang w:val="en-AU" w:eastAsia="en-GB"/>
        </w:rPr>
      </w:pPr>
      <w:r w:rsidRPr="005422B9">
        <w:rPr>
          <w:rFonts w:eastAsia="MS Mincho"/>
          <w:szCs w:val="22"/>
          <w:lang w:val="en-AU" w:eastAsia="en-GB"/>
        </w:rPr>
        <w:t>In Study 1007, described above, participants 50 through 59 years of age and participants 18 through 49 years of age were randomly assigned (3:1 ratio) to receive 1 vaccination with PREVENAR 20 or Prevenar </w:t>
      </w:r>
      <w:r w:rsidRPr="005422B9">
        <w:rPr>
          <w:szCs w:val="22"/>
          <w:lang w:val="en-AU"/>
        </w:rPr>
        <w:t>13</w:t>
      </w:r>
      <w:r w:rsidRPr="005422B9">
        <w:rPr>
          <w:rFonts w:eastAsia="MS Mincho"/>
          <w:szCs w:val="22"/>
          <w:lang w:val="en-AU" w:eastAsia="en-GB"/>
        </w:rPr>
        <w:t xml:space="preserve">. Serotype-specific OPA GMTs were measured before vaccination and 1 month after vaccination. </w:t>
      </w:r>
      <w:r w:rsidR="00265197">
        <w:t xml:space="preserve">Higher immune responses were observed in younger adults compared with older adults. </w:t>
      </w:r>
      <w:r w:rsidRPr="005422B9">
        <w:rPr>
          <w:rFonts w:eastAsia="MS Mincho"/>
          <w:szCs w:val="22"/>
          <w:lang w:val="en-AU" w:eastAsia="en-GB"/>
        </w:rPr>
        <w:t>A non</w:t>
      </w:r>
      <w:r w:rsidRPr="005422B9">
        <w:rPr>
          <w:rFonts w:eastAsia="MS Mincho"/>
          <w:szCs w:val="22"/>
          <w:lang w:val="en-AU" w:eastAsia="en-GB"/>
        </w:rPr>
        <w:noBreakHyphen/>
        <w:t>inferiority analysis of PREVENAR 20 in the younger age group versus PREVENAR 20 in adults 60 through 64 years of age for a serotype was performed to support the indication in adults 18 through 49 years of age and 50 through 59 years of age. Non</w:t>
      </w:r>
      <w:r w:rsidRPr="005422B9">
        <w:rPr>
          <w:rFonts w:eastAsia="MS Mincho"/>
          <w:szCs w:val="22"/>
          <w:lang w:val="en-AU" w:eastAsia="en-GB"/>
        </w:rPr>
        <w:noBreakHyphen/>
        <w:t>inferiority was to be declared if the lower bound of the 2</w:t>
      </w:r>
      <w:r w:rsidRPr="005422B9">
        <w:rPr>
          <w:rFonts w:eastAsia="MS Mincho"/>
          <w:szCs w:val="22"/>
          <w:lang w:val="en-AU" w:eastAsia="en-GB"/>
        </w:rPr>
        <w:noBreakHyphen/>
        <w:t xml:space="preserve">sided 95% CI for the GMT ratio (PREVENAR 20 in participants 18 through 49 years of age / 60 through 64 years of age and in 50 through 59 years of age / 60 through 64 years of age) for the 20 serotypes was &gt; 0.5. PREVENAR 20 elicited immune responses to all 20 vaccine serotypes </w:t>
      </w:r>
      <w:r w:rsidRPr="005422B9">
        <w:rPr>
          <w:rFonts w:eastAsia="MS Mincho"/>
          <w:szCs w:val="22"/>
          <w:lang w:val="en-AU" w:eastAsia="en-GB"/>
        </w:rPr>
        <w:lastRenderedPageBreak/>
        <w:t xml:space="preserve">in </w:t>
      </w:r>
      <w:proofErr w:type="gramStart"/>
      <w:r w:rsidRPr="005422B9">
        <w:rPr>
          <w:rFonts w:eastAsia="MS Mincho"/>
          <w:szCs w:val="22"/>
          <w:lang w:val="en-AU" w:eastAsia="en-GB"/>
        </w:rPr>
        <w:t>both of the younger</w:t>
      </w:r>
      <w:proofErr w:type="gramEnd"/>
      <w:r w:rsidRPr="005422B9">
        <w:rPr>
          <w:rFonts w:eastAsia="MS Mincho"/>
          <w:szCs w:val="22"/>
          <w:lang w:val="en-AU" w:eastAsia="en-GB"/>
        </w:rPr>
        <w:t xml:space="preserve"> age groups that were non</w:t>
      </w:r>
      <w:r w:rsidRPr="005422B9">
        <w:rPr>
          <w:rFonts w:eastAsia="MS Mincho"/>
          <w:szCs w:val="22"/>
          <w:lang w:val="en-AU" w:eastAsia="en-GB"/>
        </w:rPr>
        <w:noBreakHyphen/>
        <w:t>inferior to responses in adults 60 through 64 years of age 1 month after vaccination (Table </w:t>
      </w:r>
      <w:r w:rsidR="00171061">
        <w:rPr>
          <w:rFonts w:eastAsia="MS Mincho"/>
          <w:szCs w:val="22"/>
          <w:lang w:val="en-AU" w:eastAsia="en-GB"/>
        </w:rPr>
        <w:t>7</w:t>
      </w:r>
      <w:r w:rsidRPr="005422B9">
        <w:rPr>
          <w:rFonts w:eastAsia="MS Mincho"/>
          <w:szCs w:val="22"/>
          <w:lang w:val="en-AU"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611"/>
        <w:gridCol w:w="1352"/>
        <w:gridCol w:w="1500"/>
        <w:gridCol w:w="1350"/>
        <w:gridCol w:w="1426"/>
        <w:gridCol w:w="1329"/>
        <w:gridCol w:w="1459"/>
      </w:tblGrid>
      <w:tr w:rsidR="00B01F15" w:rsidRPr="005422B9" w14:paraId="2908E4E2" w14:textId="77777777" w:rsidTr="00B01F15">
        <w:trPr>
          <w:cantSplit/>
          <w:tblHeader/>
        </w:trPr>
        <w:tc>
          <w:tcPr>
            <w:tcW w:w="5000" w:type="pct"/>
            <w:gridSpan w:val="7"/>
            <w:tcBorders>
              <w:top w:val="nil"/>
              <w:left w:val="nil"/>
              <w:right w:val="nil"/>
            </w:tcBorders>
            <w:shd w:val="clear" w:color="auto" w:fill="auto"/>
          </w:tcPr>
          <w:p w14:paraId="5CB1B8BC" w14:textId="52ED54DB" w:rsidR="00B01F15" w:rsidRPr="005422B9" w:rsidRDefault="00B01F15" w:rsidP="00B675C9">
            <w:pPr>
              <w:tabs>
                <w:tab w:val="left" w:pos="1080"/>
              </w:tabs>
              <w:overflowPunct w:val="0"/>
              <w:autoSpaceDE w:val="0"/>
              <w:autoSpaceDN w:val="0"/>
              <w:adjustRightInd w:val="0"/>
              <w:spacing w:after="0"/>
              <w:ind w:left="1080" w:hanging="1080"/>
              <w:textAlignment w:val="baseline"/>
              <w:rPr>
                <w:b/>
                <w:bCs/>
                <w:szCs w:val="22"/>
                <w:lang w:val="en-AU"/>
              </w:rPr>
            </w:pPr>
            <w:r w:rsidRPr="005422B9">
              <w:rPr>
                <w:b/>
                <w:bCs/>
                <w:color w:val="000000"/>
                <w:szCs w:val="22"/>
                <w:lang w:val="en-AU"/>
              </w:rPr>
              <w:t xml:space="preserve">Table </w:t>
            </w:r>
            <w:r w:rsidR="00171061">
              <w:rPr>
                <w:b/>
                <w:bCs/>
                <w:color w:val="000000"/>
                <w:szCs w:val="22"/>
                <w:lang w:val="en-AU"/>
              </w:rPr>
              <w:t>7</w:t>
            </w:r>
            <w:r w:rsidRPr="005422B9">
              <w:rPr>
                <w:b/>
                <w:bCs/>
                <w:color w:val="000000"/>
                <w:szCs w:val="22"/>
                <w:lang w:val="en-AU"/>
              </w:rPr>
              <w:t>.</w:t>
            </w:r>
            <w:r w:rsidRPr="005422B9">
              <w:rPr>
                <w:b/>
                <w:bCs/>
                <w:color w:val="000000"/>
                <w:szCs w:val="22"/>
                <w:lang w:val="en-AU"/>
              </w:rPr>
              <w:tab/>
              <w:t>Comparisons of OPA GMTs 1 month after PREVENAR 20 in adults 18 through 49 or 50 through 59 years of age to adults 60 through 64 years of age (Study 1007)</w:t>
            </w:r>
            <w:proofErr w:type="spellStart"/>
            <w:r w:rsidRPr="005422B9">
              <w:rPr>
                <w:b/>
                <w:bCs/>
                <w:color w:val="000000"/>
                <w:szCs w:val="22"/>
                <w:vertAlign w:val="superscript"/>
                <w:lang w:val="en-AU"/>
              </w:rPr>
              <w:t>a,b,c,d</w:t>
            </w:r>
            <w:proofErr w:type="spellEnd"/>
            <w:r w:rsidRPr="005422B9">
              <w:rPr>
                <w:b/>
                <w:bCs/>
                <w:color w:val="000000"/>
                <w:szCs w:val="22"/>
                <w:vertAlign w:val="superscript"/>
                <w:lang w:val="en-AU"/>
              </w:rPr>
              <w:t xml:space="preserve"> </w:t>
            </w:r>
          </w:p>
        </w:tc>
      </w:tr>
      <w:tr w:rsidR="00B01F15" w:rsidRPr="005422B9" w14:paraId="353D9195" w14:textId="77777777" w:rsidTr="00B01F15">
        <w:trPr>
          <w:cantSplit/>
          <w:tblHeader/>
        </w:trPr>
        <w:tc>
          <w:tcPr>
            <w:tcW w:w="338" w:type="pct"/>
            <w:vMerge w:val="restart"/>
            <w:shd w:val="clear" w:color="auto" w:fill="auto"/>
          </w:tcPr>
          <w:p w14:paraId="55416ABF" w14:textId="77777777" w:rsidR="00B01F15" w:rsidRPr="005422B9" w:rsidRDefault="00B01F15" w:rsidP="00B675C9">
            <w:pPr>
              <w:overflowPunct w:val="0"/>
              <w:autoSpaceDE w:val="0"/>
              <w:autoSpaceDN w:val="0"/>
              <w:adjustRightInd w:val="0"/>
              <w:spacing w:after="0"/>
              <w:textAlignment w:val="baseline"/>
              <w:rPr>
                <w:sz w:val="22"/>
                <w:lang w:val="en-AU"/>
              </w:rPr>
            </w:pPr>
          </w:p>
        </w:tc>
        <w:tc>
          <w:tcPr>
            <w:tcW w:w="749" w:type="pct"/>
            <w:shd w:val="clear" w:color="auto" w:fill="auto"/>
            <w:vAlign w:val="bottom"/>
          </w:tcPr>
          <w:p w14:paraId="49A90784"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18–49 years</w:t>
            </w:r>
          </w:p>
          <w:p w14:paraId="74921C88"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251–317)</w:t>
            </w:r>
          </w:p>
        </w:tc>
        <w:tc>
          <w:tcPr>
            <w:tcW w:w="831" w:type="pct"/>
            <w:shd w:val="clear" w:color="auto" w:fill="auto"/>
            <w:vAlign w:val="bottom"/>
          </w:tcPr>
          <w:p w14:paraId="245D757C"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60–64 years</w:t>
            </w:r>
          </w:p>
          <w:p w14:paraId="3070D510"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765–941)</w:t>
            </w:r>
          </w:p>
        </w:tc>
        <w:tc>
          <w:tcPr>
            <w:tcW w:w="748" w:type="pct"/>
            <w:shd w:val="clear" w:color="auto" w:fill="auto"/>
            <w:vAlign w:val="bottom"/>
          </w:tcPr>
          <w:p w14:paraId="73AA976F"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18–49 years</w:t>
            </w:r>
          </w:p>
          <w:p w14:paraId="7280683E"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 xml:space="preserve">relative to </w:t>
            </w:r>
          </w:p>
          <w:p w14:paraId="432C1A85"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60–64 years</w:t>
            </w:r>
          </w:p>
        </w:tc>
        <w:tc>
          <w:tcPr>
            <w:tcW w:w="790" w:type="pct"/>
            <w:shd w:val="clear" w:color="auto" w:fill="auto"/>
            <w:vAlign w:val="bottom"/>
          </w:tcPr>
          <w:p w14:paraId="0E022DDF"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50–59 years</w:t>
            </w:r>
          </w:p>
          <w:p w14:paraId="04A6776B"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266–320)</w:t>
            </w:r>
          </w:p>
        </w:tc>
        <w:tc>
          <w:tcPr>
            <w:tcW w:w="736" w:type="pct"/>
            <w:shd w:val="clear" w:color="auto" w:fill="auto"/>
            <w:vAlign w:val="bottom"/>
          </w:tcPr>
          <w:p w14:paraId="013FE837"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60–64 years</w:t>
            </w:r>
          </w:p>
          <w:p w14:paraId="0BBC3D22"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765–941)</w:t>
            </w:r>
          </w:p>
        </w:tc>
        <w:tc>
          <w:tcPr>
            <w:tcW w:w="808" w:type="pct"/>
            <w:shd w:val="clear" w:color="auto" w:fill="auto"/>
            <w:vAlign w:val="bottom"/>
          </w:tcPr>
          <w:p w14:paraId="4F81E8D7"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50–59 years</w:t>
            </w:r>
          </w:p>
          <w:p w14:paraId="45CE5AE2"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 xml:space="preserve">relative to </w:t>
            </w:r>
          </w:p>
          <w:p w14:paraId="188158EF"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60–64 years</w:t>
            </w:r>
          </w:p>
        </w:tc>
      </w:tr>
      <w:tr w:rsidR="00B01F15" w:rsidRPr="005422B9" w14:paraId="6589FB08" w14:textId="77777777" w:rsidTr="00B01F15">
        <w:trPr>
          <w:cantSplit/>
          <w:tblHeader/>
        </w:trPr>
        <w:tc>
          <w:tcPr>
            <w:tcW w:w="338" w:type="pct"/>
            <w:vMerge/>
            <w:shd w:val="clear" w:color="auto" w:fill="auto"/>
          </w:tcPr>
          <w:p w14:paraId="1606C2EB" w14:textId="77777777" w:rsidR="00B01F15" w:rsidRPr="005422B9" w:rsidRDefault="00B01F15" w:rsidP="00B675C9">
            <w:pPr>
              <w:overflowPunct w:val="0"/>
              <w:autoSpaceDE w:val="0"/>
              <w:autoSpaceDN w:val="0"/>
              <w:adjustRightInd w:val="0"/>
              <w:spacing w:after="0"/>
              <w:textAlignment w:val="baseline"/>
              <w:rPr>
                <w:sz w:val="22"/>
                <w:lang w:val="en-AU"/>
              </w:rPr>
            </w:pPr>
          </w:p>
        </w:tc>
        <w:tc>
          <w:tcPr>
            <w:tcW w:w="749" w:type="pct"/>
            <w:shd w:val="clear" w:color="auto" w:fill="auto"/>
            <w:vAlign w:val="bottom"/>
          </w:tcPr>
          <w:p w14:paraId="1C707748"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proofErr w:type="spellStart"/>
            <w:r w:rsidRPr="005422B9">
              <w:rPr>
                <w:b/>
                <w:bCs/>
                <w:sz w:val="22"/>
                <w:lang w:val="en-AU"/>
              </w:rPr>
              <w:t>GMT</w:t>
            </w:r>
            <w:r w:rsidRPr="005422B9">
              <w:rPr>
                <w:b/>
                <w:bCs/>
                <w:sz w:val="22"/>
                <w:vertAlign w:val="superscript"/>
                <w:lang w:val="en-AU"/>
              </w:rPr>
              <w:t>e</w:t>
            </w:r>
            <w:proofErr w:type="spellEnd"/>
          </w:p>
        </w:tc>
        <w:tc>
          <w:tcPr>
            <w:tcW w:w="831" w:type="pct"/>
            <w:shd w:val="clear" w:color="auto" w:fill="auto"/>
            <w:vAlign w:val="bottom"/>
          </w:tcPr>
          <w:p w14:paraId="219CCAB1"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proofErr w:type="spellStart"/>
            <w:r w:rsidRPr="005422B9">
              <w:rPr>
                <w:b/>
                <w:bCs/>
                <w:sz w:val="22"/>
                <w:lang w:val="en-AU"/>
              </w:rPr>
              <w:t>GMT</w:t>
            </w:r>
            <w:r w:rsidRPr="005422B9">
              <w:rPr>
                <w:b/>
                <w:bCs/>
                <w:sz w:val="22"/>
                <w:vertAlign w:val="superscript"/>
                <w:lang w:val="en-AU"/>
              </w:rPr>
              <w:t>e</w:t>
            </w:r>
            <w:proofErr w:type="spellEnd"/>
          </w:p>
        </w:tc>
        <w:tc>
          <w:tcPr>
            <w:tcW w:w="748" w:type="pct"/>
            <w:shd w:val="clear" w:color="auto" w:fill="auto"/>
            <w:vAlign w:val="bottom"/>
          </w:tcPr>
          <w:p w14:paraId="1718B15C" w14:textId="77777777" w:rsidR="00B01F15" w:rsidRPr="005422B9" w:rsidRDefault="00B01F15" w:rsidP="00B675C9">
            <w:pPr>
              <w:overflowPunct w:val="0"/>
              <w:autoSpaceDE w:val="0"/>
              <w:autoSpaceDN w:val="0"/>
              <w:adjustRightInd w:val="0"/>
              <w:spacing w:after="0"/>
              <w:jc w:val="center"/>
              <w:textAlignment w:val="baseline"/>
              <w:rPr>
                <w:b/>
                <w:bCs/>
                <w:sz w:val="22"/>
                <w:vertAlign w:val="superscript"/>
                <w:lang w:val="en-AU"/>
              </w:rPr>
            </w:pPr>
            <w:r w:rsidRPr="005422B9">
              <w:rPr>
                <w:b/>
                <w:bCs/>
                <w:sz w:val="22"/>
                <w:lang w:val="en-AU"/>
              </w:rPr>
              <w:t xml:space="preserve">GMT </w:t>
            </w:r>
            <w:proofErr w:type="spellStart"/>
            <w:r w:rsidRPr="005422B9">
              <w:rPr>
                <w:b/>
                <w:bCs/>
                <w:sz w:val="22"/>
                <w:lang w:val="en-AU"/>
              </w:rPr>
              <w:t>ratio</w:t>
            </w:r>
            <w:r w:rsidRPr="005422B9">
              <w:rPr>
                <w:b/>
                <w:bCs/>
                <w:sz w:val="22"/>
                <w:vertAlign w:val="superscript"/>
                <w:lang w:val="en-AU"/>
              </w:rPr>
              <w:t>e</w:t>
            </w:r>
            <w:proofErr w:type="spellEnd"/>
          </w:p>
          <w:p w14:paraId="2958CDB8"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c>
          <w:tcPr>
            <w:tcW w:w="790" w:type="pct"/>
            <w:shd w:val="clear" w:color="auto" w:fill="auto"/>
            <w:vAlign w:val="bottom"/>
          </w:tcPr>
          <w:p w14:paraId="4ED8E7A1"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proofErr w:type="spellStart"/>
            <w:r w:rsidRPr="005422B9">
              <w:rPr>
                <w:b/>
                <w:bCs/>
                <w:sz w:val="22"/>
                <w:lang w:val="en-AU"/>
              </w:rPr>
              <w:t>GMT</w:t>
            </w:r>
            <w:r w:rsidRPr="005422B9">
              <w:rPr>
                <w:b/>
                <w:bCs/>
                <w:sz w:val="22"/>
                <w:vertAlign w:val="superscript"/>
                <w:lang w:val="en-AU"/>
              </w:rPr>
              <w:t>e</w:t>
            </w:r>
            <w:proofErr w:type="spellEnd"/>
          </w:p>
        </w:tc>
        <w:tc>
          <w:tcPr>
            <w:tcW w:w="736" w:type="pct"/>
            <w:shd w:val="clear" w:color="auto" w:fill="auto"/>
            <w:vAlign w:val="bottom"/>
          </w:tcPr>
          <w:p w14:paraId="723AF8E1"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proofErr w:type="spellStart"/>
            <w:r w:rsidRPr="005422B9">
              <w:rPr>
                <w:b/>
                <w:bCs/>
                <w:sz w:val="22"/>
                <w:lang w:val="en-AU"/>
              </w:rPr>
              <w:t>GMT</w:t>
            </w:r>
            <w:r w:rsidRPr="005422B9">
              <w:rPr>
                <w:b/>
                <w:bCs/>
                <w:sz w:val="22"/>
                <w:vertAlign w:val="superscript"/>
                <w:lang w:val="en-AU"/>
              </w:rPr>
              <w:t>e</w:t>
            </w:r>
            <w:proofErr w:type="spellEnd"/>
          </w:p>
        </w:tc>
        <w:tc>
          <w:tcPr>
            <w:tcW w:w="808" w:type="pct"/>
            <w:shd w:val="clear" w:color="auto" w:fill="auto"/>
            <w:vAlign w:val="bottom"/>
          </w:tcPr>
          <w:p w14:paraId="5B6AD76F" w14:textId="77777777" w:rsidR="00B01F15" w:rsidRPr="005422B9" w:rsidRDefault="00B01F15" w:rsidP="00B675C9">
            <w:pPr>
              <w:overflowPunct w:val="0"/>
              <w:autoSpaceDE w:val="0"/>
              <w:autoSpaceDN w:val="0"/>
              <w:adjustRightInd w:val="0"/>
              <w:spacing w:after="0"/>
              <w:jc w:val="center"/>
              <w:textAlignment w:val="baseline"/>
              <w:rPr>
                <w:b/>
                <w:bCs/>
                <w:sz w:val="22"/>
                <w:vertAlign w:val="superscript"/>
                <w:lang w:val="en-AU"/>
              </w:rPr>
            </w:pPr>
            <w:r w:rsidRPr="005422B9">
              <w:rPr>
                <w:b/>
                <w:bCs/>
                <w:sz w:val="22"/>
                <w:lang w:val="en-AU"/>
              </w:rPr>
              <w:t xml:space="preserve">GMT </w:t>
            </w:r>
            <w:proofErr w:type="spellStart"/>
            <w:r w:rsidRPr="005422B9">
              <w:rPr>
                <w:b/>
                <w:bCs/>
                <w:sz w:val="22"/>
                <w:lang w:val="en-AU"/>
              </w:rPr>
              <w:t>ratio</w:t>
            </w:r>
            <w:r w:rsidRPr="005422B9">
              <w:rPr>
                <w:b/>
                <w:bCs/>
                <w:sz w:val="22"/>
                <w:vertAlign w:val="superscript"/>
                <w:lang w:val="en-AU"/>
              </w:rPr>
              <w:t>e</w:t>
            </w:r>
            <w:proofErr w:type="spellEnd"/>
          </w:p>
          <w:p w14:paraId="2CD7955E"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r>
      <w:tr w:rsidR="00B01F15" w:rsidRPr="005422B9" w14:paraId="64F27A8D" w14:textId="77777777" w:rsidTr="00B01F15">
        <w:trPr>
          <w:cantSplit/>
        </w:trPr>
        <w:tc>
          <w:tcPr>
            <w:tcW w:w="5000" w:type="pct"/>
            <w:gridSpan w:val="7"/>
            <w:shd w:val="clear" w:color="auto" w:fill="auto"/>
          </w:tcPr>
          <w:p w14:paraId="79705179" w14:textId="77777777" w:rsidR="00B01F15" w:rsidRPr="005422B9" w:rsidRDefault="00B01F15" w:rsidP="00B675C9">
            <w:pPr>
              <w:overflowPunct w:val="0"/>
              <w:autoSpaceDE w:val="0"/>
              <w:autoSpaceDN w:val="0"/>
              <w:adjustRightInd w:val="0"/>
              <w:spacing w:after="0"/>
              <w:textAlignment w:val="baseline"/>
              <w:rPr>
                <w:b/>
                <w:bCs/>
                <w:sz w:val="22"/>
                <w:lang w:val="en-AU"/>
              </w:rPr>
            </w:pPr>
            <w:r w:rsidRPr="005422B9">
              <w:rPr>
                <w:b/>
                <w:bCs/>
                <w:sz w:val="22"/>
                <w:lang w:val="en-AU"/>
              </w:rPr>
              <w:t>Serotype</w:t>
            </w:r>
          </w:p>
        </w:tc>
      </w:tr>
      <w:tr w:rsidR="00B01F15" w:rsidRPr="005422B9" w14:paraId="237C9ABA" w14:textId="77777777" w:rsidTr="00B01F15">
        <w:trPr>
          <w:cantSplit/>
        </w:trPr>
        <w:tc>
          <w:tcPr>
            <w:tcW w:w="338" w:type="pct"/>
            <w:shd w:val="clear" w:color="auto" w:fill="auto"/>
            <w:vAlign w:val="bottom"/>
          </w:tcPr>
          <w:p w14:paraId="45546D22"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w:t>
            </w:r>
          </w:p>
        </w:tc>
        <w:tc>
          <w:tcPr>
            <w:tcW w:w="749" w:type="pct"/>
            <w:shd w:val="clear" w:color="auto" w:fill="auto"/>
            <w:vAlign w:val="bottom"/>
          </w:tcPr>
          <w:p w14:paraId="52EB792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163</w:t>
            </w:r>
          </w:p>
        </w:tc>
        <w:tc>
          <w:tcPr>
            <w:tcW w:w="831" w:type="pct"/>
            <w:shd w:val="clear" w:color="auto" w:fill="auto"/>
            <w:vAlign w:val="bottom"/>
          </w:tcPr>
          <w:p w14:paraId="2E92E7A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132</w:t>
            </w:r>
          </w:p>
        </w:tc>
        <w:tc>
          <w:tcPr>
            <w:tcW w:w="748" w:type="pct"/>
            <w:shd w:val="clear" w:color="auto" w:fill="auto"/>
            <w:vAlign w:val="bottom"/>
          </w:tcPr>
          <w:p w14:paraId="54CD53B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1.23</w:t>
            </w:r>
          </w:p>
          <w:p w14:paraId="6410BAB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(1.01, 1.50)</w:t>
            </w:r>
          </w:p>
        </w:tc>
        <w:tc>
          <w:tcPr>
            <w:tcW w:w="790" w:type="pct"/>
            <w:shd w:val="clear" w:color="auto" w:fill="auto"/>
            <w:vAlign w:val="bottom"/>
          </w:tcPr>
          <w:p w14:paraId="70D6E8C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136</w:t>
            </w:r>
          </w:p>
        </w:tc>
        <w:tc>
          <w:tcPr>
            <w:tcW w:w="736" w:type="pct"/>
            <w:shd w:val="clear" w:color="auto" w:fill="auto"/>
            <w:vAlign w:val="bottom"/>
          </w:tcPr>
          <w:p w14:paraId="7FACD0E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132</w:t>
            </w:r>
          </w:p>
        </w:tc>
        <w:tc>
          <w:tcPr>
            <w:tcW w:w="808" w:type="pct"/>
            <w:shd w:val="clear" w:color="auto" w:fill="auto"/>
            <w:vAlign w:val="bottom"/>
          </w:tcPr>
          <w:p w14:paraId="23D78AE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1.03</w:t>
            </w:r>
          </w:p>
          <w:p w14:paraId="1EF7CCE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(0.84, 1.26)</w:t>
            </w:r>
          </w:p>
        </w:tc>
      </w:tr>
      <w:tr w:rsidR="00B01F15" w:rsidRPr="005422B9" w14:paraId="6706AA87" w14:textId="77777777" w:rsidTr="00B01F15">
        <w:trPr>
          <w:cantSplit/>
        </w:trPr>
        <w:tc>
          <w:tcPr>
            <w:tcW w:w="338" w:type="pct"/>
            <w:shd w:val="clear" w:color="auto" w:fill="auto"/>
            <w:vAlign w:val="bottom"/>
          </w:tcPr>
          <w:p w14:paraId="7E489F1E"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3</w:t>
            </w:r>
          </w:p>
        </w:tc>
        <w:tc>
          <w:tcPr>
            <w:tcW w:w="749" w:type="pct"/>
            <w:shd w:val="clear" w:color="auto" w:fill="auto"/>
            <w:vAlign w:val="bottom"/>
          </w:tcPr>
          <w:p w14:paraId="430D420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42</w:t>
            </w:r>
          </w:p>
        </w:tc>
        <w:tc>
          <w:tcPr>
            <w:tcW w:w="831" w:type="pct"/>
            <w:shd w:val="clear" w:color="auto" w:fill="auto"/>
            <w:vAlign w:val="bottom"/>
          </w:tcPr>
          <w:p w14:paraId="6EAAD16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42</w:t>
            </w:r>
          </w:p>
        </w:tc>
        <w:tc>
          <w:tcPr>
            <w:tcW w:w="748" w:type="pct"/>
            <w:shd w:val="clear" w:color="auto" w:fill="auto"/>
            <w:vAlign w:val="bottom"/>
          </w:tcPr>
          <w:p w14:paraId="2A2FFB2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1.00</w:t>
            </w:r>
          </w:p>
          <w:p w14:paraId="0DC259D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(0.87, 1.16)</w:t>
            </w:r>
          </w:p>
        </w:tc>
        <w:tc>
          <w:tcPr>
            <w:tcW w:w="790" w:type="pct"/>
            <w:shd w:val="clear" w:color="auto" w:fill="auto"/>
            <w:vAlign w:val="bottom"/>
          </w:tcPr>
          <w:p w14:paraId="73FD44B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43</w:t>
            </w:r>
          </w:p>
        </w:tc>
        <w:tc>
          <w:tcPr>
            <w:tcW w:w="736" w:type="pct"/>
            <w:shd w:val="clear" w:color="auto" w:fill="auto"/>
            <w:vAlign w:val="bottom"/>
          </w:tcPr>
          <w:p w14:paraId="56417EB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41</w:t>
            </w:r>
          </w:p>
        </w:tc>
        <w:tc>
          <w:tcPr>
            <w:tcW w:w="808" w:type="pct"/>
            <w:shd w:val="clear" w:color="auto" w:fill="auto"/>
            <w:vAlign w:val="bottom"/>
          </w:tcPr>
          <w:p w14:paraId="29A602E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1.06</w:t>
            </w:r>
          </w:p>
          <w:p w14:paraId="60CB018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(0.92, 1.22)</w:t>
            </w:r>
          </w:p>
        </w:tc>
      </w:tr>
      <w:tr w:rsidR="00B01F15" w:rsidRPr="005422B9" w14:paraId="2C345F2D" w14:textId="77777777" w:rsidTr="00B01F15">
        <w:trPr>
          <w:cantSplit/>
        </w:trPr>
        <w:tc>
          <w:tcPr>
            <w:tcW w:w="338" w:type="pct"/>
            <w:shd w:val="clear" w:color="auto" w:fill="auto"/>
            <w:vAlign w:val="bottom"/>
          </w:tcPr>
          <w:p w14:paraId="05C8DB02"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4</w:t>
            </w:r>
          </w:p>
        </w:tc>
        <w:tc>
          <w:tcPr>
            <w:tcW w:w="749" w:type="pct"/>
            <w:shd w:val="clear" w:color="auto" w:fill="auto"/>
            <w:vAlign w:val="bottom"/>
          </w:tcPr>
          <w:p w14:paraId="058686A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1967</w:t>
            </w:r>
          </w:p>
        </w:tc>
        <w:tc>
          <w:tcPr>
            <w:tcW w:w="831" w:type="pct"/>
            <w:shd w:val="clear" w:color="auto" w:fill="auto"/>
            <w:vAlign w:val="bottom"/>
          </w:tcPr>
          <w:p w14:paraId="14E8DE4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594</w:t>
            </w:r>
          </w:p>
        </w:tc>
        <w:tc>
          <w:tcPr>
            <w:tcW w:w="748" w:type="pct"/>
            <w:shd w:val="clear" w:color="auto" w:fill="auto"/>
            <w:vAlign w:val="bottom"/>
          </w:tcPr>
          <w:p w14:paraId="44A5392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3.31</w:t>
            </w:r>
          </w:p>
          <w:p w14:paraId="118EF08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(2.65, 4.13)</w:t>
            </w:r>
          </w:p>
        </w:tc>
        <w:tc>
          <w:tcPr>
            <w:tcW w:w="790" w:type="pct"/>
            <w:shd w:val="clear" w:color="auto" w:fill="auto"/>
            <w:vAlign w:val="bottom"/>
          </w:tcPr>
          <w:p w14:paraId="33AD3C1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633</w:t>
            </w:r>
          </w:p>
        </w:tc>
        <w:tc>
          <w:tcPr>
            <w:tcW w:w="736" w:type="pct"/>
            <w:shd w:val="clear" w:color="auto" w:fill="auto"/>
            <w:vAlign w:val="bottom"/>
          </w:tcPr>
          <w:p w14:paraId="17E6ECD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578</w:t>
            </w:r>
          </w:p>
        </w:tc>
        <w:tc>
          <w:tcPr>
            <w:tcW w:w="808" w:type="pct"/>
            <w:shd w:val="clear" w:color="auto" w:fill="auto"/>
            <w:vAlign w:val="bottom"/>
          </w:tcPr>
          <w:p w14:paraId="1117B2B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1.10</w:t>
            </w:r>
          </w:p>
          <w:p w14:paraId="552FF77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(0.87, 1.38)</w:t>
            </w:r>
          </w:p>
        </w:tc>
      </w:tr>
      <w:tr w:rsidR="00B01F15" w:rsidRPr="005422B9" w14:paraId="6C29D681" w14:textId="77777777" w:rsidTr="00B01F15">
        <w:trPr>
          <w:cantSplit/>
        </w:trPr>
        <w:tc>
          <w:tcPr>
            <w:tcW w:w="338" w:type="pct"/>
            <w:shd w:val="clear" w:color="auto" w:fill="auto"/>
            <w:vAlign w:val="bottom"/>
          </w:tcPr>
          <w:p w14:paraId="703412DE"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5</w:t>
            </w:r>
          </w:p>
        </w:tc>
        <w:tc>
          <w:tcPr>
            <w:tcW w:w="749" w:type="pct"/>
            <w:shd w:val="clear" w:color="auto" w:fill="auto"/>
            <w:vAlign w:val="bottom"/>
          </w:tcPr>
          <w:p w14:paraId="18C4C07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108</w:t>
            </w:r>
          </w:p>
        </w:tc>
        <w:tc>
          <w:tcPr>
            <w:tcW w:w="831" w:type="pct"/>
            <w:shd w:val="clear" w:color="auto" w:fill="auto"/>
            <w:vAlign w:val="bottom"/>
          </w:tcPr>
          <w:p w14:paraId="4F186BC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97</w:t>
            </w:r>
          </w:p>
        </w:tc>
        <w:tc>
          <w:tcPr>
            <w:tcW w:w="748" w:type="pct"/>
            <w:shd w:val="clear" w:color="auto" w:fill="auto"/>
            <w:vAlign w:val="bottom"/>
          </w:tcPr>
          <w:p w14:paraId="76EB5CE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1.11</w:t>
            </w:r>
          </w:p>
          <w:p w14:paraId="3E57D8D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(0.91, 1.36)</w:t>
            </w:r>
          </w:p>
        </w:tc>
        <w:tc>
          <w:tcPr>
            <w:tcW w:w="790" w:type="pct"/>
            <w:shd w:val="clear" w:color="auto" w:fill="auto"/>
            <w:vAlign w:val="bottom"/>
          </w:tcPr>
          <w:p w14:paraId="4B25AE1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85</w:t>
            </w:r>
          </w:p>
        </w:tc>
        <w:tc>
          <w:tcPr>
            <w:tcW w:w="736" w:type="pct"/>
            <w:shd w:val="clear" w:color="auto" w:fill="auto"/>
            <w:vAlign w:val="bottom"/>
          </w:tcPr>
          <w:p w14:paraId="7F95160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97</w:t>
            </w:r>
          </w:p>
        </w:tc>
        <w:tc>
          <w:tcPr>
            <w:tcW w:w="808" w:type="pct"/>
            <w:shd w:val="clear" w:color="auto" w:fill="auto"/>
            <w:vAlign w:val="bottom"/>
          </w:tcPr>
          <w:p w14:paraId="157AEAA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0.88</w:t>
            </w:r>
          </w:p>
          <w:p w14:paraId="2789CA7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(0.72, 1.07)</w:t>
            </w:r>
          </w:p>
        </w:tc>
      </w:tr>
      <w:tr w:rsidR="00B01F15" w:rsidRPr="005422B9" w14:paraId="588318F0" w14:textId="77777777" w:rsidTr="00B01F15">
        <w:trPr>
          <w:cantSplit/>
        </w:trPr>
        <w:tc>
          <w:tcPr>
            <w:tcW w:w="338" w:type="pct"/>
            <w:shd w:val="clear" w:color="auto" w:fill="auto"/>
            <w:vAlign w:val="bottom"/>
          </w:tcPr>
          <w:p w14:paraId="1C16FC71"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6A</w:t>
            </w:r>
          </w:p>
        </w:tc>
        <w:tc>
          <w:tcPr>
            <w:tcW w:w="749" w:type="pct"/>
            <w:shd w:val="clear" w:color="auto" w:fill="auto"/>
            <w:vAlign w:val="bottom"/>
          </w:tcPr>
          <w:p w14:paraId="38DF2BF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3931</w:t>
            </w:r>
          </w:p>
        </w:tc>
        <w:tc>
          <w:tcPr>
            <w:tcW w:w="831" w:type="pct"/>
            <w:shd w:val="clear" w:color="auto" w:fill="auto"/>
            <w:vAlign w:val="bottom"/>
          </w:tcPr>
          <w:p w14:paraId="64A7071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1023</w:t>
            </w:r>
          </w:p>
        </w:tc>
        <w:tc>
          <w:tcPr>
            <w:tcW w:w="748" w:type="pct"/>
            <w:shd w:val="clear" w:color="auto" w:fill="auto"/>
            <w:vAlign w:val="bottom"/>
          </w:tcPr>
          <w:p w14:paraId="76C8AF9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3.84</w:t>
            </w:r>
          </w:p>
          <w:p w14:paraId="0C04F55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(3.06, 4.83)</w:t>
            </w:r>
          </w:p>
        </w:tc>
        <w:tc>
          <w:tcPr>
            <w:tcW w:w="790" w:type="pct"/>
            <w:shd w:val="clear" w:color="auto" w:fill="auto"/>
            <w:vAlign w:val="bottom"/>
          </w:tcPr>
          <w:p w14:paraId="3545018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1204</w:t>
            </w:r>
          </w:p>
        </w:tc>
        <w:tc>
          <w:tcPr>
            <w:tcW w:w="736" w:type="pct"/>
            <w:shd w:val="clear" w:color="auto" w:fill="auto"/>
            <w:vAlign w:val="bottom"/>
          </w:tcPr>
          <w:p w14:paraId="335808E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997</w:t>
            </w:r>
          </w:p>
        </w:tc>
        <w:tc>
          <w:tcPr>
            <w:tcW w:w="808" w:type="pct"/>
            <w:shd w:val="clear" w:color="auto" w:fill="auto"/>
            <w:vAlign w:val="bottom"/>
          </w:tcPr>
          <w:p w14:paraId="535A91F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1.21</w:t>
            </w:r>
          </w:p>
          <w:p w14:paraId="549E508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(0.95, 1.53)</w:t>
            </w:r>
          </w:p>
        </w:tc>
      </w:tr>
      <w:tr w:rsidR="00B01F15" w:rsidRPr="005422B9" w14:paraId="7C11F3D8" w14:textId="77777777" w:rsidTr="00B01F15">
        <w:trPr>
          <w:cantSplit/>
        </w:trPr>
        <w:tc>
          <w:tcPr>
            <w:tcW w:w="338" w:type="pct"/>
            <w:shd w:val="clear" w:color="auto" w:fill="auto"/>
            <w:vAlign w:val="bottom"/>
          </w:tcPr>
          <w:p w14:paraId="3860923E"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6B</w:t>
            </w:r>
          </w:p>
        </w:tc>
        <w:tc>
          <w:tcPr>
            <w:tcW w:w="749" w:type="pct"/>
            <w:shd w:val="clear" w:color="auto" w:fill="auto"/>
            <w:vAlign w:val="bottom"/>
          </w:tcPr>
          <w:p w14:paraId="6BD7334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4260</w:t>
            </w:r>
          </w:p>
        </w:tc>
        <w:tc>
          <w:tcPr>
            <w:tcW w:w="831" w:type="pct"/>
            <w:shd w:val="clear" w:color="auto" w:fill="auto"/>
            <w:vAlign w:val="bottom"/>
          </w:tcPr>
          <w:p w14:paraId="39D82EE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1250</w:t>
            </w:r>
          </w:p>
        </w:tc>
        <w:tc>
          <w:tcPr>
            <w:tcW w:w="748" w:type="pct"/>
            <w:shd w:val="clear" w:color="auto" w:fill="auto"/>
            <w:vAlign w:val="bottom"/>
          </w:tcPr>
          <w:p w14:paraId="358CE9A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3.41</w:t>
            </w:r>
          </w:p>
          <w:p w14:paraId="79ED78C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(2.73, 4.26)</w:t>
            </w:r>
          </w:p>
        </w:tc>
        <w:tc>
          <w:tcPr>
            <w:tcW w:w="790" w:type="pct"/>
            <w:shd w:val="clear" w:color="auto" w:fill="auto"/>
            <w:vAlign w:val="bottom"/>
          </w:tcPr>
          <w:p w14:paraId="264019F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1503</w:t>
            </w:r>
          </w:p>
        </w:tc>
        <w:tc>
          <w:tcPr>
            <w:tcW w:w="736" w:type="pct"/>
            <w:shd w:val="clear" w:color="auto" w:fill="auto"/>
            <w:vAlign w:val="bottom"/>
          </w:tcPr>
          <w:p w14:paraId="04316D0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1199</w:t>
            </w:r>
          </w:p>
        </w:tc>
        <w:tc>
          <w:tcPr>
            <w:tcW w:w="808" w:type="pct"/>
            <w:shd w:val="clear" w:color="auto" w:fill="auto"/>
            <w:vAlign w:val="bottom"/>
          </w:tcPr>
          <w:p w14:paraId="772F896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1.25</w:t>
            </w:r>
          </w:p>
          <w:p w14:paraId="75B6ACD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(1.00, 1.56)</w:t>
            </w:r>
          </w:p>
        </w:tc>
      </w:tr>
      <w:tr w:rsidR="00B01F15" w:rsidRPr="005422B9" w14:paraId="2C44C3B9" w14:textId="77777777" w:rsidTr="00B01F15">
        <w:trPr>
          <w:cantSplit/>
        </w:trPr>
        <w:tc>
          <w:tcPr>
            <w:tcW w:w="338" w:type="pct"/>
            <w:shd w:val="clear" w:color="auto" w:fill="auto"/>
            <w:vAlign w:val="bottom"/>
          </w:tcPr>
          <w:p w14:paraId="57C49EC7"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7F</w:t>
            </w:r>
          </w:p>
        </w:tc>
        <w:tc>
          <w:tcPr>
            <w:tcW w:w="749" w:type="pct"/>
            <w:shd w:val="clear" w:color="auto" w:fill="auto"/>
            <w:vAlign w:val="bottom"/>
          </w:tcPr>
          <w:p w14:paraId="2D0C152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1873</w:t>
            </w:r>
          </w:p>
        </w:tc>
        <w:tc>
          <w:tcPr>
            <w:tcW w:w="831" w:type="pct"/>
            <w:shd w:val="clear" w:color="auto" w:fill="auto"/>
            <w:vAlign w:val="bottom"/>
          </w:tcPr>
          <w:p w14:paraId="43936ED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1187</w:t>
            </w:r>
          </w:p>
        </w:tc>
        <w:tc>
          <w:tcPr>
            <w:tcW w:w="748" w:type="pct"/>
            <w:shd w:val="clear" w:color="auto" w:fill="auto"/>
            <w:vAlign w:val="bottom"/>
          </w:tcPr>
          <w:p w14:paraId="0A106F3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1.58</w:t>
            </w:r>
          </w:p>
          <w:p w14:paraId="3386AE6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(1.30, 1.91)</w:t>
            </w:r>
          </w:p>
        </w:tc>
        <w:tc>
          <w:tcPr>
            <w:tcW w:w="790" w:type="pct"/>
            <w:shd w:val="clear" w:color="auto" w:fill="auto"/>
            <w:vAlign w:val="bottom"/>
          </w:tcPr>
          <w:p w14:paraId="50DC713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1047</w:t>
            </w:r>
          </w:p>
        </w:tc>
        <w:tc>
          <w:tcPr>
            <w:tcW w:w="736" w:type="pct"/>
            <w:shd w:val="clear" w:color="auto" w:fill="auto"/>
            <w:vAlign w:val="bottom"/>
          </w:tcPr>
          <w:p w14:paraId="33F02AB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1173</w:t>
            </w:r>
          </w:p>
        </w:tc>
        <w:tc>
          <w:tcPr>
            <w:tcW w:w="808" w:type="pct"/>
            <w:shd w:val="clear" w:color="auto" w:fill="auto"/>
            <w:vAlign w:val="bottom"/>
          </w:tcPr>
          <w:p w14:paraId="1FA473B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0.89</w:t>
            </w:r>
          </w:p>
          <w:p w14:paraId="02F92D2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(0.74, 1.07)</w:t>
            </w:r>
          </w:p>
        </w:tc>
      </w:tr>
      <w:tr w:rsidR="00B01F15" w:rsidRPr="005422B9" w14:paraId="52AAAE1F" w14:textId="77777777" w:rsidTr="00B01F15">
        <w:trPr>
          <w:cantSplit/>
        </w:trPr>
        <w:tc>
          <w:tcPr>
            <w:tcW w:w="338" w:type="pct"/>
            <w:shd w:val="clear" w:color="auto" w:fill="auto"/>
            <w:vAlign w:val="bottom"/>
          </w:tcPr>
          <w:p w14:paraId="6515524B"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9V</w:t>
            </w:r>
          </w:p>
        </w:tc>
        <w:tc>
          <w:tcPr>
            <w:tcW w:w="749" w:type="pct"/>
            <w:shd w:val="clear" w:color="auto" w:fill="auto"/>
            <w:vAlign w:val="bottom"/>
          </w:tcPr>
          <w:p w14:paraId="7E03000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6041</w:t>
            </w:r>
          </w:p>
        </w:tc>
        <w:tc>
          <w:tcPr>
            <w:tcW w:w="831" w:type="pct"/>
            <w:shd w:val="clear" w:color="auto" w:fill="auto"/>
            <w:vAlign w:val="bottom"/>
          </w:tcPr>
          <w:p w14:paraId="5425054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1727</w:t>
            </w:r>
          </w:p>
        </w:tc>
        <w:tc>
          <w:tcPr>
            <w:tcW w:w="748" w:type="pct"/>
            <w:shd w:val="clear" w:color="auto" w:fill="auto"/>
            <w:vAlign w:val="bottom"/>
          </w:tcPr>
          <w:p w14:paraId="2B475A1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3.50</w:t>
            </w:r>
          </w:p>
          <w:p w14:paraId="6B5714A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(2.83, 4.33)</w:t>
            </w:r>
          </w:p>
        </w:tc>
        <w:tc>
          <w:tcPr>
            <w:tcW w:w="790" w:type="pct"/>
            <w:shd w:val="clear" w:color="auto" w:fill="auto"/>
            <w:vAlign w:val="bottom"/>
          </w:tcPr>
          <w:p w14:paraId="06BFC8F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1726</w:t>
            </w:r>
          </w:p>
        </w:tc>
        <w:tc>
          <w:tcPr>
            <w:tcW w:w="736" w:type="pct"/>
            <w:shd w:val="clear" w:color="auto" w:fill="auto"/>
            <w:vAlign w:val="bottom"/>
          </w:tcPr>
          <w:p w14:paraId="068CBF0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1688</w:t>
            </w:r>
          </w:p>
        </w:tc>
        <w:tc>
          <w:tcPr>
            <w:tcW w:w="808" w:type="pct"/>
            <w:shd w:val="clear" w:color="auto" w:fill="auto"/>
            <w:vAlign w:val="bottom"/>
          </w:tcPr>
          <w:p w14:paraId="60889A6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1.02</w:t>
            </w:r>
          </w:p>
          <w:p w14:paraId="7399143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(0.83, 1.26)</w:t>
            </w:r>
          </w:p>
        </w:tc>
      </w:tr>
      <w:tr w:rsidR="00B01F15" w:rsidRPr="005422B9" w14:paraId="65640392" w14:textId="77777777" w:rsidTr="00B01F15">
        <w:trPr>
          <w:cantSplit/>
        </w:trPr>
        <w:tc>
          <w:tcPr>
            <w:tcW w:w="338" w:type="pct"/>
            <w:shd w:val="clear" w:color="auto" w:fill="auto"/>
            <w:vAlign w:val="bottom"/>
          </w:tcPr>
          <w:p w14:paraId="78E6B134"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14</w:t>
            </w:r>
          </w:p>
        </w:tc>
        <w:tc>
          <w:tcPr>
            <w:tcW w:w="749" w:type="pct"/>
            <w:shd w:val="clear" w:color="auto" w:fill="auto"/>
            <w:vAlign w:val="bottom"/>
          </w:tcPr>
          <w:p w14:paraId="4528FED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1848</w:t>
            </w:r>
          </w:p>
        </w:tc>
        <w:tc>
          <w:tcPr>
            <w:tcW w:w="831" w:type="pct"/>
            <w:shd w:val="clear" w:color="auto" w:fill="auto"/>
            <w:vAlign w:val="bottom"/>
          </w:tcPr>
          <w:p w14:paraId="50C56E1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773</w:t>
            </w:r>
          </w:p>
        </w:tc>
        <w:tc>
          <w:tcPr>
            <w:tcW w:w="748" w:type="pct"/>
            <w:shd w:val="clear" w:color="auto" w:fill="auto"/>
            <w:vAlign w:val="bottom"/>
          </w:tcPr>
          <w:p w14:paraId="411E8A4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2.39</w:t>
            </w:r>
          </w:p>
          <w:p w14:paraId="4BACB38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(1.93, 2.96)</w:t>
            </w:r>
          </w:p>
        </w:tc>
        <w:tc>
          <w:tcPr>
            <w:tcW w:w="790" w:type="pct"/>
            <w:shd w:val="clear" w:color="auto" w:fill="auto"/>
            <w:vAlign w:val="bottom"/>
          </w:tcPr>
          <w:p w14:paraId="3B6FBF5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926</w:t>
            </w:r>
          </w:p>
        </w:tc>
        <w:tc>
          <w:tcPr>
            <w:tcW w:w="736" w:type="pct"/>
            <w:shd w:val="clear" w:color="auto" w:fill="auto"/>
            <w:vAlign w:val="bottom"/>
          </w:tcPr>
          <w:p w14:paraId="490C7E7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742</w:t>
            </w:r>
          </w:p>
        </w:tc>
        <w:tc>
          <w:tcPr>
            <w:tcW w:w="808" w:type="pct"/>
            <w:shd w:val="clear" w:color="auto" w:fill="auto"/>
            <w:vAlign w:val="bottom"/>
          </w:tcPr>
          <w:p w14:paraId="7F5D745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1.25</w:t>
            </w:r>
          </w:p>
          <w:p w14:paraId="3F456C9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(1.01, 1.54)</w:t>
            </w:r>
          </w:p>
        </w:tc>
      </w:tr>
      <w:tr w:rsidR="00B01F15" w:rsidRPr="005422B9" w14:paraId="6FBB3859" w14:textId="77777777" w:rsidTr="00B01F15">
        <w:trPr>
          <w:cantSplit/>
        </w:trPr>
        <w:tc>
          <w:tcPr>
            <w:tcW w:w="338" w:type="pct"/>
            <w:shd w:val="clear" w:color="auto" w:fill="auto"/>
            <w:vAlign w:val="bottom"/>
          </w:tcPr>
          <w:p w14:paraId="48E9D7A6"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18C</w:t>
            </w:r>
          </w:p>
        </w:tc>
        <w:tc>
          <w:tcPr>
            <w:tcW w:w="749" w:type="pct"/>
            <w:shd w:val="clear" w:color="auto" w:fill="auto"/>
            <w:vAlign w:val="bottom"/>
          </w:tcPr>
          <w:p w14:paraId="4E02CC7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4460</w:t>
            </w:r>
          </w:p>
        </w:tc>
        <w:tc>
          <w:tcPr>
            <w:tcW w:w="831" w:type="pct"/>
            <w:shd w:val="clear" w:color="auto" w:fill="auto"/>
            <w:vAlign w:val="bottom"/>
          </w:tcPr>
          <w:p w14:paraId="5C6A4D1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1395</w:t>
            </w:r>
          </w:p>
        </w:tc>
        <w:tc>
          <w:tcPr>
            <w:tcW w:w="748" w:type="pct"/>
            <w:shd w:val="clear" w:color="auto" w:fill="auto"/>
            <w:vAlign w:val="bottom"/>
          </w:tcPr>
          <w:p w14:paraId="751D3C9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3.20</w:t>
            </w:r>
          </w:p>
          <w:p w14:paraId="7DAAF5C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(2.53, 4.04)</w:t>
            </w:r>
          </w:p>
        </w:tc>
        <w:tc>
          <w:tcPr>
            <w:tcW w:w="790" w:type="pct"/>
            <w:shd w:val="clear" w:color="auto" w:fill="auto"/>
            <w:vAlign w:val="bottom"/>
          </w:tcPr>
          <w:p w14:paraId="22A49E1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1805</w:t>
            </w:r>
          </w:p>
        </w:tc>
        <w:tc>
          <w:tcPr>
            <w:tcW w:w="736" w:type="pct"/>
            <w:shd w:val="clear" w:color="auto" w:fill="auto"/>
            <w:vAlign w:val="bottom"/>
          </w:tcPr>
          <w:p w14:paraId="2052233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1355</w:t>
            </w:r>
          </w:p>
        </w:tc>
        <w:tc>
          <w:tcPr>
            <w:tcW w:w="808" w:type="pct"/>
            <w:shd w:val="clear" w:color="auto" w:fill="auto"/>
            <w:vAlign w:val="bottom"/>
          </w:tcPr>
          <w:p w14:paraId="0A1CB6D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1.33</w:t>
            </w:r>
          </w:p>
          <w:p w14:paraId="0A9E234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(1.06, 1.68)</w:t>
            </w:r>
          </w:p>
        </w:tc>
      </w:tr>
      <w:tr w:rsidR="00B01F15" w:rsidRPr="005422B9" w14:paraId="34155611" w14:textId="77777777" w:rsidTr="00B01F15">
        <w:trPr>
          <w:cantSplit/>
        </w:trPr>
        <w:tc>
          <w:tcPr>
            <w:tcW w:w="338" w:type="pct"/>
            <w:shd w:val="clear" w:color="auto" w:fill="auto"/>
            <w:vAlign w:val="bottom"/>
          </w:tcPr>
          <w:p w14:paraId="7C6D8FF6"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19A</w:t>
            </w:r>
          </w:p>
        </w:tc>
        <w:tc>
          <w:tcPr>
            <w:tcW w:w="749" w:type="pct"/>
            <w:shd w:val="clear" w:color="auto" w:fill="auto"/>
            <w:vAlign w:val="bottom"/>
          </w:tcPr>
          <w:p w14:paraId="1238C44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1415</w:t>
            </w:r>
          </w:p>
        </w:tc>
        <w:tc>
          <w:tcPr>
            <w:tcW w:w="831" w:type="pct"/>
            <w:shd w:val="clear" w:color="auto" w:fill="auto"/>
            <w:vAlign w:val="bottom"/>
          </w:tcPr>
          <w:p w14:paraId="26CED7F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611</w:t>
            </w:r>
          </w:p>
        </w:tc>
        <w:tc>
          <w:tcPr>
            <w:tcW w:w="748" w:type="pct"/>
            <w:shd w:val="clear" w:color="auto" w:fill="auto"/>
            <w:vAlign w:val="bottom"/>
          </w:tcPr>
          <w:p w14:paraId="6841234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2.31</w:t>
            </w:r>
          </w:p>
          <w:p w14:paraId="25F4671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(1.91, 2.81)</w:t>
            </w:r>
          </w:p>
        </w:tc>
        <w:tc>
          <w:tcPr>
            <w:tcW w:w="790" w:type="pct"/>
            <w:shd w:val="clear" w:color="auto" w:fill="auto"/>
            <w:vAlign w:val="bottom"/>
          </w:tcPr>
          <w:p w14:paraId="2C23AB9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618</w:t>
            </w:r>
          </w:p>
        </w:tc>
        <w:tc>
          <w:tcPr>
            <w:tcW w:w="736" w:type="pct"/>
            <w:shd w:val="clear" w:color="auto" w:fill="auto"/>
            <w:vAlign w:val="bottom"/>
          </w:tcPr>
          <w:p w14:paraId="6F7A3EE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600</w:t>
            </w:r>
          </w:p>
        </w:tc>
        <w:tc>
          <w:tcPr>
            <w:tcW w:w="808" w:type="pct"/>
            <w:shd w:val="clear" w:color="auto" w:fill="auto"/>
            <w:vAlign w:val="bottom"/>
          </w:tcPr>
          <w:p w14:paraId="3FCB301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1.03</w:t>
            </w:r>
          </w:p>
          <w:p w14:paraId="7100504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(0.85, 1.25)</w:t>
            </w:r>
          </w:p>
        </w:tc>
      </w:tr>
      <w:tr w:rsidR="00B01F15" w:rsidRPr="005422B9" w14:paraId="06F4CCAA" w14:textId="77777777" w:rsidTr="00B01F15">
        <w:trPr>
          <w:cantSplit/>
        </w:trPr>
        <w:tc>
          <w:tcPr>
            <w:tcW w:w="338" w:type="pct"/>
            <w:shd w:val="clear" w:color="auto" w:fill="auto"/>
            <w:vAlign w:val="bottom"/>
          </w:tcPr>
          <w:p w14:paraId="319397BA"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19F</w:t>
            </w:r>
          </w:p>
        </w:tc>
        <w:tc>
          <w:tcPr>
            <w:tcW w:w="749" w:type="pct"/>
            <w:shd w:val="clear" w:color="auto" w:fill="auto"/>
            <w:vAlign w:val="bottom"/>
          </w:tcPr>
          <w:p w14:paraId="0630945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655</w:t>
            </w:r>
          </w:p>
        </w:tc>
        <w:tc>
          <w:tcPr>
            <w:tcW w:w="831" w:type="pct"/>
            <w:shd w:val="clear" w:color="auto" w:fill="auto"/>
            <w:vAlign w:val="bottom"/>
          </w:tcPr>
          <w:p w14:paraId="10B771F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301</w:t>
            </w:r>
          </w:p>
        </w:tc>
        <w:tc>
          <w:tcPr>
            <w:tcW w:w="748" w:type="pct"/>
            <w:shd w:val="clear" w:color="auto" w:fill="auto"/>
            <w:vAlign w:val="bottom"/>
          </w:tcPr>
          <w:p w14:paraId="689B2E6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2.17</w:t>
            </w:r>
          </w:p>
          <w:p w14:paraId="2450D97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(1.76, 2.68)</w:t>
            </w:r>
          </w:p>
        </w:tc>
        <w:tc>
          <w:tcPr>
            <w:tcW w:w="790" w:type="pct"/>
            <w:shd w:val="clear" w:color="auto" w:fill="auto"/>
            <w:vAlign w:val="bottom"/>
          </w:tcPr>
          <w:p w14:paraId="4CB2E00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287</w:t>
            </w:r>
          </w:p>
        </w:tc>
        <w:tc>
          <w:tcPr>
            <w:tcW w:w="736" w:type="pct"/>
            <w:shd w:val="clear" w:color="auto" w:fill="auto"/>
            <w:vAlign w:val="bottom"/>
          </w:tcPr>
          <w:p w14:paraId="054A334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290</w:t>
            </w:r>
          </w:p>
        </w:tc>
        <w:tc>
          <w:tcPr>
            <w:tcW w:w="808" w:type="pct"/>
            <w:shd w:val="clear" w:color="auto" w:fill="auto"/>
            <w:vAlign w:val="bottom"/>
          </w:tcPr>
          <w:p w14:paraId="0A9F165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0.99</w:t>
            </w:r>
          </w:p>
          <w:p w14:paraId="1429141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(0.80, 1.22)</w:t>
            </w:r>
          </w:p>
        </w:tc>
      </w:tr>
      <w:tr w:rsidR="00B01F15" w:rsidRPr="005422B9" w14:paraId="4A5F794D" w14:textId="77777777" w:rsidTr="00B01F15">
        <w:trPr>
          <w:cantSplit/>
        </w:trPr>
        <w:tc>
          <w:tcPr>
            <w:tcW w:w="338" w:type="pct"/>
            <w:shd w:val="clear" w:color="auto" w:fill="auto"/>
            <w:vAlign w:val="bottom"/>
          </w:tcPr>
          <w:p w14:paraId="785C5778"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23F</w:t>
            </w:r>
          </w:p>
        </w:tc>
        <w:tc>
          <w:tcPr>
            <w:tcW w:w="749" w:type="pct"/>
            <w:shd w:val="clear" w:color="auto" w:fill="auto"/>
            <w:vAlign w:val="bottom"/>
          </w:tcPr>
          <w:p w14:paraId="09947BE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1559</w:t>
            </w:r>
          </w:p>
        </w:tc>
        <w:tc>
          <w:tcPr>
            <w:tcW w:w="831" w:type="pct"/>
            <w:shd w:val="clear" w:color="auto" w:fill="auto"/>
            <w:vAlign w:val="bottom"/>
          </w:tcPr>
          <w:p w14:paraId="2061F03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325</w:t>
            </w:r>
          </w:p>
        </w:tc>
        <w:tc>
          <w:tcPr>
            <w:tcW w:w="748" w:type="pct"/>
            <w:shd w:val="clear" w:color="auto" w:fill="auto"/>
            <w:vAlign w:val="bottom"/>
          </w:tcPr>
          <w:p w14:paraId="6849104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4.80</w:t>
            </w:r>
          </w:p>
          <w:p w14:paraId="560314C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(3.65, 6.32)</w:t>
            </w:r>
          </w:p>
        </w:tc>
        <w:tc>
          <w:tcPr>
            <w:tcW w:w="790" w:type="pct"/>
            <w:shd w:val="clear" w:color="auto" w:fill="auto"/>
            <w:vAlign w:val="bottom"/>
          </w:tcPr>
          <w:p w14:paraId="4F4179C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549</w:t>
            </w:r>
          </w:p>
        </w:tc>
        <w:tc>
          <w:tcPr>
            <w:tcW w:w="736" w:type="pct"/>
            <w:shd w:val="clear" w:color="auto" w:fill="auto"/>
            <w:vAlign w:val="bottom"/>
          </w:tcPr>
          <w:p w14:paraId="1DE98C7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328</w:t>
            </w:r>
          </w:p>
        </w:tc>
        <w:tc>
          <w:tcPr>
            <w:tcW w:w="808" w:type="pct"/>
            <w:shd w:val="clear" w:color="auto" w:fill="auto"/>
            <w:vAlign w:val="bottom"/>
          </w:tcPr>
          <w:p w14:paraId="23BE0AB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1.68</w:t>
            </w:r>
          </w:p>
          <w:p w14:paraId="4CAE00B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(1.27, 2.22)</w:t>
            </w:r>
          </w:p>
        </w:tc>
      </w:tr>
      <w:tr w:rsidR="00B01F15" w:rsidRPr="005422B9" w14:paraId="39D6F74E" w14:textId="77777777" w:rsidTr="00B01F15">
        <w:trPr>
          <w:cantSplit/>
        </w:trPr>
        <w:tc>
          <w:tcPr>
            <w:tcW w:w="5000" w:type="pct"/>
            <w:gridSpan w:val="7"/>
            <w:shd w:val="clear" w:color="auto" w:fill="auto"/>
            <w:vAlign w:val="bottom"/>
          </w:tcPr>
          <w:p w14:paraId="4BBD579D" w14:textId="77777777" w:rsidR="00B01F15" w:rsidRPr="005422B9" w:rsidRDefault="00B01F15" w:rsidP="00B675C9">
            <w:pPr>
              <w:overflowPunct w:val="0"/>
              <w:autoSpaceDE w:val="0"/>
              <w:autoSpaceDN w:val="0"/>
              <w:adjustRightInd w:val="0"/>
              <w:spacing w:after="0"/>
              <w:textAlignment w:val="baseline"/>
              <w:rPr>
                <w:b/>
                <w:bCs/>
                <w:sz w:val="22"/>
                <w:lang w:val="en-AU"/>
              </w:rPr>
            </w:pPr>
            <w:r w:rsidRPr="005422B9">
              <w:rPr>
                <w:b/>
                <w:bCs/>
                <w:sz w:val="22"/>
                <w:lang w:val="en-AU"/>
              </w:rPr>
              <w:t>Additional Serotypes</w:t>
            </w:r>
          </w:p>
        </w:tc>
      </w:tr>
      <w:tr w:rsidR="00B01F15" w:rsidRPr="005422B9" w14:paraId="77BEC47D" w14:textId="77777777" w:rsidTr="00B01F15">
        <w:trPr>
          <w:cantSplit/>
        </w:trPr>
        <w:tc>
          <w:tcPr>
            <w:tcW w:w="338" w:type="pct"/>
            <w:shd w:val="clear" w:color="auto" w:fill="auto"/>
            <w:vAlign w:val="bottom"/>
          </w:tcPr>
          <w:p w14:paraId="06DA39F1"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8</w:t>
            </w:r>
          </w:p>
        </w:tc>
        <w:tc>
          <w:tcPr>
            <w:tcW w:w="749" w:type="pct"/>
            <w:shd w:val="clear" w:color="auto" w:fill="auto"/>
            <w:vAlign w:val="bottom"/>
          </w:tcPr>
          <w:p w14:paraId="7CED746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867</w:t>
            </w:r>
          </w:p>
        </w:tc>
        <w:tc>
          <w:tcPr>
            <w:tcW w:w="831" w:type="pct"/>
            <w:shd w:val="clear" w:color="auto" w:fill="auto"/>
            <w:vAlign w:val="bottom"/>
          </w:tcPr>
          <w:p w14:paraId="3C980A9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508</w:t>
            </w:r>
          </w:p>
        </w:tc>
        <w:tc>
          <w:tcPr>
            <w:tcW w:w="748" w:type="pct"/>
            <w:shd w:val="clear" w:color="auto" w:fill="auto"/>
            <w:vAlign w:val="bottom"/>
          </w:tcPr>
          <w:p w14:paraId="2FDBBF2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1.71</w:t>
            </w:r>
          </w:p>
          <w:p w14:paraId="1C4091F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(1.38, 2.12)</w:t>
            </w:r>
          </w:p>
        </w:tc>
        <w:tc>
          <w:tcPr>
            <w:tcW w:w="790" w:type="pct"/>
            <w:shd w:val="clear" w:color="auto" w:fill="auto"/>
            <w:vAlign w:val="bottom"/>
          </w:tcPr>
          <w:p w14:paraId="742C419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487</w:t>
            </w:r>
          </w:p>
        </w:tc>
        <w:tc>
          <w:tcPr>
            <w:tcW w:w="736" w:type="pct"/>
            <w:shd w:val="clear" w:color="auto" w:fill="auto"/>
            <w:vAlign w:val="bottom"/>
          </w:tcPr>
          <w:p w14:paraId="60DD12A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502</w:t>
            </w:r>
          </w:p>
        </w:tc>
        <w:tc>
          <w:tcPr>
            <w:tcW w:w="808" w:type="pct"/>
            <w:shd w:val="clear" w:color="auto" w:fill="auto"/>
            <w:vAlign w:val="bottom"/>
          </w:tcPr>
          <w:p w14:paraId="1C22420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0.97</w:t>
            </w:r>
          </w:p>
          <w:p w14:paraId="694ADAF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(0.78, 1.20)</w:t>
            </w:r>
          </w:p>
        </w:tc>
      </w:tr>
      <w:tr w:rsidR="00B01F15" w:rsidRPr="005422B9" w14:paraId="4E8D9090" w14:textId="77777777" w:rsidTr="00B01F15">
        <w:trPr>
          <w:cantSplit/>
        </w:trPr>
        <w:tc>
          <w:tcPr>
            <w:tcW w:w="338" w:type="pct"/>
            <w:shd w:val="clear" w:color="auto" w:fill="auto"/>
            <w:vAlign w:val="bottom"/>
          </w:tcPr>
          <w:p w14:paraId="6C84E74B"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10A</w:t>
            </w:r>
          </w:p>
        </w:tc>
        <w:tc>
          <w:tcPr>
            <w:tcW w:w="749" w:type="pct"/>
            <w:shd w:val="clear" w:color="auto" w:fill="auto"/>
            <w:vAlign w:val="bottom"/>
          </w:tcPr>
          <w:p w14:paraId="41AA1A1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4157</w:t>
            </w:r>
          </w:p>
        </w:tc>
        <w:tc>
          <w:tcPr>
            <w:tcW w:w="831" w:type="pct"/>
            <w:shd w:val="clear" w:color="auto" w:fill="auto"/>
            <w:vAlign w:val="bottom"/>
          </w:tcPr>
          <w:p w14:paraId="35B6AE5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2570</w:t>
            </w:r>
          </w:p>
        </w:tc>
        <w:tc>
          <w:tcPr>
            <w:tcW w:w="748" w:type="pct"/>
            <w:shd w:val="clear" w:color="auto" w:fill="auto"/>
            <w:vAlign w:val="bottom"/>
          </w:tcPr>
          <w:p w14:paraId="3C4BAB0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1.62</w:t>
            </w:r>
          </w:p>
          <w:p w14:paraId="3DED20C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(1.31, 2.00)</w:t>
            </w:r>
          </w:p>
        </w:tc>
        <w:tc>
          <w:tcPr>
            <w:tcW w:w="790" w:type="pct"/>
            <w:shd w:val="clear" w:color="auto" w:fill="auto"/>
            <w:vAlign w:val="bottom"/>
          </w:tcPr>
          <w:p w14:paraId="4D1062F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2520</w:t>
            </w:r>
          </w:p>
        </w:tc>
        <w:tc>
          <w:tcPr>
            <w:tcW w:w="736" w:type="pct"/>
            <w:shd w:val="clear" w:color="auto" w:fill="auto"/>
            <w:vAlign w:val="bottom"/>
          </w:tcPr>
          <w:p w14:paraId="08B084C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2437</w:t>
            </w:r>
          </w:p>
        </w:tc>
        <w:tc>
          <w:tcPr>
            <w:tcW w:w="808" w:type="pct"/>
            <w:shd w:val="clear" w:color="auto" w:fill="auto"/>
            <w:vAlign w:val="bottom"/>
          </w:tcPr>
          <w:p w14:paraId="76E390B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1.03</w:t>
            </w:r>
          </w:p>
          <w:p w14:paraId="13340AC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(0.84, 1.28)</w:t>
            </w:r>
          </w:p>
        </w:tc>
      </w:tr>
      <w:tr w:rsidR="00B01F15" w:rsidRPr="005422B9" w14:paraId="3A4C3E3A" w14:textId="77777777" w:rsidTr="00B01F15">
        <w:trPr>
          <w:cantSplit/>
        </w:trPr>
        <w:tc>
          <w:tcPr>
            <w:tcW w:w="338" w:type="pct"/>
            <w:shd w:val="clear" w:color="auto" w:fill="auto"/>
            <w:vAlign w:val="bottom"/>
          </w:tcPr>
          <w:p w14:paraId="27EFC738"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11A</w:t>
            </w:r>
          </w:p>
        </w:tc>
        <w:tc>
          <w:tcPr>
            <w:tcW w:w="749" w:type="pct"/>
            <w:shd w:val="clear" w:color="auto" w:fill="auto"/>
            <w:vAlign w:val="bottom"/>
          </w:tcPr>
          <w:p w14:paraId="34BA803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7169</w:t>
            </w:r>
          </w:p>
        </w:tc>
        <w:tc>
          <w:tcPr>
            <w:tcW w:w="831" w:type="pct"/>
            <w:shd w:val="clear" w:color="auto" w:fill="auto"/>
            <w:vAlign w:val="bottom"/>
          </w:tcPr>
          <w:p w14:paraId="71D4B14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5420</w:t>
            </w:r>
          </w:p>
        </w:tc>
        <w:tc>
          <w:tcPr>
            <w:tcW w:w="748" w:type="pct"/>
            <w:shd w:val="clear" w:color="auto" w:fill="auto"/>
            <w:vAlign w:val="bottom"/>
          </w:tcPr>
          <w:p w14:paraId="07A152E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1.32</w:t>
            </w:r>
          </w:p>
          <w:p w14:paraId="52F6094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(1.04, 1.68)</w:t>
            </w:r>
          </w:p>
        </w:tc>
        <w:tc>
          <w:tcPr>
            <w:tcW w:w="790" w:type="pct"/>
            <w:shd w:val="clear" w:color="auto" w:fill="auto"/>
            <w:vAlign w:val="bottom"/>
          </w:tcPr>
          <w:p w14:paraId="43CE22A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6417</w:t>
            </w:r>
          </w:p>
        </w:tc>
        <w:tc>
          <w:tcPr>
            <w:tcW w:w="736" w:type="pct"/>
            <w:shd w:val="clear" w:color="auto" w:fill="auto"/>
            <w:vAlign w:val="bottom"/>
          </w:tcPr>
          <w:p w14:paraId="561486A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5249</w:t>
            </w:r>
          </w:p>
        </w:tc>
        <w:tc>
          <w:tcPr>
            <w:tcW w:w="808" w:type="pct"/>
            <w:shd w:val="clear" w:color="auto" w:fill="auto"/>
            <w:vAlign w:val="bottom"/>
          </w:tcPr>
          <w:p w14:paraId="6C7DDB8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1.22</w:t>
            </w:r>
          </w:p>
          <w:p w14:paraId="335AB7D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(0.96, 1.56)</w:t>
            </w:r>
          </w:p>
        </w:tc>
      </w:tr>
      <w:tr w:rsidR="00B01F15" w:rsidRPr="005422B9" w14:paraId="353A2FD8" w14:textId="77777777" w:rsidTr="00B01F15">
        <w:trPr>
          <w:cantSplit/>
        </w:trPr>
        <w:tc>
          <w:tcPr>
            <w:tcW w:w="338" w:type="pct"/>
            <w:shd w:val="clear" w:color="auto" w:fill="auto"/>
            <w:vAlign w:val="bottom"/>
          </w:tcPr>
          <w:p w14:paraId="19FBFF9B"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12F</w:t>
            </w:r>
          </w:p>
        </w:tc>
        <w:tc>
          <w:tcPr>
            <w:tcW w:w="749" w:type="pct"/>
            <w:shd w:val="clear" w:color="auto" w:fill="auto"/>
            <w:vAlign w:val="bottom"/>
          </w:tcPr>
          <w:p w14:paraId="73898A3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5875</w:t>
            </w:r>
          </w:p>
        </w:tc>
        <w:tc>
          <w:tcPr>
            <w:tcW w:w="831" w:type="pct"/>
            <w:shd w:val="clear" w:color="auto" w:fill="auto"/>
            <w:vAlign w:val="bottom"/>
          </w:tcPr>
          <w:p w14:paraId="7E874C1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3075</w:t>
            </w:r>
          </w:p>
        </w:tc>
        <w:tc>
          <w:tcPr>
            <w:tcW w:w="748" w:type="pct"/>
            <w:shd w:val="clear" w:color="auto" w:fill="auto"/>
            <w:vAlign w:val="bottom"/>
          </w:tcPr>
          <w:p w14:paraId="277E397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1.91</w:t>
            </w:r>
          </w:p>
          <w:p w14:paraId="306F458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(1.51, 2.41)</w:t>
            </w:r>
          </w:p>
        </w:tc>
        <w:tc>
          <w:tcPr>
            <w:tcW w:w="790" w:type="pct"/>
            <w:shd w:val="clear" w:color="auto" w:fill="auto"/>
            <w:vAlign w:val="bottom"/>
          </w:tcPr>
          <w:p w14:paraId="37CA0CF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3445</w:t>
            </w:r>
          </w:p>
        </w:tc>
        <w:tc>
          <w:tcPr>
            <w:tcW w:w="736" w:type="pct"/>
            <w:shd w:val="clear" w:color="auto" w:fill="auto"/>
            <w:vAlign w:val="bottom"/>
          </w:tcPr>
          <w:p w14:paraId="5D60A59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3105</w:t>
            </w:r>
          </w:p>
        </w:tc>
        <w:tc>
          <w:tcPr>
            <w:tcW w:w="808" w:type="pct"/>
            <w:shd w:val="clear" w:color="auto" w:fill="auto"/>
            <w:vAlign w:val="bottom"/>
          </w:tcPr>
          <w:p w14:paraId="5FBE6D3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1.11</w:t>
            </w:r>
          </w:p>
          <w:p w14:paraId="277100D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(0.88, 1.39)</w:t>
            </w:r>
          </w:p>
        </w:tc>
      </w:tr>
      <w:tr w:rsidR="00B01F15" w:rsidRPr="005422B9" w14:paraId="0A49D6DA" w14:textId="77777777" w:rsidTr="00B01F15">
        <w:trPr>
          <w:cantSplit/>
        </w:trPr>
        <w:tc>
          <w:tcPr>
            <w:tcW w:w="338" w:type="pct"/>
            <w:shd w:val="clear" w:color="auto" w:fill="auto"/>
            <w:vAlign w:val="bottom"/>
          </w:tcPr>
          <w:p w14:paraId="144A2EFD"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15B</w:t>
            </w:r>
          </w:p>
        </w:tc>
        <w:tc>
          <w:tcPr>
            <w:tcW w:w="749" w:type="pct"/>
            <w:shd w:val="clear" w:color="auto" w:fill="auto"/>
            <w:vAlign w:val="bottom"/>
          </w:tcPr>
          <w:p w14:paraId="7CF9584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4601</w:t>
            </w:r>
          </w:p>
        </w:tc>
        <w:tc>
          <w:tcPr>
            <w:tcW w:w="831" w:type="pct"/>
            <w:shd w:val="clear" w:color="auto" w:fill="auto"/>
            <w:vAlign w:val="bottom"/>
          </w:tcPr>
          <w:p w14:paraId="04BBA63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3019</w:t>
            </w:r>
          </w:p>
        </w:tc>
        <w:tc>
          <w:tcPr>
            <w:tcW w:w="748" w:type="pct"/>
            <w:shd w:val="clear" w:color="auto" w:fill="auto"/>
            <w:vAlign w:val="bottom"/>
          </w:tcPr>
          <w:p w14:paraId="2DE4FF9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1.52</w:t>
            </w:r>
          </w:p>
          <w:p w14:paraId="452D719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(1.13, 2.05)</w:t>
            </w:r>
          </w:p>
        </w:tc>
        <w:tc>
          <w:tcPr>
            <w:tcW w:w="790" w:type="pct"/>
            <w:shd w:val="clear" w:color="auto" w:fill="auto"/>
            <w:vAlign w:val="bottom"/>
          </w:tcPr>
          <w:p w14:paraId="7B6B506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3356</w:t>
            </w:r>
          </w:p>
        </w:tc>
        <w:tc>
          <w:tcPr>
            <w:tcW w:w="736" w:type="pct"/>
            <w:shd w:val="clear" w:color="auto" w:fill="auto"/>
            <w:vAlign w:val="bottom"/>
          </w:tcPr>
          <w:p w14:paraId="5EF828C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2874</w:t>
            </w:r>
          </w:p>
        </w:tc>
        <w:tc>
          <w:tcPr>
            <w:tcW w:w="808" w:type="pct"/>
            <w:shd w:val="clear" w:color="auto" w:fill="auto"/>
            <w:vAlign w:val="bottom"/>
          </w:tcPr>
          <w:p w14:paraId="71413E5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1.17</w:t>
            </w:r>
          </w:p>
          <w:p w14:paraId="6F00BC6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(0.88, 1.56)</w:t>
            </w:r>
          </w:p>
        </w:tc>
      </w:tr>
      <w:tr w:rsidR="00B01F15" w:rsidRPr="005422B9" w14:paraId="1F16F3E6" w14:textId="77777777" w:rsidTr="00B01F15">
        <w:trPr>
          <w:cantSplit/>
        </w:trPr>
        <w:tc>
          <w:tcPr>
            <w:tcW w:w="338" w:type="pct"/>
            <w:shd w:val="clear" w:color="auto" w:fill="auto"/>
            <w:vAlign w:val="bottom"/>
          </w:tcPr>
          <w:p w14:paraId="4DC42BA8"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lastRenderedPageBreak/>
              <w:t>22F</w:t>
            </w:r>
          </w:p>
        </w:tc>
        <w:tc>
          <w:tcPr>
            <w:tcW w:w="749" w:type="pct"/>
            <w:shd w:val="clear" w:color="auto" w:fill="auto"/>
            <w:vAlign w:val="bottom"/>
          </w:tcPr>
          <w:p w14:paraId="79CBAA4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7568</w:t>
            </w:r>
          </w:p>
        </w:tc>
        <w:tc>
          <w:tcPr>
            <w:tcW w:w="831" w:type="pct"/>
            <w:shd w:val="clear" w:color="auto" w:fill="auto"/>
            <w:vAlign w:val="bottom"/>
          </w:tcPr>
          <w:p w14:paraId="1550C60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4482</w:t>
            </w:r>
          </w:p>
        </w:tc>
        <w:tc>
          <w:tcPr>
            <w:tcW w:w="748" w:type="pct"/>
            <w:shd w:val="clear" w:color="auto" w:fill="auto"/>
            <w:vAlign w:val="bottom"/>
          </w:tcPr>
          <w:p w14:paraId="56CAD39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1.69</w:t>
            </w:r>
          </w:p>
          <w:p w14:paraId="3E240CC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(1.30, 2.20)</w:t>
            </w:r>
          </w:p>
        </w:tc>
        <w:tc>
          <w:tcPr>
            <w:tcW w:w="790" w:type="pct"/>
            <w:shd w:val="clear" w:color="auto" w:fill="auto"/>
            <w:vAlign w:val="bottom"/>
          </w:tcPr>
          <w:p w14:paraId="080B7F6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3808</w:t>
            </w:r>
          </w:p>
        </w:tc>
        <w:tc>
          <w:tcPr>
            <w:tcW w:w="736" w:type="pct"/>
            <w:shd w:val="clear" w:color="auto" w:fill="auto"/>
            <w:vAlign w:val="bottom"/>
          </w:tcPr>
          <w:p w14:paraId="3C24042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4228</w:t>
            </w:r>
          </w:p>
        </w:tc>
        <w:tc>
          <w:tcPr>
            <w:tcW w:w="808" w:type="pct"/>
            <w:shd w:val="clear" w:color="auto" w:fill="auto"/>
            <w:vAlign w:val="bottom"/>
          </w:tcPr>
          <w:p w14:paraId="4CBF8B8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0.90</w:t>
            </w:r>
          </w:p>
          <w:p w14:paraId="6B57B71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(0.69, 1.17)</w:t>
            </w:r>
          </w:p>
        </w:tc>
      </w:tr>
      <w:tr w:rsidR="00B01F15" w:rsidRPr="005422B9" w14:paraId="0563CB81" w14:textId="77777777" w:rsidTr="00B01F15">
        <w:trPr>
          <w:cantSplit/>
        </w:trPr>
        <w:tc>
          <w:tcPr>
            <w:tcW w:w="338" w:type="pct"/>
            <w:tcBorders>
              <w:bottom w:val="single" w:sz="4" w:space="0" w:color="auto"/>
            </w:tcBorders>
            <w:shd w:val="clear" w:color="auto" w:fill="auto"/>
            <w:vAlign w:val="bottom"/>
          </w:tcPr>
          <w:p w14:paraId="4E97879C"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33F</w:t>
            </w:r>
          </w:p>
        </w:tc>
        <w:tc>
          <w:tcPr>
            <w:tcW w:w="749" w:type="pct"/>
            <w:tcBorders>
              <w:bottom w:val="single" w:sz="4" w:space="0" w:color="auto"/>
            </w:tcBorders>
            <w:shd w:val="clear" w:color="auto" w:fill="auto"/>
            <w:vAlign w:val="bottom"/>
          </w:tcPr>
          <w:p w14:paraId="263A495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7977</w:t>
            </w:r>
          </w:p>
        </w:tc>
        <w:tc>
          <w:tcPr>
            <w:tcW w:w="831" w:type="pct"/>
            <w:tcBorders>
              <w:bottom w:val="single" w:sz="4" w:space="0" w:color="auto"/>
            </w:tcBorders>
            <w:shd w:val="clear" w:color="auto" w:fill="auto"/>
            <w:vAlign w:val="bottom"/>
          </w:tcPr>
          <w:p w14:paraId="251C1DA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5693</w:t>
            </w:r>
          </w:p>
        </w:tc>
        <w:tc>
          <w:tcPr>
            <w:tcW w:w="748" w:type="pct"/>
            <w:tcBorders>
              <w:bottom w:val="single" w:sz="4" w:space="0" w:color="auto"/>
            </w:tcBorders>
            <w:shd w:val="clear" w:color="auto" w:fill="auto"/>
            <w:vAlign w:val="bottom"/>
          </w:tcPr>
          <w:p w14:paraId="42AAF02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1.40</w:t>
            </w:r>
          </w:p>
          <w:p w14:paraId="32CBE98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(1.10, 1.79)</w:t>
            </w:r>
          </w:p>
        </w:tc>
        <w:tc>
          <w:tcPr>
            <w:tcW w:w="790" w:type="pct"/>
            <w:tcBorders>
              <w:bottom w:val="single" w:sz="4" w:space="0" w:color="auto"/>
            </w:tcBorders>
            <w:shd w:val="clear" w:color="auto" w:fill="auto"/>
            <w:vAlign w:val="bottom"/>
          </w:tcPr>
          <w:p w14:paraId="53C9AB7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5571</w:t>
            </w:r>
          </w:p>
        </w:tc>
        <w:tc>
          <w:tcPr>
            <w:tcW w:w="736" w:type="pct"/>
            <w:tcBorders>
              <w:bottom w:val="single" w:sz="4" w:space="0" w:color="auto"/>
            </w:tcBorders>
            <w:shd w:val="clear" w:color="auto" w:fill="auto"/>
            <w:vAlign w:val="bottom"/>
          </w:tcPr>
          <w:p w14:paraId="7AC3D78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5445</w:t>
            </w:r>
          </w:p>
        </w:tc>
        <w:tc>
          <w:tcPr>
            <w:tcW w:w="808" w:type="pct"/>
            <w:tcBorders>
              <w:bottom w:val="single" w:sz="4" w:space="0" w:color="auto"/>
            </w:tcBorders>
            <w:shd w:val="clear" w:color="auto" w:fill="auto"/>
            <w:vAlign w:val="bottom"/>
          </w:tcPr>
          <w:p w14:paraId="462F89E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1.02</w:t>
            </w:r>
          </w:p>
          <w:p w14:paraId="28CAC13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(0.81, 1.30)</w:t>
            </w:r>
          </w:p>
        </w:tc>
      </w:tr>
      <w:tr w:rsidR="00B01F15" w:rsidRPr="005422B9" w14:paraId="1783B4FF" w14:textId="77777777" w:rsidTr="00B01F15">
        <w:trPr>
          <w:cantSplit/>
        </w:trPr>
        <w:tc>
          <w:tcPr>
            <w:tcW w:w="5000" w:type="pct"/>
            <w:gridSpan w:val="7"/>
            <w:tcBorders>
              <w:left w:val="nil"/>
              <w:bottom w:val="nil"/>
              <w:right w:val="nil"/>
            </w:tcBorders>
            <w:shd w:val="clear" w:color="auto" w:fill="auto"/>
          </w:tcPr>
          <w:p w14:paraId="6082C9E3" w14:textId="03F3AA87" w:rsidR="00B01F15" w:rsidRPr="005422B9" w:rsidRDefault="00B01F15" w:rsidP="00B675C9">
            <w:pPr>
              <w:overflowPunct w:val="0"/>
              <w:autoSpaceDE w:val="0"/>
              <w:autoSpaceDN w:val="0"/>
              <w:adjustRightInd w:val="0"/>
              <w:spacing w:after="0"/>
              <w:textAlignment w:val="baseline"/>
              <w:rPr>
                <w:color w:val="000000"/>
                <w:sz w:val="18"/>
                <w:szCs w:val="18"/>
                <w:lang w:val="en-AU"/>
              </w:rPr>
            </w:pPr>
            <w:r w:rsidRPr="005422B9">
              <w:rPr>
                <w:sz w:val="18"/>
                <w:szCs w:val="18"/>
                <w:lang w:val="en-AU"/>
              </w:rPr>
              <w:t xml:space="preserve">Abbreviations: CI = confidence interval; </w:t>
            </w:r>
            <w:r w:rsidRPr="005422B9">
              <w:rPr>
                <w:color w:val="000000"/>
                <w:sz w:val="18"/>
                <w:szCs w:val="18"/>
                <w:lang w:val="en-AU"/>
              </w:rPr>
              <w:t>GMT = geometric mean titre</w:t>
            </w:r>
            <w:r w:rsidRPr="005422B9">
              <w:rPr>
                <w:sz w:val="18"/>
                <w:szCs w:val="18"/>
                <w:lang w:val="en-AU"/>
              </w:rPr>
              <w:t xml:space="preserve">; LLOQ = lower limit of quantitation; N = number of participants; OPA = opsonophagocytic activity; </w:t>
            </w:r>
            <w:r w:rsidR="001A517E" w:rsidRPr="005422B9">
              <w:rPr>
                <w:sz w:val="18"/>
                <w:szCs w:val="18"/>
                <w:lang w:val="en-AU"/>
              </w:rPr>
              <w:t>23vPPV</w:t>
            </w:r>
            <w:r w:rsidRPr="005422B9">
              <w:rPr>
                <w:sz w:val="18"/>
                <w:szCs w:val="18"/>
                <w:lang w:val="en-AU"/>
              </w:rPr>
              <w:t> = pneumococcal polysaccharide vaccine (23-valent)</w:t>
            </w:r>
            <w:r w:rsidRPr="005422B9">
              <w:rPr>
                <w:color w:val="000000"/>
                <w:sz w:val="18"/>
                <w:szCs w:val="18"/>
                <w:lang w:val="en-AU"/>
              </w:rPr>
              <w:t>.</w:t>
            </w:r>
          </w:p>
          <w:p w14:paraId="1487E1E2"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a.</w:t>
            </w:r>
            <w:r w:rsidRPr="005422B9">
              <w:rPr>
                <w:color w:val="000000"/>
                <w:sz w:val="18"/>
                <w:szCs w:val="18"/>
                <w:lang w:val="en-AU"/>
              </w:rPr>
              <w:tab/>
              <w:t>Study 1007 was conducted in the United States and in Sweden.</w:t>
            </w:r>
          </w:p>
          <w:p w14:paraId="3BF15B77"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b.</w:t>
            </w:r>
            <w:r w:rsidRPr="005422B9">
              <w:rPr>
                <w:color w:val="000000"/>
                <w:sz w:val="18"/>
                <w:szCs w:val="18"/>
                <w:lang w:val="en-AU"/>
              </w:rPr>
              <w:tab/>
              <w:t>Non</w:t>
            </w:r>
            <w:r w:rsidRPr="005422B9">
              <w:rPr>
                <w:color w:val="000000"/>
                <w:sz w:val="18"/>
                <w:szCs w:val="18"/>
                <w:lang w:val="en-AU"/>
              </w:rPr>
              <w:noBreakHyphen/>
              <w:t>inferiority for a serotype was met if the lower bound of the 2-sided 95% CI for the GMT ratio (ratio of younger age group/60 through 64 years of age group) was greater than 0.5 (2-fold criterion for non</w:t>
            </w:r>
            <w:r w:rsidRPr="005422B9">
              <w:rPr>
                <w:color w:val="000000"/>
                <w:sz w:val="18"/>
                <w:szCs w:val="18"/>
                <w:lang w:val="en-AU"/>
              </w:rPr>
              <w:noBreakHyphen/>
              <w:t>inferiority).</w:t>
            </w:r>
          </w:p>
          <w:p w14:paraId="354EBF32"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c.</w:t>
            </w:r>
            <w:r w:rsidRPr="005422B9">
              <w:rPr>
                <w:color w:val="000000"/>
                <w:sz w:val="18"/>
                <w:szCs w:val="18"/>
                <w:lang w:val="en-AU"/>
              </w:rPr>
              <w:tab/>
              <w:t>Assay results below the LLOQ were set to 0.5 × LLOQ in the analysis.</w:t>
            </w:r>
          </w:p>
          <w:p w14:paraId="2909A846"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d.</w:t>
            </w:r>
            <w:r w:rsidRPr="005422B9">
              <w:rPr>
                <w:color w:val="000000"/>
                <w:sz w:val="18"/>
                <w:szCs w:val="18"/>
                <w:lang w:val="en-AU"/>
              </w:rPr>
              <w:tab/>
              <w:t>Evaluable immunogenicity population.</w:t>
            </w:r>
          </w:p>
          <w:p w14:paraId="7289475D"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sz w:val="18"/>
                <w:szCs w:val="18"/>
                <w:lang w:val="en-AU"/>
              </w:rPr>
            </w:pPr>
            <w:r w:rsidRPr="005422B9">
              <w:rPr>
                <w:color w:val="000000"/>
                <w:sz w:val="18"/>
                <w:szCs w:val="18"/>
                <w:lang w:val="en-AU"/>
              </w:rPr>
              <w:t>e.</w:t>
            </w:r>
            <w:r w:rsidRPr="005422B9">
              <w:rPr>
                <w:color w:val="000000"/>
                <w:sz w:val="18"/>
                <w:szCs w:val="18"/>
                <w:lang w:val="en-AU"/>
              </w:rPr>
              <w:tab/>
              <w:t>GMTs, GMT ratios, and the associated 2-sided CIs were based on analysis of log-transformed OPA titres using a regression model with age group, sex, smoking status, and baseline log transformed OPA titres. The comparisons between adults 18 through 49 years of age and adults 60 through 64 years of age and between adults 50 through 59 years of age and adults 60 through 64 years of age were based on separate regression models.</w:t>
            </w:r>
          </w:p>
        </w:tc>
      </w:tr>
    </w:tbl>
    <w:p w14:paraId="32C35801" w14:textId="77777777" w:rsidR="00B01F15" w:rsidRPr="005422B9" w:rsidRDefault="00B01F15" w:rsidP="00B675C9">
      <w:pPr>
        <w:rPr>
          <w:lang w:val="en-AU"/>
        </w:rPr>
      </w:pPr>
      <w:bookmarkStart w:id="19" w:name="_Hlk41378386"/>
    </w:p>
    <w:p w14:paraId="5A44C4EE" w14:textId="77777777" w:rsidR="00B01F15" w:rsidRPr="005422B9" w:rsidRDefault="00B01F15" w:rsidP="00D734CB">
      <w:pPr>
        <w:pStyle w:val="CLDHeading3"/>
        <w:rPr>
          <w:lang w:val="en-AU"/>
        </w:rPr>
      </w:pPr>
      <w:bookmarkStart w:id="20" w:name="_Hlk114482706"/>
      <w:bookmarkStart w:id="21" w:name="_Hlk114483717"/>
      <w:r w:rsidRPr="005422B9">
        <w:rPr>
          <w:lang w:val="en-AU"/>
        </w:rPr>
        <w:t>Immunogenicity of PREVENAR 20 in adults previously vaccinated with pneumococcal vaccine</w:t>
      </w:r>
      <w:bookmarkEnd w:id="20"/>
      <w:r w:rsidRPr="005422B9">
        <w:rPr>
          <w:lang w:val="en-AU"/>
        </w:rPr>
        <w:t xml:space="preserve"> </w:t>
      </w:r>
      <w:bookmarkEnd w:id="21"/>
    </w:p>
    <w:bookmarkEnd w:id="19"/>
    <w:p w14:paraId="12F91181" w14:textId="2DF8CA9C" w:rsidR="00B01F15" w:rsidRPr="005422B9" w:rsidRDefault="00B01F15" w:rsidP="00B01F15">
      <w:pPr>
        <w:autoSpaceDE w:val="0"/>
        <w:autoSpaceDN w:val="0"/>
        <w:adjustRightInd w:val="0"/>
        <w:rPr>
          <w:rFonts w:eastAsia="MS Mincho"/>
          <w:szCs w:val="22"/>
          <w:lang w:val="en-AU"/>
        </w:rPr>
      </w:pPr>
      <w:r w:rsidRPr="005422B9">
        <w:rPr>
          <w:rFonts w:eastAsia="MS Mincho"/>
          <w:szCs w:val="22"/>
          <w:lang w:val="en-AU"/>
        </w:rPr>
        <w:t xml:space="preserve">A Phase 3 </w:t>
      </w:r>
      <w:r w:rsidR="0016709B" w:rsidRPr="005422B9">
        <w:rPr>
          <w:rFonts w:eastAsia="MS Mincho"/>
          <w:szCs w:val="22"/>
          <w:lang w:val="en-AU"/>
        </w:rPr>
        <w:t>randomised</w:t>
      </w:r>
      <w:r w:rsidRPr="005422B9">
        <w:rPr>
          <w:rFonts w:eastAsia="MS Mincho"/>
          <w:szCs w:val="22"/>
          <w:lang w:val="en-AU"/>
        </w:rPr>
        <w:t xml:space="preserve">, open-label clinical trial (Study 1006) described immune responses to PREVENAR 20 in adults 65 years of age and older previously vaccinated with </w:t>
      </w:r>
      <w:r w:rsidR="001A517E" w:rsidRPr="005422B9">
        <w:rPr>
          <w:rFonts w:eastAsia="MS Mincho"/>
          <w:szCs w:val="22"/>
          <w:lang w:val="en-AU"/>
        </w:rPr>
        <w:t>23vPPV</w:t>
      </w:r>
      <w:r w:rsidR="00A53792">
        <w:rPr>
          <w:rFonts w:eastAsia="MS Mincho"/>
          <w:szCs w:val="22"/>
          <w:lang w:val="en-AU"/>
        </w:rPr>
        <w:t>,</w:t>
      </w:r>
      <w:r w:rsidRPr="005422B9">
        <w:rPr>
          <w:rFonts w:eastAsia="MS Mincho"/>
          <w:szCs w:val="22"/>
          <w:lang w:val="en-AU"/>
        </w:rPr>
        <w:t xml:space="preserve"> with Prevenar </w:t>
      </w:r>
      <w:r w:rsidRPr="005422B9">
        <w:rPr>
          <w:szCs w:val="22"/>
          <w:lang w:val="en-AU"/>
        </w:rPr>
        <w:t>13</w:t>
      </w:r>
      <w:r w:rsidRPr="005422B9">
        <w:rPr>
          <w:rFonts w:eastAsia="MS Mincho"/>
          <w:szCs w:val="22"/>
          <w:lang w:val="en-AU"/>
        </w:rPr>
        <w:t>, or previously vaccinated with Prevenar </w:t>
      </w:r>
      <w:r w:rsidRPr="005422B9">
        <w:rPr>
          <w:szCs w:val="22"/>
          <w:lang w:val="en-AU"/>
        </w:rPr>
        <w:t>13</w:t>
      </w:r>
      <w:r w:rsidRPr="005422B9" w:rsidDel="00A67193">
        <w:rPr>
          <w:rFonts w:eastAsia="MS Mincho"/>
          <w:szCs w:val="22"/>
          <w:lang w:val="en-AU"/>
        </w:rPr>
        <w:t xml:space="preserve"> </w:t>
      </w:r>
      <w:r w:rsidRPr="005422B9">
        <w:rPr>
          <w:rFonts w:eastAsia="MS Mincho"/>
          <w:szCs w:val="22"/>
          <w:lang w:val="en-AU"/>
        </w:rPr>
        <w:t xml:space="preserve">followed by </w:t>
      </w:r>
      <w:r w:rsidR="001A517E" w:rsidRPr="005422B9">
        <w:rPr>
          <w:rFonts w:eastAsia="MS Mincho"/>
          <w:szCs w:val="22"/>
          <w:lang w:val="en-AU"/>
        </w:rPr>
        <w:t>23vPPV</w:t>
      </w:r>
      <w:r w:rsidRPr="005422B9">
        <w:rPr>
          <w:rFonts w:eastAsia="MS Mincho"/>
          <w:szCs w:val="22"/>
          <w:lang w:val="en-AU"/>
        </w:rPr>
        <w:t>. Participants in this study previously vaccinated with Prevenar </w:t>
      </w:r>
      <w:r w:rsidRPr="005422B9">
        <w:rPr>
          <w:szCs w:val="22"/>
          <w:lang w:val="en-AU"/>
        </w:rPr>
        <w:t>13</w:t>
      </w:r>
      <w:r w:rsidRPr="005422B9" w:rsidDel="00A67193">
        <w:rPr>
          <w:rFonts w:eastAsia="MS Mincho"/>
          <w:szCs w:val="22"/>
          <w:lang w:val="en-AU"/>
        </w:rPr>
        <w:t xml:space="preserve"> </w:t>
      </w:r>
      <w:r w:rsidRPr="005422B9">
        <w:rPr>
          <w:rFonts w:eastAsia="MS Mincho"/>
          <w:szCs w:val="22"/>
          <w:lang w:val="en-AU"/>
        </w:rPr>
        <w:t>(Prevenar </w:t>
      </w:r>
      <w:r w:rsidRPr="005422B9">
        <w:rPr>
          <w:szCs w:val="22"/>
          <w:lang w:val="en-AU"/>
        </w:rPr>
        <w:t>13</w:t>
      </w:r>
      <w:r w:rsidRPr="005422B9" w:rsidDel="00A67193">
        <w:rPr>
          <w:rFonts w:eastAsia="MS Mincho"/>
          <w:szCs w:val="22"/>
          <w:lang w:val="en-AU"/>
        </w:rPr>
        <w:t xml:space="preserve"> </w:t>
      </w:r>
      <w:r w:rsidRPr="005422B9">
        <w:rPr>
          <w:rFonts w:eastAsia="MS Mincho"/>
          <w:szCs w:val="22"/>
          <w:lang w:val="en-AU"/>
        </w:rPr>
        <w:t xml:space="preserve">only or followed by </w:t>
      </w:r>
      <w:r w:rsidR="001A517E" w:rsidRPr="005422B9">
        <w:rPr>
          <w:rFonts w:eastAsia="MS Mincho"/>
          <w:szCs w:val="22"/>
          <w:lang w:val="en-AU"/>
        </w:rPr>
        <w:t>23vPPV</w:t>
      </w:r>
      <w:r w:rsidRPr="005422B9">
        <w:rPr>
          <w:rFonts w:eastAsia="MS Mincho"/>
          <w:szCs w:val="22"/>
          <w:lang w:val="en-AU"/>
        </w:rPr>
        <w:t xml:space="preserve">) were enrolled at sites in the United States and participants previously vaccinated with </w:t>
      </w:r>
      <w:r w:rsidR="001A517E" w:rsidRPr="005422B9">
        <w:rPr>
          <w:rFonts w:eastAsia="MS Mincho"/>
          <w:szCs w:val="22"/>
          <w:lang w:val="en-AU"/>
        </w:rPr>
        <w:t>23vPPV</w:t>
      </w:r>
      <w:r w:rsidRPr="005422B9">
        <w:rPr>
          <w:rFonts w:eastAsia="MS Mincho"/>
          <w:szCs w:val="22"/>
          <w:lang w:val="en-AU"/>
        </w:rPr>
        <w:t xml:space="preserve"> only were also enrolled from Swedish sites (35.5% in that category). </w:t>
      </w:r>
    </w:p>
    <w:p w14:paraId="30A5B2A3" w14:textId="3C817FD0" w:rsidR="00B01F15" w:rsidRPr="005422B9" w:rsidRDefault="00B01F15" w:rsidP="00B01F15">
      <w:pPr>
        <w:autoSpaceDE w:val="0"/>
        <w:autoSpaceDN w:val="0"/>
        <w:adjustRightInd w:val="0"/>
        <w:rPr>
          <w:rFonts w:eastAsia="MS Mincho"/>
          <w:szCs w:val="22"/>
          <w:lang w:val="en-AU"/>
        </w:rPr>
      </w:pPr>
      <w:r w:rsidRPr="005422B9">
        <w:rPr>
          <w:rFonts w:eastAsia="MS Mincho"/>
          <w:szCs w:val="22"/>
          <w:lang w:val="en-AU"/>
        </w:rPr>
        <w:t xml:space="preserve">PREVENAR 20 elicited immune responses to all 20 vaccine serotypes in adults 65 years of age and older with prior pneumococcal vaccination. (Table </w:t>
      </w:r>
      <w:r w:rsidR="00171061">
        <w:rPr>
          <w:rFonts w:eastAsia="MS Mincho"/>
          <w:szCs w:val="22"/>
          <w:lang w:val="en-AU"/>
        </w:rPr>
        <w:t>8</w:t>
      </w:r>
      <w:r w:rsidRPr="005422B9">
        <w:rPr>
          <w:rFonts w:eastAsia="MS Mincho"/>
          <w:szCs w:val="22"/>
          <w:lang w:val="en-AU"/>
        </w:rPr>
        <w:t xml:space="preserve">). </w:t>
      </w:r>
      <w:bookmarkStart w:id="22" w:name="_Hlk45117517"/>
      <w:bookmarkEnd w:id="22"/>
      <w:r w:rsidR="00265197">
        <w:rPr>
          <w:rFonts w:eastAsia="MS Mincho"/>
          <w:szCs w:val="22"/>
        </w:rPr>
        <w:t xml:space="preserve">Immune responses were lower in subjects in both groups who received prior </w:t>
      </w:r>
      <w:r w:rsidR="001C00C4">
        <w:rPr>
          <w:rFonts w:eastAsia="MS Mincho"/>
          <w:szCs w:val="22"/>
        </w:rPr>
        <w:t>23vPPV</w:t>
      </w:r>
      <w:r w:rsidR="00265197">
        <w:rPr>
          <w:rFonts w:eastAsia="MS Mincho"/>
          <w:szCs w:val="22"/>
        </w:rPr>
        <w:t xml:space="preserve"> vaccinations.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611"/>
        <w:gridCol w:w="1352"/>
        <w:gridCol w:w="1500"/>
        <w:gridCol w:w="1350"/>
        <w:gridCol w:w="1426"/>
        <w:gridCol w:w="1329"/>
        <w:gridCol w:w="1459"/>
      </w:tblGrid>
      <w:tr w:rsidR="00B01F15" w:rsidRPr="005422B9" w14:paraId="6495C08A" w14:textId="77777777" w:rsidTr="00B01F15">
        <w:trPr>
          <w:cantSplit/>
          <w:tblHeader/>
        </w:trPr>
        <w:tc>
          <w:tcPr>
            <w:tcW w:w="5000" w:type="pct"/>
            <w:gridSpan w:val="7"/>
            <w:tcBorders>
              <w:top w:val="nil"/>
              <w:left w:val="nil"/>
              <w:right w:val="nil"/>
            </w:tcBorders>
            <w:shd w:val="clear" w:color="auto" w:fill="auto"/>
          </w:tcPr>
          <w:p w14:paraId="51311F97" w14:textId="4F1130CB" w:rsidR="00B01F15" w:rsidRPr="005422B9" w:rsidRDefault="00B01F15" w:rsidP="00B675C9">
            <w:pPr>
              <w:tabs>
                <w:tab w:val="left" w:pos="1073"/>
              </w:tabs>
              <w:overflowPunct w:val="0"/>
              <w:autoSpaceDE w:val="0"/>
              <w:autoSpaceDN w:val="0"/>
              <w:adjustRightInd w:val="0"/>
              <w:spacing w:after="0"/>
              <w:ind w:left="1080" w:hanging="1080"/>
              <w:textAlignment w:val="baseline"/>
              <w:rPr>
                <w:b/>
                <w:bCs/>
                <w:szCs w:val="22"/>
                <w:lang w:val="en-AU"/>
              </w:rPr>
            </w:pPr>
            <w:bookmarkStart w:id="23" w:name="_Hlk48932118"/>
            <w:r w:rsidRPr="005422B9">
              <w:rPr>
                <w:b/>
                <w:bCs/>
                <w:color w:val="000000"/>
                <w:szCs w:val="22"/>
                <w:lang w:val="en-AU"/>
              </w:rPr>
              <w:lastRenderedPageBreak/>
              <w:t xml:space="preserve">Table </w:t>
            </w:r>
            <w:r w:rsidR="00171061">
              <w:rPr>
                <w:b/>
                <w:bCs/>
                <w:color w:val="000000"/>
                <w:szCs w:val="22"/>
                <w:lang w:val="en-AU"/>
              </w:rPr>
              <w:t>8</w:t>
            </w:r>
            <w:r w:rsidRPr="005422B9">
              <w:rPr>
                <w:b/>
                <w:bCs/>
                <w:color w:val="000000"/>
                <w:szCs w:val="22"/>
                <w:lang w:val="en-AU"/>
              </w:rPr>
              <w:t>.</w:t>
            </w:r>
            <w:r w:rsidRPr="005422B9">
              <w:rPr>
                <w:b/>
                <w:bCs/>
                <w:color w:val="000000"/>
                <w:szCs w:val="22"/>
                <w:lang w:val="en-AU"/>
              </w:rPr>
              <w:tab/>
              <w:t>Pneumococcal OPA GMTs before and 1 month after PREVENAR 20 in adults 65 years of age and older with prior pneumococcal vaccination (Study 1006)</w:t>
            </w:r>
            <w:proofErr w:type="spellStart"/>
            <w:r w:rsidRPr="005422B9">
              <w:rPr>
                <w:b/>
                <w:bCs/>
                <w:color w:val="000000"/>
                <w:szCs w:val="22"/>
                <w:vertAlign w:val="superscript"/>
                <w:lang w:val="en-AU"/>
              </w:rPr>
              <w:t>a,b,c,d</w:t>
            </w:r>
            <w:proofErr w:type="spellEnd"/>
            <w:r w:rsidRPr="005422B9">
              <w:rPr>
                <w:b/>
                <w:bCs/>
                <w:color w:val="000000"/>
                <w:szCs w:val="22"/>
                <w:vertAlign w:val="superscript"/>
                <w:lang w:val="en-AU"/>
              </w:rPr>
              <w:t xml:space="preserve"> </w:t>
            </w:r>
          </w:p>
        </w:tc>
      </w:tr>
      <w:tr w:rsidR="00B01F15" w:rsidRPr="005422B9" w14:paraId="53753950" w14:textId="77777777" w:rsidTr="00B01F15">
        <w:trPr>
          <w:cantSplit/>
          <w:tblHeader/>
        </w:trPr>
        <w:tc>
          <w:tcPr>
            <w:tcW w:w="338" w:type="pct"/>
            <w:vMerge w:val="restart"/>
            <w:shd w:val="clear" w:color="auto" w:fill="auto"/>
          </w:tcPr>
          <w:p w14:paraId="6008626B" w14:textId="77777777" w:rsidR="00B01F15" w:rsidRPr="005422B9" w:rsidRDefault="00B01F15" w:rsidP="00B675C9">
            <w:pPr>
              <w:overflowPunct w:val="0"/>
              <w:autoSpaceDE w:val="0"/>
              <w:autoSpaceDN w:val="0"/>
              <w:adjustRightInd w:val="0"/>
              <w:spacing w:after="0"/>
              <w:textAlignment w:val="baseline"/>
              <w:rPr>
                <w:sz w:val="22"/>
                <w:lang w:val="en-AU"/>
              </w:rPr>
            </w:pPr>
          </w:p>
        </w:tc>
        <w:tc>
          <w:tcPr>
            <w:tcW w:w="1580" w:type="pct"/>
            <w:gridSpan w:val="2"/>
            <w:shd w:val="clear" w:color="auto" w:fill="auto"/>
            <w:vAlign w:val="bottom"/>
          </w:tcPr>
          <w:p w14:paraId="3CB49F7A" w14:textId="54389EDE"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 xml:space="preserve">Prior </w:t>
            </w:r>
            <w:r w:rsidR="001A517E" w:rsidRPr="005422B9">
              <w:rPr>
                <w:b/>
                <w:bCs/>
                <w:sz w:val="22"/>
                <w:lang w:val="en-AU"/>
              </w:rPr>
              <w:t>23vPPV</w:t>
            </w:r>
            <w:r w:rsidRPr="005422B9">
              <w:rPr>
                <w:b/>
                <w:bCs/>
                <w:sz w:val="22"/>
                <w:lang w:val="en-AU"/>
              </w:rPr>
              <w:t xml:space="preserve"> only</w:t>
            </w:r>
          </w:p>
        </w:tc>
        <w:tc>
          <w:tcPr>
            <w:tcW w:w="1538" w:type="pct"/>
            <w:gridSpan w:val="2"/>
            <w:shd w:val="clear" w:color="auto" w:fill="auto"/>
            <w:vAlign w:val="bottom"/>
          </w:tcPr>
          <w:p w14:paraId="7856E7C7"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Prior Prevenar 13 only</w:t>
            </w:r>
          </w:p>
        </w:tc>
        <w:tc>
          <w:tcPr>
            <w:tcW w:w="1544" w:type="pct"/>
            <w:gridSpan w:val="2"/>
            <w:shd w:val="clear" w:color="auto" w:fill="auto"/>
          </w:tcPr>
          <w:p w14:paraId="3906C30A" w14:textId="1B33930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 xml:space="preserve">Prior Prevenar 13 and </w:t>
            </w:r>
            <w:r w:rsidR="001A517E" w:rsidRPr="005422B9">
              <w:rPr>
                <w:b/>
                <w:bCs/>
                <w:sz w:val="22"/>
                <w:lang w:val="en-AU"/>
              </w:rPr>
              <w:t>23vPPV</w:t>
            </w:r>
          </w:p>
        </w:tc>
      </w:tr>
      <w:tr w:rsidR="00B01F15" w:rsidRPr="005422B9" w14:paraId="29AA608D" w14:textId="77777777" w:rsidTr="00B01F15">
        <w:trPr>
          <w:cantSplit/>
          <w:tblHeader/>
        </w:trPr>
        <w:tc>
          <w:tcPr>
            <w:tcW w:w="338" w:type="pct"/>
            <w:vMerge/>
            <w:shd w:val="clear" w:color="auto" w:fill="auto"/>
            <w:vAlign w:val="bottom"/>
          </w:tcPr>
          <w:p w14:paraId="5324945E"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749" w:type="pct"/>
            <w:shd w:val="clear" w:color="auto" w:fill="auto"/>
            <w:vAlign w:val="bottom"/>
          </w:tcPr>
          <w:p w14:paraId="3D5CBFFA"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Before vaccination</w:t>
            </w:r>
          </w:p>
          <w:p w14:paraId="2A3DADE4"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208–247)</w:t>
            </w:r>
          </w:p>
        </w:tc>
        <w:tc>
          <w:tcPr>
            <w:tcW w:w="831" w:type="pct"/>
            <w:shd w:val="clear" w:color="auto" w:fill="auto"/>
            <w:vAlign w:val="bottom"/>
          </w:tcPr>
          <w:p w14:paraId="1B44D607"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After vaccination</w:t>
            </w:r>
          </w:p>
          <w:p w14:paraId="3AD387FC"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216–246)</w:t>
            </w:r>
          </w:p>
        </w:tc>
        <w:tc>
          <w:tcPr>
            <w:tcW w:w="748" w:type="pct"/>
            <w:shd w:val="clear" w:color="auto" w:fill="auto"/>
            <w:vAlign w:val="bottom"/>
          </w:tcPr>
          <w:p w14:paraId="6014A649"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Before vaccination</w:t>
            </w:r>
          </w:p>
          <w:p w14:paraId="133C3343"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210-243)</w:t>
            </w:r>
          </w:p>
        </w:tc>
        <w:tc>
          <w:tcPr>
            <w:tcW w:w="790" w:type="pct"/>
            <w:shd w:val="clear" w:color="auto" w:fill="auto"/>
            <w:vAlign w:val="bottom"/>
          </w:tcPr>
          <w:p w14:paraId="078744AB"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After vaccination</w:t>
            </w:r>
          </w:p>
          <w:p w14:paraId="6B6217DB"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201–243)</w:t>
            </w:r>
          </w:p>
        </w:tc>
        <w:tc>
          <w:tcPr>
            <w:tcW w:w="736" w:type="pct"/>
            <w:shd w:val="clear" w:color="auto" w:fill="auto"/>
            <w:vAlign w:val="bottom"/>
          </w:tcPr>
          <w:p w14:paraId="2D3A0E31"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Before vaccination</w:t>
            </w:r>
          </w:p>
          <w:p w14:paraId="273F3B5A"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106–121)</w:t>
            </w:r>
          </w:p>
        </w:tc>
        <w:tc>
          <w:tcPr>
            <w:tcW w:w="808" w:type="pct"/>
            <w:shd w:val="clear" w:color="auto" w:fill="auto"/>
            <w:vAlign w:val="bottom"/>
          </w:tcPr>
          <w:p w14:paraId="3FD4C576"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After vaccination</w:t>
            </w:r>
          </w:p>
          <w:p w14:paraId="60A80A92"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(N = 102-121)</w:t>
            </w:r>
          </w:p>
        </w:tc>
      </w:tr>
      <w:tr w:rsidR="00B01F15" w:rsidRPr="005422B9" w14:paraId="08B623D9" w14:textId="77777777" w:rsidTr="00B01F15">
        <w:trPr>
          <w:cantSplit/>
          <w:tblHeader/>
        </w:trPr>
        <w:tc>
          <w:tcPr>
            <w:tcW w:w="338" w:type="pct"/>
            <w:vMerge/>
            <w:shd w:val="clear" w:color="auto" w:fill="auto"/>
            <w:vAlign w:val="bottom"/>
          </w:tcPr>
          <w:p w14:paraId="0846CF14" w14:textId="77777777" w:rsidR="00B01F15" w:rsidRPr="005422B9" w:rsidRDefault="00B01F15" w:rsidP="00B675C9">
            <w:pPr>
              <w:overflowPunct w:val="0"/>
              <w:autoSpaceDE w:val="0"/>
              <w:autoSpaceDN w:val="0"/>
              <w:adjustRightInd w:val="0"/>
              <w:spacing w:after="0"/>
              <w:jc w:val="center"/>
              <w:textAlignment w:val="baseline"/>
              <w:rPr>
                <w:sz w:val="22"/>
                <w:lang w:val="en-AU"/>
              </w:rPr>
            </w:pPr>
          </w:p>
        </w:tc>
        <w:tc>
          <w:tcPr>
            <w:tcW w:w="749" w:type="pct"/>
            <w:shd w:val="clear" w:color="auto" w:fill="auto"/>
            <w:vAlign w:val="bottom"/>
          </w:tcPr>
          <w:p w14:paraId="1F82DB2E"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GMT</w:t>
            </w:r>
          </w:p>
          <w:p w14:paraId="7A1F2DED"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c>
          <w:tcPr>
            <w:tcW w:w="831" w:type="pct"/>
            <w:shd w:val="clear" w:color="auto" w:fill="auto"/>
            <w:vAlign w:val="bottom"/>
          </w:tcPr>
          <w:p w14:paraId="1931E279"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GMT</w:t>
            </w:r>
          </w:p>
          <w:p w14:paraId="29C9FBB9"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c>
          <w:tcPr>
            <w:tcW w:w="748" w:type="pct"/>
            <w:shd w:val="clear" w:color="auto" w:fill="auto"/>
            <w:vAlign w:val="bottom"/>
          </w:tcPr>
          <w:p w14:paraId="44CAB1C9" w14:textId="77777777" w:rsidR="00B01F15" w:rsidRPr="005422B9" w:rsidRDefault="00B01F15" w:rsidP="00B675C9">
            <w:pPr>
              <w:overflowPunct w:val="0"/>
              <w:autoSpaceDE w:val="0"/>
              <w:autoSpaceDN w:val="0"/>
              <w:adjustRightInd w:val="0"/>
              <w:spacing w:after="0"/>
              <w:jc w:val="center"/>
              <w:textAlignment w:val="baseline"/>
              <w:rPr>
                <w:b/>
                <w:bCs/>
                <w:sz w:val="22"/>
                <w:vertAlign w:val="superscript"/>
                <w:lang w:val="en-AU"/>
              </w:rPr>
            </w:pPr>
            <w:r w:rsidRPr="005422B9">
              <w:rPr>
                <w:b/>
                <w:bCs/>
                <w:sz w:val="22"/>
                <w:lang w:val="en-AU"/>
              </w:rPr>
              <w:t>GMT</w:t>
            </w:r>
          </w:p>
          <w:p w14:paraId="2F135419"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c>
          <w:tcPr>
            <w:tcW w:w="790" w:type="pct"/>
            <w:shd w:val="clear" w:color="auto" w:fill="auto"/>
            <w:vAlign w:val="bottom"/>
          </w:tcPr>
          <w:p w14:paraId="138E0206"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GMT</w:t>
            </w:r>
          </w:p>
          <w:p w14:paraId="49F069D5"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c>
          <w:tcPr>
            <w:tcW w:w="736" w:type="pct"/>
            <w:shd w:val="clear" w:color="auto" w:fill="auto"/>
            <w:vAlign w:val="bottom"/>
          </w:tcPr>
          <w:p w14:paraId="2718FF6D"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GMT</w:t>
            </w:r>
          </w:p>
          <w:p w14:paraId="050BB36C"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c>
          <w:tcPr>
            <w:tcW w:w="808" w:type="pct"/>
            <w:shd w:val="clear" w:color="auto" w:fill="auto"/>
            <w:vAlign w:val="bottom"/>
          </w:tcPr>
          <w:p w14:paraId="2CEED9E7" w14:textId="77777777" w:rsidR="00B01F15" w:rsidRPr="005422B9" w:rsidRDefault="00B01F15" w:rsidP="00B675C9">
            <w:pPr>
              <w:overflowPunct w:val="0"/>
              <w:autoSpaceDE w:val="0"/>
              <w:autoSpaceDN w:val="0"/>
              <w:adjustRightInd w:val="0"/>
              <w:spacing w:after="0"/>
              <w:jc w:val="center"/>
              <w:textAlignment w:val="baseline"/>
              <w:rPr>
                <w:b/>
                <w:bCs/>
                <w:sz w:val="22"/>
                <w:vertAlign w:val="superscript"/>
                <w:lang w:val="en-AU"/>
              </w:rPr>
            </w:pPr>
            <w:r w:rsidRPr="005422B9">
              <w:rPr>
                <w:b/>
                <w:bCs/>
                <w:sz w:val="22"/>
                <w:lang w:val="en-AU"/>
              </w:rPr>
              <w:t>GMT</w:t>
            </w:r>
          </w:p>
          <w:p w14:paraId="622A3813" w14:textId="77777777" w:rsidR="00B01F15" w:rsidRPr="005422B9" w:rsidRDefault="00B01F15" w:rsidP="00B675C9">
            <w:pPr>
              <w:overflowPunct w:val="0"/>
              <w:autoSpaceDE w:val="0"/>
              <w:autoSpaceDN w:val="0"/>
              <w:adjustRightInd w:val="0"/>
              <w:spacing w:after="0"/>
              <w:jc w:val="center"/>
              <w:textAlignment w:val="baseline"/>
              <w:rPr>
                <w:b/>
                <w:bCs/>
                <w:sz w:val="22"/>
                <w:lang w:val="en-AU"/>
              </w:rPr>
            </w:pPr>
            <w:r w:rsidRPr="005422B9">
              <w:rPr>
                <w:b/>
                <w:bCs/>
                <w:sz w:val="22"/>
                <w:lang w:val="en-AU"/>
              </w:rPr>
              <w:t>(95% CI)</w:t>
            </w:r>
            <w:r w:rsidRPr="005422B9">
              <w:rPr>
                <w:b/>
                <w:bCs/>
                <w:sz w:val="22"/>
                <w:vertAlign w:val="superscript"/>
                <w:lang w:val="en-AU"/>
              </w:rPr>
              <w:t>e</w:t>
            </w:r>
          </w:p>
        </w:tc>
      </w:tr>
      <w:tr w:rsidR="00B01F15" w:rsidRPr="005422B9" w14:paraId="1A97D36E" w14:textId="77777777" w:rsidTr="00B01F15">
        <w:trPr>
          <w:cantSplit/>
        </w:trPr>
        <w:tc>
          <w:tcPr>
            <w:tcW w:w="5000" w:type="pct"/>
            <w:gridSpan w:val="7"/>
            <w:shd w:val="clear" w:color="auto" w:fill="auto"/>
          </w:tcPr>
          <w:p w14:paraId="4E89E15F" w14:textId="77777777" w:rsidR="00B01F15" w:rsidRPr="005422B9" w:rsidRDefault="00B01F15" w:rsidP="00B675C9">
            <w:pPr>
              <w:overflowPunct w:val="0"/>
              <w:autoSpaceDE w:val="0"/>
              <w:autoSpaceDN w:val="0"/>
              <w:adjustRightInd w:val="0"/>
              <w:spacing w:after="0"/>
              <w:textAlignment w:val="baseline"/>
              <w:rPr>
                <w:b/>
                <w:bCs/>
                <w:sz w:val="22"/>
                <w:lang w:val="en-AU"/>
              </w:rPr>
            </w:pPr>
            <w:r w:rsidRPr="005422B9">
              <w:rPr>
                <w:b/>
                <w:bCs/>
                <w:sz w:val="22"/>
                <w:lang w:val="en-AU"/>
              </w:rPr>
              <w:t>Serotype</w:t>
            </w:r>
          </w:p>
        </w:tc>
      </w:tr>
      <w:tr w:rsidR="00B01F15" w:rsidRPr="005422B9" w14:paraId="58F81B30" w14:textId="77777777" w:rsidTr="00B01F15">
        <w:trPr>
          <w:cantSplit/>
        </w:trPr>
        <w:tc>
          <w:tcPr>
            <w:tcW w:w="338" w:type="pct"/>
            <w:shd w:val="clear" w:color="auto" w:fill="auto"/>
            <w:vAlign w:val="bottom"/>
          </w:tcPr>
          <w:p w14:paraId="4D96D53D"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w:t>
            </w:r>
          </w:p>
        </w:tc>
        <w:tc>
          <w:tcPr>
            <w:tcW w:w="749" w:type="pct"/>
            <w:shd w:val="clear" w:color="auto" w:fill="auto"/>
          </w:tcPr>
          <w:p w14:paraId="2E7F5A6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24</w:t>
            </w:r>
          </w:p>
          <w:p w14:paraId="66BCFC8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(20, 28)</w:t>
            </w:r>
          </w:p>
        </w:tc>
        <w:tc>
          <w:tcPr>
            <w:tcW w:w="831" w:type="pct"/>
            <w:shd w:val="clear" w:color="auto" w:fill="auto"/>
          </w:tcPr>
          <w:p w14:paraId="7B31E88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51</w:t>
            </w:r>
          </w:p>
          <w:p w14:paraId="44B2FA3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(42, 62)</w:t>
            </w:r>
          </w:p>
        </w:tc>
        <w:tc>
          <w:tcPr>
            <w:tcW w:w="748" w:type="pct"/>
            <w:shd w:val="clear" w:color="auto" w:fill="auto"/>
          </w:tcPr>
          <w:p w14:paraId="21368C4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34</w:t>
            </w:r>
          </w:p>
          <w:p w14:paraId="44AFD69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(28, 41)</w:t>
            </w:r>
          </w:p>
        </w:tc>
        <w:tc>
          <w:tcPr>
            <w:tcW w:w="790" w:type="pct"/>
            <w:shd w:val="clear" w:color="auto" w:fill="auto"/>
          </w:tcPr>
          <w:p w14:paraId="28C7EFB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115</w:t>
            </w:r>
          </w:p>
          <w:p w14:paraId="1944144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(96, 138)</w:t>
            </w:r>
          </w:p>
        </w:tc>
        <w:tc>
          <w:tcPr>
            <w:tcW w:w="736" w:type="pct"/>
            <w:shd w:val="clear" w:color="auto" w:fill="auto"/>
          </w:tcPr>
          <w:p w14:paraId="63CB992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42</w:t>
            </w:r>
          </w:p>
          <w:p w14:paraId="14BE419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(32, 56)</w:t>
            </w:r>
          </w:p>
        </w:tc>
        <w:tc>
          <w:tcPr>
            <w:tcW w:w="808" w:type="pct"/>
            <w:shd w:val="clear" w:color="auto" w:fill="auto"/>
          </w:tcPr>
          <w:p w14:paraId="61E6CC9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82</w:t>
            </w:r>
          </w:p>
          <w:p w14:paraId="6E449AE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(61, 110)</w:t>
            </w:r>
          </w:p>
        </w:tc>
      </w:tr>
      <w:tr w:rsidR="00B01F15" w:rsidRPr="005422B9" w14:paraId="2C119CA7" w14:textId="77777777" w:rsidTr="00B01F15">
        <w:trPr>
          <w:cantSplit/>
        </w:trPr>
        <w:tc>
          <w:tcPr>
            <w:tcW w:w="338" w:type="pct"/>
            <w:shd w:val="clear" w:color="auto" w:fill="auto"/>
            <w:vAlign w:val="bottom"/>
          </w:tcPr>
          <w:p w14:paraId="4137D6FB"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3</w:t>
            </w:r>
          </w:p>
        </w:tc>
        <w:tc>
          <w:tcPr>
            <w:tcW w:w="749" w:type="pct"/>
            <w:shd w:val="clear" w:color="auto" w:fill="auto"/>
          </w:tcPr>
          <w:p w14:paraId="163F2D2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w:t>
            </w:r>
          </w:p>
          <w:p w14:paraId="10B4266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(11, 15)</w:t>
            </w:r>
          </w:p>
        </w:tc>
        <w:tc>
          <w:tcPr>
            <w:tcW w:w="831" w:type="pct"/>
            <w:shd w:val="clear" w:color="auto" w:fill="auto"/>
          </w:tcPr>
          <w:p w14:paraId="6A332E1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31</w:t>
            </w:r>
          </w:p>
          <w:p w14:paraId="487B0F6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(27, 36)</w:t>
            </w:r>
          </w:p>
        </w:tc>
        <w:tc>
          <w:tcPr>
            <w:tcW w:w="748" w:type="pct"/>
            <w:shd w:val="clear" w:color="auto" w:fill="auto"/>
          </w:tcPr>
          <w:p w14:paraId="340BACD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w:t>
            </w:r>
          </w:p>
          <w:p w14:paraId="3EF3026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(13, 18)</w:t>
            </w:r>
          </w:p>
        </w:tc>
        <w:tc>
          <w:tcPr>
            <w:tcW w:w="790" w:type="pct"/>
            <w:shd w:val="clear" w:color="auto" w:fill="auto"/>
          </w:tcPr>
          <w:p w14:paraId="0BAF459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54</w:t>
            </w:r>
          </w:p>
          <w:p w14:paraId="5E0E73F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(47, 63)</w:t>
            </w:r>
          </w:p>
        </w:tc>
        <w:tc>
          <w:tcPr>
            <w:tcW w:w="736" w:type="pct"/>
            <w:shd w:val="clear" w:color="auto" w:fill="auto"/>
          </w:tcPr>
          <w:p w14:paraId="6B83EC6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w:t>
            </w:r>
          </w:p>
          <w:p w14:paraId="3F11EAB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(17, 25)</w:t>
            </w:r>
          </w:p>
        </w:tc>
        <w:tc>
          <w:tcPr>
            <w:tcW w:w="808" w:type="pct"/>
            <w:shd w:val="clear" w:color="auto" w:fill="auto"/>
          </w:tcPr>
          <w:p w14:paraId="2D653AB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39</w:t>
            </w:r>
          </w:p>
          <w:p w14:paraId="1F8AD4C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(32, 48)</w:t>
            </w:r>
          </w:p>
        </w:tc>
      </w:tr>
      <w:tr w:rsidR="00B01F15" w:rsidRPr="005422B9" w14:paraId="258E1929" w14:textId="77777777" w:rsidTr="00B01F15">
        <w:trPr>
          <w:cantSplit/>
        </w:trPr>
        <w:tc>
          <w:tcPr>
            <w:tcW w:w="338" w:type="pct"/>
            <w:shd w:val="clear" w:color="auto" w:fill="auto"/>
            <w:vAlign w:val="bottom"/>
          </w:tcPr>
          <w:p w14:paraId="3AB37BA6"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4</w:t>
            </w:r>
          </w:p>
        </w:tc>
        <w:tc>
          <w:tcPr>
            <w:tcW w:w="749" w:type="pct"/>
            <w:shd w:val="clear" w:color="auto" w:fill="auto"/>
          </w:tcPr>
          <w:p w14:paraId="129B660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29</w:t>
            </w:r>
          </w:p>
          <w:p w14:paraId="6EA4C78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(23, 35)</w:t>
            </w:r>
          </w:p>
        </w:tc>
        <w:tc>
          <w:tcPr>
            <w:tcW w:w="831" w:type="pct"/>
            <w:shd w:val="clear" w:color="auto" w:fill="auto"/>
          </w:tcPr>
          <w:p w14:paraId="42880C8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150</w:t>
            </w:r>
          </w:p>
          <w:p w14:paraId="785508E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(118, 190)</w:t>
            </w:r>
          </w:p>
        </w:tc>
        <w:tc>
          <w:tcPr>
            <w:tcW w:w="748" w:type="pct"/>
            <w:shd w:val="clear" w:color="auto" w:fill="auto"/>
          </w:tcPr>
          <w:p w14:paraId="7142934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67</w:t>
            </w:r>
          </w:p>
          <w:p w14:paraId="2218E83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(53, 84)</w:t>
            </w:r>
          </w:p>
        </w:tc>
        <w:tc>
          <w:tcPr>
            <w:tcW w:w="790" w:type="pct"/>
            <w:shd w:val="clear" w:color="auto" w:fill="auto"/>
          </w:tcPr>
          <w:p w14:paraId="3091E66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335</w:t>
            </w:r>
          </w:p>
          <w:p w14:paraId="684064B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(274, 410)</w:t>
            </w:r>
          </w:p>
        </w:tc>
        <w:tc>
          <w:tcPr>
            <w:tcW w:w="736" w:type="pct"/>
            <w:shd w:val="clear" w:color="auto" w:fill="auto"/>
          </w:tcPr>
          <w:p w14:paraId="0963B66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73</w:t>
            </w:r>
          </w:p>
          <w:p w14:paraId="5158D6D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(53, 101)</w:t>
            </w:r>
          </w:p>
        </w:tc>
        <w:tc>
          <w:tcPr>
            <w:tcW w:w="808" w:type="pct"/>
            <w:shd w:val="clear" w:color="auto" w:fill="auto"/>
          </w:tcPr>
          <w:p w14:paraId="5837F9D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194</w:t>
            </w:r>
          </w:p>
          <w:p w14:paraId="7679466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(143, 262)</w:t>
            </w:r>
          </w:p>
        </w:tc>
      </w:tr>
      <w:tr w:rsidR="00B01F15" w:rsidRPr="005422B9" w14:paraId="6C8CCD01" w14:textId="77777777" w:rsidTr="00B01F15">
        <w:trPr>
          <w:cantSplit/>
        </w:trPr>
        <w:tc>
          <w:tcPr>
            <w:tcW w:w="338" w:type="pct"/>
            <w:shd w:val="clear" w:color="auto" w:fill="auto"/>
            <w:vAlign w:val="bottom"/>
          </w:tcPr>
          <w:p w14:paraId="5768019A"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5</w:t>
            </w:r>
          </w:p>
        </w:tc>
        <w:tc>
          <w:tcPr>
            <w:tcW w:w="749" w:type="pct"/>
            <w:shd w:val="clear" w:color="auto" w:fill="auto"/>
          </w:tcPr>
          <w:p w14:paraId="4C12444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w:t>
            </w:r>
          </w:p>
          <w:p w14:paraId="73D1BDF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(24, 31)</w:t>
            </w:r>
          </w:p>
        </w:tc>
        <w:tc>
          <w:tcPr>
            <w:tcW w:w="831" w:type="pct"/>
            <w:shd w:val="clear" w:color="auto" w:fill="auto"/>
          </w:tcPr>
          <w:p w14:paraId="5070AD3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63</w:t>
            </w:r>
          </w:p>
          <w:p w14:paraId="0DB1780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(53, 75)</w:t>
            </w:r>
          </w:p>
        </w:tc>
        <w:tc>
          <w:tcPr>
            <w:tcW w:w="748" w:type="pct"/>
            <w:shd w:val="clear" w:color="auto" w:fill="auto"/>
          </w:tcPr>
          <w:p w14:paraId="6C56CA6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38</w:t>
            </w:r>
          </w:p>
          <w:p w14:paraId="58A0E40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(32, 44)</w:t>
            </w:r>
          </w:p>
        </w:tc>
        <w:tc>
          <w:tcPr>
            <w:tcW w:w="790" w:type="pct"/>
            <w:shd w:val="clear" w:color="auto" w:fill="auto"/>
          </w:tcPr>
          <w:p w14:paraId="2F57F8E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87</w:t>
            </w:r>
          </w:p>
          <w:p w14:paraId="5CF5213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(73, 104)</w:t>
            </w:r>
          </w:p>
        </w:tc>
        <w:tc>
          <w:tcPr>
            <w:tcW w:w="736" w:type="pct"/>
            <w:shd w:val="clear" w:color="auto" w:fill="auto"/>
          </w:tcPr>
          <w:p w14:paraId="43073C2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47</w:t>
            </w:r>
          </w:p>
          <w:p w14:paraId="079A83F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(37, 59)</w:t>
            </w:r>
          </w:p>
        </w:tc>
        <w:tc>
          <w:tcPr>
            <w:tcW w:w="808" w:type="pct"/>
            <w:shd w:val="clear" w:color="auto" w:fill="auto"/>
          </w:tcPr>
          <w:p w14:paraId="4DC5B3F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83</w:t>
            </w:r>
          </w:p>
          <w:p w14:paraId="3495A94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(65, 108)</w:t>
            </w:r>
          </w:p>
        </w:tc>
      </w:tr>
      <w:tr w:rsidR="00B01F15" w:rsidRPr="005422B9" w14:paraId="509007AD" w14:textId="77777777" w:rsidTr="00B01F15">
        <w:trPr>
          <w:cantSplit/>
        </w:trPr>
        <w:tc>
          <w:tcPr>
            <w:tcW w:w="338" w:type="pct"/>
            <w:shd w:val="clear" w:color="auto" w:fill="auto"/>
            <w:vAlign w:val="bottom"/>
          </w:tcPr>
          <w:p w14:paraId="70A19DFD"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6A</w:t>
            </w:r>
          </w:p>
        </w:tc>
        <w:tc>
          <w:tcPr>
            <w:tcW w:w="749" w:type="pct"/>
            <w:shd w:val="clear" w:color="auto" w:fill="auto"/>
          </w:tcPr>
          <w:p w14:paraId="0336F23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57</w:t>
            </w:r>
          </w:p>
          <w:p w14:paraId="6DF6F2D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(46, 70)</w:t>
            </w:r>
          </w:p>
        </w:tc>
        <w:tc>
          <w:tcPr>
            <w:tcW w:w="831" w:type="pct"/>
            <w:shd w:val="clear" w:color="auto" w:fill="auto"/>
          </w:tcPr>
          <w:p w14:paraId="35CEC0D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749</w:t>
            </w:r>
          </w:p>
          <w:p w14:paraId="57C861B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(577, 972)</w:t>
            </w:r>
          </w:p>
        </w:tc>
        <w:tc>
          <w:tcPr>
            <w:tcW w:w="748" w:type="pct"/>
            <w:shd w:val="clear" w:color="auto" w:fill="auto"/>
          </w:tcPr>
          <w:p w14:paraId="3D59045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125</w:t>
            </w:r>
          </w:p>
          <w:p w14:paraId="1B076DA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(99, 158)</w:t>
            </w:r>
          </w:p>
        </w:tc>
        <w:tc>
          <w:tcPr>
            <w:tcW w:w="790" w:type="pct"/>
            <w:shd w:val="clear" w:color="auto" w:fill="auto"/>
          </w:tcPr>
          <w:p w14:paraId="0707159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1081</w:t>
            </w:r>
          </w:p>
          <w:p w14:paraId="35D3D48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(880, 1327)</w:t>
            </w:r>
          </w:p>
        </w:tc>
        <w:tc>
          <w:tcPr>
            <w:tcW w:w="736" w:type="pct"/>
            <w:shd w:val="clear" w:color="auto" w:fill="auto"/>
          </w:tcPr>
          <w:p w14:paraId="1A8C883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161</w:t>
            </w:r>
          </w:p>
          <w:p w14:paraId="1C51C18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(116, 224)</w:t>
            </w:r>
          </w:p>
        </w:tc>
        <w:tc>
          <w:tcPr>
            <w:tcW w:w="808" w:type="pct"/>
            <w:shd w:val="clear" w:color="auto" w:fill="auto"/>
          </w:tcPr>
          <w:p w14:paraId="0779357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1085</w:t>
            </w:r>
          </w:p>
          <w:p w14:paraId="5004507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(797, 1478)</w:t>
            </w:r>
          </w:p>
        </w:tc>
      </w:tr>
      <w:tr w:rsidR="00B01F15" w:rsidRPr="005422B9" w14:paraId="224863C9" w14:textId="77777777" w:rsidTr="00B01F15">
        <w:trPr>
          <w:cantSplit/>
        </w:trPr>
        <w:tc>
          <w:tcPr>
            <w:tcW w:w="338" w:type="pct"/>
            <w:shd w:val="clear" w:color="auto" w:fill="auto"/>
            <w:vAlign w:val="bottom"/>
          </w:tcPr>
          <w:p w14:paraId="408349E5"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6B</w:t>
            </w:r>
          </w:p>
        </w:tc>
        <w:tc>
          <w:tcPr>
            <w:tcW w:w="749" w:type="pct"/>
            <w:shd w:val="clear" w:color="auto" w:fill="auto"/>
          </w:tcPr>
          <w:p w14:paraId="07B6AC1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107</w:t>
            </w:r>
          </w:p>
          <w:p w14:paraId="05F39B7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(86, 133)</w:t>
            </w:r>
          </w:p>
        </w:tc>
        <w:tc>
          <w:tcPr>
            <w:tcW w:w="831" w:type="pct"/>
            <w:shd w:val="clear" w:color="auto" w:fill="auto"/>
          </w:tcPr>
          <w:p w14:paraId="6D9EBEF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727</w:t>
            </w:r>
          </w:p>
          <w:p w14:paraId="7E10510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(574, 922)</w:t>
            </w:r>
          </w:p>
        </w:tc>
        <w:tc>
          <w:tcPr>
            <w:tcW w:w="748" w:type="pct"/>
            <w:shd w:val="clear" w:color="auto" w:fill="auto"/>
          </w:tcPr>
          <w:p w14:paraId="5300A6B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174</w:t>
            </w:r>
          </w:p>
          <w:p w14:paraId="5B09D25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(138, 219)</w:t>
            </w:r>
          </w:p>
        </w:tc>
        <w:tc>
          <w:tcPr>
            <w:tcW w:w="790" w:type="pct"/>
            <w:shd w:val="clear" w:color="auto" w:fill="auto"/>
          </w:tcPr>
          <w:p w14:paraId="22D63A9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1159</w:t>
            </w:r>
          </w:p>
          <w:p w14:paraId="0F93033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(951, 1414)</w:t>
            </w:r>
          </w:p>
        </w:tc>
        <w:tc>
          <w:tcPr>
            <w:tcW w:w="736" w:type="pct"/>
            <w:shd w:val="clear" w:color="auto" w:fill="auto"/>
          </w:tcPr>
          <w:p w14:paraId="15EFCDB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259</w:t>
            </w:r>
          </w:p>
          <w:p w14:paraId="2BB4CDA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(191, 352)</w:t>
            </w:r>
          </w:p>
        </w:tc>
        <w:tc>
          <w:tcPr>
            <w:tcW w:w="808" w:type="pct"/>
            <w:shd w:val="clear" w:color="auto" w:fill="auto"/>
          </w:tcPr>
          <w:p w14:paraId="5242ABD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1033</w:t>
            </w:r>
          </w:p>
          <w:p w14:paraId="62C7B3C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(755, 1415)</w:t>
            </w:r>
          </w:p>
        </w:tc>
      </w:tr>
      <w:tr w:rsidR="00B01F15" w:rsidRPr="005422B9" w14:paraId="1614AF7D" w14:textId="77777777" w:rsidTr="00B01F15">
        <w:trPr>
          <w:cantSplit/>
        </w:trPr>
        <w:tc>
          <w:tcPr>
            <w:tcW w:w="338" w:type="pct"/>
            <w:shd w:val="clear" w:color="auto" w:fill="auto"/>
            <w:vAlign w:val="bottom"/>
          </w:tcPr>
          <w:p w14:paraId="4E28D9FB"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7F</w:t>
            </w:r>
          </w:p>
        </w:tc>
        <w:tc>
          <w:tcPr>
            <w:tcW w:w="749" w:type="pct"/>
            <w:shd w:val="clear" w:color="auto" w:fill="auto"/>
          </w:tcPr>
          <w:p w14:paraId="103F425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156</w:t>
            </w:r>
          </w:p>
          <w:p w14:paraId="65E1848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(132, 184)</w:t>
            </w:r>
          </w:p>
        </w:tc>
        <w:tc>
          <w:tcPr>
            <w:tcW w:w="831" w:type="pct"/>
            <w:shd w:val="clear" w:color="auto" w:fill="auto"/>
          </w:tcPr>
          <w:p w14:paraId="17A64FB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378</w:t>
            </w:r>
          </w:p>
          <w:p w14:paraId="624BFD8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(316, 452)</w:t>
            </w:r>
          </w:p>
        </w:tc>
        <w:tc>
          <w:tcPr>
            <w:tcW w:w="748" w:type="pct"/>
            <w:shd w:val="clear" w:color="auto" w:fill="auto"/>
          </w:tcPr>
          <w:p w14:paraId="184B430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210</w:t>
            </w:r>
          </w:p>
          <w:p w14:paraId="1A5607A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(175, 251)</w:t>
            </w:r>
          </w:p>
        </w:tc>
        <w:tc>
          <w:tcPr>
            <w:tcW w:w="790" w:type="pct"/>
            <w:shd w:val="clear" w:color="auto" w:fill="auto"/>
          </w:tcPr>
          <w:p w14:paraId="716F80E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555</w:t>
            </w:r>
          </w:p>
          <w:p w14:paraId="5DB120D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(467, 661)</w:t>
            </w:r>
          </w:p>
        </w:tc>
        <w:tc>
          <w:tcPr>
            <w:tcW w:w="736" w:type="pct"/>
            <w:shd w:val="clear" w:color="auto" w:fill="auto"/>
          </w:tcPr>
          <w:p w14:paraId="6F44D85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206</w:t>
            </w:r>
          </w:p>
          <w:p w14:paraId="3F2CDA2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(164, 258)</w:t>
            </w:r>
          </w:p>
        </w:tc>
        <w:tc>
          <w:tcPr>
            <w:tcW w:w="808" w:type="pct"/>
            <w:shd w:val="clear" w:color="auto" w:fill="auto"/>
          </w:tcPr>
          <w:p w14:paraId="36B9BB8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346</w:t>
            </w:r>
          </w:p>
          <w:p w14:paraId="0E5CB83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(277, 432)</w:t>
            </w:r>
          </w:p>
        </w:tc>
      </w:tr>
      <w:tr w:rsidR="00B01F15" w:rsidRPr="005422B9" w14:paraId="265D4077" w14:textId="77777777" w:rsidTr="00B01F15">
        <w:trPr>
          <w:cantSplit/>
        </w:trPr>
        <w:tc>
          <w:tcPr>
            <w:tcW w:w="338" w:type="pct"/>
            <w:shd w:val="clear" w:color="auto" w:fill="auto"/>
            <w:vAlign w:val="bottom"/>
          </w:tcPr>
          <w:p w14:paraId="329D1225"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9V</w:t>
            </w:r>
          </w:p>
        </w:tc>
        <w:tc>
          <w:tcPr>
            <w:tcW w:w="749" w:type="pct"/>
            <w:shd w:val="clear" w:color="auto" w:fill="auto"/>
          </w:tcPr>
          <w:p w14:paraId="4ECDF71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203</w:t>
            </w:r>
          </w:p>
          <w:p w14:paraId="4E8C616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(171, 241)</w:t>
            </w:r>
          </w:p>
        </w:tc>
        <w:tc>
          <w:tcPr>
            <w:tcW w:w="831" w:type="pct"/>
            <w:shd w:val="clear" w:color="auto" w:fill="auto"/>
          </w:tcPr>
          <w:p w14:paraId="7A80990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550</w:t>
            </w:r>
          </w:p>
          <w:p w14:paraId="327BBD1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(454, 667)</w:t>
            </w:r>
          </w:p>
        </w:tc>
        <w:tc>
          <w:tcPr>
            <w:tcW w:w="748" w:type="pct"/>
            <w:shd w:val="clear" w:color="auto" w:fill="auto"/>
          </w:tcPr>
          <w:p w14:paraId="50121ED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339</w:t>
            </w:r>
          </w:p>
          <w:p w14:paraId="623688E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(282, 408)</w:t>
            </w:r>
          </w:p>
        </w:tc>
        <w:tc>
          <w:tcPr>
            <w:tcW w:w="790" w:type="pct"/>
            <w:shd w:val="clear" w:color="auto" w:fill="auto"/>
          </w:tcPr>
          <w:p w14:paraId="612FF65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1085</w:t>
            </w:r>
          </w:p>
          <w:p w14:paraId="080A465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(893, 1318)</w:t>
            </w:r>
          </w:p>
        </w:tc>
        <w:tc>
          <w:tcPr>
            <w:tcW w:w="736" w:type="pct"/>
            <w:shd w:val="clear" w:color="auto" w:fill="auto"/>
          </w:tcPr>
          <w:p w14:paraId="0D385BA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352</w:t>
            </w:r>
          </w:p>
          <w:p w14:paraId="4621FC4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(270, 459)</w:t>
            </w:r>
          </w:p>
        </w:tc>
        <w:tc>
          <w:tcPr>
            <w:tcW w:w="808" w:type="pct"/>
            <w:shd w:val="clear" w:color="auto" w:fill="auto"/>
          </w:tcPr>
          <w:p w14:paraId="20D7F00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723</w:t>
            </w:r>
          </w:p>
          <w:p w14:paraId="171F49C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(558, 938)</w:t>
            </w:r>
          </w:p>
        </w:tc>
      </w:tr>
      <w:tr w:rsidR="00B01F15" w:rsidRPr="005422B9" w14:paraId="440F3DE1" w14:textId="77777777" w:rsidTr="00B01F15">
        <w:trPr>
          <w:cantSplit/>
        </w:trPr>
        <w:tc>
          <w:tcPr>
            <w:tcW w:w="338" w:type="pct"/>
            <w:shd w:val="clear" w:color="auto" w:fill="auto"/>
            <w:vAlign w:val="bottom"/>
          </w:tcPr>
          <w:p w14:paraId="627ED66B"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14</w:t>
            </w:r>
          </w:p>
        </w:tc>
        <w:tc>
          <w:tcPr>
            <w:tcW w:w="749" w:type="pct"/>
            <w:shd w:val="clear" w:color="auto" w:fill="auto"/>
          </w:tcPr>
          <w:p w14:paraId="36F4A1C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212</w:t>
            </w:r>
          </w:p>
          <w:p w14:paraId="61EE75F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(166, 270)</w:t>
            </w:r>
          </w:p>
        </w:tc>
        <w:tc>
          <w:tcPr>
            <w:tcW w:w="831" w:type="pct"/>
            <w:shd w:val="clear" w:color="auto" w:fill="auto"/>
          </w:tcPr>
          <w:p w14:paraId="1430E43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391</w:t>
            </w:r>
          </w:p>
          <w:p w14:paraId="32B0F1F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(315, 486)</w:t>
            </w:r>
          </w:p>
        </w:tc>
        <w:tc>
          <w:tcPr>
            <w:tcW w:w="748" w:type="pct"/>
            <w:shd w:val="clear" w:color="auto" w:fill="auto"/>
          </w:tcPr>
          <w:p w14:paraId="4940847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282</w:t>
            </w:r>
          </w:p>
          <w:p w14:paraId="4B260E3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(224, 356)</w:t>
            </w:r>
          </w:p>
        </w:tc>
        <w:tc>
          <w:tcPr>
            <w:tcW w:w="790" w:type="pct"/>
            <w:shd w:val="clear" w:color="auto" w:fill="auto"/>
          </w:tcPr>
          <w:p w14:paraId="0DFB1C2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665</w:t>
            </w:r>
          </w:p>
          <w:p w14:paraId="7574FB4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(554, 798)</w:t>
            </w:r>
          </w:p>
        </w:tc>
        <w:tc>
          <w:tcPr>
            <w:tcW w:w="736" w:type="pct"/>
            <w:shd w:val="clear" w:color="auto" w:fill="auto"/>
          </w:tcPr>
          <w:p w14:paraId="23D7F80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336</w:t>
            </w:r>
          </w:p>
          <w:p w14:paraId="2F540C4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(238, 473)</w:t>
            </w:r>
          </w:p>
        </w:tc>
        <w:tc>
          <w:tcPr>
            <w:tcW w:w="808" w:type="pct"/>
            <w:shd w:val="clear" w:color="auto" w:fill="auto"/>
          </w:tcPr>
          <w:p w14:paraId="4667B57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581</w:t>
            </w:r>
          </w:p>
          <w:p w14:paraId="13A88BF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(434, 777)</w:t>
            </w:r>
          </w:p>
        </w:tc>
      </w:tr>
      <w:tr w:rsidR="00B01F15" w:rsidRPr="005422B9" w14:paraId="6EB7591E" w14:textId="77777777" w:rsidTr="00B01F15">
        <w:trPr>
          <w:cantSplit/>
        </w:trPr>
        <w:tc>
          <w:tcPr>
            <w:tcW w:w="338" w:type="pct"/>
            <w:shd w:val="clear" w:color="auto" w:fill="auto"/>
            <w:vAlign w:val="bottom"/>
          </w:tcPr>
          <w:p w14:paraId="17C5B9D5"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18C</w:t>
            </w:r>
          </w:p>
        </w:tc>
        <w:tc>
          <w:tcPr>
            <w:tcW w:w="749" w:type="pct"/>
            <w:shd w:val="clear" w:color="auto" w:fill="auto"/>
          </w:tcPr>
          <w:p w14:paraId="1776D2B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173</w:t>
            </w:r>
          </w:p>
          <w:p w14:paraId="447F2C2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(137, 218)</w:t>
            </w:r>
          </w:p>
        </w:tc>
        <w:tc>
          <w:tcPr>
            <w:tcW w:w="831" w:type="pct"/>
            <w:shd w:val="clear" w:color="auto" w:fill="auto"/>
          </w:tcPr>
          <w:p w14:paraId="5DCE5E7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552</w:t>
            </w:r>
          </w:p>
          <w:p w14:paraId="510AC3D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(445, 684)</w:t>
            </w:r>
          </w:p>
        </w:tc>
        <w:tc>
          <w:tcPr>
            <w:tcW w:w="748" w:type="pct"/>
            <w:shd w:val="clear" w:color="auto" w:fill="auto"/>
          </w:tcPr>
          <w:p w14:paraId="2507C2F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219</w:t>
            </w:r>
          </w:p>
          <w:p w14:paraId="35CEFF2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(177, 272)</w:t>
            </w:r>
          </w:p>
        </w:tc>
        <w:tc>
          <w:tcPr>
            <w:tcW w:w="790" w:type="pct"/>
            <w:shd w:val="clear" w:color="auto" w:fill="auto"/>
          </w:tcPr>
          <w:p w14:paraId="611F665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846</w:t>
            </w:r>
          </w:p>
          <w:p w14:paraId="0CA5018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(693, 1033)</w:t>
            </w:r>
          </w:p>
        </w:tc>
        <w:tc>
          <w:tcPr>
            <w:tcW w:w="736" w:type="pct"/>
            <w:shd w:val="clear" w:color="auto" w:fill="auto"/>
          </w:tcPr>
          <w:p w14:paraId="3138523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278</w:t>
            </w:r>
          </w:p>
          <w:p w14:paraId="58B5D37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(209, 369)</w:t>
            </w:r>
          </w:p>
        </w:tc>
        <w:tc>
          <w:tcPr>
            <w:tcW w:w="808" w:type="pct"/>
            <w:shd w:val="clear" w:color="auto" w:fill="auto"/>
          </w:tcPr>
          <w:p w14:paraId="527ED99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621</w:t>
            </w:r>
          </w:p>
          <w:p w14:paraId="676D7F3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(470, 821)</w:t>
            </w:r>
          </w:p>
        </w:tc>
      </w:tr>
      <w:tr w:rsidR="00B01F15" w:rsidRPr="005422B9" w14:paraId="475A9B7D" w14:textId="77777777" w:rsidTr="00B01F15">
        <w:trPr>
          <w:cantSplit/>
        </w:trPr>
        <w:tc>
          <w:tcPr>
            <w:tcW w:w="338" w:type="pct"/>
            <w:shd w:val="clear" w:color="auto" w:fill="auto"/>
            <w:vAlign w:val="bottom"/>
          </w:tcPr>
          <w:p w14:paraId="0AE2CDCF"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19A</w:t>
            </w:r>
          </w:p>
        </w:tc>
        <w:tc>
          <w:tcPr>
            <w:tcW w:w="749" w:type="pct"/>
            <w:shd w:val="clear" w:color="auto" w:fill="auto"/>
          </w:tcPr>
          <w:p w14:paraId="39FE460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82</w:t>
            </w:r>
          </w:p>
          <w:p w14:paraId="6AD2685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(66, 100)</w:t>
            </w:r>
          </w:p>
        </w:tc>
        <w:tc>
          <w:tcPr>
            <w:tcW w:w="831" w:type="pct"/>
            <w:shd w:val="clear" w:color="auto" w:fill="auto"/>
          </w:tcPr>
          <w:p w14:paraId="24F9C8F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239</w:t>
            </w:r>
          </w:p>
          <w:p w14:paraId="1D9F933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(197, 288)</w:t>
            </w:r>
          </w:p>
        </w:tc>
        <w:tc>
          <w:tcPr>
            <w:tcW w:w="748" w:type="pct"/>
            <w:shd w:val="clear" w:color="auto" w:fill="auto"/>
          </w:tcPr>
          <w:p w14:paraId="0DDF2C2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124</w:t>
            </w:r>
          </w:p>
          <w:p w14:paraId="45AE7E9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(100, 153)</w:t>
            </w:r>
          </w:p>
        </w:tc>
        <w:tc>
          <w:tcPr>
            <w:tcW w:w="790" w:type="pct"/>
            <w:shd w:val="clear" w:color="auto" w:fill="auto"/>
          </w:tcPr>
          <w:p w14:paraId="523BEC5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365</w:t>
            </w:r>
          </w:p>
          <w:p w14:paraId="5FE7360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(303, 440)</w:t>
            </w:r>
          </w:p>
        </w:tc>
        <w:tc>
          <w:tcPr>
            <w:tcW w:w="736" w:type="pct"/>
            <w:shd w:val="clear" w:color="auto" w:fill="auto"/>
          </w:tcPr>
          <w:p w14:paraId="4411662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182</w:t>
            </w:r>
          </w:p>
          <w:p w14:paraId="6A884F9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(141, 235)</w:t>
            </w:r>
          </w:p>
        </w:tc>
        <w:tc>
          <w:tcPr>
            <w:tcW w:w="808" w:type="pct"/>
            <w:shd w:val="clear" w:color="auto" w:fill="auto"/>
          </w:tcPr>
          <w:p w14:paraId="0A63206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341</w:t>
            </w:r>
          </w:p>
          <w:p w14:paraId="17DE547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(264, 439)</w:t>
            </w:r>
          </w:p>
        </w:tc>
      </w:tr>
      <w:tr w:rsidR="00B01F15" w:rsidRPr="005422B9" w14:paraId="2ABE1CE4" w14:textId="77777777" w:rsidTr="00B01F15">
        <w:trPr>
          <w:cantSplit/>
        </w:trPr>
        <w:tc>
          <w:tcPr>
            <w:tcW w:w="338" w:type="pct"/>
            <w:shd w:val="clear" w:color="auto" w:fill="auto"/>
            <w:vAlign w:val="bottom"/>
          </w:tcPr>
          <w:p w14:paraId="7A0BF0D5"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19F</w:t>
            </w:r>
          </w:p>
        </w:tc>
        <w:tc>
          <w:tcPr>
            <w:tcW w:w="749" w:type="pct"/>
            <w:shd w:val="clear" w:color="auto" w:fill="auto"/>
          </w:tcPr>
          <w:p w14:paraId="3723273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61</w:t>
            </w:r>
          </w:p>
          <w:p w14:paraId="5AA380E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(52, 71)</w:t>
            </w:r>
          </w:p>
        </w:tc>
        <w:tc>
          <w:tcPr>
            <w:tcW w:w="831" w:type="pct"/>
            <w:shd w:val="clear" w:color="auto" w:fill="auto"/>
          </w:tcPr>
          <w:p w14:paraId="4D9512A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159</w:t>
            </w:r>
          </w:p>
          <w:p w14:paraId="6AF990B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(131, 192)</w:t>
            </w:r>
          </w:p>
        </w:tc>
        <w:tc>
          <w:tcPr>
            <w:tcW w:w="748" w:type="pct"/>
            <w:shd w:val="clear" w:color="auto" w:fill="auto"/>
          </w:tcPr>
          <w:p w14:paraId="0331CCF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89</w:t>
            </w:r>
          </w:p>
          <w:p w14:paraId="28901B2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(74, 107)</w:t>
            </w:r>
          </w:p>
        </w:tc>
        <w:tc>
          <w:tcPr>
            <w:tcW w:w="790" w:type="pct"/>
            <w:shd w:val="clear" w:color="auto" w:fill="auto"/>
          </w:tcPr>
          <w:p w14:paraId="3B6FA78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242</w:t>
            </w:r>
          </w:p>
          <w:p w14:paraId="457BB60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(199, 294)</w:t>
            </w:r>
          </w:p>
        </w:tc>
        <w:tc>
          <w:tcPr>
            <w:tcW w:w="736" w:type="pct"/>
            <w:shd w:val="clear" w:color="auto" w:fill="auto"/>
          </w:tcPr>
          <w:p w14:paraId="3602C9F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120</w:t>
            </w:r>
          </w:p>
          <w:p w14:paraId="2409DA2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(94, 154)</w:t>
            </w:r>
          </w:p>
        </w:tc>
        <w:tc>
          <w:tcPr>
            <w:tcW w:w="808" w:type="pct"/>
            <w:shd w:val="clear" w:color="auto" w:fill="auto"/>
          </w:tcPr>
          <w:p w14:paraId="2902B51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218</w:t>
            </w:r>
          </w:p>
          <w:p w14:paraId="67EA835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(168, 282)</w:t>
            </w:r>
          </w:p>
        </w:tc>
      </w:tr>
      <w:tr w:rsidR="00B01F15" w:rsidRPr="005422B9" w14:paraId="45F3FA5E" w14:textId="77777777" w:rsidTr="00B01F15">
        <w:trPr>
          <w:cantSplit/>
        </w:trPr>
        <w:tc>
          <w:tcPr>
            <w:tcW w:w="338" w:type="pct"/>
            <w:shd w:val="clear" w:color="auto" w:fill="auto"/>
            <w:vAlign w:val="bottom"/>
          </w:tcPr>
          <w:p w14:paraId="5A6720B5"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23F</w:t>
            </w:r>
          </w:p>
        </w:tc>
        <w:tc>
          <w:tcPr>
            <w:tcW w:w="749" w:type="pct"/>
            <w:shd w:val="clear" w:color="auto" w:fill="auto"/>
          </w:tcPr>
          <w:p w14:paraId="415E9D5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23</w:t>
            </w:r>
          </w:p>
          <w:p w14:paraId="65C6E76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(18, 28)</w:t>
            </w:r>
          </w:p>
        </w:tc>
        <w:tc>
          <w:tcPr>
            <w:tcW w:w="831" w:type="pct"/>
            <w:shd w:val="clear" w:color="auto" w:fill="auto"/>
          </w:tcPr>
          <w:p w14:paraId="1AA90BC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152</w:t>
            </w:r>
          </w:p>
          <w:p w14:paraId="6234A5B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(115, 199)</w:t>
            </w:r>
          </w:p>
        </w:tc>
        <w:tc>
          <w:tcPr>
            <w:tcW w:w="748" w:type="pct"/>
            <w:shd w:val="clear" w:color="auto" w:fill="auto"/>
          </w:tcPr>
          <w:p w14:paraId="18C5EC3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48</w:t>
            </w:r>
          </w:p>
          <w:p w14:paraId="7C04D80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(37, 62)</w:t>
            </w:r>
          </w:p>
        </w:tc>
        <w:tc>
          <w:tcPr>
            <w:tcW w:w="790" w:type="pct"/>
            <w:shd w:val="clear" w:color="auto" w:fill="auto"/>
          </w:tcPr>
          <w:p w14:paraId="60E10FC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450</w:t>
            </w:r>
          </w:p>
          <w:p w14:paraId="3528751B"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(358, 566)</w:t>
            </w:r>
          </w:p>
        </w:tc>
        <w:tc>
          <w:tcPr>
            <w:tcW w:w="736" w:type="pct"/>
            <w:shd w:val="clear" w:color="auto" w:fill="auto"/>
          </w:tcPr>
          <w:p w14:paraId="6C215EC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66</w:t>
            </w:r>
          </w:p>
          <w:p w14:paraId="573DED8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(46, 94)</w:t>
            </w:r>
          </w:p>
        </w:tc>
        <w:tc>
          <w:tcPr>
            <w:tcW w:w="808" w:type="pct"/>
            <w:shd w:val="clear" w:color="auto" w:fill="auto"/>
          </w:tcPr>
          <w:p w14:paraId="7DCF44C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293</w:t>
            </w:r>
          </w:p>
          <w:p w14:paraId="138DE76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(204, 420)</w:t>
            </w:r>
          </w:p>
        </w:tc>
      </w:tr>
      <w:tr w:rsidR="00B01F15" w:rsidRPr="005422B9" w14:paraId="05D8F59D" w14:textId="77777777" w:rsidTr="00B01F15">
        <w:trPr>
          <w:cantSplit/>
        </w:trPr>
        <w:tc>
          <w:tcPr>
            <w:tcW w:w="5000" w:type="pct"/>
            <w:gridSpan w:val="7"/>
            <w:shd w:val="clear" w:color="auto" w:fill="auto"/>
          </w:tcPr>
          <w:p w14:paraId="3BD8C3B6" w14:textId="77777777" w:rsidR="00B01F15" w:rsidRPr="005422B9" w:rsidRDefault="00B01F15" w:rsidP="00B675C9">
            <w:pPr>
              <w:overflowPunct w:val="0"/>
              <w:autoSpaceDE w:val="0"/>
              <w:autoSpaceDN w:val="0"/>
              <w:adjustRightInd w:val="0"/>
              <w:spacing w:after="0"/>
              <w:textAlignment w:val="baseline"/>
              <w:rPr>
                <w:b/>
                <w:bCs/>
                <w:sz w:val="22"/>
                <w:lang w:val="en-AU"/>
              </w:rPr>
            </w:pPr>
            <w:r w:rsidRPr="005422B9">
              <w:rPr>
                <w:b/>
                <w:bCs/>
                <w:sz w:val="22"/>
                <w:lang w:val="en-AU"/>
              </w:rPr>
              <w:t>Additional Serotypes</w:t>
            </w:r>
          </w:p>
        </w:tc>
      </w:tr>
      <w:tr w:rsidR="00B01F15" w:rsidRPr="005422B9" w14:paraId="138125D4" w14:textId="77777777" w:rsidTr="00B01F15">
        <w:trPr>
          <w:cantSplit/>
        </w:trPr>
        <w:tc>
          <w:tcPr>
            <w:tcW w:w="338" w:type="pct"/>
            <w:shd w:val="clear" w:color="auto" w:fill="auto"/>
            <w:vAlign w:val="bottom"/>
          </w:tcPr>
          <w:p w14:paraId="6F532900"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8</w:t>
            </w:r>
          </w:p>
        </w:tc>
        <w:tc>
          <w:tcPr>
            <w:tcW w:w="749" w:type="pct"/>
            <w:shd w:val="clear" w:color="auto" w:fill="auto"/>
          </w:tcPr>
          <w:p w14:paraId="6458E23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55</w:t>
            </w:r>
          </w:p>
          <w:p w14:paraId="40EAD2D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(45, 67)</w:t>
            </w:r>
          </w:p>
        </w:tc>
        <w:tc>
          <w:tcPr>
            <w:tcW w:w="831" w:type="pct"/>
            <w:shd w:val="clear" w:color="auto" w:fill="auto"/>
          </w:tcPr>
          <w:p w14:paraId="0BA63AF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212</w:t>
            </w:r>
          </w:p>
          <w:p w14:paraId="0330376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(172, 261)</w:t>
            </w:r>
          </w:p>
        </w:tc>
        <w:tc>
          <w:tcPr>
            <w:tcW w:w="748" w:type="pct"/>
            <w:shd w:val="clear" w:color="auto" w:fill="auto"/>
          </w:tcPr>
          <w:p w14:paraId="6BCA039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w:t>
            </w:r>
          </w:p>
          <w:p w14:paraId="3FF8B94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(24, 33)</w:t>
            </w:r>
          </w:p>
        </w:tc>
        <w:tc>
          <w:tcPr>
            <w:tcW w:w="790" w:type="pct"/>
            <w:shd w:val="clear" w:color="auto" w:fill="auto"/>
          </w:tcPr>
          <w:p w14:paraId="43E7FE0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603</w:t>
            </w:r>
          </w:p>
          <w:p w14:paraId="360A3A3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(483, 753)</w:t>
            </w:r>
          </w:p>
        </w:tc>
        <w:tc>
          <w:tcPr>
            <w:tcW w:w="736" w:type="pct"/>
            <w:shd w:val="clear" w:color="auto" w:fill="auto"/>
          </w:tcPr>
          <w:p w14:paraId="41678B9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139</w:t>
            </w:r>
          </w:p>
          <w:p w14:paraId="3C62401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(99, 195)</w:t>
            </w:r>
          </w:p>
        </w:tc>
        <w:tc>
          <w:tcPr>
            <w:tcW w:w="808" w:type="pct"/>
            <w:shd w:val="clear" w:color="auto" w:fill="auto"/>
          </w:tcPr>
          <w:p w14:paraId="2041D3A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294</w:t>
            </w:r>
          </w:p>
          <w:p w14:paraId="1862707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(220, 392)</w:t>
            </w:r>
          </w:p>
        </w:tc>
      </w:tr>
      <w:tr w:rsidR="00B01F15" w:rsidRPr="005422B9" w14:paraId="1211B788" w14:textId="77777777" w:rsidTr="00B01F15">
        <w:trPr>
          <w:cantSplit/>
        </w:trPr>
        <w:tc>
          <w:tcPr>
            <w:tcW w:w="338" w:type="pct"/>
            <w:shd w:val="clear" w:color="auto" w:fill="auto"/>
            <w:vAlign w:val="bottom"/>
          </w:tcPr>
          <w:p w14:paraId="5C94EA04"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10A</w:t>
            </w:r>
          </w:p>
        </w:tc>
        <w:tc>
          <w:tcPr>
            <w:tcW w:w="749" w:type="pct"/>
            <w:shd w:val="clear" w:color="auto" w:fill="auto"/>
          </w:tcPr>
          <w:p w14:paraId="57E2778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212</w:t>
            </w:r>
          </w:p>
          <w:p w14:paraId="2610CC0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(166, 269)</w:t>
            </w:r>
          </w:p>
        </w:tc>
        <w:tc>
          <w:tcPr>
            <w:tcW w:w="831" w:type="pct"/>
            <w:shd w:val="clear" w:color="auto" w:fill="auto"/>
          </w:tcPr>
          <w:p w14:paraId="6D706C7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1012</w:t>
            </w:r>
          </w:p>
          <w:p w14:paraId="0CFE842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(807, 1270)</w:t>
            </w:r>
          </w:p>
        </w:tc>
        <w:tc>
          <w:tcPr>
            <w:tcW w:w="748" w:type="pct"/>
            <w:shd w:val="clear" w:color="auto" w:fill="auto"/>
          </w:tcPr>
          <w:p w14:paraId="1B207B2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141</w:t>
            </w:r>
          </w:p>
          <w:p w14:paraId="4821365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(113, 177)</w:t>
            </w:r>
          </w:p>
        </w:tc>
        <w:tc>
          <w:tcPr>
            <w:tcW w:w="790" w:type="pct"/>
            <w:shd w:val="clear" w:color="auto" w:fill="auto"/>
          </w:tcPr>
          <w:p w14:paraId="3D2FC4FC"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2005</w:t>
            </w:r>
          </w:p>
          <w:p w14:paraId="6CA4D5A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(1586, 2536)</w:t>
            </w:r>
          </w:p>
        </w:tc>
        <w:tc>
          <w:tcPr>
            <w:tcW w:w="736" w:type="pct"/>
            <w:shd w:val="clear" w:color="auto" w:fill="auto"/>
          </w:tcPr>
          <w:p w14:paraId="0AA56D4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400</w:t>
            </w:r>
          </w:p>
          <w:p w14:paraId="075D9E7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(281, 568)</w:t>
            </w:r>
          </w:p>
        </w:tc>
        <w:tc>
          <w:tcPr>
            <w:tcW w:w="808" w:type="pct"/>
            <w:shd w:val="clear" w:color="auto" w:fill="auto"/>
          </w:tcPr>
          <w:p w14:paraId="2D9465F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1580</w:t>
            </w:r>
          </w:p>
          <w:p w14:paraId="3118737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(1176, 2124)</w:t>
            </w:r>
          </w:p>
        </w:tc>
      </w:tr>
      <w:tr w:rsidR="00B01F15" w:rsidRPr="005422B9" w14:paraId="019046C3" w14:textId="77777777" w:rsidTr="00B01F15">
        <w:trPr>
          <w:cantSplit/>
        </w:trPr>
        <w:tc>
          <w:tcPr>
            <w:tcW w:w="338" w:type="pct"/>
            <w:shd w:val="clear" w:color="auto" w:fill="auto"/>
            <w:vAlign w:val="bottom"/>
          </w:tcPr>
          <w:p w14:paraId="4CBA8B16"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11A</w:t>
            </w:r>
          </w:p>
        </w:tc>
        <w:tc>
          <w:tcPr>
            <w:tcW w:w="749" w:type="pct"/>
            <w:shd w:val="clear" w:color="auto" w:fill="auto"/>
          </w:tcPr>
          <w:p w14:paraId="2B76AB0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510</w:t>
            </w:r>
          </w:p>
          <w:p w14:paraId="028CE65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(396, 656)</w:t>
            </w:r>
          </w:p>
        </w:tc>
        <w:tc>
          <w:tcPr>
            <w:tcW w:w="831" w:type="pct"/>
            <w:shd w:val="clear" w:color="auto" w:fill="auto"/>
          </w:tcPr>
          <w:p w14:paraId="726C8E0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1473</w:t>
            </w:r>
          </w:p>
          <w:p w14:paraId="4991DC9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(1192, 1820)</w:t>
            </w:r>
          </w:p>
        </w:tc>
        <w:tc>
          <w:tcPr>
            <w:tcW w:w="748" w:type="pct"/>
            <w:shd w:val="clear" w:color="auto" w:fill="auto"/>
          </w:tcPr>
          <w:p w14:paraId="7BC87E3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269</w:t>
            </w:r>
          </w:p>
          <w:p w14:paraId="559F23B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(211, 343)</w:t>
            </w:r>
          </w:p>
        </w:tc>
        <w:tc>
          <w:tcPr>
            <w:tcW w:w="790" w:type="pct"/>
            <w:shd w:val="clear" w:color="auto" w:fill="auto"/>
          </w:tcPr>
          <w:p w14:paraId="552A7A4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1908</w:t>
            </w:r>
          </w:p>
          <w:p w14:paraId="59A2ACB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(1541, 2362)</w:t>
            </w:r>
          </w:p>
        </w:tc>
        <w:tc>
          <w:tcPr>
            <w:tcW w:w="736" w:type="pct"/>
            <w:shd w:val="clear" w:color="auto" w:fill="auto"/>
          </w:tcPr>
          <w:p w14:paraId="50C9EDE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550</w:t>
            </w:r>
          </w:p>
          <w:p w14:paraId="6DB7D06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(386, 785)</w:t>
            </w:r>
          </w:p>
        </w:tc>
        <w:tc>
          <w:tcPr>
            <w:tcW w:w="808" w:type="pct"/>
            <w:shd w:val="clear" w:color="auto" w:fill="auto"/>
          </w:tcPr>
          <w:p w14:paraId="3FC3602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1567</w:t>
            </w:r>
          </w:p>
          <w:p w14:paraId="454BA1F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(1141, 2151)</w:t>
            </w:r>
          </w:p>
        </w:tc>
      </w:tr>
      <w:tr w:rsidR="00B01F15" w:rsidRPr="005422B9" w14:paraId="6B82019A" w14:textId="77777777" w:rsidTr="00B01F15">
        <w:trPr>
          <w:cantSplit/>
        </w:trPr>
        <w:tc>
          <w:tcPr>
            <w:tcW w:w="338" w:type="pct"/>
            <w:shd w:val="clear" w:color="auto" w:fill="auto"/>
            <w:vAlign w:val="bottom"/>
          </w:tcPr>
          <w:p w14:paraId="16F760C3"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12F</w:t>
            </w:r>
          </w:p>
        </w:tc>
        <w:tc>
          <w:tcPr>
            <w:tcW w:w="749" w:type="pct"/>
            <w:shd w:val="clear" w:color="auto" w:fill="auto"/>
          </w:tcPr>
          <w:p w14:paraId="2B47DBF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147</w:t>
            </w:r>
          </w:p>
          <w:p w14:paraId="7ECEE19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(112, 193)</w:t>
            </w:r>
          </w:p>
        </w:tc>
        <w:tc>
          <w:tcPr>
            <w:tcW w:w="831" w:type="pct"/>
            <w:shd w:val="clear" w:color="auto" w:fill="auto"/>
          </w:tcPr>
          <w:p w14:paraId="61B074C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1054</w:t>
            </w:r>
          </w:p>
          <w:p w14:paraId="497C79D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(822, 1353)</w:t>
            </w:r>
          </w:p>
        </w:tc>
        <w:tc>
          <w:tcPr>
            <w:tcW w:w="748" w:type="pct"/>
            <w:shd w:val="clear" w:color="auto" w:fill="auto"/>
          </w:tcPr>
          <w:p w14:paraId="475A0F0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53</w:t>
            </w:r>
          </w:p>
          <w:p w14:paraId="64FE8F8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(43, 65)</w:t>
            </w:r>
          </w:p>
        </w:tc>
        <w:tc>
          <w:tcPr>
            <w:tcW w:w="790" w:type="pct"/>
            <w:shd w:val="clear" w:color="auto" w:fill="auto"/>
          </w:tcPr>
          <w:p w14:paraId="14D4F2A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1763</w:t>
            </w:r>
          </w:p>
          <w:p w14:paraId="486EBF5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(1372, 2267)</w:t>
            </w:r>
          </w:p>
        </w:tc>
        <w:tc>
          <w:tcPr>
            <w:tcW w:w="736" w:type="pct"/>
            <w:shd w:val="clear" w:color="auto" w:fill="auto"/>
          </w:tcPr>
          <w:p w14:paraId="5BB0884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368</w:t>
            </w:r>
          </w:p>
          <w:p w14:paraId="1E6849A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(236, 573)</w:t>
            </w:r>
          </w:p>
        </w:tc>
        <w:tc>
          <w:tcPr>
            <w:tcW w:w="808" w:type="pct"/>
            <w:shd w:val="clear" w:color="auto" w:fill="auto"/>
          </w:tcPr>
          <w:p w14:paraId="21DD96C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1401</w:t>
            </w:r>
          </w:p>
          <w:p w14:paraId="4CEE42B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(1002, 1960)</w:t>
            </w:r>
          </w:p>
        </w:tc>
      </w:tr>
      <w:tr w:rsidR="00B01F15" w:rsidRPr="005422B9" w14:paraId="016319A1" w14:textId="77777777" w:rsidTr="00B01F15">
        <w:trPr>
          <w:cantSplit/>
        </w:trPr>
        <w:tc>
          <w:tcPr>
            <w:tcW w:w="338" w:type="pct"/>
            <w:shd w:val="clear" w:color="auto" w:fill="auto"/>
            <w:vAlign w:val="bottom"/>
          </w:tcPr>
          <w:p w14:paraId="758467B4"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15B</w:t>
            </w:r>
          </w:p>
        </w:tc>
        <w:tc>
          <w:tcPr>
            <w:tcW w:w="749" w:type="pct"/>
            <w:shd w:val="clear" w:color="auto" w:fill="auto"/>
          </w:tcPr>
          <w:p w14:paraId="738B60D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140</w:t>
            </w:r>
          </w:p>
          <w:p w14:paraId="450F336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(104, 189)</w:t>
            </w:r>
          </w:p>
        </w:tc>
        <w:tc>
          <w:tcPr>
            <w:tcW w:w="831" w:type="pct"/>
            <w:shd w:val="clear" w:color="auto" w:fill="auto"/>
          </w:tcPr>
          <w:p w14:paraId="7334F1A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647</w:t>
            </w:r>
          </w:p>
          <w:p w14:paraId="51269231"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(491, 853)</w:t>
            </w:r>
          </w:p>
        </w:tc>
        <w:tc>
          <w:tcPr>
            <w:tcW w:w="748" w:type="pct"/>
            <w:shd w:val="clear" w:color="auto" w:fill="auto"/>
          </w:tcPr>
          <w:p w14:paraId="4FC3406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74</w:t>
            </w:r>
          </w:p>
          <w:p w14:paraId="108BCBF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(56, 98)</w:t>
            </w:r>
          </w:p>
        </w:tc>
        <w:tc>
          <w:tcPr>
            <w:tcW w:w="790" w:type="pct"/>
            <w:shd w:val="clear" w:color="auto" w:fill="auto"/>
          </w:tcPr>
          <w:p w14:paraId="5E1CEDA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 xml:space="preserve">1480 </w:t>
            </w:r>
          </w:p>
          <w:p w14:paraId="16D592C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(1093, 2003)</w:t>
            </w:r>
          </w:p>
        </w:tc>
        <w:tc>
          <w:tcPr>
            <w:tcW w:w="736" w:type="pct"/>
            <w:shd w:val="clear" w:color="auto" w:fill="auto"/>
          </w:tcPr>
          <w:p w14:paraId="1A6CD335"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190</w:t>
            </w:r>
          </w:p>
          <w:p w14:paraId="5BEF55D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(124, 291)</w:t>
            </w:r>
          </w:p>
        </w:tc>
        <w:tc>
          <w:tcPr>
            <w:tcW w:w="808" w:type="pct"/>
            <w:shd w:val="clear" w:color="auto" w:fill="auto"/>
          </w:tcPr>
          <w:p w14:paraId="07BD252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1067</w:t>
            </w:r>
          </w:p>
          <w:p w14:paraId="7E46E8E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(721, 1578)</w:t>
            </w:r>
          </w:p>
        </w:tc>
      </w:tr>
      <w:tr w:rsidR="00B01F15" w:rsidRPr="005422B9" w14:paraId="62919305" w14:textId="77777777" w:rsidTr="00B01F15">
        <w:trPr>
          <w:cantSplit/>
        </w:trPr>
        <w:tc>
          <w:tcPr>
            <w:tcW w:w="338" w:type="pct"/>
            <w:shd w:val="clear" w:color="auto" w:fill="auto"/>
            <w:vAlign w:val="bottom"/>
          </w:tcPr>
          <w:p w14:paraId="51DAF241"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lastRenderedPageBreak/>
              <w:t>22F</w:t>
            </w:r>
          </w:p>
        </w:tc>
        <w:tc>
          <w:tcPr>
            <w:tcW w:w="749" w:type="pct"/>
            <w:shd w:val="clear" w:color="auto" w:fill="auto"/>
          </w:tcPr>
          <w:p w14:paraId="578C8D5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167</w:t>
            </w:r>
          </w:p>
          <w:p w14:paraId="461827B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(122, 230)</w:t>
            </w:r>
          </w:p>
        </w:tc>
        <w:tc>
          <w:tcPr>
            <w:tcW w:w="831" w:type="pct"/>
            <w:shd w:val="clear" w:color="auto" w:fill="auto"/>
          </w:tcPr>
          <w:p w14:paraId="27B865C8"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1773</w:t>
            </w:r>
          </w:p>
          <w:p w14:paraId="68257C6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(1355, 2320)</w:t>
            </w:r>
          </w:p>
        </w:tc>
        <w:tc>
          <w:tcPr>
            <w:tcW w:w="748" w:type="pct"/>
            <w:shd w:val="clear" w:color="auto" w:fill="auto"/>
          </w:tcPr>
          <w:p w14:paraId="01215D1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60</w:t>
            </w:r>
          </w:p>
          <w:p w14:paraId="77FD42F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(45, 82)</w:t>
            </w:r>
          </w:p>
        </w:tc>
        <w:tc>
          <w:tcPr>
            <w:tcW w:w="790" w:type="pct"/>
            <w:shd w:val="clear" w:color="auto" w:fill="auto"/>
          </w:tcPr>
          <w:p w14:paraId="49FF41D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4157</w:t>
            </w:r>
          </w:p>
          <w:p w14:paraId="608CE1F0"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(3244, 5326)</w:t>
            </w:r>
          </w:p>
        </w:tc>
        <w:tc>
          <w:tcPr>
            <w:tcW w:w="736" w:type="pct"/>
            <w:shd w:val="clear" w:color="auto" w:fill="auto"/>
          </w:tcPr>
          <w:p w14:paraId="17C4AD6D"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286</w:t>
            </w:r>
          </w:p>
          <w:p w14:paraId="6F3DDE06"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(180, 456)</w:t>
            </w:r>
          </w:p>
        </w:tc>
        <w:tc>
          <w:tcPr>
            <w:tcW w:w="808" w:type="pct"/>
            <w:shd w:val="clear" w:color="auto" w:fill="auto"/>
          </w:tcPr>
          <w:p w14:paraId="337B8B8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2718</w:t>
            </w:r>
          </w:p>
          <w:p w14:paraId="25A5BEB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(1978, 3733)</w:t>
            </w:r>
          </w:p>
        </w:tc>
      </w:tr>
      <w:tr w:rsidR="00B01F15" w:rsidRPr="005422B9" w14:paraId="2446FEB4" w14:textId="77777777" w:rsidTr="00B01F15">
        <w:trPr>
          <w:cantSplit/>
        </w:trPr>
        <w:tc>
          <w:tcPr>
            <w:tcW w:w="338" w:type="pct"/>
            <w:tcBorders>
              <w:bottom w:val="single" w:sz="4" w:space="0" w:color="auto"/>
            </w:tcBorders>
            <w:shd w:val="clear" w:color="auto" w:fill="auto"/>
            <w:vAlign w:val="bottom"/>
          </w:tcPr>
          <w:p w14:paraId="05C2174A" w14:textId="77777777" w:rsidR="00B01F15" w:rsidRPr="005422B9" w:rsidRDefault="00B01F15" w:rsidP="00B675C9">
            <w:pPr>
              <w:overflowPunct w:val="0"/>
              <w:autoSpaceDE w:val="0"/>
              <w:autoSpaceDN w:val="0"/>
              <w:adjustRightInd w:val="0"/>
              <w:spacing w:after="0"/>
              <w:textAlignment w:val="baseline"/>
              <w:rPr>
                <w:sz w:val="22"/>
                <w:lang w:val="en-AU"/>
              </w:rPr>
            </w:pPr>
            <w:r w:rsidRPr="005422B9">
              <w:rPr>
                <w:sz w:val="22"/>
                <w:lang w:val="en-AU"/>
              </w:rPr>
              <w:t>33F</w:t>
            </w:r>
          </w:p>
        </w:tc>
        <w:tc>
          <w:tcPr>
            <w:tcW w:w="749" w:type="pct"/>
            <w:tcBorders>
              <w:bottom w:val="single" w:sz="4" w:space="0" w:color="auto"/>
            </w:tcBorders>
            <w:shd w:val="clear" w:color="auto" w:fill="auto"/>
          </w:tcPr>
          <w:p w14:paraId="020417A7"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1129</w:t>
            </w:r>
          </w:p>
          <w:p w14:paraId="720C03C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(936, 1362)</w:t>
            </w:r>
          </w:p>
        </w:tc>
        <w:tc>
          <w:tcPr>
            <w:tcW w:w="831" w:type="pct"/>
            <w:tcBorders>
              <w:bottom w:val="single" w:sz="4" w:space="0" w:color="auto"/>
            </w:tcBorders>
            <w:shd w:val="clear" w:color="auto" w:fill="auto"/>
          </w:tcPr>
          <w:p w14:paraId="51F91C1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2026</w:t>
            </w:r>
          </w:p>
          <w:p w14:paraId="5CB8985E"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(1684, 2437)</w:t>
            </w:r>
          </w:p>
        </w:tc>
        <w:tc>
          <w:tcPr>
            <w:tcW w:w="748" w:type="pct"/>
            <w:tcBorders>
              <w:bottom w:val="single" w:sz="4" w:space="0" w:color="auto"/>
            </w:tcBorders>
            <w:shd w:val="clear" w:color="auto" w:fill="auto"/>
          </w:tcPr>
          <w:p w14:paraId="30BA367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606</w:t>
            </w:r>
          </w:p>
          <w:p w14:paraId="72C7AD9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(507, 723)</w:t>
            </w:r>
          </w:p>
        </w:tc>
        <w:tc>
          <w:tcPr>
            <w:tcW w:w="790" w:type="pct"/>
            <w:tcBorders>
              <w:bottom w:val="single" w:sz="4" w:space="0" w:color="auto"/>
            </w:tcBorders>
            <w:shd w:val="clear" w:color="auto" w:fill="auto"/>
          </w:tcPr>
          <w:p w14:paraId="715C906A"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3175</w:t>
            </w:r>
          </w:p>
          <w:p w14:paraId="071D22D4"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(2579, 3908)</w:t>
            </w:r>
          </w:p>
        </w:tc>
        <w:tc>
          <w:tcPr>
            <w:tcW w:w="736" w:type="pct"/>
            <w:tcBorders>
              <w:bottom w:val="single" w:sz="4" w:space="0" w:color="auto"/>
            </w:tcBorders>
            <w:shd w:val="clear" w:color="auto" w:fill="auto"/>
          </w:tcPr>
          <w:p w14:paraId="03CDDD49"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1353</w:t>
            </w:r>
          </w:p>
          <w:p w14:paraId="0BAEEAD3"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(1037, 1765)</w:t>
            </w:r>
          </w:p>
        </w:tc>
        <w:tc>
          <w:tcPr>
            <w:tcW w:w="808" w:type="pct"/>
            <w:tcBorders>
              <w:bottom w:val="single" w:sz="4" w:space="0" w:color="auto"/>
            </w:tcBorders>
            <w:shd w:val="clear" w:color="auto" w:fill="auto"/>
          </w:tcPr>
          <w:p w14:paraId="5073680F"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2183</w:t>
            </w:r>
          </w:p>
          <w:p w14:paraId="766BE542" w14:textId="77777777" w:rsidR="00B01F15" w:rsidRPr="005422B9" w:rsidRDefault="00B01F15" w:rsidP="00B675C9">
            <w:pPr>
              <w:overflowPunct w:val="0"/>
              <w:autoSpaceDE w:val="0"/>
              <w:autoSpaceDN w:val="0"/>
              <w:adjustRightInd w:val="0"/>
              <w:spacing w:after="0"/>
              <w:jc w:val="center"/>
              <w:textAlignment w:val="baseline"/>
              <w:rPr>
                <w:sz w:val="22"/>
                <w:lang w:val="en-AU"/>
              </w:rPr>
            </w:pPr>
            <w:r w:rsidRPr="005422B9">
              <w:rPr>
                <w:sz w:val="22"/>
                <w:lang w:val="en-AU"/>
              </w:rPr>
              <w:t>(1639, 2908)</w:t>
            </w:r>
          </w:p>
        </w:tc>
      </w:tr>
      <w:tr w:rsidR="00B01F15" w:rsidRPr="005422B9" w14:paraId="3D043767" w14:textId="77777777" w:rsidTr="008073CC">
        <w:trPr>
          <w:cantSplit/>
        </w:trPr>
        <w:tc>
          <w:tcPr>
            <w:tcW w:w="5000" w:type="pct"/>
            <w:gridSpan w:val="7"/>
            <w:tcBorders>
              <w:left w:val="nil"/>
              <w:right w:val="nil"/>
            </w:tcBorders>
            <w:shd w:val="clear" w:color="auto" w:fill="auto"/>
          </w:tcPr>
          <w:p w14:paraId="52A5FE41" w14:textId="5D0AD754" w:rsidR="00B01F15" w:rsidRPr="005422B9" w:rsidRDefault="00B01F15" w:rsidP="00B675C9">
            <w:pPr>
              <w:overflowPunct w:val="0"/>
              <w:autoSpaceDE w:val="0"/>
              <w:autoSpaceDN w:val="0"/>
              <w:adjustRightInd w:val="0"/>
              <w:spacing w:after="0"/>
              <w:textAlignment w:val="baseline"/>
              <w:rPr>
                <w:color w:val="000000"/>
                <w:sz w:val="18"/>
                <w:szCs w:val="18"/>
                <w:lang w:val="en-AU"/>
              </w:rPr>
            </w:pPr>
            <w:r w:rsidRPr="005422B9">
              <w:rPr>
                <w:sz w:val="18"/>
                <w:szCs w:val="18"/>
                <w:lang w:val="en-AU"/>
              </w:rPr>
              <w:t xml:space="preserve">Abbreviations: CI = confidence interval; </w:t>
            </w:r>
            <w:r w:rsidRPr="005422B9">
              <w:rPr>
                <w:color w:val="000000"/>
                <w:sz w:val="18"/>
                <w:szCs w:val="18"/>
                <w:lang w:val="en-AU"/>
              </w:rPr>
              <w:t>GMT = geometric mean titre</w:t>
            </w:r>
            <w:r w:rsidRPr="005422B9">
              <w:rPr>
                <w:sz w:val="18"/>
                <w:szCs w:val="18"/>
                <w:lang w:val="en-AU"/>
              </w:rPr>
              <w:t xml:space="preserve">; LLOQ = lower limit of quantitation; N = number of participants; OPA = opsonophagocytic activity; </w:t>
            </w:r>
            <w:r w:rsidR="001A517E" w:rsidRPr="005422B9">
              <w:rPr>
                <w:sz w:val="18"/>
                <w:szCs w:val="18"/>
                <w:lang w:val="en-AU"/>
              </w:rPr>
              <w:t>23vPPV</w:t>
            </w:r>
            <w:r w:rsidRPr="005422B9">
              <w:rPr>
                <w:sz w:val="18"/>
                <w:szCs w:val="18"/>
                <w:lang w:val="en-AU"/>
              </w:rPr>
              <w:t> = pneumococcal polysaccharide vaccine (23-valent).</w:t>
            </w:r>
          </w:p>
          <w:p w14:paraId="4517ECAA"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a.</w:t>
            </w:r>
            <w:r w:rsidRPr="005422B9">
              <w:rPr>
                <w:color w:val="000000"/>
                <w:sz w:val="18"/>
                <w:szCs w:val="18"/>
                <w:lang w:val="en-AU"/>
              </w:rPr>
              <w:tab/>
              <w:t>Study 1006 was conducted in the United States and in Sweden.</w:t>
            </w:r>
          </w:p>
          <w:p w14:paraId="41DF028F"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b.</w:t>
            </w:r>
            <w:r w:rsidRPr="005422B9">
              <w:rPr>
                <w:color w:val="000000"/>
                <w:sz w:val="18"/>
                <w:szCs w:val="18"/>
                <w:lang w:val="en-AU"/>
              </w:rPr>
              <w:tab/>
              <w:t>Assay results below the LLOQ were set to 0.5 × LLOQ in the analysis.</w:t>
            </w:r>
          </w:p>
          <w:p w14:paraId="237208C2"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c.</w:t>
            </w:r>
            <w:r w:rsidRPr="005422B9">
              <w:rPr>
                <w:color w:val="000000"/>
                <w:sz w:val="18"/>
                <w:szCs w:val="18"/>
                <w:lang w:val="en-AU"/>
              </w:rPr>
              <w:tab/>
              <w:t>Evaluable immunogenicity population.</w:t>
            </w:r>
          </w:p>
          <w:p w14:paraId="68C6C806"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d.</w:t>
            </w:r>
            <w:r w:rsidRPr="005422B9">
              <w:rPr>
                <w:color w:val="000000"/>
                <w:sz w:val="18"/>
                <w:szCs w:val="18"/>
                <w:lang w:val="en-AU"/>
              </w:rPr>
              <w:tab/>
              <w:t>Open</w:t>
            </w:r>
            <w:r w:rsidRPr="005422B9">
              <w:rPr>
                <w:color w:val="000000"/>
                <w:sz w:val="18"/>
                <w:szCs w:val="18"/>
                <w:lang w:val="en-AU"/>
              </w:rPr>
              <w:noBreakHyphen/>
              <w:t>label administration of PREVENAR 20.</w:t>
            </w:r>
          </w:p>
          <w:p w14:paraId="2CF48E4F" w14:textId="77777777" w:rsidR="00B01F15" w:rsidRPr="005422B9" w:rsidRDefault="00B01F15" w:rsidP="00B675C9">
            <w:pPr>
              <w:tabs>
                <w:tab w:val="left" w:pos="270"/>
              </w:tabs>
              <w:overflowPunct w:val="0"/>
              <w:autoSpaceDE w:val="0"/>
              <w:autoSpaceDN w:val="0"/>
              <w:adjustRightInd w:val="0"/>
              <w:spacing w:after="0"/>
              <w:ind w:left="270" w:hanging="270"/>
              <w:textAlignment w:val="baseline"/>
              <w:rPr>
                <w:color w:val="000000"/>
                <w:sz w:val="18"/>
                <w:szCs w:val="18"/>
                <w:lang w:val="en-AU"/>
              </w:rPr>
            </w:pPr>
            <w:r w:rsidRPr="005422B9">
              <w:rPr>
                <w:color w:val="000000"/>
                <w:sz w:val="18"/>
                <w:szCs w:val="18"/>
                <w:lang w:val="en-AU"/>
              </w:rPr>
              <w:t>e.</w:t>
            </w:r>
            <w:r w:rsidRPr="005422B9">
              <w:rPr>
                <w:color w:val="000000"/>
                <w:sz w:val="18"/>
                <w:szCs w:val="18"/>
                <w:lang w:val="en-AU"/>
              </w:rPr>
              <w:tab/>
              <w:t>2-sided CIs based on the Student t distribution.</w:t>
            </w:r>
          </w:p>
        </w:tc>
      </w:tr>
      <w:tr w:rsidR="008073CC" w:rsidRPr="005422B9" w14:paraId="7BB21F6F" w14:textId="77777777" w:rsidTr="00B01F15">
        <w:trPr>
          <w:cantSplit/>
        </w:trPr>
        <w:tc>
          <w:tcPr>
            <w:tcW w:w="5000" w:type="pct"/>
            <w:gridSpan w:val="7"/>
            <w:tcBorders>
              <w:left w:val="nil"/>
              <w:bottom w:val="nil"/>
              <w:right w:val="nil"/>
            </w:tcBorders>
            <w:shd w:val="clear" w:color="auto" w:fill="auto"/>
          </w:tcPr>
          <w:p w14:paraId="0146297C" w14:textId="5739C341" w:rsidR="008073CC" w:rsidRPr="005422B9" w:rsidRDefault="008073CC" w:rsidP="00B675C9">
            <w:pPr>
              <w:overflowPunct w:val="0"/>
              <w:autoSpaceDE w:val="0"/>
              <w:autoSpaceDN w:val="0"/>
              <w:adjustRightInd w:val="0"/>
              <w:spacing w:after="0"/>
              <w:textAlignment w:val="baseline"/>
              <w:rPr>
                <w:sz w:val="18"/>
                <w:szCs w:val="18"/>
                <w:lang w:val="en-AU"/>
              </w:rPr>
            </w:pPr>
          </w:p>
        </w:tc>
      </w:tr>
    </w:tbl>
    <w:p w14:paraId="65CE47ED" w14:textId="0192981B" w:rsidR="00B01F15" w:rsidRDefault="00B01F15" w:rsidP="00B675C9">
      <w:pPr>
        <w:rPr>
          <w:lang w:val="en-AU"/>
        </w:rPr>
      </w:pPr>
      <w:bookmarkStart w:id="24" w:name="_Hlk50542212"/>
      <w:bookmarkEnd w:id="23"/>
    </w:p>
    <w:p w14:paraId="2281BADE" w14:textId="77777777" w:rsidR="006E2AF0" w:rsidRPr="006E2AF0" w:rsidRDefault="006E2AF0" w:rsidP="006E2AF0">
      <w:pPr>
        <w:pStyle w:val="CLDHeading3"/>
        <w:rPr>
          <w:lang w:val="en-AU"/>
        </w:rPr>
      </w:pPr>
      <w:r w:rsidRPr="006E2AF0">
        <w:rPr>
          <w:lang w:val="en-AU"/>
        </w:rPr>
        <w:t>Concomitant vaccine administration</w:t>
      </w:r>
    </w:p>
    <w:p w14:paraId="75C6D0FF" w14:textId="5E60727A" w:rsidR="006E2AF0" w:rsidRPr="006E2AF0" w:rsidRDefault="006E2AF0" w:rsidP="006E2AF0">
      <w:pPr>
        <w:pStyle w:val="Heading4"/>
        <w:rPr>
          <w:lang w:val="en-AU" w:eastAsia="en-GB"/>
        </w:rPr>
      </w:pPr>
      <w:r w:rsidRPr="006E2AF0">
        <w:rPr>
          <w:lang w:val="en-AU" w:eastAsia="en-GB"/>
        </w:rPr>
        <w:t>Clinic</w:t>
      </w:r>
      <w:r>
        <w:rPr>
          <w:lang w:val="en-AU" w:eastAsia="en-GB"/>
        </w:rPr>
        <w:t>a</w:t>
      </w:r>
      <w:r w:rsidRPr="006E2AF0">
        <w:rPr>
          <w:lang w:val="en-AU" w:eastAsia="en-GB"/>
        </w:rPr>
        <w:t xml:space="preserve">l trial in adults to assess </w:t>
      </w:r>
      <w:r>
        <w:rPr>
          <w:lang w:val="en-AU" w:eastAsia="en-GB"/>
        </w:rPr>
        <w:t>PREVENAR 20</w:t>
      </w:r>
      <w:r w:rsidRPr="006E2AF0">
        <w:rPr>
          <w:lang w:val="en-AU" w:eastAsia="en-GB"/>
        </w:rPr>
        <w:t xml:space="preserve"> given with influenza vaccine, adjuvanted (</w:t>
      </w:r>
      <w:proofErr w:type="spellStart"/>
      <w:r w:rsidRPr="006E2AF0">
        <w:rPr>
          <w:lang w:val="en-AU" w:eastAsia="en-GB"/>
        </w:rPr>
        <w:t>Fluad</w:t>
      </w:r>
      <w:proofErr w:type="spellEnd"/>
      <w:r w:rsidRPr="006E2AF0">
        <w:rPr>
          <w:lang w:val="en-AU" w:eastAsia="en-GB"/>
        </w:rPr>
        <w:t xml:space="preserve"> Quadrivalent, [QIV])</w:t>
      </w:r>
    </w:p>
    <w:p w14:paraId="046DB16E" w14:textId="3E5EAF99" w:rsidR="00D2342E" w:rsidRPr="00D2342E" w:rsidRDefault="00F915FB" w:rsidP="00D2342E">
      <w:pPr>
        <w:pStyle w:val="Paragraph0"/>
        <w:spacing w:after="0"/>
        <w:jc w:val="both"/>
      </w:pPr>
      <w:r w:rsidRPr="00F915FB">
        <w:rPr>
          <w:lang w:val="en-AU"/>
        </w:rPr>
        <w:t>In a double-blind, randomi</w:t>
      </w:r>
      <w:r w:rsidR="00E7433E">
        <w:rPr>
          <w:lang w:val="en-AU"/>
        </w:rPr>
        <w:t>s</w:t>
      </w:r>
      <w:r w:rsidRPr="00F915FB">
        <w:rPr>
          <w:lang w:val="en-AU"/>
        </w:rPr>
        <w:t>ed study B7471004 (Study 1004), adults 65 years of age and older were randomi</w:t>
      </w:r>
      <w:r w:rsidR="00E7433E">
        <w:rPr>
          <w:lang w:val="en-AU"/>
        </w:rPr>
        <w:t>s</w:t>
      </w:r>
      <w:r w:rsidRPr="00F915FB">
        <w:rPr>
          <w:lang w:val="en-AU"/>
        </w:rPr>
        <w:t>ed</w:t>
      </w:r>
      <w:r>
        <w:rPr>
          <w:lang w:val="en-AU"/>
        </w:rPr>
        <w:t xml:space="preserve"> </w:t>
      </w:r>
      <w:r w:rsidRPr="00F915FB">
        <w:rPr>
          <w:lang w:val="en-AU"/>
        </w:rPr>
        <w:t xml:space="preserve">in a 1:1 ratio to receive </w:t>
      </w:r>
      <w:r>
        <w:rPr>
          <w:lang w:val="en-AU"/>
        </w:rPr>
        <w:t>PREVENAR 20</w:t>
      </w:r>
      <w:r w:rsidRPr="00F915FB">
        <w:rPr>
          <w:lang w:val="en-AU"/>
        </w:rPr>
        <w:t xml:space="preserve"> concomitantly administered with an influenza vaccine, adjuvanted (</w:t>
      </w:r>
      <w:proofErr w:type="spellStart"/>
      <w:r w:rsidRPr="00F915FB">
        <w:rPr>
          <w:lang w:val="en-AU"/>
        </w:rPr>
        <w:t>Fluad</w:t>
      </w:r>
      <w:proofErr w:type="spellEnd"/>
      <w:r w:rsidRPr="00F915FB">
        <w:rPr>
          <w:lang w:val="en-AU"/>
        </w:rPr>
        <w:t xml:space="preserve"> Quadrivalent, [QIV]) (Group 1, N = 898) or </w:t>
      </w:r>
      <w:r>
        <w:rPr>
          <w:lang w:val="en-AU"/>
        </w:rPr>
        <w:t>PREVENAR 20</w:t>
      </w:r>
      <w:r w:rsidRPr="00F915FB">
        <w:rPr>
          <w:lang w:val="en-AU"/>
        </w:rPr>
        <w:t xml:space="preserve"> administered 1 month after receiving QIV (Group 2, N = 898). Pneumococcal </w:t>
      </w:r>
      <w:proofErr w:type="gramStart"/>
      <w:r w:rsidRPr="00F915FB">
        <w:rPr>
          <w:lang w:val="en-AU"/>
        </w:rPr>
        <w:t>serotype-specific</w:t>
      </w:r>
      <w:proofErr w:type="gramEnd"/>
      <w:r w:rsidRPr="00F915FB">
        <w:rPr>
          <w:lang w:val="en-AU"/>
        </w:rPr>
        <w:t xml:space="preserve"> OPA GMTs were evaluated 1 month after </w:t>
      </w:r>
      <w:r>
        <w:rPr>
          <w:lang w:val="en-AU"/>
        </w:rPr>
        <w:t>PREVENAR 20</w:t>
      </w:r>
      <w:r w:rsidRPr="00F915FB">
        <w:rPr>
          <w:lang w:val="en-AU"/>
        </w:rPr>
        <w:t xml:space="preserve"> and influenza vaccine strain hemagglutinin inhibition assay (HAI) GMTs were evaluated 1 month after QIV. The noninferiority criteria for the comparisons of OPA GMTs (lower limit of the 2-sided 95% CI of the GMT ratio [Group 1/Group 2] &gt;0.5, 2-fold noninferiority criterion) were met for all 20 pneumococcal serotypes in </w:t>
      </w:r>
      <w:r>
        <w:rPr>
          <w:lang w:val="en-AU"/>
        </w:rPr>
        <w:t>PREVENAR 20</w:t>
      </w:r>
      <w:r w:rsidRPr="00F915FB">
        <w:rPr>
          <w:lang w:val="en-AU"/>
        </w:rPr>
        <w:t xml:space="preserve">. </w:t>
      </w:r>
      <w:r w:rsidR="000461CC" w:rsidRPr="00D2342E">
        <w:t>OPA GMTs were slightly lower for some serotypes when Prevenar 20 was administered concomitantly with QIV compared to Prevenar</w:t>
      </w:r>
      <w:r w:rsidR="000461CC">
        <w:t> </w:t>
      </w:r>
      <w:r w:rsidR="000461CC" w:rsidRPr="00D2342E">
        <w:t>20 administered alone.</w:t>
      </w:r>
      <w:r w:rsidR="000461CC">
        <w:t xml:space="preserve">  </w:t>
      </w:r>
      <w:r w:rsidRPr="00F915FB">
        <w:rPr>
          <w:lang w:val="en-AU"/>
        </w:rPr>
        <w:t xml:space="preserve">The </w:t>
      </w:r>
      <w:r w:rsidRPr="00F915FB">
        <w:rPr>
          <w:color w:val="000000"/>
          <w:lang w:val="en-AU"/>
        </w:rPr>
        <w:t>noninferiority</w:t>
      </w:r>
      <w:r w:rsidRPr="00F915FB">
        <w:rPr>
          <w:lang w:val="en-AU"/>
        </w:rPr>
        <w:t xml:space="preserve"> criteria for the comparisons of HAI GMTs (lower limit of the 2-sided</w:t>
      </w:r>
      <w:r>
        <w:rPr>
          <w:lang w:val="en-AU"/>
        </w:rPr>
        <w:t xml:space="preserve"> </w:t>
      </w:r>
      <w:r w:rsidRPr="00F915FB">
        <w:rPr>
          <w:lang w:val="en-AU"/>
        </w:rPr>
        <w:t>95% CI for the GMT ratio [Group 1/Group 2] &gt;0.67, 1.5-fold noninferiority</w:t>
      </w:r>
      <w:r>
        <w:rPr>
          <w:rFonts w:ascii="TimesNewRoman" w:hAnsi="TimesNewRoman" w:cs="TimesNewRoman"/>
          <w:lang w:val="en-AU"/>
        </w:rPr>
        <w:t xml:space="preserve"> </w:t>
      </w:r>
      <w:r w:rsidRPr="00F915FB">
        <w:rPr>
          <w:lang w:val="en-AU"/>
        </w:rPr>
        <w:t>criterion) were also met for all</w:t>
      </w:r>
      <w:r>
        <w:rPr>
          <w:lang w:val="en-AU"/>
        </w:rPr>
        <w:t xml:space="preserve"> </w:t>
      </w:r>
      <w:r w:rsidRPr="00F915FB">
        <w:rPr>
          <w:lang w:val="en-AU"/>
        </w:rPr>
        <w:t>4 influenza vaccine strains.</w:t>
      </w:r>
      <w:r w:rsidR="00D267C7">
        <w:rPr>
          <w:lang w:val="en-AU"/>
        </w:rPr>
        <w:t xml:space="preserve"> </w:t>
      </w:r>
    </w:p>
    <w:p w14:paraId="6FE1E5C0" w14:textId="7F3C819A" w:rsidR="00F915FB" w:rsidRDefault="00F915FB" w:rsidP="00B675C9">
      <w:pPr>
        <w:rPr>
          <w:lang w:val="en-AU"/>
        </w:rPr>
      </w:pPr>
    </w:p>
    <w:p w14:paraId="0BB25A1A" w14:textId="0515229A" w:rsidR="003C44A0" w:rsidRPr="003C44A0" w:rsidRDefault="003C44A0" w:rsidP="003C44A0">
      <w:pPr>
        <w:pStyle w:val="Heading4"/>
        <w:rPr>
          <w:lang w:val="en-AU" w:eastAsia="en-GB"/>
        </w:rPr>
      </w:pPr>
      <w:r w:rsidRPr="003C44A0">
        <w:rPr>
          <w:lang w:val="en-AU" w:eastAsia="en-GB"/>
        </w:rPr>
        <w:t xml:space="preserve">Clinical trial in adults to assess </w:t>
      </w:r>
      <w:r>
        <w:rPr>
          <w:lang w:val="en-AU" w:eastAsia="en-GB"/>
        </w:rPr>
        <w:t>PREVENAR 20</w:t>
      </w:r>
      <w:r w:rsidRPr="006E2AF0">
        <w:rPr>
          <w:lang w:val="en-AU" w:eastAsia="en-GB"/>
        </w:rPr>
        <w:t xml:space="preserve"> </w:t>
      </w:r>
      <w:r w:rsidRPr="003C44A0">
        <w:rPr>
          <w:lang w:val="en-AU" w:eastAsia="en-GB"/>
        </w:rPr>
        <w:t>given with a third (booster) dose of COVID-19 mRNA vaccine (</w:t>
      </w:r>
      <w:r w:rsidR="00E7433E">
        <w:rPr>
          <w:lang w:val="en-AU"/>
        </w:rPr>
        <w:t>Comirnaty [tozinameran])</w:t>
      </w:r>
    </w:p>
    <w:p w14:paraId="1FB639EE" w14:textId="3964198F" w:rsidR="003C44A0" w:rsidRPr="003C44A0" w:rsidRDefault="003C44A0" w:rsidP="003C44A0">
      <w:pPr>
        <w:rPr>
          <w:lang w:val="en-AU"/>
        </w:rPr>
      </w:pPr>
      <w:r w:rsidRPr="003C44A0">
        <w:rPr>
          <w:lang w:val="en-AU"/>
        </w:rPr>
        <w:t>In a double-blind, randomi</w:t>
      </w:r>
      <w:r w:rsidR="00E24C65">
        <w:rPr>
          <w:lang w:val="en-AU"/>
        </w:rPr>
        <w:t>s</w:t>
      </w:r>
      <w:r w:rsidRPr="003C44A0">
        <w:rPr>
          <w:lang w:val="en-AU"/>
        </w:rPr>
        <w:t>ed descriptive study B7471026 (Study 1026), adults 65 years of age and older who</w:t>
      </w:r>
      <w:r>
        <w:rPr>
          <w:lang w:val="en-AU"/>
        </w:rPr>
        <w:t xml:space="preserve"> </w:t>
      </w:r>
      <w:r w:rsidRPr="003C44A0">
        <w:rPr>
          <w:lang w:val="en-AU"/>
        </w:rPr>
        <w:t>had received 2 doses of COVID-19 mRNA vaccine (</w:t>
      </w:r>
      <w:r w:rsidR="00E7433E">
        <w:rPr>
          <w:lang w:val="en-AU"/>
        </w:rPr>
        <w:t xml:space="preserve">Comirnaty </w:t>
      </w:r>
      <w:r w:rsidR="00E7433E">
        <w:rPr>
          <w:lang w:val="en-AU"/>
        </w:rPr>
        <w:lastRenderedPageBreak/>
        <w:t>[tozinameran]</w:t>
      </w:r>
      <w:r w:rsidRPr="003C44A0">
        <w:rPr>
          <w:lang w:val="en-AU"/>
        </w:rPr>
        <w:t>) at least 6 months earlier, were randomi</w:t>
      </w:r>
      <w:r w:rsidR="00E24C65">
        <w:rPr>
          <w:lang w:val="en-AU"/>
        </w:rPr>
        <w:t>s</w:t>
      </w:r>
      <w:r w:rsidRPr="003C44A0">
        <w:rPr>
          <w:lang w:val="en-AU"/>
        </w:rPr>
        <w:t xml:space="preserve">ed in a 1:1:1 ratio to receive </w:t>
      </w:r>
      <w:r>
        <w:rPr>
          <w:lang w:val="en-AU" w:eastAsia="en-GB"/>
        </w:rPr>
        <w:t>PREVENAR 20</w:t>
      </w:r>
      <w:r w:rsidRPr="006E2AF0">
        <w:rPr>
          <w:lang w:val="en-AU" w:eastAsia="en-GB"/>
        </w:rPr>
        <w:t xml:space="preserve"> </w:t>
      </w:r>
      <w:r w:rsidRPr="003C44A0">
        <w:rPr>
          <w:lang w:val="en-AU"/>
        </w:rPr>
        <w:t>concomitantly administered with a third (booster) dose of COVID-19 mRNA vaccine (</w:t>
      </w:r>
      <w:r w:rsidR="00E7433E">
        <w:rPr>
          <w:lang w:val="en-AU"/>
        </w:rPr>
        <w:t>Comirnaty [tozinameran]</w:t>
      </w:r>
      <w:r w:rsidRPr="003C44A0">
        <w:rPr>
          <w:lang w:val="en-AU"/>
        </w:rPr>
        <w:t xml:space="preserve">) (N = 190), </w:t>
      </w:r>
      <w:r>
        <w:rPr>
          <w:lang w:val="en-AU" w:eastAsia="en-GB"/>
        </w:rPr>
        <w:t>PREVENAR 20</w:t>
      </w:r>
      <w:r w:rsidRPr="006E2AF0">
        <w:rPr>
          <w:lang w:val="en-AU" w:eastAsia="en-GB"/>
        </w:rPr>
        <w:t xml:space="preserve"> </w:t>
      </w:r>
      <w:r w:rsidRPr="003C44A0">
        <w:rPr>
          <w:lang w:val="en-AU"/>
        </w:rPr>
        <w:t>administered alone (N = 191), or</w:t>
      </w:r>
      <w:r>
        <w:rPr>
          <w:lang w:val="en-AU"/>
        </w:rPr>
        <w:t xml:space="preserve"> </w:t>
      </w:r>
      <w:r w:rsidRPr="003C44A0">
        <w:rPr>
          <w:lang w:val="en-AU"/>
        </w:rPr>
        <w:t>a third (booster) dose of COVID-19 mRNA vaccine (</w:t>
      </w:r>
      <w:r w:rsidR="00E7433E">
        <w:rPr>
          <w:lang w:val="en-AU"/>
        </w:rPr>
        <w:t>Comirnaty [tozinameran]</w:t>
      </w:r>
      <w:r w:rsidRPr="003C44A0">
        <w:rPr>
          <w:lang w:val="en-AU"/>
        </w:rPr>
        <w:t>) administered alone (N = 189).</w:t>
      </w:r>
    </w:p>
    <w:p w14:paraId="034FD8B7" w14:textId="50355A3D" w:rsidR="003C44A0" w:rsidRPr="005422B9" w:rsidRDefault="003C44A0" w:rsidP="00B675C9">
      <w:pPr>
        <w:rPr>
          <w:lang w:val="en-AU"/>
        </w:rPr>
      </w:pPr>
      <w:r w:rsidRPr="003C44A0">
        <w:rPr>
          <w:lang w:val="en-AU"/>
        </w:rPr>
        <w:t xml:space="preserve">Immune responses to both vaccines were observed after co-administration of </w:t>
      </w:r>
      <w:r>
        <w:rPr>
          <w:lang w:val="en-AU" w:eastAsia="en-GB"/>
        </w:rPr>
        <w:t>PREVENAR 20</w:t>
      </w:r>
      <w:r w:rsidRPr="006E2AF0">
        <w:rPr>
          <w:lang w:val="en-AU" w:eastAsia="en-GB"/>
        </w:rPr>
        <w:t xml:space="preserve"> </w:t>
      </w:r>
      <w:r w:rsidRPr="003C44A0">
        <w:rPr>
          <w:lang w:val="en-AU"/>
        </w:rPr>
        <w:t xml:space="preserve">and COVID-19 mRNA vaccine </w:t>
      </w:r>
      <w:r w:rsidR="00E7433E">
        <w:rPr>
          <w:lang w:val="en-AU"/>
        </w:rPr>
        <w:t>(Comirnaty [tozinameran]</w:t>
      </w:r>
      <w:r w:rsidRPr="003C44A0">
        <w:rPr>
          <w:lang w:val="en-AU"/>
        </w:rPr>
        <w:t xml:space="preserve">). OPA GMTs for the 20 pneumococcal serotypes were </w:t>
      </w:r>
      <w:proofErr w:type="gramStart"/>
      <w:r w:rsidRPr="003C44A0">
        <w:rPr>
          <w:lang w:val="en-AU"/>
        </w:rPr>
        <w:t>similar to</w:t>
      </w:r>
      <w:proofErr w:type="gramEnd"/>
      <w:r w:rsidRPr="003C44A0">
        <w:rPr>
          <w:lang w:val="en-AU"/>
        </w:rPr>
        <w:t xml:space="preserve"> </w:t>
      </w:r>
      <w:r>
        <w:rPr>
          <w:lang w:val="en-AU" w:eastAsia="en-GB"/>
        </w:rPr>
        <w:t>PREVENAR 20</w:t>
      </w:r>
      <w:r w:rsidRPr="006E2AF0">
        <w:rPr>
          <w:lang w:val="en-AU" w:eastAsia="en-GB"/>
        </w:rPr>
        <w:t xml:space="preserve"> </w:t>
      </w:r>
      <w:r w:rsidRPr="003C44A0">
        <w:rPr>
          <w:lang w:val="en-AU"/>
        </w:rPr>
        <w:t xml:space="preserve">administered alone and IgG GMCs for the full-length S-binding protein were similar to COVID-19 mRNA vaccine </w:t>
      </w:r>
      <w:r w:rsidR="00E7433E">
        <w:rPr>
          <w:lang w:val="en-AU"/>
        </w:rPr>
        <w:t>(Comirnaty [tozinameran]</w:t>
      </w:r>
      <w:r w:rsidRPr="003C44A0">
        <w:rPr>
          <w:lang w:val="en-AU"/>
        </w:rPr>
        <w:t>) administered alone. A post-hoc analysis found the immune</w:t>
      </w:r>
      <w:r>
        <w:rPr>
          <w:lang w:val="en-AU"/>
        </w:rPr>
        <w:t xml:space="preserve"> </w:t>
      </w:r>
      <w:r w:rsidRPr="003C44A0">
        <w:rPr>
          <w:lang w:val="en-AU"/>
        </w:rPr>
        <w:t xml:space="preserve">responses to all 20 serotypes elicited by </w:t>
      </w:r>
      <w:r>
        <w:rPr>
          <w:lang w:val="en-AU" w:eastAsia="en-GB"/>
        </w:rPr>
        <w:t>PREVENAR 20</w:t>
      </w:r>
      <w:r w:rsidRPr="006E2AF0">
        <w:rPr>
          <w:lang w:val="en-AU" w:eastAsia="en-GB"/>
        </w:rPr>
        <w:t xml:space="preserve"> </w:t>
      </w:r>
      <w:r w:rsidRPr="003C44A0">
        <w:rPr>
          <w:lang w:val="en-AU"/>
        </w:rPr>
        <w:t xml:space="preserve">when co-administered with COVID-19 mRNA vaccine </w:t>
      </w:r>
      <w:r w:rsidR="00E7433E">
        <w:rPr>
          <w:lang w:val="en-AU"/>
        </w:rPr>
        <w:t>(Comirnaty [tozinameran]</w:t>
      </w:r>
      <w:r w:rsidRPr="003C44A0">
        <w:rPr>
          <w:lang w:val="en-AU"/>
        </w:rPr>
        <w:t xml:space="preserve">) would have met conventional 2-fold noninferiority criteria compared to </w:t>
      </w:r>
      <w:r>
        <w:rPr>
          <w:lang w:val="en-AU" w:eastAsia="en-GB"/>
        </w:rPr>
        <w:t>PREVENAR 20</w:t>
      </w:r>
      <w:r w:rsidRPr="006E2AF0">
        <w:rPr>
          <w:lang w:val="en-AU" w:eastAsia="en-GB"/>
        </w:rPr>
        <w:t xml:space="preserve"> </w:t>
      </w:r>
      <w:r w:rsidRPr="003C44A0">
        <w:rPr>
          <w:lang w:val="en-AU"/>
        </w:rPr>
        <w:t>alone, and the full-length S-binding IgG GMC elicited by COVID-19 mRNA vaccine (</w:t>
      </w:r>
      <w:r w:rsidR="00E7433E">
        <w:rPr>
          <w:lang w:val="en-AU"/>
        </w:rPr>
        <w:t>Comirnaty [tozinameran]</w:t>
      </w:r>
      <w:r w:rsidRPr="003C44A0">
        <w:rPr>
          <w:lang w:val="en-AU"/>
        </w:rPr>
        <w:t>)</w:t>
      </w:r>
      <w:r>
        <w:rPr>
          <w:lang w:val="en-AU"/>
        </w:rPr>
        <w:t xml:space="preserve"> </w:t>
      </w:r>
      <w:r w:rsidRPr="003C44A0">
        <w:rPr>
          <w:lang w:val="en-AU"/>
        </w:rPr>
        <w:t>would have met conventional 1.5-fold noninferiority compared to COVID-19 mRNA vaccine</w:t>
      </w:r>
      <w:r>
        <w:rPr>
          <w:i/>
          <w:lang w:val="en-AU"/>
        </w:rPr>
        <w:t xml:space="preserve"> </w:t>
      </w:r>
      <w:r w:rsidRPr="003C44A0">
        <w:rPr>
          <w:lang w:val="en-AU"/>
        </w:rPr>
        <w:t>(</w:t>
      </w:r>
      <w:r w:rsidR="00E7433E">
        <w:rPr>
          <w:lang w:val="en-AU"/>
        </w:rPr>
        <w:t>Comirnaty [tozinameran]</w:t>
      </w:r>
      <w:r w:rsidRPr="003C44A0">
        <w:rPr>
          <w:lang w:val="en-AU"/>
        </w:rPr>
        <w:t>) alone.</w:t>
      </w:r>
      <w:r w:rsidR="00736435">
        <w:rPr>
          <w:lang w:val="en-AU"/>
        </w:rPr>
        <w:t xml:space="preserve"> </w:t>
      </w:r>
    </w:p>
    <w:p w14:paraId="35AA4350" w14:textId="495EE2DB" w:rsidR="00B01F15" w:rsidRPr="005422B9" w:rsidRDefault="00B01F15" w:rsidP="00D734CB">
      <w:pPr>
        <w:pStyle w:val="CLDHeading3"/>
        <w:rPr>
          <w:lang w:val="en-AU"/>
        </w:rPr>
      </w:pPr>
      <w:bookmarkStart w:id="25" w:name="_Hlk114482775"/>
      <w:r w:rsidRPr="005422B9">
        <w:rPr>
          <w:rFonts w:eastAsia="Calibri"/>
          <w:lang w:val="en-AU"/>
        </w:rPr>
        <w:t>Prevenar 13</w:t>
      </w:r>
      <w:r w:rsidRPr="005422B9" w:rsidDel="00A67193">
        <w:rPr>
          <w:lang w:val="en-AU"/>
        </w:rPr>
        <w:t xml:space="preserve"> </w:t>
      </w:r>
      <w:bookmarkEnd w:id="24"/>
      <w:r w:rsidRPr="005422B9">
        <w:rPr>
          <w:bCs/>
          <w:lang w:val="en-AU"/>
        </w:rPr>
        <w:t>immune</w:t>
      </w:r>
      <w:r w:rsidRPr="005422B9">
        <w:rPr>
          <w:lang w:val="en-AU"/>
        </w:rPr>
        <w:t xml:space="preserve"> responses in </w:t>
      </w:r>
      <w:r w:rsidRPr="005422B9">
        <w:rPr>
          <w:bCs/>
          <w:lang w:val="en-AU"/>
        </w:rPr>
        <w:t>special p</w:t>
      </w:r>
      <w:r w:rsidRPr="005422B9">
        <w:rPr>
          <w:lang w:val="en-AU"/>
        </w:rPr>
        <w:t>opulations</w:t>
      </w:r>
      <w:bookmarkEnd w:id="25"/>
    </w:p>
    <w:p w14:paraId="74897AD2" w14:textId="087CA57E" w:rsidR="00B01F15" w:rsidRPr="005422B9" w:rsidRDefault="00B01F15" w:rsidP="00B675C9">
      <w:pPr>
        <w:rPr>
          <w:lang w:val="en-AU"/>
        </w:rPr>
      </w:pPr>
      <w:r w:rsidRPr="005422B9">
        <w:rPr>
          <w:lang w:val="en-AU"/>
        </w:rPr>
        <w:t>Individuals with the conditions described below have an increased risk of pneumococcal disease.</w:t>
      </w:r>
    </w:p>
    <w:p w14:paraId="19E06C86" w14:textId="3FEABB9B" w:rsidR="00B01F15" w:rsidRPr="005422B9" w:rsidRDefault="00B01F15" w:rsidP="00B675C9">
      <w:pPr>
        <w:rPr>
          <w:lang w:val="en-AU"/>
        </w:rPr>
      </w:pPr>
      <w:r w:rsidRPr="005422B9">
        <w:rPr>
          <w:lang w:val="en-AU"/>
        </w:rPr>
        <w:t xml:space="preserve">Studies in HIV and </w:t>
      </w:r>
      <w:r w:rsidR="00A53792">
        <w:rPr>
          <w:lang w:val="en-AU" w:eastAsia="en-GB"/>
        </w:rPr>
        <w:t>h</w:t>
      </w:r>
      <w:r w:rsidR="00F43AFF">
        <w:rPr>
          <w:lang w:val="en-AU" w:eastAsia="en-GB"/>
        </w:rPr>
        <w:t>a</w:t>
      </w:r>
      <w:r w:rsidR="00A53792" w:rsidRPr="005422B9">
        <w:rPr>
          <w:lang w:val="en-AU" w:eastAsia="en-GB"/>
        </w:rPr>
        <w:t>ematopoietic stem cell transplant (HSCT)</w:t>
      </w:r>
      <w:r w:rsidR="00A53792">
        <w:rPr>
          <w:lang w:val="en-AU" w:eastAsia="en-GB"/>
        </w:rPr>
        <w:t xml:space="preserve"> </w:t>
      </w:r>
      <w:r w:rsidRPr="005422B9">
        <w:rPr>
          <w:lang w:val="en-AU"/>
        </w:rPr>
        <w:t>participants have not been conducted with PREVENAR 20; however, safety and immunogenicity of Prevenar 13</w:t>
      </w:r>
      <w:r w:rsidRPr="005422B9" w:rsidDel="00A67193">
        <w:rPr>
          <w:lang w:val="en-AU"/>
        </w:rPr>
        <w:t xml:space="preserve"> </w:t>
      </w:r>
      <w:r w:rsidRPr="005422B9">
        <w:rPr>
          <w:lang w:val="en-AU"/>
        </w:rPr>
        <w:t>are relevant to PREVENAR 20, since the vaccines are manufactured similarly and contain 13 of the same polysaccharide conjugates.</w:t>
      </w:r>
    </w:p>
    <w:p w14:paraId="6BEC3E0D" w14:textId="77777777" w:rsidR="00B01F15" w:rsidRPr="005422B9" w:rsidRDefault="00B01F15" w:rsidP="00D734CB">
      <w:pPr>
        <w:pStyle w:val="CLDHeading3"/>
        <w:rPr>
          <w:lang w:val="en-AU"/>
        </w:rPr>
      </w:pPr>
      <w:r w:rsidRPr="005422B9">
        <w:rPr>
          <w:lang w:val="en-AU"/>
        </w:rPr>
        <w:t>HIV infection</w:t>
      </w:r>
    </w:p>
    <w:p w14:paraId="0BC4FC33" w14:textId="77777777" w:rsidR="00B01F15" w:rsidRPr="005422B9" w:rsidRDefault="00B01F15" w:rsidP="00B675C9">
      <w:pPr>
        <w:pStyle w:val="Heading4"/>
        <w:rPr>
          <w:lang w:val="en-AU" w:eastAsia="en-GB"/>
        </w:rPr>
      </w:pPr>
      <w:r w:rsidRPr="005422B9">
        <w:rPr>
          <w:lang w:val="en-AU" w:eastAsia="en-GB"/>
        </w:rPr>
        <w:t>Adults not previously vaccinated with a pneumococcal vaccine</w:t>
      </w:r>
    </w:p>
    <w:p w14:paraId="1F0BF936" w14:textId="249C27FF" w:rsidR="00B01F15" w:rsidRPr="005422B9" w:rsidRDefault="00B01F15" w:rsidP="00B01F15">
      <w:pPr>
        <w:keepNext/>
        <w:rPr>
          <w:szCs w:val="22"/>
          <w:lang w:val="en-AU"/>
        </w:rPr>
      </w:pPr>
      <w:r w:rsidRPr="005422B9">
        <w:rPr>
          <w:szCs w:val="22"/>
          <w:lang w:val="en-AU"/>
        </w:rPr>
        <w:t xml:space="preserve">In Study 6115A1-3002 (B1851021), HIV-infected adults 18 years of age and older (CD4 ≥ 200 cells/µL, viral load &lt; 50,000 copies/mL and free of active acquired immunodeficiency syndrome [AIDS]-related illness) not previously vaccinated with a pneumococcal vaccine received 3 doses of Prevenar 13. As per general recommendations, a single dose of </w:t>
      </w:r>
      <w:r w:rsidR="001A517E" w:rsidRPr="005422B9">
        <w:rPr>
          <w:szCs w:val="22"/>
          <w:lang w:val="en-AU"/>
        </w:rPr>
        <w:t>23vPPV</w:t>
      </w:r>
      <w:r w:rsidRPr="005422B9">
        <w:rPr>
          <w:szCs w:val="22"/>
          <w:lang w:val="en-AU"/>
        </w:rPr>
        <w:t xml:space="preserve"> was subsequently administered. Vaccines were administered at 1</w:t>
      </w:r>
      <w:r w:rsidRPr="005422B9">
        <w:rPr>
          <w:szCs w:val="22"/>
          <w:lang w:val="en-AU"/>
        </w:rPr>
        <w:noBreakHyphen/>
        <w:t>month intervals. Immune responses were assessed in 131 to 137 evaluable participants approximately 1 month after each dose of vaccine. After the first dose, Prevenar 13</w:t>
      </w:r>
      <w:r w:rsidRPr="005422B9" w:rsidDel="00A67193">
        <w:rPr>
          <w:szCs w:val="22"/>
          <w:lang w:val="en-AU"/>
        </w:rPr>
        <w:t xml:space="preserve"> </w:t>
      </w:r>
      <w:r w:rsidRPr="005422B9">
        <w:rPr>
          <w:szCs w:val="22"/>
          <w:lang w:val="en-AU"/>
        </w:rPr>
        <w:t xml:space="preserve">elicited antibody levels, measured by both immunoglobulin G (IgG) geometric mean concentrations (GMCs) and OPA GMTs that were statistically significantly higher when compared to levels prior to vaccination. After the second and third dose of Prevenar 13, immune responses were similar to or higher than those after the first dose. </w:t>
      </w:r>
    </w:p>
    <w:p w14:paraId="07155DB8" w14:textId="15B71ACF" w:rsidR="00B01F15" w:rsidRPr="005422B9" w:rsidRDefault="00B01F15" w:rsidP="00B675C9">
      <w:pPr>
        <w:pStyle w:val="Heading4"/>
        <w:rPr>
          <w:lang w:val="en-AU" w:eastAsia="en-GB"/>
        </w:rPr>
      </w:pPr>
      <w:r w:rsidRPr="005422B9">
        <w:rPr>
          <w:lang w:val="en-AU" w:eastAsia="en-GB"/>
        </w:rPr>
        <w:t xml:space="preserve">Adults previously vaccinated with </w:t>
      </w:r>
      <w:r w:rsidR="001A517E" w:rsidRPr="005422B9">
        <w:rPr>
          <w:lang w:val="en-AU" w:eastAsia="en-GB"/>
        </w:rPr>
        <w:t>23vPPV</w:t>
      </w:r>
      <w:r w:rsidRPr="005422B9">
        <w:rPr>
          <w:lang w:val="en-AU" w:eastAsia="en-GB"/>
        </w:rPr>
        <w:t xml:space="preserve"> </w:t>
      </w:r>
    </w:p>
    <w:p w14:paraId="59B92100" w14:textId="4C5D5227" w:rsidR="00B01F15" w:rsidRPr="005422B9" w:rsidRDefault="00B01F15" w:rsidP="002F4CAD">
      <w:pPr>
        <w:keepNext/>
        <w:rPr>
          <w:szCs w:val="22"/>
          <w:lang w:val="en-AU"/>
        </w:rPr>
      </w:pPr>
      <w:r w:rsidRPr="005422B9">
        <w:rPr>
          <w:szCs w:val="22"/>
          <w:lang w:val="en-AU"/>
        </w:rPr>
        <w:t xml:space="preserve">In Study 6115A1-3017 (B1851028), immune responses were assessed in 329 HIV-infected adults 18 years of age and older (CD4+ T-cell count ≥ 200 cells/µL and viral load &lt; 50,000 copies/mL) previously vaccinated with </w:t>
      </w:r>
      <w:r w:rsidR="001A517E" w:rsidRPr="005422B9">
        <w:rPr>
          <w:szCs w:val="22"/>
          <w:lang w:val="en-AU"/>
        </w:rPr>
        <w:t>23vPPV</w:t>
      </w:r>
      <w:r w:rsidRPr="005422B9">
        <w:rPr>
          <w:szCs w:val="22"/>
          <w:lang w:val="en-AU"/>
        </w:rPr>
        <w:t xml:space="preserve"> administered at least 6 months prior </w:t>
      </w:r>
      <w:r w:rsidRPr="005422B9">
        <w:rPr>
          <w:szCs w:val="22"/>
          <w:lang w:val="en-AU"/>
        </w:rPr>
        <w:lastRenderedPageBreak/>
        <w:t xml:space="preserve">to </w:t>
      </w:r>
      <w:r w:rsidR="001C00C4">
        <w:rPr>
          <w:szCs w:val="22"/>
          <w:lang w:val="en-AU"/>
        </w:rPr>
        <w:t>enrolment</w:t>
      </w:r>
      <w:r w:rsidRPr="005422B9">
        <w:rPr>
          <w:szCs w:val="22"/>
          <w:lang w:val="en-AU"/>
        </w:rPr>
        <w:t xml:space="preserve">. Participants received 3 doses of Prevenar 13: at </w:t>
      </w:r>
      <w:r w:rsidR="001C00C4">
        <w:rPr>
          <w:szCs w:val="22"/>
          <w:lang w:val="en-AU"/>
        </w:rPr>
        <w:t>enrolment</w:t>
      </w:r>
      <w:r w:rsidRPr="005422B9">
        <w:rPr>
          <w:szCs w:val="22"/>
          <w:lang w:val="en-AU"/>
        </w:rPr>
        <w:t>, 6 months, and 12 months after the first dose of Prevenar 13. After the first vaccination, Prevenar 13</w:t>
      </w:r>
      <w:r w:rsidRPr="005422B9" w:rsidDel="00B73D24">
        <w:rPr>
          <w:szCs w:val="22"/>
          <w:lang w:val="en-AU"/>
        </w:rPr>
        <w:t xml:space="preserve"> </w:t>
      </w:r>
      <w:r w:rsidRPr="005422B9">
        <w:rPr>
          <w:szCs w:val="22"/>
          <w:lang w:val="en-AU"/>
        </w:rPr>
        <w:t xml:space="preserve">elicited antibody levels measured by both IgG GMCs and OPA GMTs that were statistically significantly higher when compared to levels prior to vaccination. After the second and third dose of Prevenar 13, immune responses were comparable to or higher than those after the first dose. Participants who received 2 or more previous doses of </w:t>
      </w:r>
      <w:r w:rsidR="001A517E" w:rsidRPr="005422B9">
        <w:rPr>
          <w:szCs w:val="22"/>
          <w:lang w:val="en-AU"/>
        </w:rPr>
        <w:t>23vPPV</w:t>
      </w:r>
      <w:r w:rsidRPr="005422B9">
        <w:rPr>
          <w:szCs w:val="22"/>
          <w:lang w:val="en-AU"/>
        </w:rPr>
        <w:t xml:space="preserve"> showed a similar immune response compared with participants who received a single previous dose.</w:t>
      </w:r>
      <w:r w:rsidR="002F4CAD" w:rsidRPr="005422B9">
        <w:rPr>
          <w:lang w:val="en-AU"/>
        </w:rPr>
        <w:t xml:space="preserve"> </w:t>
      </w:r>
      <w:r w:rsidR="002F4CAD" w:rsidRPr="005422B9">
        <w:rPr>
          <w:szCs w:val="22"/>
          <w:lang w:val="en-AU"/>
        </w:rPr>
        <w:t>The immune responses to Prevenar 13 observed in HIV infected adults were lower than the immune responses reported for healthy adults.</w:t>
      </w:r>
    </w:p>
    <w:p w14:paraId="1988BC75" w14:textId="77C06560" w:rsidR="00B01F15" w:rsidRPr="005422B9" w:rsidRDefault="00B01F15" w:rsidP="00B675C9">
      <w:pPr>
        <w:pStyle w:val="Heading3"/>
        <w:rPr>
          <w:lang w:val="en-AU" w:eastAsia="en-GB"/>
        </w:rPr>
      </w:pPr>
      <w:r w:rsidRPr="005422B9">
        <w:rPr>
          <w:lang w:val="en-AU" w:eastAsia="en-GB"/>
        </w:rPr>
        <w:t>H</w:t>
      </w:r>
      <w:r w:rsidR="00304104">
        <w:rPr>
          <w:lang w:val="en-AU" w:eastAsia="en-GB"/>
        </w:rPr>
        <w:t>a</w:t>
      </w:r>
      <w:r w:rsidRPr="005422B9">
        <w:rPr>
          <w:lang w:val="en-AU" w:eastAsia="en-GB"/>
        </w:rPr>
        <w:t>ematopoietic stem cell transplant (HSCT)</w:t>
      </w:r>
    </w:p>
    <w:p w14:paraId="351A59BA" w14:textId="54068AAB" w:rsidR="00B01F15" w:rsidRPr="005422B9" w:rsidRDefault="00B01F15" w:rsidP="00B01F15">
      <w:pPr>
        <w:keepNext/>
        <w:rPr>
          <w:szCs w:val="22"/>
          <w:lang w:val="en-AU"/>
        </w:rPr>
      </w:pPr>
      <w:r w:rsidRPr="005422B9">
        <w:rPr>
          <w:szCs w:val="22"/>
          <w:lang w:val="en-AU"/>
        </w:rPr>
        <w:t>In Study 6115A1-3003 (B1851022), adults 18 years of age and older with an allogeneic HSCT received 3 doses of Prevenar 13</w:t>
      </w:r>
      <w:r w:rsidRPr="005422B9" w:rsidDel="00B73D24">
        <w:rPr>
          <w:szCs w:val="22"/>
          <w:lang w:val="en-AU"/>
        </w:rPr>
        <w:t xml:space="preserve"> </w:t>
      </w:r>
      <w:r w:rsidRPr="005422B9">
        <w:rPr>
          <w:szCs w:val="22"/>
          <w:lang w:val="en-AU"/>
        </w:rPr>
        <w:t>with an interval of at least 1 month between doses. The first dose was administered at 3 to 6 months after HSCT. A fourth (booster) dose of Prevenar 13</w:t>
      </w:r>
      <w:r w:rsidRPr="005422B9" w:rsidDel="00B73D24">
        <w:rPr>
          <w:szCs w:val="22"/>
          <w:lang w:val="en-AU"/>
        </w:rPr>
        <w:t xml:space="preserve"> </w:t>
      </w:r>
      <w:r w:rsidRPr="005422B9">
        <w:rPr>
          <w:szCs w:val="22"/>
          <w:lang w:val="en-AU"/>
        </w:rPr>
        <w:t xml:space="preserve">was administered 6 months after the third dose. As per general recommendations, a single dose of </w:t>
      </w:r>
      <w:r w:rsidR="001A517E" w:rsidRPr="005422B9">
        <w:rPr>
          <w:szCs w:val="22"/>
          <w:lang w:val="en-AU"/>
        </w:rPr>
        <w:t>23vPPV</w:t>
      </w:r>
      <w:r w:rsidRPr="005422B9">
        <w:rPr>
          <w:szCs w:val="22"/>
          <w:lang w:val="en-AU"/>
        </w:rPr>
        <w:t xml:space="preserve"> was administered 1 month after the fourth dose of Prevenar 13. Immune responses as measured by IgG GMCs were assessed in 130 to 159 evaluable participants approximately 1 month after vaccination. Prevenar 13</w:t>
      </w:r>
      <w:r w:rsidRPr="005422B9" w:rsidDel="00B73D24">
        <w:rPr>
          <w:szCs w:val="22"/>
          <w:lang w:val="en-AU"/>
        </w:rPr>
        <w:t xml:space="preserve"> </w:t>
      </w:r>
      <w:r w:rsidRPr="005422B9">
        <w:rPr>
          <w:szCs w:val="22"/>
          <w:lang w:val="en-AU"/>
        </w:rPr>
        <w:t>elicited increased antibody levels after each dose. Immune responses after the fourth dose of Prevenar 13</w:t>
      </w:r>
      <w:r w:rsidRPr="005422B9" w:rsidDel="00B73D24">
        <w:rPr>
          <w:szCs w:val="22"/>
          <w:lang w:val="en-AU"/>
        </w:rPr>
        <w:t xml:space="preserve"> </w:t>
      </w:r>
      <w:r w:rsidRPr="005422B9">
        <w:rPr>
          <w:szCs w:val="22"/>
          <w:lang w:val="en-AU"/>
        </w:rPr>
        <w:t>were significantly increased for all serotypes compared with after the third dose.</w:t>
      </w:r>
    </w:p>
    <w:p w14:paraId="10134BB5" w14:textId="77777777" w:rsidR="00B01F15" w:rsidRPr="005422B9" w:rsidRDefault="00B01F15" w:rsidP="00B01F15">
      <w:pPr>
        <w:rPr>
          <w:szCs w:val="22"/>
          <w:lang w:val="en-AU"/>
        </w:rPr>
      </w:pPr>
      <w:r w:rsidRPr="005422B9">
        <w:rPr>
          <w:szCs w:val="22"/>
          <w:lang w:val="en-AU"/>
        </w:rPr>
        <w:t>This study demonstrated that 4 doses of Prevenar 13</w:t>
      </w:r>
      <w:r w:rsidRPr="005422B9" w:rsidDel="00B73D24">
        <w:rPr>
          <w:szCs w:val="22"/>
          <w:lang w:val="en-AU"/>
        </w:rPr>
        <w:t xml:space="preserve"> </w:t>
      </w:r>
      <w:r w:rsidRPr="005422B9">
        <w:rPr>
          <w:szCs w:val="22"/>
          <w:lang w:val="en-AU"/>
        </w:rPr>
        <w:t>elicited serum IgG concentrations similar to those induced by a single dose in healthy participants of the same age group.</w:t>
      </w:r>
    </w:p>
    <w:p w14:paraId="37806F48" w14:textId="77777777" w:rsidR="00B01F15" w:rsidRPr="005422B9" w:rsidRDefault="00B01F15" w:rsidP="00D734CB">
      <w:pPr>
        <w:pStyle w:val="CLDHeading3"/>
        <w:rPr>
          <w:lang w:val="en-AU"/>
        </w:rPr>
      </w:pPr>
      <w:r w:rsidRPr="005422B9">
        <w:rPr>
          <w:lang w:val="en-AU"/>
        </w:rPr>
        <w:t>Paediatric population</w:t>
      </w:r>
    </w:p>
    <w:p w14:paraId="5E1FBC15" w14:textId="77777777" w:rsidR="00D96C64" w:rsidRPr="005422B9" w:rsidRDefault="00D96C64" w:rsidP="00D96C64">
      <w:pPr>
        <w:pStyle w:val="CLDNormal"/>
        <w:rPr>
          <w:lang w:val="en-AU"/>
        </w:rPr>
      </w:pPr>
      <w:r w:rsidRPr="005422B9">
        <w:rPr>
          <w:lang w:val="en-AU"/>
        </w:rPr>
        <w:t xml:space="preserve">PREVENAR 20 is not approved for use in children or adolescents. </w:t>
      </w:r>
    </w:p>
    <w:p w14:paraId="52FDE109" w14:textId="35D88326" w:rsidR="00C44995" w:rsidRPr="005422B9" w:rsidRDefault="00D96C64" w:rsidP="00B01F15">
      <w:pPr>
        <w:pStyle w:val="CLDNormal"/>
        <w:rPr>
          <w:lang w:val="en-AU"/>
        </w:rPr>
      </w:pPr>
      <w:r w:rsidRPr="005422B9">
        <w:rPr>
          <w:lang w:val="en-AU"/>
        </w:rPr>
        <w:t>The safety and efficacy of PREVENAR 20 in children and adolescents aged less than 18 years of age have not yet been established. Limited data are available in this age group.</w:t>
      </w:r>
    </w:p>
    <w:p w14:paraId="452C9CE6" w14:textId="2104CF74" w:rsidR="00830B98" w:rsidRPr="005422B9" w:rsidRDefault="00003E72" w:rsidP="00E0141F">
      <w:pPr>
        <w:pStyle w:val="CLDHeading2"/>
        <w:rPr>
          <w:rFonts w:ascii="Times New Roman" w:hAnsi="Times New Roman"/>
          <w:lang w:val="en-AU"/>
        </w:rPr>
      </w:pPr>
      <w:r w:rsidRPr="005422B9">
        <w:rPr>
          <w:rFonts w:ascii="Times New Roman" w:hAnsi="Times New Roman"/>
          <w:lang w:val="en-AU"/>
        </w:rPr>
        <w:t>5.2</w:t>
      </w:r>
      <w:r w:rsidRPr="005422B9">
        <w:rPr>
          <w:rFonts w:ascii="Times New Roman" w:hAnsi="Times New Roman"/>
          <w:lang w:val="en-AU"/>
        </w:rPr>
        <w:tab/>
      </w:r>
      <w:r w:rsidR="00B5568E" w:rsidRPr="005422B9">
        <w:rPr>
          <w:rFonts w:ascii="Times New Roman" w:hAnsi="Times New Roman"/>
          <w:lang w:val="en-AU"/>
        </w:rPr>
        <w:t xml:space="preserve">Pharmacokinetic </w:t>
      </w:r>
      <w:r w:rsidR="00003485" w:rsidRPr="005422B9">
        <w:rPr>
          <w:rFonts w:ascii="Times New Roman" w:hAnsi="Times New Roman"/>
          <w:lang w:val="en-AU"/>
        </w:rPr>
        <w:t>p</w:t>
      </w:r>
      <w:r w:rsidR="00112E5B" w:rsidRPr="005422B9">
        <w:rPr>
          <w:rFonts w:ascii="Times New Roman" w:hAnsi="Times New Roman"/>
          <w:lang w:val="en-AU"/>
        </w:rPr>
        <w:t>roperties</w:t>
      </w:r>
    </w:p>
    <w:p w14:paraId="5B8BF7B3" w14:textId="77777777" w:rsidR="00CE7A1D" w:rsidRPr="005422B9" w:rsidRDefault="00CE7A1D" w:rsidP="00E0141F">
      <w:pPr>
        <w:pStyle w:val="CLDNormal"/>
        <w:rPr>
          <w:lang w:val="en-AU"/>
        </w:rPr>
      </w:pPr>
      <w:r w:rsidRPr="005422B9">
        <w:rPr>
          <w:lang w:val="en-AU"/>
        </w:rPr>
        <w:t>Not applicable.</w:t>
      </w:r>
    </w:p>
    <w:p w14:paraId="345CB02D" w14:textId="50975A99" w:rsidR="00046297" w:rsidRPr="005422B9" w:rsidRDefault="00003E72" w:rsidP="00E0141F">
      <w:pPr>
        <w:pStyle w:val="CLDHeading2"/>
        <w:rPr>
          <w:rFonts w:ascii="Times New Roman" w:hAnsi="Times New Roman"/>
          <w:lang w:val="en-AU"/>
        </w:rPr>
      </w:pPr>
      <w:r w:rsidRPr="005422B9">
        <w:rPr>
          <w:rFonts w:ascii="Times New Roman" w:hAnsi="Times New Roman"/>
          <w:lang w:val="en-AU"/>
        </w:rPr>
        <w:t>5.3</w:t>
      </w:r>
      <w:r w:rsidRPr="005422B9">
        <w:rPr>
          <w:rFonts w:ascii="Times New Roman" w:hAnsi="Times New Roman"/>
          <w:lang w:val="en-AU"/>
        </w:rPr>
        <w:tab/>
      </w:r>
      <w:r w:rsidR="00003485" w:rsidRPr="005422B9">
        <w:rPr>
          <w:rFonts w:ascii="Times New Roman" w:hAnsi="Times New Roman"/>
          <w:lang w:val="en-AU"/>
        </w:rPr>
        <w:t>Preclinical safety d</w:t>
      </w:r>
      <w:r w:rsidR="00112E5B" w:rsidRPr="005422B9">
        <w:rPr>
          <w:rFonts w:ascii="Times New Roman" w:hAnsi="Times New Roman"/>
          <w:lang w:val="en-AU"/>
        </w:rPr>
        <w:t>ata</w:t>
      </w:r>
    </w:p>
    <w:p w14:paraId="0FF1E11D" w14:textId="4F627E6E" w:rsidR="00887811" w:rsidRPr="005422B9" w:rsidRDefault="00BC0CAA" w:rsidP="00E0141F">
      <w:pPr>
        <w:pStyle w:val="CLDHeading3"/>
        <w:rPr>
          <w:bCs/>
          <w:i/>
          <w:iCs w:val="0"/>
          <w:lang w:val="en-AU"/>
        </w:rPr>
      </w:pPr>
      <w:r w:rsidRPr="005422B9">
        <w:rPr>
          <w:lang w:val="en-AU"/>
        </w:rPr>
        <w:t>Genotoxicity</w:t>
      </w:r>
    </w:p>
    <w:p w14:paraId="03B3317C" w14:textId="5BF1E2F9" w:rsidR="009571B0" w:rsidRPr="009571B0" w:rsidRDefault="009571B0" w:rsidP="009571B0">
      <w:pPr>
        <w:pStyle w:val="CLDNormal"/>
        <w:rPr>
          <w:lang w:val="en-AU"/>
        </w:rPr>
      </w:pPr>
      <w:r w:rsidRPr="009571B0">
        <w:rPr>
          <w:sz w:val="22"/>
          <w:szCs w:val="22"/>
        </w:rPr>
        <w:t xml:space="preserve"> </w:t>
      </w:r>
      <w:r w:rsidRPr="009571B0">
        <w:rPr>
          <w:lang w:val="en-AU"/>
        </w:rPr>
        <w:t>PREVENAR 20 has not been tested for genotoxic potential.</w:t>
      </w:r>
    </w:p>
    <w:p w14:paraId="0C7E2423" w14:textId="1230A8B3" w:rsidR="009571B0" w:rsidRDefault="009571B0" w:rsidP="009571B0">
      <w:pPr>
        <w:pStyle w:val="CLDHeading3"/>
        <w:rPr>
          <w:sz w:val="22"/>
          <w:szCs w:val="22"/>
        </w:rPr>
      </w:pPr>
      <w:r w:rsidRPr="009571B0">
        <w:rPr>
          <w:lang w:val="en-AU"/>
        </w:rPr>
        <w:t>Carcinogenicity</w:t>
      </w:r>
    </w:p>
    <w:p w14:paraId="598570B0" w14:textId="78C13695" w:rsidR="007227F0" w:rsidRPr="005422B9" w:rsidRDefault="009571B0" w:rsidP="009571B0">
      <w:pPr>
        <w:rPr>
          <w:szCs w:val="22"/>
          <w:lang w:val="en-AU"/>
        </w:rPr>
      </w:pPr>
      <w:r w:rsidRPr="009571B0">
        <w:rPr>
          <w:lang w:val="en-AU"/>
        </w:rPr>
        <w:t>PREVENAR 20 has not been tested for carcinogenic potential.</w:t>
      </w:r>
    </w:p>
    <w:p w14:paraId="71B0CB5E" w14:textId="597B8808" w:rsidR="00112B3F" w:rsidRPr="005422B9" w:rsidRDefault="002B1AAB" w:rsidP="00E0141F">
      <w:pPr>
        <w:pStyle w:val="CLDHeading1"/>
        <w:rPr>
          <w:kern w:val="0"/>
          <w:lang w:val="en-AU"/>
        </w:rPr>
      </w:pPr>
      <w:r w:rsidRPr="005422B9">
        <w:rPr>
          <w:kern w:val="0"/>
          <w:lang w:val="en-AU"/>
        </w:rPr>
        <w:lastRenderedPageBreak/>
        <w:t>6.</w:t>
      </w:r>
      <w:r w:rsidRPr="005422B9">
        <w:rPr>
          <w:kern w:val="0"/>
          <w:lang w:val="en-AU"/>
        </w:rPr>
        <w:tab/>
      </w:r>
      <w:r w:rsidR="0018348D" w:rsidRPr="005422B9">
        <w:rPr>
          <w:kern w:val="0"/>
          <w:lang w:val="en-AU"/>
        </w:rPr>
        <w:t>PHARMACEUTICAL PARTICULARS</w:t>
      </w:r>
    </w:p>
    <w:p w14:paraId="2676CB89" w14:textId="3C977932" w:rsidR="00830B98" w:rsidRPr="005422B9" w:rsidRDefault="002B1AAB" w:rsidP="00E0141F">
      <w:pPr>
        <w:pStyle w:val="CLDHeading2"/>
        <w:rPr>
          <w:rFonts w:ascii="Times New Roman" w:hAnsi="Times New Roman"/>
          <w:lang w:val="en-AU"/>
        </w:rPr>
      </w:pPr>
      <w:r w:rsidRPr="005422B9">
        <w:rPr>
          <w:rFonts w:ascii="Times New Roman" w:hAnsi="Times New Roman"/>
          <w:lang w:val="en-AU"/>
        </w:rPr>
        <w:t>6.1</w:t>
      </w:r>
      <w:r w:rsidRPr="005422B9">
        <w:rPr>
          <w:rFonts w:ascii="Times New Roman" w:hAnsi="Times New Roman"/>
          <w:lang w:val="en-AU"/>
        </w:rPr>
        <w:tab/>
      </w:r>
      <w:r w:rsidR="00003485" w:rsidRPr="005422B9">
        <w:rPr>
          <w:rFonts w:ascii="Times New Roman" w:hAnsi="Times New Roman"/>
          <w:lang w:val="en-AU"/>
        </w:rPr>
        <w:t>List of e</w:t>
      </w:r>
      <w:r w:rsidR="003556AB" w:rsidRPr="005422B9">
        <w:rPr>
          <w:rFonts w:ascii="Times New Roman" w:hAnsi="Times New Roman"/>
          <w:lang w:val="en-AU"/>
        </w:rPr>
        <w:t>xcipients</w:t>
      </w:r>
    </w:p>
    <w:p w14:paraId="350A5EDD" w14:textId="1290BCF0" w:rsidR="00717E11" w:rsidRPr="005422B9" w:rsidRDefault="00717E11" w:rsidP="007227F0">
      <w:pPr>
        <w:widowControl w:val="0"/>
        <w:spacing w:after="120"/>
        <w:rPr>
          <w:szCs w:val="22"/>
          <w:lang w:val="en-AU"/>
        </w:rPr>
      </w:pPr>
      <w:r w:rsidRPr="005422B9">
        <w:rPr>
          <w:szCs w:val="22"/>
          <w:lang w:val="en-AU"/>
        </w:rPr>
        <w:t>Aluminium phosphate</w:t>
      </w:r>
    </w:p>
    <w:p w14:paraId="610A1C15" w14:textId="46047BB3" w:rsidR="007227F0" w:rsidRPr="005422B9" w:rsidRDefault="007227F0" w:rsidP="007227F0">
      <w:pPr>
        <w:widowControl w:val="0"/>
        <w:spacing w:after="120"/>
        <w:rPr>
          <w:szCs w:val="22"/>
          <w:lang w:val="en-AU"/>
        </w:rPr>
      </w:pPr>
      <w:r w:rsidRPr="005422B9">
        <w:rPr>
          <w:szCs w:val="22"/>
          <w:lang w:val="en-AU"/>
        </w:rPr>
        <w:t>Sodium chloride</w:t>
      </w:r>
    </w:p>
    <w:p w14:paraId="5BE42925" w14:textId="77777777" w:rsidR="007227F0" w:rsidRPr="005422B9" w:rsidRDefault="007227F0" w:rsidP="007227F0">
      <w:pPr>
        <w:widowControl w:val="0"/>
        <w:spacing w:after="120"/>
        <w:rPr>
          <w:szCs w:val="22"/>
          <w:lang w:val="en-AU"/>
        </w:rPr>
      </w:pPr>
      <w:r w:rsidRPr="005422B9">
        <w:rPr>
          <w:szCs w:val="22"/>
          <w:lang w:val="en-AU"/>
        </w:rPr>
        <w:t>Succinic acid</w:t>
      </w:r>
    </w:p>
    <w:p w14:paraId="5B0B5046" w14:textId="77777777" w:rsidR="007227F0" w:rsidRPr="005422B9" w:rsidRDefault="007227F0" w:rsidP="007227F0">
      <w:pPr>
        <w:widowControl w:val="0"/>
        <w:spacing w:after="120"/>
        <w:rPr>
          <w:szCs w:val="22"/>
          <w:lang w:val="en-AU"/>
        </w:rPr>
      </w:pPr>
      <w:r w:rsidRPr="005422B9">
        <w:rPr>
          <w:szCs w:val="22"/>
          <w:lang w:val="en-AU"/>
        </w:rPr>
        <w:t>Polysorbate 80</w:t>
      </w:r>
    </w:p>
    <w:p w14:paraId="5C13737B" w14:textId="77777777" w:rsidR="007227F0" w:rsidRPr="005422B9" w:rsidRDefault="007227F0" w:rsidP="007227F0">
      <w:pPr>
        <w:widowControl w:val="0"/>
        <w:spacing w:after="120"/>
        <w:rPr>
          <w:szCs w:val="22"/>
          <w:lang w:val="en-AU"/>
        </w:rPr>
      </w:pPr>
      <w:r w:rsidRPr="005422B9">
        <w:rPr>
          <w:szCs w:val="22"/>
          <w:lang w:val="en-AU"/>
        </w:rPr>
        <w:t>Water for injections</w:t>
      </w:r>
    </w:p>
    <w:p w14:paraId="225D3AAB" w14:textId="52321F31" w:rsidR="00830B98" w:rsidRPr="005422B9" w:rsidRDefault="002B1AAB" w:rsidP="00E0141F">
      <w:pPr>
        <w:pStyle w:val="CLDHeading2"/>
        <w:rPr>
          <w:rFonts w:ascii="Times New Roman" w:hAnsi="Times New Roman"/>
          <w:bCs/>
          <w:lang w:val="en-AU"/>
        </w:rPr>
      </w:pPr>
      <w:r w:rsidRPr="005422B9">
        <w:rPr>
          <w:rFonts w:ascii="Times New Roman" w:hAnsi="Times New Roman"/>
          <w:lang w:val="en-AU"/>
        </w:rPr>
        <w:t>6.2</w:t>
      </w:r>
      <w:r w:rsidRPr="005422B9">
        <w:rPr>
          <w:rFonts w:ascii="Times New Roman" w:hAnsi="Times New Roman"/>
          <w:lang w:val="en-AU"/>
        </w:rPr>
        <w:tab/>
      </w:r>
      <w:r w:rsidR="003556AB" w:rsidRPr="005422B9">
        <w:rPr>
          <w:rFonts w:ascii="Times New Roman" w:hAnsi="Times New Roman"/>
          <w:lang w:val="en-AU"/>
        </w:rPr>
        <w:t>Incompatibilities</w:t>
      </w:r>
    </w:p>
    <w:p w14:paraId="6DA08284" w14:textId="1B00D878" w:rsidR="003D017D" w:rsidRPr="005422B9" w:rsidRDefault="007227F0" w:rsidP="00E0141F">
      <w:pPr>
        <w:pStyle w:val="CLDNormal"/>
        <w:rPr>
          <w:lang w:val="en-AU"/>
        </w:rPr>
      </w:pPr>
      <w:r w:rsidRPr="005422B9">
        <w:rPr>
          <w:szCs w:val="22"/>
          <w:lang w:val="en-AU"/>
        </w:rPr>
        <w:t>In the absence of compatibility studies, this vaccine must not be mixed with other medicinal products.</w:t>
      </w:r>
    </w:p>
    <w:p w14:paraId="3340110E" w14:textId="6C00F0E5" w:rsidR="003E554B" w:rsidRPr="005422B9" w:rsidRDefault="003E554B" w:rsidP="00E0141F">
      <w:pPr>
        <w:pStyle w:val="CLDHeading2"/>
        <w:rPr>
          <w:rFonts w:ascii="Times New Roman" w:hAnsi="Times New Roman"/>
          <w:lang w:val="en-AU"/>
        </w:rPr>
      </w:pPr>
      <w:r w:rsidRPr="005422B9">
        <w:rPr>
          <w:rFonts w:ascii="Times New Roman" w:hAnsi="Times New Roman"/>
          <w:lang w:val="en-AU"/>
        </w:rPr>
        <w:t>6.3</w:t>
      </w:r>
      <w:r w:rsidRPr="005422B9">
        <w:rPr>
          <w:rFonts w:ascii="Times New Roman" w:hAnsi="Times New Roman"/>
          <w:lang w:val="en-AU"/>
        </w:rPr>
        <w:tab/>
        <w:t>Shelf life</w:t>
      </w:r>
    </w:p>
    <w:p w14:paraId="447AD02A" w14:textId="15AC9A62" w:rsidR="00860B37" w:rsidRPr="005422B9" w:rsidRDefault="003E554B" w:rsidP="00E0141F">
      <w:pPr>
        <w:pStyle w:val="CLDNormal"/>
        <w:rPr>
          <w:lang w:val="en-AU"/>
        </w:rPr>
      </w:pPr>
      <w:r w:rsidRPr="005422B9">
        <w:rPr>
          <w:lang w:val="en-AU"/>
        </w:rPr>
        <w:t>In Australia, information on the shelf life can be found on the public summary of the Australian</w:t>
      </w:r>
      <w:r w:rsidR="00B11D60" w:rsidRPr="005422B9">
        <w:rPr>
          <w:lang w:val="en-AU"/>
        </w:rPr>
        <w:t xml:space="preserve"> </w:t>
      </w:r>
      <w:r w:rsidR="00902136" w:rsidRPr="005422B9">
        <w:rPr>
          <w:lang w:val="en-AU"/>
        </w:rPr>
        <w:t>Register of Therapeutic Goods (ARTG). The expiry date can be found on the packaging.</w:t>
      </w:r>
    </w:p>
    <w:p w14:paraId="2BDAADDC" w14:textId="786EE72A" w:rsidR="003556AB" w:rsidRPr="005422B9" w:rsidRDefault="002B1AAB" w:rsidP="00E0141F">
      <w:pPr>
        <w:pStyle w:val="CLDHeading2"/>
        <w:rPr>
          <w:rFonts w:ascii="Times New Roman" w:hAnsi="Times New Roman"/>
          <w:lang w:val="en-AU"/>
        </w:rPr>
      </w:pPr>
      <w:r w:rsidRPr="005422B9">
        <w:rPr>
          <w:rFonts w:ascii="Times New Roman" w:hAnsi="Times New Roman"/>
          <w:lang w:val="en-AU"/>
        </w:rPr>
        <w:t>6.4</w:t>
      </w:r>
      <w:r w:rsidRPr="005422B9">
        <w:rPr>
          <w:rFonts w:ascii="Times New Roman" w:hAnsi="Times New Roman"/>
          <w:lang w:val="en-AU"/>
        </w:rPr>
        <w:tab/>
      </w:r>
      <w:r w:rsidR="00003485" w:rsidRPr="005422B9">
        <w:rPr>
          <w:rFonts w:ascii="Times New Roman" w:hAnsi="Times New Roman"/>
          <w:lang w:val="en-AU"/>
        </w:rPr>
        <w:t>Special precautions for s</w:t>
      </w:r>
      <w:r w:rsidR="003556AB" w:rsidRPr="005422B9">
        <w:rPr>
          <w:rFonts w:ascii="Times New Roman" w:hAnsi="Times New Roman"/>
          <w:lang w:val="en-AU"/>
        </w:rPr>
        <w:t>torage</w:t>
      </w:r>
    </w:p>
    <w:p w14:paraId="6609FC41" w14:textId="1A1134A7" w:rsidR="007227F0" w:rsidRPr="005422B9" w:rsidRDefault="007227F0" w:rsidP="007227F0">
      <w:pPr>
        <w:rPr>
          <w:color w:val="000000"/>
          <w:szCs w:val="22"/>
          <w:lang w:val="en-AU"/>
        </w:rPr>
      </w:pPr>
      <w:bookmarkStart w:id="26" w:name="_Hlk46167247"/>
      <w:r w:rsidRPr="005422B9">
        <w:rPr>
          <w:color w:val="000000"/>
          <w:szCs w:val="22"/>
          <w:lang w:val="en-AU"/>
        </w:rPr>
        <w:t>Store in a refrigerator (2 °C to 8 °C).</w:t>
      </w:r>
      <w:bookmarkStart w:id="27" w:name="_Hlk32864517"/>
      <w:bookmarkEnd w:id="26"/>
      <w:r w:rsidRPr="005422B9">
        <w:rPr>
          <w:color w:val="000000"/>
          <w:szCs w:val="22"/>
          <w:lang w:val="en-AU"/>
        </w:rPr>
        <w:t xml:space="preserve"> </w:t>
      </w:r>
      <w:r w:rsidR="00265197">
        <w:rPr>
          <w:color w:val="000000"/>
          <w:szCs w:val="22"/>
          <w:lang w:val="en-AU"/>
        </w:rPr>
        <w:t>Pre-filled s</w:t>
      </w:r>
      <w:r w:rsidRPr="005422B9">
        <w:rPr>
          <w:color w:val="000000"/>
          <w:szCs w:val="22"/>
          <w:lang w:val="en-AU"/>
        </w:rPr>
        <w:t>yringes should be stored in the refrigerator horizontally to minimise the re-</w:t>
      </w:r>
      <w:r w:rsidR="00265197">
        <w:rPr>
          <w:color w:val="000000"/>
          <w:szCs w:val="22"/>
          <w:lang w:val="en-AU"/>
        </w:rPr>
        <w:t>suspension</w:t>
      </w:r>
      <w:r w:rsidR="00265197" w:rsidRPr="005422B9">
        <w:rPr>
          <w:color w:val="000000"/>
          <w:szCs w:val="22"/>
          <w:lang w:val="en-AU"/>
        </w:rPr>
        <w:t xml:space="preserve"> </w:t>
      </w:r>
      <w:r w:rsidRPr="005422B9">
        <w:rPr>
          <w:color w:val="000000"/>
          <w:szCs w:val="22"/>
          <w:lang w:val="en-AU"/>
        </w:rPr>
        <w:t>time.</w:t>
      </w:r>
      <w:r w:rsidR="00FB18E7">
        <w:rPr>
          <w:color w:val="000000"/>
          <w:szCs w:val="22"/>
          <w:lang w:val="en-AU"/>
        </w:rPr>
        <w:t xml:space="preserve"> </w:t>
      </w:r>
    </w:p>
    <w:bookmarkEnd w:id="27"/>
    <w:p w14:paraId="4F7195DC" w14:textId="77777777" w:rsidR="007227F0" w:rsidRPr="005422B9" w:rsidRDefault="007227F0" w:rsidP="007227F0">
      <w:pPr>
        <w:rPr>
          <w:color w:val="000000"/>
          <w:szCs w:val="22"/>
          <w:lang w:val="en-AU"/>
        </w:rPr>
      </w:pPr>
      <w:r w:rsidRPr="005422B9">
        <w:rPr>
          <w:color w:val="000000"/>
          <w:szCs w:val="22"/>
          <w:lang w:val="en-AU"/>
        </w:rPr>
        <w:t>Do not freeze. Discard if the vaccine has been frozen.</w:t>
      </w:r>
    </w:p>
    <w:p w14:paraId="56C78114" w14:textId="67E38C04" w:rsidR="00265197" w:rsidRDefault="00265197" w:rsidP="007227F0">
      <w:pPr>
        <w:pStyle w:val="CLDNormal"/>
      </w:pPr>
      <w:r>
        <w:t>From a microbiological point of view, once removed from the refrigerator, the vaccine should be used immediately.</w:t>
      </w:r>
    </w:p>
    <w:p w14:paraId="1F768A5B" w14:textId="211DBB11" w:rsidR="00265197" w:rsidRPr="005422B9" w:rsidRDefault="00265197" w:rsidP="007227F0">
      <w:pPr>
        <w:pStyle w:val="CLDNormal"/>
        <w:rPr>
          <w:lang w:val="en-AU"/>
        </w:rPr>
      </w:pPr>
      <w:r w:rsidRPr="001D6BE3">
        <w:rPr>
          <w:color w:val="000000"/>
          <w:szCs w:val="22"/>
        </w:rPr>
        <w:t xml:space="preserve">Stability data indicate that the vaccine is stable for 96 hours when stored at temperatures from 8 °C to 25 °C or 72 hours when stored at temperatures from 0 °C to 2 °C. At the end of these time periods </w:t>
      </w:r>
      <w:r w:rsidR="001C00C4" w:rsidRPr="001D6BE3">
        <w:rPr>
          <w:szCs w:val="22"/>
        </w:rPr>
        <w:t>PREVENAR 20</w:t>
      </w:r>
      <w:r w:rsidRPr="001D6BE3">
        <w:rPr>
          <w:color w:val="000000"/>
          <w:szCs w:val="22"/>
        </w:rPr>
        <w:t xml:space="preserve"> should be used or discarded.</w:t>
      </w:r>
      <w:r w:rsidRPr="00A64906">
        <w:rPr>
          <w:color w:val="000000"/>
          <w:szCs w:val="22"/>
        </w:rPr>
        <w:t xml:space="preserve"> These data are intended to guide healthcare professionals in case of temporary temperature excursion only</w:t>
      </w:r>
      <w:r w:rsidR="00A113C1">
        <w:rPr>
          <w:color w:val="000000"/>
          <w:szCs w:val="22"/>
        </w:rPr>
        <w:t>.</w:t>
      </w:r>
    </w:p>
    <w:p w14:paraId="2485D7A2" w14:textId="3A139528" w:rsidR="003556AB" w:rsidRPr="005422B9" w:rsidRDefault="00E34962" w:rsidP="00E0141F">
      <w:pPr>
        <w:pStyle w:val="CLDHeading2"/>
        <w:ind w:left="0" w:firstLine="0"/>
        <w:rPr>
          <w:rFonts w:ascii="Times New Roman" w:hAnsi="Times New Roman"/>
          <w:lang w:val="en-AU"/>
        </w:rPr>
      </w:pPr>
      <w:r w:rsidRPr="005422B9">
        <w:rPr>
          <w:rFonts w:ascii="Times New Roman" w:hAnsi="Times New Roman"/>
          <w:lang w:val="en-AU"/>
        </w:rPr>
        <w:t>6.5</w:t>
      </w:r>
      <w:r w:rsidRPr="005422B9">
        <w:rPr>
          <w:rFonts w:ascii="Times New Roman" w:hAnsi="Times New Roman"/>
          <w:lang w:val="en-AU"/>
        </w:rPr>
        <w:tab/>
      </w:r>
      <w:r w:rsidR="00003485" w:rsidRPr="005422B9">
        <w:rPr>
          <w:rFonts w:ascii="Times New Roman" w:hAnsi="Times New Roman"/>
          <w:lang w:val="en-AU"/>
        </w:rPr>
        <w:t>Nature and contents of c</w:t>
      </w:r>
      <w:r w:rsidR="003556AB" w:rsidRPr="005422B9">
        <w:rPr>
          <w:rFonts w:ascii="Times New Roman" w:hAnsi="Times New Roman"/>
          <w:lang w:val="en-AU"/>
        </w:rPr>
        <w:t>ontainer</w:t>
      </w:r>
      <w:r w:rsidR="00FB18E7">
        <w:rPr>
          <w:rFonts w:ascii="Times New Roman" w:hAnsi="Times New Roman"/>
          <w:lang w:val="en-AU"/>
        </w:rPr>
        <w:t xml:space="preserve"> </w:t>
      </w:r>
    </w:p>
    <w:p w14:paraId="5C0F6DAA" w14:textId="1EDBE284" w:rsidR="007227F0" w:rsidRPr="00FB18E7" w:rsidRDefault="007227F0" w:rsidP="007227F0">
      <w:pPr>
        <w:keepNext/>
        <w:rPr>
          <w:szCs w:val="22"/>
          <w:lang w:val="en-AU"/>
        </w:rPr>
      </w:pPr>
      <w:bookmarkStart w:id="28" w:name="_Hlk46910605"/>
      <w:r w:rsidRPr="005422B9">
        <w:rPr>
          <w:szCs w:val="22"/>
          <w:lang w:val="en-AU"/>
        </w:rPr>
        <w:t>0.5 mL suspension for injection in pre-filled syringe (Type I glass) with a tip cap (synthetic isoprene/</w:t>
      </w:r>
      <w:proofErr w:type="spellStart"/>
      <w:r w:rsidRPr="005422B9">
        <w:rPr>
          <w:szCs w:val="22"/>
          <w:lang w:val="en-AU"/>
        </w:rPr>
        <w:t>bromobutyl</w:t>
      </w:r>
      <w:proofErr w:type="spellEnd"/>
      <w:r w:rsidRPr="005422B9">
        <w:rPr>
          <w:szCs w:val="22"/>
          <w:lang w:val="en-AU"/>
        </w:rPr>
        <w:t xml:space="preserve"> blend rubber) and a plunger stopper (</w:t>
      </w:r>
      <w:proofErr w:type="spellStart"/>
      <w:r w:rsidRPr="005422B9">
        <w:rPr>
          <w:szCs w:val="22"/>
          <w:lang w:val="en-AU"/>
        </w:rPr>
        <w:t>chlorobutyl</w:t>
      </w:r>
      <w:proofErr w:type="spellEnd"/>
      <w:r w:rsidRPr="005422B9">
        <w:rPr>
          <w:szCs w:val="22"/>
          <w:lang w:val="en-AU"/>
        </w:rPr>
        <w:t xml:space="preserve"> rubber).</w:t>
      </w:r>
      <w:bookmarkStart w:id="29" w:name="_Hlk46910567"/>
    </w:p>
    <w:p w14:paraId="27DD70E9" w14:textId="3A593F20" w:rsidR="007227F0" w:rsidRPr="005422B9" w:rsidRDefault="007227F0" w:rsidP="007227F0">
      <w:pPr>
        <w:rPr>
          <w:szCs w:val="22"/>
          <w:lang w:val="en-AU"/>
        </w:rPr>
      </w:pPr>
      <w:bookmarkStart w:id="30" w:name="_Hlk44329202"/>
      <w:bookmarkEnd w:id="28"/>
      <w:bookmarkEnd w:id="29"/>
      <w:r w:rsidRPr="005422B9">
        <w:rPr>
          <w:szCs w:val="22"/>
          <w:lang w:val="en-AU"/>
        </w:rPr>
        <w:t>Pack sizes of 1</w:t>
      </w:r>
      <w:r w:rsidR="00CF28BC" w:rsidRPr="005422B9">
        <w:rPr>
          <w:szCs w:val="22"/>
          <w:lang w:val="en-AU"/>
        </w:rPr>
        <w:t xml:space="preserve"> and</w:t>
      </w:r>
      <w:r w:rsidRPr="005422B9">
        <w:rPr>
          <w:szCs w:val="22"/>
          <w:lang w:val="en-AU"/>
        </w:rPr>
        <w:t xml:space="preserve"> 10</w:t>
      </w:r>
      <w:r w:rsidR="00CF28BC" w:rsidRPr="005422B9">
        <w:rPr>
          <w:szCs w:val="22"/>
          <w:lang w:val="en-AU"/>
        </w:rPr>
        <w:t xml:space="preserve"> </w:t>
      </w:r>
      <w:r w:rsidRPr="005422B9">
        <w:rPr>
          <w:szCs w:val="22"/>
          <w:lang w:val="en-AU"/>
        </w:rPr>
        <w:t>pre</w:t>
      </w:r>
      <w:r w:rsidRPr="005422B9">
        <w:rPr>
          <w:szCs w:val="22"/>
          <w:lang w:val="en-AU"/>
        </w:rPr>
        <w:noBreakHyphen/>
        <w:t>filled syringes, with or without needle.</w:t>
      </w:r>
    </w:p>
    <w:bookmarkEnd w:id="30"/>
    <w:p w14:paraId="67A372CF" w14:textId="77777777" w:rsidR="007227F0" w:rsidRPr="005422B9" w:rsidRDefault="007227F0" w:rsidP="007227F0">
      <w:pPr>
        <w:rPr>
          <w:szCs w:val="22"/>
          <w:lang w:val="en-AU"/>
        </w:rPr>
      </w:pPr>
      <w:r w:rsidRPr="005422B9">
        <w:rPr>
          <w:szCs w:val="22"/>
          <w:lang w:val="en-AU"/>
        </w:rPr>
        <w:t>Not all pack sizes may be marketed.</w:t>
      </w:r>
    </w:p>
    <w:p w14:paraId="309B56B1" w14:textId="40C29779" w:rsidR="003556AB" w:rsidRPr="005422B9" w:rsidRDefault="00E34962" w:rsidP="00E0141F">
      <w:pPr>
        <w:pStyle w:val="CLDHeading2"/>
        <w:rPr>
          <w:rFonts w:ascii="Times New Roman" w:hAnsi="Times New Roman"/>
          <w:lang w:val="en-AU"/>
        </w:rPr>
      </w:pPr>
      <w:r w:rsidRPr="005422B9">
        <w:rPr>
          <w:rFonts w:ascii="Times New Roman" w:hAnsi="Times New Roman"/>
          <w:lang w:val="en-AU"/>
        </w:rPr>
        <w:lastRenderedPageBreak/>
        <w:t>6.6</w:t>
      </w:r>
      <w:r w:rsidRPr="005422B9">
        <w:rPr>
          <w:rFonts w:ascii="Times New Roman" w:hAnsi="Times New Roman"/>
          <w:lang w:val="en-AU"/>
        </w:rPr>
        <w:tab/>
      </w:r>
      <w:r w:rsidR="00003485" w:rsidRPr="005422B9">
        <w:rPr>
          <w:rFonts w:ascii="Times New Roman" w:hAnsi="Times New Roman"/>
          <w:lang w:val="en-AU"/>
        </w:rPr>
        <w:t>Special precautions for d</w:t>
      </w:r>
      <w:r w:rsidR="003556AB" w:rsidRPr="005422B9">
        <w:rPr>
          <w:rFonts w:ascii="Times New Roman" w:hAnsi="Times New Roman"/>
          <w:lang w:val="en-AU"/>
        </w:rPr>
        <w:t>isposal</w:t>
      </w:r>
      <w:r w:rsidR="00F133E2" w:rsidRPr="005422B9">
        <w:rPr>
          <w:rFonts w:ascii="Times New Roman" w:hAnsi="Times New Roman"/>
          <w:lang w:val="en-AU"/>
        </w:rPr>
        <w:t xml:space="preserve"> </w:t>
      </w:r>
    </w:p>
    <w:p w14:paraId="0124BB38" w14:textId="160F3316" w:rsidR="007227F0" w:rsidRPr="005422B9" w:rsidRDefault="007227F0" w:rsidP="007227F0">
      <w:pPr>
        <w:rPr>
          <w:szCs w:val="22"/>
          <w:lang w:val="en-AU"/>
        </w:rPr>
      </w:pPr>
      <w:r w:rsidRPr="005422B9">
        <w:rPr>
          <w:szCs w:val="22"/>
          <w:lang w:val="en-AU"/>
        </w:rPr>
        <w:t xml:space="preserve">During storage, a white deposit and clear supernatant may be observed in the pre-filled syringe containing the suspension. </w:t>
      </w:r>
    </w:p>
    <w:p w14:paraId="525988C9" w14:textId="4521E090" w:rsidR="00EF15DF" w:rsidRPr="005422B9" w:rsidRDefault="00EF15DF" w:rsidP="00E0141F">
      <w:pPr>
        <w:pStyle w:val="CLDNormal"/>
        <w:rPr>
          <w:lang w:val="en-AU"/>
        </w:rPr>
      </w:pPr>
      <w:r w:rsidRPr="005422B9">
        <w:rPr>
          <w:lang w:val="en-AU"/>
        </w:rPr>
        <w:t>In Australia, any unused medicine or waste material should be disposed of in accordance with local requirements.</w:t>
      </w:r>
    </w:p>
    <w:p w14:paraId="0CEDC4B0" w14:textId="3CB0EBA5" w:rsidR="00EB4D43" w:rsidRPr="005422B9" w:rsidRDefault="00E34962" w:rsidP="00E0141F">
      <w:pPr>
        <w:pStyle w:val="CLDHeading1"/>
        <w:rPr>
          <w:kern w:val="0"/>
          <w:lang w:val="en-AU"/>
        </w:rPr>
      </w:pPr>
      <w:r w:rsidRPr="005422B9">
        <w:rPr>
          <w:kern w:val="0"/>
          <w:lang w:val="en-AU"/>
        </w:rPr>
        <w:t>7.</w:t>
      </w:r>
      <w:r w:rsidRPr="005422B9">
        <w:rPr>
          <w:kern w:val="0"/>
          <w:lang w:val="en-AU"/>
        </w:rPr>
        <w:tab/>
      </w:r>
      <w:r w:rsidR="0018348D" w:rsidRPr="005422B9">
        <w:rPr>
          <w:kern w:val="0"/>
          <w:lang w:val="en-AU"/>
        </w:rPr>
        <w:t>MEDICINE SCHEDULE (POISONS STANDARD)</w:t>
      </w:r>
    </w:p>
    <w:p w14:paraId="5A3260B4" w14:textId="560BCAFC" w:rsidR="001F6965" w:rsidRPr="005422B9" w:rsidRDefault="001F6965" w:rsidP="00E0141F">
      <w:pPr>
        <w:pStyle w:val="CLDNormal"/>
        <w:rPr>
          <w:lang w:val="en-AU"/>
        </w:rPr>
      </w:pPr>
      <w:r w:rsidRPr="005422B9">
        <w:rPr>
          <w:lang w:val="en-AU"/>
        </w:rPr>
        <w:t>S4 – Prescription Only Medicine</w:t>
      </w:r>
      <w:r w:rsidR="00EA0119" w:rsidRPr="005422B9">
        <w:rPr>
          <w:lang w:val="en-AU"/>
        </w:rPr>
        <w:t>.</w:t>
      </w:r>
    </w:p>
    <w:p w14:paraId="5DA65321" w14:textId="77777777" w:rsidR="00EB4D43" w:rsidRPr="005422B9" w:rsidRDefault="00E34962" w:rsidP="00E0141F">
      <w:pPr>
        <w:pStyle w:val="CLDHeading1"/>
        <w:rPr>
          <w:kern w:val="0"/>
          <w:lang w:val="en-AU"/>
        </w:rPr>
      </w:pPr>
      <w:r w:rsidRPr="005422B9">
        <w:rPr>
          <w:kern w:val="0"/>
          <w:lang w:val="en-AU"/>
        </w:rPr>
        <w:t>8.</w:t>
      </w:r>
      <w:r w:rsidRPr="005422B9">
        <w:rPr>
          <w:kern w:val="0"/>
          <w:lang w:val="en-AU"/>
        </w:rPr>
        <w:tab/>
      </w:r>
      <w:r w:rsidR="00FE40A4" w:rsidRPr="005422B9">
        <w:rPr>
          <w:kern w:val="0"/>
          <w:lang w:val="en-AU"/>
        </w:rPr>
        <w:t>SPONSOR</w:t>
      </w:r>
    </w:p>
    <w:p w14:paraId="37CE3767" w14:textId="77777777" w:rsidR="004C36E7" w:rsidRPr="00E70A8F" w:rsidRDefault="004C36E7" w:rsidP="004C36E7">
      <w:pPr>
        <w:autoSpaceDE w:val="0"/>
        <w:autoSpaceDN w:val="0"/>
        <w:spacing w:before="60" w:after="20"/>
        <w:rPr>
          <w:szCs w:val="24"/>
        </w:rPr>
      </w:pPr>
      <w:r w:rsidRPr="00E70A8F">
        <w:rPr>
          <w:szCs w:val="24"/>
        </w:rPr>
        <w:t>Pfizer Australia Pty Ltd</w:t>
      </w:r>
    </w:p>
    <w:p w14:paraId="7D303E1C" w14:textId="77777777" w:rsidR="004C36E7" w:rsidRPr="00E70A8F" w:rsidRDefault="004C36E7" w:rsidP="004C36E7">
      <w:pPr>
        <w:autoSpaceDE w:val="0"/>
        <w:autoSpaceDN w:val="0"/>
        <w:spacing w:after="0"/>
        <w:rPr>
          <w:szCs w:val="24"/>
        </w:rPr>
      </w:pPr>
      <w:r w:rsidRPr="00E70A8F">
        <w:rPr>
          <w:szCs w:val="24"/>
        </w:rPr>
        <w:t>Level 17, 151 Clarence Street</w:t>
      </w:r>
    </w:p>
    <w:p w14:paraId="3ECBB441" w14:textId="77777777" w:rsidR="004C36E7" w:rsidRPr="00E70A8F" w:rsidRDefault="004C36E7" w:rsidP="004C36E7">
      <w:pPr>
        <w:autoSpaceDE w:val="0"/>
        <w:autoSpaceDN w:val="0"/>
        <w:spacing w:after="0"/>
        <w:rPr>
          <w:szCs w:val="24"/>
        </w:rPr>
      </w:pPr>
      <w:r w:rsidRPr="00E70A8F">
        <w:rPr>
          <w:szCs w:val="24"/>
        </w:rPr>
        <w:t>Sydney NSW 2000</w:t>
      </w:r>
    </w:p>
    <w:p w14:paraId="27CEF3A9" w14:textId="77777777" w:rsidR="004C36E7" w:rsidRPr="00E70A8F" w:rsidRDefault="004C36E7" w:rsidP="004C36E7">
      <w:pPr>
        <w:autoSpaceDE w:val="0"/>
        <w:autoSpaceDN w:val="0"/>
        <w:spacing w:after="0"/>
        <w:rPr>
          <w:szCs w:val="24"/>
        </w:rPr>
      </w:pPr>
      <w:r w:rsidRPr="00E70A8F">
        <w:rPr>
          <w:szCs w:val="24"/>
        </w:rPr>
        <w:t>Toll Free Number: 1800 675 229</w:t>
      </w:r>
    </w:p>
    <w:p w14:paraId="49667043" w14:textId="77777777" w:rsidR="004C36E7" w:rsidRDefault="004621D0" w:rsidP="004C36E7">
      <w:pPr>
        <w:autoSpaceDE w:val="0"/>
        <w:autoSpaceDN w:val="0"/>
        <w:spacing w:after="0"/>
        <w:rPr>
          <w:szCs w:val="24"/>
        </w:rPr>
      </w:pPr>
      <w:hyperlink r:id="rId17" w:history="1">
        <w:r w:rsidR="004C36E7" w:rsidRPr="00E70A8F">
          <w:rPr>
            <w:rStyle w:val="Hyperlink"/>
            <w:szCs w:val="24"/>
          </w:rPr>
          <w:t>www.pfizermedinfo.com.au</w:t>
        </w:r>
      </w:hyperlink>
    </w:p>
    <w:p w14:paraId="2EDA4673" w14:textId="10AC5724" w:rsidR="00EB4D43" w:rsidRPr="005422B9" w:rsidRDefault="00E34962" w:rsidP="00E0141F">
      <w:pPr>
        <w:pStyle w:val="CLDHeading1"/>
        <w:rPr>
          <w:kern w:val="0"/>
          <w:lang w:val="en-AU"/>
        </w:rPr>
      </w:pPr>
      <w:r w:rsidRPr="005422B9">
        <w:rPr>
          <w:kern w:val="0"/>
          <w:lang w:val="en-AU"/>
        </w:rPr>
        <w:t>9.</w:t>
      </w:r>
      <w:r w:rsidRPr="005422B9">
        <w:rPr>
          <w:kern w:val="0"/>
          <w:lang w:val="en-AU"/>
        </w:rPr>
        <w:tab/>
      </w:r>
      <w:r w:rsidR="0018348D" w:rsidRPr="005422B9">
        <w:rPr>
          <w:kern w:val="0"/>
          <w:lang w:val="en-AU"/>
        </w:rPr>
        <w:t>DATE OF FIRST APPROVAL</w:t>
      </w:r>
    </w:p>
    <w:p w14:paraId="06CD8412" w14:textId="6A4CDC73" w:rsidR="00EF15DF" w:rsidRPr="004B48F5" w:rsidRDefault="004B48F5" w:rsidP="00E0141F">
      <w:pPr>
        <w:pStyle w:val="CLDNormal"/>
        <w:rPr>
          <w:lang w:val="en-AU"/>
        </w:rPr>
      </w:pPr>
      <w:r>
        <w:rPr>
          <w:lang w:val="en-AU"/>
        </w:rPr>
        <w:t>2 December 2022</w:t>
      </w:r>
    </w:p>
    <w:p w14:paraId="45E50546" w14:textId="5C490656" w:rsidR="003556AB" w:rsidRPr="005422B9" w:rsidRDefault="00E34962" w:rsidP="00E0141F">
      <w:pPr>
        <w:pStyle w:val="CLDHeading1"/>
        <w:rPr>
          <w:kern w:val="0"/>
          <w:lang w:val="en-AU"/>
        </w:rPr>
      </w:pPr>
      <w:r w:rsidRPr="005422B9">
        <w:rPr>
          <w:kern w:val="0"/>
          <w:lang w:val="en-AU"/>
        </w:rPr>
        <w:t>10.</w:t>
      </w:r>
      <w:r w:rsidRPr="005422B9">
        <w:rPr>
          <w:kern w:val="0"/>
          <w:lang w:val="en-AU"/>
        </w:rPr>
        <w:tab/>
      </w:r>
      <w:r w:rsidR="0018348D" w:rsidRPr="005422B9">
        <w:rPr>
          <w:kern w:val="0"/>
          <w:lang w:val="en-AU"/>
        </w:rPr>
        <w:t>DATE OF REVISION</w:t>
      </w:r>
    </w:p>
    <w:p w14:paraId="2BD01965" w14:textId="7486B791" w:rsidR="00890CC8" w:rsidRDefault="00FF5367" w:rsidP="00D96C64">
      <w:pPr>
        <w:rPr>
          <w:lang w:val="en-AU"/>
        </w:rPr>
      </w:pPr>
      <w:r w:rsidRPr="005422B9">
        <w:rPr>
          <w:lang w:val="en-AU"/>
        </w:rPr>
        <w:t>Not Applicable</w:t>
      </w:r>
    </w:p>
    <w:p w14:paraId="165AB7C1" w14:textId="10A9627A" w:rsidR="00475EDD" w:rsidRDefault="00FB7418" w:rsidP="00FB7418">
      <w:pPr>
        <w:tabs>
          <w:tab w:val="left" w:pos="1715"/>
        </w:tabs>
        <w:rPr>
          <w:lang w:val="en-AU"/>
        </w:rPr>
      </w:pPr>
      <w:r>
        <w:rPr>
          <w:lang w:val="en-AU"/>
        </w:rPr>
        <w:tab/>
      </w:r>
    </w:p>
    <w:p w14:paraId="6F3D1BA7" w14:textId="21B21ADF" w:rsidR="00475EDD" w:rsidRDefault="00076636" w:rsidP="00D96C64">
      <w:pPr>
        <w:rPr>
          <w:lang w:val="en-AU"/>
        </w:rPr>
      </w:pPr>
      <w:r>
        <w:rPr>
          <w:lang w:val="en-AU"/>
        </w:rPr>
        <w:t>®</w:t>
      </w:r>
      <w:r w:rsidR="00475EDD">
        <w:rPr>
          <w:lang w:val="en-AU"/>
        </w:rPr>
        <w:t xml:space="preserve"> </w:t>
      </w:r>
      <w:r>
        <w:rPr>
          <w:lang w:val="en-AU"/>
        </w:rPr>
        <w:t>Registered</w:t>
      </w:r>
      <w:r w:rsidR="00475EDD">
        <w:rPr>
          <w:lang w:val="en-AU"/>
        </w:rPr>
        <w:t xml:space="preserve"> </w:t>
      </w:r>
      <w:proofErr w:type="gramStart"/>
      <w:r w:rsidR="00475EDD">
        <w:rPr>
          <w:szCs w:val="24"/>
          <w:lang w:val="en-AU"/>
        </w:rPr>
        <w:t>Trade Mark</w:t>
      </w:r>
      <w:proofErr w:type="gramEnd"/>
    </w:p>
    <w:sectPr w:rsidR="00475EDD" w:rsidSect="00460035">
      <w:headerReference w:type="even" r:id="rId18"/>
      <w:headerReference w:type="default" r:id="rId19"/>
      <w:footerReference w:type="even" r:id="rId20"/>
      <w:footerReference w:type="default" r:id="rId21"/>
      <w:headerReference w:type="first" r:id="rId22"/>
      <w:type w:val="oddPage"/>
      <w:pgSz w:w="11907" w:h="16840" w:code="9"/>
      <w:pgMar w:top="1440" w:right="1440" w:bottom="144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5C6A" w14:textId="77777777" w:rsidR="0033717C" w:rsidRDefault="0033717C">
      <w:r>
        <w:separator/>
      </w:r>
    </w:p>
  </w:endnote>
  <w:endnote w:type="continuationSeparator" w:id="0">
    <w:p w14:paraId="037BA28F" w14:textId="77777777" w:rsidR="0033717C" w:rsidRDefault="0033717C">
      <w:r>
        <w:continuationSeparator/>
      </w:r>
    </w:p>
  </w:endnote>
  <w:endnote w:type="continuationNotice" w:id="1">
    <w:p w14:paraId="6707226D" w14:textId="77777777" w:rsidR="0033717C" w:rsidRDefault="003371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NewRoman">
    <w:altName w:val="Yu Gothic"/>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Klee One"/>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AF4B" w14:textId="77777777" w:rsidR="00792757" w:rsidRPr="00054F74" w:rsidRDefault="00792757" w:rsidP="00054F74">
    <w:r w:rsidRPr="00054F74">
      <w:t>Version: &lt;insert filename&gt;</w:t>
    </w:r>
    <w:r w:rsidRPr="00054F74">
      <w:tab/>
      <w:t>Supersedes: &lt;insert filename&gt;</w:t>
    </w:r>
  </w:p>
  <w:p w14:paraId="52A2D192" w14:textId="77777777" w:rsidR="00792757" w:rsidRPr="00054F74" w:rsidRDefault="00792757" w:rsidP="00054F74">
    <w:r w:rsidRPr="00054F74">
      <w:t>MOH Approved:</w:t>
    </w:r>
  </w:p>
  <w:p w14:paraId="4B4EBBA9" w14:textId="77777777" w:rsidR="00792757" w:rsidRPr="00054F74" w:rsidRDefault="00792757"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ACAB" w14:textId="48BD907D" w:rsidR="00792757" w:rsidRPr="00C531EF" w:rsidRDefault="00792757" w:rsidP="00C741FB">
    <w:pPr>
      <w:pStyle w:val="CLDFooter"/>
      <w:tabs>
        <w:tab w:val="clear" w:pos="8800"/>
        <w:tab w:val="right" w:pos="9027"/>
      </w:tabs>
    </w:pPr>
    <w:r w:rsidRPr="00C531EF">
      <w:t xml:space="preserve">Version: </w:t>
    </w:r>
    <w:r w:rsidR="001D1D4E">
      <w:t>pfpprvni11222</w:t>
    </w:r>
    <w:r w:rsidRPr="00C531EF">
      <w:tab/>
      <w:t xml:space="preserve">Supersedes: </w:t>
    </w:r>
    <w:r>
      <w:t>n/a</w:t>
    </w:r>
  </w:p>
  <w:p w14:paraId="13040087" w14:textId="77777777" w:rsidR="00792757" w:rsidRPr="00054F74" w:rsidRDefault="00792757" w:rsidP="00C741FB">
    <w:pPr>
      <w:pStyle w:val="CLDFooter"/>
      <w:tabs>
        <w:tab w:val="clear" w:pos="8800"/>
        <w:tab w:val="right" w:pos="9027"/>
      </w:tabs>
    </w:pPr>
    <w:r w:rsidRPr="00C531EF">
      <w:tab/>
      <w:t xml:space="preserve">Page </w:t>
    </w:r>
    <w:r>
      <w:fldChar w:fldCharType="begin"/>
    </w:r>
    <w:r>
      <w:instrText xml:space="preserve"> PAGE </w:instrText>
    </w:r>
    <w:r>
      <w:fldChar w:fldCharType="separate"/>
    </w:r>
    <w:r>
      <w:rPr>
        <w:noProof/>
      </w:rPr>
      <w:t>9</w:t>
    </w:r>
    <w:r>
      <w:fldChar w:fldCharType="end"/>
    </w:r>
    <w:r w:rsidRPr="00C531EF">
      <w:t xml:space="preserve"> of </w:t>
    </w:r>
    <w:r>
      <w:fldChar w:fldCharType="begin"/>
    </w:r>
    <w:r>
      <w:instrText xml:space="preserve"> NUMPAGES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D5E65" w14:textId="77777777" w:rsidR="0033717C" w:rsidRDefault="0033717C">
      <w:r>
        <w:separator/>
      </w:r>
    </w:p>
  </w:footnote>
  <w:footnote w:type="continuationSeparator" w:id="0">
    <w:p w14:paraId="39B6E65B" w14:textId="77777777" w:rsidR="0033717C" w:rsidRDefault="0033717C">
      <w:r>
        <w:continuationSeparator/>
      </w:r>
    </w:p>
  </w:footnote>
  <w:footnote w:type="continuationNotice" w:id="1">
    <w:p w14:paraId="544E6ED9" w14:textId="77777777" w:rsidR="0033717C" w:rsidRDefault="003371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6458" w14:textId="77777777" w:rsidR="00792757" w:rsidRDefault="00792757"/>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792757" w14:paraId="34767786" w14:textId="77777777" w:rsidTr="695D7130">
      <w:tc>
        <w:tcPr>
          <w:tcW w:w="9855" w:type="dxa"/>
          <w:gridSpan w:val="6"/>
          <w:shd w:val="clear" w:color="auto" w:fill="E6E6E6"/>
        </w:tcPr>
        <w:p w14:paraId="35A27530" w14:textId="77777777" w:rsidR="00792757" w:rsidRPr="00EB4D43" w:rsidRDefault="00792757" w:rsidP="00343757">
          <w:pPr>
            <w:pStyle w:val="Heading3"/>
            <w:spacing w:before="0"/>
            <w:jc w:val="center"/>
            <w:rPr>
              <w:rFonts w:ascii="Arial" w:hAnsi="Arial" w:cs="Arial"/>
              <w:i w:val="0"/>
              <w:sz w:val="20"/>
            </w:rPr>
          </w:pPr>
          <w:r>
            <w:rPr>
              <w:noProof/>
            </w:rPr>
            <w:drawing>
              <wp:inline distT="0" distB="0" distL="0" distR="0" wp14:anchorId="703895E5" wp14:editId="2CBBF06D">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910" cy="252730"/>
                        </a:xfrm>
                        <a:prstGeom prst="rect">
                          <a:avLst/>
                        </a:prstGeom>
                      </pic:spPr>
                    </pic:pic>
                  </a:graphicData>
                </a:graphic>
              </wp:inline>
            </w:drawing>
          </w:r>
          <w:r w:rsidRPr="695D7130">
            <w:rPr>
              <w:rFonts w:ascii="Arial" w:hAnsi="Arial" w:cs="Arial"/>
              <w:i w:val="0"/>
              <w:iCs w:val="0"/>
            </w:rPr>
            <w:t xml:space="preserve"> AUSTRALIAN WORKING PRACTICE GUIDELINE</w:t>
          </w:r>
        </w:p>
      </w:tc>
    </w:tr>
    <w:tr w:rsidR="00792757" w14:paraId="5B07A8D2" w14:textId="77777777" w:rsidTr="695D7130">
      <w:tc>
        <w:tcPr>
          <w:tcW w:w="1410" w:type="dxa"/>
          <w:shd w:val="clear" w:color="auto" w:fill="E6E6E6"/>
        </w:tcPr>
        <w:p w14:paraId="3FD4154A" w14:textId="77777777" w:rsidR="00792757" w:rsidRPr="00EB4D43" w:rsidRDefault="00792757"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hemeFill="background1"/>
        </w:tcPr>
        <w:p w14:paraId="464187E8" w14:textId="77777777" w:rsidR="00792757" w:rsidRPr="00EB4D43" w:rsidRDefault="00792757"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792757" w14:paraId="0902EA56" w14:textId="77777777" w:rsidTr="695D7130">
      <w:tc>
        <w:tcPr>
          <w:tcW w:w="1410" w:type="dxa"/>
          <w:shd w:val="clear" w:color="auto" w:fill="E6E6E6"/>
        </w:tcPr>
        <w:p w14:paraId="4FE45C73" w14:textId="77777777" w:rsidR="00792757" w:rsidRPr="00EB4D43" w:rsidRDefault="00792757"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hemeFill="background1"/>
        </w:tcPr>
        <w:p w14:paraId="06BB91A8" w14:textId="77777777" w:rsidR="00792757" w:rsidRPr="00EB4D43" w:rsidRDefault="00792757"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4CF8065" w14:textId="77777777" w:rsidR="00792757" w:rsidRPr="00EB4D43" w:rsidRDefault="00792757"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077D7C89" w14:textId="77777777" w:rsidR="00792757" w:rsidRPr="00EB4D43" w:rsidRDefault="00792757"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741F3F13" w14:textId="77777777" w:rsidR="00792757" w:rsidRPr="00EB4D43" w:rsidRDefault="00792757"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6DC3BBA7" w14:textId="77777777" w:rsidR="00792757" w:rsidRPr="00EB4D43" w:rsidRDefault="00792757"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792757" w14:paraId="23A7E625" w14:textId="77777777" w:rsidTr="695D7130">
      <w:trPr>
        <w:cantSplit/>
      </w:trPr>
      <w:tc>
        <w:tcPr>
          <w:tcW w:w="1410" w:type="dxa"/>
          <w:shd w:val="clear" w:color="auto" w:fill="E6E6E6"/>
        </w:tcPr>
        <w:p w14:paraId="4FE491AD" w14:textId="77777777" w:rsidR="00792757" w:rsidRPr="00EB4D43" w:rsidRDefault="00792757"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hemeFill="background1"/>
        </w:tcPr>
        <w:p w14:paraId="0EB568AD" w14:textId="77777777" w:rsidR="00792757" w:rsidRPr="00EB4D43" w:rsidRDefault="00792757"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607D6B9E" w14:textId="77777777" w:rsidR="00792757" w:rsidRPr="00EB4D43" w:rsidRDefault="00792757"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46968422" w14:textId="77777777" w:rsidR="00792757" w:rsidRPr="00EB4D43" w:rsidRDefault="00792757" w:rsidP="00343757">
          <w:pPr>
            <w:pStyle w:val="Heading3"/>
            <w:jc w:val="left"/>
            <w:rPr>
              <w:rFonts w:ascii="Arial" w:hAnsi="Arial" w:cs="Arial"/>
              <w:i w:val="0"/>
              <w:sz w:val="20"/>
            </w:rPr>
          </w:pPr>
        </w:p>
      </w:tc>
      <w:tc>
        <w:tcPr>
          <w:tcW w:w="1786" w:type="dxa"/>
          <w:gridSpan w:val="2"/>
          <w:shd w:val="clear" w:color="auto" w:fill="E6E6E6"/>
        </w:tcPr>
        <w:p w14:paraId="1757F03C" w14:textId="77777777" w:rsidR="00792757" w:rsidRPr="00EB4D43" w:rsidRDefault="00792757" w:rsidP="00343757">
          <w:pPr>
            <w:pStyle w:val="Heading3"/>
            <w:jc w:val="left"/>
            <w:rPr>
              <w:rFonts w:ascii="Arial" w:hAnsi="Arial" w:cs="Arial"/>
              <w:i w:val="0"/>
              <w:snapToGrid w:val="0"/>
              <w:sz w:val="20"/>
            </w:rPr>
          </w:pPr>
        </w:p>
      </w:tc>
    </w:tr>
  </w:tbl>
  <w:p w14:paraId="7B34E3B1" w14:textId="77777777" w:rsidR="00792757" w:rsidRDefault="007927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8720"/>
    </w:tblGrid>
    <w:tr w:rsidR="004621D0" w14:paraId="13B79024" w14:textId="77777777" w:rsidTr="004621D0">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57D14E59" w14:textId="77777777" w:rsidR="004621D0" w:rsidRPr="004621D0" w:rsidRDefault="004621D0" w:rsidP="004621D0">
          <w:pPr>
            <w:spacing w:before="180" w:after="180" w:line="240" w:lineRule="atLeast"/>
            <w:jc w:val="left"/>
            <w:rPr>
              <w:rFonts w:ascii="Cambria" w:eastAsia="Calibri" w:hAnsi="Cambria" w:cs="Arial"/>
              <w:b/>
              <w:sz w:val="20"/>
              <w:lang w:val="en-AU"/>
            </w:rPr>
          </w:pPr>
          <w:bookmarkStart w:id="31" w:name="_Hlk126587363"/>
          <w:r w:rsidRPr="004621D0">
            <w:rPr>
              <w:rFonts w:ascii="Cambria" w:eastAsia="Calibri" w:hAnsi="Cambria" w:cs="Arial"/>
              <w:b/>
              <w:sz w:val="20"/>
            </w:rPr>
            <w:t xml:space="preserve">Attachment 1: Product information for </w:t>
          </w:r>
          <w:proofErr w:type="spellStart"/>
          <w:r w:rsidRPr="004621D0">
            <w:rPr>
              <w:rFonts w:ascii="Cambria" w:eastAsia="Calibri" w:hAnsi="Cambria" w:cs="Arial"/>
              <w:b/>
              <w:sz w:val="20"/>
            </w:rPr>
            <w:t>AusPAR</w:t>
          </w:r>
          <w:proofErr w:type="spellEnd"/>
          <w:r w:rsidRPr="004621D0">
            <w:rPr>
              <w:rFonts w:ascii="Cambria" w:eastAsia="Calibri" w:hAnsi="Cambria" w:cs="Arial"/>
              <w:b/>
              <w:sz w:val="20"/>
            </w:rPr>
            <w:t xml:space="preserve"> - Prevenar 20 - pneumococcal polysaccharide conjugate vaccine - Pfizer Australia Pty Ltd - PM-2021-04721-1-2 Final 16 May 2023. This is the Product Information that was approved with the submission described in this </w:t>
          </w:r>
          <w:proofErr w:type="spellStart"/>
          <w:r w:rsidRPr="004621D0">
            <w:rPr>
              <w:rFonts w:ascii="Cambria" w:eastAsia="Calibri" w:hAnsi="Cambria" w:cs="Arial"/>
              <w:b/>
              <w:sz w:val="20"/>
            </w:rPr>
            <w:t>AusPAR</w:t>
          </w:r>
          <w:proofErr w:type="spellEnd"/>
          <w:r w:rsidRPr="004621D0">
            <w:rPr>
              <w:rFonts w:ascii="Cambria" w:eastAsia="Calibri" w:hAnsi="Cambria" w:cs="Arial"/>
              <w:b/>
              <w:sz w:val="20"/>
            </w:rPr>
            <w:t>. It may have been superseded. For the most recent PI, please refer to the TGA website at &lt;</w:t>
          </w:r>
          <w:hyperlink r:id="rId1" w:history="1">
            <w:r w:rsidRPr="004621D0">
              <w:rPr>
                <w:rStyle w:val="Hyperlink"/>
                <w:rFonts w:ascii="Cambria" w:eastAsia="Calibri" w:hAnsi="Cambria" w:cs="Arial"/>
                <w:b/>
                <w:color w:val="0000FF"/>
                <w:sz w:val="20"/>
              </w:rPr>
              <w:t>https://www.tga.gov.au/products/australian-register-therapeutic-goods-artg/product-information-one</w:t>
            </w:r>
          </w:hyperlink>
          <w:r w:rsidRPr="004621D0">
            <w:rPr>
              <w:rFonts w:ascii="Cambria" w:eastAsia="Calibri" w:hAnsi="Cambria" w:cs="Arial"/>
              <w:b/>
              <w:color w:val="000000"/>
              <w:sz w:val="20"/>
            </w:rPr>
            <w:t>&gt;</w:t>
          </w:r>
        </w:p>
      </w:tc>
      <w:bookmarkEnd w:id="31"/>
    </w:tr>
  </w:tbl>
  <w:p w14:paraId="3E2F072C" w14:textId="47627DF0" w:rsidR="00792757" w:rsidRDefault="00792757" w:rsidP="00D15881">
    <w:pPr>
      <w:pStyle w:val="Header"/>
      <w:tabs>
        <w:tab w:val="clear" w:pos="4513"/>
        <w:tab w:val="clear" w:pos="9026"/>
        <w:tab w:val="left" w:pos="156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9B9B" w14:textId="77777777" w:rsidR="00792757" w:rsidRDefault="00792757"/>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792757" w14:paraId="2EDCB590" w14:textId="77777777" w:rsidTr="695D7130">
      <w:tc>
        <w:tcPr>
          <w:tcW w:w="9855" w:type="dxa"/>
          <w:gridSpan w:val="6"/>
          <w:shd w:val="clear" w:color="auto" w:fill="E6E6E6"/>
        </w:tcPr>
        <w:p w14:paraId="603365FE" w14:textId="77777777" w:rsidR="00792757" w:rsidRPr="00EB4D43" w:rsidRDefault="00792757" w:rsidP="00121B3A">
          <w:pPr>
            <w:pStyle w:val="Heading3"/>
            <w:spacing w:before="0"/>
            <w:jc w:val="center"/>
            <w:rPr>
              <w:rFonts w:ascii="Arial" w:hAnsi="Arial" w:cs="Arial"/>
              <w:i w:val="0"/>
              <w:sz w:val="20"/>
            </w:rPr>
          </w:pPr>
          <w:r>
            <w:rPr>
              <w:noProof/>
            </w:rPr>
            <w:drawing>
              <wp:inline distT="0" distB="0" distL="0" distR="0" wp14:anchorId="0F86B571" wp14:editId="06AF040F">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22910" cy="252730"/>
                        </a:xfrm>
                        <a:prstGeom prst="rect">
                          <a:avLst/>
                        </a:prstGeom>
                      </pic:spPr>
                    </pic:pic>
                  </a:graphicData>
                </a:graphic>
              </wp:inline>
            </w:drawing>
          </w:r>
          <w:r w:rsidRPr="695D7130">
            <w:rPr>
              <w:rFonts w:ascii="Arial" w:hAnsi="Arial" w:cs="Arial"/>
              <w:i w:val="0"/>
              <w:iCs w:val="0"/>
            </w:rPr>
            <w:t xml:space="preserve"> AUSTRALIAN WORKING PRACTICE GUIDELINE</w:t>
          </w:r>
        </w:p>
      </w:tc>
    </w:tr>
    <w:tr w:rsidR="00792757" w14:paraId="5ACC82BE" w14:textId="77777777" w:rsidTr="695D7130">
      <w:tc>
        <w:tcPr>
          <w:tcW w:w="1410" w:type="dxa"/>
          <w:shd w:val="clear" w:color="auto" w:fill="E6E6E6"/>
        </w:tcPr>
        <w:p w14:paraId="642E2B8E" w14:textId="77777777" w:rsidR="00792757" w:rsidRPr="00EB4D43" w:rsidRDefault="00792757"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hemeFill="background1"/>
        </w:tcPr>
        <w:p w14:paraId="5A49C30C" w14:textId="77777777" w:rsidR="00792757" w:rsidRPr="00EB4D43" w:rsidRDefault="00792757"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792757" w14:paraId="6504E323" w14:textId="77777777" w:rsidTr="695D7130">
      <w:tc>
        <w:tcPr>
          <w:tcW w:w="1410" w:type="dxa"/>
          <w:shd w:val="clear" w:color="auto" w:fill="E6E6E6"/>
        </w:tcPr>
        <w:p w14:paraId="72C095A0" w14:textId="77777777" w:rsidR="00792757" w:rsidRPr="00EB4D43" w:rsidRDefault="00792757"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hemeFill="background1"/>
        </w:tcPr>
        <w:p w14:paraId="61391CD3" w14:textId="77777777" w:rsidR="00792757" w:rsidRPr="00EB4D43" w:rsidRDefault="00792757"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713B4AC" w14:textId="77777777" w:rsidR="00792757" w:rsidRPr="00EB4D43" w:rsidRDefault="00792757"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A072B82" w14:textId="77777777" w:rsidR="00792757" w:rsidRPr="00EB4D43" w:rsidRDefault="00792757"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001D1231" w14:textId="77777777" w:rsidR="00792757" w:rsidRPr="00EB4D43" w:rsidRDefault="00792757"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764F8DEE" w14:textId="77777777" w:rsidR="00792757" w:rsidRPr="00EB4D43" w:rsidRDefault="00792757"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792757" w14:paraId="1F00BAB2" w14:textId="77777777" w:rsidTr="695D7130">
      <w:trPr>
        <w:cantSplit/>
      </w:trPr>
      <w:tc>
        <w:tcPr>
          <w:tcW w:w="1410" w:type="dxa"/>
          <w:shd w:val="clear" w:color="auto" w:fill="E6E6E6"/>
        </w:tcPr>
        <w:p w14:paraId="078AB1BA" w14:textId="77777777" w:rsidR="00792757" w:rsidRPr="00EB4D43" w:rsidRDefault="00792757"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hemeFill="background1"/>
        </w:tcPr>
        <w:p w14:paraId="6ED0D148" w14:textId="77777777" w:rsidR="00792757" w:rsidRPr="00EB4D43" w:rsidRDefault="00792757"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5BF9B782" w14:textId="77777777" w:rsidR="00792757" w:rsidRPr="00EB4D43" w:rsidRDefault="00792757"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1601D5EA" w14:textId="77777777" w:rsidR="00792757" w:rsidRPr="00EB4D43" w:rsidRDefault="00792757"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5F7823C2" w14:textId="77777777" w:rsidR="00792757" w:rsidRPr="00EB4D43" w:rsidRDefault="00792757" w:rsidP="00121B3A">
          <w:pPr>
            <w:pStyle w:val="Heading3"/>
            <w:jc w:val="left"/>
            <w:rPr>
              <w:rFonts w:ascii="Arial" w:hAnsi="Arial" w:cs="Arial"/>
              <w:i w:val="0"/>
              <w:snapToGrid w:val="0"/>
              <w:sz w:val="20"/>
            </w:rPr>
          </w:pPr>
        </w:p>
      </w:tc>
    </w:tr>
  </w:tbl>
  <w:p w14:paraId="7A0703BF" w14:textId="77777777" w:rsidR="00792757" w:rsidRDefault="00792757" w:rsidP="006D46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E55"/>
    <w:multiLevelType w:val="hybridMultilevel"/>
    <w:tmpl w:val="151AC96C"/>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0F6781"/>
    <w:multiLevelType w:val="singleLevel"/>
    <w:tmpl w:val="687CF104"/>
    <w:lvl w:ilvl="0">
      <w:start w:val="1"/>
      <w:numFmt w:val="lowerLetter"/>
      <w:lvlRestart w:val="0"/>
      <w:pStyle w:val="ListAlpha2"/>
      <w:lvlText w:val="%1."/>
      <w:lvlJc w:val="left"/>
      <w:pPr>
        <w:tabs>
          <w:tab w:val="num" w:pos="720"/>
        </w:tabs>
        <w:ind w:left="720" w:hanging="360"/>
      </w:pPr>
      <w:rPr>
        <w:caps w:val="0"/>
        <w:u w:val="none"/>
      </w:rPr>
    </w:lvl>
  </w:abstractNum>
  <w:abstractNum w:abstractNumId="3" w15:restartNumberingAfterBreak="0">
    <w:nsid w:val="1BF37BE3"/>
    <w:multiLevelType w:val="singleLevel"/>
    <w:tmpl w:val="661E16DC"/>
    <w:lvl w:ilvl="0">
      <w:start w:val="1"/>
      <w:numFmt w:val="decimal"/>
      <w:lvlRestart w:val="0"/>
      <w:pStyle w:val="ListNumber"/>
      <w:lvlText w:val="%1."/>
      <w:lvlJc w:val="left"/>
      <w:pPr>
        <w:tabs>
          <w:tab w:val="num" w:pos="360"/>
        </w:tabs>
        <w:ind w:left="360" w:hanging="360"/>
      </w:pPr>
      <w:rPr>
        <w:caps w:val="0"/>
        <w:u w:val="none"/>
      </w:rPr>
    </w:lvl>
  </w:abstractNum>
  <w:abstractNum w:abstractNumId="4"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CD4F33"/>
    <w:multiLevelType w:val="singleLevel"/>
    <w:tmpl w:val="F36C1A00"/>
    <w:lvl w:ilvl="0">
      <w:start w:val="1"/>
      <w:numFmt w:val="lowerLetter"/>
      <w:lvlRestart w:val="0"/>
      <w:pStyle w:val="ListAlpha4"/>
      <w:lvlText w:val="%1."/>
      <w:lvlJc w:val="left"/>
      <w:pPr>
        <w:tabs>
          <w:tab w:val="num" w:pos="1440"/>
        </w:tabs>
        <w:ind w:left="1440" w:hanging="360"/>
      </w:pPr>
      <w:rPr>
        <w:caps w:val="0"/>
        <w:u w:val="none"/>
      </w:rPr>
    </w:lvl>
  </w:abstractNum>
  <w:abstractNum w:abstractNumId="6" w15:restartNumberingAfterBreak="0">
    <w:nsid w:val="30E86045"/>
    <w:multiLevelType w:val="singleLevel"/>
    <w:tmpl w:val="90FA2CE4"/>
    <w:lvl w:ilvl="0">
      <w:start w:val="1"/>
      <w:numFmt w:val="lowerLetter"/>
      <w:lvlRestart w:val="0"/>
      <w:pStyle w:val="ListAlpha3"/>
      <w:lvlText w:val="%1."/>
      <w:lvlJc w:val="left"/>
      <w:pPr>
        <w:tabs>
          <w:tab w:val="num" w:pos="1080"/>
        </w:tabs>
        <w:ind w:left="1080" w:hanging="360"/>
      </w:pPr>
      <w:rPr>
        <w:caps w:val="0"/>
        <w:u w:val="none"/>
      </w:rPr>
    </w:lvl>
  </w:abstractNum>
  <w:abstractNum w:abstractNumId="7" w15:restartNumberingAfterBreak="0">
    <w:nsid w:val="35FC3403"/>
    <w:multiLevelType w:val="hybridMultilevel"/>
    <w:tmpl w:val="BDDA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4440C"/>
    <w:multiLevelType w:val="singleLevel"/>
    <w:tmpl w:val="079E9202"/>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9" w15:restartNumberingAfterBreak="0">
    <w:nsid w:val="4EE57663"/>
    <w:multiLevelType w:val="singleLevel"/>
    <w:tmpl w:val="72720D18"/>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10" w15:restartNumberingAfterBreak="0">
    <w:nsid w:val="57186971"/>
    <w:multiLevelType w:val="hybridMultilevel"/>
    <w:tmpl w:val="CA581034"/>
    <w:lvl w:ilvl="0" w:tplc="4F18D7EE">
      <w:start w:val="1"/>
      <w:numFmt w:val="decimal"/>
      <w:lvlRestart w:val="0"/>
      <w:pStyle w:val="ListNumber5"/>
      <w:lvlText w:val="%1."/>
      <w:lvlJc w:val="left"/>
      <w:pPr>
        <w:tabs>
          <w:tab w:val="num" w:pos="1800"/>
        </w:tabs>
        <w:ind w:left="1800" w:hanging="360"/>
      </w:pPr>
      <w:rPr>
        <w:caps w:val="0"/>
        <w:u w:val="none"/>
      </w:rPr>
    </w:lvl>
    <w:lvl w:ilvl="1" w:tplc="60B2F5F6">
      <w:numFmt w:val="decimal"/>
      <w:lvlText w:val=""/>
      <w:lvlJc w:val="left"/>
    </w:lvl>
    <w:lvl w:ilvl="2" w:tplc="7A40628C">
      <w:numFmt w:val="decimal"/>
      <w:lvlText w:val=""/>
      <w:lvlJc w:val="left"/>
    </w:lvl>
    <w:lvl w:ilvl="3" w:tplc="EE3CF930">
      <w:numFmt w:val="decimal"/>
      <w:lvlText w:val=""/>
      <w:lvlJc w:val="left"/>
    </w:lvl>
    <w:lvl w:ilvl="4" w:tplc="2FCC1D78">
      <w:numFmt w:val="decimal"/>
      <w:lvlText w:val=""/>
      <w:lvlJc w:val="left"/>
    </w:lvl>
    <w:lvl w:ilvl="5" w:tplc="02DAA0EC">
      <w:numFmt w:val="decimal"/>
      <w:lvlText w:val=""/>
      <w:lvlJc w:val="left"/>
    </w:lvl>
    <w:lvl w:ilvl="6" w:tplc="05D036AA">
      <w:numFmt w:val="decimal"/>
      <w:lvlText w:val=""/>
      <w:lvlJc w:val="left"/>
    </w:lvl>
    <w:lvl w:ilvl="7" w:tplc="66B23B24">
      <w:numFmt w:val="decimal"/>
      <w:lvlText w:val=""/>
      <w:lvlJc w:val="left"/>
    </w:lvl>
    <w:lvl w:ilvl="8" w:tplc="4AA879D4">
      <w:numFmt w:val="decimal"/>
      <w:lvlText w:val=""/>
      <w:lvlJc w:val="left"/>
    </w:lvl>
  </w:abstractNum>
  <w:abstractNum w:abstractNumId="11" w15:restartNumberingAfterBreak="0">
    <w:nsid w:val="5F922024"/>
    <w:multiLevelType w:val="hybridMultilevel"/>
    <w:tmpl w:val="780855CA"/>
    <w:lvl w:ilvl="0" w:tplc="2230D2FC">
      <w:start w:val="1"/>
      <w:numFmt w:val="lowerLetter"/>
      <w:lvlRestart w:val="0"/>
      <w:pStyle w:val="ListAlphaTable"/>
      <w:lvlText w:val="%1."/>
      <w:lvlJc w:val="left"/>
      <w:pPr>
        <w:tabs>
          <w:tab w:val="num" w:pos="360"/>
        </w:tabs>
        <w:ind w:left="360" w:hanging="360"/>
      </w:pPr>
      <w:rPr>
        <w:caps w:val="0"/>
        <w:u w:val="none"/>
      </w:rPr>
    </w:lvl>
    <w:lvl w:ilvl="1" w:tplc="A3825654">
      <w:numFmt w:val="decimal"/>
      <w:lvlText w:val=""/>
      <w:lvlJc w:val="left"/>
    </w:lvl>
    <w:lvl w:ilvl="2" w:tplc="2B48D7F2">
      <w:numFmt w:val="decimal"/>
      <w:lvlText w:val=""/>
      <w:lvlJc w:val="left"/>
    </w:lvl>
    <w:lvl w:ilvl="3" w:tplc="DDFA7E0C">
      <w:numFmt w:val="decimal"/>
      <w:lvlText w:val=""/>
      <w:lvlJc w:val="left"/>
    </w:lvl>
    <w:lvl w:ilvl="4" w:tplc="26DE953C">
      <w:numFmt w:val="decimal"/>
      <w:lvlText w:val=""/>
      <w:lvlJc w:val="left"/>
    </w:lvl>
    <w:lvl w:ilvl="5" w:tplc="8BBC4210">
      <w:numFmt w:val="decimal"/>
      <w:lvlText w:val=""/>
      <w:lvlJc w:val="left"/>
    </w:lvl>
    <w:lvl w:ilvl="6" w:tplc="F0381494">
      <w:numFmt w:val="decimal"/>
      <w:lvlText w:val=""/>
      <w:lvlJc w:val="left"/>
    </w:lvl>
    <w:lvl w:ilvl="7" w:tplc="C7BA9E2A">
      <w:numFmt w:val="decimal"/>
      <w:lvlText w:val=""/>
      <w:lvlJc w:val="left"/>
    </w:lvl>
    <w:lvl w:ilvl="8" w:tplc="16F89FFE">
      <w:numFmt w:val="decimal"/>
      <w:lvlText w:val=""/>
      <w:lvlJc w:val="left"/>
    </w:lvl>
  </w:abstractNum>
  <w:abstractNum w:abstractNumId="12" w15:restartNumberingAfterBreak="0">
    <w:nsid w:val="63697486"/>
    <w:multiLevelType w:val="hybridMultilevel"/>
    <w:tmpl w:val="3ADA23B6"/>
    <w:name w:val="dtNM List Alpha Table"/>
    <w:lvl w:ilvl="0" w:tplc="A7F8573A">
      <w:start w:val="1"/>
      <w:numFmt w:val="lowerLetter"/>
      <w:lvlRestart w:val="0"/>
      <w:pStyle w:val="ListAlpha"/>
      <w:lvlText w:val="%1."/>
      <w:lvlJc w:val="left"/>
      <w:pPr>
        <w:tabs>
          <w:tab w:val="num" w:pos="360"/>
        </w:tabs>
        <w:ind w:left="360" w:hanging="360"/>
      </w:pPr>
      <w:rPr>
        <w:caps w:val="0"/>
        <w:u w:val="none"/>
      </w:rPr>
    </w:lvl>
    <w:lvl w:ilvl="1" w:tplc="AA806572">
      <w:numFmt w:val="decimal"/>
      <w:lvlText w:val=""/>
      <w:lvlJc w:val="left"/>
    </w:lvl>
    <w:lvl w:ilvl="2" w:tplc="3500ABB6">
      <w:numFmt w:val="decimal"/>
      <w:lvlText w:val=""/>
      <w:lvlJc w:val="left"/>
    </w:lvl>
    <w:lvl w:ilvl="3" w:tplc="036A4F8E">
      <w:numFmt w:val="decimal"/>
      <w:lvlText w:val=""/>
      <w:lvlJc w:val="left"/>
    </w:lvl>
    <w:lvl w:ilvl="4" w:tplc="773CC97E">
      <w:numFmt w:val="decimal"/>
      <w:lvlText w:val=""/>
      <w:lvlJc w:val="left"/>
    </w:lvl>
    <w:lvl w:ilvl="5" w:tplc="80C209BA">
      <w:numFmt w:val="decimal"/>
      <w:lvlText w:val=""/>
      <w:lvlJc w:val="left"/>
    </w:lvl>
    <w:lvl w:ilvl="6" w:tplc="84A42E5A">
      <w:numFmt w:val="decimal"/>
      <w:lvlText w:val=""/>
      <w:lvlJc w:val="left"/>
    </w:lvl>
    <w:lvl w:ilvl="7" w:tplc="B7EA1A9C">
      <w:numFmt w:val="decimal"/>
      <w:lvlText w:val=""/>
      <w:lvlJc w:val="left"/>
    </w:lvl>
    <w:lvl w:ilvl="8" w:tplc="1974D67C">
      <w:numFmt w:val="decimal"/>
      <w:lvlText w:val=""/>
      <w:lvlJc w:val="left"/>
    </w:lvl>
  </w:abstractNum>
  <w:abstractNum w:abstractNumId="13" w15:restartNumberingAfterBreak="0">
    <w:nsid w:val="67770791"/>
    <w:multiLevelType w:val="hybridMultilevel"/>
    <w:tmpl w:val="F1BC4BF4"/>
    <w:lvl w:ilvl="0" w:tplc="0A3E61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3D6D4D"/>
    <w:multiLevelType w:val="multilevel"/>
    <w:tmpl w:val="B66C00A6"/>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E992D4C"/>
    <w:multiLevelType w:val="singleLevel"/>
    <w:tmpl w:val="ABE4C696"/>
    <w:name w:val="dtMLAppendix0"/>
    <w:lvl w:ilvl="0">
      <w:start w:val="1"/>
      <w:numFmt w:val="decimal"/>
      <w:lvlRestart w:val="0"/>
      <w:pStyle w:val="ListNumber2"/>
      <w:lvlText w:val="%1."/>
      <w:lvlJc w:val="left"/>
      <w:pPr>
        <w:tabs>
          <w:tab w:val="num" w:pos="720"/>
        </w:tabs>
        <w:ind w:left="720" w:hanging="360"/>
      </w:pPr>
      <w:rPr>
        <w:caps w:val="0"/>
        <w:u w:val="none"/>
      </w:rPr>
    </w:lvl>
  </w:abstractNum>
  <w:abstractNum w:abstractNumId="16" w15:restartNumberingAfterBreak="0">
    <w:nsid w:val="74ED04D6"/>
    <w:multiLevelType w:val="singleLevel"/>
    <w:tmpl w:val="5E124F6A"/>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17" w15:restartNumberingAfterBreak="0">
    <w:nsid w:val="76C94F11"/>
    <w:multiLevelType w:val="singleLevel"/>
    <w:tmpl w:val="E89E8684"/>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18" w15:restartNumberingAfterBreak="0">
    <w:nsid w:val="775251B6"/>
    <w:multiLevelType w:val="singleLevel"/>
    <w:tmpl w:val="EE90B51C"/>
    <w:lvl w:ilvl="0">
      <w:start w:val="1"/>
      <w:numFmt w:val="decimal"/>
      <w:lvlRestart w:val="0"/>
      <w:pStyle w:val="RefText"/>
      <w:lvlText w:val="%1."/>
      <w:lvlJc w:val="left"/>
      <w:pPr>
        <w:tabs>
          <w:tab w:val="num" w:pos="501"/>
        </w:tabs>
        <w:ind w:left="501" w:hanging="501"/>
      </w:pPr>
      <w:rPr>
        <w:caps w:val="0"/>
        <w:u w:val="none"/>
      </w:rPr>
    </w:lvl>
  </w:abstractNum>
  <w:abstractNum w:abstractNumId="19" w15:restartNumberingAfterBreak="0">
    <w:nsid w:val="797D7AE9"/>
    <w:multiLevelType w:val="singleLevel"/>
    <w:tmpl w:val="D2300490"/>
    <w:name w:val="dtNM RefText"/>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20" w15:restartNumberingAfterBreak="0">
    <w:nsid w:val="7ADC2F8B"/>
    <w:multiLevelType w:val="singleLevel"/>
    <w:tmpl w:val="EFB47184"/>
    <w:name w:val="dtBL List Bullet 5"/>
    <w:lvl w:ilvl="0">
      <w:start w:val="1"/>
      <w:numFmt w:val="decimal"/>
      <w:lvlRestart w:val="0"/>
      <w:pStyle w:val="ListNumberTable"/>
      <w:lvlText w:val="%1."/>
      <w:lvlJc w:val="left"/>
      <w:pPr>
        <w:tabs>
          <w:tab w:val="num" w:pos="360"/>
        </w:tabs>
        <w:ind w:left="360" w:hanging="360"/>
      </w:pPr>
      <w:rPr>
        <w:caps w:val="0"/>
        <w:u w:val="none"/>
      </w:rPr>
    </w:lvl>
  </w:abstractNum>
  <w:abstractNum w:abstractNumId="21" w15:restartNumberingAfterBreak="0">
    <w:nsid w:val="7EC40A95"/>
    <w:multiLevelType w:val="singleLevel"/>
    <w:tmpl w:val="8E8055A0"/>
    <w:name w:val="dtBL List Bullet 2"/>
    <w:lvl w:ilvl="0">
      <w:start w:val="1"/>
      <w:numFmt w:val="decimal"/>
      <w:lvlRestart w:val="0"/>
      <w:pStyle w:val="ListNumber3"/>
      <w:lvlText w:val="%1."/>
      <w:lvlJc w:val="left"/>
      <w:pPr>
        <w:tabs>
          <w:tab w:val="num" w:pos="1080"/>
        </w:tabs>
        <w:ind w:left="1080" w:hanging="360"/>
      </w:pPr>
      <w:rPr>
        <w:caps w:val="0"/>
        <w:u w:val="none"/>
      </w:rPr>
    </w:lvl>
  </w:abstractNum>
  <w:abstractNum w:abstractNumId="22" w15:restartNumberingAfterBreak="0">
    <w:nsid w:val="7F467793"/>
    <w:multiLevelType w:val="singleLevel"/>
    <w:tmpl w:val="4BEE5878"/>
    <w:name w:val="dtNM List Number 3"/>
    <w:lvl w:ilvl="0">
      <w:start w:val="1"/>
      <w:numFmt w:val="decimal"/>
      <w:lvlRestart w:val="0"/>
      <w:pStyle w:val="ListNumber4"/>
      <w:lvlText w:val="%1."/>
      <w:lvlJc w:val="left"/>
      <w:pPr>
        <w:tabs>
          <w:tab w:val="num" w:pos="1440"/>
        </w:tabs>
        <w:ind w:left="1440" w:hanging="360"/>
      </w:pPr>
      <w:rPr>
        <w:caps w:val="0"/>
        <w:u w:val="none"/>
      </w:rPr>
    </w:lvl>
  </w:abstractNum>
  <w:num w:numId="1">
    <w:abstractNumId w:val="1"/>
  </w:num>
  <w:num w:numId="2">
    <w:abstractNumId w:val="4"/>
  </w:num>
  <w:num w:numId="3">
    <w:abstractNumId w:val="7"/>
  </w:num>
  <w:num w:numId="4">
    <w:abstractNumId w:val="13"/>
  </w:num>
  <w:num w:numId="5">
    <w:abstractNumId w:val="0"/>
  </w:num>
  <w:num w:numId="6">
    <w:abstractNumId w:val="12"/>
  </w:num>
  <w:num w:numId="7">
    <w:abstractNumId w:val="14"/>
  </w:num>
  <w:num w:numId="8">
    <w:abstractNumId w:val="16"/>
  </w:num>
  <w:num w:numId="9">
    <w:abstractNumId w:val="9"/>
  </w:num>
  <w:num w:numId="10">
    <w:abstractNumId w:val="8"/>
  </w:num>
  <w:num w:numId="11">
    <w:abstractNumId w:val="3"/>
  </w:num>
  <w:num w:numId="12">
    <w:abstractNumId w:val="15"/>
  </w:num>
  <w:num w:numId="13">
    <w:abstractNumId w:val="21"/>
  </w:num>
  <w:num w:numId="14">
    <w:abstractNumId w:val="22"/>
  </w:num>
  <w:num w:numId="15">
    <w:abstractNumId w:val="10"/>
  </w:num>
  <w:num w:numId="16">
    <w:abstractNumId w:val="2"/>
  </w:num>
  <w:num w:numId="17">
    <w:abstractNumId w:val="6"/>
  </w:num>
  <w:num w:numId="18">
    <w:abstractNumId w:val="5"/>
  </w:num>
  <w:num w:numId="19">
    <w:abstractNumId w:val="18"/>
  </w:num>
  <w:num w:numId="20">
    <w:abstractNumId w:val="20"/>
  </w:num>
  <w:num w:numId="21">
    <w:abstractNumId w:val="11"/>
  </w:num>
  <w:num w:numId="22">
    <w:abstractNumId w:val="17"/>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FF"/>
    <w:rsid w:val="00000EE3"/>
    <w:rsid w:val="0000129D"/>
    <w:rsid w:val="00001D8D"/>
    <w:rsid w:val="00003485"/>
    <w:rsid w:val="00003E72"/>
    <w:rsid w:val="000047EC"/>
    <w:rsid w:val="000056AD"/>
    <w:rsid w:val="00005753"/>
    <w:rsid w:val="000068B2"/>
    <w:rsid w:val="00006F10"/>
    <w:rsid w:val="00007B37"/>
    <w:rsid w:val="00007E54"/>
    <w:rsid w:val="00010758"/>
    <w:rsid w:val="000125CF"/>
    <w:rsid w:val="00013840"/>
    <w:rsid w:val="00014782"/>
    <w:rsid w:val="00014B03"/>
    <w:rsid w:val="00015190"/>
    <w:rsid w:val="00015C8E"/>
    <w:rsid w:val="00016180"/>
    <w:rsid w:val="00021A08"/>
    <w:rsid w:val="00021A65"/>
    <w:rsid w:val="00021DFC"/>
    <w:rsid w:val="000228D3"/>
    <w:rsid w:val="00023618"/>
    <w:rsid w:val="00023A77"/>
    <w:rsid w:val="00026F19"/>
    <w:rsid w:val="00030516"/>
    <w:rsid w:val="00030619"/>
    <w:rsid w:val="0003109C"/>
    <w:rsid w:val="00031781"/>
    <w:rsid w:val="000348BB"/>
    <w:rsid w:val="00034939"/>
    <w:rsid w:val="000377A6"/>
    <w:rsid w:val="0004004D"/>
    <w:rsid w:val="00040B63"/>
    <w:rsid w:val="000411F9"/>
    <w:rsid w:val="00041A12"/>
    <w:rsid w:val="00042C4F"/>
    <w:rsid w:val="0004318B"/>
    <w:rsid w:val="00043F60"/>
    <w:rsid w:val="00044EBA"/>
    <w:rsid w:val="00044F4E"/>
    <w:rsid w:val="000461CC"/>
    <w:rsid w:val="00046297"/>
    <w:rsid w:val="000470AA"/>
    <w:rsid w:val="000470D4"/>
    <w:rsid w:val="00047DA9"/>
    <w:rsid w:val="00050846"/>
    <w:rsid w:val="00051B9D"/>
    <w:rsid w:val="00051DD0"/>
    <w:rsid w:val="00054F74"/>
    <w:rsid w:val="00055A21"/>
    <w:rsid w:val="0005650C"/>
    <w:rsid w:val="00056685"/>
    <w:rsid w:val="00057202"/>
    <w:rsid w:val="000607C9"/>
    <w:rsid w:val="00061A86"/>
    <w:rsid w:val="0006616B"/>
    <w:rsid w:val="00067214"/>
    <w:rsid w:val="00070103"/>
    <w:rsid w:val="00071598"/>
    <w:rsid w:val="00072B51"/>
    <w:rsid w:val="00072F76"/>
    <w:rsid w:val="00076636"/>
    <w:rsid w:val="00076968"/>
    <w:rsid w:val="00076EA6"/>
    <w:rsid w:val="00077D2A"/>
    <w:rsid w:val="000804CE"/>
    <w:rsid w:val="00080543"/>
    <w:rsid w:val="00081A83"/>
    <w:rsid w:val="000831D7"/>
    <w:rsid w:val="0008355F"/>
    <w:rsid w:val="00084C6B"/>
    <w:rsid w:val="0008662E"/>
    <w:rsid w:val="0009060E"/>
    <w:rsid w:val="00091AD5"/>
    <w:rsid w:val="00092838"/>
    <w:rsid w:val="00093D47"/>
    <w:rsid w:val="00095635"/>
    <w:rsid w:val="000A0C26"/>
    <w:rsid w:val="000A104A"/>
    <w:rsid w:val="000A26A5"/>
    <w:rsid w:val="000A30A5"/>
    <w:rsid w:val="000A33B0"/>
    <w:rsid w:val="000A44C0"/>
    <w:rsid w:val="000A49E4"/>
    <w:rsid w:val="000A53B5"/>
    <w:rsid w:val="000A663A"/>
    <w:rsid w:val="000B0B84"/>
    <w:rsid w:val="000B13FC"/>
    <w:rsid w:val="000B3F0A"/>
    <w:rsid w:val="000B45B0"/>
    <w:rsid w:val="000B5035"/>
    <w:rsid w:val="000B523A"/>
    <w:rsid w:val="000B57C3"/>
    <w:rsid w:val="000B7C9A"/>
    <w:rsid w:val="000C2142"/>
    <w:rsid w:val="000C2961"/>
    <w:rsid w:val="000C39D9"/>
    <w:rsid w:val="000C53D4"/>
    <w:rsid w:val="000C559F"/>
    <w:rsid w:val="000D29D0"/>
    <w:rsid w:val="000D3BF1"/>
    <w:rsid w:val="000D5318"/>
    <w:rsid w:val="000E011C"/>
    <w:rsid w:val="000E37D2"/>
    <w:rsid w:val="000E407F"/>
    <w:rsid w:val="000E4D30"/>
    <w:rsid w:val="000E6F74"/>
    <w:rsid w:val="000F0682"/>
    <w:rsid w:val="000F071D"/>
    <w:rsid w:val="000F157A"/>
    <w:rsid w:val="000F24CB"/>
    <w:rsid w:val="000F329D"/>
    <w:rsid w:val="000F32A4"/>
    <w:rsid w:val="000F4951"/>
    <w:rsid w:val="000F619C"/>
    <w:rsid w:val="000F6361"/>
    <w:rsid w:val="000F67F5"/>
    <w:rsid w:val="000F76BE"/>
    <w:rsid w:val="00100ED7"/>
    <w:rsid w:val="001103B7"/>
    <w:rsid w:val="00110C57"/>
    <w:rsid w:val="00110FF6"/>
    <w:rsid w:val="0011179D"/>
    <w:rsid w:val="001121A8"/>
    <w:rsid w:val="00112B3F"/>
    <w:rsid w:val="00112E5B"/>
    <w:rsid w:val="00115F05"/>
    <w:rsid w:val="001160C3"/>
    <w:rsid w:val="0011645C"/>
    <w:rsid w:val="00117ED7"/>
    <w:rsid w:val="00120CE4"/>
    <w:rsid w:val="001213AD"/>
    <w:rsid w:val="00121B3A"/>
    <w:rsid w:val="001257E5"/>
    <w:rsid w:val="001269EC"/>
    <w:rsid w:val="00126D54"/>
    <w:rsid w:val="00126F69"/>
    <w:rsid w:val="001306DD"/>
    <w:rsid w:val="00132BE4"/>
    <w:rsid w:val="001357A9"/>
    <w:rsid w:val="00137BF6"/>
    <w:rsid w:val="00137F73"/>
    <w:rsid w:val="00140E17"/>
    <w:rsid w:val="001421CE"/>
    <w:rsid w:val="00143148"/>
    <w:rsid w:val="00143EFC"/>
    <w:rsid w:val="0014514D"/>
    <w:rsid w:val="00150B32"/>
    <w:rsid w:val="00151595"/>
    <w:rsid w:val="00151D07"/>
    <w:rsid w:val="0015492F"/>
    <w:rsid w:val="00155E07"/>
    <w:rsid w:val="00155FE0"/>
    <w:rsid w:val="00156B05"/>
    <w:rsid w:val="00156E48"/>
    <w:rsid w:val="00157277"/>
    <w:rsid w:val="0015760D"/>
    <w:rsid w:val="001607D3"/>
    <w:rsid w:val="001642D5"/>
    <w:rsid w:val="00166982"/>
    <w:rsid w:val="0016709B"/>
    <w:rsid w:val="00171061"/>
    <w:rsid w:val="001714BE"/>
    <w:rsid w:val="00171E79"/>
    <w:rsid w:val="00172101"/>
    <w:rsid w:val="001726CE"/>
    <w:rsid w:val="001734D9"/>
    <w:rsid w:val="001739FA"/>
    <w:rsid w:val="00174659"/>
    <w:rsid w:val="001755CC"/>
    <w:rsid w:val="00176D67"/>
    <w:rsid w:val="00176E90"/>
    <w:rsid w:val="00177983"/>
    <w:rsid w:val="0018348D"/>
    <w:rsid w:val="00184484"/>
    <w:rsid w:val="0018471B"/>
    <w:rsid w:val="00184B2A"/>
    <w:rsid w:val="00184C86"/>
    <w:rsid w:val="0018594E"/>
    <w:rsid w:val="0018622C"/>
    <w:rsid w:val="00187ABB"/>
    <w:rsid w:val="0019027A"/>
    <w:rsid w:val="00190B12"/>
    <w:rsid w:val="001922FA"/>
    <w:rsid w:val="001923EE"/>
    <w:rsid w:val="00192AC6"/>
    <w:rsid w:val="00193B34"/>
    <w:rsid w:val="001959B8"/>
    <w:rsid w:val="00196717"/>
    <w:rsid w:val="00196E11"/>
    <w:rsid w:val="001A0790"/>
    <w:rsid w:val="001A25FF"/>
    <w:rsid w:val="001A49C8"/>
    <w:rsid w:val="001A517E"/>
    <w:rsid w:val="001B0539"/>
    <w:rsid w:val="001B0E15"/>
    <w:rsid w:val="001B1A33"/>
    <w:rsid w:val="001B1BA0"/>
    <w:rsid w:val="001B1F17"/>
    <w:rsid w:val="001B22CB"/>
    <w:rsid w:val="001B38CA"/>
    <w:rsid w:val="001B4670"/>
    <w:rsid w:val="001B4896"/>
    <w:rsid w:val="001B49BE"/>
    <w:rsid w:val="001B613B"/>
    <w:rsid w:val="001B6BE9"/>
    <w:rsid w:val="001B6CDF"/>
    <w:rsid w:val="001B6CE0"/>
    <w:rsid w:val="001B7FC9"/>
    <w:rsid w:val="001C00C4"/>
    <w:rsid w:val="001C09C6"/>
    <w:rsid w:val="001C19BA"/>
    <w:rsid w:val="001C29D4"/>
    <w:rsid w:val="001C41B9"/>
    <w:rsid w:val="001C4708"/>
    <w:rsid w:val="001C58C5"/>
    <w:rsid w:val="001C6AFF"/>
    <w:rsid w:val="001D1D4E"/>
    <w:rsid w:val="001D2530"/>
    <w:rsid w:val="001D5271"/>
    <w:rsid w:val="001D5947"/>
    <w:rsid w:val="001D5FC9"/>
    <w:rsid w:val="001D6BE3"/>
    <w:rsid w:val="001D71E6"/>
    <w:rsid w:val="001E2F0F"/>
    <w:rsid w:val="001E3165"/>
    <w:rsid w:val="001E48BB"/>
    <w:rsid w:val="001E4A5F"/>
    <w:rsid w:val="001E5982"/>
    <w:rsid w:val="001E59B7"/>
    <w:rsid w:val="001F1840"/>
    <w:rsid w:val="001F4E50"/>
    <w:rsid w:val="001F6731"/>
    <w:rsid w:val="001F6965"/>
    <w:rsid w:val="001F6A2C"/>
    <w:rsid w:val="001F6AF5"/>
    <w:rsid w:val="001F72B9"/>
    <w:rsid w:val="002005ED"/>
    <w:rsid w:val="00200B28"/>
    <w:rsid w:val="00201D75"/>
    <w:rsid w:val="0020215B"/>
    <w:rsid w:val="00203676"/>
    <w:rsid w:val="002042BC"/>
    <w:rsid w:val="0020469B"/>
    <w:rsid w:val="00205AC7"/>
    <w:rsid w:val="0021013C"/>
    <w:rsid w:val="00213911"/>
    <w:rsid w:val="002147E1"/>
    <w:rsid w:val="00217C83"/>
    <w:rsid w:val="00220D85"/>
    <w:rsid w:val="00221B59"/>
    <w:rsid w:val="00221E3A"/>
    <w:rsid w:val="00227122"/>
    <w:rsid w:val="002278D3"/>
    <w:rsid w:val="00230BE5"/>
    <w:rsid w:val="002338D3"/>
    <w:rsid w:val="00236F66"/>
    <w:rsid w:val="002371E7"/>
    <w:rsid w:val="00240D7D"/>
    <w:rsid w:val="00243A31"/>
    <w:rsid w:val="00243ADE"/>
    <w:rsid w:val="002440A6"/>
    <w:rsid w:val="00244711"/>
    <w:rsid w:val="002448F6"/>
    <w:rsid w:val="0024600F"/>
    <w:rsid w:val="00250104"/>
    <w:rsid w:val="002504B4"/>
    <w:rsid w:val="002525B2"/>
    <w:rsid w:val="0025327B"/>
    <w:rsid w:val="0025455E"/>
    <w:rsid w:val="00255E6A"/>
    <w:rsid w:val="00261E25"/>
    <w:rsid w:val="002635D8"/>
    <w:rsid w:val="00265117"/>
    <w:rsid w:val="00265197"/>
    <w:rsid w:val="002653A1"/>
    <w:rsid w:val="00270154"/>
    <w:rsid w:val="002702F8"/>
    <w:rsid w:val="00271624"/>
    <w:rsid w:val="0027177D"/>
    <w:rsid w:val="002740A7"/>
    <w:rsid w:val="0027596F"/>
    <w:rsid w:val="0027724C"/>
    <w:rsid w:val="00277EDD"/>
    <w:rsid w:val="002815D9"/>
    <w:rsid w:val="00281FD5"/>
    <w:rsid w:val="00282D12"/>
    <w:rsid w:val="0028341A"/>
    <w:rsid w:val="002855C1"/>
    <w:rsid w:val="002870DB"/>
    <w:rsid w:val="002917A2"/>
    <w:rsid w:val="0029199D"/>
    <w:rsid w:val="00291C8C"/>
    <w:rsid w:val="00292406"/>
    <w:rsid w:val="00292619"/>
    <w:rsid w:val="00292E35"/>
    <w:rsid w:val="00294A15"/>
    <w:rsid w:val="00295C4B"/>
    <w:rsid w:val="00295D2D"/>
    <w:rsid w:val="00296E1B"/>
    <w:rsid w:val="00296EE9"/>
    <w:rsid w:val="0029757C"/>
    <w:rsid w:val="00297704"/>
    <w:rsid w:val="002A049B"/>
    <w:rsid w:val="002A2729"/>
    <w:rsid w:val="002A432B"/>
    <w:rsid w:val="002A5064"/>
    <w:rsid w:val="002A6A2F"/>
    <w:rsid w:val="002A6DFD"/>
    <w:rsid w:val="002A72CD"/>
    <w:rsid w:val="002B11AD"/>
    <w:rsid w:val="002B1775"/>
    <w:rsid w:val="002B1AAB"/>
    <w:rsid w:val="002B1F97"/>
    <w:rsid w:val="002B261C"/>
    <w:rsid w:val="002B3D9A"/>
    <w:rsid w:val="002B6A8D"/>
    <w:rsid w:val="002B7570"/>
    <w:rsid w:val="002B7A67"/>
    <w:rsid w:val="002C0516"/>
    <w:rsid w:val="002C52FA"/>
    <w:rsid w:val="002C5A04"/>
    <w:rsid w:val="002D0692"/>
    <w:rsid w:val="002D0B26"/>
    <w:rsid w:val="002D2038"/>
    <w:rsid w:val="002D62BC"/>
    <w:rsid w:val="002E0A3A"/>
    <w:rsid w:val="002E1984"/>
    <w:rsid w:val="002E1C0F"/>
    <w:rsid w:val="002E244A"/>
    <w:rsid w:val="002E363F"/>
    <w:rsid w:val="002E36D6"/>
    <w:rsid w:val="002E3741"/>
    <w:rsid w:val="002E5338"/>
    <w:rsid w:val="002E7765"/>
    <w:rsid w:val="002E7809"/>
    <w:rsid w:val="002F067C"/>
    <w:rsid w:val="002F19C0"/>
    <w:rsid w:val="002F44B2"/>
    <w:rsid w:val="002F4CAD"/>
    <w:rsid w:val="002F5236"/>
    <w:rsid w:val="002F5C6E"/>
    <w:rsid w:val="002F64B4"/>
    <w:rsid w:val="002F654C"/>
    <w:rsid w:val="002F6F96"/>
    <w:rsid w:val="002F7301"/>
    <w:rsid w:val="00304104"/>
    <w:rsid w:val="0030452B"/>
    <w:rsid w:val="00304938"/>
    <w:rsid w:val="003060F5"/>
    <w:rsid w:val="003065B8"/>
    <w:rsid w:val="003077B2"/>
    <w:rsid w:val="003121CD"/>
    <w:rsid w:val="00312974"/>
    <w:rsid w:val="00314070"/>
    <w:rsid w:val="00314A8A"/>
    <w:rsid w:val="00314FD1"/>
    <w:rsid w:val="00315960"/>
    <w:rsid w:val="00315AB0"/>
    <w:rsid w:val="00316DCE"/>
    <w:rsid w:val="00320266"/>
    <w:rsid w:val="00321738"/>
    <w:rsid w:val="00321F36"/>
    <w:rsid w:val="00324A77"/>
    <w:rsid w:val="003271E4"/>
    <w:rsid w:val="00327310"/>
    <w:rsid w:val="0032795C"/>
    <w:rsid w:val="003321F0"/>
    <w:rsid w:val="00334106"/>
    <w:rsid w:val="003341F1"/>
    <w:rsid w:val="00334211"/>
    <w:rsid w:val="0033431C"/>
    <w:rsid w:val="0033491E"/>
    <w:rsid w:val="003359FE"/>
    <w:rsid w:val="003366EA"/>
    <w:rsid w:val="003368DE"/>
    <w:rsid w:val="0033691D"/>
    <w:rsid w:val="0033712C"/>
    <w:rsid w:val="0033717C"/>
    <w:rsid w:val="00337999"/>
    <w:rsid w:val="0034056A"/>
    <w:rsid w:val="00340592"/>
    <w:rsid w:val="00340BF5"/>
    <w:rsid w:val="00341622"/>
    <w:rsid w:val="00342310"/>
    <w:rsid w:val="0034283A"/>
    <w:rsid w:val="00342F6E"/>
    <w:rsid w:val="0034316D"/>
    <w:rsid w:val="00343492"/>
    <w:rsid w:val="00343757"/>
    <w:rsid w:val="0034484A"/>
    <w:rsid w:val="00344CD4"/>
    <w:rsid w:val="00345E5E"/>
    <w:rsid w:val="003460E9"/>
    <w:rsid w:val="00350093"/>
    <w:rsid w:val="00352BD6"/>
    <w:rsid w:val="003537FF"/>
    <w:rsid w:val="0035533D"/>
    <w:rsid w:val="003556AB"/>
    <w:rsid w:val="00355B75"/>
    <w:rsid w:val="003578A9"/>
    <w:rsid w:val="0036013E"/>
    <w:rsid w:val="003604B7"/>
    <w:rsid w:val="00360EB2"/>
    <w:rsid w:val="00361911"/>
    <w:rsid w:val="00362C5A"/>
    <w:rsid w:val="0036357D"/>
    <w:rsid w:val="003641C5"/>
    <w:rsid w:val="00364CD6"/>
    <w:rsid w:val="00364D9C"/>
    <w:rsid w:val="00365B04"/>
    <w:rsid w:val="00365D7E"/>
    <w:rsid w:val="00365EA8"/>
    <w:rsid w:val="00366CAC"/>
    <w:rsid w:val="00370447"/>
    <w:rsid w:val="00370493"/>
    <w:rsid w:val="003708C8"/>
    <w:rsid w:val="00371EEB"/>
    <w:rsid w:val="00374D00"/>
    <w:rsid w:val="00375937"/>
    <w:rsid w:val="00375C7A"/>
    <w:rsid w:val="0037608C"/>
    <w:rsid w:val="00377AF7"/>
    <w:rsid w:val="0038043B"/>
    <w:rsid w:val="003812E1"/>
    <w:rsid w:val="0038206A"/>
    <w:rsid w:val="00383C60"/>
    <w:rsid w:val="0038717D"/>
    <w:rsid w:val="00387558"/>
    <w:rsid w:val="00387EEE"/>
    <w:rsid w:val="0039224F"/>
    <w:rsid w:val="0039295F"/>
    <w:rsid w:val="0039374F"/>
    <w:rsid w:val="00393DD3"/>
    <w:rsid w:val="00394879"/>
    <w:rsid w:val="00395FC9"/>
    <w:rsid w:val="003960D6"/>
    <w:rsid w:val="00396174"/>
    <w:rsid w:val="003965E8"/>
    <w:rsid w:val="003A1654"/>
    <w:rsid w:val="003B04D7"/>
    <w:rsid w:val="003B08D0"/>
    <w:rsid w:val="003B0CE1"/>
    <w:rsid w:val="003B255D"/>
    <w:rsid w:val="003B31AF"/>
    <w:rsid w:val="003B415B"/>
    <w:rsid w:val="003B4317"/>
    <w:rsid w:val="003B6144"/>
    <w:rsid w:val="003B67D9"/>
    <w:rsid w:val="003B7D36"/>
    <w:rsid w:val="003C0350"/>
    <w:rsid w:val="003C0D7B"/>
    <w:rsid w:val="003C1632"/>
    <w:rsid w:val="003C1EC6"/>
    <w:rsid w:val="003C2929"/>
    <w:rsid w:val="003C44A0"/>
    <w:rsid w:val="003C4BD2"/>
    <w:rsid w:val="003C4BE5"/>
    <w:rsid w:val="003C4D72"/>
    <w:rsid w:val="003C62B2"/>
    <w:rsid w:val="003C6DC6"/>
    <w:rsid w:val="003C7AA4"/>
    <w:rsid w:val="003C7BBE"/>
    <w:rsid w:val="003D017D"/>
    <w:rsid w:val="003D1056"/>
    <w:rsid w:val="003D4153"/>
    <w:rsid w:val="003D4570"/>
    <w:rsid w:val="003D4773"/>
    <w:rsid w:val="003D58CD"/>
    <w:rsid w:val="003D69BC"/>
    <w:rsid w:val="003D6F2E"/>
    <w:rsid w:val="003E1406"/>
    <w:rsid w:val="003E3660"/>
    <w:rsid w:val="003E3F04"/>
    <w:rsid w:val="003E4E06"/>
    <w:rsid w:val="003E553E"/>
    <w:rsid w:val="003E554B"/>
    <w:rsid w:val="003E6DCC"/>
    <w:rsid w:val="003F060F"/>
    <w:rsid w:val="003F11B8"/>
    <w:rsid w:val="003F3FC4"/>
    <w:rsid w:val="003F44F5"/>
    <w:rsid w:val="003F511D"/>
    <w:rsid w:val="003F5BDF"/>
    <w:rsid w:val="003F74E9"/>
    <w:rsid w:val="003F7BE9"/>
    <w:rsid w:val="0040285E"/>
    <w:rsid w:val="00402BD4"/>
    <w:rsid w:val="004032ED"/>
    <w:rsid w:val="004053A7"/>
    <w:rsid w:val="00406422"/>
    <w:rsid w:val="00406AD7"/>
    <w:rsid w:val="0041003D"/>
    <w:rsid w:val="0041128D"/>
    <w:rsid w:val="00411D49"/>
    <w:rsid w:val="00412BD7"/>
    <w:rsid w:val="004145C0"/>
    <w:rsid w:val="00416EB9"/>
    <w:rsid w:val="004173A7"/>
    <w:rsid w:val="00422192"/>
    <w:rsid w:val="0042257E"/>
    <w:rsid w:val="00424450"/>
    <w:rsid w:val="00424BE6"/>
    <w:rsid w:val="00425017"/>
    <w:rsid w:val="004256C1"/>
    <w:rsid w:val="00426E81"/>
    <w:rsid w:val="00431C0C"/>
    <w:rsid w:val="00432270"/>
    <w:rsid w:val="00432FC2"/>
    <w:rsid w:val="0043316C"/>
    <w:rsid w:val="00433191"/>
    <w:rsid w:val="00433971"/>
    <w:rsid w:val="00433FCA"/>
    <w:rsid w:val="004402BD"/>
    <w:rsid w:val="00441B28"/>
    <w:rsid w:val="00444253"/>
    <w:rsid w:val="00444939"/>
    <w:rsid w:val="00445E68"/>
    <w:rsid w:val="00445F68"/>
    <w:rsid w:val="004462E9"/>
    <w:rsid w:val="00452FCB"/>
    <w:rsid w:val="0045477D"/>
    <w:rsid w:val="00454902"/>
    <w:rsid w:val="00456D74"/>
    <w:rsid w:val="00460035"/>
    <w:rsid w:val="004611A6"/>
    <w:rsid w:val="004621D0"/>
    <w:rsid w:val="004656B1"/>
    <w:rsid w:val="00466103"/>
    <w:rsid w:val="00470534"/>
    <w:rsid w:val="00470E47"/>
    <w:rsid w:val="004715CB"/>
    <w:rsid w:val="00473C94"/>
    <w:rsid w:val="00475942"/>
    <w:rsid w:val="00475EDD"/>
    <w:rsid w:val="00476452"/>
    <w:rsid w:val="0047776E"/>
    <w:rsid w:val="004779F5"/>
    <w:rsid w:val="00477DBC"/>
    <w:rsid w:val="00481BDF"/>
    <w:rsid w:val="004823F2"/>
    <w:rsid w:val="00486C8C"/>
    <w:rsid w:val="00486E55"/>
    <w:rsid w:val="0048736D"/>
    <w:rsid w:val="00487583"/>
    <w:rsid w:val="004907F7"/>
    <w:rsid w:val="00490906"/>
    <w:rsid w:val="00490958"/>
    <w:rsid w:val="00491164"/>
    <w:rsid w:val="00494672"/>
    <w:rsid w:val="00495966"/>
    <w:rsid w:val="004A1702"/>
    <w:rsid w:val="004A333D"/>
    <w:rsid w:val="004A35D3"/>
    <w:rsid w:val="004A4A05"/>
    <w:rsid w:val="004A4A54"/>
    <w:rsid w:val="004A4A61"/>
    <w:rsid w:val="004A5EA8"/>
    <w:rsid w:val="004A66B4"/>
    <w:rsid w:val="004A713E"/>
    <w:rsid w:val="004B2223"/>
    <w:rsid w:val="004B225C"/>
    <w:rsid w:val="004B48F5"/>
    <w:rsid w:val="004B527B"/>
    <w:rsid w:val="004B5B41"/>
    <w:rsid w:val="004C3599"/>
    <w:rsid w:val="004C36E7"/>
    <w:rsid w:val="004C3F06"/>
    <w:rsid w:val="004C6630"/>
    <w:rsid w:val="004C6C8D"/>
    <w:rsid w:val="004C75D2"/>
    <w:rsid w:val="004D1C79"/>
    <w:rsid w:val="004D296B"/>
    <w:rsid w:val="004D2F66"/>
    <w:rsid w:val="004D3C8A"/>
    <w:rsid w:val="004D3DFD"/>
    <w:rsid w:val="004D4175"/>
    <w:rsid w:val="004D772B"/>
    <w:rsid w:val="004E0833"/>
    <w:rsid w:val="004E11A2"/>
    <w:rsid w:val="004E139A"/>
    <w:rsid w:val="004E15EE"/>
    <w:rsid w:val="004E4AE0"/>
    <w:rsid w:val="004E62B4"/>
    <w:rsid w:val="004F1A2C"/>
    <w:rsid w:val="004F23B6"/>
    <w:rsid w:val="004F3E92"/>
    <w:rsid w:val="004F5136"/>
    <w:rsid w:val="004F6D04"/>
    <w:rsid w:val="004F7101"/>
    <w:rsid w:val="00501EF5"/>
    <w:rsid w:val="005040EC"/>
    <w:rsid w:val="00504BE5"/>
    <w:rsid w:val="0050515E"/>
    <w:rsid w:val="00506F82"/>
    <w:rsid w:val="005078EC"/>
    <w:rsid w:val="005078FF"/>
    <w:rsid w:val="00510CC1"/>
    <w:rsid w:val="00511134"/>
    <w:rsid w:val="005116D5"/>
    <w:rsid w:val="0051348F"/>
    <w:rsid w:val="00513657"/>
    <w:rsid w:val="005138C3"/>
    <w:rsid w:val="00513F3D"/>
    <w:rsid w:val="00514712"/>
    <w:rsid w:val="005155C8"/>
    <w:rsid w:val="0051648F"/>
    <w:rsid w:val="00517EAF"/>
    <w:rsid w:val="00520868"/>
    <w:rsid w:val="005209FF"/>
    <w:rsid w:val="00521F9E"/>
    <w:rsid w:val="0052396C"/>
    <w:rsid w:val="00524FB7"/>
    <w:rsid w:val="00525588"/>
    <w:rsid w:val="00526ABF"/>
    <w:rsid w:val="00530A61"/>
    <w:rsid w:val="00530C26"/>
    <w:rsid w:val="005312B8"/>
    <w:rsid w:val="00532691"/>
    <w:rsid w:val="00533980"/>
    <w:rsid w:val="0053404D"/>
    <w:rsid w:val="005347E4"/>
    <w:rsid w:val="00534AF6"/>
    <w:rsid w:val="00536688"/>
    <w:rsid w:val="005369D6"/>
    <w:rsid w:val="005370A5"/>
    <w:rsid w:val="005422B9"/>
    <w:rsid w:val="005427E3"/>
    <w:rsid w:val="005428D5"/>
    <w:rsid w:val="00543661"/>
    <w:rsid w:val="005451AD"/>
    <w:rsid w:val="00545FAC"/>
    <w:rsid w:val="005469E0"/>
    <w:rsid w:val="00550947"/>
    <w:rsid w:val="00551304"/>
    <w:rsid w:val="005522AF"/>
    <w:rsid w:val="005538BF"/>
    <w:rsid w:val="00554832"/>
    <w:rsid w:val="00554880"/>
    <w:rsid w:val="00554D73"/>
    <w:rsid w:val="00555AF3"/>
    <w:rsid w:val="00555CB1"/>
    <w:rsid w:val="00557910"/>
    <w:rsid w:val="00560745"/>
    <w:rsid w:val="00560C96"/>
    <w:rsid w:val="0056147F"/>
    <w:rsid w:val="00563804"/>
    <w:rsid w:val="00565BAB"/>
    <w:rsid w:val="00570A6A"/>
    <w:rsid w:val="00570D95"/>
    <w:rsid w:val="005710F1"/>
    <w:rsid w:val="0057123D"/>
    <w:rsid w:val="00571DF5"/>
    <w:rsid w:val="005727BE"/>
    <w:rsid w:val="00572C82"/>
    <w:rsid w:val="0057397A"/>
    <w:rsid w:val="00573E0A"/>
    <w:rsid w:val="00574309"/>
    <w:rsid w:val="005809FF"/>
    <w:rsid w:val="005810AB"/>
    <w:rsid w:val="00581D7D"/>
    <w:rsid w:val="005820D2"/>
    <w:rsid w:val="0058219D"/>
    <w:rsid w:val="005830D0"/>
    <w:rsid w:val="00583217"/>
    <w:rsid w:val="0058391B"/>
    <w:rsid w:val="00585695"/>
    <w:rsid w:val="00585E34"/>
    <w:rsid w:val="005871F4"/>
    <w:rsid w:val="00587809"/>
    <w:rsid w:val="00591258"/>
    <w:rsid w:val="00591CD8"/>
    <w:rsid w:val="00591CE0"/>
    <w:rsid w:val="005941CD"/>
    <w:rsid w:val="00594FF9"/>
    <w:rsid w:val="00596327"/>
    <w:rsid w:val="005A13F7"/>
    <w:rsid w:val="005A1A63"/>
    <w:rsid w:val="005A21FE"/>
    <w:rsid w:val="005A2CDB"/>
    <w:rsid w:val="005A4419"/>
    <w:rsid w:val="005A454A"/>
    <w:rsid w:val="005A4FBD"/>
    <w:rsid w:val="005A5C66"/>
    <w:rsid w:val="005A6642"/>
    <w:rsid w:val="005A75CE"/>
    <w:rsid w:val="005A7CD0"/>
    <w:rsid w:val="005B0749"/>
    <w:rsid w:val="005B2A88"/>
    <w:rsid w:val="005B33D9"/>
    <w:rsid w:val="005B3E77"/>
    <w:rsid w:val="005B3FA2"/>
    <w:rsid w:val="005B5D18"/>
    <w:rsid w:val="005B7CFC"/>
    <w:rsid w:val="005B7DD2"/>
    <w:rsid w:val="005C04A5"/>
    <w:rsid w:val="005C0E42"/>
    <w:rsid w:val="005C1A8E"/>
    <w:rsid w:val="005C1B07"/>
    <w:rsid w:val="005C1ED3"/>
    <w:rsid w:val="005C55E1"/>
    <w:rsid w:val="005D154D"/>
    <w:rsid w:val="005D18F0"/>
    <w:rsid w:val="005D1B5E"/>
    <w:rsid w:val="005D6C41"/>
    <w:rsid w:val="005E1AAC"/>
    <w:rsid w:val="005E1E57"/>
    <w:rsid w:val="005E2625"/>
    <w:rsid w:val="005E447F"/>
    <w:rsid w:val="005E4D9D"/>
    <w:rsid w:val="005E5BF2"/>
    <w:rsid w:val="005E66C3"/>
    <w:rsid w:val="005F0195"/>
    <w:rsid w:val="005F0573"/>
    <w:rsid w:val="005F1C1A"/>
    <w:rsid w:val="005F2369"/>
    <w:rsid w:val="005F2E62"/>
    <w:rsid w:val="005F4524"/>
    <w:rsid w:val="005F464B"/>
    <w:rsid w:val="005F4D6F"/>
    <w:rsid w:val="005F645C"/>
    <w:rsid w:val="005F69D0"/>
    <w:rsid w:val="005F6B69"/>
    <w:rsid w:val="00601BE4"/>
    <w:rsid w:val="00604C3D"/>
    <w:rsid w:val="0060504B"/>
    <w:rsid w:val="00605400"/>
    <w:rsid w:val="00605E5E"/>
    <w:rsid w:val="00607BBD"/>
    <w:rsid w:val="00610233"/>
    <w:rsid w:val="006121EA"/>
    <w:rsid w:val="00615854"/>
    <w:rsid w:val="00616326"/>
    <w:rsid w:val="0061777E"/>
    <w:rsid w:val="00622444"/>
    <w:rsid w:val="0062454C"/>
    <w:rsid w:val="006259C3"/>
    <w:rsid w:val="00627E7C"/>
    <w:rsid w:val="00630E11"/>
    <w:rsid w:val="00631952"/>
    <w:rsid w:val="00631CA2"/>
    <w:rsid w:val="006329DE"/>
    <w:rsid w:val="006347DE"/>
    <w:rsid w:val="00636499"/>
    <w:rsid w:val="00636841"/>
    <w:rsid w:val="00636A67"/>
    <w:rsid w:val="00636F71"/>
    <w:rsid w:val="0063741A"/>
    <w:rsid w:val="0064180E"/>
    <w:rsid w:val="006422E9"/>
    <w:rsid w:val="006426E0"/>
    <w:rsid w:val="00642A3F"/>
    <w:rsid w:val="00643055"/>
    <w:rsid w:val="00643249"/>
    <w:rsid w:val="00643314"/>
    <w:rsid w:val="00645916"/>
    <w:rsid w:val="0064653B"/>
    <w:rsid w:val="00647816"/>
    <w:rsid w:val="00651AAC"/>
    <w:rsid w:val="00651FA2"/>
    <w:rsid w:val="00652772"/>
    <w:rsid w:val="00654082"/>
    <w:rsid w:val="006540AD"/>
    <w:rsid w:val="00657974"/>
    <w:rsid w:val="006626BA"/>
    <w:rsid w:val="00665D3D"/>
    <w:rsid w:val="0066675A"/>
    <w:rsid w:val="00667C2E"/>
    <w:rsid w:val="00670E23"/>
    <w:rsid w:val="006749E5"/>
    <w:rsid w:val="00675710"/>
    <w:rsid w:val="006763E2"/>
    <w:rsid w:val="00676EEC"/>
    <w:rsid w:val="00677390"/>
    <w:rsid w:val="0067777B"/>
    <w:rsid w:val="00677AEE"/>
    <w:rsid w:val="006828B4"/>
    <w:rsid w:val="00683128"/>
    <w:rsid w:val="00687B03"/>
    <w:rsid w:val="00690991"/>
    <w:rsid w:val="00690CD7"/>
    <w:rsid w:val="00691049"/>
    <w:rsid w:val="00692223"/>
    <w:rsid w:val="00693380"/>
    <w:rsid w:val="0069346B"/>
    <w:rsid w:val="00693DEF"/>
    <w:rsid w:val="00693FCC"/>
    <w:rsid w:val="00694A87"/>
    <w:rsid w:val="006959EB"/>
    <w:rsid w:val="00697C69"/>
    <w:rsid w:val="006A2A75"/>
    <w:rsid w:val="006A3183"/>
    <w:rsid w:val="006A74DE"/>
    <w:rsid w:val="006B08FF"/>
    <w:rsid w:val="006B0B12"/>
    <w:rsid w:val="006B1DF4"/>
    <w:rsid w:val="006B3CD9"/>
    <w:rsid w:val="006B4EBF"/>
    <w:rsid w:val="006B51DC"/>
    <w:rsid w:val="006B546D"/>
    <w:rsid w:val="006B5D69"/>
    <w:rsid w:val="006B6248"/>
    <w:rsid w:val="006B65E9"/>
    <w:rsid w:val="006B6B72"/>
    <w:rsid w:val="006C3233"/>
    <w:rsid w:val="006C3AF5"/>
    <w:rsid w:val="006C43D0"/>
    <w:rsid w:val="006C45D0"/>
    <w:rsid w:val="006C4D55"/>
    <w:rsid w:val="006C557E"/>
    <w:rsid w:val="006C75A6"/>
    <w:rsid w:val="006D2175"/>
    <w:rsid w:val="006D2EF5"/>
    <w:rsid w:val="006D3351"/>
    <w:rsid w:val="006D4645"/>
    <w:rsid w:val="006D49AC"/>
    <w:rsid w:val="006D4E0F"/>
    <w:rsid w:val="006D5C3E"/>
    <w:rsid w:val="006D65D2"/>
    <w:rsid w:val="006E0E55"/>
    <w:rsid w:val="006E2AF0"/>
    <w:rsid w:val="006E3C5C"/>
    <w:rsid w:val="006E4EF9"/>
    <w:rsid w:val="006E67FF"/>
    <w:rsid w:val="006E739C"/>
    <w:rsid w:val="006E77EE"/>
    <w:rsid w:val="006E7F40"/>
    <w:rsid w:val="006F1C39"/>
    <w:rsid w:val="006F3A5D"/>
    <w:rsid w:val="006F3C69"/>
    <w:rsid w:val="006F3DC9"/>
    <w:rsid w:val="006F4C17"/>
    <w:rsid w:val="006F567B"/>
    <w:rsid w:val="006F5771"/>
    <w:rsid w:val="006F5975"/>
    <w:rsid w:val="006F6762"/>
    <w:rsid w:val="006F728A"/>
    <w:rsid w:val="006F7D41"/>
    <w:rsid w:val="006F7F41"/>
    <w:rsid w:val="00704B85"/>
    <w:rsid w:val="00705AA2"/>
    <w:rsid w:val="00706DBE"/>
    <w:rsid w:val="00710299"/>
    <w:rsid w:val="00711639"/>
    <w:rsid w:val="0071171F"/>
    <w:rsid w:val="00711725"/>
    <w:rsid w:val="00712BBE"/>
    <w:rsid w:val="0071397E"/>
    <w:rsid w:val="00717425"/>
    <w:rsid w:val="00717E11"/>
    <w:rsid w:val="00721F4D"/>
    <w:rsid w:val="007227F0"/>
    <w:rsid w:val="00723232"/>
    <w:rsid w:val="007249E0"/>
    <w:rsid w:val="00725DF7"/>
    <w:rsid w:val="0073010B"/>
    <w:rsid w:val="00731A5A"/>
    <w:rsid w:val="00731AB3"/>
    <w:rsid w:val="00734033"/>
    <w:rsid w:val="00736435"/>
    <w:rsid w:val="00737574"/>
    <w:rsid w:val="007403A4"/>
    <w:rsid w:val="00740CB0"/>
    <w:rsid w:val="00740DFD"/>
    <w:rsid w:val="00741A60"/>
    <w:rsid w:val="00742BAB"/>
    <w:rsid w:val="00745032"/>
    <w:rsid w:val="007452A6"/>
    <w:rsid w:val="007454D3"/>
    <w:rsid w:val="00746CA2"/>
    <w:rsid w:val="00746DDD"/>
    <w:rsid w:val="00747F6B"/>
    <w:rsid w:val="007519CD"/>
    <w:rsid w:val="00754133"/>
    <w:rsid w:val="007542B4"/>
    <w:rsid w:val="0075551D"/>
    <w:rsid w:val="00755FFF"/>
    <w:rsid w:val="007565A0"/>
    <w:rsid w:val="00756AAF"/>
    <w:rsid w:val="00757C58"/>
    <w:rsid w:val="007607D6"/>
    <w:rsid w:val="007614F7"/>
    <w:rsid w:val="007633BB"/>
    <w:rsid w:val="00764225"/>
    <w:rsid w:val="00765370"/>
    <w:rsid w:val="007663A4"/>
    <w:rsid w:val="00766924"/>
    <w:rsid w:val="007671BB"/>
    <w:rsid w:val="007677DE"/>
    <w:rsid w:val="007701A1"/>
    <w:rsid w:val="007703ED"/>
    <w:rsid w:val="00770D77"/>
    <w:rsid w:val="00771577"/>
    <w:rsid w:val="00771D09"/>
    <w:rsid w:val="007726A5"/>
    <w:rsid w:val="00772768"/>
    <w:rsid w:val="0077356A"/>
    <w:rsid w:val="007737F5"/>
    <w:rsid w:val="00773C76"/>
    <w:rsid w:val="007770FA"/>
    <w:rsid w:val="0077794A"/>
    <w:rsid w:val="007803B1"/>
    <w:rsid w:val="007840BF"/>
    <w:rsid w:val="00784164"/>
    <w:rsid w:val="00784BDF"/>
    <w:rsid w:val="00785327"/>
    <w:rsid w:val="00787D1C"/>
    <w:rsid w:val="0079126D"/>
    <w:rsid w:val="007918AB"/>
    <w:rsid w:val="0079235D"/>
    <w:rsid w:val="007925A4"/>
    <w:rsid w:val="00792757"/>
    <w:rsid w:val="00793347"/>
    <w:rsid w:val="00793A2B"/>
    <w:rsid w:val="00793FA4"/>
    <w:rsid w:val="0079556E"/>
    <w:rsid w:val="00795CC0"/>
    <w:rsid w:val="00795F7A"/>
    <w:rsid w:val="00796AF9"/>
    <w:rsid w:val="00797D1A"/>
    <w:rsid w:val="007A0C89"/>
    <w:rsid w:val="007A0DF9"/>
    <w:rsid w:val="007A1284"/>
    <w:rsid w:val="007A2AAB"/>
    <w:rsid w:val="007A3EFA"/>
    <w:rsid w:val="007A6018"/>
    <w:rsid w:val="007A7046"/>
    <w:rsid w:val="007B017E"/>
    <w:rsid w:val="007B305B"/>
    <w:rsid w:val="007B4A20"/>
    <w:rsid w:val="007B5492"/>
    <w:rsid w:val="007B5E55"/>
    <w:rsid w:val="007C1E4E"/>
    <w:rsid w:val="007C56B8"/>
    <w:rsid w:val="007D1BE7"/>
    <w:rsid w:val="007D493F"/>
    <w:rsid w:val="007D562B"/>
    <w:rsid w:val="007D5770"/>
    <w:rsid w:val="007D68A1"/>
    <w:rsid w:val="007E14CC"/>
    <w:rsid w:val="007E4E0D"/>
    <w:rsid w:val="007E5605"/>
    <w:rsid w:val="007E630E"/>
    <w:rsid w:val="007E659A"/>
    <w:rsid w:val="007E68C2"/>
    <w:rsid w:val="007E6B0D"/>
    <w:rsid w:val="007E7059"/>
    <w:rsid w:val="007F192D"/>
    <w:rsid w:val="007F3748"/>
    <w:rsid w:val="007F4DBF"/>
    <w:rsid w:val="007F556C"/>
    <w:rsid w:val="007F5F8D"/>
    <w:rsid w:val="007F64B1"/>
    <w:rsid w:val="00800F6D"/>
    <w:rsid w:val="0080106B"/>
    <w:rsid w:val="00802CF0"/>
    <w:rsid w:val="008049EB"/>
    <w:rsid w:val="00807203"/>
    <w:rsid w:val="008073CC"/>
    <w:rsid w:val="00807A52"/>
    <w:rsid w:val="00813339"/>
    <w:rsid w:val="008149D0"/>
    <w:rsid w:val="00814D9A"/>
    <w:rsid w:val="00814F73"/>
    <w:rsid w:val="0081528F"/>
    <w:rsid w:val="008156AC"/>
    <w:rsid w:val="00815F93"/>
    <w:rsid w:val="00816B9C"/>
    <w:rsid w:val="008170DF"/>
    <w:rsid w:val="00820A64"/>
    <w:rsid w:val="00824F6A"/>
    <w:rsid w:val="00825548"/>
    <w:rsid w:val="00825619"/>
    <w:rsid w:val="008257C3"/>
    <w:rsid w:val="00825B7F"/>
    <w:rsid w:val="00825D96"/>
    <w:rsid w:val="008262E5"/>
    <w:rsid w:val="008266A8"/>
    <w:rsid w:val="008307DF"/>
    <w:rsid w:val="00830B98"/>
    <w:rsid w:val="0083317B"/>
    <w:rsid w:val="00834070"/>
    <w:rsid w:val="0083697F"/>
    <w:rsid w:val="00836FCD"/>
    <w:rsid w:val="008379DE"/>
    <w:rsid w:val="00837C3E"/>
    <w:rsid w:val="00841778"/>
    <w:rsid w:val="008419D3"/>
    <w:rsid w:val="00845566"/>
    <w:rsid w:val="00846957"/>
    <w:rsid w:val="00850050"/>
    <w:rsid w:val="008507F2"/>
    <w:rsid w:val="00850BE3"/>
    <w:rsid w:val="00851E1A"/>
    <w:rsid w:val="008535D1"/>
    <w:rsid w:val="00854B9E"/>
    <w:rsid w:val="00855265"/>
    <w:rsid w:val="00855539"/>
    <w:rsid w:val="00856708"/>
    <w:rsid w:val="00856C1E"/>
    <w:rsid w:val="0085721D"/>
    <w:rsid w:val="00857527"/>
    <w:rsid w:val="00860B37"/>
    <w:rsid w:val="00860B62"/>
    <w:rsid w:val="00862827"/>
    <w:rsid w:val="008633A4"/>
    <w:rsid w:val="00864C31"/>
    <w:rsid w:val="00865454"/>
    <w:rsid w:val="00865C0E"/>
    <w:rsid w:val="008666FF"/>
    <w:rsid w:val="00867B69"/>
    <w:rsid w:val="00870E8F"/>
    <w:rsid w:val="00871E1E"/>
    <w:rsid w:val="008740A7"/>
    <w:rsid w:val="00874886"/>
    <w:rsid w:val="00876894"/>
    <w:rsid w:val="008768CF"/>
    <w:rsid w:val="00876AF1"/>
    <w:rsid w:val="00877EB8"/>
    <w:rsid w:val="00881EDF"/>
    <w:rsid w:val="00882757"/>
    <w:rsid w:val="00883AA9"/>
    <w:rsid w:val="00883F73"/>
    <w:rsid w:val="00887811"/>
    <w:rsid w:val="0088788B"/>
    <w:rsid w:val="00890CC8"/>
    <w:rsid w:val="00890CCC"/>
    <w:rsid w:val="00891665"/>
    <w:rsid w:val="00893247"/>
    <w:rsid w:val="008939DF"/>
    <w:rsid w:val="0089789B"/>
    <w:rsid w:val="008A0306"/>
    <w:rsid w:val="008A3D36"/>
    <w:rsid w:val="008A53EC"/>
    <w:rsid w:val="008A64B0"/>
    <w:rsid w:val="008A795F"/>
    <w:rsid w:val="008B175F"/>
    <w:rsid w:val="008B1870"/>
    <w:rsid w:val="008B21F4"/>
    <w:rsid w:val="008B3271"/>
    <w:rsid w:val="008B3DE7"/>
    <w:rsid w:val="008B5AAD"/>
    <w:rsid w:val="008B6D21"/>
    <w:rsid w:val="008B6D36"/>
    <w:rsid w:val="008B7183"/>
    <w:rsid w:val="008C12D8"/>
    <w:rsid w:val="008C3CD4"/>
    <w:rsid w:val="008C5A9B"/>
    <w:rsid w:val="008C5D34"/>
    <w:rsid w:val="008C622E"/>
    <w:rsid w:val="008C6E36"/>
    <w:rsid w:val="008C6EF5"/>
    <w:rsid w:val="008C7003"/>
    <w:rsid w:val="008D0410"/>
    <w:rsid w:val="008D0587"/>
    <w:rsid w:val="008D0BDE"/>
    <w:rsid w:val="008D1D9D"/>
    <w:rsid w:val="008D35AB"/>
    <w:rsid w:val="008D5EB4"/>
    <w:rsid w:val="008D69D8"/>
    <w:rsid w:val="008D6C52"/>
    <w:rsid w:val="008E1814"/>
    <w:rsid w:val="008E435F"/>
    <w:rsid w:val="008E4767"/>
    <w:rsid w:val="008E60FE"/>
    <w:rsid w:val="008E63FA"/>
    <w:rsid w:val="008E64F2"/>
    <w:rsid w:val="008E6F4D"/>
    <w:rsid w:val="008F2186"/>
    <w:rsid w:val="008F2853"/>
    <w:rsid w:val="008F321B"/>
    <w:rsid w:val="008F438A"/>
    <w:rsid w:val="008F4E95"/>
    <w:rsid w:val="008F4ECC"/>
    <w:rsid w:val="008F58DB"/>
    <w:rsid w:val="008F6394"/>
    <w:rsid w:val="008F6B80"/>
    <w:rsid w:val="00900DB6"/>
    <w:rsid w:val="00901197"/>
    <w:rsid w:val="009013C8"/>
    <w:rsid w:val="00901EB4"/>
    <w:rsid w:val="00902136"/>
    <w:rsid w:val="009021BA"/>
    <w:rsid w:val="00902ECC"/>
    <w:rsid w:val="0090498F"/>
    <w:rsid w:val="00904B18"/>
    <w:rsid w:val="00904DCF"/>
    <w:rsid w:val="009053D7"/>
    <w:rsid w:val="00910F39"/>
    <w:rsid w:val="009118B7"/>
    <w:rsid w:val="00913577"/>
    <w:rsid w:val="009135CE"/>
    <w:rsid w:val="00915C01"/>
    <w:rsid w:val="00915F33"/>
    <w:rsid w:val="00917D51"/>
    <w:rsid w:val="00917DF6"/>
    <w:rsid w:val="00921CB7"/>
    <w:rsid w:val="00922F51"/>
    <w:rsid w:val="00924C8B"/>
    <w:rsid w:val="009258F2"/>
    <w:rsid w:val="00927164"/>
    <w:rsid w:val="009304E0"/>
    <w:rsid w:val="009308D2"/>
    <w:rsid w:val="00931426"/>
    <w:rsid w:val="00932B9D"/>
    <w:rsid w:val="0093358A"/>
    <w:rsid w:val="00933B56"/>
    <w:rsid w:val="0093436D"/>
    <w:rsid w:val="009345B6"/>
    <w:rsid w:val="00935162"/>
    <w:rsid w:val="009368F6"/>
    <w:rsid w:val="00937FB1"/>
    <w:rsid w:val="009402FC"/>
    <w:rsid w:val="009405F0"/>
    <w:rsid w:val="00940A6B"/>
    <w:rsid w:val="00942DE8"/>
    <w:rsid w:val="00943EBD"/>
    <w:rsid w:val="009456D9"/>
    <w:rsid w:val="00945BCB"/>
    <w:rsid w:val="00946573"/>
    <w:rsid w:val="00947A65"/>
    <w:rsid w:val="009522D3"/>
    <w:rsid w:val="00953475"/>
    <w:rsid w:val="00953CCB"/>
    <w:rsid w:val="009549B6"/>
    <w:rsid w:val="009571B0"/>
    <w:rsid w:val="00960381"/>
    <w:rsid w:val="0096286E"/>
    <w:rsid w:val="00963B2B"/>
    <w:rsid w:val="00966088"/>
    <w:rsid w:val="009668A8"/>
    <w:rsid w:val="0096699F"/>
    <w:rsid w:val="00966E66"/>
    <w:rsid w:val="009709B7"/>
    <w:rsid w:val="009710C9"/>
    <w:rsid w:val="00971347"/>
    <w:rsid w:val="0097155E"/>
    <w:rsid w:val="009728AF"/>
    <w:rsid w:val="00972953"/>
    <w:rsid w:val="00973CF6"/>
    <w:rsid w:val="0097498D"/>
    <w:rsid w:val="00975A28"/>
    <w:rsid w:val="00975A34"/>
    <w:rsid w:val="009773E4"/>
    <w:rsid w:val="0097756B"/>
    <w:rsid w:val="00977B2D"/>
    <w:rsid w:val="00977C31"/>
    <w:rsid w:val="009802F2"/>
    <w:rsid w:val="009803E2"/>
    <w:rsid w:val="0098073C"/>
    <w:rsid w:val="00981F48"/>
    <w:rsid w:val="00982CF0"/>
    <w:rsid w:val="0098320F"/>
    <w:rsid w:val="00983D6B"/>
    <w:rsid w:val="009846B8"/>
    <w:rsid w:val="00984ECC"/>
    <w:rsid w:val="00986472"/>
    <w:rsid w:val="00986992"/>
    <w:rsid w:val="00987E85"/>
    <w:rsid w:val="0099069A"/>
    <w:rsid w:val="00990E98"/>
    <w:rsid w:val="00990FF3"/>
    <w:rsid w:val="00992437"/>
    <w:rsid w:val="009930D0"/>
    <w:rsid w:val="009940A2"/>
    <w:rsid w:val="009950C7"/>
    <w:rsid w:val="00995EFD"/>
    <w:rsid w:val="0099688D"/>
    <w:rsid w:val="0099703F"/>
    <w:rsid w:val="00997FBE"/>
    <w:rsid w:val="009A24F0"/>
    <w:rsid w:val="009A3F17"/>
    <w:rsid w:val="009A4533"/>
    <w:rsid w:val="009A4719"/>
    <w:rsid w:val="009A4EE2"/>
    <w:rsid w:val="009A5B62"/>
    <w:rsid w:val="009A6793"/>
    <w:rsid w:val="009A7449"/>
    <w:rsid w:val="009A7484"/>
    <w:rsid w:val="009B0752"/>
    <w:rsid w:val="009B1DC7"/>
    <w:rsid w:val="009B2599"/>
    <w:rsid w:val="009B295C"/>
    <w:rsid w:val="009B2BDB"/>
    <w:rsid w:val="009B2C3C"/>
    <w:rsid w:val="009B4D08"/>
    <w:rsid w:val="009C1700"/>
    <w:rsid w:val="009C35FD"/>
    <w:rsid w:val="009C384E"/>
    <w:rsid w:val="009C4DB7"/>
    <w:rsid w:val="009C4E97"/>
    <w:rsid w:val="009C528A"/>
    <w:rsid w:val="009C5EE9"/>
    <w:rsid w:val="009C7737"/>
    <w:rsid w:val="009D0428"/>
    <w:rsid w:val="009D0612"/>
    <w:rsid w:val="009D15DA"/>
    <w:rsid w:val="009D328D"/>
    <w:rsid w:val="009D46D7"/>
    <w:rsid w:val="009D5648"/>
    <w:rsid w:val="009D57B2"/>
    <w:rsid w:val="009D5EFD"/>
    <w:rsid w:val="009D7074"/>
    <w:rsid w:val="009E2ABA"/>
    <w:rsid w:val="009E3B51"/>
    <w:rsid w:val="009E4BDE"/>
    <w:rsid w:val="009E4DB9"/>
    <w:rsid w:val="009E6153"/>
    <w:rsid w:val="009E7396"/>
    <w:rsid w:val="009E7A78"/>
    <w:rsid w:val="009F0494"/>
    <w:rsid w:val="009F0CAD"/>
    <w:rsid w:val="009F0CB6"/>
    <w:rsid w:val="009F619C"/>
    <w:rsid w:val="00A003FE"/>
    <w:rsid w:val="00A00616"/>
    <w:rsid w:val="00A01841"/>
    <w:rsid w:val="00A02232"/>
    <w:rsid w:val="00A02AFE"/>
    <w:rsid w:val="00A038CA"/>
    <w:rsid w:val="00A05DE7"/>
    <w:rsid w:val="00A06763"/>
    <w:rsid w:val="00A0682D"/>
    <w:rsid w:val="00A07411"/>
    <w:rsid w:val="00A10798"/>
    <w:rsid w:val="00A113C1"/>
    <w:rsid w:val="00A134D1"/>
    <w:rsid w:val="00A14C4A"/>
    <w:rsid w:val="00A15CBC"/>
    <w:rsid w:val="00A16E45"/>
    <w:rsid w:val="00A17B9C"/>
    <w:rsid w:val="00A22991"/>
    <w:rsid w:val="00A23BAE"/>
    <w:rsid w:val="00A24B92"/>
    <w:rsid w:val="00A25922"/>
    <w:rsid w:val="00A260FA"/>
    <w:rsid w:val="00A2655F"/>
    <w:rsid w:val="00A26990"/>
    <w:rsid w:val="00A328AE"/>
    <w:rsid w:val="00A336EC"/>
    <w:rsid w:val="00A3613E"/>
    <w:rsid w:val="00A36C74"/>
    <w:rsid w:val="00A37773"/>
    <w:rsid w:val="00A40E87"/>
    <w:rsid w:val="00A415D5"/>
    <w:rsid w:val="00A4315B"/>
    <w:rsid w:val="00A4783A"/>
    <w:rsid w:val="00A50515"/>
    <w:rsid w:val="00A50F36"/>
    <w:rsid w:val="00A512DF"/>
    <w:rsid w:val="00A5148A"/>
    <w:rsid w:val="00A52C16"/>
    <w:rsid w:val="00A52CA0"/>
    <w:rsid w:val="00A53792"/>
    <w:rsid w:val="00A538B7"/>
    <w:rsid w:val="00A54D86"/>
    <w:rsid w:val="00A55390"/>
    <w:rsid w:val="00A5587D"/>
    <w:rsid w:val="00A562BA"/>
    <w:rsid w:val="00A565FF"/>
    <w:rsid w:val="00A57486"/>
    <w:rsid w:val="00A5756F"/>
    <w:rsid w:val="00A57712"/>
    <w:rsid w:val="00A579AE"/>
    <w:rsid w:val="00A61BA0"/>
    <w:rsid w:val="00A62BA2"/>
    <w:rsid w:val="00A6420C"/>
    <w:rsid w:val="00A64439"/>
    <w:rsid w:val="00A64753"/>
    <w:rsid w:val="00A65080"/>
    <w:rsid w:val="00A66197"/>
    <w:rsid w:val="00A66EF1"/>
    <w:rsid w:val="00A67670"/>
    <w:rsid w:val="00A67B07"/>
    <w:rsid w:val="00A71811"/>
    <w:rsid w:val="00A76684"/>
    <w:rsid w:val="00A778E2"/>
    <w:rsid w:val="00A80578"/>
    <w:rsid w:val="00A805D2"/>
    <w:rsid w:val="00A81983"/>
    <w:rsid w:val="00A81E72"/>
    <w:rsid w:val="00A8354D"/>
    <w:rsid w:val="00A842EF"/>
    <w:rsid w:val="00A85A18"/>
    <w:rsid w:val="00A85D90"/>
    <w:rsid w:val="00A85F35"/>
    <w:rsid w:val="00A869CB"/>
    <w:rsid w:val="00A922FD"/>
    <w:rsid w:val="00A92601"/>
    <w:rsid w:val="00A928F8"/>
    <w:rsid w:val="00A935BD"/>
    <w:rsid w:val="00A94543"/>
    <w:rsid w:val="00A946D3"/>
    <w:rsid w:val="00A94D34"/>
    <w:rsid w:val="00A95985"/>
    <w:rsid w:val="00A9599B"/>
    <w:rsid w:val="00A96C75"/>
    <w:rsid w:val="00A96F6E"/>
    <w:rsid w:val="00A970FA"/>
    <w:rsid w:val="00AA111E"/>
    <w:rsid w:val="00AA357F"/>
    <w:rsid w:val="00AA40F4"/>
    <w:rsid w:val="00AA491F"/>
    <w:rsid w:val="00AA5FA0"/>
    <w:rsid w:val="00AA725C"/>
    <w:rsid w:val="00AB06D0"/>
    <w:rsid w:val="00AB07D1"/>
    <w:rsid w:val="00AB0F10"/>
    <w:rsid w:val="00AB2D7B"/>
    <w:rsid w:val="00AB3BBB"/>
    <w:rsid w:val="00AB47F1"/>
    <w:rsid w:val="00AB4FEC"/>
    <w:rsid w:val="00AB556A"/>
    <w:rsid w:val="00AC1302"/>
    <w:rsid w:val="00AC1C62"/>
    <w:rsid w:val="00AC2A2F"/>
    <w:rsid w:val="00AC2EB2"/>
    <w:rsid w:val="00AC420F"/>
    <w:rsid w:val="00AC5817"/>
    <w:rsid w:val="00AC5AA9"/>
    <w:rsid w:val="00AC633E"/>
    <w:rsid w:val="00AC67AC"/>
    <w:rsid w:val="00AC6A7C"/>
    <w:rsid w:val="00AD00BA"/>
    <w:rsid w:val="00AD1D63"/>
    <w:rsid w:val="00AD3674"/>
    <w:rsid w:val="00AD522D"/>
    <w:rsid w:val="00AD7696"/>
    <w:rsid w:val="00AE03BF"/>
    <w:rsid w:val="00AE24E3"/>
    <w:rsid w:val="00AE28AD"/>
    <w:rsid w:val="00AF0346"/>
    <w:rsid w:val="00AF11D4"/>
    <w:rsid w:val="00AF1CB4"/>
    <w:rsid w:val="00AF2AEF"/>
    <w:rsid w:val="00AF35B9"/>
    <w:rsid w:val="00AF3ACC"/>
    <w:rsid w:val="00AF52D5"/>
    <w:rsid w:val="00AF57E1"/>
    <w:rsid w:val="00AF6BD2"/>
    <w:rsid w:val="00AF731E"/>
    <w:rsid w:val="00B004C4"/>
    <w:rsid w:val="00B00C61"/>
    <w:rsid w:val="00B01F15"/>
    <w:rsid w:val="00B020AD"/>
    <w:rsid w:val="00B025B7"/>
    <w:rsid w:val="00B0499C"/>
    <w:rsid w:val="00B04DAB"/>
    <w:rsid w:val="00B0502A"/>
    <w:rsid w:val="00B069A6"/>
    <w:rsid w:val="00B10F98"/>
    <w:rsid w:val="00B11D60"/>
    <w:rsid w:val="00B11EA5"/>
    <w:rsid w:val="00B1336E"/>
    <w:rsid w:val="00B14220"/>
    <w:rsid w:val="00B14417"/>
    <w:rsid w:val="00B15186"/>
    <w:rsid w:val="00B171D4"/>
    <w:rsid w:val="00B17EEF"/>
    <w:rsid w:val="00B20342"/>
    <w:rsid w:val="00B2074B"/>
    <w:rsid w:val="00B209EC"/>
    <w:rsid w:val="00B27BEA"/>
    <w:rsid w:val="00B30713"/>
    <w:rsid w:val="00B30B3F"/>
    <w:rsid w:val="00B317A5"/>
    <w:rsid w:val="00B33A6F"/>
    <w:rsid w:val="00B34C9A"/>
    <w:rsid w:val="00B351BA"/>
    <w:rsid w:val="00B363EF"/>
    <w:rsid w:val="00B36592"/>
    <w:rsid w:val="00B36FB6"/>
    <w:rsid w:val="00B37A18"/>
    <w:rsid w:val="00B42647"/>
    <w:rsid w:val="00B43958"/>
    <w:rsid w:val="00B43A0B"/>
    <w:rsid w:val="00B44286"/>
    <w:rsid w:val="00B447BA"/>
    <w:rsid w:val="00B44C6A"/>
    <w:rsid w:val="00B44C6C"/>
    <w:rsid w:val="00B45657"/>
    <w:rsid w:val="00B46840"/>
    <w:rsid w:val="00B46FD2"/>
    <w:rsid w:val="00B50149"/>
    <w:rsid w:val="00B50468"/>
    <w:rsid w:val="00B50D48"/>
    <w:rsid w:val="00B521B5"/>
    <w:rsid w:val="00B52BD1"/>
    <w:rsid w:val="00B52E1D"/>
    <w:rsid w:val="00B52E54"/>
    <w:rsid w:val="00B54F30"/>
    <w:rsid w:val="00B5568E"/>
    <w:rsid w:val="00B55FC4"/>
    <w:rsid w:val="00B56287"/>
    <w:rsid w:val="00B56F9B"/>
    <w:rsid w:val="00B57AA1"/>
    <w:rsid w:val="00B6192C"/>
    <w:rsid w:val="00B6426E"/>
    <w:rsid w:val="00B675C9"/>
    <w:rsid w:val="00B67A48"/>
    <w:rsid w:val="00B70618"/>
    <w:rsid w:val="00B71109"/>
    <w:rsid w:val="00B7219F"/>
    <w:rsid w:val="00B72696"/>
    <w:rsid w:val="00B73AB8"/>
    <w:rsid w:val="00B746E9"/>
    <w:rsid w:val="00B80A18"/>
    <w:rsid w:val="00B81DF5"/>
    <w:rsid w:val="00B84A5D"/>
    <w:rsid w:val="00B86CD8"/>
    <w:rsid w:val="00B86E60"/>
    <w:rsid w:val="00B91D2B"/>
    <w:rsid w:val="00B91E42"/>
    <w:rsid w:val="00B939B8"/>
    <w:rsid w:val="00B942D4"/>
    <w:rsid w:val="00B96EAD"/>
    <w:rsid w:val="00BA147B"/>
    <w:rsid w:val="00BA4239"/>
    <w:rsid w:val="00BA486E"/>
    <w:rsid w:val="00BA672C"/>
    <w:rsid w:val="00BA7B28"/>
    <w:rsid w:val="00BB0F0D"/>
    <w:rsid w:val="00BB1797"/>
    <w:rsid w:val="00BB1906"/>
    <w:rsid w:val="00BB3886"/>
    <w:rsid w:val="00BB4240"/>
    <w:rsid w:val="00BB4B1A"/>
    <w:rsid w:val="00BB5E6A"/>
    <w:rsid w:val="00BC0AD0"/>
    <w:rsid w:val="00BC0CAA"/>
    <w:rsid w:val="00BC267D"/>
    <w:rsid w:val="00BC32BE"/>
    <w:rsid w:val="00BC4A18"/>
    <w:rsid w:val="00BC5AEF"/>
    <w:rsid w:val="00BC7B24"/>
    <w:rsid w:val="00BD4BB3"/>
    <w:rsid w:val="00BD6F75"/>
    <w:rsid w:val="00BD7D69"/>
    <w:rsid w:val="00BE15E3"/>
    <w:rsid w:val="00BE18E5"/>
    <w:rsid w:val="00BE1D18"/>
    <w:rsid w:val="00BE2DE0"/>
    <w:rsid w:val="00BE30DB"/>
    <w:rsid w:val="00BE337C"/>
    <w:rsid w:val="00BE4A78"/>
    <w:rsid w:val="00BE61FA"/>
    <w:rsid w:val="00BE6AE3"/>
    <w:rsid w:val="00BE6E01"/>
    <w:rsid w:val="00BF02FD"/>
    <w:rsid w:val="00BF0B4A"/>
    <w:rsid w:val="00BF19F2"/>
    <w:rsid w:val="00BF1F4E"/>
    <w:rsid w:val="00BF2435"/>
    <w:rsid w:val="00BF2E4D"/>
    <w:rsid w:val="00BF7A5F"/>
    <w:rsid w:val="00C00B0A"/>
    <w:rsid w:val="00C035A6"/>
    <w:rsid w:val="00C0494B"/>
    <w:rsid w:val="00C074CA"/>
    <w:rsid w:val="00C1117D"/>
    <w:rsid w:val="00C11390"/>
    <w:rsid w:val="00C1162C"/>
    <w:rsid w:val="00C13FA9"/>
    <w:rsid w:val="00C15104"/>
    <w:rsid w:val="00C15112"/>
    <w:rsid w:val="00C1725E"/>
    <w:rsid w:val="00C20D72"/>
    <w:rsid w:val="00C220D8"/>
    <w:rsid w:val="00C234D0"/>
    <w:rsid w:val="00C24278"/>
    <w:rsid w:val="00C26826"/>
    <w:rsid w:val="00C2708D"/>
    <w:rsid w:val="00C27911"/>
    <w:rsid w:val="00C30EEB"/>
    <w:rsid w:val="00C31077"/>
    <w:rsid w:val="00C31C94"/>
    <w:rsid w:val="00C32451"/>
    <w:rsid w:val="00C3429C"/>
    <w:rsid w:val="00C3550C"/>
    <w:rsid w:val="00C357E0"/>
    <w:rsid w:val="00C3639F"/>
    <w:rsid w:val="00C40E91"/>
    <w:rsid w:val="00C42876"/>
    <w:rsid w:val="00C43048"/>
    <w:rsid w:val="00C4396C"/>
    <w:rsid w:val="00C44995"/>
    <w:rsid w:val="00C46132"/>
    <w:rsid w:val="00C504FA"/>
    <w:rsid w:val="00C51B0E"/>
    <w:rsid w:val="00C5283F"/>
    <w:rsid w:val="00C5407F"/>
    <w:rsid w:val="00C54712"/>
    <w:rsid w:val="00C552BB"/>
    <w:rsid w:val="00C55569"/>
    <w:rsid w:val="00C571D3"/>
    <w:rsid w:val="00C6355E"/>
    <w:rsid w:val="00C63F87"/>
    <w:rsid w:val="00C6471C"/>
    <w:rsid w:val="00C73222"/>
    <w:rsid w:val="00C733FD"/>
    <w:rsid w:val="00C73ADE"/>
    <w:rsid w:val="00C73EDC"/>
    <w:rsid w:val="00C741FB"/>
    <w:rsid w:val="00C75D7D"/>
    <w:rsid w:val="00C77F3B"/>
    <w:rsid w:val="00C829D4"/>
    <w:rsid w:val="00C83745"/>
    <w:rsid w:val="00C847FD"/>
    <w:rsid w:val="00C85B5F"/>
    <w:rsid w:val="00C86D4D"/>
    <w:rsid w:val="00C87653"/>
    <w:rsid w:val="00C905BE"/>
    <w:rsid w:val="00C909F0"/>
    <w:rsid w:val="00C914A2"/>
    <w:rsid w:val="00C91E04"/>
    <w:rsid w:val="00C92AF9"/>
    <w:rsid w:val="00C92D3D"/>
    <w:rsid w:val="00C939FF"/>
    <w:rsid w:val="00C9561C"/>
    <w:rsid w:val="00CA0399"/>
    <w:rsid w:val="00CA2BEE"/>
    <w:rsid w:val="00CA2FC8"/>
    <w:rsid w:val="00CA34A5"/>
    <w:rsid w:val="00CA48A8"/>
    <w:rsid w:val="00CA5144"/>
    <w:rsid w:val="00CA51D8"/>
    <w:rsid w:val="00CA539B"/>
    <w:rsid w:val="00CA5F6A"/>
    <w:rsid w:val="00CA676B"/>
    <w:rsid w:val="00CA7074"/>
    <w:rsid w:val="00CA7CE3"/>
    <w:rsid w:val="00CB00D3"/>
    <w:rsid w:val="00CB1C0D"/>
    <w:rsid w:val="00CB477B"/>
    <w:rsid w:val="00CB61F4"/>
    <w:rsid w:val="00CB6FA8"/>
    <w:rsid w:val="00CB7575"/>
    <w:rsid w:val="00CB7C98"/>
    <w:rsid w:val="00CC02CF"/>
    <w:rsid w:val="00CC12DA"/>
    <w:rsid w:val="00CC3AA1"/>
    <w:rsid w:val="00CC4903"/>
    <w:rsid w:val="00CC7350"/>
    <w:rsid w:val="00CD2C44"/>
    <w:rsid w:val="00CD3191"/>
    <w:rsid w:val="00CD44F0"/>
    <w:rsid w:val="00CD6A00"/>
    <w:rsid w:val="00CD6A9C"/>
    <w:rsid w:val="00CD6BB4"/>
    <w:rsid w:val="00CD6E45"/>
    <w:rsid w:val="00CD7C21"/>
    <w:rsid w:val="00CD7E50"/>
    <w:rsid w:val="00CD7E76"/>
    <w:rsid w:val="00CE0FFB"/>
    <w:rsid w:val="00CE1911"/>
    <w:rsid w:val="00CE2719"/>
    <w:rsid w:val="00CE37B4"/>
    <w:rsid w:val="00CE4784"/>
    <w:rsid w:val="00CE6B5F"/>
    <w:rsid w:val="00CE735A"/>
    <w:rsid w:val="00CE7A1D"/>
    <w:rsid w:val="00CE7AE7"/>
    <w:rsid w:val="00CF12A7"/>
    <w:rsid w:val="00CF1733"/>
    <w:rsid w:val="00CF28BC"/>
    <w:rsid w:val="00CF52AB"/>
    <w:rsid w:val="00CF5D40"/>
    <w:rsid w:val="00CF602C"/>
    <w:rsid w:val="00CF70FB"/>
    <w:rsid w:val="00CF7923"/>
    <w:rsid w:val="00D00A71"/>
    <w:rsid w:val="00D01328"/>
    <w:rsid w:val="00D01713"/>
    <w:rsid w:val="00D02E4D"/>
    <w:rsid w:val="00D02E70"/>
    <w:rsid w:val="00D03698"/>
    <w:rsid w:val="00D04801"/>
    <w:rsid w:val="00D064EF"/>
    <w:rsid w:val="00D06CC3"/>
    <w:rsid w:val="00D10186"/>
    <w:rsid w:val="00D11A28"/>
    <w:rsid w:val="00D12ED1"/>
    <w:rsid w:val="00D14E48"/>
    <w:rsid w:val="00D1544A"/>
    <w:rsid w:val="00D15732"/>
    <w:rsid w:val="00D15881"/>
    <w:rsid w:val="00D15A50"/>
    <w:rsid w:val="00D16B44"/>
    <w:rsid w:val="00D16EDB"/>
    <w:rsid w:val="00D2173C"/>
    <w:rsid w:val="00D21854"/>
    <w:rsid w:val="00D23335"/>
    <w:rsid w:val="00D2342E"/>
    <w:rsid w:val="00D25467"/>
    <w:rsid w:val="00D267C7"/>
    <w:rsid w:val="00D313BE"/>
    <w:rsid w:val="00D31A7C"/>
    <w:rsid w:val="00D3333B"/>
    <w:rsid w:val="00D34C6A"/>
    <w:rsid w:val="00D353F5"/>
    <w:rsid w:val="00D360C5"/>
    <w:rsid w:val="00D43127"/>
    <w:rsid w:val="00D45170"/>
    <w:rsid w:val="00D46F5F"/>
    <w:rsid w:val="00D47C91"/>
    <w:rsid w:val="00D47E44"/>
    <w:rsid w:val="00D500B9"/>
    <w:rsid w:val="00D502D0"/>
    <w:rsid w:val="00D50A4D"/>
    <w:rsid w:val="00D536FE"/>
    <w:rsid w:val="00D53A91"/>
    <w:rsid w:val="00D562E2"/>
    <w:rsid w:val="00D56852"/>
    <w:rsid w:val="00D569D2"/>
    <w:rsid w:val="00D56BA7"/>
    <w:rsid w:val="00D56EE7"/>
    <w:rsid w:val="00D62344"/>
    <w:rsid w:val="00D62D36"/>
    <w:rsid w:val="00D654BB"/>
    <w:rsid w:val="00D65C16"/>
    <w:rsid w:val="00D660E7"/>
    <w:rsid w:val="00D66891"/>
    <w:rsid w:val="00D66B2D"/>
    <w:rsid w:val="00D6766F"/>
    <w:rsid w:val="00D677B8"/>
    <w:rsid w:val="00D678A8"/>
    <w:rsid w:val="00D712C7"/>
    <w:rsid w:val="00D7133B"/>
    <w:rsid w:val="00D734CB"/>
    <w:rsid w:val="00D73CDC"/>
    <w:rsid w:val="00D776A4"/>
    <w:rsid w:val="00D77BC3"/>
    <w:rsid w:val="00D80807"/>
    <w:rsid w:val="00D85D46"/>
    <w:rsid w:val="00D87939"/>
    <w:rsid w:val="00D87B62"/>
    <w:rsid w:val="00D94514"/>
    <w:rsid w:val="00D96C64"/>
    <w:rsid w:val="00DA00CF"/>
    <w:rsid w:val="00DA1011"/>
    <w:rsid w:val="00DA31E1"/>
    <w:rsid w:val="00DA3853"/>
    <w:rsid w:val="00DA499E"/>
    <w:rsid w:val="00DA4BE2"/>
    <w:rsid w:val="00DA78AA"/>
    <w:rsid w:val="00DB0224"/>
    <w:rsid w:val="00DB0306"/>
    <w:rsid w:val="00DB1A71"/>
    <w:rsid w:val="00DB21ED"/>
    <w:rsid w:val="00DB28F6"/>
    <w:rsid w:val="00DB316F"/>
    <w:rsid w:val="00DB31A5"/>
    <w:rsid w:val="00DB4E06"/>
    <w:rsid w:val="00DB57B2"/>
    <w:rsid w:val="00DB6C5E"/>
    <w:rsid w:val="00DB7467"/>
    <w:rsid w:val="00DC09E7"/>
    <w:rsid w:val="00DC4D90"/>
    <w:rsid w:val="00DC5D19"/>
    <w:rsid w:val="00DC64CD"/>
    <w:rsid w:val="00DC68F5"/>
    <w:rsid w:val="00DD4681"/>
    <w:rsid w:val="00DD7E2A"/>
    <w:rsid w:val="00DE1042"/>
    <w:rsid w:val="00DE4EED"/>
    <w:rsid w:val="00DE5270"/>
    <w:rsid w:val="00DE5E86"/>
    <w:rsid w:val="00DE65CD"/>
    <w:rsid w:val="00DE6DDA"/>
    <w:rsid w:val="00DE7036"/>
    <w:rsid w:val="00DF084F"/>
    <w:rsid w:val="00DF0AB7"/>
    <w:rsid w:val="00DF240B"/>
    <w:rsid w:val="00DF2B73"/>
    <w:rsid w:val="00DF2B98"/>
    <w:rsid w:val="00DF2D9F"/>
    <w:rsid w:val="00DF34FA"/>
    <w:rsid w:val="00DF45FD"/>
    <w:rsid w:val="00DF5209"/>
    <w:rsid w:val="00DF65F8"/>
    <w:rsid w:val="00DF68E1"/>
    <w:rsid w:val="00DF7390"/>
    <w:rsid w:val="00E01367"/>
    <w:rsid w:val="00E0141F"/>
    <w:rsid w:val="00E039F3"/>
    <w:rsid w:val="00E05DBA"/>
    <w:rsid w:val="00E06B4F"/>
    <w:rsid w:val="00E06CD3"/>
    <w:rsid w:val="00E077F0"/>
    <w:rsid w:val="00E103FC"/>
    <w:rsid w:val="00E10E89"/>
    <w:rsid w:val="00E10EEA"/>
    <w:rsid w:val="00E115A2"/>
    <w:rsid w:val="00E11F1D"/>
    <w:rsid w:val="00E127D9"/>
    <w:rsid w:val="00E1510C"/>
    <w:rsid w:val="00E169EA"/>
    <w:rsid w:val="00E17579"/>
    <w:rsid w:val="00E17A00"/>
    <w:rsid w:val="00E20C47"/>
    <w:rsid w:val="00E213D3"/>
    <w:rsid w:val="00E21655"/>
    <w:rsid w:val="00E24C65"/>
    <w:rsid w:val="00E31F8E"/>
    <w:rsid w:val="00E33D7C"/>
    <w:rsid w:val="00E34962"/>
    <w:rsid w:val="00E34F79"/>
    <w:rsid w:val="00E363A5"/>
    <w:rsid w:val="00E36B36"/>
    <w:rsid w:val="00E40E5E"/>
    <w:rsid w:val="00E41278"/>
    <w:rsid w:val="00E421AE"/>
    <w:rsid w:val="00E42F4C"/>
    <w:rsid w:val="00E4558F"/>
    <w:rsid w:val="00E46B49"/>
    <w:rsid w:val="00E47138"/>
    <w:rsid w:val="00E5179F"/>
    <w:rsid w:val="00E57961"/>
    <w:rsid w:val="00E60520"/>
    <w:rsid w:val="00E66FC8"/>
    <w:rsid w:val="00E67A42"/>
    <w:rsid w:val="00E67BB4"/>
    <w:rsid w:val="00E67DB4"/>
    <w:rsid w:val="00E715A3"/>
    <w:rsid w:val="00E717EC"/>
    <w:rsid w:val="00E71AE3"/>
    <w:rsid w:val="00E721DD"/>
    <w:rsid w:val="00E72398"/>
    <w:rsid w:val="00E72E76"/>
    <w:rsid w:val="00E73F7C"/>
    <w:rsid w:val="00E7433E"/>
    <w:rsid w:val="00E7586C"/>
    <w:rsid w:val="00E773C5"/>
    <w:rsid w:val="00E80438"/>
    <w:rsid w:val="00E808BC"/>
    <w:rsid w:val="00E825F2"/>
    <w:rsid w:val="00E82E09"/>
    <w:rsid w:val="00E83231"/>
    <w:rsid w:val="00E83244"/>
    <w:rsid w:val="00E83AF2"/>
    <w:rsid w:val="00E851B4"/>
    <w:rsid w:val="00E85AA1"/>
    <w:rsid w:val="00E91814"/>
    <w:rsid w:val="00E92323"/>
    <w:rsid w:val="00E926BE"/>
    <w:rsid w:val="00E93A10"/>
    <w:rsid w:val="00E948F8"/>
    <w:rsid w:val="00E955A0"/>
    <w:rsid w:val="00E977E8"/>
    <w:rsid w:val="00EA0119"/>
    <w:rsid w:val="00EA151C"/>
    <w:rsid w:val="00EA1A45"/>
    <w:rsid w:val="00EA2F4E"/>
    <w:rsid w:val="00EA31EB"/>
    <w:rsid w:val="00EA33DC"/>
    <w:rsid w:val="00EA37F5"/>
    <w:rsid w:val="00EA4365"/>
    <w:rsid w:val="00EA4D2F"/>
    <w:rsid w:val="00EA6297"/>
    <w:rsid w:val="00EB051F"/>
    <w:rsid w:val="00EB3012"/>
    <w:rsid w:val="00EB4419"/>
    <w:rsid w:val="00EB4AD1"/>
    <w:rsid w:val="00EB4D43"/>
    <w:rsid w:val="00EB52D3"/>
    <w:rsid w:val="00EB5C81"/>
    <w:rsid w:val="00EB70B5"/>
    <w:rsid w:val="00EC1613"/>
    <w:rsid w:val="00EC17C2"/>
    <w:rsid w:val="00EC2007"/>
    <w:rsid w:val="00EC2A54"/>
    <w:rsid w:val="00EC2C76"/>
    <w:rsid w:val="00EC2C85"/>
    <w:rsid w:val="00EC2DC1"/>
    <w:rsid w:val="00EC356E"/>
    <w:rsid w:val="00EC4EFD"/>
    <w:rsid w:val="00EC6BFC"/>
    <w:rsid w:val="00EC6FAE"/>
    <w:rsid w:val="00ED0014"/>
    <w:rsid w:val="00ED009B"/>
    <w:rsid w:val="00ED1B18"/>
    <w:rsid w:val="00ED3187"/>
    <w:rsid w:val="00ED5167"/>
    <w:rsid w:val="00ED662A"/>
    <w:rsid w:val="00ED6DA7"/>
    <w:rsid w:val="00ED7288"/>
    <w:rsid w:val="00ED75A1"/>
    <w:rsid w:val="00EE0BCC"/>
    <w:rsid w:val="00EE1354"/>
    <w:rsid w:val="00EE2108"/>
    <w:rsid w:val="00EE22F0"/>
    <w:rsid w:val="00EE2C3E"/>
    <w:rsid w:val="00EE2CC6"/>
    <w:rsid w:val="00EE363A"/>
    <w:rsid w:val="00EE3C00"/>
    <w:rsid w:val="00EE3EBA"/>
    <w:rsid w:val="00EE456E"/>
    <w:rsid w:val="00EE4580"/>
    <w:rsid w:val="00EE494A"/>
    <w:rsid w:val="00EF0A98"/>
    <w:rsid w:val="00EF15DF"/>
    <w:rsid w:val="00EF2138"/>
    <w:rsid w:val="00EF3605"/>
    <w:rsid w:val="00EF3A22"/>
    <w:rsid w:val="00EF4064"/>
    <w:rsid w:val="00EF4A6E"/>
    <w:rsid w:val="00EF4B91"/>
    <w:rsid w:val="00EF4C90"/>
    <w:rsid w:val="00F00C94"/>
    <w:rsid w:val="00F0331B"/>
    <w:rsid w:val="00F036E6"/>
    <w:rsid w:val="00F05654"/>
    <w:rsid w:val="00F07717"/>
    <w:rsid w:val="00F1074E"/>
    <w:rsid w:val="00F123EF"/>
    <w:rsid w:val="00F133E2"/>
    <w:rsid w:val="00F13EDF"/>
    <w:rsid w:val="00F140A1"/>
    <w:rsid w:val="00F14C50"/>
    <w:rsid w:val="00F15334"/>
    <w:rsid w:val="00F15EE2"/>
    <w:rsid w:val="00F17A74"/>
    <w:rsid w:val="00F20DFA"/>
    <w:rsid w:val="00F226ED"/>
    <w:rsid w:val="00F229B1"/>
    <w:rsid w:val="00F22CD6"/>
    <w:rsid w:val="00F23FE3"/>
    <w:rsid w:val="00F24CA2"/>
    <w:rsid w:val="00F25CF4"/>
    <w:rsid w:val="00F301B9"/>
    <w:rsid w:val="00F3091B"/>
    <w:rsid w:val="00F31239"/>
    <w:rsid w:val="00F35263"/>
    <w:rsid w:val="00F361A0"/>
    <w:rsid w:val="00F40CFE"/>
    <w:rsid w:val="00F41C53"/>
    <w:rsid w:val="00F43257"/>
    <w:rsid w:val="00F43AFF"/>
    <w:rsid w:val="00F44D67"/>
    <w:rsid w:val="00F44F9F"/>
    <w:rsid w:val="00F50101"/>
    <w:rsid w:val="00F5150B"/>
    <w:rsid w:val="00F55750"/>
    <w:rsid w:val="00F564CD"/>
    <w:rsid w:val="00F57C78"/>
    <w:rsid w:val="00F602D8"/>
    <w:rsid w:val="00F60C18"/>
    <w:rsid w:val="00F612EE"/>
    <w:rsid w:val="00F61F24"/>
    <w:rsid w:val="00F67A0E"/>
    <w:rsid w:val="00F67AA0"/>
    <w:rsid w:val="00F67ADD"/>
    <w:rsid w:val="00F708F1"/>
    <w:rsid w:val="00F70D40"/>
    <w:rsid w:val="00F73AE4"/>
    <w:rsid w:val="00F84D67"/>
    <w:rsid w:val="00F856C4"/>
    <w:rsid w:val="00F866A7"/>
    <w:rsid w:val="00F90D7C"/>
    <w:rsid w:val="00F90DBC"/>
    <w:rsid w:val="00F915FB"/>
    <w:rsid w:val="00F973EC"/>
    <w:rsid w:val="00FA6A93"/>
    <w:rsid w:val="00FA7C2D"/>
    <w:rsid w:val="00FB0DC1"/>
    <w:rsid w:val="00FB18E7"/>
    <w:rsid w:val="00FB20C0"/>
    <w:rsid w:val="00FB2FED"/>
    <w:rsid w:val="00FB7418"/>
    <w:rsid w:val="00FC010E"/>
    <w:rsid w:val="00FC4299"/>
    <w:rsid w:val="00FC6955"/>
    <w:rsid w:val="00FD06BC"/>
    <w:rsid w:val="00FD0CC3"/>
    <w:rsid w:val="00FD16C4"/>
    <w:rsid w:val="00FD1E35"/>
    <w:rsid w:val="00FD1F54"/>
    <w:rsid w:val="00FD1FE1"/>
    <w:rsid w:val="00FD25C0"/>
    <w:rsid w:val="00FD29E1"/>
    <w:rsid w:val="00FD2A01"/>
    <w:rsid w:val="00FD2BAF"/>
    <w:rsid w:val="00FD38B9"/>
    <w:rsid w:val="00FD669B"/>
    <w:rsid w:val="00FD6E1D"/>
    <w:rsid w:val="00FD7C56"/>
    <w:rsid w:val="00FE04C8"/>
    <w:rsid w:val="00FE08EC"/>
    <w:rsid w:val="00FE40A4"/>
    <w:rsid w:val="00FE5383"/>
    <w:rsid w:val="00FE7528"/>
    <w:rsid w:val="00FF029B"/>
    <w:rsid w:val="00FF1AFA"/>
    <w:rsid w:val="00FF34BF"/>
    <w:rsid w:val="00FF3671"/>
    <w:rsid w:val="00FF49FA"/>
    <w:rsid w:val="00FF5367"/>
    <w:rsid w:val="00FF6ACF"/>
    <w:rsid w:val="00FF6DA3"/>
    <w:rsid w:val="00FF735B"/>
    <w:rsid w:val="00FF735C"/>
    <w:rsid w:val="02941FD0"/>
    <w:rsid w:val="05053FA3"/>
    <w:rsid w:val="07A2F17C"/>
    <w:rsid w:val="099E53BA"/>
    <w:rsid w:val="0C63C21C"/>
    <w:rsid w:val="0C7E5D53"/>
    <w:rsid w:val="0DD88948"/>
    <w:rsid w:val="13F8EE19"/>
    <w:rsid w:val="146EA2F0"/>
    <w:rsid w:val="169D6ABB"/>
    <w:rsid w:val="192AB05E"/>
    <w:rsid w:val="1EFA3647"/>
    <w:rsid w:val="1F58DBC7"/>
    <w:rsid w:val="1FF023A8"/>
    <w:rsid w:val="235C7ACF"/>
    <w:rsid w:val="23C7B377"/>
    <w:rsid w:val="2417FB88"/>
    <w:rsid w:val="2808C92E"/>
    <w:rsid w:val="28973323"/>
    <w:rsid w:val="2BB5DE59"/>
    <w:rsid w:val="3153D393"/>
    <w:rsid w:val="32EFA3F4"/>
    <w:rsid w:val="352FA99D"/>
    <w:rsid w:val="36BF9D08"/>
    <w:rsid w:val="371C686F"/>
    <w:rsid w:val="3B7D5841"/>
    <w:rsid w:val="3C1A4ACA"/>
    <w:rsid w:val="3CBF9245"/>
    <w:rsid w:val="3F0B906B"/>
    <w:rsid w:val="46FD79F3"/>
    <w:rsid w:val="488F6BCC"/>
    <w:rsid w:val="4C26B691"/>
    <w:rsid w:val="4DC97902"/>
    <w:rsid w:val="4F71C728"/>
    <w:rsid w:val="5F40F37A"/>
    <w:rsid w:val="5F864F10"/>
    <w:rsid w:val="5FDCF110"/>
    <w:rsid w:val="60EA227E"/>
    <w:rsid w:val="67990E6E"/>
    <w:rsid w:val="6914A5AC"/>
    <w:rsid w:val="695D7130"/>
    <w:rsid w:val="6C4BA9BB"/>
    <w:rsid w:val="728BC2AE"/>
    <w:rsid w:val="73F86A7E"/>
    <w:rsid w:val="77C67930"/>
    <w:rsid w:val="77F26FFB"/>
    <w:rsid w:val="7C69B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5662"/>
  <w15:docId w15:val="{35308329-57BB-487F-B8BD-E8582D6E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F19"/>
    <w:pPr>
      <w:spacing w:after="240"/>
      <w:jc w:val="both"/>
    </w:pPr>
    <w:rPr>
      <w:sz w:val="24"/>
      <w:lang w:val="en-GB"/>
    </w:rPr>
  </w:style>
  <w:style w:type="paragraph" w:styleId="Heading1">
    <w:name w:val="heading 1"/>
    <w:basedOn w:val="Normal"/>
    <w:next w:val="Normal"/>
    <w:link w:val="Heading1Char"/>
    <w:qFormat/>
    <w:rsid w:val="00244711"/>
    <w:pPr>
      <w:keepNext/>
      <w:spacing w:before="360" w:line="280" w:lineRule="exact"/>
      <w:outlineLvl w:val="0"/>
    </w:pPr>
    <w:rPr>
      <w:b/>
      <w:caps/>
      <w:kern w:val="28"/>
      <w:sz w:val="28"/>
    </w:rPr>
  </w:style>
  <w:style w:type="paragraph" w:styleId="Heading2">
    <w:name w:val="heading 2"/>
    <w:basedOn w:val="Normal"/>
    <w:next w:val="Normal"/>
    <w:link w:val="Heading2Char"/>
    <w:qFormat/>
    <w:rsid w:val="00244711"/>
    <w:pPr>
      <w:keepNext/>
      <w:spacing w:before="240" w:after="120" w:line="280" w:lineRule="exact"/>
      <w:outlineLvl w:val="1"/>
    </w:pPr>
    <w:rPr>
      <w:b/>
    </w:rPr>
  </w:style>
  <w:style w:type="paragraph" w:styleId="Heading3">
    <w:name w:val="heading 3"/>
    <w:basedOn w:val="Normal"/>
    <w:next w:val="Normal"/>
    <w:link w:val="Heading3Char"/>
    <w:qFormat/>
    <w:rsid w:val="00244711"/>
    <w:pPr>
      <w:keepNext/>
      <w:spacing w:before="120" w:after="120"/>
      <w:outlineLvl w:val="2"/>
    </w:pPr>
    <w:rPr>
      <w:b/>
      <w:i/>
      <w:iCs/>
    </w:rPr>
  </w:style>
  <w:style w:type="paragraph" w:styleId="Heading4">
    <w:name w:val="heading 4"/>
    <w:basedOn w:val="Normal"/>
    <w:next w:val="Normal"/>
    <w:link w:val="Heading4Char"/>
    <w:qFormat/>
    <w:rsid w:val="00244711"/>
    <w:pPr>
      <w:keepNext/>
      <w:outlineLvl w:val="3"/>
    </w:pPr>
    <w:rPr>
      <w:i/>
      <w:iCs/>
    </w:rPr>
  </w:style>
  <w:style w:type="paragraph" w:styleId="Heading5">
    <w:name w:val="heading 5"/>
    <w:basedOn w:val="Normal"/>
    <w:next w:val="Normal"/>
    <w:link w:val="Heading5Char1"/>
    <w:qFormat/>
    <w:rsid w:val="00244711"/>
    <w:pPr>
      <w:spacing w:before="240" w:after="60"/>
      <w:outlineLvl w:val="4"/>
    </w:pPr>
    <w:rPr>
      <w:b/>
      <w:bCs/>
      <w:i/>
      <w:iCs/>
      <w:sz w:val="26"/>
      <w:szCs w:val="26"/>
    </w:rPr>
  </w:style>
  <w:style w:type="paragraph" w:styleId="Heading6">
    <w:name w:val="heading 6"/>
    <w:basedOn w:val="Normal"/>
    <w:next w:val="Normal"/>
    <w:link w:val="Heading6Char"/>
    <w:qFormat/>
    <w:rsid w:val="00945BCB"/>
    <w:pPr>
      <w:keepNext/>
      <w:outlineLvl w:val="5"/>
    </w:pPr>
    <w:rPr>
      <w:rFonts w:ascii="Times" w:hAnsi="Times"/>
      <w:b/>
      <w:color w:val="3366FF"/>
      <w:sz w:val="22"/>
      <w:u w:val="double"/>
    </w:rPr>
  </w:style>
  <w:style w:type="paragraph" w:styleId="Heading7">
    <w:name w:val="heading 7"/>
    <w:basedOn w:val="Normal"/>
    <w:next w:val="Normal"/>
    <w:link w:val="Heading7Char"/>
    <w:qFormat/>
    <w:rsid w:val="00945BCB"/>
    <w:pPr>
      <w:keepNext/>
      <w:outlineLvl w:val="6"/>
    </w:pPr>
    <w:rPr>
      <w:rFonts w:ascii="Times" w:hAnsi="Times"/>
      <w:bCs/>
      <w:color w:val="3366FF"/>
      <w:sz w:val="22"/>
      <w:u w:val="double"/>
    </w:rPr>
  </w:style>
  <w:style w:type="paragraph" w:styleId="Heading8">
    <w:name w:val="heading 8"/>
    <w:basedOn w:val="Normal"/>
    <w:next w:val="Normal"/>
    <w:link w:val="Heading8Char"/>
    <w:qFormat/>
    <w:rsid w:val="00945BCB"/>
    <w:pPr>
      <w:keepNext/>
      <w:outlineLvl w:val="7"/>
    </w:pPr>
    <w:rPr>
      <w:b/>
      <w:sz w:val="22"/>
    </w:rPr>
  </w:style>
  <w:style w:type="paragraph" w:styleId="Heading9">
    <w:name w:val="heading 9"/>
    <w:basedOn w:val="Normal"/>
    <w:next w:val="Normal"/>
    <w:link w:val="Heading9Char"/>
    <w:qFormat/>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534AF6"/>
    <w:pPr>
      <w:numPr>
        <w:numId w:val="1"/>
      </w:numPr>
      <w:spacing w:before="20" w:after="20"/>
    </w:pPr>
    <w:rPr>
      <w:color w:val="7030A0"/>
    </w:rPr>
  </w:style>
  <w:style w:type="paragraph" w:customStyle="1" w:styleId="Figure">
    <w:name w:val="Figure"/>
    <w:basedOn w:val="Normal"/>
    <w:next w:val="Normal"/>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aliases w:val="Annotationtext"/>
    <w:basedOn w:val="Normal"/>
    <w:link w:val="CommentTextChar"/>
    <w:rsid w:val="00D01713"/>
    <w:rPr>
      <w:sz w:val="20"/>
    </w:rPr>
  </w:style>
  <w:style w:type="character" w:customStyle="1" w:styleId="CommentTextChar">
    <w:name w:val="Comment Text Char"/>
    <w:aliases w:val="Annotationtext Char"/>
    <w:basedOn w:val="DefaultParagraphFont"/>
    <w:link w:val="CommentText"/>
    <w:rsid w:val="00D01713"/>
    <w:rPr>
      <w:lang w:val="en-GB"/>
    </w:rPr>
  </w:style>
  <w:style w:type="paragraph" w:styleId="CommentSubject">
    <w:name w:val="annotation subject"/>
    <w:basedOn w:val="CommentText"/>
    <w:next w:val="CommentText"/>
    <w:link w:val="CommentSubjectChar"/>
    <w:rsid w:val="00D01713"/>
    <w:rPr>
      <w:b/>
      <w:bCs/>
    </w:rPr>
  </w:style>
  <w:style w:type="character" w:customStyle="1" w:styleId="CommentSubjectChar">
    <w:name w:val="Comment Subject Char"/>
    <w:basedOn w:val="CommentTextChar"/>
    <w:link w:val="CommentSubject"/>
    <w:rsid w:val="00D01713"/>
    <w:rPr>
      <w:b/>
      <w:bCs/>
      <w:lang w:val="en-GB"/>
    </w:rPr>
  </w:style>
  <w:style w:type="character" w:styleId="Hyperlink">
    <w:name w:val="Hyperlink"/>
    <w:basedOn w:val="DefaultParagraphFont"/>
    <w:rsid w:val="00BF02FD"/>
    <w:rPr>
      <w:color w:val="0000FF" w:themeColor="hyperlink"/>
      <w:u w:val="singl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643055"/>
    <w:pPr>
      <w:spacing w:after="0"/>
    </w:pPr>
    <w:rPr>
      <w:rFonts w:ascii="Tahoma" w:hAnsi="Tahoma" w:cs="Tahoma"/>
      <w:sz w:val="16"/>
      <w:szCs w:val="16"/>
    </w:rPr>
  </w:style>
  <w:style w:type="character" w:customStyle="1" w:styleId="BalloonTextChar">
    <w:name w:val="Balloon Text Char"/>
    <w:basedOn w:val="DefaultParagraphFont"/>
    <w:link w:val="BalloonText"/>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spacing w:after="0"/>
    </w:pPr>
  </w:style>
  <w:style w:type="character" w:customStyle="1" w:styleId="HeaderChar">
    <w:name w:val="Header Char"/>
    <w:basedOn w:val="DefaultParagraphFont"/>
    <w:link w:val="Header"/>
    <w:rsid w:val="00030516"/>
    <w:rPr>
      <w:sz w:val="24"/>
      <w:lang w:val="en-GB"/>
    </w:rPr>
  </w:style>
  <w:style w:type="character" w:customStyle="1" w:styleId="normaltextrun">
    <w:name w:val="normaltextrun"/>
    <w:basedOn w:val="DefaultParagraphFont"/>
    <w:rsid w:val="00902ECC"/>
  </w:style>
  <w:style w:type="character" w:styleId="UnresolvedMention">
    <w:name w:val="Unresolved Mention"/>
    <w:basedOn w:val="DefaultParagraphFont"/>
    <w:uiPriority w:val="99"/>
    <w:unhideWhenUsed/>
    <w:rsid w:val="00021A65"/>
    <w:rPr>
      <w:color w:val="605E5C"/>
      <w:shd w:val="clear" w:color="auto" w:fill="E1DFDD"/>
    </w:rPr>
  </w:style>
  <w:style w:type="character" w:styleId="Mention">
    <w:name w:val="Mention"/>
    <w:basedOn w:val="DefaultParagraphFont"/>
    <w:uiPriority w:val="99"/>
    <w:unhideWhenUsed/>
    <w:rsid w:val="00021A65"/>
    <w:rPr>
      <w:color w:val="2B579A"/>
      <w:shd w:val="clear" w:color="auto" w:fill="E1DFDD"/>
    </w:rPr>
  </w:style>
  <w:style w:type="table" w:customStyle="1" w:styleId="TableGrid1">
    <w:name w:val="Table Grid1"/>
    <w:basedOn w:val="TableNormal"/>
    <w:next w:val="TableGrid"/>
    <w:uiPriority w:val="59"/>
    <w:rsid w:val="001923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250104"/>
    <w:pPr>
      <w:widowControl w:val="0"/>
      <w:spacing w:after="0"/>
      <w:jc w:val="left"/>
    </w:pPr>
    <w:rPr>
      <w:rFonts w:asciiTheme="minorHAnsi" w:eastAsiaTheme="minorHAnsi" w:hAnsiTheme="minorHAnsi" w:cstheme="minorBidi"/>
      <w:sz w:val="22"/>
      <w:szCs w:val="22"/>
      <w:lang w:val="en-US"/>
    </w:rPr>
  </w:style>
  <w:style w:type="character" w:customStyle="1" w:styleId="ListParagraphChar">
    <w:name w:val="List Paragraph Char"/>
    <w:aliases w:val="List Paragraph 1 Char"/>
    <w:link w:val="ListParagraph"/>
    <w:uiPriority w:val="34"/>
    <w:locked/>
    <w:rsid w:val="00250104"/>
    <w:rPr>
      <w:rFonts w:asciiTheme="minorHAnsi" w:eastAsiaTheme="minorHAnsi" w:hAnsiTheme="minorHAnsi" w:cstheme="minorBidi"/>
      <w:sz w:val="22"/>
      <w:szCs w:val="22"/>
    </w:rPr>
  </w:style>
  <w:style w:type="paragraph" w:styleId="NoSpacing">
    <w:name w:val="No Spacing"/>
    <w:uiPriority w:val="1"/>
    <w:qFormat/>
    <w:rsid w:val="00250104"/>
    <w:rPr>
      <w:rFonts w:asciiTheme="minorHAnsi" w:eastAsiaTheme="minorHAnsi" w:hAnsiTheme="minorHAnsi" w:cstheme="minorBidi"/>
      <w:sz w:val="22"/>
      <w:szCs w:val="22"/>
      <w:lang w:val="en-GB"/>
    </w:rPr>
  </w:style>
  <w:style w:type="table" w:customStyle="1" w:styleId="TableGrid2">
    <w:name w:val="Table Grid2"/>
    <w:basedOn w:val="TableNormal"/>
    <w:next w:val="TableGrid"/>
    <w:uiPriority w:val="59"/>
    <w:rsid w:val="00B86E6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rsid w:val="00EA151C"/>
    <w:pPr>
      <w:spacing w:after="0"/>
      <w:ind w:left="101"/>
      <w:jc w:val="left"/>
    </w:pPr>
    <w:rPr>
      <w:rFonts w:ascii="Calibri" w:eastAsia="Times New Roman" w:hAnsi="Calibri" w:cs="Arial"/>
      <w:spacing w:val="-1"/>
      <w:sz w:val="20"/>
      <w:szCs w:val="28"/>
      <w:lang w:val="en-US"/>
    </w:rPr>
  </w:style>
  <w:style w:type="character" w:customStyle="1" w:styleId="tableparagraphChar">
    <w:name w:val="table paragraph Char"/>
    <w:link w:val="tableparagraph"/>
    <w:rsid w:val="00EA151C"/>
    <w:rPr>
      <w:rFonts w:ascii="Calibri" w:eastAsia="Times New Roman" w:hAnsi="Calibri" w:cs="Arial"/>
      <w:spacing w:val="-1"/>
      <w:szCs w:val="28"/>
    </w:rPr>
  </w:style>
  <w:style w:type="character" w:customStyle="1" w:styleId="eop">
    <w:name w:val="eop"/>
    <w:basedOn w:val="DefaultParagraphFont"/>
    <w:rsid w:val="00EA151C"/>
  </w:style>
  <w:style w:type="paragraph" w:customStyle="1" w:styleId="paragraph">
    <w:name w:val="paragraph"/>
    <w:basedOn w:val="Normal"/>
    <w:rsid w:val="00EA151C"/>
    <w:pPr>
      <w:spacing w:before="100" w:beforeAutospacing="1" w:after="100" w:afterAutospacing="1"/>
      <w:jc w:val="left"/>
    </w:pPr>
    <w:rPr>
      <w:rFonts w:eastAsia="Times New Roman"/>
      <w:szCs w:val="24"/>
      <w:lang w:val="en-US"/>
    </w:rPr>
  </w:style>
  <w:style w:type="character" w:customStyle="1" w:styleId="SPCHeading4">
    <w:name w:val="SPC Heading 4"/>
    <w:rsid w:val="00E715A3"/>
    <w:rPr>
      <w:rFonts w:ascii="Times New Roman" w:hAnsi="Times New Roman"/>
      <w:bCs/>
      <w:i/>
      <w:iCs/>
      <w:color w:val="000000"/>
      <w:sz w:val="22"/>
      <w:u w:val="none"/>
    </w:rPr>
  </w:style>
  <w:style w:type="paragraph" w:customStyle="1" w:styleId="StyleStyleHeading3NotItalicNotItalic">
    <w:name w:val="Style Style Heading 3 + Not Italic + Not Italic"/>
    <w:basedOn w:val="Normal"/>
    <w:link w:val="StyleStyleHeading3NotItalicNotItalicChar"/>
    <w:rsid w:val="00E715A3"/>
    <w:pPr>
      <w:keepNext/>
      <w:spacing w:after="0"/>
      <w:jc w:val="left"/>
      <w:outlineLvl w:val="2"/>
    </w:pPr>
    <w:rPr>
      <w:rFonts w:eastAsia="Times New Roman"/>
      <w:sz w:val="22"/>
      <w:u w:val="single"/>
      <w:lang w:val="x-none" w:eastAsia="x-none"/>
    </w:rPr>
  </w:style>
  <w:style w:type="character" w:customStyle="1" w:styleId="StyleStyleHeading3NotItalicNotItalicChar">
    <w:name w:val="Style Style Heading 3 + Not Italic + Not Italic Char"/>
    <w:link w:val="StyleStyleHeading3NotItalicNotItalic"/>
    <w:rsid w:val="00E715A3"/>
    <w:rPr>
      <w:rFonts w:eastAsia="Times New Roman"/>
      <w:sz w:val="22"/>
      <w:u w:val="single"/>
      <w:lang w:val="x-none" w:eastAsia="x-none"/>
    </w:rPr>
  </w:style>
  <w:style w:type="paragraph" w:customStyle="1" w:styleId="BodytextAgency">
    <w:name w:val="Body text (Agency)"/>
    <w:basedOn w:val="Normal"/>
    <w:link w:val="BodytextAgencyChar"/>
    <w:rsid w:val="007227F0"/>
    <w:pPr>
      <w:spacing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rsid w:val="007227F0"/>
    <w:rPr>
      <w:rFonts w:ascii="Verdana" w:eastAsia="Verdana" w:hAnsi="Verdana" w:cs="Verdana"/>
      <w:sz w:val="18"/>
      <w:szCs w:val="18"/>
      <w:lang w:val="en-GB" w:eastAsia="en-GB"/>
    </w:rPr>
  </w:style>
  <w:style w:type="paragraph" w:styleId="NormalWeb">
    <w:name w:val="Normal (Web)"/>
    <w:basedOn w:val="Normal"/>
    <w:uiPriority w:val="99"/>
    <w:rsid w:val="007227F0"/>
    <w:pPr>
      <w:spacing w:after="0"/>
      <w:jc w:val="left"/>
    </w:pPr>
    <w:rPr>
      <w:rFonts w:eastAsia="Times New Roman"/>
      <w:szCs w:val="24"/>
      <w:lang w:val="en-US"/>
    </w:rPr>
  </w:style>
  <w:style w:type="paragraph" w:customStyle="1" w:styleId="MemoHeaderStyle">
    <w:name w:val="MemoHeaderStyle"/>
    <w:basedOn w:val="Normal"/>
    <w:next w:val="Normal"/>
    <w:rsid w:val="00B01F15"/>
    <w:pPr>
      <w:spacing w:after="0" w:line="120" w:lineRule="atLeast"/>
      <w:ind w:left="1418"/>
    </w:pPr>
    <w:rPr>
      <w:rFonts w:ascii="Arial" w:eastAsia="Times New Roman" w:hAnsi="Arial"/>
      <w:b/>
      <w:smallCaps/>
      <w:sz w:val="22"/>
    </w:rPr>
  </w:style>
  <w:style w:type="paragraph" w:styleId="BodyText">
    <w:name w:val="Body Text"/>
    <w:basedOn w:val="Normal"/>
    <w:link w:val="BodyTextChar"/>
    <w:rsid w:val="00B01F15"/>
    <w:pPr>
      <w:spacing w:after="0"/>
      <w:jc w:val="left"/>
    </w:pPr>
    <w:rPr>
      <w:rFonts w:eastAsia="Times New Roman"/>
      <w:i/>
      <w:color w:val="008000"/>
      <w:sz w:val="22"/>
    </w:rPr>
  </w:style>
  <w:style w:type="character" w:customStyle="1" w:styleId="BodyTextChar">
    <w:name w:val="Body Text Char"/>
    <w:basedOn w:val="DefaultParagraphFont"/>
    <w:link w:val="BodyText"/>
    <w:rsid w:val="00B01F15"/>
    <w:rPr>
      <w:rFonts w:eastAsia="Times New Roman"/>
      <w:i/>
      <w:color w:val="008000"/>
      <w:sz w:val="22"/>
      <w:lang w:val="en-GB"/>
    </w:rPr>
  </w:style>
  <w:style w:type="paragraph" w:customStyle="1" w:styleId="EMEAEnBodyText">
    <w:name w:val="EMEA En Body Text"/>
    <w:basedOn w:val="Normal"/>
    <w:rsid w:val="00B01F15"/>
    <w:pPr>
      <w:spacing w:before="120" w:after="120"/>
    </w:pPr>
    <w:rPr>
      <w:rFonts w:eastAsia="Times New Roman"/>
      <w:sz w:val="22"/>
      <w:lang w:val="en-US"/>
    </w:rPr>
  </w:style>
  <w:style w:type="paragraph" w:customStyle="1" w:styleId="DraftingNotesAgency">
    <w:name w:val="Drafting Notes (Agency)"/>
    <w:basedOn w:val="Normal"/>
    <w:next w:val="BodytextAgency"/>
    <w:link w:val="DraftingNotesAgencyChar"/>
    <w:rsid w:val="00B01F15"/>
    <w:pPr>
      <w:spacing w:after="140" w:line="280" w:lineRule="atLeast"/>
      <w:jc w:val="left"/>
    </w:pPr>
    <w:rPr>
      <w:rFonts w:ascii="Courier New" w:eastAsia="Verdana" w:hAnsi="Courier New"/>
      <w:i/>
      <w:color w:val="339966"/>
      <w:sz w:val="22"/>
      <w:szCs w:val="18"/>
      <w:lang w:eastAsia="en-GB"/>
    </w:rPr>
  </w:style>
  <w:style w:type="character" w:customStyle="1" w:styleId="DraftingNotesAgencyChar">
    <w:name w:val="Drafting Notes (Agency) Char"/>
    <w:link w:val="DraftingNotesAgency"/>
    <w:rsid w:val="00B01F15"/>
    <w:rPr>
      <w:rFonts w:ascii="Courier New" w:eastAsia="Verdana" w:hAnsi="Courier New"/>
      <w:i/>
      <w:color w:val="339966"/>
      <w:sz w:val="22"/>
      <w:szCs w:val="18"/>
      <w:lang w:val="en-GB" w:eastAsia="en-GB"/>
    </w:rPr>
  </w:style>
  <w:style w:type="paragraph" w:customStyle="1" w:styleId="NormalAgency">
    <w:name w:val="Normal (Agency)"/>
    <w:link w:val="NormalAgencyChar"/>
    <w:rsid w:val="00B01F15"/>
    <w:pPr>
      <w:spacing w:line="260" w:lineRule="exact"/>
    </w:pPr>
    <w:rPr>
      <w:rFonts w:ascii="Verdana" w:eastAsia="Verdana" w:hAnsi="Verdana" w:cs="Verdana"/>
      <w:sz w:val="18"/>
      <w:szCs w:val="18"/>
      <w:lang w:val="en-GB" w:eastAsia="en-GB"/>
    </w:rPr>
  </w:style>
  <w:style w:type="table" w:customStyle="1" w:styleId="TablegridAgencyblack">
    <w:name w:val="Table grid (Agency) black"/>
    <w:basedOn w:val="TableNormal"/>
    <w:semiHidden/>
    <w:rsid w:val="00B01F15"/>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B01F15"/>
    <w:pPr>
      <w:keepNext/>
    </w:pPr>
    <w:rPr>
      <w:rFonts w:eastAsia="Times New Roman"/>
      <w:b/>
    </w:rPr>
  </w:style>
  <w:style w:type="paragraph" w:customStyle="1" w:styleId="TabletextrowsAgency">
    <w:name w:val="Table text rows (Agency)"/>
    <w:basedOn w:val="Normal"/>
    <w:rsid w:val="00B01F15"/>
    <w:pPr>
      <w:spacing w:after="0" w:line="280" w:lineRule="exact"/>
      <w:jc w:val="left"/>
    </w:pPr>
    <w:rPr>
      <w:rFonts w:ascii="Verdana" w:eastAsia="Times New Roman" w:hAnsi="Verdana" w:cs="Verdana"/>
      <w:sz w:val="18"/>
      <w:szCs w:val="18"/>
      <w:lang w:eastAsia="zh-CN"/>
    </w:rPr>
  </w:style>
  <w:style w:type="character" w:customStyle="1" w:styleId="NormalAgencyChar">
    <w:name w:val="Normal (Agency) Char"/>
    <w:link w:val="NormalAgency"/>
    <w:rsid w:val="00B01F15"/>
    <w:rPr>
      <w:rFonts w:ascii="Verdana" w:eastAsia="Verdana" w:hAnsi="Verdana" w:cs="Verdana"/>
      <w:sz w:val="18"/>
      <w:szCs w:val="18"/>
      <w:lang w:val="en-GB" w:eastAsia="en-GB"/>
    </w:rPr>
  </w:style>
  <w:style w:type="character" w:customStyle="1" w:styleId="Heading2Char">
    <w:name w:val="Heading 2 Char"/>
    <w:link w:val="Heading2"/>
    <w:rsid w:val="00B01F15"/>
    <w:rPr>
      <w:b/>
      <w:sz w:val="24"/>
      <w:lang w:val="en-GB"/>
    </w:rPr>
  </w:style>
  <w:style w:type="character" w:customStyle="1" w:styleId="Heading3Char">
    <w:name w:val="Heading 3 Char"/>
    <w:link w:val="Heading3"/>
    <w:rsid w:val="00B01F15"/>
    <w:rPr>
      <w:b/>
      <w:i/>
      <w:iCs/>
      <w:sz w:val="24"/>
      <w:lang w:val="en-GB"/>
    </w:rPr>
  </w:style>
  <w:style w:type="character" w:customStyle="1" w:styleId="Heading6Char">
    <w:name w:val="Heading 6 Char"/>
    <w:link w:val="Heading6"/>
    <w:rsid w:val="00B01F15"/>
    <w:rPr>
      <w:rFonts w:ascii="Times" w:hAnsi="Times"/>
      <w:b/>
      <w:color w:val="3366FF"/>
      <w:sz w:val="22"/>
      <w:u w:val="double"/>
      <w:lang w:val="en-GB"/>
    </w:rPr>
  </w:style>
  <w:style w:type="character" w:customStyle="1" w:styleId="Heading7Char">
    <w:name w:val="Heading 7 Char"/>
    <w:link w:val="Heading7"/>
    <w:rsid w:val="00B01F15"/>
    <w:rPr>
      <w:rFonts w:ascii="Times" w:hAnsi="Times"/>
      <w:bCs/>
      <w:color w:val="3366FF"/>
      <w:sz w:val="22"/>
      <w:u w:val="double"/>
      <w:lang w:val="en-GB"/>
    </w:rPr>
  </w:style>
  <w:style w:type="character" w:customStyle="1" w:styleId="Heading8Char">
    <w:name w:val="Heading 8 Char"/>
    <w:link w:val="Heading8"/>
    <w:rsid w:val="00B01F15"/>
    <w:rPr>
      <w:b/>
      <w:sz w:val="22"/>
      <w:lang w:val="en-GB"/>
    </w:rPr>
  </w:style>
  <w:style w:type="character" w:customStyle="1" w:styleId="Heading9Char">
    <w:name w:val="Heading 9 Char"/>
    <w:link w:val="Heading9"/>
    <w:rsid w:val="00B01F15"/>
    <w:rPr>
      <w:sz w:val="24"/>
      <w:lang w:val="en-GB"/>
    </w:rPr>
  </w:style>
  <w:style w:type="character" w:styleId="Emphasis">
    <w:name w:val="Emphasis"/>
    <w:uiPriority w:val="20"/>
    <w:qFormat/>
    <w:rsid w:val="00B01F15"/>
    <w:rPr>
      <w:i/>
      <w:iCs/>
    </w:rPr>
  </w:style>
  <w:style w:type="character" w:customStyle="1" w:styleId="Heading5Char">
    <w:name w:val="Heading 5 Char"/>
    <w:rsid w:val="00B01F15"/>
    <w:rPr>
      <w:i/>
      <w:sz w:val="22"/>
      <w:u w:val="none"/>
      <w:lang w:val="en-US" w:eastAsia="en-US" w:bidi="ar-SA"/>
    </w:rPr>
  </w:style>
  <w:style w:type="character" w:customStyle="1" w:styleId="StyleEmphasisTimesNewRomanBoldBoldNotItalicBlack">
    <w:name w:val="Style Emphasis + Times New Roman Bold Bold Not Italic Black"/>
    <w:rsid w:val="00B01F15"/>
    <w:rPr>
      <w:rFonts w:ascii="Times New Roman" w:hAnsi="Times New Roman"/>
      <w:bCs/>
      <w:i/>
      <w:iCs/>
      <w:color w:val="000000"/>
      <w:sz w:val="22"/>
    </w:rPr>
  </w:style>
  <w:style w:type="paragraph" w:customStyle="1" w:styleId="StyleBodyTextBodyTextHangBTHTbtBulletLevel5BodyHangBo">
    <w:name w:val="Style Body TextBody Text HangBTHTbtBullet Level 5Body HangBo..."/>
    <w:basedOn w:val="BodyText"/>
    <w:rsid w:val="00B01F15"/>
    <w:rPr>
      <w:i w:val="0"/>
      <w:color w:val="auto"/>
      <w:lang w:val="en-US"/>
    </w:rPr>
  </w:style>
  <w:style w:type="character" w:customStyle="1" w:styleId="styleemphasistimesnewromanboldboldnotitalicblack0">
    <w:name w:val="styleemphasistimesnewromanboldboldnotitalicblack"/>
    <w:rsid w:val="00B01F15"/>
    <w:rPr>
      <w:rFonts w:ascii="Times New Roman" w:hAnsi="Times New Roman" w:cs="Times New Roman" w:hint="default"/>
      <w:i/>
      <w:iCs/>
      <w:color w:val="000000"/>
    </w:rPr>
  </w:style>
  <w:style w:type="paragraph" w:styleId="List">
    <w:name w:val="List"/>
    <w:basedOn w:val="Normal"/>
    <w:rsid w:val="00B01F15"/>
    <w:pPr>
      <w:tabs>
        <w:tab w:val="left" w:pos="1440"/>
      </w:tabs>
      <w:spacing w:after="0"/>
      <w:jc w:val="left"/>
    </w:pPr>
    <w:rPr>
      <w:rFonts w:eastAsia="Times New Roman"/>
      <w:lang w:val="en-US"/>
    </w:rPr>
  </w:style>
  <w:style w:type="character" w:customStyle="1" w:styleId="Heading5Char1">
    <w:name w:val="Heading 5 Char1"/>
    <w:link w:val="Heading5"/>
    <w:rsid w:val="00B01F15"/>
    <w:rPr>
      <w:b/>
      <w:bCs/>
      <w:i/>
      <w:iCs/>
      <w:sz w:val="26"/>
      <w:szCs w:val="26"/>
      <w:lang w:val="en-GB"/>
    </w:rPr>
  </w:style>
  <w:style w:type="paragraph" w:customStyle="1" w:styleId="CDSOptionalconcepts">
    <w:name w:val="CDS Optional concepts"/>
    <w:link w:val="CDSOptionalconceptsChar"/>
    <w:uiPriority w:val="99"/>
    <w:rsid w:val="00B01F15"/>
    <w:pPr>
      <w:widowControl w:val="0"/>
      <w:spacing w:line="260" w:lineRule="exact"/>
    </w:pPr>
    <w:rPr>
      <w:rFonts w:eastAsia="Times New Roman"/>
      <w:sz w:val="22"/>
    </w:rPr>
  </w:style>
  <w:style w:type="paragraph" w:customStyle="1" w:styleId="anything">
    <w:name w:val="anything"/>
    <w:basedOn w:val="ListBullet"/>
    <w:rsid w:val="00B01F15"/>
    <w:pPr>
      <w:widowControl w:val="0"/>
      <w:numPr>
        <w:numId w:val="0"/>
      </w:numPr>
      <w:spacing w:line="240" w:lineRule="auto"/>
      <w:contextualSpacing w:val="0"/>
    </w:pPr>
    <w:rPr>
      <w:sz w:val="24"/>
      <w:lang w:val="nl-NL"/>
    </w:rPr>
  </w:style>
  <w:style w:type="paragraph" w:customStyle="1" w:styleId="CDSMandatorysafetyconcepts">
    <w:name w:val="CDS Mandatory safety concepts"/>
    <w:link w:val="CDSMandatorysafetyconceptsChar"/>
    <w:rsid w:val="00B01F15"/>
    <w:pPr>
      <w:spacing w:line="260" w:lineRule="exact"/>
    </w:pPr>
    <w:rPr>
      <w:rFonts w:eastAsia="Times New Roman"/>
      <w:b/>
      <w:sz w:val="22"/>
    </w:rPr>
  </w:style>
  <w:style w:type="character" w:customStyle="1" w:styleId="CDSMandatorysafetyconceptsChar">
    <w:name w:val="CDS Mandatory safety concepts Char"/>
    <w:link w:val="CDSMandatorysafetyconcepts"/>
    <w:rsid w:val="00B01F15"/>
    <w:rPr>
      <w:rFonts w:eastAsia="Times New Roman"/>
      <w:b/>
      <w:sz w:val="22"/>
    </w:rPr>
  </w:style>
  <w:style w:type="character" w:customStyle="1" w:styleId="CDSOptionalconceptsChar">
    <w:name w:val="CDS Optional concepts Char"/>
    <w:link w:val="CDSOptionalconcepts"/>
    <w:uiPriority w:val="99"/>
    <w:rsid w:val="00B01F15"/>
    <w:rPr>
      <w:rFonts w:eastAsia="Times New Roman"/>
      <w:sz w:val="22"/>
    </w:rPr>
  </w:style>
  <w:style w:type="character" w:customStyle="1" w:styleId="StyleBoldUnderline">
    <w:name w:val="Style Bold Underline"/>
    <w:rsid w:val="00B01F15"/>
    <w:rPr>
      <w:bCs/>
      <w:sz w:val="22"/>
      <w:u w:val="single"/>
    </w:rPr>
  </w:style>
  <w:style w:type="paragraph" w:styleId="ListBullet">
    <w:name w:val="List Bullet"/>
    <w:basedOn w:val="Normal"/>
    <w:rsid w:val="00B01F15"/>
    <w:pPr>
      <w:numPr>
        <w:numId w:val="5"/>
      </w:numPr>
      <w:spacing w:after="0" w:line="260" w:lineRule="exact"/>
      <w:contextualSpacing/>
      <w:jc w:val="left"/>
    </w:pPr>
    <w:rPr>
      <w:rFonts w:eastAsia="Times New Roman"/>
      <w:sz w:val="22"/>
    </w:rPr>
  </w:style>
  <w:style w:type="character" w:customStyle="1" w:styleId="msoins0">
    <w:name w:val="msoins"/>
    <w:basedOn w:val="DefaultParagraphFont"/>
    <w:rsid w:val="00B01F15"/>
  </w:style>
  <w:style w:type="character" w:styleId="Strong">
    <w:name w:val="Strong"/>
    <w:qFormat/>
    <w:rsid w:val="00B01F15"/>
    <w:rPr>
      <w:b/>
      <w:bCs/>
    </w:rPr>
  </w:style>
  <w:style w:type="paragraph" w:customStyle="1" w:styleId="Paragraph0">
    <w:name w:val="Paragraph"/>
    <w:link w:val="ParagraphChar"/>
    <w:qFormat/>
    <w:rsid w:val="00B01F15"/>
    <w:pPr>
      <w:spacing w:after="240" w:line="260" w:lineRule="exact"/>
    </w:pPr>
    <w:rPr>
      <w:rFonts w:eastAsia="Times New Roman"/>
      <w:sz w:val="24"/>
      <w:szCs w:val="24"/>
    </w:rPr>
  </w:style>
  <w:style w:type="character" w:customStyle="1" w:styleId="ParagraphChar">
    <w:name w:val="Paragraph Char"/>
    <w:link w:val="Paragraph0"/>
    <w:rsid w:val="00B01F15"/>
    <w:rPr>
      <w:rFonts w:eastAsia="Times New Roman"/>
      <w:sz w:val="24"/>
      <w:szCs w:val="24"/>
    </w:rPr>
  </w:style>
  <w:style w:type="character" w:customStyle="1" w:styleId="cdsoptionalconceptschar0">
    <w:name w:val="cdsoptionalconceptschar"/>
    <w:basedOn w:val="DefaultParagraphFont"/>
    <w:rsid w:val="00B01F15"/>
  </w:style>
  <w:style w:type="paragraph" w:customStyle="1" w:styleId="StyleHeading2Left0Firstline0">
    <w:name w:val="Style Heading 2 + Left:  0&quot; First line:  0&quot;"/>
    <w:basedOn w:val="Heading2"/>
    <w:rsid w:val="00B01F15"/>
    <w:pPr>
      <w:spacing w:before="0" w:after="0" w:line="240" w:lineRule="auto"/>
      <w:jc w:val="left"/>
    </w:pPr>
    <w:rPr>
      <w:rFonts w:ascii="Times New Roman Bold" w:eastAsia="Times New Roman" w:hAnsi="Times New Roman Bold"/>
      <w:bCs/>
      <w:sz w:val="22"/>
      <w:lang w:val="en-US"/>
    </w:rPr>
  </w:style>
  <w:style w:type="character" w:customStyle="1" w:styleId="Heading1Char">
    <w:name w:val="Heading 1 Char"/>
    <w:link w:val="Heading1"/>
    <w:rsid w:val="00B01F15"/>
    <w:rPr>
      <w:b/>
      <w:caps/>
      <w:kern w:val="28"/>
      <w:sz w:val="28"/>
      <w:lang w:val="en-GB"/>
    </w:rPr>
  </w:style>
  <w:style w:type="paragraph" w:styleId="Date">
    <w:name w:val="Date"/>
    <w:basedOn w:val="Normal"/>
    <w:next w:val="Normal"/>
    <w:link w:val="DateChar"/>
    <w:rsid w:val="00B01F15"/>
    <w:pPr>
      <w:spacing w:after="0"/>
      <w:jc w:val="left"/>
    </w:pPr>
    <w:rPr>
      <w:rFonts w:eastAsia="Times New Roman"/>
      <w:lang w:val="en-US"/>
    </w:rPr>
  </w:style>
  <w:style w:type="character" w:customStyle="1" w:styleId="DateChar">
    <w:name w:val="Date Char"/>
    <w:basedOn w:val="DefaultParagraphFont"/>
    <w:link w:val="Date"/>
    <w:rsid w:val="00B01F15"/>
    <w:rPr>
      <w:rFonts w:eastAsia="Times New Roman"/>
      <w:sz w:val="24"/>
    </w:rPr>
  </w:style>
  <w:style w:type="paragraph" w:styleId="HTMLAddress">
    <w:name w:val="HTML Address"/>
    <w:basedOn w:val="Normal"/>
    <w:link w:val="HTMLAddressChar"/>
    <w:rsid w:val="00B01F15"/>
    <w:pPr>
      <w:spacing w:after="0"/>
      <w:jc w:val="left"/>
    </w:pPr>
    <w:rPr>
      <w:rFonts w:eastAsia="Times New Roman"/>
      <w:i/>
      <w:iCs/>
      <w:lang w:val="en-US"/>
    </w:rPr>
  </w:style>
  <w:style w:type="character" w:customStyle="1" w:styleId="HTMLAddressChar">
    <w:name w:val="HTML Address Char"/>
    <w:basedOn w:val="DefaultParagraphFont"/>
    <w:link w:val="HTMLAddress"/>
    <w:rsid w:val="00B01F15"/>
    <w:rPr>
      <w:rFonts w:eastAsia="Times New Roman"/>
      <w:i/>
      <w:iCs/>
      <w:sz w:val="24"/>
    </w:rPr>
  </w:style>
  <w:style w:type="paragraph" w:customStyle="1" w:styleId="TableText0">
    <w:name w:val="TableText"/>
    <w:link w:val="TableTextChar"/>
    <w:qFormat/>
    <w:rsid w:val="00B01F15"/>
    <w:rPr>
      <w:rFonts w:eastAsia="Times New Roman" w:cs="Arial"/>
    </w:rPr>
  </w:style>
  <w:style w:type="character" w:customStyle="1" w:styleId="TableTextChar">
    <w:name w:val="TableText Char"/>
    <w:link w:val="TableText0"/>
    <w:rsid w:val="00B01F15"/>
    <w:rPr>
      <w:rFonts w:eastAsia="Times New Roman" w:cs="Arial"/>
    </w:rPr>
  </w:style>
  <w:style w:type="character" w:customStyle="1" w:styleId="TableText12">
    <w:name w:val="TableText 12"/>
    <w:rsid w:val="00B01F15"/>
    <w:rPr>
      <w:rFonts w:ascii="Times New Roman" w:hAnsi="Times New Roman" w:cs="Times New Roman" w:hint="default"/>
    </w:rPr>
  </w:style>
  <w:style w:type="character" w:styleId="LineNumber">
    <w:name w:val="line number"/>
    <w:rsid w:val="00B01F15"/>
  </w:style>
  <w:style w:type="numbering" w:customStyle="1" w:styleId="NoList1">
    <w:name w:val="No List1"/>
    <w:next w:val="NoList"/>
    <w:uiPriority w:val="99"/>
    <w:semiHidden/>
    <w:unhideWhenUsed/>
    <w:rsid w:val="00B01F15"/>
  </w:style>
  <w:style w:type="paragraph" w:styleId="TOC1">
    <w:name w:val="toc 1"/>
    <w:basedOn w:val="Paragraph0"/>
    <w:next w:val="Paragraph0"/>
    <w:autoRedefine/>
    <w:rsid w:val="00B01F15"/>
    <w:pPr>
      <w:keepLines/>
      <w:tabs>
        <w:tab w:val="left" w:pos="576"/>
        <w:tab w:val="right" w:leader="dot" w:pos="9360"/>
      </w:tabs>
      <w:spacing w:before="120" w:after="120" w:line="240" w:lineRule="auto"/>
      <w:ind w:left="576" w:right="576" w:hanging="576"/>
    </w:pPr>
    <w:rPr>
      <w:caps/>
      <w:color w:val="0000FF"/>
    </w:rPr>
  </w:style>
  <w:style w:type="paragraph" w:styleId="TOC2">
    <w:name w:val="toc 2"/>
    <w:basedOn w:val="Paragraph0"/>
    <w:next w:val="Paragraph0"/>
    <w:autoRedefine/>
    <w:rsid w:val="00B01F15"/>
    <w:pPr>
      <w:keepLines/>
      <w:tabs>
        <w:tab w:val="left" w:pos="1152"/>
        <w:tab w:val="right" w:leader="dot" w:pos="9360"/>
      </w:tabs>
      <w:spacing w:after="120" w:line="240" w:lineRule="auto"/>
      <w:ind w:left="1152" w:right="576" w:hanging="576"/>
    </w:pPr>
    <w:rPr>
      <w:color w:val="0000FF"/>
    </w:rPr>
  </w:style>
  <w:style w:type="paragraph" w:styleId="TOC3">
    <w:name w:val="toc 3"/>
    <w:basedOn w:val="Paragraph0"/>
    <w:next w:val="Paragraph0"/>
    <w:autoRedefine/>
    <w:rsid w:val="00B01F15"/>
    <w:pPr>
      <w:keepLines/>
      <w:tabs>
        <w:tab w:val="left" w:pos="2160"/>
        <w:tab w:val="right" w:leader="dot" w:pos="9360"/>
      </w:tabs>
      <w:spacing w:after="120" w:line="240" w:lineRule="auto"/>
      <w:ind w:left="2016" w:right="576" w:hanging="864"/>
    </w:pPr>
    <w:rPr>
      <w:color w:val="0000FF"/>
    </w:rPr>
  </w:style>
  <w:style w:type="paragraph" w:styleId="TOC4">
    <w:name w:val="toc 4"/>
    <w:basedOn w:val="Paragraph0"/>
    <w:next w:val="Paragraph0"/>
    <w:autoRedefine/>
    <w:rsid w:val="00B01F15"/>
    <w:pPr>
      <w:keepLines/>
      <w:tabs>
        <w:tab w:val="left" w:pos="2160"/>
        <w:tab w:val="right" w:leader="dot" w:pos="9360"/>
      </w:tabs>
      <w:spacing w:after="120" w:line="240" w:lineRule="auto"/>
      <w:ind w:left="2880" w:right="576" w:hanging="864"/>
    </w:pPr>
    <w:rPr>
      <w:color w:val="0000FF"/>
    </w:rPr>
  </w:style>
  <w:style w:type="paragraph" w:styleId="TOC5">
    <w:name w:val="toc 5"/>
    <w:basedOn w:val="Normal"/>
    <w:next w:val="Normal"/>
    <w:autoRedefine/>
    <w:rsid w:val="00B01F15"/>
    <w:pPr>
      <w:overflowPunct w:val="0"/>
      <w:autoSpaceDE w:val="0"/>
      <w:autoSpaceDN w:val="0"/>
      <w:adjustRightInd w:val="0"/>
      <w:spacing w:after="0"/>
      <w:ind w:left="960"/>
      <w:jc w:val="left"/>
      <w:textAlignment w:val="baseline"/>
    </w:pPr>
    <w:rPr>
      <w:rFonts w:eastAsia="Times New Roman"/>
      <w:szCs w:val="24"/>
      <w:lang w:val="en-US"/>
    </w:rPr>
  </w:style>
  <w:style w:type="paragraph" w:styleId="TOC6">
    <w:name w:val="toc 6"/>
    <w:basedOn w:val="Normal"/>
    <w:next w:val="Normal"/>
    <w:autoRedefine/>
    <w:rsid w:val="00B01F15"/>
    <w:pPr>
      <w:overflowPunct w:val="0"/>
      <w:autoSpaceDE w:val="0"/>
      <w:autoSpaceDN w:val="0"/>
      <w:adjustRightInd w:val="0"/>
      <w:spacing w:after="0"/>
      <w:ind w:left="1200"/>
      <w:jc w:val="left"/>
      <w:textAlignment w:val="baseline"/>
    </w:pPr>
    <w:rPr>
      <w:rFonts w:eastAsia="Times New Roman"/>
      <w:szCs w:val="24"/>
      <w:lang w:val="en-US"/>
    </w:rPr>
  </w:style>
  <w:style w:type="paragraph" w:styleId="TOC7">
    <w:name w:val="toc 7"/>
    <w:basedOn w:val="Normal"/>
    <w:next w:val="Normal"/>
    <w:autoRedefine/>
    <w:rsid w:val="00B01F15"/>
    <w:pPr>
      <w:overflowPunct w:val="0"/>
      <w:autoSpaceDE w:val="0"/>
      <w:autoSpaceDN w:val="0"/>
      <w:adjustRightInd w:val="0"/>
      <w:spacing w:after="0"/>
      <w:ind w:left="1440"/>
      <w:jc w:val="left"/>
      <w:textAlignment w:val="baseline"/>
    </w:pPr>
    <w:rPr>
      <w:rFonts w:eastAsia="Times New Roman"/>
      <w:szCs w:val="24"/>
      <w:lang w:val="en-US"/>
    </w:rPr>
  </w:style>
  <w:style w:type="paragraph" w:styleId="TOC8">
    <w:name w:val="toc 8"/>
    <w:basedOn w:val="Normal"/>
    <w:next w:val="Normal"/>
    <w:autoRedefine/>
    <w:rsid w:val="00B01F15"/>
    <w:pPr>
      <w:overflowPunct w:val="0"/>
      <w:autoSpaceDE w:val="0"/>
      <w:autoSpaceDN w:val="0"/>
      <w:adjustRightInd w:val="0"/>
      <w:spacing w:after="0"/>
      <w:ind w:left="1680"/>
      <w:jc w:val="left"/>
      <w:textAlignment w:val="baseline"/>
    </w:pPr>
    <w:rPr>
      <w:rFonts w:eastAsia="Times New Roman"/>
      <w:szCs w:val="24"/>
      <w:lang w:val="en-US"/>
    </w:rPr>
  </w:style>
  <w:style w:type="paragraph" w:styleId="TOC9">
    <w:name w:val="toc 9"/>
    <w:basedOn w:val="Normal"/>
    <w:next w:val="Normal"/>
    <w:autoRedefine/>
    <w:rsid w:val="00B01F15"/>
    <w:pPr>
      <w:overflowPunct w:val="0"/>
      <w:autoSpaceDE w:val="0"/>
      <w:autoSpaceDN w:val="0"/>
      <w:adjustRightInd w:val="0"/>
      <w:spacing w:after="0"/>
      <w:ind w:left="1920"/>
      <w:jc w:val="left"/>
      <w:textAlignment w:val="baseline"/>
    </w:pPr>
    <w:rPr>
      <w:rFonts w:eastAsia="Times New Roman"/>
      <w:szCs w:val="24"/>
      <w:lang w:val="en-US"/>
    </w:rPr>
  </w:style>
  <w:style w:type="paragraph" w:styleId="ListNumber">
    <w:name w:val="List Number"/>
    <w:rsid w:val="00B01F15"/>
    <w:pPr>
      <w:numPr>
        <w:numId w:val="11"/>
      </w:numPr>
      <w:spacing w:after="240"/>
    </w:pPr>
    <w:rPr>
      <w:rFonts w:eastAsia="Times New Roman"/>
      <w:sz w:val="24"/>
      <w:szCs w:val="24"/>
    </w:rPr>
  </w:style>
  <w:style w:type="paragraph" w:styleId="Caption">
    <w:name w:val="caption"/>
    <w:next w:val="Paragraph0"/>
    <w:qFormat/>
    <w:rsid w:val="00B01F15"/>
    <w:pPr>
      <w:keepNext/>
      <w:tabs>
        <w:tab w:val="left" w:pos="1152"/>
      </w:tabs>
      <w:spacing w:after="240"/>
      <w:ind w:left="1152" w:hanging="1152"/>
    </w:pPr>
    <w:rPr>
      <w:rFonts w:ascii="Times New Roman Bold" w:eastAsia="Times New Roman" w:hAnsi="Times New Roman Bold" w:cs="Arial"/>
      <w:b/>
      <w:bCs/>
      <w:sz w:val="24"/>
      <w:szCs w:val="24"/>
    </w:rPr>
  </w:style>
  <w:style w:type="paragraph" w:styleId="DocumentMap">
    <w:name w:val="Document Map"/>
    <w:basedOn w:val="Normal"/>
    <w:link w:val="DocumentMapChar"/>
    <w:rsid w:val="00B01F15"/>
    <w:pPr>
      <w:shd w:val="clear" w:color="auto" w:fill="000080"/>
      <w:overflowPunct w:val="0"/>
      <w:autoSpaceDE w:val="0"/>
      <w:autoSpaceDN w:val="0"/>
      <w:adjustRightInd w:val="0"/>
      <w:spacing w:after="0"/>
      <w:jc w:val="left"/>
      <w:textAlignment w:val="baseline"/>
    </w:pPr>
    <w:rPr>
      <w:rFonts w:ascii="Tahoma" w:eastAsia="Times New Roman" w:hAnsi="Tahoma" w:cs="Tahoma"/>
      <w:sz w:val="20"/>
      <w:lang w:val="en-US"/>
    </w:rPr>
  </w:style>
  <w:style w:type="character" w:customStyle="1" w:styleId="DocumentMapChar">
    <w:name w:val="Document Map Char"/>
    <w:basedOn w:val="DefaultParagraphFont"/>
    <w:link w:val="DocumentMap"/>
    <w:rsid w:val="00B01F15"/>
    <w:rPr>
      <w:rFonts w:ascii="Tahoma" w:eastAsia="Times New Roman" w:hAnsi="Tahoma" w:cs="Tahoma"/>
      <w:shd w:val="clear" w:color="auto" w:fill="000080"/>
    </w:rPr>
  </w:style>
  <w:style w:type="character" w:styleId="EndnoteReference">
    <w:name w:val="endnote reference"/>
    <w:rsid w:val="00B01F15"/>
    <w:rPr>
      <w:rFonts w:ascii="Times New Roman" w:hAnsi="Times New Roman" w:cs="Arial"/>
      <w:vertAlign w:val="superscript"/>
    </w:rPr>
  </w:style>
  <w:style w:type="paragraph" w:styleId="EndnoteText">
    <w:name w:val="endnote text"/>
    <w:link w:val="EndnoteTextChar"/>
    <w:rsid w:val="00B01F15"/>
    <w:pPr>
      <w:spacing w:after="240"/>
      <w:ind w:left="461" w:right="1440" w:hanging="461"/>
    </w:pPr>
    <w:rPr>
      <w:rFonts w:eastAsia="Times New Roman"/>
      <w:sz w:val="24"/>
    </w:rPr>
  </w:style>
  <w:style w:type="character" w:customStyle="1" w:styleId="EndnoteTextChar">
    <w:name w:val="Endnote Text Char"/>
    <w:basedOn w:val="DefaultParagraphFont"/>
    <w:link w:val="EndnoteText"/>
    <w:rsid w:val="00B01F15"/>
    <w:rPr>
      <w:rFonts w:eastAsia="Times New Roman"/>
      <w:sz w:val="24"/>
    </w:rPr>
  </w:style>
  <w:style w:type="character" w:styleId="FootnoteReference">
    <w:name w:val="footnote reference"/>
    <w:rsid w:val="00B01F15"/>
    <w:rPr>
      <w:vertAlign w:val="superscript"/>
    </w:rPr>
  </w:style>
  <w:style w:type="paragraph" w:styleId="FootnoteText">
    <w:name w:val="footnote text"/>
    <w:link w:val="FootnoteTextChar"/>
    <w:rsid w:val="00B01F15"/>
    <w:pPr>
      <w:spacing w:after="120"/>
      <w:ind w:firstLine="461"/>
    </w:pPr>
    <w:rPr>
      <w:rFonts w:eastAsia="Times New Roman"/>
    </w:rPr>
  </w:style>
  <w:style w:type="character" w:customStyle="1" w:styleId="FootnoteTextChar">
    <w:name w:val="Footnote Text Char"/>
    <w:basedOn w:val="DefaultParagraphFont"/>
    <w:link w:val="FootnoteText"/>
    <w:rsid w:val="00B01F15"/>
    <w:rPr>
      <w:rFonts w:eastAsia="Times New Roman"/>
    </w:rPr>
  </w:style>
  <w:style w:type="paragraph" w:styleId="TableofFigures">
    <w:name w:val="table of figures"/>
    <w:basedOn w:val="Paragraph0"/>
    <w:next w:val="Paragraph0"/>
    <w:autoRedefine/>
    <w:rsid w:val="00B01F15"/>
    <w:pPr>
      <w:keepLines/>
      <w:tabs>
        <w:tab w:val="left" w:pos="576"/>
        <w:tab w:val="right" w:leader="dot" w:pos="9360"/>
      </w:tabs>
      <w:spacing w:before="120" w:after="120" w:line="240" w:lineRule="auto"/>
      <w:ind w:left="1152" w:right="576" w:hanging="1152"/>
    </w:pPr>
    <w:rPr>
      <w:color w:val="0000FF"/>
    </w:rPr>
  </w:style>
  <w:style w:type="paragraph" w:styleId="Title">
    <w:name w:val="Title"/>
    <w:next w:val="Paragraph0"/>
    <w:link w:val="TitleChar"/>
    <w:qFormat/>
    <w:rsid w:val="00B01F15"/>
    <w:pPr>
      <w:spacing w:before="240" w:after="240"/>
      <w:jc w:val="center"/>
    </w:pPr>
    <w:rPr>
      <w:rFonts w:ascii="Times New Roman Bold" w:eastAsia="Times New Roman" w:hAnsi="Times New Roman Bold" w:cs="Arial"/>
      <w:b/>
      <w:bCs/>
      <w:caps/>
      <w:kern w:val="28"/>
      <w:sz w:val="24"/>
      <w:szCs w:val="32"/>
    </w:rPr>
  </w:style>
  <w:style w:type="character" w:customStyle="1" w:styleId="TitleChar">
    <w:name w:val="Title Char"/>
    <w:basedOn w:val="DefaultParagraphFont"/>
    <w:link w:val="Title"/>
    <w:rsid w:val="00B01F15"/>
    <w:rPr>
      <w:rFonts w:ascii="Times New Roman Bold" w:eastAsia="Times New Roman" w:hAnsi="Times New Roman Bold" w:cs="Arial"/>
      <w:b/>
      <w:bCs/>
      <w:caps/>
      <w:kern w:val="28"/>
      <w:sz w:val="24"/>
      <w:szCs w:val="32"/>
    </w:rPr>
  </w:style>
  <w:style w:type="paragraph" w:styleId="Index1">
    <w:name w:val="index 1"/>
    <w:basedOn w:val="Normal"/>
    <w:next w:val="Normal"/>
    <w:autoRedefine/>
    <w:rsid w:val="00B01F15"/>
    <w:pPr>
      <w:overflowPunct w:val="0"/>
      <w:autoSpaceDE w:val="0"/>
      <w:autoSpaceDN w:val="0"/>
      <w:adjustRightInd w:val="0"/>
      <w:spacing w:after="0"/>
      <w:ind w:left="240" w:hanging="240"/>
      <w:jc w:val="left"/>
      <w:textAlignment w:val="baseline"/>
    </w:pPr>
    <w:rPr>
      <w:rFonts w:eastAsia="Times New Roman"/>
      <w:szCs w:val="24"/>
      <w:lang w:val="en-US"/>
    </w:rPr>
  </w:style>
  <w:style w:type="paragraph" w:styleId="Index2">
    <w:name w:val="index 2"/>
    <w:basedOn w:val="Normal"/>
    <w:next w:val="Normal"/>
    <w:autoRedefine/>
    <w:rsid w:val="00B01F15"/>
    <w:pPr>
      <w:overflowPunct w:val="0"/>
      <w:autoSpaceDE w:val="0"/>
      <w:autoSpaceDN w:val="0"/>
      <w:adjustRightInd w:val="0"/>
      <w:spacing w:after="0"/>
      <w:ind w:left="480" w:hanging="240"/>
      <w:jc w:val="left"/>
      <w:textAlignment w:val="baseline"/>
    </w:pPr>
    <w:rPr>
      <w:rFonts w:eastAsia="Times New Roman"/>
      <w:szCs w:val="24"/>
      <w:lang w:val="en-US"/>
    </w:rPr>
  </w:style>
  <w:style w:type="paragraph" w:styleId="Index3">
    <w:name w:val="index 3"/>
    <w:basedOn w:val="Normal"/>
    <w:next w:val="Normal"/>
    <w:autoRedefine/>
    <w:rsid w:val="00B01F15"/>
    <w:pPr>
      <w:overflowPunct w:val="0"/>
      <w:autoSpaceDE w:val="0"/>
      <w:autoSpaceDN w:val="0"/>
      <w:adjustRightInd w:val="0"/>
      <w:spacing w:after="0"/>
      <w:ind w:left="720" w:hanging="240"/>
      <w:jc w:val="left"/>
      <w:textAlignment w:val="baseline"/>
    </w:pPr>
    <w:rPr>
      <w:rFonts w:eastAsia="Times New Roman"/>
      <w:szCs w:val="24"/>
      <w:lang w:val="en-US"/>
    </w:rPr>
  </w:style>
  <w:style w:type="paragraph" w:styleId="Index4">
    <w:name w:val="index 4"/>
    <w:basedOn w:val="Normal"/>
    <w:next w:val="Normal"/>
    <w:autoRedefine/>
    <w:rsid w:val="00B01F15"/>
    <w:pPr>
      <w:overflowPunct w:val="0"/>
      <w:autoSpaceDE w:val="0"/>
      <w:autoSpaceDN w:val="0"/>
      <w:adjustRightInd w:val="0"/>
      <w:spacing w:after="0"/>
      <w:ind w:left="960" w:hanging="240"/>
      <w:jc w:val="left"/>
      <w:textAlignment w:val="baseline"/>
    </w:pPr>
    <w:rPr>
      <w:rFonts w:eastAsia="Times New Roman"/>
      <w:szCs w:val="24"/>
      <w:lang w:val="en-US"/>
    </w:rPr>
  </w:style>
  <w:style w:type="paragraph" w:styleId="Index5">
    <w:name w:val="index 5"/>
    <w:basedOn w:val="Normal"/>
    <w:next w:val="Normal"/>
    <w:autoRedefine/>
    <w:rsid w:val="00B01F15"/>
    <w:pPr>
      <w:overflowPunct w:val="0"/>
      <w:autoSpaceDE w:val="0"/>
      <w:autoSpaceDN w:val="0"/>
      <w:adjustRightInd w:val="0"/>
      <w:spacing w:after="0"/>
      <w:ind w:left="1200" w:hanging="240"/>
      <w:jc w:val="left"/>
      <w:textAlignment w:val="baseline"/>
    </w:pPr>
    <w:rPr>
      <w:rFonts w:eastAsia="Times New Roman"/>
      <w:szCs w:val="24"/>
      <w:lang w:val="en-US"/>
    </w:rPr>
  </w:style>
  <w:style w:type="paragraph" w:styleId="Index6">
    <w:name w:val="index 6"/>
    <w:basedOn w:val="Normal"/>
    <w:next w:val="Normal"/>
    <w:autoRedefine/>
    <w:rsid w:val="00B01F15"/>
    <w:pPr>
      <w:overflowPunct w:val="0"/>
      <w:autoSpaceDE w:val="0"/>
      <w:autoSpaceDN w:val="0"/>
      <w:adjustRightInd w:val="0"/>
      <w:spacing w:after="0"/>
      <w:ind w:left="1440" w:hanging="240"/>
      <w:jc w:val="left"/>
      <w:textAlignment w:val="baseline"/>
    </w:pPr>
    <w:rPr>
      <w:rFonts w:eastAsia="Times New Roman"/>
      <w:szCs w:val="24"/>
      <w:lang w:val="en-US"/>
    </w:rPr>
  </w:style>
  <w:style w:type="paragraph" w:styleId="Index7">
    <w:name w:val="index 7"/>
    <w:basedOn w:val="Normal"/>
    <w:next w:val="Normal"/>
    <w:autoRedefine/>
    <w:rsid w:val="00B01F15"/>
    <w:pPr>
      <w:overflowPunct w:val="0"/>
      <w:autoSpaceDE w:val="0"/>
      <w:autoSpaceDN w:val="0"/>
      <w:adjustRightInd w:val="0"/>
      <w:spacing w:after="0"/>
      <w:ind w:left="1680" w:hanging="240"/>
      <w:jc w:val="left"/>
      <w:textAlignment w:val="baseline"/>
    </w:pPr>
    <w:rPr>
      <w:rFonts w:eastAsia="Times New Roman"/>
      <w:szCs w:val="24"/>
      <w:lang w:val="en-US"/>
    </w:rPr>
  </w:style>
  <w:style w:type="paragraph" w:styleId="Index8">
    <w:name w:val="index 8"/>
    <w:basedOn w:val="Normal"/>
    <w:next w:val="Normal"/>
    <w:autoRedefine/>
    <w:rsid w:val="00B01F15"/>
    <w:pPr>
      <w:overflowPunct w:val="0"/>
      <w:autoSpaceDE w:val="0"/>
      <w:autoSpaceDN w:val="0"/>
      <w:adjustRightInd w:val="0"/>
      <w:spacing w:after="0"/>
      <w:ind w:left="1920" w:hanging="240"/>
      <w:jc w:val="left"/>
      <w:textAlignment w:val="baseline"/>
    </w:pPr>
    <w:rPr>
      <w:rFonts w:eastAsia="Times New Roman"/>
      <w:szCs w:val="24"/>
      <w:lang w:val="en-US"/>
    </w:rPr>
  </w:style>
  <w:style w:type="paragraph" w:styleId="Index9">
    <w:name w:val="index 9"/>
    <w:basedOn w:val="Normal"/>
    <w:next w:val="Normal"/>
    <w:autoRedefine/>
    <w:rsid w:val="00B01F15"/>
    <w:pPr>
      <w:overflowPunct w:val="0"/>
      <w:autoSpaceDE w:val="0"/>
      <w:autoSpaceDN w:val="0"/>
      <w:adjustRightInd w:val="0"/>
      <w:spacing w:after="0"/>
      <w:ind w:left="2160" w:hanging="240"/>
      <w:jc w:val="left"/>
      <w:textAlignment w:val="baseline"/>
    </w:pPr>
    <w:rPr>
      <w:rFonts w:eastAsia="Times New Roman"/>
      <w:szCs w:val="24"/>
      <w:lang w:val="en-US"/>
    </w:rPr>
  </w:style>
  <w:style w:type="paragraph" w:styleId="IndexHeading">
    <w:name w:val="index heading"/>
    <w:basedOn w:val="Normal"/>
    <w:next w:val="Index1"/>
    <w:rsid w:val="00B01F15"/>
    <w:pPr>
      <w:overflowPunct w:val="0"/>
      <w:autoSpaceDE w:val="0"/>
      <w:autoSpaceDN w:val="0"/>
      <w:adjustRightInd w:val="0"/>
      <w:spacing w:after="0"/>
      <w:jc w:val="left"/>
      <w:textAlignment w:val="baseline"/>
    </w:pPr>
    <w:rPr>
      <w:rFonts w:ascii="Arial" w:eastAsia="Times New Roman" w:hAnsi="Arial" w:cs="Arial"/>
      <w:b/>
      <w:bCs/>
      <w:szCs w:val="24"/>
      <w:lang w:val="en-US"/>
    </w:rPr>
  </w:style>
  <w:style w:type="paragraph" w:styleId="ListBullet2">
    <w:name w:val="List Bullet 2"/>
    <w:rsid w:val="00B01F15"/>
    <w:pPr>
      <w:numPr>
        <w:numId w:val="8"/>
      </w:numPr>
      <w:spacing w:after="240"/>
    </w:pPr>
    <w:rPr>
      <w:rFonts w:eastAsia="Times New Roman"/>
      <w:sz w:val="24"/>
      <w:szCs w:val="24"/>
    </w:rPr>
  </w:style>
  <w:style w:type="paragraph" w:styleId="ListBullet3">
    <w:name w:val="List Bullet 3"/>
    <w:rsid w:val="00B01F15"/>
    <w:pPr>
      <w:numPr>
        <w:numId w:val="9"/>
      </w:numPr>
      <w:spacing w:after="240"/>
    </w:pPr>
    <w:rPr>
      <w:rFonts w:eastAsia="Times New Roman"/>
      <w:sz w:val="24"/>
      <w:szCs w:val="24"/>
    </w:rPr>
  </w:style>
  <w:style w:type="paragraph" w:styleId="ListBullet4">
    <w:name w:val="List Bullet 4"/>
    <w:rsid w:val="00B01F15"/>
    <w:pPr>
      <w:numPr>
        <w:numId w:val="10"/>
      </w:numPr>
      <w:spacing w:after="240"/>
    </w:pPr>
    <w:rPr>
      <w:rFonts w:eastAsia="Times New Roman"/>
      <w:sz w:val="24"/>
      <w:szCs w:val="24"/>
    </w:rPr>
  </w:style>
  <w:style w:type="paragraph" w:styleId="ListBullet5">
    <w:name w:val="List Bullet 5"/>
    <w:rsid w:val="00B01F15"/>
    <w:pPr>
      <w:numPr>
        <w:numId w:val="23"/>
      </w:numPr>
      <w:spacing w:after="240"/>
    </w:pPr>
    <w:rPr>
      <w:rFonts w:eastAsia="Times New Roman"/>
      <w:sz w:val="24"/>
    </w:rPr>
  </w:style>
  <w:style w:type="paragraph" w:styleId="ListNumber2">
    <w:name w:val="List Number 2"/>
    <w:rsid w:val="00B01F15"/>
    <w:pPr>
      <w:numPr>
        <w:numId w:val="12"/>
      </w:numPr>
      <w:spacing w:after="240"/>
    </w:pPr>
    <w:rPr>
      <w:rFonts w:eastAsia="Times New Roman"/>
      <w:sz w:val="24"/>
      <w:szCs w:val="24"/>
    </w:rPr>
  </w:style>
  <w:style w:type="paragraph" w:styleId="ListNumber3">
    <w:name w:val="List Number 3"/>
    <w:rsid w:val="00B01F15"/>
    <w:pPr>
      <w:numPr>
        <w:numId w:val="13"/>
      </w:numPr>
      <w:spacing w:after="240"/>
    </w:pPr>
    <w:rPr>
      <w:rFonts w:eastAsia="Times New Roman"/>
      <w:sz w:val="24"/>
      <w:szCs w:val="24"/>
    </w:rPr>
  </w:style>
  <w:style w:type="paragraph" w:styleId="ListNumber4">
    <w:name w:val="List Number 4"/>
    <w:rsid w:val="00B01F15"/>
    <w:pPr>
      <w:numPr>
        <w:numId w:val="14"/>
      </w:numPr>
      <w:spacing w:after="240"/>
    </w:pPr>
    <w:rPr>
      <w:rFonts w:eastAsia="Times New Roman"/>
      <w:sz w:val="24"/>
      <w:szCs w:val="24"/>
    </w:rPr>
  </w:style>
  <w:style w:type="paragraph" w:styleId="ListNumber5">
    <w:name w:val="List Number 5"/>
    <w:rsid w:val="00B01F15"/>
    <w:pPr>
      <w:numPr>
        <w:numId w:val="15"/>
      </w:numPr>
      <w:spacing w:after="240"/>
    </w:pPr>
    <w:rPr>
      <w:rFonts w:eastAsia="Times New Roman"/>
      <w:sz w:val="24"/>
      <w:szCs w:val="24"/>
    </w:rPr>
  </w:style>
  <w:style w:type="paragraph" w:styleId="MacroText">
    <w:name w:val="macro"/>
    <w:link w:val="MacroTextChar"/>
    <w:rsid w:val="00B01F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rPr>
  </w:style>
  <w:style w:type="character" w:customStyle="1" w:styleId="MacroTextChar">
    <w:name w:val="Macro Text Char"/>
    <w:basedOn w:val="DefaultParagraphFont"/>
    <w:link w:val="MacroText"/>
    <w:rsid w:val="00B01F15"/>
    <w:rPr>
      <w:rFonts w:ascii="Courier New" w:eastAsia="Times New Roman" w:hAnsi="Courier New" w:cs="Courier New"/>
    </w:rPr>
  </w:style>
  <w:style w:type="paragraph" w:styleId="PlainText">
    <w:name w:val="Plain Text"/>
    <w:basedOn w:val="Normal"/>
    <w:link w:val="PlainTextChar"/>
    <w:rsid w:val="00B01F15"/>
    <w:pPr>
      <w:spacing w:after="0"/>
      <w:jc w:val="left"/>
    </w:pPr>
    <w:rPr>
      <w:rFonts w:ascii="Courier New" w:eastAsia="Times New Roman" w:hAnsi="Courier New" w:cs="Courier New"/>
      <w:sz w:val="20"/>
      <w:lang w:val="en-US"/>
    </w:rPr>
  </w:style>
  <w:style w:type="character" w:customStyle="1" w:styleId="PlainTextChar">
    <w:name w:val="Plain Text Char"/>
    <w:basedOn w:val="DefaultParagraphFont"/>
    <w:link w:val="PlainText"/>
    <w:rsid w:val="00B01F15"/>
    <w:rPr>
      <w:rFonts w:ascii="Courier New" w:eastAsia="Times New Roman" w:hAnsi="Courier New" w:cs="Courier New"/>
    </w:rPr>
  </w:style>
  <w:style w:type="paragraph" w:styleId="TableofAuthorities">
    <w:name w:val="table of authorities"/>
    <w:basedOn w:val="Normal"/>
    <w:next w:val="Normal"/>
    <w:rsid w:val="00B01F15"/>
    <w:pPr>
      <w:overflowPunct w:val="0"/>
      <w:autoSpaceDE w:val="0"/>
      <w:autoSpaceDN w:val="0"/>
      <w:adjustRightInd w:val="0"/>
      <w:spacing w:after="0"/>
      <w:ind w:left="240" w:hanging="240"/>
      <w:jc w:val="left"/>
      <w:textAlignment w:val="baseline"/>
    </w:pPr>
    <w:rPr>
      <w:rFonts w:eastAsia="Times New Roman"/>
      <w:szCs w:val="24"/>
      <w:lang w:val="en-US"/>
    </w:rPr>
  </w:style>
  <w:style w:type="paragraph" w:styleId="TOAHeading">
    <w:name w:val="toa heading"/>
    <w:basedOn w:val="Normal"/>
    <w:next w:val="Normal"/>
    <w:rsid w:val="00B01F15"/>
    <w:pPr>
      <w:overflowPunct w:val="0"/>
      <w:autoSpaceDE w:val="0"/>
      <w:autoSpaceDN w:val="0"/>
      <w:adjustRightInd w:val="0"/>
      <w:spacing w:before="120" w:after="0"/>
      <w:jc w:val="left"/>
      <w:textAlignment w:val="baseline"/>
    </w:pPr>
    <w:rPr>
      <w:rFonts w:ascii="Arial" w:eastAsia="Times New Roman" w:hAnsi="Arial" w:cs="Arial"/>
      <w:b/>
      <w:bCs/>
      <w:szCs w:val="24"/>
      <w:lang w:val="en-US"/>
    </w:rPr>
  </w:style>
  <w:style w:type="paragraph" w:customStyle="1" w:styleId="TOCHeadingCentered">
    <w:name w:val="TOC Heading Centered"/>
    <w:basedOn w:val="Paragraph0"/>
    <w:next w:val="Paragraph0"/>
    <w:autoRedefine/>
    <w:rsid w:val="00B01F15"/>
    <w:pPr>
      <w:keepNext/>
      <w:spacing w:before="120" w:after="120" w:line="240" w:lineRule="auto"/>
      <w:outlineLvl w:val="0"/>
    </w:pPr>
    <w:rPr>
      <w:rFonts w:ascii="Times New Roman Bold" w:hAnsi="Times New Roman Bold"/>
      <w:b/>
      <w:caps/>
    </w:rPr>
  </w:style>
  <w:style w:type="paragraph" w:customStyle="1" w:styleId="CaptionCrossReference">
    <w:name w:val="Caption CrossReference"/>
    <w:basedOn w:val="Paragraph0"/>
    <w:autoRedefine/>
    <w:rsid w:val="00B01F15"/>
    <w:pPr>
      <w:keepNext/>
      <w:spacing w:before="120" w:after="120" w:line="240" w:lineRule="auto"/>
    </w:pPr>
    <w:rPr>
      <w:rFonts w:ascii="Times New Roman Bold" w:hAnsi="Times New Roman Bold"/>
      <w:b/>
      <w:kern w:val="28"/>
    </w:rPr>
  </w:style>
  <w:style w:type="character" w:customStyle="1" w:styleId="TableAnnotationReference">
    <w:name w:val="Table Annotation Reference"/>
    <w:rsid w:val="00B01F15"/>
    <w:rPr>
      <w:vertAlign w:val="superscript"/>
    </w:rPr>
  </w:style>
  <w:style w:type="paragraph" w:customStyle="1" w:styleId="SupportiveTable">
    <w:name w:val="Supportive Table"/>
    <w:basedOn w:val="Heading2"/>
    <w:next w:val="Paragraph0"/>
    <w:autoRedefine/>
    <w:rsid w:val="00B01F15"/>
    <w:pPr>
      <w:numPr>
        <w:ilvl w:val="1"/>
      </w:numPr>
      <w:spacing w:before="120" w:line="240" w:lineRule="auto"/>
      <w:jc w:val="left"/>
    </w:pPr>
    <w:rPr>
      <w:rFonts w:ascii="Times New Roman Bold" w:eastAsia="Times New Roman" w:hAnsi="Times New Roman Bold" w:cs="Arial"/>
      <w:bCs/>
      <w:kern w:val="28"/>
      <w:szCs w:val="26"/>
      <w:lang w:val="en-US"/>
    </w:rPr>
  </w:style>
  <w:style w:type="paragraph" w:customStyle="1" w:styleId="SupportiveFigure">
    <w:name w:val="Supportive Figure"/>
    <w:basedOn w:val="Heading2"/>
    <w:next w:val="Paragraph0"/>
    <w:autoRedefine/>
    <w:rsid w:val="00B01F15"/>
    <w:pPr>
      <w:numPr>
        <w:ilvl w:val="1"/>
      </w:numPr>
      <w:spacing w:before="120" w:line="240" w:lineRule="auto"/>
      <w:jc w:val="left"/>
    </w:pPr>
    <w:rPr>
      <w:rFonts w:ascii="Times New Roman Bold" w:eastAsia="Times New Roman" w:hAnsi="Times New Roman Bold" w:cs="Arial"/>
      <w:bCs/>
      <w:kern w:val="28"/>
      <w:szCs w:val="26"/>
      <w:lang w:val="en-US"/>
    </w:rPr>
  </w:style>
  <w:style w:type="paragraph" w:customStyle="1" w:styleId="SupportiveAppendices">
    <w:name w:val="Supportive Appendices"/>
    <w:basedOn w:val="Heading2"/>
    <w:next w:val="Paragraph0"/>
    <w:autoRedefine/>
    <w:rsid w:val="00B01F15"/>
    <w:pPr>
      <w:numPr>
        <w:ilvl w:val="1"/>
      </w:numPr>
      <w:spacing w:before="120" w:line="240" w:lineRule="auto"/>
      <w:jc w:val="left"/>
    </w:pPr>
    <w:rPr>
      <w:rFonts w:ascii="Times New Roman Bold" w:eastAsia="Times New Roman" w:hAnsi="Times New Roman Bold" w:cs="Arial"/>
      <w:bCs/>
      <w:kern w:val="28"/>
      <w:szCs w:val="26"/>
      <w:lang w:val="en-US"/>
    </w:rPr>
  </w:style>
  <w:style w:type="paragraph" w:customStyle="1" w:styleId="ListofTables">
    <w:name w:val="List of Tables"/>
    <w:basedOn w:val="Paragraph0"/>
    <w:next w:val="Paragraph0"/>
    <w:rsid w:val="00B01F15"/>
    <w:pPr>
      <w:keepNext/>
      <w:spacing w:before="120" w:after="120" w:line="240" w:lineRule="auto"/>
      <w:outlineLvl w:val="0"/>
    </w:pPr>
    <w:rPr>
      <w:rFonts w:ascii="Times New Roman Bold" w:hAnsi="Times New Roman Bold"/>
      <w:b/>
      <w:caps/>
    </w:rPr>
  </w:style>
  <w:style w:type="paragraph" w:customStyle="1" w:styleId="ListofFigures">
    <w:name w:val="List of Figures"/>
    <w:basedOn w:val="Paragraph0"/>
    <w:next w:val="Paragraph0"/>
    <w:rsid w:val="00B01F15"/>
    <w:pPr>
      <w:keepNext/>
      <w:spacing w:before="120" w:after="120" w:line="240" w:lineRule="auto"/>
      <w:outlineLvl w:val="0"/>
    </w:pPr>
    <w:rPr>
      <w:rFonts w:ascii="Times New Roman Bold" w:hAnsi="Times New Roman Bold"/>
      <w:b/>
      <w:caps/>
    </w:rPr>
  </w:style>
  <w:style w:type="character" w:customStyle="1" w:styleId="Instructions">
    <w:name w:val="Instructions"/>
    <w:rsid w:val="00B01F15"/>
    <w:rPr>
      <w:i/>
      <w:iCs/>
      <w:color w:val="008000"/>
    </w:rPr>
  </w:style>
  <w:style w:type="paragraph" w:customStyle="1" w:styleId="ListAlpha">
    <w:name w:val="List Alpha"/>
    <w:rsid w:val="00B01F15"/>
    <w:pPr>
      <w:numPr>
        <w:numId w:val="6"/>
      </w:numPr>
      <w:spacing w:after="240"/>
    </w:pPr>
    <w:rPr>
      <w:rFonts w:eastAsia="Times New Roman"/>
      <w:sz w:val="24"/>
      <w:szCs w:val="24"/>
    </w:rPr>
  </w:style>
  <w:style w:type="paragraph" w:customStyle="1" w:styleId="TableTextCentered">
    <w:name w:val="TableText Centered"/>
    <w:rsid w:val="00B01F15"/>
    <w:pPr>
      <w:jc w:val="center"/>
    </w:pPr>
    <w:rPr>
      <w:rFonts w:eastAsia="Times New Roman"/>
    </w:rPr>
  </w:style>
  <w:style w:type="paragraph" w:customStyle="1" w:styleId="TableTextColHead">
    <w:name w:val="TableText Col Head"/>
    <w:next w:val="TableTextCentered"/>
    <w:rsid w:val="00B01F15"/>
    <w:pPr>
      <w:jc w:val="center"/>
    </w:pPr>
    <w:rPr>
      <w:rFonts w:ascii="Times New Roman Bold" w:eastAsia="Times New Roman" w:hAnsi="Times New Roman Bold"/>
      <w:b/>
    </w:rPr>
  </w:style>
  <w:style w:type="paragraph" w:customStyle="1" w:styleId="TableTextFootnote">
    <w:name w:val="TableText Footnote"/>
    <w:rsid w:val="00B01F15"/>
    <w:rPr>
      <w:rFonts w:eastAsia="Times New Roman"/>
    </w:rPr>
  </w:style>
  <w:style w:type="paragraph" w:customStyle="1" w:styleId="Appendix1">
    <w:name w:val="Appendix 1"/>
    <w:next w:val="Paragraph0"/>
    <w:rsid w:val="00B01F15"/>
    <w:pPr>
      <w:keepNext/>
      <w:numPr>
        <w:numId w:val="7"/>
      </w:numPr>
      <w:tabs>
        <w:tab w:val="clear" w:pos="0"/>
      </w:tabs>
      <w:spacing w:after="240"/>
    </w:pPr>
    <w:rPr>
      <w:rFonts w:ascii="Times New Roman Bold" w:eastAsia="Times New Roman" w:hAnsi="Times New Roman Bold"/>
      <w:b/>
      <w:sz w:val="24"/>
      <w:szCs w:val="24"/>
    </w:rPr>
  </w:style>
  <w:style w:type="paragraph" w:customStyle="1" w:styleId="Appendix2">
    <w:name w:val="Appendix 2"/>
    <w:next w:val="Paragraph0"/>
    <w:rsid w:val="00B01F15"/>
    <w:pPr>
      <w:keepNext/>
      <w:numPr>
        <w:ilvl w:val="1"/>
        <w:numId w:val="7"/>
      </w:numPr>
      <w:tabs>
        <w:tab w:val="clear" w:pos="0"/>
      </w:tabs>
      <w:spacing w:after="240"/>
    </w:pPr>
    <w:rPr>
      <w:rFonts w:ascii="Times New Roman Bold" w:eastAsia="Times New Roman" w:hAnsi="Times New Roman Bold" w:cs="Arial"/>
      <w:b/>
      <w:sz w:val="24"/>
      <w:szCs w:val="24"/>
    </w:rPr>
  </w:style>
  <w:style w:type="paragraph" w:customStyle="1" w:styleId="Appendix3">
    <w:name w:val="Appendix 3"/>
    <w:next w:val="Paragraph0"/>
    <w:rsid w:val="00B01F15"/>
    <w:pPr>
      <w:keepNext/>
      <w:numPr>
        <w:ilvl w:val="2"/>
        <w:numId w:val="7"/>
      </w:numPr>
      <w:tabs>
        <w:tab w:val="clear" w:pos="0"/>
      </w:tabs>
      <w:spacing w:after="240"/>
    </w:pPr>
    <w:rPr>
      <w:rFonts w:ascii="Times New Roman Bold" w:eastAsia="Times New Roman" w:hAnsi="Times New Roman Bold" w:cs="Arial"/>
      <w:b/>
      <w:bCs/>
      <w:sz w:val="24"/>
      <w:szCs w:val="24"/>
    </w:rPr>
  </w:style>
  <w:style w:type="paragraph" w:customStyle="1" w:styleId="ParagraphCentered">
    <w:name w:val="Paragraph Centered"/>
    <w:rsid w:val="00B01F15"/>
    <w:pPr>
      <w:spacing w:after="240"/>
      <w:jc w:val="center"/>
    </w:pPr>
    <w:rPr>
      <w:rFonts w:eastAsia="Times New Roman"/>
      <w:bCs/>
      <w:sz w:val="24"/>
      <w:szCs w:val="24"/>
    </w:rPr>
  </w:style>
  <w:style w:type="paragraph" w:customStyle="1" w:styleId="AuthSig">
    <w:name w:val="AuthSig"/>
    <w:rsid w:val="00B01F15"/>
    <w:pPr>
      <w:tabs>
        <w:tab w:val="right" w:pos="9000"/>
      </w:tabs>
    </w:pPr>
    <w:rPr>
      <w:rFonts w:eastAsia="Times New Roman"/>
      <w:sz w:val="24"/>
      <w:szCs w:val="24"/>
    </w:rPr>
  </w:style>
  <w:style w:type="paragraph" w:customStyle="1" w:styleId="EquationFootnote">
    <w:name w:val="Equation Footnote"/>
    <w:next w:val="Normal"/>
    <w:rsid w:val="00B01F15"/>
    <w:rPr>
      <w:rFonts w:eastAsia="Times New Roman"/>
      <w:sz w:val="24"/>
    </w:rPr>
  </w:style>
  <w:style w:type="character" w:customStyle="1" w:styleId="ExampleText">
    <w:name w:val="Example Text"/>
    <w:rsid w:val="00B01F15"/>
    <w:rPr>
      <w:color w:val="FF0000"/>
    </w:rPr>
  </w:style>
  <w:style w:type="paragraph" w:customStyle="1" w:styleId="Heading1NoTOC">
    <w:name w:val="Heading 1 NoTOC"/>
    <w:next w:val="Paragraph0"/>
    <w:rsid w:val="00B01F15"/>
    <w:pPr>
      <w:keepNext/>
      <w:spacing w:before="240" w:after="240"/>
    </w:pPr>
    <w:rPr>
      <w:rFonts w:ascii="Times New Roman Bold" w:eastAsia="Times New Roman" w:hAnsi="Times New Roman Bold" w:cs="Arial"/>
      <w:b/>
      <w:bCs/>
      <w:sz w:val="24"/>
      <w:szCs w:val="28"/>
    </w:rPr>
  </w:style>
  <w:style w:type="paragraph" w:customStyle="1" w:styleId="Heading1Unnumbered">
    <w:name w:val="Heading 1 Unnumbered"/>
    <w:next w:val="Paragraph0"/>
    <w:rsid w:val="00B01F15"/>
    <w:pPr>
      <w:keepNext/>
      <w:spacing w:before="240" w:after="240"/>
    </w:pPr>
    <w:rPr>
      <w:rFonts w:ascii="Times New Roman Bold" w:eastAsia="Times New Roman" w:hAnsi="Times New Roman Bold" w:cs="Arial"/>
      <w:b/>
      <w:bCs/>
      <w:sz w:val="24"/>
      <w:szCs w:val="28"/>
    </w:rPr>
  </w:style>
  <w:style w:type="paragraph" w:customStyle="1" w:styleId="Heading2NoTOC">
    <w:name w:val="Heading 2 NoTOC"/>
    <w:next w:val="Paragraph0"/>
    <w:rsid w:val="00B01F15"/>
    <w:pPr>
      <w:keepNext/>
      <w:spacing w:after="240"/>
    </w:pPr>
    <w:rPr>
      <w:rFonts w:ascii="Times New Roman Bold" w:eastAsia="Times New Roman" w:hAnsi="Times New Roman Bold" w:cs="Arial"/>
      <w:b/>
      <w:bCs/>
      <w:sz w:val="24"/>
      <w:szCs w:val="26"/>
    </w:rPr>
  </w:style>
  <w:style w:type="paragraph" w:customStyle="1" w:styleId="ListAlpha2">
    <w:name w:val="List Alpha 2"/>
    <w:rsid w:val="00B01F15"/>
    <w:pPr>
      <w:numPr>
        <w:numId w:val="16"/>
      </w:numPr>
      <w:spacing w:after="240"/>
    </w:pPr>
    <w:rPr>
      <w:rFonts w:eastAsia="Times New Roman"/>
      <w:sz w:val="24"/>
      <w:szCs w:val="24"/>
    </w:rPr>
  </w:style>
  <w:style w:type="paragraph" w:customStyle="1" w:styleId="ListAlpha3">
    <w:name w:val="List Alpha 3"/>
    <w:rsid w:val="00B01F15"/>
    <w:pPr>
      <w:numPr>
        <w:numId w:val="17"/>
      </w:numPr>
      <w:spacing w:after="240"/>
    </w:pPr>
    <w:rPr>
      <w:rFonts w:eastAsia="Times New Roman"/>
      <w:sz w:val="24"/>
      <w:szCs w:val="24"/>
    </w:rPr>
  </w:style>
  <w:style w:type="paragraph" w:customStyle="1" w:styleId="ListAlpha4">
    <w:name w:val="List Alpha 4"/>
    <w:rsid w:val="00B01F15"/>
    <w:pPr>
      <w:numPr>
        <w:numId w:val="18"/>
      </w:numPr>
      <w:spacing w:after="240"/>
    </w:pPr>
    <w:rPr>
      <w:rFonts w:eastAsia="Times New Roman"/>
      <w:sz w:val="24"/>
      <w:szCs w:val="24"/>
    </w:rPr>
  </w:style>
  <w:style w:type="paragraph" w:customStyle="1" w:styleId="ListAlphaTable">
    <w:name w:val="List Alpha Table"/>
    <w:rsid w:val="00B01F15"/>
    <w:pPr>
      <w:numPr>
        <w:numId w:val="21"/>
      </w:numPr>
    </w:pPr>
    <w:rPr>
      <w:rFonts w:eastAsia="Times New Roman"/>
    </w:rPr>
  </w:style>
  <w:style w:type="paragraph" w:customStyle="1" w:styleId="ListBulletTable">
    <w:name w:val="List Bullet Table"/>
    <w:rsid w:val="00B01F15"/>
    <w:pPr>
      <w:numPr>
        <w:numId w:val="22"/>
      </w:numPr>
    </w:pPr>
    <w:rPr>
      <w:rFonts w:eastAsia="Times New Roman"/>
    </w:rPr>
  </w:style>
  <w:style w:type="paragraph" w:customStyle="1" w:styleId="ListNumberTable">
    <w:name w:val="List Number Table"/>
    <w:rsid w:val="00B01F15"/>
    <w:pPr>
      <w:numPr>
        <w:numId w:val="20"/>
      </w:numPr>
    </w:pPr>
    <w:rPr>
      <w:rFonts w:eastAsia="Times New Roman"/>
    </w:rPr>
  </w:style>
  <w:style w:type="paragraph" w:customStyle="1" w:styleId="RefText">
    <w:name w:val="RefText"/>
    <w:rsid w:val="00B01F15"/>
    <w:pPr>
      <w:numPr>
        <w:numId w:val="19"/>
      </w:numPr>
      <w:spacing w:after="240"/>
    </w:pPr>
    <w:rPr>
      <w:rFonts w:eastAsia="Times New Roman"/>
      <w:sz w:val="24"/>
      <w:szCs w:val="24"/>
    </w:rPr>
  </w:style>
  <w:style w:type="paragraph" w:customStyle="1" w:styleId="TableTextCenterSpace">
    <w:name w:val="TableText Center Space"/>
    <w:rsid w:val="00B01F15"/>
    <w:pPr>
      <w:spacing w:before="60" w:after="60"/>
      <w:jc w:val="center"/>
    </w:pPr>
    <w:rPr>
      <w:rFonts w:eastAsia="Times New Roman"/>
    </w:rPr>
  </w:style>
  <w:style w:type="paragraph" w:customStyle="1" w:styleId="TableTextColHeadSpace">
    <w:name w:val="TableText Col Head Space"/>
    <w:next w:val="TableTextCentered"/>
    <w:rsid w:val="00B01F15"/>
    <w:pPr>
      <w:spacing w:before="60" w:after="60"/>
      <w:jc w:val="center"/>
    </w:pPr>
    <w:rPr>
      <w:rFonts w:ascii="Times New Roman Bold" w:eastAsia="Times New Roman" w:hAnsi="Times New Roman Bold"/>
      <w:b/>
    </w:rPr>
  </w:style>
  <w:style w:type="paragraph" w:customStyle="1" w:styleId="TableTextSpace">
    <w:name w:val="TableText Space"/>
    <w:rsid w:val="00B01F15"/>
    <w:pPr>
      <w:spacing w:before="60" w:after="60"/>
    </w:pPr>
    <w:rPr>
      <w:rFonts w:eastAsia="Times New Roman"/>
    </w:rPr>
  </w:style>
  <w:style w:type="paragraph" w:customStyle="1" w:styleId="TOCX1">
    <w:name w:val="TOCX 1"/>
    <w:rsid w:val="00B01F15"/>
    <w:pPr>
      <w:tabs>
        <w:tab w:val="left" w:pos="648"/>
        <w:tab w:val="right" w:leader="dot" w:pos="9000"/>
      </w:tabs>
      <w:spacing w:before="60" w:after="60"/>
      <w:ind w:left="547" w:right="-288" w:hanging="547"/>
    </w:pPr>
    <w:rPr>
      <w:rFonts w:eastAsia="Times New Roman"/>
      <w:caps/>
      <w:sz w:val="24"/>
    </w:rPr>
  </w:style>
  <w:style w:type="paragraph" w:customStyle="1" w:styleId="TOCX2">
    <w:name w:val="TOCX 2"/>
    <w:rsid w:val="00B01F15"/>
    <w:pPr>
      <w:tabs>
        <w:tab w:val="left" w:pos="936"/>
        <w:tab w:val="right" w:leader="dot" w:pos="9000"/>
      </w:tabs>
      <w:spacing w:before="60" w:after="60"/>
      <w:ind w:left="792" w:right="-288" w:hanging="547"/>
    </w:pPr>
    <w:rPr>
      <w:rFonts w:eastAsia="Times New Roman"/>
      <w:sz w:val="24"/>
    </w:rPr>
  </w:style>
  <w:style w:type="character" w:customStyle="1" w:styleId="TableText9">
    <w:name w:val="TableText 9"/>
    <w:rsid w:val="00B01F15"/>
    <w:rPr>
      <w:rFonts w:ascii="Times New Roman" w:hAnsi="Times New Roman"/>
      <w:sz w:val="18"/>
    </w:rPr>
  </w:style>
  <w:style w:type="paragraph" w:customStyle="1" w:styleId="TitlePage">
    <w:name w:val="Title Page"/>
    <w:rsid w:val="00B01F15"/>
    <w:pPr>
      <w:jc w:val="center"/>
    </w:pPr>
    <w:rPr>
      <w:rFonts w:eastAsia="Times New Roman"/>
      <w:b/>
      <w:sz w:val="24"/>
    </w:rPr>
  </w:style>
  <w:style w:type="character" w:customStyle="1" w:styleId="BlueText">
    <w:name w:val="Blue Text"/>
    <w:rsid w:val="00B01F15"/>
    <w:rPr>
      <w:color w:val="0000FF"/>
    </w:rPr>
  </w:style>
  <w:style w:type="paragraph" w:customStyle="1" w:styleId="Heading2Unnumbered">
    <w:name w:val="Heading 2 Unnumbered"/>
    <w:next w:val="Paragraph0"/>
    <w:rsid w:val="00B01F15"/>
    <w:pPr>
      <w:keepNext/>
      <w:spacing w:after="240"/>
      <w:outlineLvl w:val="1"/>
    </w:pPr>
    <w:rPr>
      <w:rFonts w:ascii="Times New Roman Bold" w:eastAsia="Times New Roman" w:hAnsi="Times New Roman Bold"/>
      <w:b/>
      <w:sz w:val="24"/>
    </w:rPr>
  </w:style>
  <w:style w:type="paragraph" w:customStyle="1" w:styleId="Heading3Unnumbered">
    <w:name w:val="Heading 3 Unnumbered"/>
    <w:next w:val="Paragraph0"/>
    <w:rsid w:val="00B01F15"/>
    <w:pPr>
      <w:keepNext/>
      <w:spacing w:after="240"/>
      <w:outlineLvl w:val="2"/>
    </w:pPr>
    <w:rPr>
      <w:rFonts w:ascii="Times New Roman Bold" w:eastAsia="Times New Roman" w:hAnsi="Times New Roman Bold"/>
      <w:b/>
      <w:sz w:val="24"/>
    </w:rPr>
  </w:style>
  <w:style w:type="paragraph" w:customStyle="1" w:styleId="Heading4Unnumbered">
    <w:name w:val="Heading 4 Unnumbered"/>
    <w:next w:val="Paragraph0"/>
    <w:rsid w:val="00B01F15"/>
    <w:pPr>
      <w:spacing w:after="240"/>
      <w:outlineLvl w:val="3"/>
    </w:pPr>
    <w:rPr>
      <w:rFonts w:ascii="Times New Roman Bold" w:eastAsia="Times New Roman" w:hAnsi="Times New Roman Bold"/>
      <w:b/>
      <w:sz w:val="24"/>
    </w:rPr>
  </w:style>
  <w:style w:type="paragraph" w:customStyle="1" w:styleId="ListNoBullet">
    <w:name w:val="List No Bullet"/>
    <w:rsid w:val="00B01F15"/>
    <w:rPr>
      <w:rFonts w:eastAsia="Times New Roman"/>
      <w:sz w:val="24"/>
    </w:rPr>
  </w:style>
  <w:style w:type="paragraph" w:customStyle="1" w:styleId="ASCII">
    <w:name w:val="ASCII"/>
    <w:basedOn w:val="Paragraph0"/>
    <w:autoRedefine/>
    <w:rsid w:val="00B01F15"/>
    <w:pPr>
      <w:spacing w:after="0" w:line="150" w:lineRule="exact"/>
    </w:pPr>
    <w:rPr>
      <w:rFonts w:ascii="Courier New" w:hAnsi="Courier New"/>
      <w:sz w:val="15"/>
    </w:rPr>
  </w:style>
  <w:style w:type="character" w:customStyle="1" w:styleId="contextualspellingandgrammarerror">
    <w:name w:val="contextualspellingandgrammarerror"/>
    <w:rsid w:val="00B01F15"/>
  </w:style>
  <w:style w:type="paragraph" w:customStyle="1" w:styleId="CDSHeading2level">
    <w:name w:val="CDS Heading 2 level"/>
    <w:basedOn w:val="Normal"/>
    <w:link w:val="CDSHeading2levelChar"/>
    <w:rsid w:val="00B01F15"/>
    <w:pPr>
      <w:keepNext/>
      <w:widowControl w:val="0"/>
      <w:jc w:val="left"/>
      <w:outlineLvl w:val="1"/>
    </w:pPr>
    <w:rPr>
      <w:rFonts w:ascii="Arial" w:eastAsia="Times New Roman" w:hAnsi="Arial"/>
      <w:b/>
      <w:bCs/>
      <w:i/>
      <w:iCs/>
      <w:sz w:val="22"/>
      <w:lang w:val="x-none" w:eastAsia="x-none"/>
    </w:rPr>
  </w:style>
  <w:style w:type="character" w:customStyle="1" w:styleId="CDSHeading2levelChar">
    <w:name w:val="CDS Heading 2 level Char"/>
    <w:link w:val="CDSHeading2level"/>
    <w:rsid w:val="00B01F15"/>
    <w:rPr>
      <w:rFonts w:ascii="Arial" w:eastAsia="Times New Roman" w:hAnsi="Arial"/>
      <w:b/>
      <w:bCs/>
      <w:i/>
      <w:iCs/>
      <w:sz w:val="22"/>
      <w:lang w:val="x-none" w:eastAsia="x-none"/>
    </w:rPr>
  </w:style>
  <w:style w:type="paragraph" w:styleId="BodyText3">
    <w:name w:val="Body Text 3"/>
    <w:basedOn w:val="Normal"/>
    <w:link w:val="BodyText3Char"/>
    <w:rsid w:val="00B01F15"/>
    <w:pPr>
      <w:overflowPunct w:val="0"/>
      <w:autoSpaceDE w:val="0"/>
      <w:autoSpaceDN w:val="0"/>
      <w:adjustRightInd w:val="0"/>
      <w:spacing w:after="120"/>
      <w:jc w:val="left"/>
      <w:textAlignment w:val="baseline"/>
    </w:pPr>
    <w:rPr>
      <w:rFonts w:eastAsia="Times New Roman"/>
      <w:sz w:val="16"/>
      <w:szCs w:val="16"/>
      <w:lang w:val="en-US"/>
    </w:rPr>
  </w:style>
  <w:style w:type="character" w:customStyle="1" w:styleId="BodyText3Char">
    <w:name w:val="Body Text 3 Char"/>
    <w:basedOn w:val="DefaultParagraphFont"/>
    <w:link w:val="BodyText3"/>
    <w:rsid w:val="00B01F15"/>
    <w:rPr>
      <w:rFonts w:eastAsia="Times New Roman"/>
      <w:sz w:val="16"/>
      <w:szCs w:val="16"/>
    </w:rPr>
  </w:style>
  <w:style w:type="paragraph" w:customStyle="1" w:styleId="PIHeading2">
    <w:name w:val="PI Heading 2"/>
    <w:basedOn w:val="Normal"/>
    <w:link w:val="PIHeading2Char"/>
    <w:rsid w:val="00B01F15"/>
    <w:pPr>
      <w:keepNext/>
      <w:keepLines/>
      <w:spacing w:before="360" w:after="120"/>
      <w:jc w:val="left"/>
      <w:outlineLvl w:val="1"/>
    </w:pPr>
    <w:rPr>
      <w:rFonts w:ascii="Arial" w:eastAsia="Times New Roman" w:hAnsi="Arial"/>
      <w:b/>
      <w:lang w:val="en-US"/>
    </w:rPr>
  </w:style>
  <w:style w:type="character" w:customStyle="1" w:styleId="PIHeading2Char">
    <w:name w:val="PI Heading 2 Char"/>
    <w:link w:val="PIHeading2"/>
    <w:rsid w:val="00B01F15"/>
    <w:rPr>
      <w:rFonts w:ascii="Arial" w:eastAsia="Times New Roman" w:hAnsi="Arial"/>
      <w:b/>
      <w:sz w:val="24"/>
    </w:rPr>
  </w:style>
  <w:style w:type="paragraph" w:customStyle="1" w:styleId="PINormal">
    <w:name w:val="PI Normal"/>
    <w:basedOn w:val="Normal"/>
    <w:uiPriority w:val="6"/>
    <w:qFormat/>
    <w:rsid w:val="00023618"/>
    <w:rPr>
      <w:rFonts w:eastAsia="Times New Roman"/>
      <w:lang w:val="en-AU"/>
    </w:rPr>
  </w:style>
  <w:style w:type="character" w:customStyle="1" w:styleId="period">
    <w:name w:val="period"/>
    <w:basedOn w:val="DefaultParagraphFont"/>
    <w:rsid w:val="000C559F"/>
  </w:style>
  <w:style w:type="character" w:customStyle="1" w:styleId="cit">
    <w:name w:val="cit"/>
    <w:basedOn w:val="DefaultParagraphFont"/>
    <w:rsid w:val="000C559F"/>
  </w:style>
  <w:style w:type="character" w:customStyle="1" w:styleId="citation-doi">
    <w:name w:val="citation-doi"/>
    <w:basedOn w:val="DefaultParagraphFont"/>
    <w:rsid w:val="000C5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298658079">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569929487">
      <w:bodyDiv w:val="1"/>
      <w:marLeft w:val="0"/>
      <w:marRight w:val="0"/>
      <w:marTop w:val="0"/>
      <w:marBottom w:val="0"/>
      <w:divBdr>
        <w:top w:val="none" w:sz="0" w:space="0" w:color="auto"/>
        <w:left w:val="none" w:sz="0" w:space="0" w:color="auto"/>
        <w:bottom w:val="none" w:sz="0" w:space="0" w:color="auto"/>
        <w:right w:val="none" w:sz="0" w:space="0" w:color="auto"/>
      </w:divBdr>
    </w:div>
    <w:div w:id="993919329">
      <w:bodyDiv w:val="1"/>
      <w:marLeft w:val="0"/>
      <w:marRight w:val="0"/>
      <w:marTop w:val="0"/>
      <w:marBottom w:val="0"/>
      <w:divBdr>
        <w:top w:val="none" w:sz="0" w:space="0" w:color="auto"/>
        <w:left w:val="none" w:sz="0" w:space="0" w:color="auto"/>
        <w:bottom w:val="none" w:sz="0" w:space="0" w:color="auto"/>
        <w:right w:val="none" w:sz="0" w:space="0" w:color="auto"/>
      </w:divBdr>
    </w:div>
    <w:div w:id="1070882825">
      <w:bodyDiv w:val="1"/>
      <w:marLeft w:val="0"/>
      <w:marRight w:val="0"/>
      <w:marTop w:val="0"/>
      <w:marBottom w:val="0"/>
      <w:divBdr>
        <w:top w:val="none" w:sz="0" w:space="0" w:color="auto"/>
        <w:left w:val="none" w:sz="0" w:space="0" w:color="auto"/>
        <w:bottom w:val="none" w:sz="0" w:space="0" w:color="auto"/>
        <w:right w:val="none" w:sz="0" w:space="0" w:color="auto"/>
      </w:divBdr>
    </w:div>
    <w:div w:id="1407341687">
      <w:bodyDiv w:val="1"/>
      <w:marLeft w:val="0"/>
      <w:marRight w:val="0"/>
      <w:marTop w:val="0"/>
      <w:marBottom w:val="0"/>
      <w:divBdr>
        <w:top w:val="none" w:sz="0" w:space="0" w:color="auto"/>
        <w:left w:val="none" w:sz="0" w:space="0" w:color="auto"/>
        <w:bottom w:val="none" w:sz="0" w:space="0" w:color="auto"/>
        <w:right w:val="none" w:sz="0" w:space="0" w:color="auto"/>
      </w:divBdr>
    </w:div>
    <w:div w:id="1438519392">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772314213">
      <w:bodyDiv w:val="1"/>
      <w:marLeft w:val="0"/>
      <w:marRight w:val="0"/>
      <w:marTop w:val="0"/>
      <w:marBottom w:val="0"/>
      <w:divBdr>
        <w:top w:val="none" w:sz="0" w:space="0" w:color="auto"/>
        <w:left w:val="none" w:sz="0" w:space="0" w:color="auto"/>
        <w:bottom w:val="none" w:sz="0" w:space="0" w:color="auto"/>
        <w:right w:val="none" w:sz="0" w:space="0" w:color="auto"/>
      </w:divBdr>
    </w:div>
    <w:div w:id="1824350967">
      <w:bodyDiv w:val="1"/>
      <w:marLeft w:val="0"/>
      <w:marRight w:val="0"/>
      <w:marTop w:val="0"/>
      <w:marBottom w:val="0"/>
      <w:divBdr>
        <w:top w:val="none" w:sz="0" w:space="0" w:color="auto"/>
        <w:left w:val="none" w:sz="0" w:space="0" w:color="auto"/>
        <w:bottom w:val="none" w:sz="0" w:space="0" w:color="auto"/>
        <w:right w:val="none" w:sz="0" w:space="0" w:color="auto"/>
      </w:divBdr>
    </w:div>
    <w:div w:id="1934051594">
      <w:bodyDiv w:val="1"/>
      <w:marLeft w:val="0"/>
      <w:marRight w:val="0"/>
      <w:marTop w:val="0"/>
      <w:marBottom w:val="0"/>
      <w:divBdr>
        <w:top w:val="none" w:sz="0" w:space="0" w:color="auto"/>
        <w:left w:val="none" w:sz="0" w:space="0" w:color="auto"/>
        <w:bottom w:val="none" w:sz="0" w:space="0" w:color="auto"/>
        <w:right w:val="none" w:sz="0" w:space="0" w:color="auto"/>
      </w:divBdr>
    </w:div>
    <w:div w:id="19666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hyperlink" Target="http://www.pfizermedinfo.com.au" TargetMode="External"/><Relationship Id="rId2" Type="http://schemas.openxmlformats.org/officeDocument/2006/relationships/customXml" Target="../customXml/item2.xml"/><Relationship Id="rId16" Type="http://schemas.openxmlformats.org/officeDocument/2006/relationships/hyperlink" Target="http://www.tga.gov.au/reporting-proble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p11\Documents\CONFIDENTIAL\lpd\pi-annot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9AE3BB701BAF45BE67E57641B6641B" ma:contentTypeVersion="4" ma:contentTypeDescription="Create a new document." ma:contentTypeScope="" ma:versionID="47f82b012f4071de31b1fe6cd09effd1">
  <xsd:schema xmlns:xsd="http://www.w3.org/2001/XMLSchema" xmlns:xs="http://www.w3.org/2001/XMLSchema" xmlns:p="http://schemas.microsoft.com/office/2006/metadata/properties" xmlns:ns2="2c9f1ca2-6bcd-4c40-acaf-0e206c8697f6" targetNamespace="http://schemas.microsoft.com/office/2006/metadata/properties" ma:root="true" ma:fieldsID="ba96208c103453195d5bcbe2b3c585ce" ns2:_="">
    <xsd:import namespace="2c9f1ca2-6bcd-4c40-acaf-0e206c8697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f1ca2-6bcd-4c40-acaf-0e206c86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2.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3.xml><?xml version="1.0" encoding="utf-8"?>
<ds:datastoreItem xmlns:ds="http://schemas.openxmlformats.org/officeDocument/2006/customXml" ds:itemID="{68F6F4EA-4AC9-47F4-9CB7-F1002063B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f1ca2-6bcd-4c40-acaf-0e206c869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1E62F-E125-44A8-A886-5951E96C0459}">
  <ds:schemaRefs>
    <ds:schemaRef ds:uri="http://schemas.openxmlformats.org/officeDocument/2006/bibliography"/>
  </ds:schemaRefs>
</ds:datastoreItem>
</file>

<file path=customXml/itemProps5.xml><?xml version="1.0" encoding="utf-8"?>
<ds:datastoreItem xmlns:ds="http://schemas.openxmlformats.org/officeDocument/2006/customXml" ds:itemID="{DBF03078-3F3F-4D2F-B2B5-D5EE4A9F9F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pi-annotated.dotx</Template>
  <TotalTime>6</TotalTime>
  <Pages>24</Pages>
  <Words>7953</Words>
  <Characters>42968</Characters>
  <Application>Microsoft Office Word</Application>
  <DocSecurity>0</DocSecurity>
  <Lines>976</Lines>
  <Paragraphs>504</Paragraphs>
  <ScaleCrop>false</ScaleCrop>
  <HeadingPairs>
    <vt:vector size="2" baseType="variant">
      <vt:variant>
        <vt:lpstr>Title</vt:lpstr>
      </vt:variant>
      <vt:variant>
        <vt:i4>1</vt:i4>
      </vt:variant>
    </vt:vector>
  </HeadingPairs>
  <TitlesOfParts>
    <vt:vector size="1" baseType="lpstr">
      <vt:lpstr>PI Template</vt:lpstr>
    </vt:vector>
  </TitlesOfParts>
  <Company/>
  <LinksUpToDate>false</LinksUpToDate>
  <CharactersWithSpaces>50417</CharactersWithSpaces>
  <SharedDoc>false</SharedDoc>
  <HLinks>
    <vt:vector size="12" baseType="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Prevenar 20</dc:title>
  <dc:subject/>
  <dc:creator>Pfizer</dc:creator>
  <cp:keywords/>
  <cp:lastModifiedBy>PITKIN, Brendan</cp:lastModifiedBy>
  <cp:revision>3</cp:revision>
  <cp:lastPrinted>2021-07-22T08:08:00Z</cp:lastPrinted>
  <dcterms:created xsi:type="dcterms:W3CDTF">2023-04-18T05:11:00Z</dcterms:created>
  <dcterms:modified xsi:type="dcterms:W3CDTF">2023-05-19T03:33:00Z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0x010100569AE3BB701BAF45BE67E57641B6641B</vt:lpwstr>
  </property>
  <property fmtid="{D5CDD505-2E9C-101B-9397-08002B2CF9AE}" pid="8" name="MSIP_Label_4791b42f-c435-42ca-9531-75a3f42aae3d_Enabled">
    <vt:lpwstr>true</vt:lpwstr>
  </property>
  <property fmtid="{D5CDD505-2E9C-101B-9397-08002B2CF9AE}" pid="9" name="MSIP_Label_4791b42f-c435-42ca-9531-75a3f42aae3d_SetDate">
    <vt:lpwstr>2022-11-24T22:30:44Z</vt:lpwstr>
  </property>
  <property fmtid="{D5CDD505-2E9C-101B-9397-08002B2CF9AE}" pid="10" name="MSIP_Label_4791b42f-c435-42ca-9531-75a3f42aae3d_Method">
    <vt:lpwstr>Privileged</vt:lpwstr>
  </property>
  <property fmtid="{D5CDD505-2E9C-101B-9397-08002B2CF9AE}" pid="11" name="MSIP_Label_4791b42f-c435-42ca-9531-75a3f42aae3d_Name">
    <vt:lpwstr>4791b42f-c435-42ca-9531-75a3f42aae3d</vt:lpwstr>
  </property>
  <property fmtid="{D5CDD505-2E9C-101B-9397-08002B2CF9AE}" pid="12" name="MSIP_Label_4791b42f-c435-42ca-9531-75a3f42aae3d_SiteId">
    <vt:lpwstr>7a916015-20ae-4ad1-9170-eefd915e9272</vt:lpwstr>
  </property>
  <property fmtid="{D5CDD505-2E9C-101B-9397-08002B2CF9AE}" pid="13" name="MSIP_Label_4791b42f-c435-42ca-9531-75a3f42aae3d_ActionId">
    <vt:lpwstr>2ab4fe91-4fe7-4753-b78b-472c9ff6fbd4</vt:lpwstr>
  </property>
  <property fmtid="{D5CDD505-2E9C-101B-9397-08002B2CF9AE}" pid="14" name="MSIP_Label_4791b42f-c435-42ca-9531-75a3f42aae3d_ContentBits">
    <vt:lpwstr>0</vt:lpwstr>
  </property>
</Properties>
</file>