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CF74" w14:textId="77777777" w:rsidR="00844E66" w:rsidRPr="00375DF3" w:rsidRDefault="00844E66" w:rsidP="00844E66">
      <w:pPr>
        <w:tabs>
          <w:tab w:val="left" w:pos="284"/>
        </w:tabs>
        <w:spacing w:after="480" w:line="240" w:lineRule="auto"/>
        <w:rPr>
          <w:rFonts w:asciiTheme="majorHAnsi" w:hAnsiTheme="majorHAnsi"/>
        </w:rPr>
      </w:pPr>
      <w:r>
        <w:rPr>
          <w:noProof/>
          <w:color w:val="2B579A"/>
          <w:shd w:val="clear" w:color="auto" w:fill="E6E6E6"/>
          <w:lang w:val="en-US"/>
        </w:rPr>
        <mc:AlternateContent>
          <mc:Choice Requires="wps">
            <w:drawing>
              <wp:inline distT="0" distB="0" distL="0" distR="0" wp14:anchorId="3CFA6F5B" wp14:editId="6E8EC435">
                <wp:extent cx="293370" cy="326558"/>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26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751DA" w14:textId="77777777" w:rsidR="001D4180" w:rsidRPr="00177004" w:rsidRDefault="001D4180" w:rsidP="00844E66">
                            <w:pPr>
                              <w:spacing w:after="0"/>
                              <w:rPr>
                                <w:sz w:val="44"/>
                              </w:rPr>
                            </w:pPr>
                            <w:r w:rsidRPr="00177004">
                              <w:rPr>
                                <w:rFonts w:ascii="Arial" w:hAnsi="Arial" w:cs="Arial" w:hint="eastAsia"/>
                                <w:sz w:val="40"/>
                              </w:rPr>
                              <w:t>▼</w:t>
                            </w:r>
                          </w:p>
                        </w:txbxContent>
                      </wps:txbx>
                      <wps:bodyPr rot="0" vert="horz" wrap="square" lIns="0" tIns="0" rIns="0" bIns="0" anchor="t" anchorCtr="0" upright="1">
                        <a:noAutofit/>
                      </wps:bodyPr>
                    </wps:wsp>
                  </a:graphicData>
                </a:graphic>
              </wp:inline>
            </w:drawing>
          </mc:Choice>
          <mc:Fallback>
            <w:pict>
              <v:shapetype w14:anchorId="3CFA6F5B" id="_x0000_t202" coordsize="21600,21600" o:spt="202" path="m,l,21600r21600,l21600,xe">
                <v:stroke joinstyle="miter"/>
                <v:path gradientshapeok="t" o:connecttype="rect"/>
              </v:shapetype>
              <v:shape id="Text Box 1" o:spid="_x0000_s1026" type="#_x0000_t202" style="width:23.1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" stroked="f">
                <v:textbox inset="0,0,0,0">
                  <w:txbxContent>
                    <w:p w14:paraId="2BB751DA" w14:textId="77777777" w:rsidR="001D4180" w:rsidRPr="00177004" w:rsidRDefault="001D4180" w:rsidP="00844E66">
                      <w:pPr>
                        <w:spacing w:after="0"/>
                        <w:rPr>
                          <w:sz w:val="44"/>
                        </w:rPr>
                      </w:pPr>
                      <w:r w:rsidRPr="00177004">
                        <w:rPr>
                          <w:rFonts w:ascii="Arial" w:hAnsi="Arial" w:cs="Arial" w:hint="eastAsia"/>
                          <w:sz w:val="40"/>
                        </w:rPr>
                        <w:t>▼</w:t>
                      </w:r>
                    </w:p>
                  </w:txbxContent>
                </v:textbox>
                <w10:anchorlock/>
              </v:shape>
            </w:pict>
          </mc:Fallback>
        </mc:AlternateContent>
      </w:r>
      <w:r w:rsidRPr="008D141E">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8D141E">
          <w:t>www.tga.gov.au/reporting-problems</w:t>
        </w:r>
      </w:hyperlink>
      <w:r w:rsidRPr="008D141E">
        <w:t>.</w:t>
      </w:r>
    </w:p>
    <w:p w14:paraId="27C37DD7" w14:textId="77B00D32" w:rsidR="004032BD" w:rsidRPr="00497C85" w:rsidRDefault="004032BD" w:rsidP="00DF5E99">
      <w:pPr>
        <w:pStyle w:val="Heading1"/>
        <w:numPr>
          <w:ilvl w:val="0"/>
          <w:numId w:val="0"/>
        </w:numPr>
        <w:spacing w:after="240"/>
        <w:rPr>
          <w:rFonts w:eastAsia="SimSun" w:cstheme="minorHAnsi"/>
        </w:rPr>
      </w:pPr>
      <w:r w:rsidRPr="00497C85">
        <w:rPr>
          <w:rFonts w:eastAsia="SimSun" w:cstheme="minorHAnsi"/>
        </w:rPr>
        <w:t>Australian P</w:t>
      </w:r>
      <w:r w:rsidR="00677840">
        <w:rPr>
          <w:rFonts w:eastAsia="SimSun" w:cstheme="minorHAnsi"/>
        </w:rPr>
        <w:t xml:space="preserve">roduct </w:t>
      </w:r>
      <w:r w:rsidRPr="00497C85">
        <w:rPr>
          <w:rFonts w:eastAsia="SimSun" w:cstheme="minorHAnsi"/>
        </w:rPr>
        <w:t>I</w:t>
      </w:r>
      <w:r w:rsidR="00677840">
        <w:rPr>
          <w:rFonts w:eastAsia="SimSun" w:cstheme="minorHAnsi"/>
        </w:rPr>
        <w:t>nformation</w:t>
      </w:r>
      <w:r w:rsidRPr="00497C85">
        <w:rPr>
          <w:rFonts w:eastAsia="SimSun" w:cstheme="minorHAnsi"/>
        </w:rPr>
        <w:t xml:space="preserve"> – </w:t>
      </w:r>
      <w:r w:rsidR="00D468D4" w:rsidRPr="00DE6BF0">
        <w:t>JAKAVI</w:t>
      </w:r>
      <w:r w:rsidR="00D468D4" w:rsidRPr="00DE6BF0">
        <w:rPr>
          <w:rFonts w:ascii="Symbol" w:eastAsia="Symbol" w:hAnsi="Symbol" w:cs="Symbol"/>
          <w:szCs w:val="34"/>
          <w:vertAlign w:val="superscript"/>
        </w:rPr>
        <w:t></w:t>
      </w:r>
      <w:r w:rsidR="00D468D4" w:rsidRPr="00DE6BF0">
        <w:t xml:space="preserve"> </w:t>
      </w:r>
      <w:r w:rsidRPr="00497C85">
        <w:rPr>
          <w:rFonts w:eastAsia="SimSun" w:cstheme="minorHAnsi"/>
        </w:rPr>
        <w:t>(</w:t>
      </w:r>
      <w:proofErr w:type="spellStart"/>
      <w:r w:rsidR="00062F44">
        <w:rPr>
          <w:rFonts w:eastAsia="SimSun" w:cstheme="minorHAnsi"/>
          <w:caps w:val="0"/>
        </w:rPr>
        <w:t>Ruxolitinib</w:t>
      </w:r>
      <w:proofErr w:type="spellEnd"/>
      <w:r w:rsidRPr="00497C85">
        <w:rPr>
          <w:rFonts w:eastAsia="SimSun" w:cstheme="minorHAnsi"/>
        </w:rPr>
        <w:t>)</w:t>
      </w:r>
      <w:r w:rsidR="00497C85" w:rsidRPr="00497C85">
        <w:rPr>
          <w:rFonts w:eastAsia="SimSun" w:cstheme="minorHAnsi"/>
        </w:rPr>
        <w:t xml:space="preserve"> </w:t>
      </w:r>
    </w:p>
    <w:p w14:paraId="11BF63CC" w14:textId="70A7C304" w:rsidR="001A3992" w:rsidRDefault="001A3992" w:rsidP="00DF5E99">
      <w:pPr>
        <w:pStyle w:val="Heading1"/>
        <w:spacing w:before="0" w:after="120"/>
        <w:ind w:left="431" w:hanging="431"/>
        <w:rPr>
          <w:rFonts w:cstheme="minorHAnsi"/>
        </w:rPr>
      </w:pPr>
      <w:r w:rsidRPr="00497C85">
        <w:rPr>
          <w:rFonts w:cstheme="minorHAnsi"/>
        </w:rPr>
        <w:t>Name of the medicine</w:t>
      </w:r>
    </w:p>
    <w:p w14:paraId="6EF174C6" w14:textId="1F004655" w:rsidR="00D468D4" w:rsidRPr="00D468D4" w:rsidRDefault="00346628" w:rsidP="00D468D4">
      <w:proofErr w:type="spellStart"/>
      <w:r>
        <w:t>R</w:t>
      </w:r>
      <w:r w:rsidR="00D468D4">
        <w:t>uxolitinib</w:t>
      </w:r>
      <w:proofErr w:type="spellEnd"/>
    </w:p>
    <w:p w14:paraId="76643B0C" w14:textId="77777777" w:rsidR="001A3992" w:rsidRPr="00497C85" w:rsidRDefault="001A3992" w:rsidP="001A3992">
      <w:pPr>
        <w:pStyle w:val="Heading1"/>
        <w:spacing w:before="0" w:after="120"/>
        <w:rPr>
          <w:rFonts w:cstheme="minorHAnsi"/>
        </w:rPr>
      </w:pPr>
      <w:r w:rsidRPr="00497C85">
        <w:rPr>
          <w:rFonts w:cstheme="minorHAnsi"/>
        </w:rPr>
        <w:t>Qualitative and quantitative composition</w:t>
      </w:r>
    </w:p>
    <w:p w14:paraId="75E44C95" w14:textId="77777777" w:rsidR="00D468D4" w:rsidRPr="00DE6BF0" w:rsidRDefault="00D468D4" w:rsidP="00D468D4">
      <w:pPr>
        <w:rPr>
          <w:b/>
        </w:rPr>
      </w:pPr>
      <w:proofErr w:type="spellStart"/>
      <w:r w:rsidRPr="00DE6BF0">
        <w:t>Jakavi</w:t>
      </w:r>
      <w:proofErr w:type="spellEnd"/>
      <w:r w:rsidRPr="00DE6BF0">
        <w:t xml:space="preserve"> tablets contain 5 mg, </w:t>
      </w:r>
      <w:r>
        <w:t xml:space="preserve">10mg, </w:t>
      </w:r>
      <w:r w:rsidRPr="00DE6BF0">
        <w:t xml:space="preserve">15 mg and 20 mg of </w:t>
      </w:r>
      <w:proofErr w:type="spellStart"/>
      <w:r w:rsidRPr="00DE6BF0">
        <w:t>ruxolitinib</w:t>
      </w:r>
      <w:proofErr w:type="spellEnd"/>
      <w:r w:rsidRPr="00DE6BF0">
        <w:t xml:space="preserve"> as the phosphate salt. </w:t>
      </w:r>
    </w:p>
    <w:p w14:paraId="028CA39E" w14:textId="025552C6" w:rsidR="00D468D4" w:rsidRDefault="00D468D4" w:rsidP="00D468D4">
      <w:pPr>
        <w:rPr>
          <w:b/>
        </w:rPr>
      </w:pPr>
      <w:r>
        <w:t xml:space="preserve">Excipients with known effects: Contains sugars, as lactose monohydrate. </w:t>
      </w:r>
    </w:p>
    <w:p w14:paraId="686D93C0" w14:textId="77777777" w:rsidR="00D468D4" w:rsidRPr="000E32E5" w:rsidRDefault="00D468D4" w:rsidP="00D468D4">
      <w:pPr>
        <w:rPr>
          <w:b/>
        </w:rPr>
      </w:pPr>
      <w:r w:rsidRPr="000E32E5">
        <w:t>For the full list of excipients, section 6.1 List of excipients.</w:t>
      </w:r>
      <w:r>
        <w:t xml:space="preserve"> </w:t>
      </w:r>
    </w:p>
    <w:p w14:paraId="188961EE" w14:textId="6C892004" w:rsidR="001A3992" w:rsidRDefault="001A3992" w:rsidP="001A3992">
      <w:pPr>
        <w:pStyle w:val="Heading1"/>
        <w:spacing w:before="0" w:after="120"/>
        <w:rPr>
          <w:rFonts w:cstheme="minorHAnsi"/>
        </w:rPr>
      </w:pPr>
      <w:r w:rsidRPr="00497C85">
        <w:rPr>
          <w:rFonts w:cstheme="minorHAnsi"/>
        </w:rPr>
        <w:t>Pharmaceutical form</w:t>
      </w:r>
    </w:p>
    <w:p w14:paraId="15F5D8B3" w14:textId="77777777" w:rsidR="00D95186" w:rsidRPr="00D95186" w:rsidRDefault="00D95186" w:rsidP="00D468D4">
      <w:pPr>
        <w:widowControl w:val="0"/>
        <w:shd w:val="clear" w:color="auto" w:fill="FFFFFF"/>
        <w:rPr>
          <w:noProof/>
        </w:rPr>
      </w:pPr>
      <w:r w:rsidRPr="00D95186">
        <w:rPr>
          <w:noProof/>
        </w:rPr>
        <w:t>Tablet</w:t>
      </w:r>
    </w:p>
    <w:p w14:paraId="697E9E62" w14:textId="054BA306" w:rsidR="001A3992" w:rsidRPr="00497C85" w:rsidRDefault="001A3992" w:rsidP="001A3992">
      <w:pPr>
        <w:pStyle w:val="Heading1"/>
        <w:spacing w:before="0" w:after="120"/>
        <w:rPr>
          <w:rFonts w:cstheme="minorHAnsi"/>
        </w:rPr>
      </w:pPr>
      <w:r w:rsidRPr="00497C85">
        <w:rPr>
          <w:rFonts w:cstheme="minorHAnsi"/>
        </w:rPr>
        <w:t>Clinical particulars</w:t>
      </w:r>
    </w:p>
    <w:p w14:paraId="398EF4E9" w14:textId="5E9EDB6D" w:rsidR="001A3992" w:rsidRDefault="001A3992" w:rsidP="001A3992">
      <w:pPr>
        <w:pStyle w:val="Heading2"/>
        <w:spacing w:before="0" w:after="120"/>
        <w:rPr>
          <w:rFonts w:cstheme="minorHAnsi"/>
        </w:rPr>
      </w:pPr>
      <w:r w:rsidRPr="00497C85">
        <w:rPr>
          <w:rFonts w:cstheme="minorHAnsi"/>
        </w:rPr>
        <w:t xml:space="preserve">Therapeutic indications </w:t>
      </w:r>
    </w:p>
    <w:p w14:paraId="48063763" w14:textId="15893F13" w:rsidR="00D468D4" w:rsidRPr="000B51C6" w:rsidRDefault="00D468D4" w:rsidP="000B51C6">
      <w:pPr>
        <w:pStyle w:val="ListParagraph"/>
        <w:numPr>
          <w:ilvl w:val="0"/>
          <w:numId w:val="18"/>
        </w:numPr>
        <w:rPr>
          <w:rFonts w:ascii="Times New Roman" w:hAnsi="Times New Roman" w:cs="Times New Roman"/>
          <w:szCs w:val="24"/>
        </w:rPr>
      </w:pPr>
      <w:proofErr w:type="spellStart"/>
      <w:r w:rsidRPr="000B51C6">
        <w:rPr>
          <w:rFonts w:ascii="Times New Roman" w:hAnsi="Times New Roman" w:cs="Times New Roman"/>
          <w:szCs w:val="24"/>
        </w:rPr>
        <w:t>Jakavi</w:t>
      </w:r>
      <w:proofErr w:type="spellEnd"/>
      <w:r w:rsidRPr="000B51C6">
        <w:rPr>
          <w:rFonts w:ascii="Times New Roman" w:hAnsi="Times New Roman" w:cs="Times New Roman"/>
          <w:szCs w:val="24"/>
        </w:rPr>
        <w:t xml:space="preserve"> is indicated for the treatment of disease-related splenomegaly or symptoms in patients with primary myelofibrosis, post-</w:t>
      </w:r>
      <w:proofErr w:type="spellStart"/>
      <w:r w:rsidRPr="000B51C6">
        <w:rPr>
          <w:rFonts w:ascii="Times New Roman" w:hAnsi="Times New Roman" w:cs="Times New Roman"/>
          <w:szCs w:val="24"/>
        </w:rPr>
        <w:t>polycythemia</w:t>
      </w:r>
      <w:proofErr w:type="spellEnd"/>
      <w:r w:rsidRPr="000B51C6">
        <w:rPr>
          <w:rFonts w:ascii="Times New Roman" w:hAnsi="Times New Roman" w:cs="Times New Roman"/>
          <w:szCs w:val="24"/>
        </w:rPr>
        <w:t xml:space="preserve"> vera myelofibrosis or post-essential </w:t>
      </w:r>
      <w:proofErr w:type="spellStart"/>
      <w:r w:rsidRPr="000B51C6">
        <w:rPr>
          <w:rFonts w:ascii="Times New Roman" w:hAnsi="Times New Roman" w:cs="Times New Roman"/>
          <w:szCs w:val="24"/>
        </w:rPr>
        <w:t>thrombocyth</w:t>
      </w:r>
      <w:r w:rsidR="009238D1" w:rsidRPr="000B51C6">
        <w:rPr>
          <w:rFonts w:ascii="Times New Roman" w:hAnsi="Times New Roman" w:cs="Times New Roman"/>
          <w:szCs w:val="24"/>
        </w:rPr>
        <w:t>a</w:t>
      </w:r>
      <w:r w:rsidRPr="000B51C6">
        <w:rPr>
          <w:rFonts w:ascii="Times New Roman" w:hAnsi="Times New Roman" w:cs="Times New Roman"/>
          <w:szCs w:val="24"/>
        </w:rPr>
        <w:t>emia</w:t>
      </w:r>
      <w:proofErr w:type="spellEnd"/>
      <w:r w:rsidRPr="000B51C6">
        <w:rPr>
          <w:rFonts w:ascii="Times New Roman" w:hAnsi="Times New Roman" w:cs="Times New Roman"/>
          <w:szCs w:val="24"/>
        </w:rPr>
        <w:t xml:space="preserve"> myelofibrosis.</w:t>
      </w:r>
    </w:p>
    <w:p w14:paraId="0F54CD6D" w14:textId="67A53A96" w:rsidR="00D468D4" w:rsidRPr="000B51C6" w:rsidRDefault="00D468D4" w:rsidP="000B51C6">
      <w:pPr>
        <w:pStyle w:val="ListParagraph"/>
        <w:numPr>
          <w:ilvl w:val="0"/>
          <w:numId w:val="18"/>
        </w:numPr>
        <w:rPr>
          <w:rFonts w:ascii="Times New Roman" w:hAnsi="Times New Roman" w:cs="Times New Roman"/>
          <w:szCs w:val="24"/>
        </w:rPr>
      </w:pPr>
      <w:proofErr w:type="spellStart"/>
      <w:r w:rsidRPr="000B51C6">
        <w:rPr>
          <w:rFonts w:ascii="Times New Roman" w:hAnsi="Times New Roman" w:cs="Times New Roman"/>
          <w:szCs w:val="24"/>
        </w:rPr>
        <w:t>Jakavi</w:t>
      </w:r>
      <w:proofErr w:type="spellEnd"/>
      <w:r w:rsidRPr="000B51C6">
        <w:rPr>
          <w:rFonts w:ascii="Times New Roman" w:hAnsi="Times New Roman" w:cs="Times New Roman"/>
          <w:szCs w:val="24"/>
        </w:rPr>
        <w:t xml:space="preserve"> is indicated for the treatment of adult patients with </w:t>
      </w:r>
      <w:proofErr w:type="spellStart"/>
      <w:r w:rsidRPr="000B51C6">
        <w:rPr>
          <w:rFonts w:ascii="Times New Roman" w:hAnsi="Times New Roman" w:cs="Times New Roman"/>
          <w:szCs w:val="24"/>
        </w:rPr>
        <w:t>polycythemia</w:t>
      </w:r>
      <w:proofErr w:type="spellEnd"/>
      <w:r w:rsidRPr="000B51C6">
        <w:rPr>
          <w:rFonts w:ascii="Times New Roman" w:hAnsi="Times New Roman" w:cs="Times New Roman"/>
          <w:szCs w:val="24"/>
        </w:rPr>
        <w:t xml:space="preserve"> vera who are resistant to or intolerant of hydroxyurea.</w:t>
      </w:r>
    </w:p>
    <w:p w14:paraId="2CDC88FE" w14:textId="10DCCAD4" w:rsidR="00041675" w:rsidRPr="000B51C6" w:rsidRDefault="00041675" w:rsidP="000B51C6">
      <w:pPr>
        <w:pStyle w:val="ListParagraph"/>
        <w:numPr>
          <w:ilvl w:val="0"/>
          <w:numId w:val="18"/>
        </w:numPr>
        <w:rPr>
          <w:rFonts w:ascii="Times New Roman" w:hAnsi="Times New Roman" w:cs="Times New Roman"/>
          <w:szCs w:val="24"/>
        </w:rPr>
      </w:pPr>
      <w:bookmarkStart w:id="0" w:name="_Hlk93320224"/>
      <w:proofErr w:type="spellStart"/>
      <w:r w:rsidRPr="000B51C6">
        <w:rPr>
          <w:rFonts w:ascii="Times New Roman" w:hAnsi="Times New Roman" w:cs="Times New Roman"/>
          <w:szCs w:val="24"/>
        </w:rPr>
        <w:t>Jakavi</w:t>
      </w:r>
      <w:proofErr w:type="spellEnd"/>
      <w:r w:rsidRPr="000B51C6">
        <w:rPr>
          <w:rFonts w:ascii="Times New Roman" w:hAnsi="Times New Roman" w:cs="Times New Roman"/>
          <w:szCs w:val="24"/>
        </w:rPr>
        <w:t xml:space="preserve"> is indicated for the treatment of patients </w:t>
      </w:r>
      <w:r w:rsidR="005E12A5" w:rsidRPr="000B51C6">
        <w:rPr>
          <w:rFonts w:ascii="Times New Roman" w:hAnsi="Times New Roman" w:cs="Times New Roman"/>
          <w:szCs w:val="24"/>
        </w:rPr>
        <w:t xml:space="preserve">aged 12 years and older </w:t>
      </w:r>
      <w:r w:rsidRPr="000B51C6">
        <w:rPr>
          <w:rFonts w:ascii="Times New Roman" w:hAnsi="Times New Roman" w:cs="Times New Roman"/>
          <w:szCs w:val="24"/>
        </w:rPr>
        <w:t>with</w:t>
      </w:r>
      <w:r w:rsidR="00E1215C" w:rsidRPr="000B51C6">
        <w:rPr>
          <w:rFonts w:ascii="Times New Roman" w:hAnsi="Times New Roman" w:cs="Times New Roman"/>
          <w:szCs w:val="24"/>
        </w:rPr>
        <w:t xml:space="preserve"> acute</w:t>
      </w:r>
      <w:r w:rsidRPr="000B51C6">
        <w:rPr>
          <w:rFonts w:ascii="Times New Roman" w:hAnsi="Times New Roman" w:cs="Times New Roman"/>
          <w:szCs w:val="24"/>
        </w:rPr>
        <w:t xml:space="preserve"> graft-versus-host disease who have inadequate response to corticosteroids.</w:t>
      </w:r>
    </w:p>
    <w:p w14:paraId="27AEA476" w14:textId="244B5502" w:rsidR="00E1215C" w:rsidRPr="000B51C6" w:rsidRDefault="00E1215C" w:rsidP="000B51C6">
      <w:pPr>
        <w:pStyle w:val="ListParagraph"/>
        <w:numPr>
          <w:ilvl w:val="0"/>
          <w:numId w:val="18"/>
        </w:numPr>
        <w:rPr>
          <w:rFonts w:ascii="Times New Roman" w:hAnsi="Times New Roman" w:cs="Times New Roman"/>
          <w:szCs w:val="24"/>
        </w:rPr>
      </w:pPr>
      <w:proofErr w:type="spellStart"/>
      <w:r w:rsidRPr="000B51C6">
        <w:rPr>
          <w:rFonts w:ascii="Times New Roman" w:hAnsi="Times New Roman" w:cs="Times New Roman"/>
          <w:szCs w:val="24"/>
        </w:rPr>
        <w:t>Jakavi</w:t>
      </w:r>
      <w:proofErr w:type="spellEnd"/>
      <w:r w:rsidRPr="000B51C6">
        <w:rPr>
          <w:rFonts w:ascii="Times New Roman" w:hAnsi="Times New Roman" w:cs="Times New Roman"/>
          <w:szCs w:val="24"/>
        </w:rPr>
        <w:t xml:space="preserve"> is indicated for the treatment of patients aged 12 years and older with chronic graft-versus-host disease who have inadequate response to corticosteroids.</w:t>
      </w:r>
    </w:p>
    <w:bookmarkEnd w:id="0"/>
    <w:p w14:paraId="3C566A48" w14:textId="1DA4F6C5" w:rsidR="001A3992" w:rsidRPr="00C16F59" w:rsidRDefault="001A3992" w:rsidP="00D95186">
      <w:pPr>
        <w:pStyle w:val="Heading2"/>
        <w:spacing w:before="0" w:after="120"/>
        <w:rPr>
          <w:rFonts w:cstheme="minorHAnsi"/>
          <w:szCs w:val="24"/>
        </w:rPr>
      </w:pPr>
      <w:r w:rsidRPr="00C16F59">
        <w:rPr>
          <w:rFonts w:cstheme="minorHAnsi"/>
          <w:szCs w:val="24"/>
        </w:rPr>
        <w:t xml:space="preserve">Dose and method of administration </w:t>
      </w:r>
    </w:p>
    <w:p w14:paraId="5C9BB084" w14:textId="32190875" w:rsidR="00E1215C" w:rsidRPr="00E1215C" w:rsidRDefault="00E1215C" w:rsidP="00E1215C">
      <w:r>
        <w:t>Doses should be individualised based on safety and efficacy. Starting doses per indication are noted below.</w:t>
      </w:r>
    </w:p>
    <w:p w14:paraId="2635511E" w14:textId="19CFEC2E" w:rsidR="00D468D4" w:rsidRDefault="00D468D4" w:rsidP="00346628">
      <w:pPr>
        <w:pStyle w:val="Heading3"/>
      </w:pPr>
      <w:r>
        <w:lastRenderedPageBreak/>
        <w:t>Monitoring instructions</w:t>
      </w:r>
    </w:p>
    <w:p w14:paraId="70C192BC" w14:textId="07CF1128" w:rsidR="00D468D4" w:rsidRDefault="00D468D4" w:rsidP="00D95186">
      <w:r w:rsidRPr="00D468D4">
        <w:rPr>
          <w:b/>
        </w:rPr>
        <w:t>Blood cell counts:</w:t>
      </w:r>
      <w:r w:rsidRPr="00DE6BF0">
        <w:rPr>
          <w:b/>
        </w:rPr>
        <w:t xml:space="preserve"> </w:t>
      </w:r>
      <w:r w:rsidRPr="00D468D4">
        <w:t xml:space="preserve">a blood cell count must be performed before initiating therapy with </w:t>
      </w:r>
      <w:proofErr w:type="spellStart"/>
      <w:r w:rsidRPr="00D468D4">
        <w:t>Jakavi</w:t>
      </w:r>
      <w:proofErr w:type="spellEnd"/>
      <w:r w:rsidRPr="00D468D4">
        <w:t>. Complete blood counts should be monitored every 2 to 4 weeks until doses are stabili</w:t>
      </w:r>
      <w:r w:rsidR="00AB36A3">
        <w:t>s</w:t>
      </w:r>
      <w:r w:rsidRPr="00D468D4">
        <w:t>ed, and then as clinically indicated (see</w:t>
      </w:r>
      <w:r w:rsidR="00041675">
        <w:t xml:space="preserve"> section 4.4 Special warnings and</w:t>
      </w:r>
      <w:r w:rsidRPr="00D468D4">
        <w:t xml:space="preserve"> </w:t>
      </w:r>
      <w:r w:rsidR="00041675">
        <w:t>p</w:t>
      </w:r>
      <w:r w:rsidRPr="00D468D4">
        <w:t>recautions</w:t>
      </w:r>
      <w:r w:rsidR="00E37E3C">
        <w:t xml:space="preserve"> for use</w:t>
      </w:r>
      <w:r w:rsidRPr="00D468D4">
        <w:t>).</w:t>
      </w:r>
    </w:p>
    <w:p w14:paraId="7913ABF1" w14:textId="0A49C053" w:rsidR="00D468D4" w:rsidRPr="00CE07AC" w:rsidRDefault="00D468D4" w:rsidP="00CE07AC">
      <w:pPr>
        <w:pStyle w:val="Heading3"/>
      </w:pPr>
      <w:r w:rsidRPr="00CE07AC">
        <w:t>Dose</w:t>
      </w:r>
    </w:p>
    <w:p w14:paraId="728173FE" w14:textId="45F0A979" w:rsidR="00D468D4" w:rsidRPr="00D468D4" w:rsidRDefault="00982573" w:rsidP="00D468D4">
      <w:r>
        <w:t xml:space="preserve">Myelofibrosis (MF): </w:t>
      </w:r>
      <w:proofErr w:type="spellStart"/>
      <w:r w:rsidR="00D468D4">
        <w:t>Jakavi</w:t>
      </w:r>
      <w:proofErr w:type="spellEnd"/>
      <w:r w:rsidR="00D468D4">
        <w:t xml:space="preserve"> is given orally twice daily with or without </w:t>
      </w:r>
      <w:proofErr w:type="gramStart"/>
      <w:r w:rsidR="00D468D4">
        <w:t>food .</w:t>
      </w:r>
      <w:proofErr w:type="gramEnd"/>
      <w:r w:rsidR="00D468D4">
        <w:t xml:space="preserve"> The recommended starting dose is based on platelet count (</w:t>
      </w:r>
      <w:r w:rsidR="00346628">
        <w:t xml:space="preserve">see </w:t>
      </w:r>
      <w:r w:rsidR="00D468D4">
        <w:t>Table 1).</w:t>
      </w:r>
    </w:p>
    <w:p w14:paraId="12825CB1" w14:textId="3628C6DD" w:rsidR="00D468D4" w:rsidRPr="00D468D4" w:rsidRDefault="00D468D4" w:rsidP="00B0256B">
      <w:pPr>
        <w:pStyle w:val="Text"/>
        <w:keepNext/>
        <w:keepLines/>
      </w:pPr>
      <w:r w:rsidRPr="00D468D4">
        <w:t xml:space="preserve">Table </w:t>
      </w:r>
      <w:r w:rsidRPr="00D468D4">
        <w:rPr>
          <w:color w:val="2B579A"/>
          <w:shd w:val="clear" w:color="auto" w:fill="E6E6E6"/>
        </w:rPr>
        <w:fldChar w:fldCharType="begin"/>
      </w:r>
      <w:r w:rsidRPr="00D468D4">
        <w:instrText xml:space="preserve"> SEQ Table \* ARABIC </w:instrText>
      </w:r>
      <w:r w:rsidRPr="00D468D4">
        <w:rPr>
          <w:color w:val="2B579A"/>
          <w:shd w:val="clear" w:color="auto" w:fill="E6E6E6"/>
        </w:rPr>
        <w:fldChar w:fldCharType="separate"/>
      </w:r>
      <w:r w:rsidR="00F06539">
        <w:rPr>
          <w:noProof/>
        </w:rPr>
        <w:t>1</w:t>
      </w:r>
      <w:r w:rsidRPr="00D468D4">
        <w:rPr>
          <w:color w:val="2B579A"/>
          <w:shd w:val="clear" w:color="auto" w:fill="E6E6E6"/>
        </w:rPr>
        <w:fldChar w:fldCharType="end"/>
      </w:r>
      <w:r w:rsidRPr="00D468D4">
        <w:t xml:space="preserve">  Recommended </w:t>
      </w:r>
      <w:proofErr w:type="spellStart"/>
      <w:r w:rsidRPr="00D468D4">
        <w:t>Jakavi</w:t>
      </w:r>
      <w:proofErr w:type="spellEnd"/>
      <w:r w:rsidRPr="00D468D4">
        <w:t xml:space="preserve"> Starting Dose</w:t>
      </w:r>
      <w:r w:rsidR="00041675">
        <w:t xml:space="preserve"> in MF</w:t>
      </w:r>
    </w:p>
    <w:tbl>
      <w:tblPr>
        <w:tblStyle w:val="TableGrid"/>
        <w:tblW w:w="0" w:type="auto"/>
        <w:tblInd w:w="1384" w:type="dxa"/>
        <w:tblLook w:val="04A0" w:firstRow="1" w:lastRow="0" w:firstColumn="1" w:lastColumn="0" w:noHBand="0" w:noVBand="1"/>
      </w:tblPr>
      <w:tblGrid>
        <w:gridCol w:w="2693"/>
        <w:gridCol w:w="2552"/>
      </w:tblGrid>
      <w:tr w:rsidR="00D468D4" w:rsidRPr="00D468D4" w14:paraId="6EC2A493" w14:textId="77777777" w:rsidTr="00E65453">
        <w:tc>
          <w:tcPr>
            <w:tcW w:w="2693" w:type="dxa"/>
          </w:tcPr>
          <w:p w14:paraId="2E2AAFBE" w14:textId="77777777" w:rsidR="00D468D4" w:rsidRPr="00D468D4" w:rsidRDefault="00D468D4" w:rsidP="00182652">
            <w:pPr>
              <w:keepNext/>
              <w:keepLines/>
              <w:jc w:val="center"/>
              <w:rPr>
                <w:b/>
                <w:lang w:val="en-AU"/>
              </w:rPr>
            </w:pPr>
            <w:r w:rsidRPr="00D468D4">
              <w:rPr>
                <w:b/>
                <w:lang w:val="en-AU"/>
              </w:rPr>
              <w:t>Platelet Count</w:t>
            </w:r>
          </w:p>
        </w:tc>
        <w:tc>
          <w:tcPr>
            <w:tcW w:w="2552" w:type="dxa"/>
          </w:tcPr>
          <w:p w14:paraId="36A4E3C4" w14:textId="77777777" w:rsidR="00D468D4" w:rsidRPr="00D468D4" w:rsidRDefault="00D468D4">
            <w:pPr>
              <w:keepNext/>
              <w:keepLines/>
              <w:jc w:val="center"/>
              <w:rPr>
                <w:b/>
                <w:lang w:val="en-AU"/>
              </w:rPr>
            </w:pPr>
            <w:r w:rsidRPr="00D468D4">
              <w:rPr>
                <w:b/>
                <w:lang w:val="en-AU"/>
              </w:rPr>
              <w:t>Starting Dose</w:t>
            </w:r>
          </w:p>
        </w:tc>
      </w:tr>
      <w:tr w:rsidR="00D468D4" w:rsidRPr="00D468D4" w14:paraId="3DFB34AA" w14:textId="77777777" w:rsidTr="00D468D4">
        <w:trPr>
          <w:trHeight w:val="255"/>
        </w:trPr>
        <w:tc>
          <w:tcPr>
            <w:tcW w:w="2693" w:type="dxa"/>
            <w:vAlign w:val="center"/>
          </w:tcPr>
          <w:p w14:paraId="3C309B75" w14:textId="4BA22857" w:rsidR="00D468D4" w:rsidRPr="00D468D4" w:rsidRDefault="00D468D4" w:rsidP="00182652">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before="120"/>
              <w:jc w:val="center"/>
              <w:rPr>
                <w:lang w:val="en-AU"/>
              </w:rPr>
            </w:pPr>
            <w:r w:rsidRPr="00D468D4">
              <w:rPr>
                <w:lang w:val="en-AU"/>
              </w:rPr>
              <w:t>50-100 x 10</w:t>
            </w:r>
            <w:r w:rsidRPr="00D468D4">
              <w:rPr>
                <w:vertAlign w:val="superscript"/>
                <w:lang w:val="en-AU"/>
              </w:rPr>
              <w:t>9</w:t>
            </w:r>
            <w:r w:rsidRPr="00D468D4">
              <w:rPr>
                <w:lang w:val="en-AU"/>
              </w:rPr>
              <w:t>/L</w:t>
            </w:r>
          </w:p>
        </w:tc>
        <w:tc>
          <w:tcPr>
            <w:tcW w:w="2552" w:type="dxa"/>
            <w:vAlign w:val="center"/>
          </w:tcPr>
          <w:p w14:paraId="2FC89B51" w14:textId="77777777" w:rsidR="00D468D4" w:rsidRPr="00D468D4" w:rsidRDefault="00D468D4">
            <w:pPr>
              <w:keepNext/>
              <w:keepLines/>
              <w:jc w:val="center"/>
              <w:rPr>
                <w:lang w:val="en-AU"/>
              </w:rPr>
            </w:pPr>
            <w:r w:rsidRPr="00D468D4">
              <w:rPr>
                <w:lang w:val="en-AU"/>
              </w:rPr>
              <w:t>5 mg bd</w:t>
            </w:r>
          </w:p>
        </w:tc>
      </w:tr>
      <w:tr w:rsidR="00D468D4" w:rsidRPr="00D468D4" w14:paraId="5CD0290E" w14:textId="77777777" w:rsidTr="00D468D4">
        <w:tc>
          <w:tcPr>
            <w:tcW w:w="2693" w:type="dxa"/>
            <w:vAlign w:val="center"/>
          </w:tcPr>
          <w:p w14:paraId="6920271C" w14:textId="77777777" w:rsidR="00D468D4" w:rsidRPr="00D468D4" w:rsidRDefault="00D468D4" w:rsidP="00182652">
            <w:pPr>
              <w:pStyle w:val="ListParagraph"/>
              <w:keepNext/>
              <w:keepLines/>
              <w:ind w:left="0"/>
              <w:jc w:val="center"/>
              <w:rPr>
                <w:rFonts w:ascii="Times New Roman" w:hAnsi="Times New Roman"/>
                <w:lang w:val="en-AU"/>
              </w:rPr>
            </w:pPr>
            <w:r w:rsidRPr="00D468D4">
              <w:rPr>
                <w:rFonts w:ascii="Times New Roman" w:hAnsi="Times New Roman"/>
                <w:lang w:val="en-AU"/>
              </w:rPr>
              <w:t>100-200 x 10</w:t>
            </w:r>
            <w:r w:rsidRPr="00D468D4">
              <w:rPr>
                <w:rFonts w:ascii="Times New Roman" w:hAnsi="Times New Roman"/>
                <w:vertAlign w:val="superscript"/>
                <w:lang w:val="en-AU"/>
              </w:rPr>
              <w:t>9</w:t>
            </w:r>
            <w:r w:rsidRPr="00D468D4">
              <w:rPr>
                <w:rFonts w:ascii="Times New Roman" w:hAnsi="Times New Roman"/>
                <w:lang w:val="en-AU"/>
              </w:rPr>
              <w:t>/L</w:t>
            </w:r>
          </w:p>
        </w:tc>
        <w:tc>
          <w:tcPr>
            <w:tcW w:w="2552" w:type="dxa"/>
            <w:vAlign w:val="center"/>
          </w:tcPr>
          <w:p w14:paraId="118956B5" w14:textId="77777777" w:rsidR="00D468D4" w:rsidRPr="00D468D4" w:rsidRDefault="00D468D4">
            <w:pPr>
              <w:keepNext/>
              <w:keepLines/>
              <w:jc w:val="center"/>
              <w:rPr>
                <w:lang w:val="en-AU"/>
              </w:rPr>
            </w:pPr>
            <w:r w:rsidRPr="00D468D4">
              <w:rPr>
                <w:lang w:val="en-AU"/>
              </w:rPr>
              <w:t>15 mg bd</w:t>
            </w:r>
          </w:p>
        </w:tc>
      </w:tr>
      <w:tr w:rsidR="00D468D4" w:rsidRPr="00D468D4" w14:paraId="44204A3B" w14:textId="77777777" w:rsidTr="00D468D4">
        <w:tc>
          <w:tcPr>
            <w:tcW w:w="2693" w:type="dxa"/>
            <w:vAlign w:val="center"/>
          </w:tcPr>
          <w:p w14:paraId="38C3ECFB" w14:textId="77777777" w:rsidR="00D468D4" w:rsidRPr="00D468D4" w:rsidRDefault="00D468D4" w:rsidP="00D468D4">
            <w:pPr>
              <w:keepNext/>
              <w:keepLines/>
              <w:jc w:val="center"/>
              <w:rPr>
                <w:lang w:val="en-AU"/>
              </w:rPr>
            </w:pPr>
            <w:r w:rsidRPr="00D468D4">
              <w:rPr>
                <w:lang w:val="en-AU"/>
              </w:rPr>
              <w:t>&gt; 200 x 10</w:t>
            </w:r>
            <w:r w:rsidRPr="00D468D4">
              <w:rPr>
                <w:vertAlign w:val="superscript"/>
                <w:lang w:val="en-AU"/>
              </w:rPr>
              <w:t>9</w:t>
            </w:r>
            <w:r w:rsidRPr="00D468D4">
              <w:rPr>
                <w:lang w:val="en-AU"/>
              </w:rPr>
              <w:t>/L</w:t>
            </w:r>
          </w:p>
        </w:tc>
        <w:tc>
          <w:tcPr>
            <w:tcW w:w="2552" w:type="dxa"/>
            <w:vAlign w:val="center"/>
          </w:tcPr>
          <w:p w14:paraId="4F672C6E" w14:textId="77777777" w:rsidR="00D468D4" w:rsidRPr="00D468D4" w:rsidRDefault="00D468D4" w:rsidP="00D468D4">
            <w:pPr>
              <w:keepNext/>
              <w:keepLines/>
              <w:jc w:val="center"/>
              <w:rPr>
                <w:lang w:val="en-AU"/>
              </w:rPr>
            </w:pPr>
            <w:r w:rsidRPr="00D468D4">
              <w:rPr>
                <w:lang w:val="en-AU"/>
              </w:rPr>
              <w:t>20 mg bd</w:t>
            </w:r>
          </w:p>
        </w:tc>
      </w:tr>
    </w:tbl>
    <w:p w14:paraId="3209D794" w14:textId="77777777" w:rsidR="00A145F7" w:rsidRDefault="00A145F7" w:rsidP="00D468D4"/>
    <w:p w14:paraId="4725B2D2" w14:textId="6EB6598D" w:rsidR="00D54217" w:rsidRPr="00D468D4" w:rsidRDefault="005E12A5" w:rsidP="00D468D4">
      <w:proofErr w:type="spellStart"/>
      <w:r w:rsidRPr="00D468D4">
        <w:t>Polycythemia</w:t>
      </w:r>
      <w:proofErr w:type="spellEnd"/>
      <w:r w:rsidRPr="00D468D4">
        <w:t xml:space="preserve"> vera</w:t>
      </w:r>
      <w:r>
        <w:t xml:space="preserve"> (PV): </w:t>
      </w:r>
      <w:r w:rsidR="00D468D4" w:rsidRPr="00D468D4">
        <w:t xml:space="preserve">The recommended starting dose of </w:t>
      </w:r>
      <w:proofErr w:type="spellStart"/>
      <w:r w:rsidR="00D468D4" w:rsidRPr="00D468D4">
        <w:t>Jakavi</w:t>
      </w:r>
      <w:proofErr w:type="spellEnd"/>
      <w:r w:rsidR="00D468D4" w:rsidRPr="00D468D4">
        <w:t xml:space="preserve"> in</w:t>
      </w:r>
      <w:r>
        <w:t xml:space="preserve"> PV </w:t>
      </w:r>
      <w:r w:rsidR="00D468D4" w:rsidRPr="00D468D4">
        <w:t>is 10 mg given orally twice daily with or without food.</w:t>
      </w:r>
    </w:p>
    <w:p w14:paraId="2BCDDFE2" w14:textId="18010D2A" w:rsidR="00BD3079" w:rsidRDefault="00BD3079" w:rsidP="00BD3079">
      <w:pPr>
        <w:pStyle w:val="Heading3"/>
      </w:pPr>
      <w:r>
        <w:t>Dose modifications</w:t>
      </w:r>
    </w:p>
    <w:p w14:paraId="56800E92" w14:textId="649663EA" w:rsidR="00562043" w:rsidRDefault="00D468D4" w:rsidP="00D468D4">
      <w:r w:rsidRPr="00D468D4">
        <w:t xml:space="preserve">The dose is titrated based on safety and efficacy. </w:t>
      </w:r>
    </w:p>
    <w:p w14:paraId="11D949B1" w14:textId="2CDCA567" w:rsidR="00982573" w:rsidRPr="00346628" w:rsidRDefault="00D54217" w:rsidP="00B0256B">
      <w:r w:rsidRPr="00982573" w:rsidDel="00D54217">
        <w:rPr>
          <w:rFonts w:cs="Times New Roman"/>
          <w:szCs w:val="24"/>
        </w:rPr>
        <w:t xml:space="preserve">If a dose is missed, the patient should not take an additional dose, but should take the next usual prescribed dose. </w:t>
      </w:r>
    </w:p>
    <w:p w14:paraId="2772B051" w14:textId="4377EC75" w:rsidR="00562043" w:rsidRPr="00982573" w:rsidRDefault="00562043" w:rsidP="00562043">
      <w:pPr>
        <w:pStyle w:val="Nottoc-headings"/>
        <w:rPr>
          <w:i/>
        </w:rPr>
      </w:pPr>
      <w:r w:rsidRPr="00982573">
        <w:rPr>
          <w:i/>
        </w:rPr>
        <w:t>Myelofibrosis and Polycythemia vera</w:t>
      </w:r>
    </w:p>
    <w:p w14:paraId="00EDC425" w14:textId="3D05687E" w:rsidR="00BD2B67" w:rsidRPr="007F5282" w:rsidRDefault="00BD2B67" w:rsidP="00BD2B67">
      <w:pPr>
        <w:pStyle w:val="CM36"/>
        <w:spacing w:after="117" w:line="280" w:lineRule="atLeast"/>
        <w:rPr>
          <w:color w:val="000000"/>
        </w:rPr>
      </w:pPr>
      <w:r w:rsidRPr="007F5282">
        <w:rPr>
          <w:color w:val="000000"/>
        </w:rPr>
        <w:t xml:space="preserve">If efficacy is considered insufficient and </w:t>
      </w:r>
      <w:r>
        <w:rPr>
          <w:color w:val="000000"/>
        </w:rPr>
        <w:t xml:space="preserve">blood </w:t>
      </w:r>
      <w:r w:rsidRPr="007F5282">
        <w:rPr>
          <w:color w:val="000000"/>
        </w:rPr>
        <w:t xml:space="preserve">counts are adequate, doses may be increased in 5 mg twice daily increments to a maximum </w:t>
      </w:r>
      <w:r>
        <w:rPr>
          <w:color w:val="000000"/>
        </w:rPr>
        <w:t xml:space="preserve">dose </w:t>
      </w:r>
      <w:r w:rsidRPr="007F5282">
        <w:rPr>
          <w:color w:val="000000"/>
        </w:rPr>
        <w:t xml:space="preserve">of 25 mg twice daily. Doses should not be increased during the first 4 weeks of therapy and not more frequently than every 2 weeks. Discontinue treatment after 6 months if there is no spleen size reduction or symptom improvement since initiation of therapy with </w:t>
      </w:r>
      <w:proofErr w:type="spellStart"/>
      <w:r w:rsidRPr="007F5282">
        <w:rPr>
          <w:color w:val="000000"/>
        </w:rPr>
        <w:t>Jaka</w:t>
      </w:r>
      <w:r>
        <w:rPr>
          <w:color w:val="000000"/>
        </w:rPr>
        <w:t>v</w:t>
      </w:r>
      <w:r w:rsidRPr="007F5282">
        <w:rPr>
          <w:color w:val="000000"/>
        </w:rPr>
        <w:t>i</w:t>
      </w:r>
      <w:proofErr w:type="spellEnd"/>
      <w:r w:rsidRPr="007F5282">
        <w:rPr>
          <w:color w:val="000000"/>
        </w:rPr>
        <w:t xml:space="preserve">. </w:t>
      </w:r>
    </w:p>
    <w:p w14:paraId="403A80B6" w14:textId="6434308C" w:rsidR="00D468D4" w:rsidRPr="00D468D4" w:rsidRDefault="00B46BD2" w:rsidP="00B46BD2">
      <w:pPr>
        <w:pStyle w:val="CM36"/>
        <w:spacing w:after="117" w:line="280" w:lineRule="atLeast"/>
        <w:ind w:right="112"/>
      </w:pPr>
      <w:r w:rsidRPr="007F5282">
        <w:rPr>
          <w:color w:val="000000"/>
        </w:rPr>
        <w:t xml:space="preserve">Based on limited clinical data, long-term maintenance at a 5 mg twice daily dose has not shown responses and continued use at this dose should be limited to patients in whom the benefits outweigh the potential risks. </w:t>
      </w:r>
      <w:r w:rsidR="00D468D4" w:rsidRPr="00D468D4">
        <w:t xml:space="preserve">Treatment may be continued </w:t>
      </w:r>
      <w:proofErr w:type="gramStart"/>
      <w:r w:rsidR="00D468D4" w:rsidRPr="00D468D4">
        <w:t>as long as</w:t>
      </w:r>
      <w:proofErr w:type="gramEnd"/>
      <w:r w:rsidR="00D468D4" w:rsidRPr="00D468D4">
        <w:t xml:space="preserve"> the benefit- risk ratio remains positive.</w:t>
      </w:r>
    </w:p>
    <w:p w14:paraId="1F689937" w14:textId="26F89D4E" w:rsidR="00D468D4" w:rsidRPr="00D468D4" w:rsidRDefault="00D468D4" w:rsidP="00D468D4">
      <w:r w:rsidRPr="00D468D4">
        <w:t xml:space="preserve">There are limited data on initiating </w:t>
      </w:r>
      <w:proofErr w:type="spellStart"/>
      <w:r w:rsidRPr="00D468D4">
        <w:t>Jakavi</w:t>
      </w:r>
      <w:proofErr w:type="spellEnd"/>
      <w:r w:rsidRPr="00D468D4">
        <w:t xml:space="preserve"> in patients with platelet counts of 50-100 X 10</w:t>
      </w:r>
      <w:r w:rsidRPr="00D468D4">
        <w:rPr>
          <w:vertAlign w:val="superscript"/>
        </w:rPr>
        <w:t>9</w:t>
      </w:r>
      <w:r w:rsidRPr="00D468D4">
        <w:t xml:space="preserve">/L. </w:t>
      </w:r>
      <w:proofErr w:type="spellStart"/>
      <w:r w:rsidRPr="00D468D4">
        <w:t>Jakavi</w:t>
      </w:r>
      <w:proofErr w:type="spellEnd"/>
      <w:r w:rsidRPr="00D468D4">
        <w:t xml:space="preserve"> should only be used in these patients if hepatic function is normal and renal function is normal or mildly impaired. The </w:t>
      </w:r>
      <w:proofErr w:type="spellStart"/>
      <w:r w:rsidRPr="00D468D4">
        <w:t>Jakavi</w:t>
      </w:r>
      <w:proofErr w:type="spellEnd"/>
      <w:r w:rsidRPr="00D468D4">
        <w:t xml:space="preserve"> dose should be titrated cautiously based on response and blood cell counts.</w:t>
      </w:r>
    </w:p>
    <w:p w14:paraId="58A464E5" w14:textId="25D9A1F8" w:rsidR="00D468D4" w:rsidRDefault="00D468D4" w:rsidP="00562043">
      <w:pPr>
        <w:pStyle w:val="Nottoc-headings"/>
      </w:pPr>
      <w:r>
        <w:lastRenderedPageBreak/>
        <w:t>Dose Reduction</w:t>
      </w:r>
    </w:p>
    <w:p w14:paraId="6B5048AB" w14:textId="1FC6CC5D" w:rsidR="00D468D4" w:rsidRPr="00A03E84" w:rsidRDefault="00D468D4" w:rsidP="00BD331F">
      <w:r>
        <w:t xml:space="preserve">The </w:t>
      </w:r>
      <w:proofErr w:type="spellStart"/>
      <w:r>
        <w:t>Jakavi</w:t>
      </w:r>
      <w:proofErr w:type="spellEnd"/>
      <w:r>
        <w:t xml:space="preserve"> dose should be reduced </w:t>
      </w:r>
      <w:r w:rsidR="00BD2B67">
        <w:t xml:space="preserve">in MF </w:t>
      </w:r>
      <w:r>
        <w:t>if the platelet count decreases below 100 x 10</w:t>
      </w:r>
      <w:r w:rsidRPr="0054289A">
        <w:rPr>
          <w:vertAlign w:val="superscript"/>
        </w:rPr>
        <w:t>9</w:t>
      </w:r>
      <w:r>
        <w:t xml:space="preserve">/L (Table 2). </w:t>
      </w:r>
      <w:r w:rsidRPr="00A03E84">
        <w:t xml:space="preserve">In </w:t>
      </w:r>
      <w:r w:rsidR="00BD2B67">
        <w:t>PV</w:t>
      </w:r>
      <w:r w:rsidRPr="00A03E84">
        <w:t>, dose reduction should also be considered if h</w:t>
      </w:r>
      <w:r w:rsidR="009238D1">
        <w:t>a</w:t>
      </w:r>
      <w:r w:rsidRPr="00A03E84">
        <w:t>emoglobin decreases below 12</w:t>
      </w:r>
      <w:r>
        <w:t>0 g/</w:t>
      </w:r>
      <w:r w:rsidRPr="00A03E84">
        <w:t>L and is recommended if h</w:t>
      </w:r>
      <w:r w:rsidR="009238D1">
        <w:t>a</w:t>
      </w:r>
      <w:r w:rsidRPr="00A03E84">
        <w:t>emoglobin decreases below 10</w:t>
      </w:r>
      <w:r>
        <w:t>0</w:t>
      </w:r>
      <w:r w:rsidRPr="00A03E84">
        <w:t xml:space="preserve"> g/L</w:t>
      </w:r>
      <w:r>
        <w:t>.</w:t>
      </w:r>
    </w:p>
    <w:p w14:paraId="0200B299" w14:textId="11D4AD3A" w:rsidR="00D468D4" w:rsidRPr="003E1B6D" w:rsidRDefault="00D468D4" w:rsidP="00BD331F">
      <w:proofErr w:type="spellStart"/>
      <w:r>
        <w:t>Jakavi</w:t>
      </w:r>
      <w:proofErr w:type="spellEnd"/>
      <w:r>
        <w:t xml:space="preserve"> t</w:t>
      </w:r>
      <w:r w:rsidRPr="00DE6BF0">
        <w:t xml:space="preserve">reatment should be interrupted </w:t>
      </w:r>
      <w:r>
        <w:t xml:space="preserve">if the </w:t>
      </w:r>
      <w:r w:rsidRPr="00DE6BF0">
        <w:t>platelet count</w:t>
      </w:r>
      <w:r>
        <w:t xml:space="preserve"> decreases below</w:t>
      </w:r>
      <w:r w:rsidRPr="00DE6BF0">
        <w:t xml:space="preserve"> 50</w:t>
      </w:r>
      <w:r>
        <w:t xml:space="preserve"> X 10</w:t>
      </w:r>
      <w:r w:rsidRPr="0054289A">
        <w:rPr>
          <w:vertAlign w:val="superscript"/>
        </w:rPr>
        <w:t>9</w:t>
      </w:r>
      <w:r>
        <w:t>/</w:t>
      </w:r>
      <w:proofErr w:type="gramStart"/>
      <w:r>
        <w:t>L</w:t>
      </w:r>
      <w:proofErr w:type="gramEnd"/>
      <w:r w:rsidRPr="00DE6BF0">
        <w:t xml:space="preserve"> or </w:t>
      </w:r>
      <w:r>
        <w:t xml:space="preserve">the </w:t>
      </w:r>
      <w:r w:rsidRPr="00DE6BF0">
        <w:t>absolute neutrophil count</w:t>
      </w:r>
      <w:r>
        <w:t xml:space="preserve"> decreases below</w:t>
      </w:r>
      <w:r w:rsidRPr="00DE6BF0">
        <w:t xml:space="preserve"> </w:t>
      </w:r>
      <w:r>
        <w:t>0.</w:t>
      </w:r>
      <w:r w:rsidRPr="00DE6BF0">
        <w:t>5</w:t>
      </w:r>
      <w:r>
        <w:t xml:space="preserve"> X 10</w:t>
      </w:r>
      <w:r w:rsidRPr="0054289A">
        <w:rPr>
          <w:vertAlign w:val="superscript"/>
        </w:rPr>
        <w:t>9</w:t>
      </w:r>
      <w:r>
        <w:t>/L</w:t>
      </w:r>
      <w:r w:rsidRPr="00DE6BF0">
        <w:t xml:space="preserve">. </w:t>
      </w:r>
      <w:r w:rsidRPr="003E1B6D">
        <w:t xml:space="preserve">In </w:t>
      </w:r>
      <w:proofErr w:type="spellStart"/>
      <w:r w:rsidRPr="003E1B6D">
        <w:t>polycythemia</w:t>
      </w:r>
      <w:proofErr w:type="spellEnd"/>
      <w:r w:rsidRPr="003E1B6D">
        <w:t xml:space="preserve"> vera, treatment should also be interrupted when </w:t>
      </w:r>
      <w:proofErr w:type="spellStart"/>
      <w:r w:rsidRPr="003E1B6D">
        <w:t>hemoglobin</w:t>
      </w:r>
      <w:proofErr w:type="spellEnd"/>
      <w:r w:rsidRPr="003E1B6D">
        <w:t xml:space="preserve"> is below 8</w:t>
      </w:r>
      <w:r>
        <w:t>0</w:t>
      </w:r>
      <w:r w:rsidRPr="003E1B6D">
        <w:t xml:space="preserve"> g/L.</w:t>
      </w:r>
    </w:p>
    <w:p w14:paraId="7DBD0CB5" w14:textId="34F9DF84" w:rsidR="00D468D4" w:rsidRDefault="00D468D4" w:rsidP="00112054">
      <w:r w:rsidRPr="00DE6BF0">
        <w:t xml:space="preserve">After recovery of </w:t>
      </w:r>
      <w:r>
        <w:t>blood</w:t>
      </w:r>
      <w:r w:rsidRPr="00DE6BF0">
        <w:t xml:space="preserve"> counts above these levels, </w:t>
      </w:r>
      <w:proofErr w:type="spellStart"/>
      <w:r>
        <w:t>Jakavi</w:t>
      </w:r>
      <w:proofErr w:type="spellEnd"/>
      <w:r>
        <w:t xml:space="preserve"> </w:t>
      </w:r>
      <w:r w:rsidRPr="00DE6BF0">
        <w:t>may be restarted at 5 mg twice daily and gradually increased based on careful monitoring of blood cell counts</w:t>
      </w:r>
      <w:r w:rsidR="00112054">
        <w:t>.</w:t>
      </w:r>
    </w:p>
    <w:p w14:paraId="01F108F3" w14:textId="5A436E05" w:rsidR="00112054" w:rsidRPr="00112054" w:rsidRDefault="00112054" w:rsidP="00112054">
      <w:pPr>
        <w:keepNext/>
        <w:rPr>
          <w:b/>
        </w:rPr>
      </w:pPr>
      <w:r w:rsidRPr="00112054">
        <w:rPr>
          <w:b/>
        </w:rPr>
        <w:t xml:space="preserve">Table </w:t>
      </w:r>
      <w:r w:rsidRPr="00112054">
        <w:rPr>
          <w:b/>
          <w:color w:val="2B579A"/>
          <w:shd w:val="clear" w:color="auto" w:fill="E6E6E6"/>
        </w:rPr>
        <w:fldChar w:fldCharType="begin"/>
      </w:r>
      <w:r w:rsidRPr="00112054">
        <w:rPr>
          <w:b/>
        </w:rPr>
        <w:instrText xml:space="preserve"> SEQ Table \* ARABIC </w:instrText>
      </w:r>
      <w:r w:rsidRPr="00112054">
        <w:rPr>
          <w:b/>
          <w:color w:val="2B579A"/>
          <w:shd w:val="clear" w:color="auto" w:fill="E6E6E6"/>
        </w:rPr>
        <w:fldChar w:fldCharType="separate"/>
      </w:r>
      <w:r w:rsidR="00F06539">
        <w:rPr>
          <w:b/>
          <w:noProof/>
        </w:rPr>
        <w:t>2</w:t>
      </w:r>
      <w:r w:rsidRPr="00112054">
        <w:rPr>
          <w:b/>
          <w:color w:val="2B579A"/>
          <w:shd w:val="clear" w:color="auto" w:fill="E6E6E6"/>
        </w:rPr>
        <w:fldChar w:fldCharType="end"/>
      </w:r>
      <w:r w:rsidRPr="00112054">
        <w:rPr>
          <w:b/>
        </w:rPr>
        <w:t>:</w:t>
      </w:r>
      <w:r w:rsidRPr="00112054">
        <w:rPr>
          <w:b/>
        </w:rPr>
        <w:tab/>
        <w:t>Dosing Recommendations for Thrombocytopenia</w:t>
      </w:r>
      <w:r w:rsidR="00A12CDD">
        <w:rPr>
          <w:b/>
        </w:rPr>
        <w:t xml:space="preserve"> in MF</w:t>
      </w:r>
    </w:p>
    <w:tbl>
      <w:tblPr>
        <w:tblW w:w="0" w:type="auto"/>
        <w:tblInd w:w="-459" w:type="dxa"/>
        <w:tblBorders>
          <w:top w:val="nil"/>
          <w:left w:val="nil"/>
          <w:bottom w:val="nil"/>
          <w:right w:val="nil"/>
        </w:tblBorders>
        <w:tblLayout w:type="fixed"/>
        <w:tblLook w:val="0000" w:firstRow="0" w:lastRow="0" w:firstColumn="0" w:lastColumn="0" w:noHBand="0" w:noVBand="0"/>
      </w:tblPr>
      <w:tblGrid>
        <w:gridCol w:w="2410"/>
        <w:gridCol w:w="1559"/>
        <w:gridCol w:w="1418"/>
        <w:gridCol w:w="1417"/>
        <w:gridCol w:w="1418"/>
        <w:gridCol w:w="1417"/>
      </w:tblGrid>
      <w:tr w:rsidR="00112054" w:rsidDel="00EE4BB3" w14:paraId="39ACD550" w14:textId="7400CDBE" w:rsidTr="00E65453">
        <w:trPr>
          <w:trHeight w:val="148"/>
        </w:trPr>
        <w:tc>
          <w:tcPr>
            <w:tcW w:w="9639" w:type="dxa"/>
            <w:gridSpan w:val="6"/>
            <w:tcBorders>
              <w:top w:val="single" w:sz="6" w:space="0" w:color="000000"/>
              <w:bottom w:val="single" w:sz="4" w:space="0" w:color="000000"/>
            </w:tcBorders>
            <w:shd w:val="clear" w:color="auto" w:fill="E6E6E6"/>
            <w:vAlign w:val="center"/>
          </w:tcPr>
          <w:p w14:paraId="16F11484" w14:textId="3E523D27" w:rsidR="00112054" w:rsidRDefault="00112054" w:rsidP="00E65453">
            <w:pPr>
              <w:pStyle w:val="Default"/>
              <w:keepNext/>
              <w:rPr>
                <w:sz w:val="23"/>
                <w:szCs w:val="23"/>
              </w:rPr>
            </w:pPr>
            <w:r>
              <w:rPr>
                <w:b/>
                <w:bCs/>
                <w:sz w:val="23"/>
                <w:szCs w:val="23"/>
              </w:rPr>
              <w:t xml:space="preserve">                                                                          Dose at Time of Platelet Decline</w:t>
            </w:r>
          </w:p>
        </w:tc>
      </w:tr>
      <w:tr w:rsidR="00112054" w:rsidDel="00EE4BB3" w14:paraId="743ED098" w14:textId="1B63F99E" w:rsidTr="00E65453">
        <w:trPr>
          <w:trHeight w:val="281"/>
        </w:trPr>
        <w:tc>
          <w:tcPr>
            <w:tcW w:w="2410" w:type="dxa"/>
            <w:vMerge w:val="restart"/>
            <w:tcBorders>
              <w:top w:val="single" w:sz="4" w:space="0" w:color="000000"/>
              <w:left w:val="single" w:sz="6" w:space="0" w:color="000000"/>
              <w:bottom w:val="single" w:sz="4" w:space="0" w:color="000000"/>
              <w:right w:val="single" w:sz="4" w:space="0" w:color="000000"/>
            </w:tcBorders>
            <w:shd w:val="clear" w:color="auto" w:fill="E6E6E6"/>
            <w:vAlign w:val="center"/>
          </w:tcPr>
          <w:p w14:paraId="368021E0" w14:textId="3DFFC4DF" w:rsidR="00112054" w:rsidRPr="000275AE" w:rsidRDefault="00112054" w:rsidP="00E65453">
            <w:pPr>
              <w:pStyle w:val="Default"/>
              <w:keepNext/>
            </w:pPr>
            <w:r w:rsidRPr="000275AE">
              <w:rPr>
                <w:b/>
                <w:bCs/>
              </w:rPr>
              <w:t xml:space="preserve">Platelet Count </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CA0509C" w14:textId="17766AE9" w:rsidR="00112054" w:rsidRPr="000275AE" w:rsidRDefault="00112054" w:rsidP="00E65453">
            <w:pPr>
              <w:pStyle w:val="Default"/>
              <w:keepNext/>
            </w:pPr>
            <w:r w:rsidRPr="000275AE">
              <w:rPr>
                <w:b/>
                <w:bCs/>
              </w:rPr>
              <w:t xml:space="preserve">25 mg twice daily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5D416063" w14:textId="7F2C0778" w:rsidR="00112054" w:rsidRPr="000275AE" w:rsidRDefault="00112054" w:rsidP="00E65453">
            <w:pPr>
              <w:pStyle w:val="Default"/>
              <w:keepNext/>
            </w:pPr>
            <w:r w:rsidRPr="000275AE">
              <w:rPr>
                <w:b/>
                <w:bCs/>
              </w:rPr>
              <w:t xml:space="preserve">20 mg twice daily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01BAF93" w14:textId="1FEA0EA0" w:rsidR="00112054" w:rsidRPr="000275AE" w:rsidRDefault="00112054" w:rsidP="00E65453">
            <w:pPr>
              <w:pStyle w:val="Default"/>
              <w:keepNext/>
            </w:pPr>
            <w:r w:rsidRPr="000275AE">
              <w:rPr>
                <w:b/>
                <w:bCs/>
              </w:rPr>
              <w:t xml:space="preserve">15 mg twice daily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312B6CAD" w14:textId="35EC605E" w:rsidR="00112054" w:rsidRPr="000275AE" w:rsidRDefault="00112054" w:rsidP="00E65453">
            <w:pPr>
              <w:pStyle w:val="Default"/>
              <w:keepNext/>
            </w:pPr>
            <w:r w:rsidRPr="000275AE">
              <w:rPr>
                <w:b/>
                <w:bCs/>
              </w:rPr>
              <w:t xml:space="preserve">10 mg twice daily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69F4ED41" w14:textId="6D882799" w:rsidR="00112054" w:rsidRPr="000275AE" w:rsidRDefault="00112054" w:rsidP="00E65453">
            <w:pPr>
              <w:pStyle w:val="Default"/>
              <w:keepNext/>
            </w:pPr>
            <w:r w:rsidRPr="000275AE">
              <w:rPr>
                <w:b/>
                <w:bCs/>
              </w:rPr>
              <w:t xml:space="preserve">5 mg twice daily </w:t>
            </w:r>
          </w:p>
        </w:tc>
      </w:tr>
      <w:tr w:rsidR="00112054" w:rsidDel="00EE4BB3" w14:paraId="097CC79B" w14:textId="5FC59F9E" w:rsidTr="00E65453">
        <w:trPr>
          <w:trHeight w:val="418"/>
        </w:trPr>
        <w:tc>
          <w:tcPr>
            <w:tcW w:w="2410" w:type="dxa"/>
            <w:vMerge/>
            <w:tcBorders>
              <w:top w:val="single" w:sz="4" w:space="0" w:color="000000"/>
              <w:left w:val="single" w:sz="6" w:space="0" w:color="000000"/>
              <w:bottom w:val="single" w:sz="4" w:space="0" w:color="000000"/>
              <w:right w:val="single" w:sz="4" w:space="0" w:color="000000"/>
            </w:tcBorders>
            <w:shd w:val="clear" w:color="auto" w:fill="E6E6E6"/>
            <w:vAlign w:val="center"/>
          </w:tcPr>
          <w:p w14:paraId="28D54C55" w14:textId="656BDE90" w:rsidR="00112054" w:rsidRPr="000275AE" w:rsidRDefault="00112054" w:rsidP="00E65453">
            <w:pPr>
              <w:pStyle w:val="Default"/>
              <w:keepNext/>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DE2F20" w14:textId="7E6DD510" w:rsidR="00112054" w:rsidRPr="000275AE" w:rsidRDefault="00112054" w:rsidP="00E65453">
            <w:pPr>
              <w:pStyle w:val="Default"/>
              <w:keepNext/>
            </w:pPr>
            <w:r w:rsidRPr="000275AE">
              <w:rPr>
                <w:b/>
                <w:bCs/>
              </w:rPr>
              <w:t xml:space="preserve">New Dose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BC294B8" w14:textId="7D4F8152" w:rsidR="00112054" w:rsidRPr="000275AE" w:rsidRDefault="00112054" w:rsidP="00E65453">
            <w:pPr>
              <w:pStyle w:val="Default"/>
              <w:keepNext/>
            </w:pPr>
            <w:r w:rsidRPr="000275AE">
              <w:rPr>
                <w:b/>
                <w:bCs/>
              </w:rPr>
              <w:t xml:space="preserve">New Dose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2D05C97" w14:textId="057AB723" w:rsidR="00112054" w:rsidRPr="000275AE" w:rsidRDefault="00112054" w:rsidP="00E65453">
            <w:pPr>
              <w:pStyle w:val="Default"/>
              <w:keepNext/>
            </w:pPr>
            <w:r w:rsidRPr="000275AE">
              <w:rPr>
                <w:b/>
                <w:bCs/>
              </w:rPr>
              <w:t xml:space="preserve">New Dose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E7CEF89" w14:textId="075360FF" w:rsidR="00112054" w:rsidRPr="000275AE" w:rsidRDefault="00112054" w:rsidP="00E65453">
            <w:pPr>
              <w:pStyle w:val="Default"/>
              <w:keepNext/>
            </w:pPr>
            <w:r w:rsidRPr="000275AE">
              <w:rPr>
                <w:b/>
                <w:bCs/>
              </w:rPr>
              <w:t xml:space="preserve">New Dose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9FE3D26" w14:textId="7B96B5B3" w:rsidR="00112054" w:rsidRPr="000275AE" w:rsidRDefault="00112054" w:rsidP="00E65453">
            <w:pPr>
              <w:pStyle w:val="Default"/>
              <w:keepNext/>
            </w:pPr>
            <w:r w:rsidRPr="000275AE">
              <w:rPr>
                <w:b/>
                <w:bCs/>
              </w:rPr>
              <w:t xml:space="preserve">New Dose </w:t>
            </w:r>
          </w:p>
        </w:tc>
      </w:tr>
      <w:tr w:rsidR="00112054" w:rsidDel="00EE4BB3" w14:paraId="0AEAAF6F" w14:textId="2DEF6899" w:rsidTr="00E65453">
        <w:trPr>
          <w:trHeight w:val="281"/>
        </w:trPr>
        <w:tc>
          <w:tcPr>
            <w:tcW w:w="2410" w:type="dxa"/>
            <w:tcBorders>
              <w:top w:val="single" w:sz="4" w:space="0" w:color="000000"/>
              <w:left w:val="single" w:sz="6" w:space="0" w:color="000000"/>
              <w:bottom w:val="single" w:sz="4" w:space="0" w:color="000000"/>
              <w:right w:val="single" w:sz="4" w:space="0" w:color="000000"/>
            </w:tcBorders>
            <w:vAlign w:val="center"/>
          </w:tcPr>
          <w:p w14:paraId="13022EE6" w14:textId="650E4176" w:rsidR="00112054" w:rsidRPr="000275AE" w:rsidRDefault="00112054" w:rsidP="00E65453">
            <w:pPr>
              <w:pStyle w:val="Default"/>
              <w:keepNext/>
            </w:pPr>
            <w:r w:rsidRPr="000275AE">
              <w:t>100 to less than 125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4" w:space="0" w:color="000000"/>
              <w:right w:val="single" w:sz="4" w:space="0" w:color="000000"/>
            </w:tcBorders>
          </w:tcPr>
          <w:p w14:paraId="55CDD9C3" w14:textId="6EF24027" w:rsidR="00112054" w:rsidRPr="000275AE" w:rsidRDefault="00112054" w:rsidP="00E65453">
            <w:pPr>
              <w:pStyle w:val="Default"/>
              <w:keepNext/>
            </w:pPr>
            <w:r w:rsidRPr="000275AE">
              <w:t xml:space="preserve">20 mg twice daily </w:t>
            </w:r>
          </w:p>
        </w:tc>
        <w:tc>
          <w:tcPr>
            <w:tcW w:w="1418" w:type="dxa"/>
            <w:tcBorders>
              <w:top w:val="single" w:sz="4" w:space="0" w:color="000000"/>
              <w:left w:val="single" w:sz="4" w:space="0" w:color="000000"/>
              <w:bottom w:val="single" w:sz="4" w:space="0" w:color="000000"/>
              <w:right w:val="single" w:sz="4" w:space="0" w:color="000000"/>
            </w:tcBorders>
          </w:tcPr>
          <w:p w14:paraId="5527EE1F" w14:textId="5E9414C6" w:rsidR="00112054" w:rsidRPr="000275AE" w:rsidRDefault="00112054" w:rsidP="00E65453">
            <w:pPr>
              <w:pStyle w:val="Default"/>
              <w:keepNext/>
            </w:pPr>
            <w:r w:rsidRPr="000275AE">
              <w:t xml:space="preserve">15 mg twice daily </w:t>
            </w:r>
          </w:p>
        </w:tc>
        <w:tc>
          <w:tcPr>
            <w:tcW w:w="1417" w:type="dxa"/>
            <w:tcBorders>
              <w:top w:val="single" w:sz="4" w:space="0" w:color="000000"/>
              <w:left w:val="single" w:sz="4" w:space="0" w:color="000000"/>
              <w:bottom w:val="single" w:sz="4" w:space="0" w:color="000000"/>
              <w:right w:val="single" w:sz="4" w:space="0" w:color="000000"/>
            </w:tcBorders>
            <w:vAlign w:val="center"/>
          </w:tcPr>
          <w:p w14:paraId="77E704C2" w14:textId="71EDCC77" w:rsidR="00112054" w:rsidRPr="000275AE" w:rsidRDefault="00112054" w:rsidP="00E65453">
            <w:pPr>
              <w:pStyle w:val="Default"/>
              <w:keepNext/>
            </w:pPr>
            <w:r w:rsidRPr="000275AE">
              <w:t xml:space="preserve">No Change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4AE7D16" w14:textId="3C604DC4" w:rsidR="00112054" w:rsidRPr="000275AE" w:rsidRDefault="00112054" w:rsidP="00E65453">
            <w:pPr>
              <w:pStyle w:val="Default"/>
              <w:keepNext/>
            </w:pPr>
            <w:r w:rsidRPr="000275AE">
              <w:t xml:space="preserve">No Change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1A382" w14:textId="55941B7D" w:rsidR="00112054" w:rsidRPr="000275AE" w:rsidRDefault="00112054" w:rsidP="00E65453">
            <w:pPr>
              <w:pStyle w:val="Default"/>
              <w:keepNext/>
            </w:pPr>
            <w:r w:rsidRPr="000275AE">
              <w:t xml:space="preserve">No Change </w:t>
            </w:r>
          </w:p>
        </w:tc>
      </w:tr>
      <w:tr w:rsidR="00112054" w:rsidDel="00EE4BB3" w14:paraId="46CDBD81" w14:textId="0C5B0565" w:rsidTr="00E65453">
        <w:trPr>
          <w:trHeight w:val="281"/>
        </w:trPr>
        <w:tc>
          <w:tcPr>
            <w:tcW w:w="2410" w:type="dxa"/>
            <w:tcBorders>
              <w:top w:val="single" w:sz="4" w:space="0" w:color="000000"/>
              <w:left w:val="single" w:sz="6" w:space="0" w:color="000000"/>
              <w:bottom w:val="single" w:sz="4" w:space="0" w:color="000000"/>
              <w:right w:val="single" w:sz="4" w:space="0" w:color="000000"/>
            </w:tcBorders>
            <w:vAlign w:val="center"/>
          </w:tcPr>
          <w:p w14:paraId="6858FCCE" w14:textId="22365C9D" w:rsidR="00112054" w:rsidRPr="000275AE" w:rsidRDefault="00112054" w:rsidP="00E65453">
            <w:pPr>
              <w:pStyle w:val="Default"/>
              <w:keepNext/>
            </w:pPr>
            <w:r w:rsidRPr="000275AE">
              <w:t>75 to less than 100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4" w:space="0" w:color="000000"/>
              <w:right w:val="single" w:sz="4" w:space="0" w:color="000000"/>
            </w:tcBorders>
          </w:tcPr>
          <w:p w14:paraId="38E74F9E" w14:textId="1A8BB25A" w:rsidR="00112054" w:rsidRPr="000275AE" w:rsidRDefault="00112054" w:rsidP="00E65453">
            <w:pPr>
              <w:pStyle w:val="Default"/>
              <w:keepNext/>
            </w:pPr>
            <w:r w:rsidRPr="000275AE">
              <w:t xml:space="preserve">10 mg twice daily </w:t>
            </w:r>
          </w:p>
        </w:tc>
        <w:tc>
          <w:tcPr>
            <w:tcW w:w="1418" w:type="dxa"/>
            <w:tcBorders>
              <w:top w:val="single" w:sz="4" w:space="0" w:color="000000"/>
              <w:left w:val="single" w:sz="4" w:space="0" w:color="000000"/>
              <w:bottom w:val="single" w:sz="4" w:space="0" w:color="000000"/>
              <w:right w:val="single" w:sz="4" w:space="0" w:color="000000"/>
            </w:tcBorders>
          </w:tcPr>
          <w:p w14:paraId="1CE61FA4" w14:textId="7C45ECD3" w:rsidR="00112054" w:rsidRPr="000275AE" w:rsidRDefault="00112054" w:rsidP="00E65453">
            <w:pPr>
              <w:pStyle w:val="Default"/>
              <w:keepNext/>
            </w:pPr>
            <w:r w:rsidRPr="000275AE">
              <w:t xml:space="preserve">10 mg twice daily </w:t>
            </w:r>
          </w:p>
        </w:tc>
        <w:tc>
          <w:tcPr>
            <w:tcW w:w="1417" w:type="dxa"/>
            <w:tcBorders>
              <w:top w:val="single" w:sz="4" w:space="0" w:color="000000"/>
              <w:left w:val="single" w:sz="4" w:space="0" w:color="000000"/>
              <w:bottom w:val="single" w:sz="4" w:space="0" w:color="000000"/>
              <w:right w:val="single" w:sz="4" w:space="0" w:color="000000"/>
            </w:tcBorders>
          </w:tcPr>
          <w:p w14:paraId="435895BE" w14:textId="219B5B75" w:rsidR="00112054" w:rsidRPr="000275AE" w:rsidRDefault="00112054" w:rsidP="00E65453">
            <w:pPr>
              <w:pStyle w:val="Default"/>
              <w:keepNext/>
            </w:pPr>
            <w:r w:rsidRPr="000275AE">
              <w:t xml:space="preserve">10 mg twice daily </w:t>
            </w:r>
          </w:p>
        </w:tc>
        <w:tc>
          <w:tcPr>
            <w:tcW w:w="1418" w:type="dxa"/>
            <w:tcBorders>
              <w:top w:val="single" w:sz="4" w:space="0" w:color="000000"/>
              <w:left w:val="single" w:sz="4" w:space="0" w:color="000000"/>
              <w:bottom w:val="single" w:sz="4" w:space="0" w:color="000000"/>
              <w:right w:val="single" w:sz="4" w:space="0" w:color="000000"/>
            </w:tcBorders>
            <w:vAlign w:val="center"/>
          </w:tcPr>
          <w:p w14:paraId="38757895" w14:textId="60105445" w:rsidR="00112054" w:rsidRPr="000275AE" w:rsidRDefault="00112054" w:rsidP="00E65453">
            <w:pPr>
              <w:pStyle w:val="Default"/>
              <w:keepNext/>
            </w:pPr>
            <w:r w:rsidRPr="000275AE">
              <w:t xml:space="preserve">No Change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D9FCED0" w14:textId="6D7DC0D1" w:rsidR="00112054" w:rsidRPr="000275AE" w:rsidRDefault="00112054" w:rsidP="00E65453">
            <w:pPr>
              <w:pStyle w:val="Default"/>
              <w:keepNext/>
            </w:pPr>
            <w:r w:rsidRPr="000275AE">
              <w:t xml:space="preserve">No Change </w:t>
            </w:r>
          </w:p>
        </w:tc>
      </w:tr>
      <w:tr w:rsidR="00112054" w:rsidDel="00EE4BB3" w14:paraId="64997189" w14:textId="582D9281" w:rsidTr="00E65453">
        <w:trPr>
          <w:trHeight w:val="282"/>
        </w:trPr>
        <w:tc>
          <w:tcPr>
            <w:tcW w:w="2410" w:type="dxa"/>
            <w:tcBorders>
              <w:top w:val="single" w:sz="4" w:space="0" w:color="000000"/>
              <w:left w:val="single" w:sz="6" w:space="0" w:color="000000"/>
              <w:bottom w:val="single" w:sz="4" w:space="0" w:color="000000"/>
              <w:right w:val="single" w:sz="4" w:space="0" w:color="000000"/>
            </w:tcBorders>
            <w:vAlign w:val="center"/>
          </w:tcPr>
          <w:p w14:paraId="5DEBE3B0" w14:textId="74EA85AA" w:rsidR="00112054" w:rsidRPr="000275AE" w:rsidRDefault="00112054" w:rsidP="00E65453">
            <w:pPr>
              <w:pStyle w:val="Default"/>
              <w:keepNext/>
            </w:pPr>
            <w:r w:rsidRPr="000275AE">
              <w:t>50 to less than 75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4" w:space="0" w:color="000000"/>
              <w:right w:val="single" w:sz="4" w:space="0" w:color="000000"/>
            </w:tcBorders>
          </w:tcPr>
          <w:p w14:paraId="3D8AD15F" w14:textId="6416AE1C" w:rsidR="00112054" w:rsidRPr="000275AE" w:rsidRDefault="00112054" w:rsidP="00E65453">
            <w:pPr>
              <w:pStyle w:val="Default"/>
              <w:keepNext/>
            </w:pPr>
            <w:r w:rsidRPr="000275AE">
              <w:t xml:space="preserve">5 mg twice daily </w:t>
            </w:r>
          </w:p>
        </w:tc>
        <w:tc>
          <w:tcPr>
            <w:tcW w:w="1418" w:type="dxa"/>
            <w:tcBorders>
              <w:top w:val="single" w:sz="4" w:space="0" w:color="000000"/>
              <w:left w:val="single" w:sz="4" w:space="0" w:color="000000"/>
              <w:bottom w:val="single" w:sz="4" w:space="0" w:color="000000"/>
              <w:right w:val="single" w:sz="4" w:space="0" w:color="000000"/>
            </w:tcBorders>
          </w:tcPr>
          <w:p w14:paraId="118EFBB6" w14:textId="552262FA" w:rsidR="00112054" w:rsidRPr="000275AE" w:rsidRDefault="00112054" w:rsidP="00E65453">
            <w:pPr>
              <w:pStyle w:val="Default"/>
              <w:keepNext/>
            </w:pPr>
            <w:r w:rsidRPr="000275AE">
              <w:t xml:space="preserve">5 mg twice daily </w:t>
            </w:r>
          </w:p>
        </w:tc>
        <w:tc>
          <w:tcPr>
            <w:tcW w:w="1417" w:type="dxa"/>
            <w:tcBorders>
              <w:top w:val="single" w:sz="4" w:space="0" w:color="000000"/>
              <w:left w:val="single" w:sz="4" w:space="0" w:color="000000"/>
              <w:bottom w:val="single" w:sz="4" w:space="0" w:color="000000"/>
              <w:right w:val="single" w:sz="4" w:space="0" w:color="000000"/>
            </w:tcBorders>
          </w:tcPr>
          <w:p w14:paraId="355B328F" w14:textId="233C05DC" w:rsidR="00112054" w:rsidRPr="000275AE" w:rsidRDefault="00112054" w:rsidP="00E65453">
            <w:pPr>
              <w:pStyle w:val="Default"/>
              <w:keepNext/>
            </w:pPr>
            <w:r w:rsidRPr="000275AE">
              <w:t xml:space="preserve">5 mg twice daily </w:t>
            </w:r>
          </w:p>
        </w:tc>
        <w:tc>
          <w:tcPr>
            <w:tcW w:w="1418" w:type="dxa"/>
            <w:tcBorders>
              <w:top w:val="single" w:sz="4" w:space="0" w:color="000000"/>
              <w:left w:val="single" w:sz="4" w:space="0" w:color="000000"/>
              <w:bottom w:val="single" w:sz="4" w:space="0" w:color="000000"/>
              <w:right w:val="single" w:sz="4" w:space="0" w:color="000000"/>
            </w:tcBorders>
          </w:tcPr>
          <w:p w14:paraId="06AF6FB2" w14:textId="50B9981F" w:rsidR="00112054" w:rsidRPr="000275AE" w:rsidRDefault="00112054" w:rsidP="00E65453">
            <w:pPr>
              <w:pStyle w:val="Default"/>
              <w:keepNext/>
            </w:pPr>
            <w:r w:rsidRPr="000275AE">
              <w:t xml:space="preserve">5 mg twice daily </w:t>
            </w:r>
          </w:p>
        </w:tc>
        <w:tc>
          <w:tcPr>
            <w:tcW w:w="1417" w:type="dxa"/>
            <w:tcBorders>
              <w:top w:val="single" w:sz="4" w:space="0" w:color="000000"/>
              <w:left w:val="single" w:sz="4" w:space="0" w:color="000000"/>
              <w:bottom w:val="single" w:sz="4" w:space="0" w:color="000000"/>
              <w:right w:val="single" w:sz="4" w:space="0" w:color="000000"/>
            </w:tcBorders>
            <w:vAlign w:val="center"/>
          </w:tcPr>
          <w:p w14:paraId="135CA7AE" w14:textId="7B0DB6DF" w:rsidR="00112054" w:rsidRPr="000275AE" w:rsidRDefault="00112054" w:rsidP="00E65453">
            <w:pPr>
              <w:pStyle w:val="Default"/>
              <w:keepNext/>
            </w:pPr>
            <w:r w:rsidRPr="000275AE">
              <w:t xml:space="preserve">No Change </w:t>
            </w:r>
          </w:p>
        </w:tc>
      </w:tr>
      <w:tr w:rsidR="00112054" w:rsidDel="00EE4BB3" w14:paraId="0C5A1C65" w14:textId="2AF2B0A2" w:rsidTr="00E65453">
        <w:trPr>
          <w:trHeight w:val="143"/>
        </w:trPr>
        <w:tc>
          <w:tcPr>
            <w:tcW w:w="2410" w:type="dxa"/>
            <w:tcBorders>
              <w:top w:val="single" w:sz="4" w:space="0" w:color="000000"/>
              <w:left w:val="single" w:sz="6" w:space="0" w:color="000000"/>
              <w:bottom w:val="single" w:sz="6" w:space="0" w:color="000000"/>
              <w:right w:val="single" w:sz="4" w:space="0" w:color="000000"/>
            </w:tcBorders>
          </w:tcPr>
          <w:p w14:paraId="6DA57EDE" w14:textId="134B1790" w:rsidR="00112054" w:rsidRPr="000275AE" w:rsidRDefault="00112054" w:rsidP="00E65453">
            <w:pPr>
              <w:pStyle w:val="Default"/>
              <w:keepNext/>
            </w:pPr>
            <w:r w:rsidRPr="000275AE">
              <w:t>Less than 50 X 10</w:t>
            </w:r>
            <w:r w:rsidRPr="000275AE">
              <w:rPr>
                <w:vertAlign w:val="superscript"/>
              </w:rPr>
              <w:t>9</w:t>
            </w:r>
            <w:r w:rsidRPr="000275AE">
              <w:t xml:space="preserve">/L </w:t>
            </w:r>
          </w:p>
        </w:tc>
        <w:tc>
          <w:tcPr>
            <w:tcW w:w="1559" w:type="dxa"/>
            <w:tcBorders>
              <w:top w:val="single" w:sz="4" w:space="0" w:color="000000"/>
              <w:left w:val="single" w:sz="4" w:space="0" w:color="000000"/>
              <w:bottom w:val="single" w:sz="6" w:space="0" w:color="000000"/>
              <w:right w:val="single" w:sz="4" w:space="0" w:color="000000"/>
            </w:tcBorders>
            <w:vAlign w:val="center"/>
          </w:tcPr>
          <w:p w14:paraId="0100EC49" w14:textId="42D3A0B1" w:rsidR="00112054" w:rsidRPr="000275AE" w:rsidRDefault="00112054" w:rsidP="00E65453">
            <w:pPr>
              <w:pStyle w:val="Default"/>
              <w:keepNext/>
            </w:pPr>
            <w:r w:rsidRPr="000275AE">
              <w:t xml:space="preserve">Hold </w:t>
            </w:r>
          </w:p>
        </w:tc>
        <w:tc>
          <w:tcPr>
            <w:tcW w:w="1418" w:type="dxa"/>
            <w:tcBorders>
              <w:top w:val="single" w:sz="4" w:space="0" w:color="000000"/>
              <w:left w:val="single" w:sz="4" w:space="0" w:color="000000"/>
              <w:bottom w:val="single" w:sz="6" w:space="0" w:color="000000"/>
              <w:right w:val="single" w:sz="4" w:space="0" w:color="000000"/>
            </w:tcBorders>
            <w:vAlign w:val="center"/>
          </w:tcPr>
          <w:p w14:paraId="1B7553B6" w14:textId="4BC874AD" w:rsidR="00112054" w:rsidRPr="000275AE" w:rsidRDefault="00112054" w:rsidP="00E65453">
            <w:pPr>
              <w:pStyle w:val="Default"/>
              <w:keepNext/>
            </w:pPr>
            <w:r w:rsidRPr="000275AE">
              <w:t xml:space="preserve">Hold </w:t>
            </w:r>
          </w:p>
        </w:tc>
        <w:tc>
          <w:tcPr>
            <w:tcW w:w="1417" w:type="dxa"/>
            <w:tcBorders>
              <w:top w:val="single" w:sz="4" w:space="0" w:color="000000"/>
              <w:left w:val="single" w:sz="4" w:space="0" w:color="000000"/>
              <w:bottom w:val="single" w:sz="6" w:space="0" w:color="000000"/>
              <w:right w:val="single" w:sz="4" w:space="0" w:color="000000"/>
            </w:tcBorders>
            <w:vAlign w:val="center"/>
          </w:tcPr>
          <w:p w14:paraId="7F192084" w14:textId="6430EA89" w:rsidR="00112054" w:rsidRPr="000275AE" w:rsidRDefault="00112054" w:rsidP="00E65453">
            <w:pPr>
              <w:pStyle w:val="Default"/>
              <w:keepNext/>
            </w:pPr>
            <w:r w:rsidRPr="000275AE">
              <w:t xml:space="preserve">Hold </w:t>
            </w:r>
          </w:p>
        </w:tc>
        <w:tc>
          <w:tcPr>
            <w:tcW w:w="1418" w:type="dxa"/>
            <w:tcBorders>
              <w:top w:val="single" w:sz="4" w:space="0" w:color="000000"/>
              <w:left w:val="single" w:sz="4" w:space="0" w:color="000000"/>
              <w:bottom w:val="single" w:sz="6" w:space="0" w:color="000000"/>
              <w:right w:val="single" w:sz="4" w:space="0" w:color="000000"/>
            </w:tcBorders>
            <w:vAlign w:val="center"/>
          </w:tcPr>
          <w:p w14:paraId="02016487" w14:textId="43A273DE" w:rsidR="00112054" w:rsidRPr="000275AE" w:rsidRDefault="00112054" w:rsidP="00E65453">
            <w:pPr>
              <w:pStyle w:val="Default"/>
              <w:keepNext/>
            </w:pPr>
            <w:r w:rsidRPr="000275AE">
              <w:t xml:space="preserve">Hold </w:t>
            </w:r>
          </w:p>
        </w:tc>
        <w:tc>
          <w:tcPr>
            <w:tcW w:w="1417" w:type="dxa"/>
            <w:tcBorders>
              <w:top w:val="single" w:sz="4" w:space="0" w:color="000000"/>
              <w:left w:val="single" w:sz="4" w:space="0" w:color="000000"/>
              <w:bottom w:val="single" w:sz="6" w:space="0" w:color="000000"/>
              <w:right w:val="single" w:sz="4" w:space="0" w:color="000000"/>
            </w:tcBorders>
            <w:vAlign w:val="center"/>
          </w:tcPr>
          <w:p w14:paraId="0A7A2E97" w14:textId="4A43ED48" w:rsidR="00112054" w:rsidRPr="000275AE" w:rsidRDefault="00112054" w:rsidP="00E65453">
            <w:pPr>
              <w:pStyle w:val="Default"/>
              <w:keepNext/>
            </w:pPr>
            <w:r w:rsidRPr="000275AE">
              <w:t xml:space="preserve">Hold </w:t>
            </w:r>
          </w:p>
        </w:tc>
      </w:tr>
    </w:tbl>
    <w:p w14:paraId="0FD6C5FE" w14:textId="4442D32D" w:rsidR="0029758A" w:rsidRPr="00346628" w:rsidRDefault="00E1215C" w:rsidP="00E050F7">
      <w:pPr>
        <w:pStyle w:val="Heading3"/>
      </w:pPr>
      <w:r>
        <w:t xml:space="preserve">Acute </w:t>
      </w:r>
      <w:r w:rsidR="0029758A" w:rsidRPr="00346628">
        <w:t>Graft-versus-host disease</w:t>
      </w:r>
    </w:p>
    <w:p w14:paraId="476C6B66" w14:textId="04FA938E" w:rsidR="00E050F7" w:rsidRDefault="00E050F7" w:rsidP="00E050F7">
      <w:r w:rsidRPr="00D468D4">
        <w:t xml:space="preserve">The recommended starting dose of </w:t>
      </w:r>
      <w:proofErr w:type="spellStart"/>
      <w:r w:rsidRPr="00D468D4">
        <w:t>Jakavi</w:t>
      </w:r>
      <w:proofErr w:type="spellEnd"/>
      <w:r w:rsidRPr="00D468D4">
        <w:t xml:space="preserve"> in </w:t>
      </w:r>
      <w:r w:rsidR="00F22374">
        <w:t xml:space="preserve">acute </w:t>
      </w:r>
      <w:r>
        <w:t xml:space="preserve">GvHD </w:t>
      </w:r>
      <w:r w:rsidRPr="00D468D4">
        <w:t xml:space="preserve">is </w:t>
      </w:r>
      <w:r w:rsidR="00F22374">
        <w:t>5 to</w:t>
      </w:r>
      <w:r w:rsidRPr="00D468D4">
        <w:t>10 mg given orally twice daily with or without food.</w:t>
      </w:r>
    </w:p>
    <w:p w14:paraId="78C3D112" w14:textId="02E1425E" w:rsidR="00F22374" w:rsidRDefault="00F22374" w:rsidP="00F22374">
      <w:pPr>
        <w:pStyle w:val="Heading3"/>
      </w:pPr>
      <w:r>
        <w:t xml:space="preserve">Chronic </w:t>
      </w:r>
      <w:r w:rsidRPr="00346628">
        <w:t>Graft-versus-host disease</w:t>
      </w:r>
    </w:p>
    <w:p w14:paraId="16BBD2B0" w14:textId="2EDA52CF" w:rsidR="00F22374" w:rsidRPr="00F22374" w:rsidRDefault="00F22374" w:rsidP="00F22374">
      <w:r w:rsidRPr="00D468D4">
        <w:t xml:space="preserve">The recommended starting dose of </w:t>
      </w:r>
      <w:proofErr w:type="spellStart"/>
      <w:r w:rsidRPr="00D468D4">
        <w:t>Jakavi</w:t>
      </w:r>
      <w:proofErr w:type="spellEnd"/>
      <w:r w:rsidRPr="00D468D4">
        <w:t xml:space="preserve"> in </w:t>
      </w:r>
      <w:r>
        <w:t xml:space="preserve">chronic GvHD </w:t>
      </w:r>
      <w:r w:rsidRPr="00D468D4">
        <w:t>is 10 mg given orally twice daily with or without food</w:t>
      </w:r>
    </w:p>
    <w:p w14:paraId="3D26BE8B" w14:textId="546594F1" w:rsidR="00E050F7" w:rsidRPr="00CE07AC" w:rsidRDefault="00E050F7" w:rsidP="00C16F59">
      <w:pPr>
        <w:pStyle w:val="Heading3"/>
      </w:pPr>
      <w:r w:rsidRPr="00CE07AC">
        <w:t>Dose modifications</w:t>
      </w:r>
      <w:r w:rsidR="00F22374">
        <w:t xml:space="preserve"> for acute and chronic GvHD</w:t>
      </w:r>
    </w:p>
    <w:p w14:paraId="3D7662E9" w14:textId="2FDAC769" w:rsidR="0029758A" w:rsidRDefault="0029758A" w:rsidP="0029758A">
      <w:r>
        <w:t xml:space="preserve">Dose reductions and temporary interruptions of treatment may be needed in GvHD patients with thrombocytopenia, neutropenia, or elevated total bilirubin after standard supportive therapy including growth-factors, anti-infective </w:t>
      </w:r>
      <w:proofErr w:type="gramStart"/>
      <w:r w:rsidRPr="001A726D">
        <w:t>therapies</w:t>
      </w:r>
      <w:proofErr w:type="gramEnd"/>
      <w:r w:rsidRPr="001A726D">
        <w:t xml:space="preserve"> and transfusions. One dose level reduction step is recommended (10 mg twice daily to 5 mg twice daily </w:t>
      </w:r>
      <w:r w:rsidRPr="00997FD3">
        <w:t>or 5 mg twice daily</w:t>
      </w:r>
      <w:r>
        <w:t xml:space="preserve"> </w:t>
      </w:r>
      <w:r w:rsidRPr="001A726D">
        <w:t xml:space="preserve">to 5 mg once daily). In patients who are unable to tolerate </w:t>
      </w:r>
      <w:proofErr w:type="spellStart"/>
      <w:r w:rsidRPr="001A726D">
        <w:t>Jakavi</w:t>
      </w:r>
      <w:proofErr w:type="spellEnd"/>
      <w:r w:rsidRPr="001A726D">
        <w:t xml:space="preserve"> at a dose of 5 mg once daily, treatment should be interrupted. Detailed dosing recommendations are provided in Table 3.</w:t>
      </w:r>
    </w:p>
    <w:p w14:paraId="0BC593A5" w14:textId="55A2ACCB" w:rsidR="0029758A" w:rsidRPr="00A12CDD" w:rsidRDefault="0029758A" w:rsidP="00A12CDD">
      <w:pPr>
        <w:rPr>
          <w:b/>
        </w:rPr>
      </w:pPr>
      <w:r w:rsidRPr="00A12CDD">
        <w:rPr>
          <w:b/>
        </w:rPr>
        <w:lastRenderedPageBreak/>
        <w:t xml:space="preserve">Table </w:t>
      </w:r>
      <w:r w:rsidRPr="00A12CDD">
        <w:rPr>
          <w:b/>
          <w:color w:val="2B579A"/>
          <w:shd w:val="clear" w:color="auto" w:fill="E6E6E6"/>
        </w:rPr>
        <w:fldChar w:fldCharType="begin"/>
      </w:r>
      <w:r w:rsidRPr="00A12CDD">
        <w:rPr>
          <w:b/>
        </w:rPr>
        <w:instrText xml:space="preserve"> SEQ Table \* ARABIC </w:instrText>
      </w:r>
      <w:r w:rsidRPr="00A12CDD">
        <w:rPr>
          <w:b/>
          <w:color w:val="2B579A"/>
          <w:shd w:val="clear" w:color="auto" w:fill="E6E6E6"/>
        </w:rPr>
        <w:fldChar w:fldCharType="separate"/>
      </w:r>
      <w:r w:rsidR="00F06539">
        <w:rPr>
          <w:b/>
          <w:noProof/>
        </w:rPr>
        <w:t>3</w:t>
      </w:r>
      <w:r w:rsidRPr="00A12CDD">
        <w:rPr>
          <w:b/>
          <w:color w:val="2B579A"/>
          <w:shd w:val="clear" w:color="auto" w:fill="E6E6E6"/>
        </w:rPr>
        <w:fldChar w:fldCharType="end"/>
      </w:r>
      <w:r w:rsidRPr="00C604A7">
        <w:rPr>
          <w:b/>
        </w:rPr>
        <w:t xml:space="preserve"> </w:t>
      </w:r>
      <w:r w:rsidRPr="00A12CDD">
        <w:rPr>
          <w:b/>
        </w:rPr>
        <w:t>Dosing recommendations for patients with thrombocytopenia, neutropenia, or elevated total bilirubin in patients with graft-versus- host disease</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686"/>
      </w:tblGrid>
      <w:tr w:rsidR="00C604A7" w:rsidRPr="00C604A7" w14:paraId="09A274A6" w14:textId="77777777" w:rsidTr="00E65453">
        <w:trPr>
          <w:trHeight w:val="226"/>
          <w:tblHeader/>
        </w:trPr>
        <w:tc>
          <w:tcPr>
            <w:tcW w:w="3397" w:type="dxa"/>
            <w:tcBorders>
              <w:left w:val="nil"/>
            </w:tcBorders>
            <w:shd w:val="clear" w:color="auto" w:fill="auto"/>
            <w:vAlign w:val="center"/>
          </w:tcPr>
          <w:p w14:paraId="3EC4FE9B" w14:textId="77777777" w:rsidR="00C604A7" w:rsidRPr="00A12CDD" w:rsidRDefault="00C604A7" w:rsidP="00A12CDD">
            <w:pPr>
              <w:pStyle w:val="C-BodyText"/>
              <w:rPr>
                <w:b/>
              </w:rPr>
            </w:pPr>
            <w:r w:rsidRPr="00A12CDD">
              <w:rPr>
                <w:b/>
              </w:rPr>
              <w:t>Laboratory Parameter</w:t>
            </w:r>
          </w:p>
        </w:tc>
        <w:tc>
          <w:tcPr>
            <w:tcW w:w="5686" w:type="dxa"/>
            <w:tcBorders>
              <w:right w:val="nil"/>
            </w:tcBorders>
            <w:shd w:val="clear" w:color="auto" w:fill="auto"/>
            <w:vAlign w:val="center"/>
          </w:tcPr>
          <w:p w14:paraId="26684817" w14:textId="77777777" w:rsidR="00C604A7" w:rsidRPr="00A12CDD" w:rsidRDefault="00C604A7" w:rsidP="00A12CDD">
            <w:pPr>
              <w:pStyle w:val="C-BodyText"/>
              <w:rPr>
                <w:b/>
              </w:rPr>
            </w:pPr>
            <w:r w:rsidRPr="00A12CDD">
              <w:rPr>
                <w:b/>
              </w:rPr>
              <w:t>Dosing Recommendation</w:t>
            </w:r>
          </w:p>
        </w:tc>
      </w:tr>
      <w:tr w:rsidR="00C604A7" w:rsidRPr="00B31EC4" w14:paraId="222071CC" w14:textId="77777777" w:rsidTr="00E65453">
        <w:trPr>
          <w:trHeight w:val="473"/>
        </w:trPr>
        <w:tc>
          <w:tcPr>
            <w:tcW w:w="3397" w:type="dxa"/>
            <w:tcBorders>
              <w:left w:val="nil"/>
            </w:tcBorders>
            <w:shd w:val="clear" w:color="auto" w:fill="auto"/>
          </w:tcPr>
          <w:p w14:paraId="3861B310" w14:textId="1B4D929E" w:rsidR="00C604A7" w:rsidRPr="00B60AB3" w:rsidRDefault="00C604A7" w:rsidP="00A12CDD">
            <w:pPr>
              <w:pStyle w:val="C-BodyText"/>
            </w:pPr>
            <w:r w:rsidRPr="00B60AB3">
              <w:t>Platelet count &lt;20</w:t>
            </w:r>
            <w:r w:rsidR="00EF02EE">
              <w:t xml:space="preserve"> x 10</w:t>
            </w:r>
            <w:r w:rsidR="00EF02EE" w:rsidRPr="00EF02EE">
              <w:rPr>
                <w:vertAlign w:val="superscript"/>
              </w:rPr>
              <w:t>9</w:t>
            </w:r>
            <w:r w:rsidR="00EF02EE">
              <w:t xml:space="preserve">/L </w:t>
            </w:r>
          </w:p>
        </w:tc>
        <w:tc>
          <w:tcPr>
            <w:tcW w:w="5686" w:type="dxa"/>
            <w:tcBorders>
              <w:right w:val="nil"/>
            </w:tcBorders>
            <w:shd w:val="clear" w:color="auto" w:fill="auto"/>
          </w:tcPr>
          <w:p w14:paraId="171F2D7A" w14:textId="327689F7" w:rsidR="00C604A7" w:rsidRPr="00B60AB3" w:rsidRDefault="00C604A7" w:rsidP="00B114F8">
            <w:pPr>
              <w:pStyle w:val="C-BodyText"/>
            </w:pPr>
            <w:r w:rsidRPr="00B60AB3">
              <w:t xml:space="preserve">Reduce </w:t>
            </w:r>
            <w:proofErr w:type="spellStart"/>
            <w:r w:rsidRPr="00B60AB3">
              <w:t>Jakavi</w:t>
            </w:r>
            <w:proofErr w:type="spellEnd"/>
            <w:r w:rsidRPr="00B60AB3">
              <w:t xml:space="preserve"> by one dose level. If platelet count ≥20</w:t>
            </w:r>
            <w:r w:rsidR="00EF02EE">
              <w:t xml:space="preserve"> x 10</w:t>
            </w:r>
            <w:r w:rsidR="00EF02EE" w:rsidRPr="00EF02EE">
              <w:rPr>
                <w:vertAlign w:val="superscript"/>
              </w:rPr>
              <w:t>9</w:t>
            </w:r>
            <w:r w:rsidR="00EF02EE">
              <w:t>/L</w:t>
            </w:r>
            <w:r w:rsidRPr="00B60AB3">
              <w:t xml:space="preserve"> within seven days, dose may be increased to initial dose level, otherwise maintain reduced dose.</w:t>
            </w:r>
          </w:p>
        </w:tc>
      </w:tr>
      <w:tr w:rsidR="00C604A7" w:rsidRPr="00B31EC4" w14:paraId="338F820E" w14:textId="77777777" w:rsidTr="00E65453">
        <w:trPr>
          <w:trHeight w:val="50"/>
        </w:trPr>
        <w:tc>
          <w:tcPr>
            <w:tcW w:w="3397" w:type="dxa"/>
            <w:tcBorders>
              <w:left w:val="nil"/>
            </w:tcBorders>
            <w:shd w:val="clear" w:color="auto" w:fill="auto"/>
          </w:tcPr>
          <w:p w14:paraId="51BA55BB" w14:textId="3C950917" w:rsidR="00C604A7" w:rsidRPr="00B60AB3" w:rsidRDefault="00C604A7" w:rsidP="00A12CDD">
            <w:pPr>
              <w:pStyle w:val="C-BodyText"/>
            </w:pPr>
            <w:r w:rsidRPr="00B60AB3">
              <w:t>Platelet count &lt;15</w:t>
            </w:r>
            <w:r w:rsidR="00EF02EE">
              <w:t xml:space="preserve"> x 10</w:t>
            </w:r>
            <w:r w:rsidR="00EF02EE" w:rsidRPr="00EF02EE">
              <w:rPr>
                <w:vertAlign w:val="superscript"/>
              </w:rPr>
              <w:t>9</w:t>
            </w:r>
            <w:r w:rsidR="00EF02EE">
              <w:t xml:space="preserve">/L </w:t>
            </w:r>
          </w:p>
        </w:tc>
        <w:tc>
          <w:tcPr>
            <w:tcW w:w="5686" w:type="dxa"/>
            <w:tcBorders>
              <w:right w:val="nil"/>
            </w:tcBorders>
            <w:shd w:val="clear" w:color="auto" w:fill="auto"/>
          </w:tcPr>
          <w:p w14:paraId="7477D0BB" w14:textId="2AD43E21" w:rsidR="00C604A7" w:rsidRPr="00B60AB3" w:rsidRDefault="00C604A7" w:rsidP="00A12CDD">
            <w:pPr>
              <w:pStyle w:val="C-BodyText"/>
            </w:pPr>
            <w:r w:rsidRPr="00B60AB3">
              <w:t xml:space="preserve">Hold </w:t>
            </w:r>
            <w:proofErr w:type="spellStart"/>
            <w:r w:rsidRPr="00B60AB3">
              <w:t>Jakavi</w:t>
            </w:r>
            <w:proofErr w:type="spellEnd"/>
            <w:r w:rsidRPr="00B60AB3">
              <w:t xml:space="preserve"> until platelet count ≥20</w:t>
            </w:r>
            <w:r w:rsidR="00EF02EE">
              <w:t xml:space="preserve"> x 10</w:t>
            </w:r>
            <w:r w:rsidR="00EF02EE" w:rsidRPr="00EF02EE">
              <w:rPr>
                <w:vertAlign w:val="superscript"/>
              </w:rPr>
              <w:t>9</w:t>
            </w:r>
            <w:r w:rsidR="00EF02EE">
              <w:t>/L</w:t>
            </w:r>
            <w:r w:rsidRPr="00B60AB3">
              <w:t>, then resume at one lower dose level.</w:t>
            </w:r>
          </w:p>
        </w:tc>
      </w:tr>
      <w:tr w:rsidR="00C604A7" w:rsidRPr="00B31EC4" w14:paraId="6281F5D5" w14:textId="77777777" w:rsidTr="00E65453">
        <w:trPr>
          <w:trHeight w:val="50"/>
        </w:trPr>
        <w:tc>
          <w:tcPr>
            <w:tcW w:w="3397" w:type="dxa"/>
            <w:tcBorders>
              <w:left w:val="nil"/>
            </w:tcBorders>
            <w:shd w:val="clear" w:color="auto" w:fill="auto"/>
          </w:tcPr>
          <w:p w14:paraId="237D311F" w14:textId="3A427B3B" w:rsidR="00C604A7" w:rsidRPr="001A726D" w:rsidRDefault="00C604A7" w:rsidP="00A12CDD">
            <w:pPr>
              <w:pStyle w:val="C-BodyText"/>
            </w:pPr>
            <w:r w:rsidRPr="001A726D">
              <w:t>Absolute neutrophil count (ANC)</w:t>
            </w:r>
            <w:r>
              <w:br/>
            </w:r>
            <w:r w:rsidRPr="001A726D">
              <w:t>≥</w:t>
            </w:r>
            <w:r w:rsidR="00EF02EE">
              <w:t>0.</w:t>
            </w:r>
            <w:r w:rsidRPr="001A726D">
              <w:t>5</w:t>
            </w:r>
            <w:r w:rsidR="00EF02EE">
              <w:t xml:space="preserve"> x 10</w:t>
            </w:r>
            <w:r w:rsidR="00EF02EE" w:rsidRPr="00EF02EE">
              <w:rPr>
                <w:vertAlign w:val="superscript"/>
              </w:rPr>
              <w:t>9</w:t>
            </w:r>
            <w:r w:rsidR="00EF02EE">
              <w:t>/</w:t>
            </w:r>
            <w:proofErr w:type="gramStart"/>
            <w:r w:rsidR="00EF02EE">
              <w:t xml:space="preserve">L </w:t>
            </w:r>
            <w:r w:rsidRPr="001A726D">
              <w:t xml:space="preserve"> to</w:t>
            </w:r>
            <w:proofErr w:type="gramEnd"/>
            <w:r w:rsidRPr="001A726D">
              <w:t xml:space="preserve"> &lt;</w:t>
            </w:r>
            <w:r w:rsidR="00EF02EE">
              <w:t>0.</w:t>
            </w:r>
            <w:r w:rsidRPr="001A726D">
              <w:t>75</w:t>
            </w:r>
            <w:r w:rsidR="00EF02EE">
              <w:rPr>
                <w:vertAlign w:val="superscript"/>
              </w:rPr>
              <w:t xml:space="preserve"> </w:t>
            </w:r>
            <w:r w:rsidR="00EF02EE">
              <w:t>x 10</w:t>
            </w:r>
            <w:r w:rsidR="00EF02EE" w:rsidRPr="00EF02EE">
              <w:rPr>
                <w:vertAlign w:val="superscript"/>
              </w:rPr>
              <w:t>9</w:t>
            </w:r>
            <w:r w:rsidR="00EF02EE">
              <w:t>/L</w:t>
            </w:r>
          </w:p>
        </w:tc>
        <w:tc>
          <w:tcPr>
            <w:tcW w:w="5686" w:type="dxa"/>
            <w:tcBorders>
              <w:right w:val="nil"/>
            </w:tcBorders>
            <w:shd w:val="clear" w:color="auto" w:fill="auto"/>
          </w:tcPr>
          <w:p w14:paraId="14D24A88" w14:textId="407FC347" w:rsidR="00C604A7" w:rsidRPr="001A726D" w:rsidRDefault="00C604A7" w:rsidP="00A12CDD">
            <w:pPr>
              <w:pStyle w:val="C-BodyText"/>
            </w:pPr>
            <w:r w:rsidRPr="001A726D">
              <w:t xml:space="preserve">Reduce </w:t>
            </w:r>
            <w:proofErr w:type="spellStart"/>
            <w:r w:rsidRPr="001A726D">
              <w:t>Jakavi</w:t>
            </w:r>
            <w:proofErr w:type="spellEnd"/>
            <w:r w:rsidRPr="001A726D">
              <w:t xml:space="preserve"> by one dose level. Resume at initial dose level if ANC &gt;1</w:t>
            </w:r>
            <w:r w:rsidR="00EF02EE">
              <w:t xml:space="preserve"> x 10</w:t>
            </w:r>
            <w:r w:rsidR="00EF02EE" w:rsidRPr="00EF02EE">
              <w:rPr>
                <w:vertAlign w:val="superscript"/>
              </w:rPr>
              <w:t>9</w:t>
            </w:r>
            <w:r w:rsidR="00EF02EE">
              <w:t>/L</w:t>
            </w:r>
            <w:r w:rsidRPr="001A726D">
              <w:t>.</w:t>
            </w:r>
          </w:p>
        </w:tc>
      </w:tr>
      <w:tr w:rsidR="00C604A7" w:rsidRPr="00B31EC4" w14:paraId="31B13B2D" w14:textId="77777777" w:rsidTr="00E65453">
        <w:trPr>
          <w:trHeight w:val="563"/>
        </w:trPr>
        <w:tc>
          <w:tcPr>
            <w:tcW w:w="3397" w:type="dxa"/>
            <w:tcBorders>
              <w:left w:val="nil"/>
            </w:tcBorders>
            <w:shd w:val="clear" w:color="auto" w:fill="auto"/>
          </w:tcPr>
          <w:p w14:paraId="2EC0CF96" w14:textId="620CED56" w:rsidR="00C604A7" w:rsidRPr="00B60AB3" w:rsidRDefault="00C604A7" w:rsidP="00A12CDD">
            <w:pPr>
              <w:pStyle w:val="C-BodyText"/>
            </w:pPr>
            <w:r w:rsidRPr="00B60AB3">
              <w:t>Absolute neutrophil count &lt;</w:t>
            </w:r>
            <w:r w:rsidR="00EF02EE">
              <w:t>0.</w:t>
            </w:r>
            <w:r w:rsidRPr="00B60AB3">
              <w:t>5</w:t>
            </w:r>
            <w:r w:rsidR="00EF02EE">
              <w:rPr>
                <w:vertAlign w:val="superscript"/>
              </w:rPr>
              <w:t xml:space="preserve"> </w:t>
            </w:r>
            <w:r w:rsidR="00EF02EE">
              <w:t>x 10</w:t>
            </w:r>
            <w:r w:rsidR="00EF02EE" w:rsidRPr="00EF02EE">
              <w:rPr>
                <w:vertAlign w:val="superscript"/>
              </w:rPr>
              <w:t>9</w:t>
            </w:r>
            <w:r w:rsidR="00EF02EE">
              <w:t>/L</w:t>
            </w:r>
          </w:p>
        </w:tc>
        <w:tc>
          <w:tcPr>
            <w:tcW w:w="5686" w:type="dxa"/>
            <w:tcBorders>
              <w:right w:val="nil"/>
            </w:tcBorders>
            <w:shd w:val="clear" w:color="auto" w:fill="auto"/>
          </w:tcPr>
          <w:p w14:paraId="35E873DA" w14:textId="468B966A" w:rsidR="00C604A7" w:rsidRPr="00B60AB3" w:rsidRDefault="00C604A7" w:rsidP="00A12CDD">
            <w:pPr>
              <w:pStyle w:val="C-BodyText"/>
            </w:pPr>
            <w:r w:rsidRPr="00B60AB3">
              <w:t xml:space="preserve">Hold </w:t>
            </w:r>
            <w:proofErr w:type="spellStart"/>
            <w:r w:rsidRPr="00B60AB3">
              <w:t>Jakavi</w:t>
            </w:r>
            <w:proofErr w:type="spellEnd"/>
            <w:r w:rsidRPr="00B60AB3">
              <w:t xml:space="preserve"> until ANC &gt;</w:t>
            </w:r>
            <w:r w:rsidR="00EF02EE">
              <w:t>0.</w:t>
            </w:r>
            <w:r w:rsidRPr="00B60AB3">
              <w:t>5</w:t>
            </w:r>
            <w:r w:rsidR="00EF02EE">
              <w:rPr>
                <w:vertAlign w:val="superscript"/>
              </w:rPr>
              <w:t xml:space="preserve"> </w:t>
            </w:r>
            <w:r w:rsidR="00EF02EE">
              <w:t>x 10</w:t>
            </w:r>
            <w:r w:rsidR="00EF02EE" w:rsidRPr="00EF02EE">
              <w:rPr>
                <w:vertAlign w:val="superscript"/>
              </w:rPr>
              <w:t>9</w:t>
            </w:r>
            <w:r w:rsidR="00EF02EE">
              <w:t>/L</w:t>
            </w:r>
            <w:r w:rsidRPr="00B60AB3">
              <w:t>, then resume at one lower dose level. If ANC &gt;1</w:t>
            </w:r>
            <w:r w:rsidR="00EF02EE">
              <w:t xml:space="preserve"> x 10</w:t>
            </w:r>
            <w:r w:rsidR="00EF02EE" w:rsidRPr="00EF02EE">
              <w:rPr>
                <w:vertAlign w:val="superscript"/>
              </w:rPr>
              <w:t>9</w:t>
            </w:r>
            <w:r w:rsidR="00EF02EE">
              <w:t>/L</w:t>
            </w:r>
            <w:r w:rsidRPr="00B60AB3">
              <w:t>,</w:t>
            </w:r>
            <w:r w:rsidRPr="00B60AB3">
              <w:rPr>
                <w:vertAlign w:val="superscript"/>
              </w:rPr>
              <w:t xml:space="preserve"> </w:t>
            </w:r>
            <w:r w:rsidRPr="00B60AB3">
              <w:t>dosing may resume at initial dose level.</w:t>
            </w:r>
          </w:p>
        </w:tc>
      </w:tr>
      <w:tr w:rsidR="00C604A7" w:rsidRPr="00B31EC4" w14:paraId="03634228" w14:textId="77777777" w:rsidTr="00E65453">
        <w:tc>
          <w:tcPr>
            <w:tcW w:w="3397" w:type="dxa"/>
            <w:vMerge w:val="restart"/>
            <w:tcBorders>
              <w:left w:val="nil"/>
            </w:tcBorders>
            <w:shd w:val="clear" w:color="auto" w:fill="auto"/>
          </w:tcPr>
          <w:p w14:paraId="77380409" w14:textId="77777777" w:rsidR="00C604A7" w:rsidRPr="00B60AB3" w:rsidRDefault="00C604A7" w:rsidP="00A12CDD">
            <w:pPr>
              <w:pStyle w:val="C-BodyText"/>
            </w:pPr>
            <w:r w:rsidRPr="00B60AB3">
              <w:t>Total bilirubin elevation, no liver GvHD</w:t>
            </w:r>
          </w:p>
        </w:tc>
        <w:tc>
          <w:tcPr>
            <w:tcW w:w="5686" w:type="dxa"/>
            <w:tcBorders>
              <w:right w:val="nil"/>
            </w:tcBorders>
            <w:shd w:val="clear" w:color="auto" w:fill="auto"/>
          </w:tcPr>
          <w:p w14:paraId="3AFFD38B" w14:textId="77777777" w:rsidR="00C604A7" w:rsidRPr="00B60AB3" w:rsidRDefault="00C604A7" w:rsidP="00A12CDD">
            <w:pPr>
              <w:pStyle w:val="C-BodyText"/>
            </w:pPr>
            <w:r w:rsidRPr="00B60AB3">
              <w:t xml:space="preserve">3.0 to 5.0 x ULN: Continue </w:t>
            </w:r>
            <w:proofErr w:type="spellStart"/>
            <w:r w:rsidRPr="00B60AB3">
              <w:t>Jakavi</w:t>
            </w:r>
            <w:proofErr w:type="spellEnd"/>
            <w:r w:rsidRPr="00B60AB3">
              <w:t xml:space="preserve"> at one lower dose level until ≤3.0 x ULN.</w:t>
            </w:r>
          </w:p>
        </w:tc>
      </w:tr>
      <w:tr w:rsidR="00C604A7" w:rsidRPr="00B31EC4" w14:paraId="135AE260" w14:textId="77777777" w:rsidTr="00E65453">
        <w:tc>
          <w:tcPr>
            <w:tcW w:w="3397" w:type="dxa"/>
            <w:vMerge/>
            <w:tcBorders>
              <w:left w:val="nil"/>
            </w:tcBorders>
          </w:tcPr>
          <w:p w14:paraId="11EDB706" w14:textId="77777777" w:rsidR="00C604A7" w:rsidRPr="00B60AB3" w:rsidRDefault="00C604A7" w:rsidP="003A21E7">
            <w:pPr>
              <w:pStyle w:val="C-BodyText"/>
            </w:pPr>
          </w:p>
        </w:tc>
        <w:tc>
          <w:tcPr>
            <w:tcW w:w="5686" w:type="dxa"/>
            <w:tcBorders>
              <w:right w:val="nil"/>
            </w:tcBorders>
            <w:shd w:val="clear" w:color="auto" w:fill="auto"/>
          </w:tcPr>
          <w:p w14:paraId="67932763" w14:textId="77777777" w:rsidR="00C604A7" w:rsidRPr="00B60AB3" w:rsidRDefault="00C604A7" w:rsidP="003A21E7">
            <w:pPr>
              <w:pStyle w:val="C-BodyText"/>
            </w:pPr>
            <w:r w:rsidRPr="00B60AB3">
              <w:t xml:space="preserve">&gt;5.0 to 10.0 x ULN: Hold </w:t>
            </w:r>
            <w:proofErr w:type="spellStart"/>
            <w:r w:rsidRPr="00B60AB3">
              <w:t>Jakavi</w:t>
            </w:r>
            <w:proofErr w:type="spellEnd"/>
            <w:r w:rsidRPr="00B60AB3">
              <w:t xml:space="preserve"> up to 14 days until total bilirubin ≤3.0 x ULN. If total bilirubin ≤3.0 x ULN dosing may resume at current dose. If not ≤3.0 x ULN after 14 days, resume at one lower dose level.</w:t>
            </w:r>
          </w:p>
        </w:tc>
      </w:tr>
      <w:tr w:rsidR="00C604A7" w:rsidRPr="00B31EC4" w14:paraId="7ECA1619" w14:textId="77777777" w:rsidTr="00E65453">
        <w:tc>
          <w:tcPr>
            <w:tcW w:w="3397" w:type="dxa"/>
            <w:vMerge/>
            <w:tcBorders>
              <w:left w:val="nil"/>
            </w:tcBorders>
          </w:tcPr>
          <w:p w14:paraId="20AB3573" w14:textId="77777777" w:rsidR="00C604A7" w:rsidRPr="00B60AB3" w:rsidRDefault="00C604A7" w:rsidP="003A21E7">
            <w:pPr>
              <w:pStyle w:val="C-BodyText"/>
            </w:pPr>
          </w:p>
        </w:tc>
        <w:tc>
          <w:tcPr>
            <w:tcW w:w="5686" w:type="dxa"/>
            <w:tcBorders>
              <w:right w:val="nil"/>
            </w:tcBorders>
            <w:shd w:val="clear" w:color="auto" w:fill="auto"/>
          </w:tcPr>
          <w:p w14:paraId="632E3592" w14:textId="77777777" w:rsidR="00C604A7" w:rsidRPr="00B60AB3" w:rsidRDefault="00C604A7" w:rsidP="003A21E7">
            <w:pPr>
              <w:pStyle w:val="C-BodyText"/>
            </w:pPr>
            <w:r w:rsidRPr="00B60AB3">
              <w:t xml:space="preserve">&gt;10.0 x ULN: Hold </w:t>
            </w:r>
            <w:proofErr w:type="spellStart"/>
            <w:r w:rsidRPr="00B60AB3">
              <w:t>Jakavi</w:t>
            </w:r>
            <w:proofErr w:type="spellEnd"/>
            <w:r w:rsidRPr="00B60AB3">
              <w:t xml:space="preserve"> until total bilirubin ≤3.0 x ULN, then resume at one lower dose level.</w:t>
            </w:r>
          </w:p>
        </w:tc>
      </w:tr>
      <w:tr w:rsidR="00C604A7" w:rsidRPr="00B31EC4" w14:paraId="45AF95F7" w14:textId="77777777" w:rsidTr="00E65453">
        <w:tc>
          <w:tcPr>
            <w:tcW w:w="3397" w:type="dxa"/>
            <w:tcBorders>
              <w:left w:val="nil"/>
            </w:tcBorders>
            <w:shd w:val="clear" w:color="auto" w:fill="auto"/>
          </w:tcPr>
          <w:p w14:paraId="29BECB26" w14:textId="77777777" w:rsidR="00C604A7" w:rsidRPr="00B60AB3" w:rsidRDefault="00C604A7" w:rsidP="00A12CDD">
            <w:pPr>
              <w:pStyle w:val="C-BodyText"/>
            </w:pPr>
            <w:r w:rsidRPr="00B60AB3">
              <w:t>Total bilirubin elevation, liver GvHD</w:t>
            </w:r>
          </w:p>
        </w:tc>
        <w:tc>
          <w:tcPr>
            <w:tcW w:w="5686" w:type="dxa"/>
            <w:tcBorders>
              <w:right w:val="nil"/>
            </w:tcBorders>
            <w:shd w:val="clear" w:color="auto" w:fill="auto"/>
          </w:tcPr>
          <w:p w14:paraId="17843345" w14:textId="77777777" w:rsidR="00C604A7" w:rsidRPr="00B60AB3" w:rsidRDefault="00C604A7" w:rsidP="00A12CDD">
            <w:pPr>
              <w:pStyle w:val="C-BodyText"/>
            </w:pPr>
            <w:r w:rsidRPr="00B60AB3">
              <w:t xml:space="preserve">&gt;3.0 x ULN: Continue </w:t>
            </w:r>
            <w:proofErr w:type="spellStart"/>
            <w:r w:rsidRPr="00B60AB3">
              <w:t>Jakavi</w:t>
            </w:r>
            <w:proofErr w:type="spellEnd"/>
            <w:r w:rsidRPr="00B60AB3">
              <w:t xml:space="preserve"> at one lower dose level until total bilirubin ≤3.0 x ULN.</w:t>
            </w:r>
          </w:p>
        </w:tc>
      </w:tr>
      <w:tr w:rsidR="00DC51F8" w:rsidRPr="00B31EC4" w14:paraId="2A1B186B" w14:textId="77777777" w:rsidTr="00E65453">
        <w:tc>
          <w:tcPr>
            <w:tcW w:w="3397" w:type="dxa"/>
            <w:tcBorders>
              <w:left w:val="nil"/>
            </w:tcBorders>
            <w:shd w:val="clear" w:color="auto" w:fill="auto"/>
          </w:tcPr>
          <w:p w14:paraId="05EEAC4F" w14:textId="77777777" w:rsidR="00DC51F8" w:rsidRDefault="00DC51F8" w:rsidP="00A12CDD">
            <w:pPr>
              <w:pStyle w:val="C-BodyText"/>
            </w:pPr>
            <w:r>
              <w:t>Other adverse reactions: Grade 3</w:t>
            </w:r>
          </w:p>
          <w:p w14:paraId="0EE200EC" w14:textId="48B273F9" w:rsidR="00DC51F8" w:rsidRPr="00B60AB3" w:rsidRDefault="00DC51F8" w:rsidP="00A12CDD">
            <w:pPr>
              <w:pStyle w:val="C-BodyText"/>
            </w:pPr>
            <w:r>
              <w:t>Other adverse reactions: Grade 4</w:t>
            </w:r>
          </w:p>
        </w:tc>
        <w:tc>
          <w:tcPr>
            <w:tcW w:w="5686" w:type="dxa"/>
            <w:tcBorders>
              <w:right w:val="nil"/>
            </w:tcBorders>
            <w:shd w:val="clear" w:color="auto" w:fill="auto"/>
          </w:tcPr>
          <w:p w14:paraId="71067BFE" w14:textId="77777777" w:rsidR="00DC51F8" w:rsidRDefault="00DC51F8" w:rsidP="00A12CDD">
            <w:pPr>
              <w:pStyle w:val="C-BodyText"/>
            </w:pPr>
            <w:r>
              <w:t xml:space="preserve">Continue </w:t>
            </w:r>
            <w:proofErr w:type="spellStart"/>
            <w:r>
              <w:t>Jakavi</w:t>
            </w:r>
            <w:proofErr w:type="spellEnd"/>
            <w:r>
              <w:t xml:space="preserve"> at 1 dose level lower until recovery.</w:t>
            </w:r>
          </w:p>
          <w:p w14:paraId="0F4A2286" w14:textId="21A4DB91" w:rsidR="00DC51F8" w:rsidRPr="00B60AB3" w:rsidRDefault="00DC51F8" w:rsidP="00A12CDD">
            <w:pPr>
              <w:pStyle w:val="C-BodyText"/>
            </w:pPr>
            <w:r>
              <w:t xml:space="preserve">Discontinue </w:t>
            </w:r>
            <w:proofErr w:type="spellStart"/>
            <w:r>
              <w:t>Jakavi</w:t>
            </w:r>
            <w:proofErr w:type="spellEnd"/>
            <w:r>
              <w:t>.</w:t>
            </w:r>
          </w:p>
        </w:tc>
      </w:tr>
    </w:tbl>
    <w:p w14:paraId="31241457" w14:textId="637E04EC" w:rsidR="0029758A" w:rsidRDefault="0029758A" w:rsidP="0029758A">
      <w:pPr>
        <w:rPr>
          <w:b/>
          <w:lang w:val="en-US"/>
        </w:rPr>
      </w:pPr>
    </w:p>
    <w:p w14:paraId="748FADBE" w14:textId="23F32EF6" w:rsidR="00D54217" w:rsidRPr="00A12CDD" w:rsidRDefault="00D54217" w:rsidP="00D54217">
      <w:r>
        <w:t xml:space="preserve">In GvHD, tapering of </w:t>
      </w:r>
      <w:proofErr w:type="spellStart"/>
      <w:r>
        <w:t>Jakavi</w:t>
      </w:r>
      <w:proofErr w:type="spellEnd"/>
      <w:r>
        <w:t xml:space="preserve"> may be considered in patients with a response and after having discontinued corticosteroids. A 50% dose reduction of </w:t>
      </w:r>
      <w:proofErr w:type="spellStart"/>
      <w:r>
        <w:t>Jakavi</w:t>
      </w:r>
      <w:proofErr w:type="spellEnd"/>
      <w:r>
        <w:t xml:space="preserve"> every two months is recommended. If signs or symptoms of GvHD reoccur during or after the taper of </w:t>
      </w:r>
      <w:proofErr w:type="spellStart"/>
      <w:r>
        <w:t>Jakavi</w:t>
      </w:r>
      <w:proofErr w:type="spellEnd"/>
      <w:r>
        <w:t>, re-escalation of treatment should be considered</w:t>
      </w:r>
      <w:r w:rsidRPr="45FE8677">
        <w:rPr>
          <w:color w:val="0000FF"/>
        </w:rPr>
        <w:t>.</w:t>
      </w:r>
    </w:p>
    <w:p w14:paraId="3106E55B" w14:textId="763EF959" w:rsidR="00112054" w:rsidRPr="00DE6BF0" w:rsidRDefault="00112054" w:rsidP="00112054">
      <w:pPr>
        <w:pStyle w:val="Heading3"/>
      </w:pPr>
      <w:r w:rsidRPr="00DE6BF0">
        <w:lastRenderedPageBreak/>
        <w:t>Dose adjustment with concomitant CYP3A4 Inhibitors</w:t>
      </w:r>
      <w:r>
        <w:t xml:space="preserve"> or</w:t>
      </w:r>
      <w:r w:rsidR="00DC51F8">
        <w:t xml:space="preserve"> dual moderate inhibitors of CYP2C9 and CYP3A4</w:t>
      </w:r>
    </w:p>
    <w:p w14:paraId="7099A607" w14:textId="391B9088" w:rsidR="00112054" w:rsidRPr="00E55E1F" w:rsidRDefault="00112054" w:rsidP="00112054">
      <w:r w:rsidRPr="00DE6BF0">
        <w:t xml:space="preserve">When </w:t>
      </w:r>
      <w:proofErr w:type="spellStart"/>
      <w:r w:rsidRPr="00DE6BF0">
        <w:t>Jakavi</w:t>
      </w:r>
      <w:proofErr w:type="spellEnd"/>
      <w:r w:rsidRPr="00DE6BF0">
        <w:t xml:space="preserve"> is administered with strong CYP3A4 inhibitors </w:t>
      </w:r>
      <w:r w:rsidR="00D34E83">
        <w:t xml:space="preserve">in MV and PV patients </w:t>
      </w:r>
      <w:r>
        <w:t>or dual moderate inhibitors of CYP2C9 and CYP3A4 enzymes (</w:t>
      </w:r>
      <w:proofErr w:type="gramStart"/>
      <w:r>
        <w:t>e.g.</w:t>
      </w:r>
      <w:proofErr w:type="gramEnd"/>
      <w:r>
        <w:t xml:space="preserve"> fluconazole)</w:t>
      </w:r>
      <w:r w:rsidR="00D34E83">
        <w:t xml:space="preserve"> in MF, PV or GvHD patients</w:t>
      </w:r>
      <w:r>
        <w:t xml:space="preserve">, </w:t>
      </w:r>
      <w:r w:rsidRPr="00DE6BF0">
        <w:t xml:space="preserve">the total daily dose of </w:t>
      </w:r>
      <w:proofErr w:type="spellStart"/>
      <w:r w:rsidRPr="00DE6BF0">
        <w:t>Jakavi</w:t>
      </w:r>
      <w:proofErr w:type="spellEnd"/>
      <w:r w:rsidRPr="00DE6BF0">
        <w:t xml:space="preserve"> should be</w:t>
      </w:r>
      <w:r w:rsidR="000B51C6">
        <w:t xml:space="preserve"> modified according to Table 4.</w:t>
      </w:r>
      <w:r w:rsidRPr="00DE6BF0">
        <w:t xml:space="preserve"> </w:t>
      </w:r>
      <w:r>
        <w:t>T</w:t>
      </w:r>
      <w:r w:rsidRPr="00E55E1F">
        <w:t xml:space="preserve">he concomitant use of </w:t>
      </w:r>
      <w:proofErr w:type="spellStart"/>
      <w:r w:rsidRPr="00E55E1F">
        <w:t>Jakavi</w:t>
      </w:r>
      <w:proofErr w:type="spellEnd"/>
      <w:r w:rsidRPr="00E55E1F">
        <w:t xml:space="preserve"> with fluconazole doses of greater than 200 mg daily</w:t>
      </w:r>
      <w:r>
        <w:t xml:space="preserve"> should be avoided (see</w:t>
      </w:r>
      <w:r w:rsidR="00D34E83">
        <w:t xml:space="preserve"> section 4.5</w:t>
      </w:r>
      <w:r>
        <w:t xml:space="preserve"> Interactions with </w:t>
      </w:r>
      <w:r w:rsidR="00E37E3C">
        <w:t>o</w:t>
      </w:r>
      <w:r>
        <w:t xml:space="preserve">ther </w:t>
      </w:r>
      <w:r w:rsidR="00E37E3C">
        <w:t>m</w:t>
      </w:r>
      <w:r>
        <w:t>edicines</w:t>
      </w:r>
      <w:r w:rsidR="00E37E3C">
        <w:t xml:space="preserve"> and other forms of interactions</w:t>
      </w:r>
      <w:r>
        <w:t>).</w:t>
      </w:r>
    </w:p>
    <w:p w14:paraId="51834FCE" w14:textId="52EC47EA" w:rsidR="00112054" w:rsidRDefault="00112054" w:rsidP="00112054">
      <w:r w:rsidRPr="00DE6BF0">
        <w:t>More frequent monitoring of h</w:t>
      </w:r>
      <w:r>
        <w:t>a</w:t>
      </w:r>
      <w:r w:rsidRPr="00DE6BF0">
        <w:t xml:space="preserve">ematology parameters and clinical signs and symptoms of </w:t>
      </w:r>
      <w:proofErr w:type="spellStart"/>
      <w:r w:rsidRPr="00DE6BF0">
        <w:t>Jakavi</w:t>
      </w:r>
      <w:proofErr w:type="spellEnd"/>
      <w:r w:rsidRPr="00DE6BF0">
        <w:t xml:space="preserve"> related adverse </w:t>
      </w:r>
      <w:r>
        <w:t xml:space="preserve">drug </w:t>
      </w:r>
      <w:r w:rsidRPr="00DE6BF0">
        <w:t>reactions is recommended upon initiation of a strong CYP3A4 inhibitor</w:t>
      </w:r>
      <w:r>
        <w:t xml:space="preserve"> </w:t>
      </w:r>
      <w:r w:rsidRPr="00E55E1F">
        <w:t>or dual moderate inhibitors of CYP2C9 and CYP3A4 enzymes</w:t>
      </w:r>
      <w:r w:rsidRPr="00DE6BF0">
        <w:t>.</w:t>
      </w:r>
    </w:p>
    <w:p w14:paraId="4D8FC01D" w14:textId="29E5B6D0" w:rsidR="00BB2CBE" w:rsidRPr="00764FE6" w:rsidRDefault="00BB2CBE" w:rsidP="00C16F59">
      <w:pPr>
        <w:keepNext/>
        <w:spacing w:after="120" w:line="240" w:lineRule="auto"/>
        <w:rPr>
          <w:rFonts w:eastAsia="Times New Roman" w:cs="Times New Roman"/>
          <w:szCs w:val="20"/>
          <w:lang w:val="en-US"/>
        </w:rPr>
      </w:pPr>
      <w:r w:rsidRPr="00BB2CBE">
        <w:rPr>
          <w:b/>
          <w:bCs/>
        </w:rPr>
        <w:t xml:space="preserve">Table </w:t>
      </w:r>
      <w:r w:rsidRPr="00BB2CBE">
        <w:rPr>
          <w:b/>
          <w:bCs/>
        </w:rPr>
        <w:fldChar w:fldCharType="begin"/>
      </w:r>
      <w:r w:rsidRPr="00BB2CBE">
        <w:rPr>
          <w:b/>
          <w:bCs/>
        </w:rPr>
        <w:instrText xml:space="preserve"> SEQ Table \* ARABIC </w:instrText>
      </w:r>
      <w:r w:rsidRPr="00BB2CBE">
        <w:rPr>
          <w:b/>
          <w:bCs/>
        </w:rPr>
        <w:fldChar w:fldCharType="separate"/>
      </w:r>
      <w:r w:rsidR="00F06539">
        <w:rPr>
          <w:b/>
          <w:bCs/>
          <w:noProof/>
        </w:rPr>
        <w:t>4</w:t>
      </w:r>
      <w:r w:rsidRPr="00BB2CBE">
        <w:rPr>
          <w:b/>
          <w:bCs/>
        </w:rPr>
        <w:fldChar w:fldCharType="end"/>
      </w:r>
      <w:r>
        <w:rPr>
          <w:b/>
          <w:bCs/>
        </w:rPr>
        <w:t xml:space="preserve">: Dose modifications for </w:t>
      </w:r>
      <w:r w:rsidR="004E7824">
        <w:rPr>
          <w:b/>
          <w:bCs/>
        </w:rPr>
        <w:t xml:space="preserve">concomitant </w:t>
      </w:r>
      <w:r>
        <w:rPr>
          <w:b/>
          <w:bCs/>
        </w:rPr>
        <w:t>use with CYP3A4 inhibitors or</w:t>
      </w:r>
      <w:r w:rsidRPr="00764FE6">
        <w:rPr>
          <w:rFonts w:cs="Times New Roman"/>
          <w:b/>
          <w:bCs/>
          <w:szCs w:val="24"/>
        </w:rPr>
        <w:t xml:space="preserve"> </w:t>
      </w:r>
      <w:r w:rsidR="00BA5BFA" w:rsidRPr="00764FE6">
        <w:rPr>
          <w:rFonts w:cs="Times New Roman"/>
          <w:b/>
          <w:bCs/>
          <w:szCs w:val="24"/>
        </w:rPr>
        <w:t>dual inhibitors of CYP2C9 and CYP3A4</w:t>
      </w:r>
    </w:p>
    <w:tbl>
      <w:tblPr>
        <w:tblStyle w:val="TableGrid"/>
        <w:tblW w:w="0" w:type="auto"/>
        <w:tblLook w:val="04A0" w:firstRow="1" w:lastRow="0" w:firstColumn="1" w:lastColumn="0" w:noHBand="0" w:noVBand="1"/>
      </w:tblPr>
      <w:tblGrid>
        <w:gridCol w:w="4508"/>
        <w:gridCol w:w="4508"/>
      </w:tblGrid>
      <w:tr w:rsidR="00BB2CBE" w:rsidRPr="00562317" w14:paraId="4E629DAA" w14:textId="77777777" w:rsidTr="00764FE6">
        <w:tc>
          <w:tcPr>
            <w:tcW w:w="4508" w:type="dxa"/>
            <w:tcBorders>
              <w:bottom w:val="single" w:sz="4" w:space="0" w:color="auto"/>
            </w:tcBorders>
          </w:tcPr>
          <w:p w14:paraId="5B5BB663" w14:textId="24F42B38" w:rsidR="00BB2CBE" w:rsidRPr="00764FE6" w:rsidRDefault="007E4E53" w:rsidP="00C16F59">
            <w:pPr>
              <w:keepNext/>
              <w:spacing w:line="360" w:lineRule="auto"/>
              <w:rPr>
                <w:b/>
                <w:bCs/>
                <w:szCs w:val="24"/>
              </w:rPr>
            </w:pPr>
            <w:r w:rsidRPr="00764FE6">
              <w:rPr>
                <w:b/>
                <w:bCs/>
                <w:szCs w:val="24"/>
              </w:rPr>
              <w:t>Concomitant use with</w:t>
            </w:r>
          </w:p>
        </w:tc>
        <w:tc>
          <w:tcPr>
            <w:tcW w:w="4508" w:type="dxa"/>
            <w:tcBorders>
              <w:bottom w:val="single" w:sz="4" w:space="0" w:color="auto"/>
            </w:tcBorders>
          </w:tcPr>
          <w:p w14:paraId="6870E734" w14:textId="6594C54E" w:rsidR="00BB2CBE" w:rsidRPr="00764FE6" w:rsidRDefault="00BB2CBE" w:rsidP="00C16F59">
            <w:pPr>
              <w:keepNext/>
              <w:spacing w:line="360" w:lineRule="auto"/>
              <w:rPr>
                <w:b/>
                <w:bCs/>
                <w:szCs w:val="24"/>
              </w:rPr>
            </w:pPr>
            <w:r w:rsidRPr="00764FE6">
              <w:rPr>
                <w:b/>
                <w:bCs/>
                <w:szCs w:val="24"/>
              </w:rPr>
              <w:t xml:space="preserve">Recommended </w:t>
            </w:r>
            <w:proofErr w:type="spellStart"/>
            <w:r w:rsidRPr="00764FE6">
              <w:rPr>
                <w:b/>
                <w:bCs/>
                <w:szCs w:val="24"/>
              </w:rPr>
              <w:t>Jakavi</w:t>
            </w:r>
            <w:proofErr w:type="spellEnd"/>
            <w:r w:rsidRPr="00764FE6">
              <w:rPr>
                <w:b/>
                <w:bCs/>
                <w:szCs w:val="24"/>
              </w:rPr>
              <w:t xml:space="preserve"> dose modification</w:t>
            </w:r>
          </w:p>
        </w:tc>
      </w:tr>
      <w:tr w:rsidR="00CB5E7A" w:rsidRPr="00562317" w14:paraId="304A290A" w14:textId="77777777" w:rsidTr="00764FE6">
        <w:trPr>
          <w:trHeight w:val="306"/>
        </w:trPr>
        <w:tc>
          <w:tcPr>
            <w:tcW w:w="9016" w:type="dxa"/>
            <w:gridSpan w:val="2"/>
            <w:tcBorders>
              <w:bottom w:val="nil"/>
            </w:tcBorders>
          </w:tcPr>
          <w:p w14:paraId="3FFEE2A8" w14:textId="71849056" w:rsidR="00CB5E7A" w:rsidRPr="00562317" w:rsidRDefault="00CB5E7A" w:rsidP="00C16F59">
            <w:pPr>
              <w:keepNext/>
              <w:rPr>
                <w:b/>
                <w:bCs/>
                <w:szCs w:val="24"/>
              </w:rPr>
            </w:pPr>
            <w:r w:rsidRPr="00562317">
              <w:rPr>
                <w:b/>
                <w:bCs/>
                <w:szCs w:val="24"/>
              </w:rPr>
              <w:t>MF patients</w:t>
            </w:r>
            <w:r w:rsidR="000B4AD0" w:rsidRPr="00562317">
              <w:rPr>
                <w:b/>
                <w:bCs/>
                <w:szCs w:val="24"/>
              </w:rPr>
              <w:t xml:space="preserve"> –</w:t>
            </w:r>
            <w:r w:rsidRPr="00562317">
              <w:rPr>
                <w:b/>
                <w:bCs/>
                <w:szCs w:val="24"/>
              </w:rPr>
              <w:t xml:space="preserve"> </w:t>
            </w:r>
            <w:r w:rsidR="000B4AD0" w:rsidRPr="00562317">
              <w:rPr>
                <w:b/>
                <w:bCs/>
                <w:szCs w:val="24"/>
              </w:rPr>
              <w:t>starting dose based on platelet count</w:t>
            </w:r>
          </w:p>
        </w:tc>
      </w:tr>
      <w:tr w:rsidR="007E4E53" w:rsidRPr="00562317" w14:paraId="36CA4D68" w14:textId="77777777" w:rsidTr="00764FE6">
        <w:trPr>
          <w:trHeight w:val="1565"/>
        </w:trPr>
        <w:tc>
          <w:tcPr>
            <w:tcW w:w="4508" w:type="dxa"/>
            <w:tcBorders>
              <w:top w:val="nil"/>
              <w:bottom w:val="single" w:sz="4" w:space="0" w:color="auto"/>
            </w:tcBorders>
          </w:tcPr>
          <w:p w14:paraId="4680D5A8" w14:textId="7CE455AB" w:rsidR="007E4E53" w:rsidRPr="00562317" w:rsidRDefault="00C16F59" w:rsidP="00C16F59">
            <w:pPr>
              <w:keepNext/>
              <w:rPr>
                <w:szCs w:val="24"/>
              </w:rPr>
            </w:pPr>
            <w:r>
              <w:rPr>
                <w:szCs w:val="24"/>
              </w:rPr>
              <w:t>S</w:t>
            </w:r>
            <w:r w:rsidR="007E4E53" w:rsidRPr="00562317">
              <w:rPr>
                <w:szCs w:val="24"/>
              </w:rPr>
              <w:t>trong CYP3A4 inhibitors, or dual moderate inhibitors of CYP2C9 and CYP3A4 enzymes (e.g., fluconazole ≤ 200 mg daily)</w:t>
            </w:r>
          </w:p>
          <w:p w14:paraId="01CC53DD" w14:textId="77777777" w:rsidR="007E4E53" w:rsidRPr="00562317" w:rsidRDefault="007E4E53" w:rsidP="00C16F59">
            <w:pPr>
              <w:pStyle w:val="ListParagraph"/>
              <w:keepNext/>
              <w:numPr>
                <w:ilvl w:val="0"/>
                <w:numId w:val="19"/>
              </w:numPr>
              <w:rPr>
                <w:rFonts w:ascii="Times New Roman" w:hAnsi="Times New Roman"/>
                <w:szCs w:val="24"/>
              </w:rPr>
            </w:pPr>
            <w:r w:rsidRPr="00562317">
              <w:rPr>
                <w:rFonts w:ascii="Times New Roman" w:hAnsi="Times New Roman"/>
                <w:szCs w:val="24"/>
              </w:rPr>
              <w:t>Greater than or equal to 100 x 10</w:t>
            </w:r>
            <w:r w:rsidRPr="00562317">
              <w:rPr>
                <w:rFonts w:ascii="Times New Roman" w:hAnsi="Times New Roman"/>
                <w:szCs w:val="24"/>
                <w:vertAlign w:val="superscript"/>
              </w:rPr>
              <w:t>9</w:t>
            </w:r>
            <w:r w:rsidRPr="00562317">
              <w:rPr>
                <w:rFonts w:ascii="Times New Roman" w:hAnsi="Times New Roman"/>
                <w:szCs w:val="24"/>
              </w:rPr>
              <w:t>/L</w:t>
            </w:r>
          </w:p>
          <w:p w14:paraId="28F4D093" w14:textId="16B9F338" w:rsidR="007E4E53" w:rsidRPr="00562317" w:rsidRDefault="007E4E53" w:rsidP="00C16F59">
            <w:pPr>
              <w:pStyle w:val="ListParagraph"/>
              <w:keepNext/>
              <w:numPr>
                <w:ilvl w:val="0"/>
                <w:numId w:val="19"/>
              </w:numPr>
              <w:rPr>
                <w:rFonts w:ascii="Times New Roman" w:hAnsi="Times New Roman"/>
                <w:szCs w:val="24"/>
              </w:rPr>
            </w:pPr>
            <w:r w:rsidRPr="00562317">
              <w:rPr>
                <w:rFonts w:ascii="Times New Roman" w:hAnsi="Times New Roman"/>
                <w:szCs w:val="24"/>
              </w:rPr>
              <w:t>50 x 10</w:t>
            </w:r>
            <w:r w:rsidRPr="00562317">
              <w:rPr>
                <w:rFonts w:ascii="Times New Roman" w:hAnsi="Times New Roman"/>
                <w:szCs w:val="24"/>
                <w:vertAlign w:val="superscript"/>
              </w:rPr>
              <w:t>9</w:t>
            </w:r>
            <w:r w:rsidRPr="00562317">
              <w:rPr>
                <w:rFonts w:ascii="Times New Roman" w:hAnsi="Times New Roman"/>
                <w:szCs w:val="24"/>
              </w:rPr>
              <w:t>/L to less than 100 x 10</w:t>
            </w:r>
            <w:r w:rsidRPr="00562317">
              <w:rPr>
                <w:rFonts w:ascii="Times New Roman" w:hAnsi="Times New Roman"/>
                <w:szCs w:val="24"/>
                <w:vertAlign w:val="superscript"/>
              </w:rPr>
              <w:t>9</w:t>
            </w:r>
            <w:r w:rsidRPr="00562317">
              <w:rPr>
                <w:rFonts w:ascii="Times New Roman" w:hAnsi="Times New Roman"/>
                <w:szCs w:val="24"/>
              </w:rPr>
              <w:t>/L</w:t>
            </w:r>
          </w:p>
        </w:tc>
        <w:tc>
          <w:tcPr>
            <w:tcW w:w="4508" w:type="dxa"/>
            <w:tcBorders>
              <w:top w:val="nil"/>
              <w:bottom w:val="single" w:sz="4" w:space="0" w:color="auto"/>
            </w:tcBorders>
          </w:tcPr>
          <w:p w14:paraId="742F9F24" w14:textId="77777777" w:rsidR="007E4E53" w:rsidRPr="00562317" w:rsidRDefault="007E4E53" w:rsidP="00C16F59">
            <w:pPr>
              <w:keepNext/>
              <w:jc w:val="left"/>
              <w:rPr>
                <w:szCs w:val="24"/>
              </w:rPr>
            </w:pPr>
          </w:p>
          <w:p w14:paraId="7E279535" w14:textId="77777777" w:rsidR="007E4E53" w:rsidRPr="00562317" w:rsidRDefault="007E4E53" w:rsidP="00C16F59">
            <w:pPr>
              <w:keepNext/>
              <w:jc w:val="left"/>
              <w:rPr>
                <w:szCs w:val="24"/>
              </w:rPr>
            </w:pPr>
          </w:p>
          <w:p w14:paraId="7BF16290" w14:textId="77777777" w:rsidR="007E4E53" w:rsidRPr="00562317" w:rsidRDefault="007E4E53" w:rsidP="00C16F59">
            <w:pPr>
              <w:keepNext/>
              <w:jc w:val="left"/>
              <w:rPr>
                <w:szCs w:val="24"/>
              </w:rPr>
            </w:pPr>
          </w:p>
          <w:p w14:paraId="500B555F" w14:textId="4F9400D9" w:rsidR="007E4E53" w:rsidRPr="00764FE6" w:rsidRDefault="007E4E53" w:rsidP="00C16F59">
            <w:pPr>
              <w:pStyle w:val="ListParagraph"/>
              <w:keepNext/>
              <w:numPr>
                <w:ilvl w:val="0"/>
                <w:numId w:val="19"/>
              </w:numPr>
              <w:jc w:val="left"/>
              <w:rPr>
                <w:rFonts w:ascii="Times New Roman" w:hAnsi="Times New Roman"/>
                <w:szCs w:val="24"/>
              </w:rPr>
            </w:pPr>
            <w:r w:rsidRPr="00764FE6">
              <w:rPr>
                <w:rFonts w:ascii="Times New Roman" w:hAnsi="Times New Roman"/>
                <w:szCs w:val="24"/>
              </w:rPr>
              <w:t>10 mg twice daily</w:t>
            </w:r>
          </w:p>
          <w:p w14:paraId="52F25C43" w14:textId="5DD70895" w:rsidR="007E4E53" w:rsidRPr="00764FE6" w:rsidRDefault="007E4E53" w:rsidP="00C16F59">
            <w:pPr>
              <w:pStyle w:val="ListParagraph"/>
              <w:keepNext/>
              <w:numPr>
                <w:ilvl w:val="0"/>
                <w:numId w:val="19"/>
              </w:numPr>
              <w:jc w:val="left"/>
              <w:rPr>
                <w:rFonts w:ascii="Times New Roman" w:hAnsi="Times New Roman"/>
                <w:szCs w:val="24"/>
              </w:rPr>
            </w:pPr>
            <w:r w:rsidRPr="00764FE6">
              <w:rPr>
                <w:rFonts w:ascii="Times New Roman" w:hAnsi="Times New Roman"/>
                <w:szCs w:val="24"/>
              </w:rPr>
              <w:t>5 mg once daily</w:t>
            </w:r>
          </w:p>
        </w:tc>
      </w:tr>
      <w:tr w:rsidR="000B4AD0" w:rsidRPr="00562317" w14:paraId="3E842BCD" w14:textId="77777777" w:rsidTr="00764FE6">
        <w:tc>
          <w:tcPr>
            <w:tcW w:w="9016" w:type="dxa"/>
            <w:gridSpan w:val="2"/>
            <w:tcBorders>
              <w:bottom w:val="nil"/>
            </w:tcBorders>
          </w:tcPr>
          <w:p w14:paraId="72519313" w14:textId="708EEB9E" w:rsidR="000B4AD0" w:rsidRPr="00562317" w:rsidRDefault="000B4AD0" w:rsidP="0057563C">
            <w:pPr>
              <w:keepNext/>
              <w:jc w:val="left"/>
              <w:rPr>
                <w:szCs w:val="24"/>
              </w:rPr>
            </w:pPr>
            <w:r w:rsidRPr="00562317">
              <w:rPr>
                <w:b/>
                <w:bCs/>
                <w:szCs w:val="24"/>
              </w:rPr>
              <w:t>PV patients – starting dose</w:t>
            </w:r>
          </w:p>
        </w:tc>
      </w:tr>
      <w:tr w:rsidR="000B4AD0" w:rsidRPr="00562317" w14:paraId="4763DFA8" w14:textId="77777777" w:rsidTr="00764FE6">
        <w:tc>
          <w:tcPr>
            <w:tcW w:w="4508" w:type="dxa"/>
            <w:tcBorders>
              <w:top w:val="nil"/>
              <w:bottom w:val="single" w:sz="4" w:space="0" w:color="auto"/>
            </w:tcBorders>
          </w:tcPr>
          <w:p w14:paraId="0EECB662" w14:textId="42396FB1" w:rsidR="000B4AD0" w:rsidRPr="00562317" w:rsidRDefault="00C16F59" w:rsidP="0057563C">
            <w:pPr>
              <w:keepNext/>
              <w:rPr>
                <w:b/>
                <w:bCs/>
                <w:szCs w:val="24"/>
              </w:rPr>
            </w:pPr>
            <w:r>
              <w:rPr>
                <w:szCs w:val="24"/>
              </w:rPr>
              <w:t>S</w:t>
            </w:r>
            <w:r w:rsidR="007E4E53" w:rsidRPr="00562317">
              <w:rPr>
                <w:szCs w:val="24"/>
              </w:rPr>
              <w:t>trong CYP3A4 inhibitors, or dual moderate inhibitors of CYP2C9 and CYP3A4 enzymes (e.g., fluconazole ≤ 200 mg daily).</w:t>
            </w:r>
          </w:p>
        </w:tc>
        <w:tc>
          <w:tcPr>
            <w:tcW w:w="4508" w:type="dxa"/>
            <w:tcBorders>
              <w:top w:val="nil"/>
              <w:bottom w:val="single" w:sz="4" w:space="0" w:color="auto"/>
            </w:tcBorders>
          </w:tcPr>
          <w:p w14:paraId="7F89C064" w14:textId="77777777" w:rsidR="00764FE6" w:rsidRPr="00562317" w:rsidRDefault="00764FE6" w:rsidP="0057563C">
            <w:pPr>
              <w:keepNext/>
              <w:jc w:val="left"/>
              <w:rPr>
                <w:szCs w:val="24"/>
              </w:rPr>
            </w:pPr>
          </w:p>
          <w:p w14:paraId="2A1D76D0" w14:textId="777C8867" w:rsidR="000B4AD0" w:rsidRPr="00764FE6" w:rsidRDefault="000B4AD0" w:rsidP="0057563C">
            <w:pPr>
              <w:pStyle w:val="ListParagraph"/>
              <w:keepNext/>
              <w:numPr>
                <w:ilvl w:val="0"/>
                <w:numId w:val="21"/>
              </w:numPr>
              <w:ind w:left="318"/>
              <w:jc w:val="left"/>
              <w:rPr>
                <w:rFonts w:ascii="Times New Roman" w:hAnsi="Times New Roman"/>
                <w:szCs w:val="24"/>
              </w:rPr>
            </w:pPr>
            <w:r w:rsidRPr="00764FE6">
              <w:rPr>
                <w:rFonts w:ascii="Times New Roman" w:hAnsi="Times New Roman"/>
                <w:szCs w:val="24"/>
              </w:rPr>
              <w:t>5 mg twice daily</w:t>
            </w:r>
          </w:p>
        </w:tc>
      </w:tr>
      <w:tr w:rsidR="000B4AD0" w:rsidRPr="00562317" w14:paraId="0A5A85DA" w14:textId="77777777" w:rsidTr="00764FE6">
        <w:trPr>
          <w:trHeight w:val="297"/>
        </w:trPr>
        <w:tc>
          <w:tcPr>
            <w:tcW w:w="9016" w:type="dxa"/>
            <w:gridSpan w:val="2"/>
            <w:tcBorders>
              <w:bottom w:val="nil"/>
            </w:tcBorders>
          </w:tcPr>
          <w:p w14:paraId="6E9FFA84" w14:textId="69364EA7" w:rsidR="000B4AD0" w:rsidRPr="00562317" w:rsidRDefault="000B4AD0" w:rsidP="00E463B1">
            <w:pPr>
              <w:rPr>
                <w:szCs w:val="24"/>
              </w:rPr>
            </w:pPr>
            <w:r w:rsidRPr="00562317">
              <w:rPr>
                <w:b/>
                <w:bCs/>
                <w:szCs w:val="24"/>
              </w:rPr>
              <w:t>MF &amp; PV patients on a stable dose</w:t>
            </w:r>
          </w:p>
        </w:tc>
      </w:tr>
      <w:tr w:rsidR="007E4E53" w:rsidRPr="00562317" w14:paraId="4C3CA441" w14:textId="77777777" w:rsidTr="00764FE6">
        <w:trPr>
          <w:trHeight w:val="2856"/>
        </w:trPr>
        <w:tc>
          <w:tcPr>
            <w:tcW w:w="4508" w:type="dxa"/>
            <w:tcBorders>
              <w:top w:val="nil"/>
              <w:bottom w:val="single" w:sz="4" w:space="0" w:color="auto"/>
            </w:tcBorders>
          </w:tcPr>
          <w:p w14:paraId="776590E8" w14:textId="0A1541F3" w:rsidR="007E4E53" w:rsidRPr="00562317" w:rsidRDefault="00C16F59" w:rsidP="00562317">
            <w:pPr>
              <w:ind w:left="98"/>
              <w:rPr>
                <w:b/>
                <w:bCs/>
                <w:szCs w:val="24"/>
              </w:rPr>
            </w:pPr>
            <w:r>
              <w:rPr>
                <w:szCs w:val="24"/>
              </w:rPr>
              <w:t>S</w:t>
            </w:r>
            <w:r w:rsidR="007E4E53" w:rsidRPr="00562317">
              <w:rPr>
                <w:szCs w:val="24"/>
              </w:rPr>
              <w:t>trong CYP3A4 inhibitors, or dual moderate inhibitors of CYP2C9 and CYP3A4 enzymes (e.g., fluconazole ≤ 200 mg daily)</w:t>
            </w:r>
          </w:p>
          <w:p w14:paraId="5B62A7D4" w14:textId="77777777" w:rsidR="007E4E53" w:rsidRPr="00764FE6" w:rsidRDefault="007E4E53" w:rsidP="00E463B1">
            <w:pPr>
              <w:pStyle w:val="ListParagraph"/>
              <w:numPr>
                <w:ilvl w:val="0"/>
                <w:numId w:val="19"/>
              </w:numPr>
              <w:ind w:left="458"/>
              <w:rPr>
                <w:rFonts w:ascii="Times New Roman" w:hAnsi="Times New Roman"/>
                <w:b/>
                <w:bCs/>
                <w:szCs w:val="24"/>
              </w:rPr>
            </w:pPr>
            <w:r w:rsidRPr="00764FE6">
              <w:rPr>
                <w:rFonts w:ascii="Times New Roman" w:hAnsi="Times New Roman"/>
                <w:szCs w:val="24"/>
              </w:rPr>
              <w:t>Greater than or equal to 10 mg twice daily</w:t>
            </w:r>
          </w:p>
          <w:p w14:paraId="72CD4535" w14:textId="77777777" w:rsidR="007E4E53" w:rsidRPr="00764FE6" w:rsidRDefault="007E4E53" w:rsidP="00E463B1">
            <w:pPr>
              <w:pStyle w:val="ListParagraph"/>
              <w:numPr>
                <w:ilvl w:val="0"/>
                <w:numId w:val="19"/>
              </w:numPr>
              <w:ind w:left="458"/>
              <w:rPr>
                <w:rFonts w:ascii="Times New Roman" w:hAnsi="Times New Roman"/>
                <w:szCs w:val="24"/>
              </w:rPr>
            </w:pPr>
            <w:r w:rsidRPr="00764FE6">
              <w:rPr>
                <w:rFonts w:ascii="Times New Roman" w:hAnsi="Times New Roman"/>
                <w:szCs w:val="24"/>
              </w:rPr>
              <w:t>5 mg twice daily</w:t>
            </w:r>
          </w:p>
          <w:p w14:paraId="24993E0F" w14:textId="47E4F040" w:rsidR="007E4E53" w:rsidRPr="00764FE6" w:rsidRDefault="007E4E53" w:rsidP="00E463B1">
            <w:pPr>
              <w:pStyle w:val="ListParagraph"/>
              <w:numPr>
                <w:ilvl w:val="0"/>
                <w:numId w:val="19"/>
              </w:numPr>
              <w:ind w:left="458"/>
              <w:rPr>
                <w:rFonts w:ascii="Times New Roman" w:hAnsi="Times New Roman"/>
                <w:b/>
                <w:bCs/>
                <w:szCs w:val="24"/>
              </w:rPr>
            </w:pPr>
            <w:r w:rsidRPr="00764FE6">
              <w:rPr>
                <w:rFonts w:ascii="Times New Roman" w:hAnsi="Times New Roman"/>
                <w:szCs w:val="24"/>
              </w:rPr>
              <w:t>5 mg once daily</w:t>
            </w:r>
          </w:p>
        </w:tc>
        <w:tc>
          <w:tcPr>
            <w:tcW w:w="4508" w:type="dxa"/>
            <w:tcBorders>
              <w:top w:val="nil"/>
              <w:bottom w:val="single" w:sz="4" w:space="0" w:color="auto"/>
            </w:tcBorders>
          </w:tcPr>
          <w:p w14:paraId="04D0D4A6" w14:textId="77777777" w:rsidR="007E4E53" w:rsidRPr="00E85603" w:rsidRDefault="007E4E53" w:rsidP="000B4AD0">
            <w:pPr>
              <w:jc w:val="center"/>
              <w:rPr>
                <w:szCs w:val="24"/>
              </w:rPr>
            </w:pPr>
          </w:p>
          <w:p w14:paraId="44B3B1A9" w14:textId="77777777" w:rsidR="007E4E53" w:rsidRPr="00562317" w:rsidRDefault="007E4E53" w:rsidP="000B4AD0">
            <w:pPr>
              <w:jc w:val="center"/>
              <w:rPr>
                <w:szCs w:val="24"/>
              </w:rPr>
            </w:pPr>
          </w:p>
          <w:p w14:paraId="498B0251" w14:textId="77777777" w:rsidR="007E4E53" w:rsidRPr="00562317" w:rsidRDefault="007E4E53" w:rsidP="000B4AD0">
            <w:pPr>
              <w:jc w:val="center"/>
              <w:rPr>
                <w:szCs w:val="24"/>
              </w:rPr>
            </w:pPr>
          </w:p>
          <w:p w14:paraId="619F80DE" w14:textId="14A29408" w:rsidR="007E4E53" w:rsidRPr="00764FE6" w:rsidRDefault="007E4E53" w:rsidP="007E4E53">
            <w:pPr>
              <w:pStyle w:val="ListParagraph"/>
              <w:numPr>
                <w:ilvl w:val="0"/>
                <w:numId w:val="19"/>
              </w:numPr>
              <w:jc w:val="left"/>
              <w:rPr>
                <w:rFonts w:ascii="Times New Roman" w:hAnsi="Times New Roman"/>
                <w:szCs w:val="24"/>
              </w:rPr>
            </w:pPr>
            <w:r w:rsidRPr="00562317">
              <w:rPr>
                <w:rFonts w:ascii="Times New Roman" w:hAnsi="Times New Roman"/>
                <w:szCs w:val="24"/>
              </w:rPr>
              <w:t>Decrease dose by 50% (round up to the closest available tablet strength)</w:t>
            </w:r>
          </w:p>
          <w:p w14:paraId="3F1FBEDB" w14:textId="7849DA96" w:rsidR="007E4E53" w:rsidRPr="00562317" w:rsidRDefault="007E4E53" w:rsidP="00562317">
            <w:pPr>
              <w:pStyle w:val="ListParagraph"/>
              <w:numPr>
                <w:ilvl w:val="0"/>
                <w:numId w:val="19"/>
              </w:numPr>
              <w:rPr>
                <w:rFonts w:ascii="Times New Roman" w:hAnsi="Times New Roman"/>
                <w:szCs w:val="24"/>
              </w:rPr>
            </w:pPr>
            <w:r w:rsidRPr="00562317">
              <w:rPr>
                <w:rFonts w:ascii="Times New Roman" w:hAnsi="Times New Roman"/>
                <w:szCs w:val="24"/>
              </w:rPr>
              <w:t>5 mg once daily</w:t>
            </w:r>
          </w:p>
          <w:p w14:paraId="25EE90FB" w14:textId="3FE9BB37" w:rsidR="007E4E53" w:rsidRPr="00562317" w:rsidRDefault="007E4E53" w:rsidP="00562317">
            <w:pPr>
              <w:pStyle w:val="ListParagraph"/>
              <w:numPr>
                <w:ilvl w:val="0"/>
                <w:numId w:val="19"/>
              </w:numPr>
              <w:rPr>
                <w:rFonts w:ascii="Times New Roman" w:hAnsi="Times New Roman"/>
                <w:szCs w:val="24"/>
              </w:rPr>
            </w:pPr>
            <w:r w:rsidRPr="00562317">
              <w:rPr>
                <w:rFonts w:ascii="Times New Roman" w:hAnsi="Times New Roman"/>
                <w:szCs w:val="24"/>
              </w:rPr>
              <w:t xml:space="preserve">Avoid strong CYP3A4 inhibitor or fluconazole treatment, or interrupt </w:t>
            </w:r>
            <w:proofErr w:type="spellStart"/>
            <w:r w:rsidRPr="00562317">
              <w:rPr>
                <w:rFonts w:ascii="Times New Roman" w:hAnsi="Times New Roman"/>
                <w:szCs w:val="24"/>
              </w:rPr>
              <w:t>Jakavi</w:t>
            </w:r>
            <w:proofErr w:type="spellEnd"/>
            <w:r w:rsidRPr="00562317">
              <w:rPr>
                <w:rFonts w:ascii="Times New Roman" w:hAnsi="Times New Roman"/>
                <w:szCs w:val="24"/>
              </w:rPr>
              <w:t xml:space="preserve"> treatment for the duration of strong CYP3A4 inhibitor or fluconazole use</w:t>
            </w:r>
          </w:p>
        </w:tc>
      </w:tr>
      <w:tr w:rsidR="007E554C" w:rsidRPr="00562317" w14:paraId="523BB4E8" w14:textId="77777777" w:rsidTr="00764FE6">
        <w:tc>
          <w:tcPr>
            <w:tcW w:w="9016" w:type="dxa"/>
            <w:gridSpan w:val="2"/>
            <w:tcBorders>
              <w:bottom w:val="nil"/>
            </w:tcBorders>
          </w:tcPr>
          <w:p w14:paraId="10597073" w14:textId="00D56D75" w:rsidR="007E554C" w:rsidRPr="00562317" w:rsidRDefault="007E554C" w:rsidP="00E463B1">
            <w:pPr>
              <w:rPr>
                <w:szCs w:val="24"/>
              </w:rPr>
            </w:pPr>
            <w:r w:rsidRPr="00562317">
              <w:rPr>
                <w:b/>
                <w:bCs/>
                <w:szCs w:val="24"/>
              </w:rPr>
              <w:t xml:space="preserve">Acute GvHD </w:t>
            </w:r>
          </w:p>
        </w:tc>
      </w:tr>
      <w:tr w:rsidR="00764FE6" w:rsidRPr="00562317" w14:paraId="2217AC75" w14:textId="77777777" w:rsidTr="00764FE6">
        <w:trPr>
          <w:trHeight w:val="1416"/>
        </w:trPr>
        <w:tc>
          <w:tcPr>
            <w:tcW w:w="4508" w:type="dxa"/>
            <w:tcBorders>
              <w:top w:val="nil"/>
            </w:tcBorders>
          </w:tcPr>
          <w:p w14:paraId="15D74C70" w14:textId="605E36E5" w:rsidR="00764FE6" w:rsidRPr="00562317" w:rsidRDefault="00C16F59" w:rsidP="00562317">
            <w:pPr>
              <w:ind w:left="98"/>
              <w:rPr>
                <w:b/>
                <w:bCs/>
                <w:szCs w:val="24"/>
              </w:rPr>
            </w:pPr>
            <w:r>
              <w:rPr>
                <w:szCs w:val="24"/>
              </w:rPr>
              <w:t>D</w:t>
            </w:r>
            <w:r w:rsidR="00764FE6" w:rsidRPr="00562317">
              <w:rPr>
                <w:szCs w:val="24"/>
              </w:rPr>
              <w:t>ual moderate inhibitors of CYP2C9 and CYP3A4 enzymes (e.g., fluconazole ≤ 200 mg daily)</w:t>
            </w:r>
          </w:p>
          <w:p w14:paraId="11F19E04" w14:textId="77777777" w:rsidR="00764FE6" w:rsidRPr="00764FE6" w:rsidRDefault="00764FE6" w:rsidP="006614AB">
            <w:pPr>
              <w:pStyle w:val="ListParagraph"/>
              <w:numPr>
                <w:ilvl w:val="0"/>
                <w:numId w:val="19"/>
              </w:numPr>
              <w:ind w:left="458"/>
              <w:rPr>
                <w:rFonts w:ascii="Times New Roman" w:hAnsi="Times New Roman"/>
                <w:b/>
                <w:bCs/>
                <w:szCs w:val="24"/>
              </w:rPr>
            </w:pPr>
            <w:r w:rsidRPr="00764FE6">
              <w:rPr>
                <w:rFonts w:ascii="Times New Roman" w:hAnsi="Times New Roman"/>
                <w:szCs w:val="24"/>
              </w:rPr>
              <w:t>Starting dose 5 mg twice daily</w:t>
            </w:r>
          </w:p>
          <w:p w14:paraId="784FE00A" w14:textId="7D47CD3A" w:rsidR="00764FE6" w:rsidRPr="00764FE6" w:rsidRDefault="00764FE6" w:rsidP="006614AB">
            <w:pPr>
              <w:pStyle w:val="ListParagraph"/>
              <w:numPr>
                <w:ilvl w:val="0"/>
                <w:numId w:val="19"/>
              </w:numPr>
              <w:ind w:left="458"/>
              <w:rPr>
                <w:rFonts w:ascii="Times New Roman" w:hAnsi="Times New Roman"/>
                <w:b/>
                <w:bCs/>
                <w:szCs w:val="24"/>
              </w:rPr>
            </w:pPr>
            <w:r w:rsidRPr="00562317">
              <w:rPr>
                <w:rFonts w:ascii="Times New Roman" w:hAnsi="Times New Roman"/>
                <w:szCs w:val="24"/>
              </w:rPr>
              <w:t>Starting dose in 10 mg twice daily</w:t>
            </w:r>
          </w:p>
        </w:tc>
        <w:tc>
          <w:tcPr>
            <w:tcW w:w="4508" w:type="dxa"/>
            <w:tcBorders>
              <w:top w:val="nil"/>
            </w:tcBorders>
          </w:tcPr>
          <w:p w14:paraId="53696FC7" w14:textId="77777777" w:rsidR="00764FE6" w:rsidRPr="00764FE6" w:rsidRDefault="00764FE6" w:rsidP="00562317">
            <w:pPr>
              <w:jc w:val="left"/>
              <w:rPr>
                <w:szCs w:val="24"/>
              </w:rPr>
            </w:pPr>
          </w:p>
          <w:p w14:paraId="773411BC" w14:textId="77777777" w:rsidR="00764FE6" w:rsidRPr="00764FE6" w:rsidRDefault="00764FE6" w:rsidP="00562317">
            <w:pPr>
              <w:jc w:val="left"/>
              <w:rPr>
                <w:szCs w:val="24"/>
              </w:rPr>
            </w:pPr>
          </w:p>
          <w:p w14:paraId="4925E20C" w14:textId="77777777" w:rsidR="00764FE6" w:rsidRPr="00764FE6" w:rsidRDefault="00764FE6" w:rsidP="00562317">
            <w:pPr>
              <w:jc w:val="left"/>
              <w:rPr>
                <w:szCs w:val="24"/>
              </w:rPr>
            </w:pPr>
          </w:p>
          <w:p w14:paraId="2B91B4FE" w14:textId="23993F80" w:rsidR="00764FE6" w:rsidRPr="00764FE6" w:rsidRDefault="00764FE6" w:rsidP="00562317">
            <w:pPr>
              <w:pStyle w:val="ListParagraph"/>
              <w:numPr>
                <w:ilvl w:val="0"/>
                <w:numId w:val="22"/>
              </w:numPr>
              <w:ind w:left="318"/>
              <w:jc w:val="left"/>
              <w:rPr>
                <w:rFonts w:ascii="Times New Roman" w:hAnsi="Times New Roman"/>
                <w:szCs w:val="24"/>
              </w:rPr>
            </w:pPr>
            <w:r w:rsidRPr="00562317">
              <w:rPr>
                <w:rFonts w:ascii="Times New Roman" w:hAnsi="Times New Roman"/>
                <w:szCs w:val="24"/>
              </w:rPr>
              <w:t>5 mg once daily</w:t>
            </w:r>
          </w:p>
          <w:p w14:paraId="2B52C9E2" w14:textId="0FD93F94" w:rsidR="00764FE6" w:rsidRPr="00562317" w:rsidRDefault="00764FE6" w:rsidP="00562317">
            <w:pPr>
              <w:pStyle w:val="ListParagraph"/>
              <w:numPr>
                <w:ilvl w:val="0"/>
                <w:numId w:val="22"/>
              </w:numPr>
              <w:ind w:left="318"/>
              <w:jc w:val="left"/>
              <w:rPr>
                <w:rFonts w:ascii="Times New Roman" w:hAnsi="Times New Roman"/>
                <w:szCs w:val="24"/>
              </w:rPr>
            </w:pPr>
            <w:r w:rsidRPr="00562317">
              <w:rPr>
                <w:rFonts w:ascii="Times New Roman" w:hAnsi="Times New Roman"/>
                <w:szCs w:val="24"/>
              </w:rPr>
              <w:t>5 mg twice daily</w:t>
            </w:r>
          </w:p>
        </w:tc>
      </w:tr>
      <w:tr w:rsidR="007E554C" w:rsidRPr="00562317" w14:paraId="26411E66" w14:textId="77777777" w:rsidTr="00721B98">
        <w:tc>
          <w:tcPr>
            <w:tcW w:w="9016" w:type="dxa"/>
            <w:gridSpan w:val="2"/>
          </w:tcPr>
          <w:p w14:paraId="46FB0023" w14:textId="03297EC4" w:rsidR="007E554C" w:rsidRPr="00562317" w:rsidRDefault="007E554C" w:rsidP="00764FE6">
            <w:pPr>
              <w:rPr>
                <w:szCs w:val="24"/>
              </w:rPr>
            </w:pPr>
            <w:r w:rsidRPr="00562317">
              <w:rPr>
                <w:b/>
                <w:bCs/>
                <w:szCs w:val="24"/>
              </w:rPr>
              <w:lastRenderedPageBreak/>
              <w:t>Chronic GvHD</w:t>
            </w:r>
          </w:p>
        </w:tc>
      </w:tr>
      <w:tr w:rsidR="006614AB" w:rsidRPr="00562317" w14:paraId="63545B2B" w14:textId="77777777" w:rsidTr="00562317">
        <w:tc>
          <w:tcPr>
            <w:tcW w:w="4508" w:type="dxa"/>
          </w:tcPr>
          <w:p w14:paraId="56EC1630" w14:textId="02934E18" w:rsidR="006614AB" w:rsidRPr="00562317" w:rsidRDefault="00C16F59" w:rsidP="00D67A62">
            <w:pPr>
              <w:rPr>
                <w:szCs w:val="24"/>
              </w:rPr>
            </w:pPr>
            <w:r>
              <w:rPr>
                <w:szCs w:val="24"/>
              </w:rPr>
              <w:t>D</w:t>
            </w:r>
            <w:r w:rsidR="00764FE6" w:rsidRPr="00562317">
              <w:rPr>
                <w:szCs w:val="24"/>
              </w:rPr>
              <w:t>ual moderate inhibitors of CYP2C9 and CYP3A4 enzymes (e.g., fluconazole ≤ 200 mg daily)</w:t>
            </w:r>
          </w:p>
        </w:tc>
        <w:tc>
          <w:tcPr>
            <w:tcW w:w="4508" w:type="dxa"/>
          </w:tcPr>
          <w:p w14:paraId="312AA1C0" w14:textId="77777777" w:rsidR="00764FE6" w:rsidRPr="00562317" w:rsidRDefault="00764FE6" w:rsidP="00562317">
            <w:pPr>
              <w:ind w:left="-42"/>
              <w:jc w:val="left"/>
              <w:rPr>
                <w:szCs w:val="24"/>
              </w:rPr>
            </w:pPr>
          </w:p>
          <w:p w14:paraId="3A1C1B69" w14:textId="05D400AD" w:rsidR="006614AB" w:rsidRPr="00562317" w:rsidRDefault="007E554C" w:rsidP="00562317">
            <w:pPr>
              <w:pStyle w:val="ListParagraph"/>
              <w:numPr>
                <w:ilvl w:val="0"/>
                <w:numId w:val="23"/>
              </w:numPr>
              <w:ind w:left="318"/>
              <w:jc w:val="left"/>
              <w:rPr>
                <w:rFonts w:ascii="Times New Roman" w:hAnsi="Times New Roman"/>
                <w:szCs w:val="24"/>
              </w:rPr>
            </w:pPr>
            <w:r w:rsidRPr="00562317">
              <w:rPr>
                <w:rFonts w:ascii="Times New Roman" w:hAnsi="Times New Roman"/>
                <w:szCs w:val="24"/>
              </w:rPr>
              <w:t>5 mg twice daily</w:t>
            </w:r>
          </w:p>
        </w:tc>
      </w:tr>
    </w:tbl>
    <w:p w14:paraId="35997604" w14:textId="77777777" w:rsidR="00112054" w:rsidRPr="00DE6BF0" w:rsidRDefault="00112054" w:rsidP="00112054">
      <w:pPr>
        <w:pStyle w:val="Heading3"/>
      </w:pPr>
      <w:r w:rsidRPr="00DE6BF0">
        <w:t>Patients with Renal Impairment</w:t>
      </w:r>
    </w:p>
    <w:p w14:paraId="5B514BAC" w14:textId="30365F01" w:rsidR="00112054" w:rsidRPr="00DE6BF0" w:rsidRDefault="00112054" w:rsidP="00112054">
      <w:r w:rsidRPr="00DE6BF0">
        <w:t xml:space="preserve">In patients with </w:t>
      </w:r>
      <w:r>
        <w:t xml:space="preserve">moderate to </w:t>
      </w:r>
      <w:r w:rsidRPr="00DE6BF0">
        <w:t>severe renal impairment (creatinine clearance (</w:t>
      </w:r>
      <w:proofErr w:type="spellStart"/>
      <w:r w:rsidRPr="00DE6BF0">
        <w:t>Clcr</w:t>
      </w:r>
      <w:proofErr w:type="spellEnd"/>
      <w:r w:rsidRPr="00DE6BF0">
        <w:t xml:space="preserve">) less than </w:t>
      </w:r>
      <w:r>
        <w:t>6</w:t>
      </w:r>
      <w:r w:rsidRPr="00DE6BF0">
        <w:t xml:space="preserve">0mL/min) the recommended starting dose based on platelet count </w:t>
      </w:r>
      <w:r>
        <w:t xml:space="preserve">for MF patients (myelofibrosis) </w:t>
      </w:r>
      <w:r w:rsidRPr="00DE6BF0">
        <w:t>should be reduced by approximately 50</w:t>
      </w:r>
      <w:r w:rsidRPr="00A03E84">
        <w:t>%. The recommended starting dose for PV patients with severe renal impairment is 5 mg twice daily.</w:t>
      </w:r>
      <w:r w:rsidRPr="00A0130B">
        <w:t xml:space="preserve"> </w:t>
      </w:r>
      <w:r w:rsidRPr="00DE6BF0">
        <w:t xml:space="preserve">Patients diagnosed with </w:t>
      </w:r>
      <w:r>
        <w:t xml:space="preserve">moderate to </w:t>
      </w:r>
      <w:r w:rsidRPr="00DE6BF0">
        <w:t xml:space="preserve">severe renal impairment while receiving </w:t>
      </w:r>
      <w:proofErr w:type="spellStart"/>
      <w:r w:rsidRPr="00DE6BF0">
        <w:t>Jakavi</w:t>
      </w:r>
      <w:proofErr w:type="spellEnd"/>
      <w:r w:rsidRPr="00DE6BF0">
        <w:t xml:space="preserve"> should be carefully monitored and may need to have their doses reduced to avoid adverse drug reactions.</w:t>
      </w:r>
    </w:p>
    <w:p w14:paraId="5CF2B429" w14:textId="77777777" w:rsidR="00E65453" w:rsidRDefault="00112054" w:rsidP="00112054">
      <w:r w:rsidRPr="00DE6BF0">
        <w:t xml:space="preserve">There are limited data to determine the best dosing options for patients with end-stage renal disease </w:t>
      </w:r>
      <w:r>
        <w:t xml:space="preserve">(ESRD) </w:t>
      </w:r>
      <w:r w:rsidRPr="00DE6BF0">
        <w:t xml:space="preserve">on dialysis. </w:t>
      </w:r>
    </w:p>
    <w:p w14:paraId="312BA04C" w14:textId="77777777" w:rsidR="00E65453" w:rsidRDefault="00112054" w:rsidP="00112054">
      <w:r w:rsidRPr="00DE6BF0">
        <w:t xml:space="preserve">Available data in this population suggest that </w:t>
      </w:r>
      <w:r>
        <w:t xml:space="preserve">MF </w:t>
      </w:r>
      <w:r w:rsidRPr="00DE6BF0">
        <w:t xml:space="preserve">patients on dialysis should be started on an initial single dose of 15 mg or 20 mg </w:t>
      </w:r>
      <w:r>
        <w:t xml:space="preserve">(or two doses of 10mg given 12 hours apart) </w:t>
      </w:r>
      <w:r w:rsidRPr="00DE6BF0">
        <w:t>based on platelet counts with subsequent single doses only after each dialysis session, and with careful monitoring of safety and efficacy</w:t>
      </w:r>
      <w:r>
        <w:t xml:space="preserve">. </w:t>
      </w:r>
    </w:p>
    <w:p w14:paraId="67264161" w14:textId="30E78860" w:rsidR="00112054" w:rsidRDefault="00112054" w:rsidP="00112054">
      <w:pPr>
        <w:rPr>
          <w:color w:val="000000"/>
        </w:rPr>
      </w:pPr>
      <w:r w:rsidRPr="00A03E84">
        <w:t xml:space="preserve">The recommended starting dose for </w:t>
      </w:r>
      <w:proofErr w:type="gramStart"/>
      <w:r w:rsidRPr="00A03E84">
        <w:t xml:space="preserve">PV </w:t>
      </w:r>
      <w:r w:rsidR="00E65453">
        <w:t xml:space="preserve"> </w:t>
      </w:r>
      <w:r w:rsidRPr="00A03E84">
        <w:t>patients</w:t>
      </w:r>
      <w:proofErr w:type="gramEnd"/>
      <w:r w:rsidRPr="00A03E84">
        <w:t xml:space="preserve"> with ESRD on h</w:t>
      </w:r>
      <w:r w:rsidR="009238D1">
        <w:t>a</w:t>
      </w:r>
      <w:r w:rsidRPr="00A03E84">
        <w:t>emodialysis is a single dose of 10 mg or two doses of 5 mg given 12 hours apart, to be administered post-dialysis and only on the day of haemodialysis and with careful monitoring of safety and efficacy</w:t>
      </w:r>
      <w:r w:rsidRPr="00DE6BF0">
        <w:t xml:space="preserve"> (see </w:t>
      </w:r>
      <w:r w:rsidR="00E65453">
        <w:t xml:space="preserve">section 5.2 </w:t>
      </w:r>
      <w:r w:rsidRPr="00DE6BF0">
        <w:t>Pharmaco</w:t>
      </w:r>
      <w:r w:rsidR="00E65453">
        <w:t>kinetic Properties</w:t>
      </w:r>
      <w:r w:rsidRPr="00DE6BF0">
        <w:t>).</w:t>
      </w:r>
      <w:r>
        <w:t xml:space="preserve"> </w:t>
      </w:r>
      <w:r w:rsidRPr="00C80335">
        <w:rPr>
          <w:color w:val="000000"/>
        </w:rPr>
        <w:t xml:space="preserve">There are no data for patients undergoing peritoneal dialysis or continuous </w:t>
      </w:r>
      <w:proofErr w:type="spellStart"/>
      <w:r w:rsidRPr="00C80335">
        <w:rPr>
          <w:color w:val="000000"/>
        </w:rPr>
        <w:t>venovenous</w:t>
      </w:r>
      <w:proofErr w:type="spellEnd"/>
      <w:r w:rsidRPr="00C80335">
        <w:rPr>
          <w:color w:val="000000"/>
        </w:rPr>
        <w:t xml:space="preserve"> </w:t>
      </w:r>
      <w:proofErr w:type="spellStart"/>
      <w:r w:rsidRPr="00C80335">
        <w:rPr>
          <w:color w:val="000000"/>
        </w:rPr>
        <w:t>haemofiltration</w:t>
      </w:r>
      <w:proofErr w:type="spellEnd"/>
      <w:r w:rsidRPr="00C80335">
        <w:rPr>
          <w:color w:val="000000"/>
        </w:rPr>
        <w:t>.</w:t>
      </w:r>
      <w:r>
        <w:t xml:space="preserve"> </w:t>
      </w:r>
      <w:proofErr w:type="spellStart"/>
      <w:r w:rsidRPr="006A091B">
        <w:rPr>
          <w:color w:val="000000"/>
        </w:rPr>
        <w:t>Jakavi</w:t>
      </w:r>
      <w:proofErr w:type="spellEnd"/>
      <w:r w:rsidRPr="006A091B">
        <w:rPr>
          <w:color w:val="000000"/>
        </w:rPr>
        <w:t xml:space="preserve"> should be avoided in patients with end stage renal disease (</w:t>
      </w:r>
      <w:proofErr w:type="spellStart"/>
      <w:r w:rsidRPr="006A091B">
        <w:rPr>
          <w:color w:val="000000"/>
        </w:rPr>
        <w:t>CrCl</w:t>
      </w:r>
      <w:proofErr w:type="spellEnd"/>
      <w:r w:rsidRPr="006A091B">
        <w:rPr>
          <w:color w:val="000000"/>
        </w:rPr>
        <w:t xml:space="preserve"> less than 15 mL/min) not </w:t>
      </w:r>
      <w:r>
        <w:rPr>
          <w:color w:val="000000"/>
        </w:rPr>
        <w:t>undergoing</w:t>
      </w:r>
      <w:r w:rsidRPr="006A091B">
        <w:rPr>
          <w:color w:val="000000"/>
        </w:rPr>
        <w:t xml:space="preserve"> dialysis and in patients with </w:t>
      </w:r>
      <w:r>
        <w:rPr>
          <w:color w:val="000000"/>
        </w:rPr>
        <w:t xml:space="preserve">moderate to </w:t>
      </w:r>
      <w:r w:rsidRPr="006A091B">
        <w:rPr>
          <w:color w:val="000000"/>
        </w:rPr>
        <w:t>severe renal impairment with platelet counts less than 100 X 10</w:t>
      </w:r>
      <w:r w:rsidRPr="00112054">
        <w:rPr>
          <w:color w:val="000000"/>
          <w:vertAlign w:val="superscript"/>
        </w:rPr>
        <w:t>9</w:t>
      </w:r>
      <w:r w:rsidRPr="006A091B">
        <w:rPr>
          <w:color w:val="000000"/>
        </w:rPr>
        <w:t>/L.</w:t>
      </w:r>
    </w:p>
    <w:p w14:paraId="27514E26" w14:textId="765920BA" w:rsidR="007A2C21" w:rsidRPr="007A2C21" w:rsidRDefault="007A2C21" w:rsidP="00112054">
      <w:pPr>
        <w:rPr>
          <w:b/>
        </w:rPr>
      </w:pPr>
      <w:r w:rsidRPr="007A2C21">
        <w:rPr>
          <w:b/>
        </w:rPr>
        <w:t>GvHD</w:t>
      </w:r>
      <w:r>
        <w:rPr>
          <w:b/>
        </w:rPr>
        <w:t>:</w:t>
      </w:r>
      <w:r w:rsidRPr="007A2C21">
        <w:rPr>
          <w:b/>
        </w:rPr>
        <w:t xml:space="preserve"> </w:t>
      </w:r>
      <w:r>
        <w:rPr>
          <w:b/>
        </w:rPr>
        <w:t>D</w:t>
      </w:r>
      <w:r w:rsidRPr="007A2C21">
        <w:rPr>
          <w:b/>
        </w:rPr>
        <w:t>ose modifications for patients with renal impairment</w:t>
      </w:r>
    </w:p>
    <w:tbl>
      <w:tblPr>
        <w:tblStyle w:val="TableGrid"/>
        <w:tblW w:w="9085" w:type="dxa"/>
        <w:tblInd w:w="-5" w:type="dxa"/>
        <w:tblLook w:val="04A0" w:firstRow="1" w:lastRow="0" w:firstColumn="1" w:lastColumn="0" w:noHBand="0" w:noVBand="1"/>
      </w:tblPr>
      <w:tblGrid>
        <w:gridCol w:w="4765"/>
        <w:gridCol w:w="4320"/>
      </w:tblGrid>
      <w:tr w:rsidR="007A2C21" w14:paraId="12A317D4" w14:textId="77777777" w:rsidTr="007F34A5">
        <w:tc>
          <w:tcPr>
            <w:tcW w:w="4765" w:type="dxa"/>
          </w:tcPr>
          <w:p w14:paraId="1C73725F" w14:textId="7F0B594D" w:rsidR="007A2C21" w:rsidRDefault="007A2C21" w:rsidP="009E01A7">
            <w:pPr>
              <w:rPr>
                <w:b/>
              </w:rPr>
            </w:pPr>
            <w:r>
              <w:rPr>
                <w:b/>
              </w:rPr>
              <w:t>Renal Impairment Status</w:t>
            </w:r>
          </w:p>
        </w:tc>
        <w:tc>
          <w:tcPr>
            <w:tcW w:w="4320" w:type="dxa"/>
          </w:tcPr>
          <w:p w14:paraId="13F755CB" w14:textId="77777777" w:rsidR="007A2C21" w:rsidRDefault="007A2C21" w:rsidP="009E01A7">
            <w:pPr>
              <w:rPr>
                <w:b/>
              </w:rPr>
            </w:pPr>
            <w:r>
              <w:rPr>
                <w:b/>
              </w:rPr>
              <w:t>Recommended starting dose</w:t>
            </w:r>
          </w:p>
        </w:tc>
      </w:tr>
      <w:tr w:rsidR="007A2C21" w14:paraId="07FF5975" w14:textId="77777777" w:rsidTr="007F34A5">
        <w:tc>
          <w:tcPr>
            <w:tcW w:w="4765" w:type="dxa"/>
          </w:tcPr>
          <w:p w14:paraId="756A7495" w14:textId="77777777" w:rsidR="007A2C21" w:rsidRPr="008165AD" w:rsidRDefault="007A2C21" w:rsidP="009E01A7">
            <w:r w:rsidRPr="008165AD">
              <w:t>Severe</w:t>
            </w:r>
          </w:p>
        </w:tc>
        <w:tc>
          <w:tcPr>
            <w:tcW w:w="4320" w:type="dxa"/>
          </w:tcPr>
          <w:p w14:paraId="10076D78" w14:textId="77777777" w:rsidR="007A2C21" w:rsidRPr="008165AD" w:rsidRDefault="007A2C21" w:rsidP="009E01A7">
            <w:r w:rsidRPr="008165AD">
              <w:t>5 mg BID</w:t>
            </w:r>
          </w:p>
        </w:tc>
      </w:tr>
      <w:tr w:rsidR="007A2C21" w14:paraId="2A7662FF" w14:textId="77777777" w:rsidTr="007F34A5">
        <w:tc>
          <w:tcPr>
            <w:tcW w:w="4765" w:type="dxa"/>
          </w:tcPr>
          <w:p w14:paraId="6A178E34" w14:textId="77777777" w:rsidR="007A2C21" w:rsidRPr="008165AD" w:rsidRDefault="007A2C21" w:rsidP="009E01A7">
            <w:r w:rsidRPr="008165AD">
              <w:t>ESRD on dialysis</w:t>
            </w:r>
          </w:p>
        </w:tc>
        <w:tc>
          <w:tcPr>
            <w:tcW w:w="4320" w:type="dxa"/>
          </w:tcPr>
          <w:p w14:paraId="24B763A4" w14:textId="77777777" w:rsidR="007A2C21" w:rsidRPr="008165AD" w:rsidRDefault="007A2C21" w:rsidP="009E01A7">
            <w:r w:rsidRPr="008165AD">
              <w:t>10 mg once after dialysis</w:t>
            </w:r>
          </w:p>
        </w:tc>
      </w:tr>
    </w:tbl>
    <w:p w14:paraId="4791C293" w14:textId="77777777" w:rsidR="007A2C21" w:rsidRPr="006A091B" w:rsidRDefault="007A2C21" w:rsidP="00112054"/>
    <w:p w14:paraId="791D9038" w14:textId="77777777" w:rsidR="00112054" w:rsidRPr="00DE6BF0" w:rsidRDefault="00112054" w:rsidP="00112054">
      <w:pPr>
        <w:pStyle w:val="Heading3"/>
      </w:pPr>
      <w:r w:rsidRPr="00DE6BF0">
        <w:t>Patients with Hepatic Impairment</w:t>
      </w:r>
    </w:p>
    <w:p w14:paraId="7E32A3C2" w14:textId="65C8BAEF" w:rsidR="00112054" w:rsidRDefault="00112054" w:rsidP="00112054">
      <w:r w:rsidRPr="00DE6BF0">
        <w:t xml:space="preserve">In </w:t>
      </w:r>
      <w:r w:rsidR="00A12CDD">
        <w:t xml:space="preserve">MF </w:t>
      </w:r>
      <w:r w:rsidRPr="00DE6BF0">
        <w:t xml:space="preserve">patients with any hepatic impairment the recommended starting dose based on platelet count should be reduced by approximately 50%. </w:t>
      </w:r>
      <w:r w:rsidR="00A12CDD">
        <w:t>The recommended starting dose is 5 mg twice daily for PV patients</w:t>
      </w:r>
      <w:r w:rsidR="00346628">
        <w:t>.</w:t>
      </w:r>
      <w:r w:rsidR="00A12CDD">
        <w:rPr>
          <w:color w:val="0000FF"/>
        </w:rPr>
        <w:t xml:space="preserve"> </w:t>
      </w:r>
      <w:r w:rsidRPr="00DE6BF0">
        <w:t xml:space="preserve">Patients diagnosed with hepatic impairment while receiving </w:t>
      </w:r>
      <w:proofErr w:type="spellStart"/>
      <w:r w:rsidRPr="00DE6BF0">
        <w:t>Jakavi</w:t>
      </w:r>
      <w:proofErr w:type="spellEnd"/>
      <w:r w:rsidRPr="00DE6BF0">
        <w:t xml:space="preserve"> should be carefully monitored and may need to have their dose reduced to avoid adverse drug reactions.</w:t>
      </w:r>
    </w:p>
    <w:p w14:paraId="77C14D92" w14:textId="3E3DA0E3" w:rsidR="00112054" w:rsidRDefault="00112054" w:rsidP="00112054">
      <w:pPr>
        <w:rPr>
          <w:color w:val="000000"/>
        </w:rPr>
      </w:pPr>
      <w:proofErr w:type="spellStart"/>
      <w:r w:rsidRPr="009E2E43">
        <w:rPr>
          <w:color w:val="000000"/>
        </w:rPr>
        <w:lastRenderedPageBreak/>
        <w:t>Jakavi</w:t>
      </w:r>
      <w:proofErr w:type="spellEnd"/>
      <w:r w:rsidRPr="009E2E43">
        <w:rPr>
          <w:color w:val="000000"/>
        </w:rPr>
        <w:t xml:space="preserve"> should be avoided in patients with hepatic impairment with platelet counts less than 100 X 10</w:t>
      </w:r>
      <w:r w:rsidRPr="00112054">
        <w:rPr>
          <w:color w:val="000000"/>
          <w:vertAlign w:val="superscript"/>
        </w:rPr>
        <w:t>9</w:t>
      </w:r>
      <w:r w:rsidRPr="009E2E43">
        <w:rPr>
          <w:color w:val="000000"/>
        </w:rPr>
        <w:t>/L.</w:t>
      </w:r>
    </w:p>
    <w:p w14:paraId="36D17ED7" w14:textId="5044BEB5" w:rsidR="007A2C21" w:rsidRDefault="007A2C21" w:rsidP="007A2C21">
      <w:pPr>
        <w:rPr>
          <w:b/>
        </w:rPr>
      </w:pPr>
      <w:r w:rsidRPr="007A2C21">
        <w:rPr>
          <w:b/>
        </w:rPr>
        <w:t>GvHD</w:t>
      </w:r>
      <w:r>
        <w:rPr>
          <w:b/>
        </w:rPr>
        <w:t>:</w:t>
      </w:r>
      <w:r w:rsidRPr="007A2C21">
        <w:rPr>
          <w:b/>
        </w:rPr>
        <w:t xml:space="preserve"> </w:t>
      </w:r>
      <w:r>
        <w:rPr>
          <w:b/>
        </w:rPr>
        <w:t>D</w:t>
      </w:r>
      <w:r w:rsidRPr="007A2C21">
        <w:rPr>
          <w:b/>
        </w:rPr>
        <w:t xml:space="preserve">ose modifications for patients with </w:t>
      </w:r>
      <w:r>
        <w:rPr>
          <w:b/>
        </w:rPr>
        <w:t>hepatic</w:t>
      </w:r>
      <w:r w:rsidRPr="007A2C21">
        <w:rPr>
          <w:b/>
        </w:rPr>
        <w:t xml:space="preserve"> impairment</w:t>
      </w:r>
    </w:p>
    <w:tbl>
      <w:tblPr>
        <w:tblStyle w:val="TableGrid"/>
        <w:tblW w:w="9085" w:type="dxa"/>
        <w:tblInd w:w="-5" w:type="dxa"/>
        <w:tblLook w:val="04A0" w:firstRow="1" w:lastRow="0" w:firstColumn="1" w:lastColumn="0" w:noHBand="0" w:noVBand="1"/>
      </w:tblPr>
      <w:tblGrid>
        <w:gridCol w:w="4765"/>
        <w:gridCol w:w="4320"/>
      </w:tblGrid>
      <w:tr w:rsidR="007A2C21" w14:paraId="739568FE" w14:textId="77777777" w:rsidTr="007F34A5">
        <w:tc>
          <w:tcPr>
            <w:tcW w:w="4765" w:type="dxa"/>
          </w:tcPr>
          <w:p w14:paraId="1CF41370" w14:textId="77777777" w:rsidR="007A2C21" w:rsidRDefault="007A2C21" w:rsidP="009E01A7">
            <w:pPr>
              <w:rPr>
                <w:b/>
              </w:rPr>
            </w:pPr>
            <w:r>
              <w:rPr>
                <w:b/>
              </w:rPr>
              <w:t>Hepatic Impairment Status</w:t>
            </w:r>
          </w:p>
        </w:tc>
        <w:tc>
          <w:tcPr>
            <w:tcW w:w="4320" w:type="dxa"/>
          </w:tcPr>
          <w:p w14:paraId="5A9A7C0A" w14:textId="77777777" w:rsidR="007A2C21" w:rsidRDefault="007A2C21" w:rsidP="009E01A7">
            <w:pPr>
              <w:rPr>
                <w:b/>
              </w:rPr>
            </w:pPr>
            <w:r>
              <w:rPr>
                <w:b/>
              </w:rPr>
              <w:t>Recommended starting dose</w:t>
            </w:r>
          </w:p>
        </w:tc>
      </w:tr>
      <w:tr w:rsidR="6D45BA9D" w14:paraId="4B3FAA3A" w14:textId="77777777" w:rsidTr="007F34A5">
        <w:tc>
          <w:tcPr>
            <w:tcW w:w="4765" w:type="dxa"/>
          </w:tcPr>
          <w:p w14:paraId="07DB1FD9" w14:textId="0D6262C2" w:rsidR="0F6F0584" w:rsidRDefault="0F6F0584">
            <w:r>
              <w:t>Mild, moderate, or severe based on Child-Pugh, including liver GvHD</w:t>
            </w:r>
          </w:p>
        </w:tc>
        <w:tc>
          <w:tcPr>
            <w:tcW w:w="4320" w:type="dxa"/>
          </w:tcPr>
          <w:p w14:paraId="1D2806FC" w14:textId="485A72CB" w:rsidR="0F6F0584" w:rsidRPr="0007081D" w:rsidRDefault="0F6F0584" w:rsidP="6D45BA9D">
            <w:pPr>
              <w:rPr>
                <w:rFonts w:eastAsia="Calibri"/>
                <w:szCs w:val="24"/>
              </w:rPr>
            </w:pPr>
            <w:r w:rsidRPr="0007081D">
              <w:rPr>
                <w:rFonts w:eastAsia="Calibri"/>
                <w:szCs w:val="24"/>
              </w:rPr>
              <w:t>No dose modification</w:t>
            </w:r>
          </w:p>
        </w:tc>
      </w:tr>
      <w:tr w:rsidR="007A2C21" w14:paraId="14805AD5" w14:textId="77777777" w:rsidTr="007F34A5">
        <w:tc>
          <w:tcPr>
            <w:tcW w:w="4765" w:type="dxa"/>
          </w:tcPr>
          <w:p w14:paraId="391F585D" w14:textId="77777777" w:rsidR="007A2C21" w:rsidRPr="008165AD" w:rsidRDefault="007A2C21" w:rsidP="009E01A7">
            <w:r>
              <w:t>Mild, moderate, or severe based on Child-Pugh without liver involvement</w:t>
            </w:r>
          </w:p>
        </w:tc>
        <w:tc>
          <w:tcPr>
            <w:tcW w:w="4320" w:type="dxa"/>
          </w:tcPr>
          <w:p w14:paraId="028DC9B8" w14:textId="77777777" w:rsidR="007A2C21" w:rsidRPr="008165AD" w:rsidRDefault="007A2C21" w:rsidP="009E01A7">
            <w:r w:rsidRPr="008165AD">
              <w:t>5 mg BID</w:t>
            </w:r>
          </w:p>
        </w:tc>
      </w:tr>
      <w:tr w:rsidR="6D45BA9D" w14:paraId="37FDCE51" w14:textId="77777777" w:rsidTr="007F34A5">
        <w:tc>
          <w:tcPr>
            <w:tcW w:w="4765" w:type="dxa"/>
          </w:tcPr>
          <w:p w14:paraId="6C31EA19" w14:textId="4787E749" w:rsidR="5367CB58" w:rsidRDefault="5367CB58" w:rsidP="6D45BA9D">
            <w:pPr>
              <w:rPr>
                <w:rFonts w:eastAsia="Calibri"/>
                <w:szCs w:val="24"/>
              </w:rPr>
            </w:pPr>
            <w:r w:rsidRPr="6D45BA9D">
              <w:rPr>
                <w:rFonts w:eastAsia="Calibri"/>
                <w:szCs w:val="24"/>
              </w:rPr>
              <w:t>GvHD with liver involvement and an increase of total bilirubin to &gt;3 x ULN</w:t>
            </w:r>
          </w:p>
        </w:tc>
        <w:tc>
          <w:tcPr>
            <w:tcW w:w="4320" w:type="dxa"/>
          </w:tcPr>
          <w:p w14:paraId="3390D007" w14:textId="65D0B02D" w:rsidR="5367CB58" w:rsidRDefault="5367CB58" w:rsidP="6D45BA9D">
            <w:pPr>
              <w:rPr>
                <w:rFonts w:eastAsia="Calibri"/>
                <w:color w:val="0000FF"/>
                <w:szCs w:val="24"/>
              </w:rPr>
            </w:pPr>
            <w:r w:rsidRPr="6D45BA9D">
              <w:rPr>
                <w:rFonts w:eastAsia="Calibri"/>
                <w:szCs w:val="24"/>
              </w:rPr>
              <w:t>Monitor blood counts more frequently for toxicity and a dose reduction by one dose level may be considered</w:t>
            </w:r>
          </w:p>
        </w:tc>
      </w:tr>
    </w:tbl>
    <w:p w14:paraId="78550C1A" w14:textId="2DFE7B39" w:rsidR="007A2C21" w:rsidRPr="00CD0F04" w:rsidRDefault="00CD0F04" w:rsidP="007A2C21">
      <w:pPr>
        <w:rPr>
          <w:b/>
          <w:sz w:val="20"/>
        </w:rPr>
      </w:pPr>
      <w:r w:rsidRPr="00CD0F04">
        <w:rPr>
          <w:sz w:val="20"/>
        </w:rPr>
        <w:t>(see section 5.2 Pharmacokinetic properties)</w:t>
      </w:r>
    </w:p>
    <w:p w14:paraId="4DC9E33B" w14:textId="47C7BFC1" w:rsidR="00112054" w:rsidRPr="00DE6BF0" w:rsidRDefault="00112054" w:rsidP="00112054">
      <w:pPr>
        <w:pStyle w:val="Heading3"/>
      </w:pPr>
      <w:r w:rsidRPr="00DE6BF0">
        <w:t>Elderly Patients</w:t>
      </w:r>
    </w:p>
    <w:p w14:paraId="551F3EC0" w14:textId="77777777" w:rsidR="00112054" w:rsidRDefault="00112054" w:rsidP="00112054">
      <w:r w:rsidRPr="00DE6BF0">
        <w:t>No additional dose adjustments are recommended for elderly patients.</w:t>
      </w:r>
    </w:p>
    <w:p w14:paraId="5A382B9D" w14:textId="38F1ED93" w:rsidR="001A3992" w:rsidRDefault="001A3992" w:rsidP="00182652">
      <w:pPr>
        <w:pStyle w:val="Heading2"/>
        <w:keepNext/>
        <w:spacing w:before="0" w:after="120"/>
        <w:rPr>
          <w:rFonts w:cstheme="minorHAnsi"/>
        </w:rPr>
      </w:pPr>
      <w:r w:rsidRPr="00497C85">
        <w:rPr>
          <w:rFonts w:cstheme="minorHAnsi"/>
        </w:rPr>
        <w:t>Contraindications</w:t>
      </w:r>
    </w:p>
    <w:p w14:paraId="343402EF" w14:textId="5C18B54C" w:rsidR="00112054" w:rsidRPr="00112054" w:rsidRDefault="00112054" w:rsidP="00182652">
      <w:pPr>
        <w:keepNext/>
      </w:pPr>
      <w:r w:rsidRPr="00DE6BF0">
        <w:t>Hypersensitivity to the active substance or any of the excipients.</w:t>
      </w:r>
    </w:p>
    <w:p w14:paraId="37EE0F9C" w14:textId="77777777" w:rsidR="001A3992" w:rsidRPr="00497C85" w:rsidRDefault="00E74A56" w:rsidP="001A3992">
      <w:pPr>
        <w:pStyle w:val="Heading2"/>
        <w:spacing w:before="0" w:after="120"/>
        <w:rPr>
          <w:rFonts w:cstheme="minorHAnsi"/>
        </w:rPr>
      </w:pPr>
      <w:r w:rsidRPr="00497C85">
        <w:rPr>
          <w:rFonts w:cstheme="minorHAnsi"/>
        </w:rPr>
        <w:t>Special warnings and p</w:t>
      </w:r>
      <w:r w:rsidR="001A3992" w:rsidRPr="00497C85">
        <w:rPr>
          <w:rFonts w:cstheme="minorHAnsi"/>
        </w:rPr>
        <w:t xml:space="preserve">recautions </w:t>
      </w:r>
      <w:r w:rsidRPr="00497C85">
        <w:rPr>
          <w:rFonts w:cstheme="minorHAnsi"/>
        </w:rPr>
        <w:t>for use</w:t>
      </w:r>
    </w:p>
    <w:p w14:paraId="4599EB07" w14:textId="31163D49" w:rsidR="00917108" w:rsidRDefault="00917108" w:rsidP="001A3992">
      <w:pPr>
        <w:pStyle w:val="Heading3"/>
        <w:spacing w:before="0" w:after="120"/>
        <w:rPr>
          <w:rFonts w:cstheme="minorHAnsi"/>
        </w:rPr>
      </w:pPr>
      <w:r>
        <w:rPr>
          <w:rFonts w:cstheme="minorHAnsi"/>
        </w:rPr>
        <w:t>Decrease in blood cell count</w:t>
      </w:r>
    </w:p>
    <w:p w14:paraId="1105F761" w14:textId="143D0B1E" w:rsidR="00917108" w:rsidRPr="00DE6BF0" w:rsidRDefault="00917108" w:rsidP="00917108">
      <w:r w:rsidRPr="00DE6BF0">
        <w:t xml:space="preserve">Treatment with </w:t>
      </w:r>
      <w:proofErr w:type="spellStart"/>
      <w:r w:rsidRPr="00DE6BF0">
        <w:t>Jakavi</w:t>
      </w:r>
      <w:proofErr w:type="spellEnd"/>
      <w:r w:rsidRPr="00DE6BF0">
        <w:t xml:space="preserve"> can cause h</w:t>
      </w:r>
      <w:r>
        <w:t>a</w:t>
      </w:r>
      <w:r w:rsidRPr="00DE6BF0">
        <w:t xml:space="preserve">ematological adverse reactions, including thrombocytopenia, </w:t>
      </w:r>
      <w:proofErr w:type="gramStart"/>
      <w:r w:rsidRPr="00DE6BF0">
        <w:t>an</w:t>
      </w:r>
      <w:r>
        <w:t>a</w:t>
      </w:r>
      <w:r w:rsidRPr="00DE6BF0">
        <w:t>emia</w:t>
      </w:r>
      <w:proofErr w:type="gramEnd"/>
      <w:r w:rsidRPr="00DE6BF0">
        <w:t xml:space="preserve"> and neutropenia. A complete blood count must be performed before initiating therapy with </w:t>
      </w:r>
      <w:proofErr w:type="spellStart"/>
      <w:r w:rsidRPr="00DE6BF0">
        <w:t>Jakavi</w:t>
      </w:r>
      <w:proofErr w:type="spellEnd"/>
      <w:r w:rsidRPr="00DE6BF0">
        <w:t xml:space="preserve"> (for monitoring frequency see </w:t>
      </w:r>
      <w:r w:rsidR="00CC003F">
        <w:t xml:space="preserve">section 4.2 </w:t>
      </w:r>
      <w:r w:rsidRPr="00DE6BF0">
        <w:t xml:space="preserve">Dose and </w:t>
      </w:r>
      <w:r w:rsidR="002959D1">
        <w:t>method of a</w:t>
      </w:r>
      <w:r w:rsidRPr="00DE6BF0">
        <w:t>dministration).</w:t>
      </w:r>
    </w:p>
    <w:p w14:paraId="2CF007AD" w14:textId="6F0F0506" w:rsidR="00917108" w:rsidRPr="00DE6BF0" w:rsidRDefault="00917108" w:rsidP="00917108">
      <w:r w:rsidRPr="00DE6BF0">
        <w:t xml:space="preserve">It has been observed that </w:t>
      </w:r>
      <w:r w:rsidR="002959D1">
        <w:t xml:space="preserve">MF </w:t>
      </w:r>
      <w:r w:rsidRPr="00DE6BF0">
        <w:t>patients with low platelet counts (&lt;200</w:t>
      </w:r>
      <w:r w:rsidR="000F38CB">
        <w:t xml:space="preserve"> </w:t>
      </w:r>
      <w:r>
        <w:t>X 10</w:t>
      </w:r>
      <w:r w:rsidRPr="0054289A">
        <w:rPr>
          <w:vertAlign w:val="superscript"/>
        </w:rPr>
        <w:t>9</w:t>
      </w:r>
      <w:r>
        <w:t>/L</w:t>
      </w:r>
      <w:r w:rsidRPr="00DE6BF0">
        <w:t>) at the start of therapy are more likely to develop thrombocytopenia during treatment.</w:t>
      </w:r>
    </w:p>
    <w:p w14:paraId="0F633D9C" w14:textId="7E9D192C" w:rsidR="00917108" w:rsidRDefault="00917108" w:rsidP="00917108">
      <w:r w:rsidRPr="00DE6BF0">
        <w:t xml:space="preserve">Thrombocytopenia was generally reversible and was usually managed by reducing the dose or temporarily withholding </w:t>
      </w:r>
      <w:proofErr w:type="spellStart"/>
      <w:r w:rsidRPr="00DE6BF0">
        <w:t>Jakavi</w:t>
      </w:r>
      <w:proofErr w:type="spellEnd"/>
      <w:r w:rsidRPr="00DE6BF0">
        <w:t xml:space="preserve">. However, platelet transfusions may be required as clinically indicated (see </w:t>
      </w:r>
      <w:r w:rsidR="00182652">
        <w:t xml:space="preserve">sections 4.2 </w:t>
      </w:r>
      <w:r w:rsidRPr="00DE6BF0">
        <w:t xml:space="preserve">Dose and </w:t>
      </w:r>
      <w:r w:rsidR="00182652">
        <w:t>method of a</w:t>
      </w:r>
      <w:r w:rsidRPr="00DE6BF0">
        <w:t xml:space="preserve">dministration and </w:t>
      </w:r>
      <w:r w:rsidR="00182652">
        <w:t xml:space="preserve">4.8 </w:t>
      </w:r>
      <w:r w:rsidRPr="00DE6BF0">
        <w:t>Adverse Effects</w:t>
      </w:r>
      <w:r w:rsidR="00182652">
        <w:t xml:space="preserve"> (undesirable effects)</w:t>
      </w:r>
      <w:r w:rsidRPr="00DE6BF0">
        <w:t>).</w:t>
      </w:r>
    </w:p>
    <w:p w14:paraId="7FF1066C" w14:textId="77777777" w:rsidR="00917108" w:rsidRPr="00DE6BF0" w:rsidRDefault="00917108" w:rsidP="00917108">
      <w:r w:rsidRPr="00DE6BF0">
        <w:t>Patients developing an</w:t>
      </w:r>
      <w:r>
        <w:t>a</w:t>
      </w:r>
      <w:r w:rsidRPr="00DE6BF0">
        <w:t xml:space="preserve">emia may require blood transfusions. Dose modifications </w:t>
      </w:r>
      <w:r>
        <w:t xml:space="preserve">or interruption </w:t>
      </w:r>
      <w:r w:rsidRPr="00DE6BF0">
        <w:t>for patients developing an</w:t>
      </w:r>
      <w:r>
        <w:t>a</w:t>
      </w:r>
      <w:r w:rsidRPr="00DE6BF0">
        <w:t>emia may also be considered.</w:t>
      </w:r>
    </w:p>
    <w:p w14:paraId="5C906B39" w14:textId="7C13EBA2" w:rsidR="00917108" w:rsidRPr="00DE6BF0" w:rsidRDefault="00917108" w:rsidP="00917108">
      <w:r>
        <w:t>Neutropenia (Absolute Neutrophil Count (ANC) &lt;0.5X 10</w:t>
      </w:r>
      <w:r w:rsidRPr="6E9AFC58">
        <w:rPr>
          <w:vertAlign w:val="superscript"/>
        </w:rPr>
        <w:t>9</w:t>
      </w:r>
      <w:r>
        <w:t xml:space="preserve">/L) was generally reversible and was managed by temporarily withholding </w:t>
      </w:r>
      <w:proofErr w:type="spellStart"/>
      <w:r>
        <w:t>Jakavi</w:t>
      </w:r>
      <w:proofErr w:type="spellEnd"/>
      <w:r>
        <w:t xml:space="preserve"> (see</w:t>
      </w:r>
      <w:r w:rsidR="00A41406">
        <w:t xml:space="preserve"> sections 4.2</w:t>
      </w:r>
      <w:r>
        <w:t xml:space="preserve"> Dose and</w:t>
      </w:r>
      <w:r w:rsidR="00A41406">
        <w:t xml:space="preserve"> method of</w:t>
      </w:r>
      <w:r>
        <w:t xml:space="preserve"> </w:t>
      </w:r>
      <w:r w:rsidR="00A41406">
        <w:t>a</w:t>
      </w:r>
      <w:r>
        <w:t xml:space="preserve">dministration, </w:t>
      </w:r>
      <w:r w:rsidR="00A41406">
        <w:t xml:space="preserve">4.8 </w:t>
      </w:r>
      <w:r>
        <w:t xml:space="preserve">and Adverse </w:t>
      </w:r>
      <w:r w:rsidR="00A41406">
        <w:t>e</w:t>
      </w:r>
      <w:r>
        <w:t>ffects sections).</w:t>
      </w:r>
    </w:p>
    <w:p w14:paraId="2B6E4BA4" w14:textId="39EFF06C" w:rsidR="00917108" w:rsidRPr="00DE6BF0" w:rsidRDefault="00917108" w:rsidP="00917108">
      <w:r>
        <w:lastRenderedPageBreak/>
        <w:t xml:space="preserve">Complete blood counts should be monitored as clinically indicated and dose adjusted as required (see </w:t>
      </w:r>
      <w:r w:rsidR="00182652">
        <w:t xml:space="preserve">sections 4.2 </w:t>
      </w:r>
      <w:r>
        <w:t xml:space="preserve">Dose and </w:t>
      </w:r>
      <w:r w:rsidR="00182652">
        <w:t>method of a</w:t>
      </w:r>
      <w:r>
        <w:t>dministration and</w:t>
      </w:r>
      <w:r w:rsidR="00182652">
        <w:t xml:space="preserve"> 4.8</w:t>
      </w:r>
      <w:r>
        <w:t xml:space="preserve"> Adverse Effects</w:t>
      </w:r>
      <w:r w:rsidR="007C59A4">
        <w:t xml:space="preserve"> </w:t>
      </w:r>
      <w:r w:rsidR="00182652">
        <w:t>(undesirable effects)</w:t>
      </w:r>
      <w:r>
        <w:t>).</w:t>
      </w:r>
    </w:p>
    <w:p w14:paraId="4FD7FE9E" w14:textId="77777777" w:rsidR="00917108" w:rsidRPr="00DE6BF0" w:rsidRDefault="00917108" w:rsidP="00917108">
      <w:pPr>
        <w:pStyle w:val="Heading3"/>
      </w:pPr>
      <w:r w:rsidRPr="00DE6BF0">
        <w:t>Infections</w:t>
      </w:r>
    </w:p>
    <w:p w14:paraId="2C4FC872" w14:textId="77777777" w:rsidR="00917108" w:rsidRPr="008918D3" w:rsidRDefault="00917108" w:rsidP="00917108">
      <w:r w:rsidRPr="008918D3">
        <w:t xml:space="preserve">Serious bacterial, mycobacterial, fungal, </w:t>
      </w:r>
      <w:proofErr w:type="gramStart"/>
      <w:r w:rsidRPr="008918D3">
        <w:t>viral</w:t>
      </w:r>
      <w:proofErr w:type="gramEnd"/>
      <w:r w:rsidRPr="008918D3">
        <w:t xml:space="preserve"> and other opportunistic infections have occurred in patients treated with </w:t>
      </w:r>
      <w:proofErr w:type="spellStart"/>
      <w:r w:rsidRPr="008918D3">
        <w:t>Jakavi</w:t>
      </w:r>
      <w:proofErr w:type="spellEnd"/>
      <w:r w:rsidRPr="008918D3">
        <w:t>.</w:t>
      </w:r>
      <w:r w:rsidRPr="00DE6BF0">
        <w:t xml:space="preserve"> Patients should be assessed for the risk of developing serious infections. </w:t>
      </w:r>
      <w:r w:rsidRPr="008918D3">
        <w:t xml:space="preserve">Physicians should carefully observe patients receiving </w:t>
      </w:r>
      <w:proofErr w:type="spellStart"/>
      <w:r w:rsidRPr="008918D3">
        <w:t>Jakavi</w:t>
      </w:r>
      <w:proofErr w:type="spellEnd"/>
      <w:r w:rsidRPr="008918D3">
        <w:t xml:space="preserve"> for signs and symptoms of infections and appropriate treatment</w:t>
      </w:r>
      <w:r>
        <w:t xml:space="preserve"> should be </w:t>
      </w:r>
      <w:r w:rsidRPr="008918D3">
        <w:t>initiate</w:t>
      </w:r>
      <w:r>
        <w:t>d</w:t>
      </w:r>
      <w:r w:rsidRPr="008918D3">
        <w:t xml:space="preserve"> promptly. </w:t>
      </w:r>
      <w:proofErr w:type="spellStart"/>
      <w:r w:rsidRPr="008918D3">
        <w:t>Jakavi</w:t>
      </w:r>
      <w:proofErr w:type="spellEnd"/>
      <w:r w:rsidRPr="008918D3">
        <w:t xml:space="preserve"> therapy should not be started until active serious infections have resolved.</w:t>
      </w:r>
    </w:p>
    <w:p w14:paraId="0BC9771D" w14:textId="77777777" w:rsidR="00917108" w:rsidRDefault="00917108" w:rsidP="00917108">
      <w:r w:rsidRPr="00620EF0">
        <w:t xml:space="preserve">Tuberculosis has been reported in patients receiving </w:t>
      </w:r>
      <w:proofErr w:type="spellStart"/>
      <w:r w:rsidRPr="00620EF0">
        <w:t>Jakavi</w:t>
      </w:r>
      <w:proofErr w:type="spellEnd"/>
      <w:r w:rsidRPr="00620EF0">
        <w:t>. </w:t>
      </w:r>
      <w:r w:rsidRPr="00D817B7">
        <w:t xml:space="preserve"> </w:t>
      </w:r>
      <w:r w:rsidRPr="00D817B7">
        <w:rPr>
          <w:noProof/>
        </w:rPr>
        <w:t>Before starting treatment, patients should be evaluated for active and inactive (“latent”) tuberculosis</w:t>
      </w:r>
      <w:r>
        <w:rPr>
          <w:noProof/>
        </w:rPr>
        <w:t>.</w:t>
      </w:r>
    </w:p>
    <w:p w14:paraId="4AEB41C4" w14:textId="77777777" w:rsidR="00917108" w:rsidRPr="00A975AC" w:rsidRDefault="00917108" w:rsidP="00917108">
      <w:r w:rsidRPr="00A975AC">
        <w:t xml:space="preserve">Hepatitis B viral load (HBV-DNA titre) increases, with and without associated elevations in alanine aminotransferase and aspartate aminotransferase, have been reported in patients with chronic HBV infections taking </w:t>
      </w:r>
      <w:proofErr w:type="spellStart"/>
      <w:r w:rsidRPr="00A975AC">
        <w:t>Jakavi</w:t>
      </w:r>
      <w:proofErr w:type="spellEnd"/>
      <w:r w:rsidRPr="00A975AC">
        <w:t xml:space="preserve">. The effect of </w:t>
      </w:r>
      <w:proofErr w:type="spellStart"/>
      <w:r w:rsidRPr="00A975AC">
        <w:t>Jakavi</w:t>
      </w:r>
      <w:proofErr w:type="spellEnd"/>
      <w:r w:rsidRPr="00A975AC">
        <w:t xml:space="preserve"> on viral replication in patients with chronic HBV infection is unknown. Patients with chronic HBV infection should be treated and monitored according to clinical guidelines</w:t>
      </w:r>
      <w:r>
        <w:t>.</w:t>
      </w:r>
    </w:p>
    <w:p w14:paraId="3E46D8D1" w14:textId="77777777" w:rsidR="00917108" w:rsidRPr="000E32E5" w:rsidRDefault="00917108" w:rsidP="00917108">
      <w:pPr>
        <w:pStyle w:val="Heading3"/>
      </w:pPr>
      <w:r w:rsidRPr="000E32E5">
        <w:t>Herpes Zoster</w:t>
      </w:r>
    </w:p>
    <w:p w14:paraId="3EF890E2" w14:textId="77777777" w:rsidR="00917108" w:rsidRDefault="00917108" w:rsidP="00917108">
      <w:r w:rsidRPr="00DE6BF0">
        <w:t>Physicians should educate patients about early signs and symptoms of herpes zoster, advising that treatment should be sought as early as possible.</w:t>
      </w:r>
    </w:p>
    <w:p w14:paraId="60DB0877" w14:textId="77777777" w:rsidR="00917108" w:rsidRPr="00620EF0" w:rsidRDefault="00917108" w:rsidP="00917108">
      <w:pPr>
        <w:pStyle w:val="Heading3"/>
      </w:pPr>
      <w:r w:rsidRPr="00620EF0">
        <w:t>Progressive Multifocal Leuk</w:t>
      </w:r>
      <w:r>
        <w:t>o</w:t>
      </w:r>
      <w:r w:rsidRPr="00620EF0">
        <w:t>encephalopathy</w:t>
      </w:r>
    </w:p>
    <w:p w14:paraId="4DE09951" w14:textId="77777777" w:rsidR="00917108" w:rsidRPr="002F7288" w:rsidRDefault="00917108" w:rsidP="00917108">
      <w:r w:rsidRPr="00620EF0">
        <w:t xml:space="preserve">Progressive Multifocal </w:t>
      </w:r>
      <w:r>
        <w:t>L</w:t>
      </w:r>
      <w:r w:rsidRPr="00620EF0">
        <w:t>euk</w:t>
      </w:r>
      <w:r>
        <w:t>o</w:t>
      </w:r>
      <w:r w:rsidRPr="00620EF0">
        <w:t xml:space="preserve">encephalopathy (PML) has been reported with </w:t>
      </w:r>
      <w:proofErr w:type="spellStart"/>
      <w:r w:rsidRPr="00620EF0">
        <w:t>ruxolitinib</w:t>
      </w:r>
      <w:proofErr w:type="spellEnd"/>
      <w:r w:rsidRPr="00620EF0">
        <w:t xml:space="preserve"> treatment. Physicians should be alert for neuropsychiatric symptoms suggestive of PML</w:t>
      </w:r>
      <w:r>
        <w:t xml:space="preserve">. </w:t>
      </w:r>
      <w:r w:rsidRPr="002F7288">
        <w:t>If PML is suspected, further dosing must be suspended until PML has been excluded.</w:t>
      </w:r>
    </w:p>
    <w:p w14:paraId="674A6B26" w14:textId="77777777" w:rsidR="00917108" w:rsidRPr="004C22EB" w:rsidRDefault="00917108" w:rsidP="00917108">
      <w:pPr>
        <w:pStyle w:val="Heading3"/>
      </w:pPr>
      <w:r w:rsidRPr="004C22EB">
        <w:t>Non-Melanoma Skin Cancer</w:t>
      </w:r>
    </w:p>
    <w:p w14:paraId="2CFD8745" w14:textId="6BA2D65A" w:rsidR="00917108" w:rsidRDefault="00917108" w:rsidP="00917108">
      <w:r w:rsidRPr="004C22EB">
        <w:t>Non-melanoma skin cancers (NMSCs)</w:t>
      </w:r>
      <w:r>
        <w:t xml:space="preserve">, </w:t>
      </w:r>
      <w:r w:rsidRPr="00A975AC">
        <w:t>including basal cell, squamous cell, and Merkel cell carcinoma</w:t>
      </w:r>
      <w:r w:rsidRPr="004C22EB">
        <w:t xml:space="preserve"> have been reported in patients treated with </w:t>
      </w:r>
      <w:proofErr w:type="spellStart"/>
      <w:r w:rsidRPr="004C22EB">
        <w:t>Jakavi</w:t>
      </w:r>
      <w:proofErr w:type="spellEnd"/>
      <w:r>
        <w:t xml:space="preserve">. </w:t>
      </w:r>
      <w:r w:rsidRPr="004C22EB">
        <w:t xml:space="preserve">Most of these </w:t>
      </w:r>
      <w:r w:rsidR="002959D1">
        <w:t xml:space="preserve">MF and PV </w:t>
      </w:r>
      <w:r w:rsidRPr="004C22EB">
        <w:t xml:space="preserve">patients had histories of extended treatment with hydroxyurea and prior NMSC or pre-malignant skin lesions. A causal relationship to </w:t>
      </w:r>
      <w:proofErr w:type="spellStart"/>
      <w:r w:rsidRPr="004C22EB">
        <w:t>ruxolitinib</w:t>
      </w:r>
      <w:proofErr w:type="spellEnd"/>
      <w:r w:rsidRPr="004C22EB">
        <w:t xml:space="preserve"> has not been established. Periodic skin examination is recommended for patients who are at increased risk for skin cancer</w:t>
      </w:r>
      <w:r>
        <w:t>.</w:t>
      </w:r>
    </w:p>
    <w:p w14:paraId="153B1C37" w14:textId="77777777" w:rsidR="00917108" w:rsidRPr="00D817B7" w:rsidRDefault="00917108" w:rsidP="00917108">
      <w:pPr>
        <w:pStyle w:val="Heading3"/>
      </w:pPr>
      <w:r w:rsidRPr="00D817B7">
        <w:t>Lipid Abnormalities/Elevations</w:t>
      </w:r>
    </w:p>
    <w:p w14:paraId="17B61BA9" w14:textId="7ECF6570" w:rsidR="00917108" w:rsidRPr="00D817B7" w:rsidRDefault="00917108" w:rsidP="00917108">
      <w:r w:rsidRPr="00D817B7">
        <w:t xml:space="preserve">Treatment with </w:t>
      </w:r>
      <w:proofErr w:type="spellStart"/>
      <w:r w:rsidRPr="00D817B7">
        <w:t>Jakavi</w:t>
      </w:r>
      <w:proofErr w:type="spellEnd"/>
      <w:r w:rsidRPr="00D817B7">
        <w:t xml:space="preserve"> has been associated with increases in lipid parameters including total cholesterol, high-density lipoprotein (HDL) cholesterol, low-density lipoprotein (LDL) cholesterol, and triglycerides. Lipid monitoring and treatment of dyslipid</w:t>
      </w:r>
      <w:r w:rsidR="009238D1">
        <w:t>a</w:t>
      </w:r>
      <w:r w:rsidRPr="00D817B7">
        <w:t>emia according to clinical guidelines is recommended.</w:t>
      </w:r>
    </w:p>
    <w:p w14:paraId="4FA910FA" w14:textId="77777777" w:rsidR="00917108" w:rsidRPr="000E32E5" w:rsidRDefault="00917108" w:rsidP="00917108">
      <w:pPr>
        <w:pStyle w:val="Heading3"/>
      </w:pPr>
      <w:r w:rsidRPr="000E32E5">
        <w:lastRenderedPageBreak/>
        <w:t>Withdrawal Effects</w:t>
      </w:r>
    </w:p>
    <w:p w14:paraId="23FD3318" w14:textId="77777777" w:rsidR="00917108" w:rsidRPr="00DE6BF0" w:rsidRDefault="00917108" w:rsidP="00917108">
      <w:r>
        <w:t xml:space="preserve">Following interruption or discontinuation of </w:t>
      </w:r>
      <w:proofErr w:type="spellStart"/>
      <w:r>
        <w:t>ruxolitinib</w:t>
      </w:r>
      <w:proofErr w:type="spellEnd"/>
      <w:r>
        <w:t xml:space="preserve">, symptoms of myelofibrosis may return over a period of approximately 1 week. There have been cases of patients discontinuing </w:t>
      </w:r>
      <w:proofErr w:type="spellStart"/>
      <w:r>
        <w:t>ruxolitinib</w:t>
      </w:r>
      <w:proofErr w:type="spellEnd"/>
      <w:r>
        <w:t xml:space="preserve"> who sustained more severe events, particularly in the presence of acute intercurrent illness. It has not been established whether abrupt discontinuation of </w:t>
      </w:r>
      <w:proofErr w:type="spellStart"/>
      <w:r>
        <w:t>ruxolitinib</w:t>
      </w:r>
      <w:proofErr w:type="spellEnd"/>
      <w:r>
        <w:t xml:space="preserve"> contributed to these events. Unless abrupt discontinuation is required, gradual tapering of the dose of </w:t>
      </w:r>
      <w:proofErr w:type="spellStart"/>
      <w:r>
        <w:t>ruxolitinib</w:t>
      </w:r>
      <w:proofErr w:type="spellEnd"/>
      <w:r>
        <w:t xml:space="preserve"> may be considered, although the utility of the tapering is unproven.</w:t>
      </w:r>
    </w:p>
    <w:p w14:paraId="0D83ADAE" w14:textId="45151E20" w:rsidR="002959D1" w:rsidRDefault="002959D1" w:rsidP="002959D1">
      <w:pPr>
        <w:pStyle w:val="Heading3"/>
        <w:spacing w:before="0" w:after="120"/>
        <w:rPr>
          <w:rFonts w:cstheme="minorHAnsi"/>
          <w:b w:val="0"/>
        </w:rPr>
      </w:pPr>
      <w:r w:rsidRPr="00497C85">
        <w:rPr>
          <w:rFonts w:cstheme="minorHAnsi"/>
        </w:rPr>
        <w:t xml:space="preserve">Use in hepatic impairment </w:t>
      </w:r>
    </w:p>
    <w:p w14:paraId="60515441" w14:textId="7B42AB28" w:rsidR="002959D1" w:rsidRPr="002959D1" w:rsidRDefault="007F4331" w:rsidP="002959D1">
      <w:r>
        <w:t>D</w:t>
      </w:r>
      <w:r w:rsidRPr="007F504E">
        <w:t xml:space="preserve">ose modifications </w:t>
      </w:r>
      <w:r>
        <w:t xml:space="preserve">are required, depending on the level of severity of hepatic impairment and the condition treated (see sections 4.2 </w:t>
      </w:r>
      <w:r w:rsidRPr="00DE6BF0">
        <w:t xml:space="preserve">Dose and </w:t>
      </w:r>
      <w:r>
        <w:t>method of a</w:t>
      </w:r>
      <w:r w:rsidRPr="00DE6BF0">
        <w:t>dministration</w:t>
      </w:r>
      <w:r>
        <w:t xml:space="preserve">). </w:t>
      </w:r>
    </w:p>
    <w:p w14:paraId="72658F39" w14:textId="32007071" w:rsidR="00B454A8" w:rsidRDefault="00B454A8" w:rsidP="00B454A8">
      <w:pPr>
        <w:pStyle w:val="Heading3"/>
        <w:spacing w:before="0" w:after="120"/>
        <w:rPr>
          <w:rFonts w:cstheme="minorHAnsi"/>
          <w:b w:val="0"/>
        </w:rPr>
      </w:pPr>
      <w:r w:rsidRPr="00497C85">
        <w:rPr>
          <w:rFonts w:cstheme="minorHAnsi"/>
        </w:rPr>
        <w:t>Use in renal impairment</w:t>
      </w:r>
    </w:p>
    <w:p w14:paraId="09500D61" w14:textId="33BD21A3" w:rsidR="00B454A8" w:rsidRDefault="00B454A8" w:rsidP="00B454A8">
      <w:r>
        <w:t>Dose modifications are need</w:t>
      </w:r>
      <w:r w:rsidR="001D4180">
        <w:t>ed</w:t>
      </w:r>
      <w:r>
        <w:t xml:space="preserve"> in patients with renal impairment (see section</w:t>
      </w:r>
      <w:r w:rsidR="00182652">
        <w:t xml:space="preserve">s </w:t>
      </w:r>
      <w:r>
        <w:t xml:space="preserve">4.2 </w:t>
      </w:r>
      <w:r w:rsidRPr="00DE6BF0">
        <w:t xml:space="preserve">Dose and </w:t>
      </w:r>
      <w:r>
        <w:t>method of a</w:t>
      </w:r>
      <w:r w:rsidRPr="00DE6BF0">
        <w:t>dministration</w:t>
      </w:r>
      <w:r>
        <w:t xml:space="preserve"> and 5.2 Pharmacokinetic properties, special populations.)</w:t>
      </w:r>
    </w:p>
    <w:p w14:paraId="1E522072" w14:textId="77777777" w:rsidR="00A41406" w:rsidRPr="00A41406" w:rsidRDefault="00A41406" w:rsidP="00A41406">
      <w:pPr>
        <w:pStyle w:val="Heading3"/>
      </w:pPr>
      <w:r w:rsidRPr="00A41406">
        <w:t>Paediatric Use</w:t>
      </w:r>
    </w:p>
    <w:p w14:paraId="4FB36F09" w14:textId="0D646F01" w:rsidR="00A41406" w:rsidRDefault="00CC00EB" w:rsidP="00A41406">
      <w:r>
        <w:t xml:space="preserve">MF and PV: </w:t>
      </w:r>
      <w:r w:rsidR="00A41406">
        <w:t xml:space="preserve">The safety and efficacy of </w:t>
      </w:r>
      <w:proofErr w:type="spellStart"/>
      <w:r w:rsidR="00A41406">
        <w:t>Jakavi</w:t>
      </w:r>
      <w:proofErr w:type="spellEnd"/>
      <w:r w:rsidR="00A41406">
        <w:t xml:space="preserve"> in paediatric patients have not been established.</w:t>
      </w:r>
    </w:p>
    <w:p w14:paraId="39EF3D5F" w14:textId="58B47FC1" w:rsidR="00CC00EB" w:rsidRDefault="00CC00EB" w:rsidP="00CC00EB">
      <w:r>
        <w:t xml:space="preserve">GvHD: </w:t>
      </w:r>
      <w:r w:rsidR="00BB2318" w:rsidRPr="001A726D">
        <w:t>In p</w:t>
      </w:r>
      <w:r w:rsidR="00BB2318">
        <w:t>a</w:t>
      </w:r>
      <w:r w:rsidR="00BB2318" w:rsidRPr="001A726D">
        <w:t xml:space="preserve">ediatric patients 12 years of age and older with GvHD, the safety and efficacy of </w:t>
      </w:r>
      <w:proofErr w:type="spellStart"/>
      <w:r w:rsidR="00BB2318" w:rsidRPr="001A726D">
        <w:t>Jakavi</w:t>
      </w:r>
      <w:proofErr w:type="spellEnd"/>
      <w:r w:rsidR="00BB2318" w:rsidRPr="001A726D">
        <w:t xml:space="preserve"> are supported by evidence from the randomi</w:t>
      </w:r>
      <w:r w:rsidR="00BB2318">
        <w:t>s</w:t>
      </w:r>
      <w:r w:rsidR="00BB2318" w:rsidRPr="001A726D">
        <w:t>ed phase 3 studies REACH2 and REACH3</w:t>
      </w:r>
      <w:r w:rsidR="00BB2318" w:rsidRPr="00DE6BF0">
        <w:t>.</w:t>
      </w:r>
      <w:r w:rsidR="00BB2318">
        <w:t xml:space="preserve"> </w:t>
      </w:r>
      <w:r w:rsidR="00BB2318" w:rsidRPr="001A726D">
        <w:t xml:space="preserve">The safety and efficacy of </w:t>
      </w:r>
      <w:proofErr w:type="spellStart"/>
      <w:r w:rsidR="00BB2318" w:rsidRPr="001A726D">
        <w:t>Jakavi</w:t>
      </w:r>
      <w:proofErr w:type="spellEnd"/>
      <w:r w:rsidR="00BB2318">
        <w:t xml:space="preserve"> have not been established in patients less than 12 years of age</w:t>
      </w:r>
      <w:r>
        <w:t xml:space="preserve"> (see section 4.2 Dose and Method of Administration and 5.1 Pharmacodynamic Properties, Clinical trials).</w:t>
      </w:r>
    </w:p>
    <w:p w14:paraId="02DD5796" w14:textId="0CE93D21" w:rsidR="00A41406" w:rsidRPr="00B454A8" w:rsidRDefault="00A41406" w:rsidP="00A41406">
      <w:r>
        <w:t xml:space="preserve">In studies using juvenile rats, </w:t>
      </w:r>
      <w:proofErr w:type="spellStart"/>
      <w:r>
        <w:t>ruxolitinib</w:t>
      </w:r>
      <w:proofErr w:type="spellEnd"/>
      <w:r>
        <w:t xml:space="preserve"> adversely affected bone development. See Refer to section 5.3 </w:t>
      </w:r>
      <w:r w:rsidR="00CC00EB">
        <w:t>Preclinical safety data</w:t>
      </w:r>
      <w:r>
        <w:t>.</w:t>
      </w:r>
    </w:p>
    <w:p w14:paraId="6786000F" w14:textId="71B6324C" w:rsidR="001A3992" w:rsidRDefault="001A3992" w:rsidP="001A3992">
      <w:pPr>
        <w:pStyle w:val="Heading3"/>
        <w:spacing w:before="0" w:after="120"/>
        <w:rPr>
          <w:rFonts w:cstheme="minorHAnsi"/>
        </w:rPr>
      </w:pPr>
      <w:r w:rsidRPr="00497C85">
        <w:rPr>
          <w:rFonts w:cstheme="minorHAnsi"/>
        </w:rPr>
        <w:t>Use in the elderly</w:t>
      </w:r>
    </w:p>
    <w:p w14:paraId="75B47382" w14:textId="1C70C08B" w:rsidR="00DF1304" w:rsidRPr="00DF1304" w:rsidRDefault="00DF1304" w:rsidP="00DF1304">
      <w:r w:rsidRPr="00DE6BF0">
        <w:t>No additional dose adjustments are recommended for elderly patients.</w:t>
      </w:r>
    </w:p>
    <w:p w14:paraId="685F856D" w14:textId="13773987" w:rsidR="001A3992" w:rsidRDefault="001A3992" w:rsidP="001A3992">
      <w:pPr>
        <w:pStyle w:val="Heading3"/>
        <w:spacing w:before="0" w:after="120"/>
        <w:rPr>
          <w:rFonts w:cstheme="minorHAnsi"/>
        </w:rPr>
      </w:pPr>
      <w:r w:rsidRPr="00497C85">
        <w:rPr>
          <w:rFonts w:cstheme="minorHAnsi"/>
        </w:rPr>
        <w:t>Effects on laboratory tests</w:t>
      </w:r>
    </w:p>
    <w:p w14:paraId="5FE69F19" w14:textId="1C24F95D" w:rsidR="0097065E" w:rsidRPr="0097065E" w:rsidRDefault="00031A76" w:rsidP="0097065E">
      <w:r>
        <w:t xml:space="preserve">See </w:t>
      </w:r>
      <w:r w:rsidR="0097065E">
        <w:t>section 4.8 Adverse effects (undesirable effects).</w:t>
      </w:r>
    </w:p>
    <w:p w14:paraId="338E8E86" w14:textId="00250EAC" w:rsidR="001A3992" w:rsidRDefault="001A3992" w:rsidP="001A3992">
      <w:pPr>
        <w:pStyle w:val="Heading2"/>
        <w:keepNext/>
        <w:keepLines/>
        <w:spacing w:before="0" w:after="120"/>
        <w:rPr>
          <w:rFonts w:cstheme="minorHAnsi"/>
        </w:rPr>
      </w:pPr>
      <w:r w:rsidRPr="00497C85">
        <w:rPr>
          <w:rFonts w:cstheme="minorHAnsi"/>
        </w:rPr>
        <w:t>Interactions with other medicines and other forms of interactions</w:t>
      </w:r>
    </w:p>
    <w:p w14:paraId="168BB94F" w14:textId="77777777" w:rsidR="0097065E" w:rsidRPr="0097065E" w:rsidRDefault="0097065E" w:rsidP="0097065E">
      <w:pPr>
        <w:pStyle w:val="Nottoc-headings"/>
        <w:rPr>
          <w:rStyle w:val="Strong"/>
          <w:b/>
        </w:rPr>
      </w:pPr>
      <w:r w:rsidRPr="0097065E">
        <w:rPr>
          <w:rStyle w:val="Strong"/>
          <w:b/>
        </w:rPr>
        <w:t xml:space="preserve">Agents that may alter plasma concentration of </w:t>
      </w:r>
      <w:proofErr w:type="spellStart"/>
      <w:r w:rsidRPr="0097065E">
        <w:rPr>
          <w:rStyle w:val="Strong"/>
          <w:b/>
        </w:rPr>
        <w:t>ruxolitinib</w:t>
      </w:r>
      <w:proofErr w:type="spellEnd"/>
    </w:p>
    <w:p w14:paraId="0950C70C" w14:textId="77777777" w:rsidR="0097065E" w:rsidRDefault="0097065E" w:rsidP="0097065E">
      <w:r w:rsidRPr="00DE6BF0">
        <w:t xml:space="preserve">At clinically relevant concentrations, </w:t>
      </w:r>
      <w:proofErr w:type="spellStart"/>
      <w:r w:rsidRPr="00DE6BF0">
        <w:t>ruxolitinib</w:t>
      </w:r>
      <w:proofErr w:type="spellEnd"/>
      <w:r w:rsidRPr="00DE6BF0">
        <w:t xml:space="preserve"> does not inhibit CYP1A2, CYP2B6, CYP2C8, CYP2C9, CYP2C19, CYP2D6 or CYP3A4 and is not a potent inducer of CYP1A2, CYP2B6 or CYP3A4 based on in vitro studies</w:t>
      </w:r>
      <w:r>
        <w:t>.</w:t>
      </w:r>
    </w:p>
    <w:p w14:paraId="7AF0C570" w14:textId="77777777" w:rsidR="0097065E" w:rsidRDefault="0097065E" w:rsidP="0097065E">
      <w:r w:rsidRPr="004D179A">
        <w:rPr>
          <w:i/>
        </w:rPr>
        <w:lastRenderedPageBreak/>
        <w:t>In vitro</w:t>
      </w:r>
      <w:r>
        <w:t xml:space="preserve">, </w:t>
      </w:r>
      <w:proofErr w:type="spellStart"/>
      <w:r>
        <w:t>ruxolitinib</w:t>
      </w:r>
      <w:proofErr w:type="spellEnd"/>
      <w:r>
        <w:t xml:space="preserve"> was not an inhibitor of the OATP1B1, OATP1B3, OCT1, OCT2, OAT1 or OAT3 transporters at </w:t>
      </w:r>
      <w:proofErr w:type="gramStart"/>
      <w:r>
        <w:t>clinically-relevant</w:t>
      </w:r>
      <w:proofErr w:type="gramEnd"/>
      <w:r>
        <w:t xml:space="preserve"> concentration. </w:t>
      </w:r>
      <w:proofErr w:type="spellStart"/>
      <w:r>
        <w:t>Ruxolitinib</w:t>
      </w:r>
      <w:proofErr w:type="spellEnd"/>
      <w:r>
        <w:t xml:space="preserve"> is not a substrate for the P-glycoprotein transporter but was shown to be a weak inhibitor of this transporter. The effect of </w:t>
      </w:r>
      <w:proofErr w:type="spellStart"/>
      <w:r>
        <w:t>ruxolitinib</w:t>
      </w:r>
      <w:proofErr w:type="spellEnd"/>
      <w:r>
        <w:t xml:space="preserve"> on medicines which are substrates of P-glycoprotein are unknown.</w:t>
      </w:r>
    </w:p>
    <w:p w14:paraId="01D34EBB" w14:textId="77777777" w:rsidR="0097065E" w:rsidRPr="008208A1" w:rsidRDefault="0097065E" w:rsidP="0097065E">
      <w:pPr>
        <w:rPr>
          <w:noProof/>
        </w:rPr>
      </w:pPr>
      <w:r w:rsidRPr="008208A1">
        <w:rPr>
          <w:noProof/>
        </w:rPr>
        <w:t>Ruxolitinib is eliminated through metabolism catalysed by CYP3A4 and CYP2C9. Thus, medicinal products inhibiting these enzymes can give rise to increased ruxolitinib exposure.</w:t>
      </w:r>
    </w:p>
    <w:p w14:paraId="411B2FCD" w14:textId="77777777" w:rsidR="0097065E" w:rsidRPr="00DE6BF0" w:rsidRDefault="0097065E" w:rsidP="0097065E">
      <w:r w:rsidRPr="0097065E">
        <w:rPr>
          <w:b/>
        </w:rPr>
        <w:t>Strong CYP3A4 inhibitors</w:t>
      </w:r>
      <w:r>
        <w:t xml:space="preserve"> </w:t>
      </w:r>
      <w:r w:rsidRPr="00ED33F0">
        <w:rPr>
          <w:noProof/>
        </w:rPr>
        <w:t>(such as, but not limited to, boceprevir, clarithromycin, indinavir, itraconazole, ketoconazole, lopinavir/ritonavir, ritonavir, nelfinavir, posaconazole, saquinavir, telaprevir, telithromycin, voriconazole)</w:t>
      </w:r>
      <w:r w:rsidRPr="00DE6BF0">
        <w:t xml:space="preserve">: in healthy subjects receiving ketoconazole, a strong CYP3A4 inhibitor, at 200 mg twice daily for four days, the AUC of </w:t>
      </w:r>
      <w:proofErr w:type="spellStart"/>
      <w:r>
        <w:t>ruxolitnib</w:t>
      </w:r>
      <w:proofErr w:type="spellEnd"/>
      <w:r>
        <w:t xml:space="preserve"> </w:t>
      </w:r>
      <w:r w:rsidRPr="00DE6BF0">
        <w:t>increased by 91% and the half-life was prolonged from 3.7 to 6.0 hours.</w:t>
      </w:r>
    </w:p>
    <w:p w14:paraId="10309030" w14:textId="361232C5" w:rsidR="000D2CAC" w:rsidRPr="000D2CAC" w:rsidRDefault="0097065E" w:rsidP="0097065E">
      <w:r w:rsidRPr="00DE6BF0">
        <w:t xml:space="preserve">When administering </w:t>
      </w:r>
      <w:proofErr w:type="spellStart"/>
      <w:r w:rsidRPr="00DE6BF0">
        <w:t>Jakavi</w:t>
      </w:r>
      <w:proofErr w:type="spellEnd"/>
      <w:r w:rsidRPr="00DE6BF0">
        <w:t xml:space="preserve"> with strong CYP3A4 inhibitors the total daily dose of </w:t>
      </w:r>
      <w:proofErr w:type="spellStart"/>
      <w:r w:rsidRPr="00DE6BF0">
        <w:t>Jakavi</w:t>
      </w:r>
      <w:proofErr w:type="spellEnd"/>
      <w:r w:rsidRPr="00DE6BF0">
        <w:t xml:space="preserve"> should be reduced by approximately 50%</w:t>
      </w:r>
      <w:r w:rsidR="000D2CAC">
        <w:t>, except in GvHD patients</w:t>
      </w:r>
      <w:r w:rsidR="000D2CAC" w:rsidRPr="000D2CAC">
        <w:t>.</w:t>
      </w:r>
      <w:r w:rsidRPr="000D2CAC">
        <w:t xml:space="preserve"> </w:t>
      </w:r>
      <w:r w:rsidR="000D2CAC" w:rsidRPr="000D2CAC">
        <w:t>The effect of strong CYP3A4 inhibitors in patients with GvHD was not found to have a significant impact on any parameter in the Population PK model</w:t>
      </w:r>
      <w:r w:rsidR="000D2CAC">
        <w:t>.</w:t>
      </w:r>
      <w:r w:rsidR="000D2CAC" w:rsidRPr="000D2CAC">
        <w:t xml:space="preserve"> </w:t>
      </w:r>
    </w:p>
    <w:p w14:paraId="721D83F1" w14:textId="58ECF4F0" w:rsidR="000D2CAC" w:rsidRPr="00DE6BF0" w:rsidRDefault="000D2CAC" w:rsidP="000D2CAC">
      <w:r w:rsidRPr="00DE6BF0">
        <w:t xml:space="preserve">Patients should be closely monitored for </w:t>
      </w:r>
      <w:proofErr w:type="spellStart"/>
      <w:r w:rsidRPr="00DE6BF0">
        <w:t>cytopenias</w:t>
      </w:r>
      <w:proofErr w:type="spellEnd"/>
      <w:r w:rsidRPr="00DE6BF0">
        <w:t xml:space="preserve"> and dose titrated based on safety and efficacy (see </w:t>
      </w:r>
      <w:r>
        <w:t xml:space="preserve">section 4.2 </w:t>
      </w:r>
      <w:r w:rsidRPr="00DE6BF0">
        <w:t xml:space="preserve">Dose and </w:t>
      </w:r>
      <w:r>
        <w:t>method of a</w:t>
      </w:r>
      <w:r w:rsidRPr="00DE6BF0">
        <w:t>dministration).</w:t>
      </w:r>
    </w:p>
    <w:p w14:paraId="31C67814" w14:textId="77777777" w:rsidR="0097065E" w:rsidRPr="00A10A4C" w:rsidRDefault="0097065E" w:rsidP="0097065E">
      <w:r w:rsidRPr="00A10A4C">
        <w:t xml:space="preserve">Grapefruit, grapefruit juice, and other foods that are known to be strong inhibitors of cytochrome P450 3A4 may increase </w:t>
      </w:r>
      <w:proofErr w:type="spellStart"/>
      <w:r w:rsidRPr="00A10A4C">
        <w:t>ruxolitinib</w:t>
      </w:r>
      <w:proofErr w:type="spellEnd"/>
      <w:r w:rsidRPr="00A10A4C">
        <w:t xml:space="preserve"> exposures and should be avoided during treatment.</w:t>
      </w:r>
    </w:p>
    <w:p w14:paraId="763C6E13" w14:textId="77777777" w:rsidR="0097065E" w:rsidRPr="00DE6BF0" w:rsidRDefault="0097065E" w:rsidP="0097065E">
      <w:r w:rsidRPr="0097065E">
        <w:rPr>
          <w:b/>
        </w:rPr>
        <w:t>Mild or moderate CYP3A4 inhibitors</w:t>
      </w:r>
      <w:r>
        <w:t xml:space="preserve"> </w:t>
      </w:r>
      <w:r w:rsidRPr="00C60306">
        <w:rPr>
          <w:noProof/>
        </w:rPr>
        <w:t>(such as, but not limited to, ciprofloxacin, erythromycin, amprenavir, atazanavir, diltiazem, cimetidine)</w:t>
      </w:r>
      <w:r w:rsidRPr="00DE6BF0">
        <w:t xml:space="preserve">: in healthy subjects receiving erythromycin, a moderate CYP3A4 inhibitor, at 500 mg twice daily for four days, there was a 27% increase in the AUC of </w:t>
      </w:r>
      <w:proofErr w:type="spellStart"/>
      <w:proofErr w:type="gramStart"/>
      <w:r>
        <w:t>ruxolitnib</w:t>
      </w:r>
      <w:proofErr w:type="spellEnd"/>
      <w:r>
        <w:t xml:space="preserve"> </w:t>
      </w:r>
      <w:r w:rsidRPr="00DE6BF0">
        <w:t>.</w:t>
      </w:r>
      <w:proofErr w:type="gramEnd"/>
    </w:p>
    <w:p w14:paraId="0757C990" w14:textId="597CFEC6" w:rsidR="0097065E" w:rsidRDefault="0097065E" w:rsidP="0097065E">
      <w:r w:rsidRPr="00DE6BF0">
        <w:t xml:space="preserve">No dose adjustment is recommended when </w:t>
      </w:r>
      <w:proofErr w:type="spellStart"/>
      <w:r w:rsidRPr="00DE6BF0">
        <w:t>Jakavi</w:t>
      </w:r>
      <w:proofErr w:type="spellEnd"/>
      <w:r w:rsidRPr="00DE6BF0">
        <w:t xml:space="preserve"> is co administered with mild or moderate CYP3A4 inhibitors (</w:t>
      </w:r>
      <w:proofErr w:type="gramStart"/>
      <w:r w:rsidRPr="00DE6BF0">
        <w:t>e.g.</w:t>
      </w:r>
      <w:proofErr w:type="gramEnd"/>
      <w:r w:rsidRPr="00DE6BF0">
        <w:t xml:space="preserve"> erythromycin). Patients should be closely monitored for </w:t>
      </w:r>
      <w:proofErr w:type="spellStart"/>
      <w:r w:rsidRPr="00DE6BF0">
        <w:t>cytopenias</w:t>
      </w:r>
      <w:proofErr w:type="spellEnd"/>
      <w:r w:rsidRPr="00DE6BF0">
        <w:t xml:space="preserve"> when initiating therapy with a moderate CYP3A4 inhibitor.</w:t>
      </w:r>
    </w:p>
    <w:p w14:paraId="4DDC5A20" w14:textId="77777777" w:rsidR="0097065E" w:rsidRPr="00CC5878" w:rsidRDefault="0097065E" w:rsidP="0097065E">
      <w:pPr>
        <w:rPr>
          <w:noProof/>
        </w:rPr>
      </w:pPr>
      <w:r w:rsidRPr="0097065E">
        <w:rPr>
          <w:b/>
          <w:noProof/>
        </w:rPr>
        <w:t>Dual moderate CYP2C9 and CYP3A4 inhibitors (e.g. fluconazole):</w:t>
      </w:r>
      <w:r>
        <w:rPr>
          <w:noProof/>
        </w:rPr>
        <w:t xml:space="preserve"> </w:t>
      </w:r>
      <w:r w:rsidRPr="00CC5878">
        <w:rPr>
          <w:noProof/>
        </w:rPr>
        <w:t xml:space="preserve">On the basis of </w:t>
      </w:r>
      <w:r w:rsidRPr="00CC5878">
        <w:rPr>
          <w:i/>
          <w:noProof/>
        </w:rPr>
        <w:t>in silico</w:t>
      </w:r>
      <w:r w:rsidRPr="00CC5878">
        <w:rPr>
          <w:noProof/>
        </w:rPr>
        <w:t xml:space="preserve"> modelling</w:t>
      </w:r>
      <w:r>
        <w:rPr>
          <w:noProof/>
        </w:rPr>
        <w:t>, AUC increase of ruxolitinib when co-administered with 200 mg or 400 mg fluconazole, respectively, is predicted. A</w:t>
      </w:r>
      <w:r w:rsidRPr="00CC5878">
        <w:rPr>
          <w:noProof/>
        </w:rPr>
        <w:t xml:space="preserve"> 50% dose reduction should be considered when using medicinal products which are dual inhibitors of CYP2C9 and CYP3A4 enzymes.</w:t>
      </w:r>
      <w:r>
        <w:rPr>
          <w:noProof/>
        </w:rPr>
        <w:t xml:space="preserve"> The concomitant use of Jakavi with fluconazole doses of greater than 200 mg daily should be avoided.</w:t>
      </w:r>
    </w:p>
    <w:p w14:paraId="197A5C0A" w14:textId="77777777" w:rsidR="0097065E" w:rsidRPr="00DE6BF0" w:rsidRDefault="0097065E" w:rsidP="0097065E">
      <w:r w:rsidRPr="0097065E">
        <w:rPr>
          <w:b/>
        </w:rPr>
        <w:lastRenderedPageBreak/>
        <w:t>CYP3A4 inducers</w:t>
      </w:r>
      <w:r>
        <w:t xml:space="preserve"> </w:t>
      </w:r>
      <w:r w:rsidRPr="00C60306">
        <w:rPr>
          <w:noProof/>
        </w:rPr>
        <w:t xml:space="preserve">(such as, but not limited to, </w:t>
      </w:r>
      <w:r>
        <w:rPr>
          <w:noProof/>
        </w:rPr>
        <w:t xml:space="preserve">dexamethasone, </w:t>
      </w:r>
      <w:r w:rsidRPr="00C60306">
        <w:rPr>
          <w:noProof/>
        </w:rPr>
        <w:t xml:space="preserve">carbamazepine, phenobarbital, phenytoin, rifabutin, rifampin (rifampicin), </w:t>
      </w:r>
      <w:r>
        <w:rPr>
          <w:noProof/>
        </w:rPr>
        <w:t xml:space="preserve">rifapentine, </w:t>
      </w:r>
      <w:r w:rsidRPr="00C60306">
        <w:rPr>
          <w:noProof/>
        </w:rPr>
        <w:t xml:space="preserve">St.John’s wort </w:t>
      </w:r>
      <w:r w:rsidRPr="00062F44">
        <w:rPr>
          <w:noProof/>
          <w:color w:val="000000" w:themeColor="text1"/>
        </w:rPr>
        <w:t>(</w:t>
      </w:r>
      <w:r w:rsidRPr="00D176FD">
        <w:rPr>
          <w:i/>
          <w:iCs/>
        </w:rPr>
        <w:t xml:space="preserve">Hypericum </w:t>
      </w:r>
      <w:proofErr w:type="spellStart"/>
      <w:r w:rsidRPr="00D176FD">
        <w:rPr>
          <w:i/>
          <w:iCs/>
        </w:rPr>
        <w:t>perforatum</w:t>
      </w:r>
      <w:proofErr w:type="spellEnd"/>
      <w:r w:rsidRPr="00062F44">
        <w:rPr>
          <w:noProof/>
          <w:color w:val="000000" w:themeColor="text1"/>
        </w:rPr>
        <w:t>)</w:t>
      </w:r>
      <w:r w:rsidRPr="00C60306">
        <w:rPr>
          <w:noProof/>
        </w:rPr>
        <w:t>)</w:t>
      </w:r>
      <w:r w:rsidRPr="00DE6BF0">
        <w:t xml:space="preserve">: Upon initiation of a CYP3A4 inducer, no dose adjustment is recommended. </w:t>
      </w:r>
      <w:r>
        <w:t xml:space="preserve">Patients should be closely </w:t>
      </w:r>
      <w:proofErr w:type="gramStart"/>
      <w:r>
        <w:t>monitored</w:t>
      </w:r>
      <w:proofErr w:type="gramEnd"/>
      <w:r>
        <w:t xml:space="preserve"> and the dose titrated based on safety and efficacy.</w:t>
      </w:r>
    </w:p>
    <w:p w14:paraId="06299A04" w14:textId="77777777" w:rsidR="0097065E" w:rsidRDefault="0097065E" w:rsidP="0097065E">
      <w:r w:rsidRPr="00DE6BF0">
        <w:t xml:space="preserve">In healthy subjects receiving </w:t>
      </w:r>
      <w:proofErr w:type="spellStart"/>
      <w:r w:rsidRPr="00DE6BF0">
        <w:t>rifampin</w:t>
      </w:r>
      <w:proofErr w:type="spellEnd"/>
      <w:r w:rsidRPr="00DE6BF0">
        <w:t xml:space="preserve">, a potent CYP3A4 inducer, at 600 mg once daily for ten days, the AUC of </w:t>
      </w:r>
      <w:proofErr w:type="spellStart"/>
      <w:r>
        <w:t>ruxolitnib</w:t>
      </w:r>
      <w:proofErr w:type="spellEnd"/>
      <w:r w:rsidRPr="00037153">
        <w:t xml:space="preserve"> </w:t>
      </w:r>
      <w:r w:rsidRPr="00DE6BF0">
        <w:t xml:space="preserve">following a single dose decreased by 71% and the half-life decreased from 3.3 to 1.7 hours. The relative </w:t>
      </w:r>
      <w:proofErr w:type="gramStart"/>
      <w:r w:rsidRPr="00DE6BF0">
        <w:t>amount</w:t>
      </w:r>
      <w:proofErr w:type="gramEnd"/>
      <w:r w:rsidRPr="00DE6BF0">
        <w:t xml:space="preserve"> of active metabolites increased in relation to parent compound.</w:t>
      </w:r>
    </w:p>
    <w:p w14:paraId="28B07DE7" w14:textId="7205941E" w:rsidR="0097065E" w:rsidRDefault="0097065E" w:rsidP="0097065E">
      <w:pPr>
        <w:rPr>
          <w:noProof/>
        </w:rPr>
      </w:pPr>
      <w:r w:rsidRPr="0097065E">
        <w:rPr>
          <w:b/>
          <w:noProof/>
        </w:rPr>
        <w:t>Substances metabolised by CYP3A4:</w:t>
      </w:r>
      <w:r w:rsidRPr="00334D50">
        <w:rPr>
          <w:noProof/>
        </w:rPr>
        <w:t xml:space="preserve"> It cannot be excluded that ruxolitinib inhibits CYP3A4 in the intestine. Increased systemic exposure may be obtained for substances which are metabolised by CYP3A4, and particularly those that undergo extensive intestinal metabolism. </w:t>
      </w:r>
      <w:r w:rsidRPr="00334D50">
        <w:t xml:space="preserve">Some sensitive CYP3A substrates </w:t>
      </w:r>
      <w:r>
        <w:t>include l</w:t>
      </w:r>
      <w:r w:rsidRPr="00334D50">
        <w:t>ovastatin</w:t>
      </w:r>
      <w:r>
        <w:t>,</w:t>
      </w:r>
      <w:r w:rsidRPr="00334D50">
        <w:t xml:space="preserve"> </w:t>
      </w:r>
      <w:proofErr w:type="spellStart"/>
      <w:r w:rsidRPr="00334D50">
        <w:t>aprepitant</w:t>
      </w:r>
      <w:proofErr w:type="spellEnd"/>
      <w:r w:rsidRPr="00334D50">
        <w:t xml:space="preserve">, budesonide, conivaptan, darifenacin, darunavir, </w:t>
      </w:r>
      <w:proofErr w:type="spellStart"/>
      <w:r w:rsidRPr="00334D50">
        <w:t>everolimus</w:t>
      </w:r>
      <w:proofErr w:type="spellEnd"/>
      <w:r w:rsidRPr="00334D50">
        <w:t>, sirolimus,</w:t>
      </w:r>
      <w:r>
        <w:t xml:space="preserve"> and</w:t>
      </w:r>
      <w:r w:rsidRPr="00334D50">
        <w:t xml:space="preserve"> midazolam</w:t>
      </w:r>
      <w:r>
        <w:t>.</w:t>
      </w:r>
      <w:r w:rsidRPr="00334D50">
        <w:rPr>
          <w:noProof/>
        </w:rPr>
        <w:t xml:space="preserve"> Safety monitoring of orally administered CYP3A4 metabolised substances is advised when combined with ruxolitinib. The interaction is likely to be minimised if the time between co</w:t>
      </w:r>
      <w:r w:rsidRPr="00334D50">
        <w:rPr>
          <w:noProof/>
        </w:rPr>
        <w:noBreakHyphen/>
        <w:t>administrations is kept as long as possible.</w:t>
      </w:r>
    </w:p>
    <w:p w14:paraId="08B0A384" w14:textId="77777777" w:rsidR="0097065E" w:rsidRPr="00CC1ED2" w:rsidRDefault="0097065E" w:rsidP="0097065E">
      <w:pPr>
        <w:rPr>
          <w:noProof/>
        </w:rPr>
      </w:pPr>
      <w:r w:rsidRPr="0097065E">
        <w:rPr>
          <w:b/>
        </w:rPr>
        <w:t>Substances transported by P-glycoprotein or other transporters:</w:t>
      </w:r>
      <w:r w:rsidRPr="00DE6BF0">
        <w:t xml:space="preserve"> </w:t>
      </w:r>
      <w:r w:rsidRPr="00CC1ED2">
        <w:rPr>
          <w:noProof/>
        </w:rPr>
        <w:t>Ruxolitinib may inhibit P</w:t>
      </w:r>
      <w:r w:rsidRPr="00CC1ED2">
        <w:rPr>
          <w:noProof/>
        </w:rPr>
        <w:noBreakHyphen/>
        <w:t>glycoprotein and breast cancer resistance protein (BCRP) in the intestine. This may result in increased sytemic exposure of substrates of these transporters, such as dabigatran etixilate, c</w:t>
      </w:r>
      <w:r>
        <w:rPr>
          <w:noProof/>
        </w:rPr>
        <w:t>y</w:t>
      </w:r>
      <w:r w:rsidRPr="00CC1ED2">
        <w:rPr>
          <w:noProof/>
        </w:rPr>
        <w:t>closporin, rosuvastatin and potentially digoxin.</w:t>
      </w:r>
      <w:r>
        <w:rPr>
          <w:noProof/>
        </w:rPr>
        <w:t xml:space="preserve"> </w:t>
      </w:r>
      <w:r w:rsidRPr="00CC1ED2">
        <w:rPr>
          <w:noProof/>
        </w:rPr>
        <w:t>Therapeutic drug monitoring (TDM) or clinical monitoring of the affected substance is advised.</w:t>
      </w:r>
    </w:p>
    <w:p w14:paraId="7B7DAF0E" w14:textId="77777777" w:rsidR="0097065E" w:rsidRPr="00CC1ED2" w:rsidRDefault="0097065E" w:rsidP="0097065E">
      <w:r>
        <w:rPr>
          <w:noProof/>
        </w:rPr>
        <w:t xml:space="preserve">Drugs that inhibit P-glycoprotein include tacrolimus, cyclosporine, diltiazem, amiodarone, carvedilol, nifedipine, verapamil, ketoconazole, itraconazole, quinidine, ritonavir, saquinavir, nelfinavir, ranolazine valspodar and isradipine. </w:t>
      </w:r>
      <w:r w:rsidRPr="00CC1ED2">
        <w:rPr>
          <w:noProof/>
        </w:rPr>
        <w:t>It is possible that the potential inhibition of P</w:t>
      </w:r>
      <w:r w:rsidRPr="00CC1ED2">
        <w:rPr>
          <w:noProof/>
        </w:rPr>
        <w:noBreakHyphen/>
        <w:t>gp and BCRP in the intestine can be minimised if the time between administrations is kept apart as long as possible.</w:t>
      </w:r>
    </w:p>
    <w:p w14:paraId="1FB19D74" w14:textId="77777777" w:rsidR="0097065E" w:rsidRDefault="0097065E" w:rsidP="0097065E">
      <w:r w:rsidRPr="00DE6BF0">
        <w:t xml:space="preserve">No dose adjustment is recommended when </w:t>
      </w:r>
      <w:proofErr w:type="spellStart"/>
      <w:r w:rsidRPr="00DE6BF0">
        <w:t>Jakavi</w:t>
      </w:r>
      <w:proofErr w:type="spellEnd"/>
      <w:r w:rsidRPr="00DE6BF0">
        <w:t xml:space="preserve"> is co-administered with substances that interact with P-</w:t>
      </w:r>
      <w:proofErr w:type="spellStart"/>
      <w:r w:rsidRPr="00DE6BF0">
        <w:t>gp</w:t>
      </w:r>
      <w:proofErr w:type="spellEnd"/>
      <w:r w:rsidRPr="00DE6BF0">
        <w:t xml:space="preserve"> and other transporters.</w:t>
      </w:r>
    </w:p>
    <w:p w14:paraId="7BF23E3C" w14:textId="77777777" w:rsidR="0097065E" w:rsidRDefault="0097065E" w:rsidP="0097065E">
      <w:r w:rsidRPr="0097065E">
        <w:rPr>
          <w:b/>
          <w:noProof/>
        </w:rPr>
        <w:t>Cytoreductive therapies:</w:t>
      </w:r>
      <w:r>
        <w:rPr>
          <w:noProof/>
        </w:rPr>
        <w:t xml:space="preserve"> </w:t>
      </w:r>
      <w:r w:rsidRPr="00CC1ED2">
        <w:rPr>
          <w:noProof/>
        </w:rPr>
        <w:t xml:space="preserve">The concomitant use of cytoreductive therapies and Jakavi has not been studied. </w:t>
      </w:r>
      <w:r>
        <w:rPr>
          <w:noProof/>
        </w:rPr>
        <w:t>Some c</w:t>
      </w:r>
      <w:r w:rsidRPr="00CC1ED2">
        <w:rPr>
          <w:noProof/>
        </w:rPr>
        <w:t>ytoreductive therapies</w:t>
      </w:r>
      <w:r>
        <w:rPr>
          <w:noProof/>
        </w:rPr>
        <w:t xml:space="preserve"> include hydroxyurea, mercaptopurine, melphalan, chlorambucil and cytarabine.</w:t>
      </w:r>
      <w:r w:rsidRPr="00CC1ED2">
        <w:rPr>
          <w:noProof/>
        </w:rPr>
        <w:t xml:space="preserve"> The safety and efficacy of this co</w:t>
      </w:r>
      <w:r w:rsidRPr="00CC1ED2">
        <w:rPr>
          <w:noProof/>
        </w:rPr>
        <w:noBreakHyphen/>
        <w:t>administration is not known</w:t>
      </w:r>
      <w:r>
        <w:rPr>
          <w:noProof/>
        </w:rPr>
        <w:t>.</w:t>
      </w:r>
    </w:p>
    <w:p w14:paraId="7EFE820B" w14:textId="77777777" w:rsidR="001A3992" w:rsidRPr="00497C85" w:rsidRDefault="001A3992" w:rsidP="00240754">
      <w:pPr>
        <w:pStyle w:val="Heading2"/>
        <w:pageBreakBefore/>
        <w:spacing w:before="0" w:after="120"/>
        <w:rPr>
          <w:rFonts w:cstheme="minorHAnsi"/>
        </w:rPr>
      </w:pPr>
      <w:r w:rsidRPr="00497C85">
        <w:rPr>
          <w:rFonts w:cstheme="minorHAnsi"/>
        </w:rPr>
        <w:t xml:space="preserve">Fertility, pregnancy and lactation </w:t>
      </w:r>
    </w:p>
    <w:p w14:paraId="04CFD843" w14:textId="304F1BBA" w:rsidR="001A3992" w:rsidRDefault="001A3992" w:rsidP="001A3992">
      <w:pPr>
        <w:pStyle w:val="Heading3"/>
        <w:spacing w:before="0" w:after="120"/>
        <w:rPr>
          <w:rFonts w:cstheme="minorHAnsi"/>
        </w:rPr>
      </w:pPr>
      <w:r w:rsidRPr="00497C85">
        <w:rPr>
          <w:rFonts w:cstheme="minorHAnsi"/>
        </w:rPr>
        <w:lastRenderedPageBreak/>
        <w:t>Effects on fertility</w:t>
      </w:r>
    </w:p>
    <w:p w14:paraId="0C374E52" w14:textId="77777777" w:rsidR="0097065E" w:rsidRPr="00DE6BF0" w:rsidRDefault="0097065E" w:rsidP="0097065E">
      <w:r w:rsidRPr="00DE6BF0">
        <w:t xml:space="preserve">There are no human data on the effect of </w:t>
      </w:r>
      <w:proofErr w:type="spellStart"/>
      <w:r w:rsidRPr="00DE6BF0">
        <w:t>ruxolitinib</w:t>
      </w:r>
      <w:proofErr w:type="spellEnd"/>
      <w:r w:rsidRPr="00DE6BF0">
        <w:t xml:space="preserve"> on fertility. In </w:t>
      </w:r>
      <w:r>
        <w:t xml:space="preserve">an </w:t>
      </w:r>
      <w:r w:rsidRPr="00DE6BF0">
        <w:t>animal stud</w:t>
      </w:r>
      <w:r>
        <w:t>y</w:t>
      </w:r>
      <w:r w:rsidRPr="00DE6BF0">
        <w:t xml:space="preserve">, </w:t>
      </w:r>
      <w:proofErr w:type="spellStart"/>
      <w:r>
        <w:t>ruxolitinib</w:t>
      </w:r>
      <w:proofErr w:type="spellEnd"/>
      <w:r>
        <w:t xml:space="preserve"> was administered to male rats prior to and throughout mating and to female rats prior to mating and up to the implantation day. </w:t>
      </w:r>
      <w:proofErr w:type="spellStart"/>
      <w:r>
        <w:t>Ruxolitinib</w:t>
      </w:r>
      <w:proofErr w:type="spellEnd"/>
      <w:r>
        <w:t xml:space="preserve"> had </w:t>
      </w:r>
      <w:r w:rsidRPr="00DE6BF0">
        <w:t xml:space="preserve">no effect on fertility or reproductive </w:t>
      </w:r>
      <w:r>
        <w:t>function in</w:t>
      </w:r>
      <w:r w:rsidRPr="00DE6BF0">
        <w:t xml:space="preserve"> male or female rats</w:t>
      </w:r>
      <w:r>
        <w:t xml:space="preserve"> at doses up to 60 mg/kg/day</w:t>
      </w:r>
      <w:r w:rsidRPr="00DE6BF0">
        <w:t xml:space="preserve">. </w:t>
      </w:r>
      <w:r>
        <w:t xml:space="preserve">However, in female </w:t>
      </w:r>
      <w:proofErr w:type="gramStart"/>
      <w:r>
        <w:t>rats</w:t>
      </w:r>
      <w:proofErr w:type="gramEnd"/>
      <w:r>
        <w:t xml:space="preserve"> doses of greater than or equal to 30 mg/kg/day resulted in increased post-implantation loss. The exposure (free AUC) at the dose of 30 mg/kg/day is approximately equivalent to the clinical exposure at the maximum recommended dose of 25 mg twice daily. </w:t>
      </w:r>
      <w:r w:rsidRPr="00DE6BF0">
        <w:t xml:space="preserve"> </w:t>
      </w:r>
    </w:p>
    <w:p w14:paraId="46084B36" w14:textId="77777777" w:rsidR="0097065E" w:rsidRPr="00DE6BF0" w:rsidRDefault="0097065E" w:rsidP="0097065E">
      <w:pPr>
        <w:pStyle w:val="Nottoc-headings"/>
      </w:pPr>
      <w:r w:rsidRPr="00DE6BF0">
        <w:t>Women of child-bearing potential</w:t>
      </w:r>
    </w:p>
    <w:p w14:paraId="65E77573" w14:textId="39B83470" w:rsidR="0097065E" w:rsidRPr="0097065E" w:rsidRDefault="0097065E" w:rsidP="0097065E">
      <w:r w:rsidRPr="00DE6BF0">
        <w:t xml:space="preserve">Women of child-bearing potential must take appropriate precautions to avoid becoming pregnant during treatment. In case pregnancy occurs, risk/benefit evaluations must be carried out on an individual basis with careful counselling regarding potential risk to the </w:t>
      </w:r>
      <w:proofErr w:type="spellStart"/>
      <w:r w:rsidRPr="00DE6BF0">
        <w:t>fetus</w:t>
      </w:r>
      <w:proofErr w:type="spellEnd"/>
      <w:r w:rsidRPr="00DE6BF0">
        <w:t xml:space="preserve"> using the most recent data available.</w:t>
      </w:r>
    </w:p>
    <w:p w14:paraId="34A823FC" w14:textId="3B70EC1B" w:rsidR="001A3992" w:rsidRDefault="001A3992" w:rsidP="001A3992">
      <w:pPr>
        <w:pStyle w:val="Heading3"/>
        <w:spacing w:before="0" w:after="120"/>
        <w:rPr>
          <w:rFonts w:cstheme="minorHAnsi"/>
        </w:rPr>
      </w:pPr>
      <w:r w:rsidRPr="00497C85">
        <w:rPr>
          <w:rFonts w:cstheme="minorHAnsi"/>
        </w:rPr>
        <w:t xml:space="preserve">Use in pregnancy </w:t>
      </w:r>
      <w:r w:rsidR="0097065E" w:rsidRPr="00DE6BF0">
        <w:t xml:space="preserve">(Category </w:t>
      </w:r>
      <w:r w:rsidR="0097065E">
        <w:t>C</w:t>
      </w:r>
      <w:r w:rsidR="0097065E" w:rsidRPr="00DE6BF0">
        <w:t>)</w:t>
      </w:r>
      <w:r w:rsidR="0097065E">
        <w:t xml:space="preserve"> </w:t>
      </w:r>
    </w:p>
    <w:p w14:paraId="1FC25AD8" w14:textId="629C5016" w:rsidR="0097065E" w:rsidRPr="0097065E" w:rsidRDefault="0097065E" w:rsidP="0097065E">
      <w:r w:rsidRPr="00DE6BF0">
        <w:t xml:space="preserve">There are no adequate and well-controlled studies of </w:t>
      </w:r>
      <w:proofErr w:type="spellStart"/>
      <w:r w:rsidRPr="00DE6BF0">
        <w:t>Jakavi</w:t>
      </w:r>
      <w:proofErr w:type="spellEnd"/>
      <w:r w:rsidRPr="00DE6BF0">
        <w:t xml:space="preserve"> in pregnant women. </w:t>
      </w:r>
      <w:proofErr w:type="spellStart"/>
      <w:r>
        <w:t>Ruxolitinib</w:t>
      </w:r>
      <w:proofErr w:type="spellEnd"/>
      <w:r>
        <w:t xml:space="preserve"> and/or its metabolites crossed the placental barrier in pregnant rats. JAK2 is required for definitive erythropoiesis during embryogenesis. When administered during the period of organogenesis, </w:t>
      </w:r>
      <w:proofErr w:type="spellStart"/>
      <w:r>
        <w:t>ruxolitinib</w:t>
      </w:r>
      <w:proofErr w:type="spellEnd"/>
      <w:r>
        <w:t xml:space="preserve"> was </w:t>
      </w:r>
      <w:proofErr w:type="spellStart"/>
      <w:r>
        <w:t>embryolethal</w:t>
      </w:r>
      <w:proofErr w:type="spellEnd"/>
      <w:r>
        <w:t xml:space="preserve"> and fetotoxic in both rats and rabbits </w:t>
      </w:r>
      <w:r w:rsidRPr="00DE6BF0">
        <w:t xml:space="preserve">(increases in </w:t>
      </w:r>
      <w:proofErr w:type="spellStart"/>
      <w:r w:rsidRPr="00DE6BF0">
        <w:t>postimplantation</w:t>
      </w:r>
      <w:proofErr w:type="spellEnd"/>
      <w:r w:rsidRPr="00DE6BF0">
        <w:t xml:space="preserve"> loss and reduced </w:t>
      </w:r>
      <w:proofErr w:type="spellStart"/>
      <w:r w:rsidRPr="00DE6BF0">
        <w:t>fetal</w:t>
      </w:r>
      <w:proofErr w:type="spellEnd"/>
      <w:r w:rsidRPr="00DE6BF0">
        <w:t xml:space="preserve"> weights). </w:t>
      </w:r>
      <w:r>
        <w:t xml:space="preserve">Exposures (AUC) at the no effect level were subclinical. There was no evidence of teratogenicity. </w:t>
      </w:r>
      <w:r w:rsidRPr="00DE6BF0">
        <w:t xml:space="preserve">The use of </w:t>
      </w:r>
      <w:proofErr w:type="spellStart"/>
      <w:r w:rsidRPr="00DE6BF0">
        <w:t>Jakavi</w:t>
      </w:r>
      <w:proofErr w:type="spellEnd"/>
      <w:r w:rsidRPr="00DE6BF0">
        <w:t xml:space="preserve"> during pregnancy is not recommended.</w:t>
      </w:r>
    </w:p>
    <w:p w14:paraId="31794361" w14:textId="5946B30B" w:rsidR="001A3992" w:rsidRDefault="001A3992" w:rsidP="001A3992">
      <w:pPr>
        <w:pStyle w:val="Heading3"/>
        <w:spacing w:before="0" w:after="120"/>
        <w:rPr>
          <w:rFonts w:cstheme="minorHAnsi"/>
        </w:rPr>
      </w:pPr>
      <w:r w:rsidRPr="00497C85">
        <w:rPr>
          <w:rFonts w:cstheme="minorHAnsi"/>
        </w:rPr>
        <w:t xml:space="preserve">Use in lactation. </w:t>
      </w:r>
    </w:p>
    <w:p w14:paraId="5DDCA9BB" w14:textId="77777777" w:rsidR="0097065E" w:rsidRDefault="0097065E" w:rsidP="0097065E">
      <w:proofErr w:type="spellStart"/>
      <w:r>
        <w:t>Jakavi</w:t>
      </w:r>
      <w:proofErr w:type="spellEnd"/>
      <w:r>
        <w:t xml:space="preserve"> must not be used during breast-feeding and breast-feeding should therefore be discontinued when treatment is started. It is unknown whether </w:t>
      </w:r>
      <w:proofErr w:type="spellStart"/>
      <w:r>
        <w:t>ruxolitinib</w:t>
      </w:r>
      <w:proofErr w:type="spellEnd"/>
      <w:r>
        <w:t xml:space="preserve"> and/or its metabolites are excreted in human milk. A risk to the breast-fed child cannot be excluded. </w:t>
      </w:r>
      <w:r w:rsidRPr="00DE6BF0">
        <w:t xml:space="preserve">In lactating rats, </w:t>
      </w:r>
      <w:proofErr w:type="spellStart"/>
      <w:r w:rsidRPr="00DE6BF0">
        <w:t>ruxolitinib</w:t>
      </w:r>
      <w:proofErr w:type="spellEnd"/>
      <w:r w:rsidRPr="00DE6BF0">
        <w:t xml:space="preserve"> and/or its metabolites were excreted into the milk with a concentration that was 13-fold higher than the maternal plasma concentration.</w:t>
      </w:r>
    </w:p>
    <w:p w14:paraId="084F9DFE" w14:textId="75685002" w:rsidR="0097065E" w:rsidRPr="0097065E" w:rsidRDefault="0097065E" w:rsidP="0097065E">
      <w:r>
        <w:t xml:space="preserve">In a study in which pregnant rats were dosed with </w:t>
      </w:r>
      <w:proofErr w:type="spellStart"/>
      <w:r>
        <w:t>ruxolitinib</w:t>
      </w:r>
      <w:proofErr w:type="spellEnd"/>
      <w:r>
        <w:t xml:space="preserve"> from implantation through lactation at oral doses up to 30 mg/kg/day, there were no adverse effects on postnatal survival, pup development or pup reproductive function. Maternal exposure (AUC) at the highest dose level was subclinical.</w:t>
      </w:r>
    </w:p>
    <w:p w14:paraId="141AA8FF" w14:textId="77777777" w:rsidR="001A3992" w:rsidRPr="00497C85" w:rsidRDefault="001A3992" w:rsidP="00240754">
      <w:pPr>
        <w:pStyle w:val="Heading2"/>
        <w:pageBreakBefore/>
        <w:spacing w:before="0" w:after="120"/>
        <w:rPr>
          <w:rFonts w:cstheme="minorHAnsi"/>
        </w:rPr>
      </w:pPr>
      <w:r w:rsidRPr="00497C85">
        <w:rPr>
          <w:rFonts w:cstheme="minorHAnsi"/>
        </w:rPr>
        <w:t xml:space="preserve">Effects on ability to drive and use machines </w:t>
      </w:r>
    </w:p>
    <w:p w14:paraId="49C06253" w14:textId="77777777" w:rsidR="0097065E" w:rsidRPr="00143C00" w:rsidRDefault="0097065E" w:rsidP="0097065E">
      <w:proofErr w:type="spellStart"/>
      <w:r w:rsidRPr="00143C00">
        <w:t>Jakavi</w:t>
      </w:r>
      <w:proofErr w:type="spellEnd"/>
      <w:r w:rsidRPr="00143C00">
        <w:t xml:space="preserve"> has no or negligible sedating effect. However, patients who experience dizziness after the intake of </w:t>
      </w:r>
      <w:proofErr w:type="spellStart"/>
      <w:r w:rsidRPr="00143C00">
        <w:t>Jakavi</w:t>
      </w:r>
      <w:proofErr w:type="spellEnd"/>
      <w:r w:rsidRPr="00143C00">
        <w:t xml:space="preserve"> should refrain from driving or using machines.</w:t>
      </w:r>
    </w:p>
    <w:p w14:paraId="5C671B81" w14:textId="3551173A" w:rsidR="001A3992" w:rsidRDefault="001A3992" w:rsidP="001A3992">
      <w:pPr>
        <w:pStyle w:val="Heading2"/>
        <w:keepNext/>
        <w:keepLines/>
        <w:spacing w:before="0" w:after="120"/>
        <w:rPr>
          <w:rFonts w:cstheme="minorHAnsi"/>
        </w:rPr>
      </w:pPr>
      <w:r w:rsidRPr="00497C85">
        <w:rPr>
          <w:rFonts w:cstheme="minorHAnsi"/>
        </w:rPr>
        <w:lastRenderedPageBreak/>
        <w:t>Adverse effects (Undesirable effects)</w:t>
      </w:r>
    </w:p>
    <w:p w14:paraId="19F63AF7" w14:textId="77777777" w:rsidR="004202B3" w:rsidRPr="00DE6BF0" w:rsidRDefault="004202B3" w:rsidP="004202B3">
      <w:pPr>
        <w:pStyle w:val="Heading3"/>
      </w:pPr>
      <w:r w:rsidRPr="00DE6BF0">
        <w:t>Summary of the safety profile</w:t>
      </w:r>
    </w:p>
    <w:p w14:paraId="4DD88EE9" w14:textId="77777777" w:rsidR="004202B3" w:rsidRPr="00D068B9" w:rsidRDefault="004202B3" w:rsidP="004202B3">
      <w:pPr>
        <w:pStyle w:val="Heading3"/>
      </w:pPr>
      <w:r w:rsidRPr="00D068B9">
        <w:t>Myelofibrosis</w:t>
      </w:r>
    </w:p>
    <w:p w14:paraId="07EF5265" w14:textId="1392C0EF" w:rsidR="004202B3" w:rsidRDefault="004202B3" w:rsidP="004202B3">
      <w:r>
        <w:t xml:space="preserve">In </w:t>
      </w:r>
      <w:r w:rsidRPr="00931621">
        <w:t xml:space="preserve">the randomised period of the two pivotal studies COMFORT-I and COMFORT-II, patients had a median duration of exposure to </w:t>
      </w:r>
      <w:proofErr w:type="spellStart"/>
      <w:r w:rsidRPr="00931621">
        <w:t>Jakavi</w:t>
      </w:r>
      <w:proofErr w:type="spellEnd"/>
      <w:r w:rsidRPr="00931621">
        <w:t xml:space="preserve"> of 10.8 months (range 0.3 to 23.5months). </w:t>
      </w:r>
      <w:proofErr w:type="gramStart"/>
      <w:r w:rsidRPr="00931621">
        <w:t>The majority of</w:t>
      </w:r>
      <w:proofErr w:type="gramEnd"/>
      <w:r w:rsidRPr="00931621">
        <w:t xml:space="preserve"> patients (68.4%) were treated for at least 9 months, with 74 patients (24.6%) treated for 12 months or longer. Of the 301 patients, 111 (36.9%) had a baseline platelet count between 100X 10</w:t>
      </w:r>
      <w:r w:rsidRPr="00931621">
        <w:rPr>
          <w:vertAlign w:val="superscript"/>
        </w:rPr>
        <w:t>9</w:t>
      </w:r>
      <w:r w:rsidRPr="00931621">
        <w:t>/L and 200X 10</w:t>
      </w:r>
      <w:r w:rsidRPr="00931621">
        <w:rPr>
          <w:vertAlign w:val="superscript"/>
        </w:rPr>
        <w:t>9</w:t>
      </w:r>
      <w:r w:rsidRPr="00931621">
        <w:t>/L, and 190 (63.1%) had a baseline platelet count &gt;200X 10</w:t>
      </w:r>
      <w:r w:rsidRPr="00931621">
        <w:rPr>
          <w:vertAlign w:val="superscript"/>
        </w:rPr>
        <w:t>9</w:t>
      </w:r>
      <w:r w:rsidRPr="00931621">
        <w:t xml:space="preserve">/L [Table </w:t>
      </w:r>
      <w:r>
        <w:t>1</w:t>
      </w:r>
      <w:r w:rsidR="000603E1">
        <w:t>, 2 and 5</w:t>
      </w:r>
      <w:r w:rsidRPr="00931621">
        <w:t>].</w:t>
      </w:r>
    </w:p>
    <w:p w14:paraId="0338A6B1" w14:textId="77777777" w:rsidR="004202B3" w:rsidRPr="00D068B9" w:rsidRDefault="004202B3" w:rsidP="004202B3">
      <w:r w:rsidRPr="00D068B9">
        <w:t>In these clinical studies, discontinuation due to adverse events, regardless of causality was observed in 11.3% of patients.</w:t>
      </w:r>
    </w:p>
    <w:p w14:paraId="2F5F780B" w14:textId="2B46C926" w:rsidR="004202B3" w:rsidRPr="00DE6BF0" w:rsidRDefault="004202B3" w:rsidP="004202B3">
      <w:r w:rsidRPr="00DE6BF0">
        <w:t>The most frequently reported adverse drug reactions were thrombocytopenia and an</w:t>
      </w:r>
      <w:r>
        <w:t>a</w:t>
      </w:r>
      <w:r w:rsidRPr="00DE6BF0">
        <w:t xml:space="preserve">emia. </w:t>
      </w:r>
    </w:p>
    <w:p w14:paraId="7C8D0A1F" w14:textId="62358160" w:rsidR="004202B3" w:rsidRPr="00DE6BF0" w:rsidRDefault="004202B3" w:rsidP="004202B3">
      <w:r w:rsidRPr="00DE6BF0">
        <w:t>H</w:t>
      </w:r>
      <w:r>
        <w:t>a</w:t>
      </w:r>
      <w:r w:rsidRPr="00DE6BF0">
        <w:t>ematological adverse reactions (any CTCAE grade</w:t>
      </w:r>
      <w:r>
        <w:t xml:space="preserve">; </w:t>
      </w:r>
      <w:r w:rsidRPr="00AA44E8">
        <w:t>Common Terminology Criteria for Adverse Events</w:t>
      </w:r>
      <w:r w:rsidRPr="00DE6BF0">
        <w:t>) included an</w:t>
      </w:r>
      <w:r>
        <w:t>a</w:t>
      </w:r>
      <w:r w:rsidRPr="00DE6BF0">
        <w:t>emia (</w:t>
      </w:r>
      <w:r>
        <w:t>82.4</w:t>
      </w:r>
      <w:r w:rsidRPr="00DE6BF0">
        <w:t>%), thrombocytopenia (</w:t>
      </w:r>
      <w:r>
        <w:t>69.8</w:t>
      </w:r>
      <w:r w:rsidRPr="00DE6BF0">
        <w:t>%) and neutropenia (</w:t>
      </w:r>
      <w:r>
        <w:t>16.6</w:t>
      </w:r>
      <w:r w:rsidRPr="00DE6BF0">
        <w:t xml:space="preserve"> %). </w:t>
      </w:r>
    </w:p>
    <w:p w14:paraId="49CA4D15" w14:textId="07FC61FC" w:rsidR="004202B3" w:rsidRPr="00DE6BF0" w:rsidRDefault="004202B3" w:rsidP="004202B3">
      <w:r w:rsidRPr="00DE6BF0">
        <w:t>An</w:t>
      </w:r>
      <w:r>
        <w:t>a</w:t>
      </w:r>
      <w:r w:rsidRPr="00DE6BF0">
        <w:t xml:space="preserve">emia, </w:t>
      </w:r>
      <w:proofErr w:type="gramStart"/>
      <w:r w:rsidRPr="00DE6BF0">
        <w:t>thrombocytopenia</w:t>
      </w:r>
      <w:proofErr w:type="gramEnd"/>
      <w:r w:rsidRPr="00DE6BF0">
        <w:t xml:space="preserve"> and neutropenia are dose related effects. </w:t>
      </w:r>
    </w:p>
    <w:p w14:paraId="2C0CDFA7" w14:textId="77777777" w:rsidR="004202B3" w:rsidRPr="00DE6BF0" w:rsidRDefault="004202B3" w:rsidP="004202B3">
      <w:r w:rsidRPr="00DE6BF0">
        <w:t>The three most frequent non-haematological adverse reactions were bruising (</w:t>
      </w:r>
      <w:r>
        <w:t>21.6</w:t>
      </w:r>
      <w:r w:rsidRPr="00DE6BF0">
        <w:t>%), dizziness (</w:t>
      </w:r>
      <w:r>
        <w:t>15.3</w:t>
      </w:r>
      <w:r w:rsidRPr="00DE6BF0">
        <w:t>%) and headache (</w:t>
      </w:r>
      <w:r>
        <w:t>14.0</w:t>
      </w:r>
      <w:r w:rsidRPr="00DE6BF0">
        <w:t>%). The three most frequent non-haematological laboratory abnormalities were raised alanine aminotransferase (</w:t>
      </w:r>
      <w:r>
        <w:t>27.2</w:t>
      </w:r>
      <w:r w:rsidRPr="00DE6BF0">
        <w:t>%), raised aspartate aminotransferase (</w:t>
      </w:r>
      <w:r>
        <w:t>19.9</w:t>
      </w:r>
      <w:r w:rsidRPr="00DE6BF0">
        <w:t>%) and hypercholesterolaemia (16.</w:t>
      </w:r>
      <w:r>
        <w:t>9</w:t>
      </w:r>
      <w:r w:rsidRPr="00DE6BF0">
        <w:t>%).</w:t>
      </w:r>
    </w:p>
    <w:p w14:paraId="04ECD653" w14:textId="1AE19FFB" w:rsidR="004202B3" w:rsidRDefault="004202B3" w:rsidP="004202B3">
      <w:r w:rsidRPr="6E9AFC58">
        <w:rPr>
          <w:b/>
          <w:bCs/>
        </w:rPr>
        <w:t>Long term safety:</w:t>
      </w:r>
      <w:r>
        <w:t xml:space="preserve"> As expected with an extended follow-up time, the cumulative frequency of some adverse events increased in the evaluation of the 3-years follow–up safety data (median duration of exposure of 33.4 months for COMFORT-I and COMFORT-II for patients initially randomi</w:t>
      </w:r>
      <w:r w:rsidR="00AB36A3">
        <w:t>s</w:t>
      </w:r>
      <w:r>
        <w:t xml:space="preserve">ed to </w:t>
      </w:r>
      <w:proofErr w:type="spellStart"/>
      <w:r>
        <w:t>ruxolitinib</w:t>
      </w:r>
      <w:proofErr w:type="spellEnd"/>
      <w:r>
        <w:t xml:space="preserve">) from 457 patients with myelofibrosis treated with </w:t>
      </w:r>
      <w:proofErr w:type="spellStart"/>
      <w:r>
        <w:t>ruxolitinib</w:t>
      </w:r>
      <w:proofErr w:type="spellEnd"/>
      <w:r>
        <w:t xml:space="preserve"> during the randomi</w:t>
      </w:r>
      <w:r w:rsidR="00AB36A3">
        <w:t>s</w:t>
      </w:r>
      <w:r>
        <w:t>ed and extension periods of the two pivotal phase 3 studies. The suspected drug-related adverse events of any grade which increased in frequency by more than 2% were thrombocytopenia (+6.2%), an</w:t>
      </w:r>
      <w:r w:rsidR="00031A76">
        <w:t>a</w:t>
      </w:r>
      <w:r>
        <w:t>emia (+6.2%), increased weight (+2.3%) and fatigue (+2.2%). Serious adverse events which increased in frequency by more than 2% were pneumonia (+4.3%) and an</w:t>
      </w:r>
      <w:r w:rsidR="00031A76">
        <w:t>a</w:t>
      </w:r>
      <w:r>
        <w:t>emia (+3.2%). This evaluation included data from patients that were initially randomi</w:t>
      </w:r>
      <w:r w:rsidR="00AB36A3">
        <w:t>s</w:t>
      </w:r>
      <w:r>
        <w:t xml:space="preserve">ed to </w:t>
      </w:r>
      <w:proofErr w:type="spellStart"/>
      <w:r>
        <w:t>ruxolitinib</w:t>
      </w:r>
      <w:proofErr w:type="spellEnd"/>
      <w:r>
        <w:t xml:space="preserve"> (n=301) and patients that received </w:t>
      </w:r>
      <w:proofErr w:type="spellStart"/>
      <w:r>
        <w:t>ruxolitinib</w:t>
      </w:r>
      <w:proofErr w:type="spellEnd"/>
      <w:r>
        <w:t xml:space="preserve"> after crossing over from control treatment arms (n=156). With these updated data, therapy discontinuation due to adverse events was observed in 21.4% of patients treated with </w:t>
      </w:r>
      <w:proofErr w:type="spellStart"/>
      <w:r>
        <w:t>ruxolitinib</w:t>
      </w:r>
      <w:proofErr w:type="spellEnd"/>
      <w:r>
        <w:t>.</w:t>
      </w:r>
    </w:p>
    <w:p w14:paraId="612680A2" w14:textId="71BFB856" w:rsidR="004202B3" w:rsidRDefault="004202B3" w:rsidP="004202B3">
      <w:pPr>
        <w:pStyle w:val="Heading3"/>
      </w:pPr>
      <w:proofErr w:type="spellStart"/>
      <w:r w:rsidRPr="00AD3A5E">
        <w:lastRenderedPageBreak/>
        <w:t>Polycythemia</w:t>
      </w:r>
      <w:proofErr w:type="spellEnd"/>
      <w:r w:rsidRPr="00AD3A5E">
        <w:t xml:space="preserve"> vera</w:t>
      </w:r>
    </w:p>
    <w:p w14:paraId="1D21BEF7" w14:textId="6DA2803E" w:rsidR="004202B3" w:rsidRPr="00AD3A5E" w:rsidRDefault="004202B3" w:rsidP="004202B3">
      <w:r>
        <w:t xml:space="preserve">The safety of </w:t>
      </w:r>
      <w:proofErr w:type="spellStart"/>
      <w:r>
        <w:t>Jakavi</w:t>
      </w:r>
      <w:proofErr w:type="spellEnd"/>
      <w:r>
        <w:t xml:space="preserve"> was assessed in 110 patients with </w:t>
      </w:r>
      <w:proofErr w:type="spellStart"/>
      <w:r>
        <w:t>polycythemia</w:t>
      </w:r>
      <w:proofErr w:type="spellEnd"/>
      <w:r>
        <w:t xml:space="preserve"> vera in an </w:t>
      </w:r>
      <w:proofErr w:type="gramStart"/>
      <w:r>
        <w:t>open-label</w:t>
      </w:r>
      <w:proofErr w:type="gramEnd"/>
      <w:r>
        <w:t>, randomi</w:t>
      </w:r>
      <w:r w:rsidR="00AB36A3">
        <w:t>s</w:t>
      </w:r>
      <w:r>
        <w:t xml:space="preserve">ed, controlled phase 3 RESPONSE study. The adverse drug reaction listed below reflects the initial study period (up to Week 32) with equivalent exposure to </w:t>
      </w:r>
      <w:proofErr w:type="spellStart"/>
      <w:r>
        <w:t>Ruxolitinib</w:t>
      </w:r>
      <w:proofErr w:type="spellEnd"/>
      <w:r>
        <w:t xml:space="preserve"> and Best Available Therapy, corresponding to a median duration of exposure to </w:t>
      </w:r>
      <w:proofErr w:type="spellStart"/>
      <w:r>
        <w:t>Jakavi</w:t>
      </w:r>
      <w:proofErr w:type="spellEnd"/>
      <w:r>
        <w:t xml:space="preserve"> of 7.8 months. The mean age of patients receiving </w:t>
      </w:r>
      <w:proofErr w:type="spellStart"/>
      <w:r>
        <w:t>Jakavi</w:t>
      </w:r>
      <w:proofErr w:type="spellEnd"/>
      <w:r>
        <w:t xml:space="preserve"> was around 60 years.</w:t>
      </w:r>
    </w:p>
    <w:p w14:paraId="32A7C3BA" w14:textId="77777777" w:rsidR="004202B3" w:rsidRPr="00AD3A5E" w:rsidRDefault="004202B3" w:rsidP="004202B3">
      <w:r w:rsidRPr="00AD3A5E">
        <w:t xml:space="preserve">Discontinuation for adverse events, regardless of causality, was observed in 3.6% of patients treated with </w:t>
      </w:r>
      <w:proofErr w:type="spellStart"/>
      <w:r w:rsidRPr="00AD3A5E">
        <w:t>Jakavi</w:t>
      </w:r>
      <w:proofErr w:type="spellEnd"/>
      <w:r w:rsidRPr="00AD3A5E">
        <w:t xml:space="preserve"> and 1.8% of patients treated with best available therapy.</w:t>
      </w:r>
    </w:p>
    <w:p w14:paraId="690C80AC" w14:textId="015B71D1" w:rsidR="004202B3" w:rsidRPr="00AD3A5E" w:rsidRDefault="004202B3" w:rsidP="004202B3">
      <w:r>
        <w:t>H</w:t>
      </w:r>
      <w:r w:rsidR="00031A76">
        <w:t>a</w:t>
      </w:r>
      <w:r>
        <w:t>ematological adverse reactions (any CTCAE grade) included an</w:t>
      </w:r>
      <w:r w:rsidR="00031A76">
        <w:t>a</w:t>
      </w:r>
      <w:r>
        <w:t>emia (43.6%) and thrombocytopenia (24.5%). An</w:t>
      </w:r>
      <w:r w:rsidR="00031A76">
        <w:t>a</w:t>
      </w:r>
      <w:r>
        <w:t>emia or thrombocytopenia grade 3 and 4 were reported in respectively 1.8% or 5.4%.</w:t>
      </w:r>
    </w:p>
    <w:p w14:paraId="1FB138FA" w14:textId="77777777" w:rsidR="004202B3" w:rsidRPr="00AD3A5E" w:rsidRDefault="004202B3" w:rsidP="004202B3">
      <w:r w:rsidRPr="00AD3A5E">
        <w:t>The three most frequent non-h</w:t>
      </w:r>
      <w:r>
        <w:t>a</w:t>
      </w:r>
      <w:r w:rsidRPr="00AD3A5E">
        <w:t>ematologic adverse reactions were dizziness (15.5%), constipation (8.2%), and herpes zoster (6.4%).</w:t>
      </w:r>
    </w:p>
    <w:p w14:paraId="6CE39746" w14:textId="69C6461D" w:rsidR="004202B3" w:rsidRPr="00AD3A5E" w:rsidRDefault="004202B3" w:rsidP="004202B3">
      <w:r>
        <w:t>The three most frequent non-haematological laboratory abnormalities (Any CTCAE grade) were hypercholesterol</w:t>
      </w:r>
      <w:r w:rsidR="009238D1">
        <w:t>a</w:t>
      </w:r>
      <w:r>
        <w:t xml:space="preserve">emia (30.0%), raised alanine aminotransferase (22.7%) and raised aspartate aminotransferase (20.9%). These were all grade 1-2 </w:t>
      </w:r>
      <w:proofErr w:type="gramStart"/>
      <w:r>
        <w:t>with the exception of</w:t>
      </w:r>
      <w:proofErr w:type="gramEnd"/>
      <w:r>
        <w:t xml:space="preserve"> one grade 3 raised alanine aminotransferase event.</w:t>
      </w:r>
    </w:p>
    <w:p w14:paraId="5D8609E9" w14:textId="349E72C0" w:rsidR="004202B3" w:rsidRDefault="004202B3" w:rsidP="004202B3">
      <w:r w:rsidRPr="004202B3">
        <w:rPr>
          <w:b/>
        </w:rPr>
        <w:t>Long term safety:</w:t>
      </w:r>
      <w:r w:rsidRPr="00AD3A5E">
        <w:t xml:space="preserve"> Patients had a median duration of exposure to </w:t>
      </w:r>
      <w:proofErr w:type="spellStart"/>
      <w:r w:rsidRPr="00AD3A5E">
        <w:t>Jakavi</w:t>
      </w:r>
      <w:proofErr w:type="spellEnd"/>
      <w:r w:rsidRPr="00AD3A5E">
        <w:t xml:space="preserve"> of 18.6 months (range 0.3 to 35.9 months). With longer exposure, the cumulative frequency of AEs increased but no new safety findings emerged. When adjusted for exposure, the AE rates were generally comparable with those observed during the initial study period.</w:t>
      </w:r>
    </w:p>
    <w:p w14:paraId="332C0624" w14:textId="77777777" w:rsidR="00D33558" w:rsidRPr="00E26050" w:rsidRDefault="00D33558" w:rsidP="0059313A">
      <w:pPr>
        <w:pStyle w:val="Heading3"/>
      </w:pPr>
      <w:r w:rsidRPr="00E26050">
        <w:t>Acute GvHD</w:t>
      </w:r>
    </w:p>
    <w:p w14:paraId="3AF46D5E" w14:textId="39BEDAE2" w:rsidR="00D33558" w:rsidRDefault="00D33558" w:rsidP="0059313A">
      <w:r>
        <w:t xml:space="preserve">The safety of </w:t>
      </w:r>
      <w:proofErr w:type="spellStart"/>
      <w:r>
        <w:t>Jakavi</w:t>
      </w:r>
      <w:proofErr w:type="spellEnd"/>
      <w:r>
        <w:t xml:space="preserve"> in acute GvHD patients was evaluated in the phase 3 study REACH2, including data from patients initially randomi</w:t>
      </w:r>
      <w:r w:rsidR="00AB36A3">
        <w:t>s</w:t>
      </w:r>
      <w:r>
        <w:t xml:space="preserve">ed to </w:t>
      </w:r>
      <w:proofErr w:type="spellStart"/>
      <w:r>
        <w:t>Jakavi</w:t>
      </w:r>
      <w:proofErr w:type="spellEnd"/>
      <w:r>
        <w:t xml:space="preserve"> (n=152) and patients who received </w:t>
      </w:r>
      <w:proofErr w:type="spellStart"/>
      <w:r>
        <w:t>Jakavi</w:t>
      </w:r>
      <w:proofErr w:type="spellEnd"/>
      <w:r>
        <w:t xml:space="preserve"> after crossing over from control treatment (n=49). The median exposure upon which the ADR frequency categories were based was 8.9 weeks (range 0.3 to 66.1 weeks</w:t>
      </w:r>
      <w:r w:rsidR="002E3647">
        <w:t>)</w:t>
      </w:r>
      <w:r w:rsidRPr="00FD511F">
        <w:t>.</w:t>
      </w:r>
    </w:p>
    <w:p w14:paraId="4E148444" w14:textId="64DFED4A" w:rsidR="00D33558" w:rsidRDefault="00D33558" w:rsidP="0059313A">
      <w:r>
        <w:t>The most frequently reported overall ADRs were thrombocytopenia (85.2%), anaemia (75.0%) and neutropenia (65.1%)</w:t>
      </w:r>
      <w:r w:rsidRPr="00237E89">
        <w:t>.</w:t>
      </w:r>
    </w:p>
    <w:p w14:paraId="04230BBC" w14:textId="72FD86F1" w:rsidR="00D33558" w:rsidRDefault="00D33558" w:rsidP="0059313A">
      <w:r w:rsidRPr="00A8420B">
        <w:t>H</w:t>
      </w:r>
      <w:r w:rsidR="00AB36A3">
        <w:t>a</w:t>
      </w:r>
      <w:r w:rsidRPr="00A8420B">
        <w:t xml:space="preserve">ematological </w:t>
      </w:r>
      <w:r>
        <w:t>laboratory abnormalities identified as ADRs</w:t>
      </w:r>
      <w:r w:rsidRPr="00A8420B">
        <w:t xml:space="preserve"> included </w:t>
      </w:r>
      <w:r>
        <w:t>thrombocytopenia (85.2%), anaemia (75.0%) and neutropenia (65.1%)</w:t>
      </w:r>
      <w:r w:rsidRPr="00A8420B">
        <w:t>.</w:t>
      </w:r>
      <w:r>
        <w:t xml:space="preserve"> G</w:t>
      </w:r>
      <w:r w:rsidRPr="00A8420B">
        <w:t xml:space="preserve">rade 3 </w:t>
      </w:r>
      <w:r w:rsidRPr="001A726D">
        <w:t>an</w:t>
      </w:r>
      <w:r w:rsidR="00AB36A3">
        <w:t>a</w:t>
      </w:r>
      <w:r w:rsidRPr="001A726D">
        <w:t>emia was reported in 47.7% of patients (</w:t>
      </w:r>
      <w:r w:rsidRPr="001A726D">
        <w:rPr>
          <w:szCs w:val="24"/>
        </w:rPr>
        <w:t>Grade 4 not applicable per CTCAE v4.03</w:t>
      </w:r>
      <w:r w:rsidRPr="001A726D">
        <w:t>). Grade 3 and 4 thrombocytopenia were reported in 31.3% and 47.7% of patients, respectively.</w:t>
      </w:r>
    </w:p>
    <w:p w14:paraId="36303035" w14:textId="681100B5" w:rsidR="00D33558" w:rsidRDefault="00D33558" w:rsidP="0059313A">
      <w:r>
        <w:t>The most frequent non-h</w:t>
      </w:r>
      <w:r w:rsidR="009238D1">
        <w:t>a</w:t>
      </w:r>
      <w:r>
        <w:t>ematological ADRs were cytomegalovirus (CMV) infection (32.3%), sepsis (25.4%) and UTI (17.9%).</w:t>
      </w:r>
    </w:p>
    <w:p w14:paraId="71B62669" w14:textId="6F551B62" w:rsidR="00D33558" w:rsidRPr="00A8420B" w:rsidRDefault="00D33558" w:rsidP="0059313A">
      <w:r>
        <w:lastRenderedPageBreak/>
        <w:t>The most frequent non-h</w:t>
      </w:r>
      <w:r w:rsidR="009238D1">
        <w:t>a</w:t>
      </w:r>
      <w:r>
        <w:t>ematological laboratory abnormalities identified as ADRs were increased ALT (54.9%), increased AST (52.3%) and hypercholesterolaemia (49.2%). The majority were of grade 1 and 2.</w:t>
      </w:r>
    </w:p>
    <w:p w14:paraId="73EC7D15" w14:textId="0615533C" w:rsidR="00D33558" w:rsidRPr="007F504E" w:rsidDel="00266AEA" w:rsidRDefault="00D33558" w:rsidP="0059313A">
      <w:r w:rsidRPr="00A8420B">
        <w:t xml:space="preserve">Discontinuation due to AEs, regardless of causality, was observed in </w:t>
      </w:r>
      <w:r>
        <w:t>29.4</w:t>
      </w:r>
      <w:r w:rsidRPr="00A8420B">
        <w:t xml:space="preserve">% of patients </w:t>
      </w:r>
      <w:r>
        <w:t xml:space="preserve">treated with </w:t>
      </w:r>
      <w:proofErr w:type="spellStart"/>
      <w:r>
        <w:t>Jakavi</w:t>
      </w:r>
      <w:proofErr w:type="spellEnd"/>
      <w:r w:rsidRPr="00A8420B">
        <w:t>.</w:t>
      </w:r>
    </w:p>
    <w:p w14:paraId="5B78A716" w14:textId="77777777" w:rsidR="00D33558" w:rsidRPr="00E26050" w:rsidRDefault="00D33558" w:rsidP="00D33558">
      <w:pPr>
        <w:pStyle w:val="Heading3"/>
      </w:pPr>
      <w:r>
        <w:t>Chronic</w:t>
      </w:r>
      <w:r w:rsidRPr="00E26050">
        <w:t xml:space="preserve"> GvHD</w:t>
      </w:r>
    </w:p>
    <w:p w14:paraId="3EAEE01E" w14:textId="6D078737" w:rsidR="00D33558" w:rsidRDefault="00D33558" w:rsidP="00D33558">
      <w:r>
        <w:t xml:space="preserve">The safety of </w:t>
      </w:r>
      <w:proofErr w:type="spellStart"/>
      <w:r>
        <w:t>Jakavi</w:t>
      </w:r>
      <w:proofErr w:type="spellEnd"/>
      <w:r>
        <w:t xml:space="preserve"> in chronic GvHD patients was evaluated in the phase 3 study REACH3, including data from patients initially randomi</w:t>
      </w:r>
      <w:r w:rsidR="00AB36A3">
        <w:t>s</w:t>
      </w:r>
      <w:r>
        <w:t xml:space="preserve">ed to </w:t>
      </w:r>
      <w:proofErr w:type="spellStart"/>
      <w:r>
        <w:t>Jakavi</w:t>
      </w:r>
      <w:proofErr w:type="spellEnd"/>
      <w:r>
        <w:t xml:space="preserve"> (n=165) and patients who received </w:t>
      </w:r>
      <w:proofErr w:type="spellStart"/>
      <w:r>
        <w:t>Jakavi</w:t>
      </w:r>
      <w:proofErr w:type="spellEnd"/>
      <w:r>
        <w:t xml:space="preserve"> after crossing over from best available treatment (BAT) [n=61]. The median exposure upon which the ADR frequency categories were based was 41.4 weeks (range 0.7 to 127.3 weeks).</w:t>
      </w:r>
    </w:p>
    <w:p w14:paraId="55D8B2AB" w14:textId="2BCA7981" w:rsidR="00D33558" w:rsidRDefault="00D33558" w:rsidP="00D33558">
      <w:r>
        <w:t>The most frequently reported overall ADRs were anaemia (68.6%), hypercholesterol</w:t>
      </w:r>
      <w:r w:rsidR="00AB36A3">
        <w:t>a</w:t>
      </w:r>
      <w:r>
        <w:t>emia (52.3%) and increased AST (52.2%).</w:t>
      </w:r>
    </w:p>
    <w:p w14:paraId="754B26CE" w14:textId="18260FC5" w:rsidR="00D33558" w:rsidRDefault="00D33558" w:rsidP="00D33558">
      <w:r w:rsidRPr="001A726D">
        <w:t>H</w:t>
      </w:r>
      <w:r w:rsidR="00AB36A3">
        <w:t>a</w:t>
      </w:r>
      <w:r w:rsidRPr="001A726D">
        <w:t>ematological laboratory abnormalities identified as ADRs included an</w:t>
      </w:r>
      <w:r w:rsidR="00AB36A3">
        <w:t>a</w:t>
      </w:r>
      <w:r w:rsidRPr="001A726D">
        <w:t>emia (68.6%), thrombocytopenia (34.4%) and neutropenia (36.2%). Grade 3 an</w:t>
      </w:r>
      <w:r w:rsidR="00124A74">
        <w:t>a</w:t>
      </w:r>
      <w:r w:rsidRPr="001A726D">
        <w:t>emia was reported in 14.8% of patients (Grade 4 not applicable per CTCAE v4.03). Grade 3 and 4 neutropenia were reported in 9.5% and 6.7% of patients, respectively.</w:t>
      </w:r>
    </w:p>
    <w:p w14:paraId="5F1CA120" w14:textId="23B18D37" w:rsidR="00D33558" w:rsidRDefault="00D33558" w:rsidP="00D33558">
      <w:r>
        <w:t>The most frequent non-h</w:t>
      </w:r>
      <w:r w:rsidR="00AB36A3">
        <w:t>a</w:t>
      </w:r>
      <w:r>
        <w:t>ematological ADRs were hypertension (15.0%), headache (10.2%) and UTI (9.3%).</w:t>
      </w:r>
    </w:p>
    <w:p w14:paraId="22A89431" w14:textId="767CB6A0" w:rsidR="00CE1CBC" w:rsidRDefault="00D33558" w:rsidP="00D33558">
      <w:r>
        <w:t>The most frequent non-h</w:t>
      </w:r>
      <w:r w:rsidR="00AB36A3">
        <w:t>a</w:t>
      </w:r>
      <w:r>
        <w:t>ematological laboratory abnormalities identified as ADRs were hypercholesterol</w:t>
      </w:r>
      <w:r w:rsidR="009238D1">
        <w:t>a</w:t>
      </w:r>
      <w:r>
        <w:t>emia (52.3%), increased AST (52.2%) and increased ALT (43.1%). The majority were Grade 1 and 2.</w:t>
      </w:r>
    </w:p>
    <w:p w14:paraId="3DA501F2" w14:textId="6B93DD95" w:rsidR="00D33558" w:rsidRPr="00AD3A5E" w:rsidRDefault="00D33558" w:rsidP="00D33558">
      <w:r w:rsidRPr="00A8420B">
        <w:t xml:space="preserve">Discontinuation due to AEs, regardless of causality, was observed in </w:t>
      </w:r>
      <w:r>
        <w:t>18.1</w:t>
      </w:r>
      <w:r w:rsidRPr="00A8420B">
        <w:t xml:space="preserve">% of patients </w:t>
      </w:r>
      <w:r>
        <w:t xml:space="preserve">treated with </w:t>
      </w:r>
      <w:proofErr w:type="spellStart"/>
      <w:r>
        <w:t>Jakavi</w:t>
      </w:r>
      <w:proofErr w:type="spellEnd"/>
      <w:r w:rsidRPr="00A8420B">
        <w:t>.</w:t>
      </w:r>
    </w:p>
    <w:p w14:paraId="6AF29AF3" w14:textId="77777777" w:rsidR="004202B3" w:rsidRPr="00DE6BF0" w:rsidRDefault="004202B3" w:rsidP="004202B3">
      <w:pPr>
        <w:pStyle w:val="Nottoc-headings"/>
      </w:pPr>
      <w:r w:rsidRPr="00DE6BF0">
        <w:t xml:space="preserve">Tabulated summary of adverse drug reactions from clinical trials </w:t>
      </w:r>
    </w:p>
    <w:p w14:paraId="782F51D6" w14:textId="7287C517" w:rsidR="004202B3" w:rsidRPr="00DE6BF0" w:rsidRDefault="004202B3" w:rsidP="004202B3">
      <w:r w:rsidRPr="00DE6BF0">
        <w:t>Adverse drug reactions</w:t>
      </w:r>
      <w:r>
        <w:t xml:space="preserve"> (ADRs)</w:t>
      </w:r>
      <w:r w:rsidRPr="00DE6BF0">
        <w:t xml:space="preserve"> from clinical trials </w:t>
      </w:r>
      <w:r w:rsidR="00626EEE">
        <w:t>in MF and PV</w:t>
      </w:r>
      <w:r w:rsidRPr="00DE6BF0">
        <w:t xml:space="preserve"> are listed </w:t>
      </w:r>
      <w:r w:rsidR="00626EEE">
        <w:t xml:space="preserve">in Table </w:t>
      </w:r>
      <w:r w:rsidR="000603E1">
        <w:t>5</w:t>
      </w:r>
      <w:r w:rsidR="00626EEE">
        <w:t xml:space="preserve">. ADRs from clinical trials in acute and chronic GvHD are listed in Table </w:t>
      </w:r>
      <w:r w:rsidR="000603E1">
        <w:t>6</w:t>
      </w:r>
      <w:r w:rsidR="00626EEE">
        <w:t xml:space="preserve">. All ADRs are listed </w:t>
      </w:r>
      <w:r w:rsidRPr="00DE6BF0">
        <w:t>by MedDRA system organ class. Within each system organ class, the adverse drug reactions are ranked by frequency, with the most frequent reactions first. In addition, the corresponding frequency category for each adverse drug reaction is based on the following convention (CIOMS III): very common (≥1/10); common (≥1/100 to &lt;1/10); uncommon (≥1/1,000 to &lt;1/100); rare (≥1/10,000 to &lt;1/1,000); very rare (&lt;1/10,000).</w:t>
      </w:r>
    </w:p>
    <w:p w14:paraId="4A637ECB" w14:textId="3A2FDF47" w:rsidR="004202B3" w:rsidRDefault="004202B3" w:rsidP="004202B3">
      <w:r w:rsidRPr="00AD3A5E">
        <w:lastRenderedPageBreak/>
        <w:t xml:space="preserve">In the clinical studies program the severity of adverse drug reactions was assessed based on the Common Terminology Criteria for Adverse Events (CTCAE) defining </w:t>
      </w:r>
      <w:r>
        <w:t>G</w:t>
      </w:r>
      <w:r w:rsidRPr="00AD3A5E">
        <w:t xml:space="preserve">rade 1=mild, </w:t>
      </w:r>
      <w:r>
        <w:t>G</w:t>
      </w:r>
      <w:r w:rsidRPr="00AD3A5E">
        <w:t xml:space="preserve">rade 2= moderate, Grade 3=severe and </w:t>
      </w:r>
      <w:r>
        <w:t>G</w:t>
      </w:r>
      <w:r w:rsidRPr="00AD3A5E">
        <w:t>rade 4=life-threatening or disabling</w:t>
      </w:r>
      <w:r w:rsidR="00626EEE">
        <w:t>, Grade 5=death)</w:t>
      </w:r>
      <w:r>
        <w:t>.</w:t>
      </w:r>
      <w:r w:rsidRPr="00AD3A5E">
        <w:t xml:space="preserve"> </w:t>
      </w:r>
      <w:r>
        <w:t xml:space="preserve"> </w:t>
      </w:r>
    </w:p>
    <w:p w14:paraId="275E9A60" w14:textId="33AA417A" w:rsidR="004202B3" w:rsidRPr="001A2BA4" w:rsidRDefault="004202B3" w:rsidP="004202B3">
      <w:pPr>
        <w:rPr>
          <w:b/>
        </w:rPr>
      </w:pPr>
      <w:r w:rsidRPr="004202B3">
        <w:rPr>
          <w:b/>
        </w:rPr>
        <w:t xml:space="preserve">Table </w:t>
      </w:r>
      <w:r w:rsidRPr="004202B3">
        <w:rPr>
          <w:b/>
          <w:color w:val="2B579A"/>
          <w:shd w:val="clear" w:color="auto" w:fill="E6E6E6"/>
        </w:rPr>
        <w:fldChar w:fldCharType="begin"/>
      </w:r>
      <w:r w:rsidRPr="004202B3">
        <w:rPr>
          <w:b/>
        </w:rPr>
        <w:instrText xml:space="preserve"> SEQ Table \* ARABIC </w:instrText>
      </w:r>
      <w:r w:rsidRPr="004202B3">
        <w:rPr>
          <w:b/>
          <w:color w:val="2B579A"/>
          <w:shd w:val="clear" w:color="auto" w:fill="E6E6E6"/>
        </w:rPr>
        <w:fldChar w:fldCharType="separate"/>
      </w:r>
      <w:r w:rsidR="00F06539">
        <w:rPr>
          <w:b/>
          <w:noProof/>
        </w:rPr>
        <w:t>5</w:t>
      </w:r>
      <w:r w:rsidRPr="004202B3">
        <w:rPr>
          <w:b/>
          <w:color w:val="2B579A"/>
          <w:shd w:val="clear" w:color="auto" w:fill="E6E6E6"/>
        </w:rPr>
        <w:fldChar w:fldCharType="end"/>
      </w:r>
      <w:r w:rsidRPr="004202B3">
        <w:rPr>
          <w:b/>
        </w:rPr>
        <w:t>: Reports the frequency category of adverse drug reactions reported in the phase 3 studies (COMFORT-I, COMFORT-II, RESPONSE)</w:t>
      </w:r>
      <w:r w:rsidRPr="004202B3">
        <w:rPr>
          <w:b/>
          <w:vertAlign w:val="superscript"/>
        </w:rPr>
        <w:t>1)</w:t>
      </w:r>
      <w:r w:rsidR="00CE1CBC">
        <w:rPr>
          <w:b/>
          <w:vertAlign w:val="superscript"/>
        </w:rPr>
        <w:t xml:space="preserve"> </w:t>
      </w:r>
      <w:r w:rsidR="00CE1CBC">
        <w:rPr>
          <w:b/>
        </w:rPr>
        <w:t>in MF and PV</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835"/>
        <w:gridCol w:w="2409"/>
      </w:tblGrid>
      <w:tr w:rsidR="004202B3" w:rsidRPr="00EA1DE7" w14:paraId="0D863202" w14:textId="77777777" w:rsidTr="6E9AFC58">
        <w:trPr>
          <w:trHeight w:val="417"/>
          <w:tblHeader/>
        </w:trPr>
        <w:tc>
          <w:tcPr>
            <w:tcW w:w="3828" w:type="dxa"/>
          </w:tcPr>
          <w:p w14:paraId="73551E74" w14:textId="77777777" w:rsidR="004202B3" w:rsidRPr="00EA1DE7" w:rsidRDefault="004202B3" w:rsidP="00D961C2">
            <w:pPr>
              <w:pStyle w:val="Table"/>
            </w:pPr>
            <w:r w:rsidRPr="00EA1DE7">
              <w:t xml:space="preserve">Adverse drug reactions and </w:t>
            </w:r>
            <w:r w:rsidRPr="00EA1DE7">
              <w:br/>
              <w:t>CTCAE grade</w:t>
            </w:r>
            <w:r w:rsidRPr="00EA1DE7">
              <w:rPr>
                <w:vertAlign w:val="superscript"/>
              </w:rPr>
              <w:t>4</w:t>
            </w:r>
          </w:p>
        </w:tc>
        <w:tc>
          <w:tcPr>
            <w:tcW w:w="2835" w:type="dxa"/>
          </w:tcPr>
          <w:p w14:paraId="237E3038" w14:textId="77777777" w:rsidR="004202B3" w:rsidRPr="00EA1DE7" w:rsidRDefault="004202B3" w:rsidP="00D961C2">
            <w:pPr>
              <w:pStyle w:val="Table"/>
            </w:pPr>
            <w:r w:rsidRPr="00EA1DE7">
              <w:t xml:space="preserve">Frequency category </w:t>
            </w:r>
          </w:p>
          <w:p w14:paraId="3B0C935C" w14:textId="77777777" w:rsidR="004202B3" w:rsidRPr="00EA1DE7" w:rsidRDefault="004202B3" w:rsidP="00D961C2">
            <w:pPr>
              <w:pStyle w:val="Table"/>
            </w:pPr>
            <w:r w:rsidRPr="00EA1DE7">
              <w:t>for MF patients</w:t>
            </w:r>
          </w:p>
        </w:tc>
        <w:tc>
          <w:tcPr>
            <w:tcW w:w="2409" w:type="dxa"/>
          </w:tcPr>
          <w:p w14:paraId="6C7E010B" w14:textId="77777777" w:rsidR="004202B3" w:rsidRPr="00EA1DE7" w:rsidRDefault="004202B3" w:rsidP="00D961C2">
            <w:pPr>
              <w:pStyle w:val="Table"/>
            </w:pPr>
            <w:r w:rsidRPr="00EA1DE7">
              <w:t>Frequency category</w:t>
            </w:r>
          </w:p>
          <w:p w14:paraId="38FAEDEB" w14:textId="77777777" w:rsidR="004202B3" w:rsidRPr="00EA1DE7" w:rsidRDefault="004202B3" w:rsidP="00D961C2">
            <w:pPr>
              <w:pStyle w:val="Table"/>
            </w:pPr>
            <w:r w:rsidRPr="00EA1DE7">
              <w:t>for PV patients</w:t>
            </w:r>
          </w:p>
        </w:tc>
      </w:tr>
      <w:tr w:rsidR="004202B3" w:rsidRPr="00EA1DE7" w14:paraId="5A3A93E6" w14:textId="77777777" w:rsidTr="6E9AFC58">
        <w:trPr>
          <w:trHeight w:val="145"/>
        </w:trPr>
        <w:tc>
          <w:tcPr>
            <w:tcW w:w="9072" w:type="dxa"/>
            <w:gridSpan w:val="3"/>
            <w:vAlign w:val="center"/>
          </w:tcPr>
          <w:p w14:paraId="70391DD6" w14:textId="77777777" w:rsidR="004202B3" w:rsidRPr="00EA1DE7" w:rsidRDefault="004202B3" w:rsidP="00D961C2">
            <w:pPr>
              <w:pStyle w:val="Table"/>
            </w:pPr>
            <w:r w:rsidRPr="00EA1DE7">
              <w:t>Infections and infestations</w:t>
            </w:r>
          </w:p>
        </w:tc>
      </w:tr>
      <w:tr w:rsidR="004202B3" w:rsidRPr="00D961C2" w14:paraId="7A0167C8" w14:textId="77777777" w:rsidTr="6E9AFC58">
        <w:trPr>
          <w:trHeight w:val="145"/>
        </w:trPr>
        <w:tc>
          <w:tcPr>
            <w:tcW w:w="3828" w:type="dxa"/>
            <w:vAlign w:val="center"/>
          </w:tcPr>
          <w:p w14:paraId="1448D3D2" w14:textId="77777777" w:rsidR="004202B3" w:rsidRPr="00D961C2" w:rsidRDefault="004202B3" w:rsidP="00D961C2">
            <w:pPr>
              <w:pStyle w:val="Table"/>
              <w:rPr>
                <w:b w:val="0"/>
                <w:vertAlign w:val="superscript"/>
              </w:rPr>
            </w:pPr>
            <w:r w:rsidRPr="00D961C2">
              <w:rPr>
                <w:b w:val="0"/>
              </w:rPr>
              <w:t>Urinary Tract infections</w:t>
            </w:r>
            <w:r w:rsidRPr="00D961C2">
              <w:rPr>
                <w:b w:val="0"/>
                <w:vertAlign w:val="superscript"/>
              </w:rPr>
              <w:t>1,</w:t>
            </w:r>
          </w:p>
        </w:tc>
        <w:tc>
          <w:tcPr>
            <w:tcW w:w="2835" w:type="dxa"/>
            <w:vAlign w:val="center"/>
          </w:tcPr>
          <w:p w14:paraId="48F2DD08" w14:textId="77777777" w:rsidR="004202B3" w:rsidRPr="00D961C2" w:rsidRDefault="004202B3" w:rsidP="00D961C2">
            <w:pPr>
              <w:pStyle w:val="Table"/>
              <w:rPr>
                <w:b w:val="0"/>
              </w:rPr>
            </w:pPr>
            <w:r w:rsidRPr="00D961C2">
              <w:rPr>
                <w:b w:val="0"/>
              </w:rPr>
              <w:t>Very common</w:t>
            </w:r>
          </w:p>
        </w:tc>
        <w:tc>
          <w:tcPr>
            <w:tcW w:w="2409" w:type="dxa"/>
          </w:tcPr>
          <w:p w14:paraId="28164929" w14:textId="77777777" w:rsidR="004202B3" w:rsidRPr="00D961C2" w:rsidRDefault="004202B3" w:rsidP="00D961C2">
            <w:pPr>
              <w:pStyle w:val="Table"/>
              <w:rPr>
                <w:b w:val="0"/>
              </w:rPr>
            </w:pPr>
            <w:r w:rsidRPr="00D961C2">
              <w:rPr>
                <w:b w:val="0"/>
              </w:rPr>
              <w:t>Common</w:t>
            </w:r>
          </w:p>
        </w:tc>
      </w:tr>
      <w:tr w:rsidR="004202B3" w:rsidRPr="00D961C2" w14:paraId="12FE1C71" w14:textId="77777777" w:rsidTr="6E9AFC58">
        <w:trPr>
          <w:trHeight w:val="145"/>
        </w:trPr>
        <w:tc>
          <w:tcPr>
            <w:tcW w:w="3828" w:type="dxa"/>
            <w:vAlign w:val="center"/>
          </w:tcPr>
          <w:p w14:paraId="22F76536" w14:textId="77777777" w:rsidR="004202B3" w:rsidRPr="00D961C2" w:rsidRDefault="004202B3" w:rsidP="00D961C2">
            <w:pPr>
              <w:pStyle w:val="Table"/>
              <w:rPr>
                <w:b w:val="0"/>
              </w:rPr>
            </w:pPr>
            <w:r w:rsidRPr="00D961C2">
              <w:rPr>
                <w:b w:val="0"/>
              </w:rPr>
              <w:t>Pneumonia</w:t>
            </w:r>
            <w:r w:rsidRPr="00D961C2">
              <w:rPr>
                <w:b w:val="0"/>
                <w:vertAlign w:val="superscript"/>
              </w:rPr>
              <w:t xml:space="preserve">1 </w:t>
            </w:r>
          </w:p>
        </w:tc>
        <w:tc>
          <w:tcPr>
            <w:tcW w:w="2835" w:type="dxa"/>
            <w:vAlign w:val="center"/>
          </w:tcPr>
          <w:p w14:paraId="07F27E58" w14:textId="77777777" w:rsidR="004202B3" w:rsidRPr="00D961C2" w:rsidRDefault="004202B3" w:rsidP="00D961C2">
            <w:pPr>
              <w:pStyle w:val="Table"/>
              <w:rPr>
                <w:b w:val="0"/>
              </w:rPr>
            </w:pPr>
            <w:r w:rsidRPr="00D961C2">
              <w:rPr>
                <w:b w:val="0"/>
              </w:rPr>
              <w:t>Common</w:t>
            </w:r>
          </w:p>
        </w:tc>
        <w:tc>
          <w:tcPr>
            <w:tcW w:w="2409" w:type="dxa"/>
          </w:tcPr>
          <w:p w14:paraId="7CE5B282" w14:textId="77777777" w:rsidR="004202B3" w:rsidRPr="00D961C2" w:rsidRDefault="004202B3" w:rsidP="00D961C2">
            <w:pPr>
              <w:pStyle w:val="Table"/>
              <w:rPr>
                <w:b w:val="0"/>
              </w:rPr>
            </w:pPr>
            <w:r w:rsidRPr="00D961C2">
              <w:rPr>
                <w:b w:val="0"/>
              </w:rPr>
              <w:t>-</w:t>
            </w:r>
          </w:p>
        </w:tc>
      </w:tr>
      <w:tr w:rsidR="004202B3" w:rsidRPr="00D961C2" w14:paraId="7F877B6C" w14:textId="77777777" w:rsidTr="6E9AFC58">
        <w:trPr>
          <w:trHeight w:val="145"/>
        </w:trPr>
        <w:tc>
          <w:tcPr>
            <w:tcW w:w="3828" w:type="dxa"/>
            <w:vAlign w:val="center"/>
          </w:tcPr>
          <w:p w14:paraId="3995CE3A" w14:textId="77777777" w:rsidR="004202B3" w:rsidRPr="00D961C2" w:rsidRDefault="004202B3" w:rsidP="00D961C2">
            <w:pPr>
              <w:pStyle w:val="Table"/>
              <w:rPr>
                <w:b w:val="0"/>
              </w:rPr>
            </w:pPr>
            <w:r w:rsidRPr="00D961C2">
              <w:rPr>
                <w:b w:val="0"/>
              </w:rPr>
              <w:t>Herpes zoster</w:t>
            </w:r>
            <w:r w:rsidRPr="00D961C2">
              <w:rPr>
                <w:b w:val="0"/>
                <w:vertAlign w:val="superscript"/>
              </w:rPr>
              <w:t>1</w:t>
            </w:r>
          </w:p>
        </w:tc>
        <w:tc>
          <w:tcPr>
            <w:tcW w:w="2835" w:type="dxa"/>
            <w:vAlign w:val="center"/>
          </w:tcPr>
          <w:p w14:paraId="4315633B" w14:textId="77777777" w:rsidR="004202B3" w:rsidRPr="00D961C2" w:rsidRDefault="004202B3" w:rsidP="00D961C2">
            <w:pPr>
              <w:pStyle w:val="Table"/>
              <w:rPr>
                <w:b w:val="0"/>
              </w:rPr>
            </w:pPr>
            <w:r w:rsidRPr="00D961C2">
              <w:rPr>
                <w:b w:val="0"/>
              </w:rPr>
              <w:t>Common</w:t>
            </w:r>
          </w:p>
        </w:tc>
        <w:tc>
          <w:tcPr>
            <w:tcW w:w="2409" w:type="dxa"/>
          </w:tcPr>
          <w:p w14:paraId="268CB84F" w14:textId="77777777" w:rsidR="004202B3" w:rsidRPr="00D961C2" w:rsidRDefault="004202B3" w:rsidP="00D961C2">
            <w:pPr>
              <w:pStyle w:val="Table"/>
              <w:rPr>
                <w:b w:val="0"/>
              </w:rPr>
            </w:pPr>
            <w:r w:rsidRPr="00D961C2">
              <w:rPr>
                <w:b w:val="0"/>
              </w:rPr>
              <w:t>Common</w:t>
            </w:r>
          </w:p>
        </w:tc>
      </w:tr>
      <w:tr w:rsidR="004202B3" w:rsidRPr="00D961C2" w14:paraId="727D7DAD" w14:textId="77777777" w:rsidTr="6E9AFC58">
        <w:trPr>
          <w:trHeight w:val="145"/>
        </w:trPr>
        <w:tc>
          <w:tcPr>
            <w:tcW w:w="3828" w:type="dxa"/>
            <w:vAlign w:val="center"/>
          </w:tcPr>
          <w:p w14:paraId="0B96DE71" w14:textId="77777777" w:rsidR="004202B3" w:rsidRPr="00D961C2" w:rsidRDefault="004202B3" w:rsidP="00D961C2">
            <w:pPr>
              <w:pStyle w:val="Table"/>
              <w:rPr>
                <w:b w:val="0"/>
              </w:rPr>
            </w:pPr>
            <w:r w:rsidRPr="00D961C2">
              <w:rPr>
                <w:b w:val="0"/>
              </w:rPr>
              <w:t>Tuberculosis</w:t>
            </w:r>
            <w:r w:rsidRPr="00D961C2">
              <w:rPr>
                <w:b w:val="0"/>
                <w:vertAlign w:val="superscript"/>
              </w:rPr>
              <w:t>*</w:t>
            </w:r>
          </w:p>
        </w:tc>
        <w:tc>
          <w:tcPr>
            <w:tcW w:w="2835" w:type="dxa"/>
            <w:vAlign w:val="center"/>
          </w:tcPr>
          <w:p w14:paraId="35E0406F" w14:textId="77777777" w:rsidR="004202B3" w:rsidRPr="00D961C2" w:rsidRDefault="004202B3" w:rsidP="00D961C2">
            <w:pPr>
              <w:pStyle w:val="Table"/>
              <w:rPr>
                <w:b w:val="0"/>
              </w:rPr>
            </w:pPr>
            <w:r w:rsidRPr="00D961C2">
              <w:rPr>
                <w:b w:val="0"/>
              </w:rPr>
              <w:t>Uncommon</w:t>
            </w:r>
          </w:p>
        </w:tc>
        <w:tc>
          <w:tcPr>
            <w:tcW w:w="2409" w:type="dxa"/>
          </w:tcPr>
          <w:p w14:paraId="7714C2AE" w14:textId="77777777" w:rsidR="004202B3" w:rsidRPr="00D961C2" w:rsidRDefault="004202B3" w:rsidP="00D961C2">
            <w:pPr>
              <w:pStyle w:val="Table"/>
              <w:rPr>
                <w:b w:val="0"/>
              </w:rPr>
            </w:pPr>
            <w:r w:rsidRPr="00D961C2">
              <w:rPr>
                <w:b w:val="0"/>
              </w:rPr>
              <w:t>-</w:t>
            </w:r>
          </w:p>
        </w:tc>
      </w:tr>
      <w:tr w:rsidR="004202B3" w:rsidRPr="00EA1DE7" w14:paraId="0A25DA03" w14:textId="77777777" w:rsidTr="6E9AFC58">
        <w:trPr>
          <w:trHeight w:val="145"/>
        </w:trPr>
        <w:tc>
          <w:tcPr>
            <w:tcW w:w="9072" w:type="dxa"/>
            <w:gridSpan w:val="3"/>
            <w:vAlign w:val="center"/>
          </w:tcPr>
          <w:p w14:paraId="534B486A" w14:textId="77777777" w:rsidR="004202B3" w:rsidRPr="00EA1DE7" w:rsidRDefault="004202B3" w:rsidP="00D961C2">
            <w:pPr>
              <w:pStyle w:val="Table"/>
            </w:pPr>
            <w:r w:rsidRPr="00EA1DE7">
              <w:t>Blood and lymphatic system disorders</w:t>
            </w:r>
          </w:p>
        </w:tc>
      </w:tr>
      <w:tr w:rsidR="004202B3" w:rsidRPr="00D961C2" w14:paraId="250F7197" w14:textId="77777777" w:rsidTr="6E9AFC58">
        <w:trPr>
          <w:trHeight w:val="145"/>
        </w:trPr>
        <w:tc>
          <w:tcPr>
            <w:tcW w:w="3828" w:type="dxa"/>
            <w:shd w:val="clear" w:color="auto" w:fill="auto"/>
            <w:vAlign w:val="center"/>
          </w:tcPr>
          <w:p w14:paraId="69294DD9" w14:textId="12C4F7FB" w:rsidR="004202B3" w:rsidRPr="00D961C2" w:rsidRDefault="004202B3" w:rsidP="00D961C2">
            <w:pPr>
              <w:pStyle w:val="Table"/>
              <w:rPr>
                <w:b w:val="0"/>
                <w:vertAlign w:val="superscript"/>
              </w:rPr>
            </w:pPr>
            <w:r w:rsidRPr="00D961C2">
              <w:rPr>
                <w:b w:val="0"/>
              </w:rPr>
              <w:t>An</w:t>
            </w:r>
            <w:r w:rsidR="000F1020">
              <w:rPr>
                <w:b w:val="0"/>
              </w:rPr>
              <w:t>a</w:t>
            </w:r>
            <w:r w:rsidRPr="00D961C2">
              <w:rPr>
                <w:b w:val="0"/>
              </w:rPr>
              <w:t>emia</w:t>
            </w:r>
            <w:r w:rsidRPr="00D961C2">
              <w:rPr>
                <w:b w:val="0"/>
                <w:vertAlign w:val="superscript"/>
              </w:rPr>
              <w:t>2</w:t>
            </w:r>
          </w:p>
        </w:tc>
        <w:tc>
          <w:tcPr>
            <w:tcW w:w="2835" w:type="dxa"/>
          </w:tcPr>
          <w:p w14:paraId="709C76D7" w14:textId="77777777" w:rsidR="004202B3" w:rsidRPr="00D961C2" w:rsidRDefault="004202B3" w:rsidP="00D961C2">
            <w:pPr>
              <w:pStyle w:val="Table"/>
              <w:rPr>
                <w:b w:val="0"/>
              </w:rPr>
            </w:pPr>
          </w:p>
        </w:tc>
        <w:tc>
          <w:tcPr>
            <w:tcW w:w="2409" w:type="dxa"/>
          </w:tcPr>
          <w:p w14:paraId="3D87FD5B" w14:textId="77777777" w:rsidR="004202B3" w:rsidRPr="00D961C2" w:rsidRDefault="004202B3" w:rsidP="00D961C2">
            <w:pPr>
              <w:pStyle w:val="Table"/>
              <w:rPr>
                <w:b w:val="0"/>
              </w:rPr>
            </w:pPr>
          </w:p>
        </w:tc>
      </w:tr>
      <w:tr w:rsidR="004202B3" w:rsidRPr="00D961C2" w14:paraId="4216F857" w14:textId="77777777" w:rsidTr="6E9AFC58">
        <w:trPr>
          <w:trHeight w:val="145"/>
        </w:trPr>
        <w:tc>
          <w:tcPr>
            <w:tcW w:w="3828" w:type="dxa"/>
            <w:shd w:val="clear" w:color="auto" w:fill="auto"/>
            <w:vAlign w:val="center"/>
          </w:tcPr>
          <w:p w14:paraId="5C85660D" w14:textId="77777777" w:rsidR="004202B3" w:rsidRPr="00D961C2" w:rsidRDefault="004202B3" w:rsidP="00D961C2">
            <w:pPr>
              <w:pStyle w:val="Table"/>
              <w:jc w:val="right"/>
              <w:rPr>
                <w:b w:val="0"/>
              </w:rPr>
            </w:pPr>
            <w:r w:rsidRPr="00D961C2">
              <w:rPr>
                <w:b w:val="0"/>
              </w:rPr>
              <w:t xml:space="preserve">CTCAE </w:t>
            </w:r>
            <w:r w:rsidRPr="00D961C2">
              <w:rPr>
                <w:b w:val="0"/>
                <w:vertAlign w:val="superscript"/>
              </w:rPr>
              <w:t>1</w:t>
            </w:r>
            <w:r w:rsidRPr="00D961C2">
              <w:rPr>
                <w:b w:val="0"/>
              </w:rPr>
              <w:t xml:space="preserve"> grade 4</w:t>
            </w:r>
          </w:p>
          <w:p w14:paraId="04A8E368" w14:textId="77777777" w:rsidR="004202B3" w:rsidRPr="00D961C2" w:rsidRDefault="004202B3" w:rsidP="00D961C2">
            <w:pPr>
              <w:pStyle w:val="Table"/>
              <w:jc w:val="right"/>
              <w:rPr>
                <w:b w:val="0"/>
              </w:rPr>
            </w:pPr>
            <w:r w:rsidRPr="00D961C2">
              <w:rPr>
                <w:b w:val="0"/>
              </w:rPr>
              <w:t>(&lt;6.5g/dL)</w:t>
            </w:r>
          </w:p>
        </w:tc>
        <w:tc>
          <w:tcPr>
            <w:tcW w:w="2835" w:type="dxa"/>
          </w:tcPr>
          <w:p w14:paraId="5E28C8B9" w14:textId="77777777" w:rsidR="004202B3" w:rsidRPr="00D961C2" w:rsidRDefault="004202B3" w:rsidP="00D961C2">
            <w:pPr>
              <w:pStyle w:val="Table"/>
              <w:rPr>
                <w:b w:val="0"/>
              </w:rPr>
            </w:pPr>
            <w:r w:rsidRPr="00D961C2">
              <w:rPr>
                <w:b w:val="0"/>
              </w:rPr>
              <w:t>Very common</w:t>
            </w:r>
          </w:p>
        </w:tc>
        <w:tc>
          <w:tcPr>
            <w:tcW w:w="2409" w:type="dxa"/>
          </w:tcPr>
          <w:p w14:paraId="5DA94708" w14:textId="77777777" w:rsidR="004202B3" w:rsidRPr="00D961C2" w:rsidRDefault="004202B3" w:rsidP="00D961C2">
            <w:pPr>
              <w:pStyle w:val="Table"/>
              <w:rPr>
                <w:b w:val="0"/>
              </w:rPr>
            </w:pPr>
            <w:r w:rsidRPr="00D961C2">
              <w:rPr>
                <w:b w:val="0"/>
              </w:rPr>
              <w:t>Uncommon</w:t>
            </w:r>
          </w:p>
        </w:tc>
      </w:tr>
      <w:tr w:rsidR="004202B3" w:rsidRPr="00D961C2" w14:paraId="7B87A521" w14:textId="77777777" w:rsidTr="6E9AFC58">
        <w:trPr>
          <w:trHeight w:val="145"/>
        </w:trPr>
        <w:tc>
          <w:tcPr>
            <w:tcW w:w="3828" w:type="dxa"/>
            <w:shd w:val="clear" w:color="auto" w:fill="auto"/>
            <w:vAlign w:val="center"/>
          </w:tcPr>
          <w:p w14:paraId="0641F3CE" w14:textId="77777777" w:rsidR="004202B3" w:rsidRPr="00D961C2" w:rsidRDefault="004202B3" w:rsidP="00D961C2">
            <w:pPr>
              <w:pStyle w:val="Table"/>
              <w:jc w:val="right"/>
              <w:rPr>
                <w:b w:val="0"/>
              </w:rPr>
            </w:pPr>
            <w:r w:rsidRPr="00D961C2">
              <w:rPr>
                <w:b w:val="0"/>
              </w:rPr>
              <w:t>CTCAE grade 3</w:t>
            </w:r>
          </w:p>
          <w:p w14:paraId="2B32E347" w14:textId="77777777" w:rsidR="004202B3" w:rsidRPr="00D961C2" w:rsidRDefault="004202B3" w:rsidP="00D961C2">
            <w:pPr>
              <w:pStyle w:val="Table"/>
              <w:jc w:val="right"/>
              <w:rPr>
                <w:b w:val="0"/>
              </w:rPr>
            </w:pPr>
            <w:r w:rsidRPr="00D961C2">
              <w:rPr>
                <w:b w:val="0"/>
              </w:rPr>
              <w:t>(&lt;8.0 – 6.5g/dL)</w:t>
            </w:r>
          </w:p>
        </w:tc>
        <w:tc>
          <w:tcPr>
            <w:tcW w:w="2835" w:type="dxa"/>
          </w:tcPr>
          <w:p w14:paraId="5A45F288" w14:textId="77777777" w:rsidR="004202B3" w:rsidRPr="00D961C2" w:rsidRDefault="004202B3" w:rsidP="00D961C2">
            <w:pPr>
              <w:pStyle w:val="Table"/>
              <w:rPr>
                <w:b w:val="0"/>
              </w:rPr>
            </w:pPr>
            <w:r w:rsidRPr="00D961C2">
              <w:rPr>
                <w:b w:val="0"/>
              </w:rPr>
              <w:t>Very common</w:t>
            </w:r>
          </w:p>
        </w:tc>
        <w:tc>
          <w:tcPr>
            <w:tcW w:w="2409" w:type="dxa"/>
          </w:tcPr>
          <w:p w14:paraId="48764025" w14:textId="77777777" w:rsidR="004202B3" w:rsidRPr="00D961C2" w:rsidRDefault="004202B3" w:rsidP="00D961C2">
            <w:pPr>
              <w:pStyle w:val="Table"/>
              <w:rPr>
                <w:b w:val="0"/>
              </w:rPr>
            </w:pPr>
            <w:r w:rsidRPr="00D961C2">
              <w:rPr>
                <w:b w:val="0"/>
              </w:rPr>
              <w:t>Uncommon</w:t>
            </w:r>
          </w:p>
        </w:tc>
      </w:tr>
      <w:tr w:rsidR="004202B3" w:rsidRPr="00D961C2" w14:paraId="0D5087BF" w14:textId="77777777" w:rsidTr="6E9AFC58">
        <w:trPr>
          <w:trHeight w:val="145"/>
        </w:trPr>
        <w:tc>
          <w:tcPr>
            <w:tcW w:w="3828" w:type="dxa"/>
            <w:shd w:val="clear" w:color="auto" w:fill="auto"/>
            <w:vAlign w:val="center"/>
          </w:tcPr>
          <w:p w14:paraId="1DD6CD17" w14:textId="77777777" w:rsidR="004202B3" w:rsidRPr="00D961C2" w:rsidRDefault="004202B3" w:rsidP="00D961C2">
            <w:pPr>
              <w:pStyle w:val="Table"/>
              <w:jc w:val="right"/>
              <w:rPr>
                <w:b w:val="0"/>
              </w:rPr>
            </w:pPr>
            <w:r w:rsidRPr="00D961C2">
              <w:rPr>
                <w:b w:val="0"/>
              </w:rPr>
              <w:t>Any CTCAE grade</w:t>
            </w:r>
          </w:p>
        </w:tc>
        <w:tc>
          <w:tcPr>
            <w:tcW w:w="2835" w:type="dxa"/>
          </w:tcPr>
          <w:p w14:paraId="5486A69F" w14:textId="77777777" w:rsidR="004202B3" w:rsidRPr="00D961C2" w:rsidRDefault="004202B3" w:rsidP="00D961C2">
            <w:pPr>
              <w:pStyle w:val="Table"/>
              <w:rPr>
                <w:b w:val="0"/>
              </w:rPr>
            </w:pPr>
            <w:r w:rsidRPr="00D961C2">
              <w:rPr>
                <w:b w:val="0"/>
              </w:rPr>
              <w:t>Very common</w:t>
            </w:r>
          </w:p>
        </w:tc>
        <w:tc>
          <w:tcPr>
            <w:tcW w:w="2409" w:type="dxa"/>
          </w:tcPr>
          <w:p w14:paraId="4CB3159A" w14:textId="77777777" w:rsidR="004202B3" w:rsidRPr="00D961C2" w:rsidRDefault="004202B3" w:rsidP="00D961C2">
            <w:pPr>
              <w:pStyle w:val="Table"/>
              <w:rPr>
                <w:b w:val="0"/>
              </w:rPr>
            </w:pPr>
            <w:r w:rsidRPr="00D961C2">
              <w:rPr>
                <w:b w:val="0"/>
              </w:rPr>
              <w:t>Very common</w:t>
            </w:r>
          </w:p>
        </w:tc>
      </w:tr>
      <w:tr w:rsidR="004202B3" w:rsidRPr="00D961C2" w14:paraId="0F1CAB1D" w14:textId="77777777" w:rsidTr="6E9AFC58">
        <w:trPr>
          <w:trHeight w:val="145"/>
        </w:trPr>
        <w:tc>
          <w:tcPr>
            <w:tcW w:w="3828" w:type="dxa"/>
            <w:shd w:val="clear" w:color="auto" w:fill="auto"/>
            <w:vAlign w:val="center"/>
          </w:tcPr>
          <w:p w14:paraId="657452D9" w14:textId="336B05E1" w:rsidR="004202B3" w:rsidRPr="00D961C2" w:rsidRDefault="004202B3" w:rsidP="00D961C2">
            <w:pPr>
              <w:pStyle w:val="Table"/>
              <w:rPr>
                <w:b w:val="0"/>
                <w:vertAlign w:val="superscript"/>
              </w:rPr>
            </w:pPr>
            <w:r w:rsidRPr="00D961C2">
              <w:rPr>
                <w:b w:val="0"/>
              </w:rPr>
              <w:t>Thrombocytopenia</w:t>
            </w:r>
            <w:r w:rsidRPr="00D961C2">
              <w:rPr>
                <w:b w:val="0"/>
                <w:vertAlign w:val="superscript"/>
              </w:rPr>
              <w:t>2</w:t>
            </w:r>
          </w:p>
        </w:tc>
        <w:tc>
          <w:tcPr>
            <w:tcW w:w="2835" w:type="dxa"/>
          </w:tcPr>
          <w:p w14:paraId="3A9B2BF8" w14:textId="77777777" w:rsidR="004202B3" w:rsidRPr="00D961C2" w:rsidRDefault="004202B3" w:rsidP="00D961C2">
            <w:pPr>
              <w:pStyle w:val="Table"/>
              <w:rPr>
                <w:b w:val="0"/>
              </w:rPr>
            </w:pPr>
          </w:p>
        </w:tc>
        <w:tc>
          <w:tcPr>
            <w:tcW w:w="2409" w:type="dxa"/>
          </w:tcPr>
          <w:p w14:paraId="6DF29A77" w14:textId="77777777" w:rsidR="004202B3" w:rsidRPr="00D961C2" w:rsidRDefault="004202B3" w:rsidP="00D961C2">
            <w:pPr>
              <w:pStyle w:val="Table"/>
              <w:rPr>
                <w:b w:val="0"/>
              </w:rPr>
            </w:pPr>
          </w:p>
        </w:tc>
      </w:tr>
      <w:tr w:rsidR="004202B3" w:rsidRPr="00D961C2" w14:paraId="598A2780" w14:textId="77777777" w:rsidTr="6E9AFC58">
        <w:trPr>
          <w:trHeight w:val="145"/>
        </w:trPr>
        <w:tc>
          <w:tcPr>
            <w:tcW w:w="3828" w:type="dxa"/>
            <w:shd w:val="clear" w:color="auto" w:fill="auto"/>
            <w:vAlign w:val="center"/>
          </w:tcPr>
          <w:p w14:paraId="59DD2FF4" w14:textId="77777777" w:rsidR="004202B3" w:rsidRPr="00D961C2" w:rsidRDefault="004202B3" w:rsidP="00D961C2">
            <w:pPr>
              <w:pStyle w:val="Table"/>
              <w:jc w:val="right"/>
              <w:rPr>
                <w:b w:val="0"/>
              </w:rPr>
            </w:pPr>
            <w:r w:rsidRPr="00D961C2">
              <w:rPr>
                <w:b w:val="0"/>
              </w:rPr>
              <w:t>CTCAE grade 4</w:t>
            </w:r>
          </w:p>
          <w:p w14:paraId="15859B3B" w14:textId="77777777" w:rsidR="004202B3" w:rsidRPr="00D961C2" w:rsidRDefault="004202B3" w:rsidP="00D961C2">
            <w:pPr>
              <w:pStyle w:val="Table"/>
              <w:jc w:val="right"/>
              <w:rPr>
                <w:b w:val="0"/>
              </w:rPr>
            </w:pPr>
            <w:r w:rsidRPr="00D961C2">
              <w:rPr>
                <w:b w:val="0"/>
              </w:rPr>
              <w:t>(&lt;25,000/mm</w:t>
            </w:r>
            <w:r w:rsidRPr="00D961C2">
              <w:rPr>
                <w:b w:val="0"/>
                <w:vertAlign w:val="superscript"/>
              </w:rPr>
              <w:t>3</w:t>
            </w:r>
            <w:r w:rsidRPr="00D961C2">
              <w:rPr>
                <w:b w:val="0"/>
              </w:rPr>
              <w:t>)</w:t>
            </w:r>
          </w:p>
        </w:tc>
        <w:tc>
          <w:tcPr>
            <w:tcW w:w="2835" w:type="dxa"/>
          </w:tcPr>
          <w:p w14:paraId="41A0D603" w14:textId="77777777" w:rsidR="004202B3" w:rsidRPr="00D961C2" w:rsidRDefault="004202B3" w:rsidP="00D961C2">
            <w:pPr>
              <w:pStyle w:val="Table"/>
              <w:rPr>
                <w:b w:val="0"/>
              </w:rPr>
            </w:pPr>
            <w:r w:rsidRPr="00D961C2">
              <w:rPr>
                <w:b w:val="0"/>
              </w:rPr>
              <w:t>Common</w:t>
            </w:r>
          </w:p>
        </w:tc>
        <w:tc>
          <w:tcPr>
            <w:tcW w:w="2409" w:type="dxa"/>
          </w:tcPr>
          <w:p w14:paraId="523F180A" w14:textId="77777777" w:rsidR="004202B3" w:rsidRPr="00D961C2" w:rsidRDefault="004202B3" w:rsidP="00D961C2">
            <w:pPr>
              <w:pStyle w:val="Table"/>
              <w:rPr>
                <w:b w:val="0"/>
              </w:rPr>
            </w:pPr>
            <w:r w:rsidRPr="00D961C2">
              <w:rPr>
                <w:b w:val="0"/>
              </w:rPr>
              <w:t>Uncommon</w:t>
            </w:r>
          </w:p>
        </w:tc>
      </w:tr>
      <w:tr w:rsidR="004202B3" w:rsidRPr="00D961C2" w14:paraId="65B1D484" w14:textId="77777777" w:rsidTr="6E9AFC58">
        <w:trPr>
          <w:trHeight w:val="145"/>
        </w:trPr>
        <w:tc>
          <w:tcPr>
            <w:tcW w:w="3828" w:type="dxa"/>
            <w:shd w:val="clear" w:color="auto" w:fill="auto"/>
            <w:vAlign w:val="center"/>
          </w:tcPr>
          <w:p w14:paraId="241A3A9C" w14:textId="77777777" w:rsidR="004202B3" w:rsidRPr="00D961C2" w:rsidRDefault="004202B3" w:rsidP="00D961C2">
            <w:pPr>
              <w:pStyle w:val="Table"/>
              <w:jc w:val="right"/>
              <w:rPr>
                <w:b w:val="0"/>
              </w:rPr>
            </w:pPr>
            <w:r w:rsidRPr="00D961C2">
              <w:rPr>
                <w:b w:val="0"/>
              </w:rPr>
              <w:t>CTCAE grade 3</w:t>
            </w:r>
          </w:p>
          <w:p w14:paraId="1D4735BC" w14:textId="77777777" w:rsidR="004202B3" w:rsidRPr="00D961C2" w:rsidRDefault="004202B3" w:rsidP="00D961C2">
            <w:pPr>
              <w:pStyle w:val="Table"/>
              <w:jc w:val="right"/>
              <w:rPr>
                <w:b w:val="0"/>
              </w:rPr>
            </w:pPr>
            <w:r w:rsidRPr="00D961C2">
              <w:rPr>
                <w:b w:val="0"/>
              </w:rPr>
              <w:t>(50,000 – 25,000/mm</w:t>
            </w:r>
            <w:r w:rsidRPr="00D961C2">
              <w:rPr>
                <w:b w:val="0"/>
                <w:vertAlign w:val="superscript"/>
              </w:rPr>
              <w:t>3</w:t>
            </w:r>
            <w:r w:rsidRPr="00D961C2">
              <w:rPr>
                <w:b w:val="0"/>
              </w:rPr>
              <w:t>)</w:t>
            </w:r>
          </w:p>
        </w:tc>
        <w:tc>
          <w:tcPr>
            <w:tcW w:w="2835" w:type="dxa"/>
          </w:tcPr>
          <w:p w14:paraId="4FE53693" w14:textId="77777777" w:rsidR="004202B3" w:rsidRPr="00D961C2" w:rsidRDefault="004202B3" w:rsidP="00D961C2">
            <w:pPr>
              <w:pStyle w:val="Table"/>
              <w:rPr>
                <w:b w:val="0"/>
              </w:rPr>
            </w:pPr>
            <w:r w:rsidRPr="00D961C2">
              <w:rPr>
                <w:b w:val="0"/>
              </w:rPr>
              <w:t>Common</w:t>
            </w:r>
          </w:p>
        </w:tc>
        <w:tc>
          <w:tcPr>
            <w:tcW w:w="2409" w:type="dxa"/>
          </w:tcPr>
          <w:p w14:paraId="276B97F8" w14:textId="77777777" w:rsidR="004202B3" w:rsidRPr="00D961C2" w:rsidRDefault="004202B3" w:rsidP="00D961C2">
            <w:pPr>
              <w:pStyle w:val="Table"/>
              <w:rPr>
                <w:b w:val="0"/>
              </w:rPr>
            </w:pPr>
            <w:r w:rsidRPr="00D961C2">
              <w:rPr>
                <w:b w:val="0"/>
              </w:rPr>
              <w:t>Common</w:t>
            </w:r>
          </w:p>
        </w:tc>
      </w:tr>
      <w:tr w:rsidR="004202B3" w:rsidRPr="00D961C2" w14:paraId="5B4E4845" w14:textId="77777777" w:rsidTr="6E9AFC58">
        <w:trPr>
          <w:trHeight w:val="145"/>
        </w:trPr>
        <w:tc>
          <w:tcPr>
            <w:tcW w:w="3828" w:type="dxa"/>
            <w:shd w:val="clear" w:color="auto" w:fill="auto"/>
            <w:vAlign w:val="center"/>
          </w:tcPr>
          <w:p w14:paraId="7232BA78" w14:textId="77777777" w:rsidR="004202B3" w:rsidRPr="00D961C2" w:rsidRDefault="004202B3" w:rsidP="00D961C2">
            <w:pPr>
              <w:pStyle w:val="Table"/>
              <w:jc w:val="right"/>
              <w:rPr>
                <w:b w:val="0"/>
              </w:rPr>
            </w:pPr>
            <w:r w:rsidRPr="00D961C2">
              <w:rPr>
                <w:b w:val="0"/>
              </w:rPr>
              <w:t>Any CTCAE grade</w:t>
            </w:r>
          </w:p>
        </w:tc>
        <w:tc>
          <w:tcPr>
            <w:tcW w:w="2835" w:type="dxa"/>
          </w:tcPr>
          <w:p w14:paraId="1F288ABA" w14:textId="77777777" w:rsidR="004202B3" w:rsidRPr="00D961C2" w:rsidRDefault="004202B3" w:rsidP="00D961C2">
            <w:pPr>
              <w:pStyle w:val="Table"/>
              <w:rPr>
                <w:b w:val="0"/>
              </w:rPr>
            </w:pPr>
            <w:r w:rsidRPr="00D961C2">
              <w:rPr>
                <w:b w:val="0"/>
              </w:rPr>
              <w:t>Very common</w:t>
            </w:r>
          </w:p>
        </w:tc>
        <w:tc>
          <w:tcPr>
            <w:tcW w:w="2409" w:type="dxa"/>
          </w:tcPr>
          <w:p w14:paraId="715EC23B" w14:textId="77777777" w:rsidR="004202B3" w:rsidRPr="00D961C2" w:rsidRDefault="004202B3" w:rsidP="00D961C2">
            <w:pPr>
              <w:pStyle w:val="Table"/>
              <w:rPr>
                <w:b w:val="0"/>
              </w:rPr>
            </w:pPr>
            <w:r w:rsidRPr="00D961C2">
              <w:rPr>
                <w:b w:val="0"/>
              </w:rPr>
              <w:t>Very common</w:t>
            </w:r>
          </w:p>
        </w:tc>
      </w:tr>
      <w:tr w:rsidR="004202B3" w:rsidRPr="00D961C2" w14:paraId="460D010E" w14:textId="77777777" w:rsidTr="6E9AFC58">
        <w:trPr>
          <w:trHeight w:val="145"/>
        </w:trPr>
        <w:tc>
          <w:tcPr>
            <w:tcW w:w="3828" w:type="dxa"/>
            <w:shd w:val="clear" w:color="auto" w:fill="auto"/>
            <w:vAlign w:val="center"/>
          </w:tcPr>
          <w:p w14:paraId="65375C33" w14:textId="2BCD52B2" w:rsidR="004202B3" w:rsidRPr="00D961C2" w:rsidRDefault="004202B3" w:rsidP="00D961C2">
            <w:pPr>
              <w:pStyle w:val="Table"/>
              <w:rPr>
                <w:b w:val="0"/>
                <w:vertAlign w:val="superscript"/>
              </w:rPr>
            </w:pPr>
            <w:r w:rsidRPr="00D961C2">
              <w:rPr>
                <w:b w:val="0"/>
              </w:rPr>
              <w:t>Neutropenia</w:t>
            </w:r>
            <w:r w:rsidRPr="00D961C2">
              <w:rPr>
                <w:b w:val="0"/>
                <w:vertAlign w:val="superscript"/>
              </w:rPr>
              <w:t>2</w:t>
            </w:r>
          </w:p>
        </w:tc>
        <w:tc>
          <w:tcPr>
            <w:tcW w:w="2835" w:type="dxa"/>
          </w:tcPr>
          <w:p w14:paraId="17D90844" w14:textId="77777777" w:rsidR="004202B3" w:rsidRPr="00D961C2" w:rsidRDefault="004202B3" w:rsidP="00D961C2">
            <w:pPr>
              <w:pStyle w:val="Table"/>
              <w:rPr>
                <w:b w:val="0"/>
              </w:rPr>
            </w:pPr>
          </w:p>
        </w:tc>
        <w:tc>
          <w:tcPr>
            <w:tcW w:w="2409" w:type="dxa"/>
          </w:tcPr>
          <w:p w14:paraId="7C1ED637" w14:textId="77777777" w:rsidR="004202B3" w:rsidRPr="00D961C2" w:rsidRDefault="004202B3" w:rsidP="00D961C2">
            <w:pPr>
              <w:pStyle w:val="Table"/>
              <w:rPr>
                <w:b w:val="0"/>
              </w:rPr>
            </w:pPr>
          </w:p>
        </w:tc>
      </w:tr>
      <w:tr w:rsidR="004202B3" w:rsidRPr="00D961C2" w14:paraId="560CA116" w14:textId="77777777" w:rsidTr="6E9AFC58">
        <w:trPr>
          <w:trHeight w:val="145"/>
        </w:trPr>
        <w:tc>
          <w:tcPr>
            <w:tcW w:w="3828" w:type="dxa"/>
            <w:shd w:val="clear" w:color="auto" w:fill="auto"/>
            <w:vAlign w:val="center"/>
          </w:tcPr>
          <w:p w14:paraId="7BEE4056" w14:textId="77777777" w:rsidR="004202B3" w:rsidRPr="00D961C2" w:rsidRDefault="004202B3" w:rsidP="00D961C2">
            <w:pPr>
              <w:pStyle w:val="Table"/>
              <w:jc w:val="right"/>
              <w:rPr>
                <w:b w:val="0"/>
              </w:rPr>
            </w:pPr>
            <w:r w:rsidRPr="00D961C2">
              <w:rPr>
                <w:b w:val="0"/>
              </w:rPr>
              <w:t>CTCAE grade 4</w:t>
            </w:r>
          </w:p>
          <w:p w14:paraId="7E2723AA" w14:textId="77777777" w:rsidR="004202B3" w:rsidRPr="00D961C2" w:rsidRDefault="004202B3" w:rsidP="00D961C2">
            <w:pPr>
              <w:pStyle w:val="Table"/>
              <w:jc w:val="right"/>
              <w:rPr>
                <w:b w:val="0"/>
              </w:rPr>
            </w:pPr>
            <w:r w:rsidRPr="00D961C2">
              <w:rPr>
                <w:b w:val="0"/>
              </w:rPr>
              <w:t>(&lt;500/mm</w:t>
            </w:r>
            <w:r w:rsidRPr="00D961C2">
              <w:rPr>
                <w:b w:val="0"/>
                <w:vertAlign w:val="superscript"/>
              </w:rPr>
              <w:t>3</w:t>
            </w:r>
            <w:r w:rsidRPr="00D961C2">
              <w:rPr>
                <w:b w:val="0"/>
              </w:rPr>
              <w:t>)</w:t>
            </w:r>
          </w:p>
        </w:tc>
        <w:tc>
          <w:tcPr>
            <w:tcW w:w="2835" w:type="dxa"/>
          </w:tcPr>
          <w:p w14:paraId="3E903DD9" w14:textId="77777777" w:rsidR="004202B3" w:rsidRPr="00D961C2" w:rsidRDefault="004202B3" w:rsidP="00D961C2">
            <w:pPr>
              <w:pStyle w:val="Table"/>
              <w:rPr>
                <w:b w:val="0"/>
              </w:rPr>
            </w:pPr>
            <w:r w:rsidRPr="00D961C2">
              <w:rPr>
                <w:b w:val="0"/>
              </w:rPr>
              <w:t>Common</w:t>
            </w:r>
          </w:p>
        </w:tc>
        <w:tc>
          <w:tcPr>
            <w:tcW w:w="2409" w:type="dxa"/>
          </w:tcPr>
          <w:p w14:paraId="3EA188DF" w14:textId="77777777" w:rsidR="004202B3" w:rsidRPr="00D961C2" w:rsidRDefault="004202B3" w:rsidP="00D961C2">
            <w:pPr>
              <w:pStyle w:val="Table"/>
              <w:rPr>
                <w:b w:val="0"/>
              </w:rPr>
            </w:pPr>
            <w:r w:rsidRPr="00D961C2">
              <w:rPr>
                <w:b w:val="0"/>
              </w:rPr>
              <w:t>-</w:t>
            </w:r>
          </w:p>
        </w:tc>
      </w:tr>
      <w:tr w:rsidR="004202B3" w:rsidRPr="00D961C2" w14:paraId="457D0A84" w14:textId="77777777" w:rsidTr="6E9AFC58">
        <w:trPr>
          <w:trHeight w:val="145"/>
        </w:trPr>
        <w:tc>
          <w:tcPr>
            <w:tcW w:w="3828" w:type="dxa"/>
            <w:shd w:val="clear" w:color="auto" w:fill="auto"/>
            <w:vAlign w:val="center"/>
          </w:tcPr>
          <w:p w14:paraId="3D8CAD2C" w14:textId="77777777" w:rsidR="004202B3" w:rsidRPr="00D961C2" w:rsidRDefault="004202B3" w:rsidP="00D961C2">
            <w:pPr>
              <w:pStyle w:val="Table"/>
              <w:jc w:val="right"/>
              <w:rPr>
                <w:b w:val="0"/>
              </w:rPr>
            </w:pPr>
            <w:r w:rsidRPr="00D961C2">
              <w:rPr>
                <w:b w:val="0"/>
              </w:rPr>
              <w:t>CTCAE grade 3</w:t>
            </w:r>
          </w:p>
          <w:p w14:paraId="58DC4534" w14:textId="77777777" w:rsidR="004202B3" w:rsidRPr="00D961C2" w:rsidRDefault="004202B3" w:rsidP="00D961C2">
            <w:pPr>
              <w:pStyle w:val="Table"/>
              <w:jc w:val="right"/>
              <w:rPr>
                <w:b w:val="0"/>
              </w:rPr>
            </w:pPr>
            <w:r w:rsidRPr="00D961C2">
              <w:rPr>
                <w:b w:val="0"/>
              </w:rPr>
              <w:t>(&lt;1000 – 500/mm</w:t>
            </w:r>
            <w:r w:rsidRPr="00D961C2">
              <w:rPr>
                <w:b w:val="0"/>
                <w:vertAlign w:val="superscript"/>
              </w:rPr>
              <w:t>3</w:t>
            </w:r>
            <w:r w:rsidRPr="00D961C2">
              <w:rPr>
                <w:b w:val="0"/>
              </w:rPr>
              <w:t>)</w:t>
            </w:r>
          </w:p>
        </w:tc>
        <w:tc>
          <w:tcPr>
            <w:tcW w:w="2835" w:type="dxa"/>
          </w:tcPr>
          <w:p w14:paraId="1557BC07" w14:textId="77777777" w:rsidR="004202B3" w:rsidRPr="00D961C2" w:rsidRDefault="004202B3" w:rsidP="00D961C2">
            <w:pPr>
              <w:pStyle w:val="Table"/>
              <w:rPr>
                <w:b w:val="0"/>
              </w:rPr>
            </w:pPr>
            <w:r w:rsidRPr="00D961C2">
              <w:rPr>
                <w:b w:val="0"/>
              </w:rPr>
              <w:t>Common</w:t>
            </w:r>
          </w:p>
        </w:tc>
        <w:tc>
          <w:tcPr>
            <w:tcW w:w="2409" w:type="dxa"/>
          </w:tcPr>
          <w:p w14:paraId="61D50DBE" w14:textId="77777777" w:rsidR="004202B3" w:rsidRPr="00D961C2" w:rsidRDefault="004202B3" w:rsidP="00D961C2">
            <w:pPr>
              <w:pStyle w:val="Table"/>
              <w:rPr>
                <w:b w:val="0"/>
              </w:rPr>
            </w:pPr>
            <w:r w:rsidRPr="00D961C2">
              <w:rPr>
                <w:b w:val="0"/>
              </w:rPr>
              <w:t>-</w:t>
            </w:r>
          </w:p>
        </w:tc>
      </w:tr>
      <w:tr w:rsidR="004202B3" w:rsidRPr="00D961C2" w14:paraId="5601C47B" w14:textId="77777777" w:rsidTr="6E9AFC58">
        <w:trPr>
          <w:trHeight w:val="145"/>
        </w:trPr>
        <w:tc>
          <w:tcPr>
            <w:tcW w:w="3828" w:type="dxa"/>
            <w:shd w:val="clear" w:color="auto" w:fill="auto"/>
            <w:vAlign w:val="center"/>
          </w:tcPr>
          <w:p w14:paraId="69093148" w14:textId="77777777" w:rsidR="004202B3" w:rsidRPr="00D961C2" w:rsidRDefault="004202B3" w:rsidP="00D961C2">
            <w:pPr>
              <w:pStyle w:val="Table"/>
              <w:jc w:val="right"/>
              <w:rPr>
                <w:b w:val="0"/>
              </w:rPr>
            </w:pPr>
            <w:r w:rsidRPr="00D961C2">
              <w:rPr>
                <w:b w:val="0"/>
              </w:rPr>
              <w:t>Any CTCAE grade</w:t>
            </w:r>
          </w:p>
        </w:tc>
        <w:tc>
          <w:tcPr>
            <w:tcW w:w="2835" w:type="dxa"/>
          </w:tcPr>
          <w:p w14:paraId="20B4945D" w14:textId="77777777" w:rsidR="004202B3" w:rsidRPr="00D961C2" w:rsidRDefault="004202B3" w:rsidP="00D961C2">
            <w:pPr>
              <w:pStyle w:val="Table"/>
              <w:rPr>
                <w:b w:val="0"/>
              </w:rPr>
            </w:pPr>
            <w:r w:rsidRPr="00D961C2">
              <w:rPr>
                <w:b w:val="0"/>
              </w:rPr>
              <w:t>Very common</w:t>
            </w:r>
          </w:p>
        </w:tc>
        <w:tc>
          <w:tcPr>
            <w:tcW w:w="2409" w:type="dxa"/>
          </w:tcPr>
          <w:p w14:paraId="4AAC7B44" w14:textId="77777777" w:rsidR="004202B3" w:rsidRPr="00D961C2" w:rsidRDefault="004202B3" w:rsidP="00D961C2">
            <w:pPr>
              <w:pStyle w:val="Table"/>
              <w:rPr>
                <w:b w:val="0"/>
              </w:rPr>
            </w:pPr>
            <w:r w:rsidRPr="00D961C2">
              <w:rPr>
                <w:b w:val="0"/>
              </w:rPr>
              <w:t>-</w:t>
            </w:r>
          </w:p>
        </w:tc>
      </w:tr>
      <w:tr w:rsidR="004202B3" w:rsidRPr="00D961C2" w14:paraId="4FFE8A0D" w14:textId="77777777" w:rsidTr="6E9AFC58">
        <w:trPr>
          <w:trHeight w:val="145"/>
        </w:trPr>
        <w:tc>
          <w:tcPr>
            <w:tcW w:w="3828" w:type="dxa"/>
            <w:shd w:val="clear" w:color="auto" w:fill="auto"/>
            <w:vAlign w:val="center"/>
          </w:tcPr>
          <w:p w14:paraId="1CDB884A" w14:textId="7EEA34DA" w:rsidR="004202B3" w:rsidRPr="00D961C2" w:rsidRDefault="004202B3" w:rsidP="00D961C2">
            <w:pPr>
              <w:pStyle w:val="Table"/>
              <w:rPr>
                <w:b w:val="0"/>
              </w:rPr>
            </w:pPr>
            <w:r w:rsidRPr="00D961C2">
              <w:rPr>
                <w:b w:val="0"/>
              </w:rPr>
              <w:t>Pancytopenia</w:t>
            </w:r>
            <w:r w:rsidRPr="00D961C2">
              <w:rPr>
                <w:b w:val="0"/>
                <w:vertAlign w:val="superscript"/>
              </w:rPr>
              <w:t>2,3</w:t>
            </w:r>
          </w:p>
        </w:tc>
        <w:tc>
          <w:tcPr>
            <w:tcW w:w="2835" w:type="dxa"/>
          </w:tcPr>
          <w:p w14:paraId="2D083E0D" w14:textId="77777777" w:rsidR="004202B3" w:rsidRPr="00D961C2" w:rsidRDefault="004202B3" w:rsidP="00D961C2">
            <w:pPr>
              <w:pStyle w:val="Table"/>
              <w:rPr>
                <w:b w:val="0"/>
              </w:rPr>
            </w:pPr>
            <w:r w:rsidRPr="00D961C2">
              <w:rPr>
                <w:b w:val="0"/>
              </w:rPr>
              <w:t>Common</w:t>
            </w:r>
          </w:p>
        </w:tc>
        <w:tc>
          <w:tcPr>
            <w:tcW w:w="2409" w:type="dxa"/>
          </w:tcPr>
          <w:p w14:paraId="304130EC" w14:textId="77777777" w:rsidR="004202B3" w:rsidRPr="00D961C2" w:rsidRDefault="004202B3" w:rsidP="00D961C2">
            <w:pPr>
              <w:pStyle w:val="Table"/>
              <w:rPr>
                <w:b w:val="0"/>
              </w:rPr>
            </w:pPr>
            <w:r w:rsidRPr="00D961C2">
              <w:rPr>
                <w:b w:val="0"/>
              </w:rPr>
              <w:t>-</w:t>
            </w:r>
          </w:p>
        </w:tc>
      </w:tr>
      <w:tr w:rsidR="004202B3" w:rsidRPr="00EA1DE7" w14:paraId="53CBAD5F" w14:textId="77777777" w:rsidTr="6E9AFC58">
        <w:trPr>
          <w:trHeight w:val="145"/>
        </w:trPr>
        <w:tc>
          <w:tcPr>
            <w:tcW w:w="9072" w:type="dxa"/>
            <w:gridSpan w:val="3"/>
            <w:shd w:val="clear" w:color="auto" w:fill="auto"/>
            <w:vAlign w:val="center"/>
          </w:tcPr>
          <w:p w14:paraId="7302F707" w14:textId="77777777" w:rsidR="004202B3" w:rsidRPr="00EA1DE7" w:rsidRDefault="004202B3" w:rsidP="00D961C2">
            <w:pPr>
              <w:pStyle w:val="Table"/>
            </w:pPr>
            <w:r w:rsidRPr="00EA1DE7">
              <w:t>Metabolism and nutrition disorders</w:t>
            </w:r>
          </w:p>
        </w:tc>
      </w:tr>
      <w:tr w:rsidR="004202B3" w:rsidRPr="00D961C2" w14:paraId="2C9468F3" w14:textId="77777777" w:rsidTr="6E9AFC58">
        <w:trPr>
          <w:trHeight w:val="145"/>
        </w:trPr>
        <w:tc>
          <w:tcPr>
            <w:tcW w:w="3828" w:type="dxa"/>
            <w:shd w:val="clear" w:color="auto" w:fill="auto"/>
            <w:vAlign w:val="center"/>
          </w:tcPr>
          <w:p w14:paraId="47C6E9A8" w14:textId="77777777" w:rsidR="004202B3" w:rsidRPr="00D961C2" w:rsidRDefault="004202B3" w:rsidP="00D961C2">
            <w:pPr>
              <w:pStyle w:val="Table"/>
              <w:rPr>
                <w:b w:val="0"/>
              </w:rPr>
            </w:pPr>
            <w:r w:rsidRPr="00D961C2">
              <w:rPr>
                <w:b w:val="0"/>
              </w:rPr>
              <w:t>Weight gain</w:t>
            </w:r>
            <w:r w:rsidRPr="00D961C2">
              <w:rPr>
                <w:b w:val="0"/>
                <w:vertAlign w:val="superscript"/>
              </w:rPr>
              <w:t>1</w:t>
            </w:r>
          </w:p>
        </w:tc>
        <w:tc>
          <w:tcPr>
            <w:tcW w:w="2835" w:type="dxa"/>
          </w:tcPr>
          <w:p w14:paraId="34FEAB32" w14:textId="77777777" w:rsidR="004202B3" w:rsidRPr="00D961C2" w:rsidRDefault="004202B3" w:rsidP="00D961C2">
            <w:pPr>
              <w:pStyle w:val="Table"/>
              <w:rPr>
                <w:b w:val="0"/>
              </w:rPr>
            </w:pPr>
            <w:r w:rsidRPr="00D961C2">
              <w:rPr>
                <w:b w:val="0"/>
              </w:rPr>
              <w:t>Very common</w:t>
            </w:r>
          </w:p>
        </w:tc>
        <w:tc>
          <w:tcPr>
            <w:tcW w:w="2409" w:type="dxa"/>
          </w:tcPr>
          <w:p w14:paraId="28FA7CD9" w14:textId="77777777" w:rsidR="004202B3" w:rsidRPr="00D961C2" w:rsidRDefault="004202B3" w:rsidP="00D961C2">
            <w:pPr>
              <w:pStyle w:val="Table"/>
              <w:rPr>
                <w:b w:val="0"/>
              </w:rPr>
            </w:pPr>
            <w:r w:rsidRPr="00D961C2">
              <w:rPr>
                <w:b w:val="0"/>
              </w:rPr>
              <w:t>Common</w:t>
            </w:r>
          </w:p>
        </w:tc>
      </w:tr>
      <w:tr w:rsidR="004202B3" w:rsidRPr="00D961C2" w14:paraId="75EBC87C" w14:textId="77777777" w:rsidTr="6E9AFC58">
        <w:trPr>
          <w:trHeight w:val="145"/>
        </w:trPr>
        <w:tc>
          <w:tcPr>
            <w:tcW w:w="3828" w:type="dxa"/>
            <w:shd w:val="clear" w:color="auto" w:fill="auto"/>
            <w:vAlign w:val="center"/>
          </w:tcPr>
          <w:p w14:paraId="548AFD21" w14:textId="29770E24" w:rsidR="004202B3" w:rsidRPr="00D961C2" w:rsidRDefault="004202B3" w:rsidP="00D961C2">
            <w:pPr>
              <w:pStyle w:val="Table"/>
              <w:rPr>
                <w:b w:val="0"/>
                <w:bCs w:val="0"/>
              </w:rPr>
            </w:pPr>
            <w:proofErr w:type="spellStart"/>
            <w:r>
              <w:rPr>
                <w:b w:val="0"/>
                <w:bCs w:val="0"/>
              </w:rPr>
              <w:lastRenderedPageBreak/>
              <w:t>Hypercholesterol</w:t>
            </w:r>
            <w:r w:rsidR="009238D1">
              <w:rPr>
                <w:b w:val="0"/>
                <w:bCs w:val="0"/>
              </w:rPr>
              <w:t>a</w:t>
            </w:r>
            <w:r>
              <w:rPr>
                <w:b w:val="0"/>
                <w:bCs w:val="0"/>
              </w:rPr>
              <w:t>emia</w:t>
            </w:r>
            <w:proofErr w:type="spellEnd"/>
            <w:r>
              <w:rPr>
                <w:b w:val="0"/>
                <w:bCs w:val="0"/>
              </w:rPr>
              <w:t xml:space="preserve"> </w:t>
            </w:r>
            <w:r w:rsidRPr="6E9AFC58">
              <w:rPr>
                <w:b w:val="0"/>
                <w:bCs w:val="0"/>
                <w:vertAlign w:val="superscript"/>
              </w:rPr>
              <w:t>2</w:t>
            </w:r>
          </w:p>
          <w:p w14:paraId="731DC66F" w14:textId="77777777" w:rsidR="004202B3" w:rsidRPr="00D961C2" w:rsidRDefault="004202B3" w:rsidP="00D961C2">
            <w:pPr>
              <w:pStyle w:val="Table"/>
              <w:jc w:val="right"/>
              <w:rPr>
                <w:b w:val="0"/>
              </w:rPr>
            </w:pPr>
            <w:r w:rsidRPr="00D961C2">
              <w:rPr>
                <w:b w:val="0"/>
              </w:rPr>
              <w:t>CTCAE grade1 and 2</w:t>
            </w:r>
          </w:p>
        </w:tc>
        <w:tc>
          <w:tcPr>
            <w:tcW w:w="2835" w:type="dxa"/>
          </w:tcPr>
          <w:p w14:paraId="58527C4B" w14:textId="77777777" w:rsidR="004202B3" w:rsidRPr="00D961C2" w:rsidRDefault="004202B3" w:rsidP="00D961C2">
            <w:pPr>
              <w:pStyle w:val="Table"/>
              <w:rPr>
                <w:b w:val="0"/>
              </w:rPr>
            </w:pPr>
          </w:p>
          <w:p w14:paraId="6F773FB5" w14:textId="77777777" w:rsidR="004202B3" w:rsidRPr="00D961C2" w:rsidRDefault="004202B3" w:rsidP="00D961C2">
            <w:pPr>
              <w:pStyle w:val="Table"/>
              <w:rPr>
                <w:b w:val="0"/>
              </w:rPr>
            </w:pPr>
            <w:r w:rsidRPr="00D961C2">
              <w:rPr>
                <w:b w:val="0"/>
              </w:rPr>
              <w:t>Very common</w:t>
            </w:r>
          </w:p>
        </w:tc>
        <w:tc>
          <w:tcPr>
            <w:tcW w:w="2409" w:type="dxa"/>
          </w:tcPr>
          <w:p w14:paraId="4CD3E343" w14:textId="77777777" w:rsidR="004202B3" w:rsidRPr="00D961C2" w:rsidRDefault="004202B3" w:rsidP="00D961C2">
            <w:pPr>
              <w:pStyle w:val="Table"/>
              <w:rPr>
                <w:b w:val="0"/>
              </w:rPr>
            </w:pPr>
          </w:p>
          <w:p w14:paraId="77C25961" w14:textId="77777777" w:rsidR="004202B3" w:rsidRPr="00D961C2" w:rsidRDefault="004202B3" w:rsidP="00D961C2">
            <w:pPr>
              <w:pStyle w:val="Table"/>
              <w:rPr>
                <w:b w:val="0"/>
              </w:rPr>
            </w:pPr>
            <w:r w:rsidRPr="00D961C2">
              <w:rPr>
                <w:b w:val="0"/>
              </w:rPr>
              <w:t>Very common</w:t>
            </w:r>
          </w:p>
        </w:tc>
      </w:tr>
      <w:tr w:rsidR="004202B3" w:rsidRPr="00D961C2" w14:paraId="7DADFBC9" w14:textId="77777777" w:rsidTr="6E9AFC58">
        <w:trPr>
          <w:trHeight w:val="145"/>
        </w:trPr>
        <w:tc>
          <w:tcPr>
            <w:tcW w:w="3828" w:type="dxa"/>
            <w:shd w:val="clear" w:color="auto" w:fill="auto"/>
            <w:vAlign w:val="center"/>
          </w:tcPr>
          <w:p w14:paraId="71772CC3" w14:textId="576631D9" w:rsidR="004202B3" w:rsidRPr="00D961C2" w:rsidRDefault="004202B3" w:rsidP="00D961C2">
            <w:pPr>
              <w:pStyle w:val="Table"/>
              <w:rPr>
                <w:b w:val="0"/>
                <w:bCs w:val="0"/>
                <w:vertAlign w:val="superscript"/>
              </w:rPr>
            </w:pPr>
            <w:r>
              <w:rPr>
                <w:b w:val="0"/>
                <w:bCs w:val="0"/>
              </w:rPr>
              <w:t>Hypertriglycerid</w:t>
            </w:r>
            <w:r w:rsidR="009238D1">
              <w:rPr>
                <w:b w:val="0"/>
                <w:bCs w:val="0"/>
              </w:rPr>
              <w:t>a</w:t>
            </w:r>
            <w:r>
              <w:rPr>
                <w:b w:val="0"/>
                <w:bCs w:val="0"/>
              </w:rPr>
              <w:t>emia</w:t>
            </w:r>
            <w:r w:rsidRPr="6E9AFC58">
              <w:rPr>
                <w:b w:val="0"/>
                <w:bCs w:val="0"/>
                <w:vertAlign w:val="superscript"/>
              </w:rPr>
              <w:t>2</w:t>
            </w:r>
          </w:p>
          <w:p w14:paraId="03FD2E74" w14:textId="77777777" w:rsidR="004202B3" w:rsidRPr="00D961C2" w:rsidRDefault="004202B3" w:rsidP="00D961C2">
            <w:pPr>
              <w:pStyle w:val="Table"/>
              <w:jc w:val="right"/>
              <w:rPr>
                <w:b w:val="0"/>
              </w:rPr>
            </w:pPr>
            <w:r w:rsidRPr="00D961C2">
              <w:rPr>
                <w:b w:val="0"/>
              </w:rPr>
              <w:t>CTCAE grade 1</w:t>
            </w:r>
          </w:p>
        </w:tc>
        <w:tc>
          <w:tcPr>
            <w:tcW w:w="2835" w:type="dxa"/>
          </w:tcPr>
          <w:p w14:paraId="22EBC420" w14:textId="77777777" w:rsidR="004202B3" w:rsidRPr="00D961C2" w:rsidRDefault="004202B3" w:rsidP="00D961C2">
            <w:pPr>
              <w:pStyle w:val="Table"/>
              <w:rPr>
                <w:b w:val="0"/>
              </w:rPr>
            </w:pPr>
          </w:p>
          <w:p w14:paraId="49CFCB01" w14:textId="77777777" w:rsidR="004202B3" w:rsidRPr="00D961C2" w:rsidRDefault="004202B3" w:rsidP="00D961C2">
            <w:pPr>
              <w:pStyle w:val="Table"/>
              <w:rPr>
                <w:b w:val="0"/>
              </w:rPr>
            </w:pPr>
            <w:r w:rsidRPr="00D961C2">
              <w:rPr>
                <w:b w:val="0"/>
              </w:rPr>
              <w:t>-</w:t>
            </w:r>
          </w:p>
        </w:tc>
        <w:tc>
          <w:tcPr>
            <w:tcW w:w="2409" w:type="dxa"/>
          </w:tcPr>
          <w:p w14:paraId="43ABB4DD" w14:textId="77777777" w:rsidR="004202B3" w:rsidRPr="00D961C2" w:rsidRDefault="004202B3" w:rsidP="00D961C2">
            <w:pPr>
              <w:pStyle w:val="Table"/>
              <w:rPr>
                <w:b w:val="0"/>
              </w:rPr>
            </w:pPr>
          </w:p>
          <w:p w14:paraId="2D465169" w14:textId="77777777" w:rsidR="004202B3" w:rsidRPr="00D961C2" w:rsidRDefault="004202B3" w:rsidP="00D961C2">
            <w:pPr>
              <w:pStyle w:val="Table"/>
              <w:rPr>
                <w:b w:val="0"/>
              </w:rPr>
            </w:pPr>
            <w:r w:rsidRPr="00D961C2">
              <w:rPr>
                <w:b w:val="0"/>
              </w:rPr>
              <w:t>Very common</w:t>
            </w:r>
          </w:p>
        </w:tc>
      </w:tr>
      <w:tr w:rsidR="004202B3" w:rsidRPr="00EA1DE7" w14:paraId="47453B61" w14:textId="77777777" w:rsidTr="6E9AFC58">
        <w:trPr>
          <w:trHeight w:val="145"/>
        </w:trPr>
        <w:tc>
          <w:tcPr>
            <w:tcW w:w="9072" w:type="dxa"/>
            <w:gridSpan w:val="3"/>
            <w:shd w:val="clear" w:color="auto" w:fill="auto"/>
            <w:vAlign w:val="center"/>
          </w:tcPr>
          <w:p w14:paraId="16A15BA3" w14:textId="77777777" w:rsidR="004202B3" w:rsidRPr="00EA1DE7" w:rsidRDefault="004202B3" w:rsidP="00D961C2">
            <w:pPr>
              <w:pStyle w:val="Table"/>
            </w:pPr>
            <w:r w:rsidRPr="00EA1DE7">
              <w:t>Nervous system disorders</w:t>
            </w:r>
          </w:p>
        </w:tc>
      </w:tr>
      <w:tr w:rsidR="004202B3" w:rsidRPr="00D961C2" w14:paraId="16A3B2C5" w14:textId="77777777" w:rsidTr="6E9AFC58">
        <w:trPr>
          <w:trHeight w:val="145"/>
        </w:trPr>
        <w:tc>
          <w:tcPr>
            <w:tcW w:w="3828" w:type="dxa"/>
            <w:shd w:val="clear" w:color="auto" w:fill="auto"/>
            <w:vAlign w:val="center"/>
          </w:tcPr>
          <w:p w14:paraId="4603D6CC" w14:textId="77777777" w:rsidR="004202B3" w:rsidRPr="00D961C2" w:rsidRDefault="004202B3" w:rsidP="00D961C2">
            <w:pPr>
              <w:pStyle w:val="Table"/>
              <w:rPr>
                <w:b w:val="0"/>
                <w:vertAlign w:val="superscript"/>
              </w:rPr>
            </w:pPr>
            <w:r w:rsidRPr="00D961C2">
              <w:rPr>
                <w:b w:val="0"/>
              </w:rPr>
              <w:t>Dizziness</w:t>
            </w:r>
            <w:r w:rsidRPr="00D961C2">
              <w:rPr>
                <w:b w:val="0"/>
                <w:vertAlign w:val="superscript"/>
              </w:rPr>
              <w:t>1</w:t>
            </w:r>
          </w:p>
        </w:tc>
        <w:tc>
          <w:tcPr>
            <w:tcW w:w="2835" w:type="dxa"/>
          </w:tcPr>
          <w:p w14:paraId="1C5432CB" w14:textId="77777777" w:rsidR="004202B3" w:rsidRPr="00D961C2" w:rsidRDefault="004202B3" w:rsidP="00D961C2">
            <w:pPr>
              <w:pStyle w:val="Table"/>
              <w:rPr>
                <w:b w:val="0"/>
              </w:rPr>
            </w:pPr>
            <w:r w:rsidRPr="00D961C2">
              <w:rPr>
                <w:b w:val="0"/>
              </w:rPr>
              <w:t>Very common</w:t>
            </w:r>
          </w:p>
        </w:tc>
        <w:tc>
          <w:tcPr>
            <w:tcW w:w="2409" w:type="dxa"/>
          </w:tcPr>
          <w:p w14:paraId="652D51B0" w14:textId="77777777" w:rsidR="004202B3" w:rsidRPr="00D961C2" w:rsidRDefault="004202B3" w:rsidP="00D961C2">
            <w:pPr>
              <w:pStyle w:val="Table"/>
              <w:rPr>
                <w:b w:val="0"/>
              </w:rPr>
            </w:pPr>
            <w:r w:rsidRPr="00D961C2">
              <w:rPr>
                <w:b w:val="0"/>
              </w:rPr>
              <w:t>Very common</w:t>
            </w:r>
          </w:p>
        </w:tc>
      </w:tr>
      <w:tr w:rsidR="004202B3" w:rsidRPr="00D961C2" w14:paraId="7CF02333" w14:textId="77777777" w:rsidTr="6E9AFC58">
        <w:trPr>
          <w:trHeight w:val="145"/>
        </w:trPr>
        <w:tc>
          <w:tcPr>
            <w:tcW w:w="3828" w:type="dxa"/>
            <w:shd w:val="clear" w:color="auto" w:fill="auto"/>
            <w:vAlign w:val="center"/>
          </w:tcPr>
          <w:p w14:paraId="210DDD46" w14:textId="77777777" w:rsidR="004202B3" w:rsidRPr="00D961C2" w:rsidRDefault="004202B3" w:rsidP="00D961C2">
            <w:pPr>
              <w:pStyle w:val="Table"/>
              <w:rPr>
                <w:b w:val="0"/>
              </w:rPr>
            </w:pPr>
            <w:r w:rsidRPr="00D961C2">
              <w:rPr>
                <w:b w:val="0"/>
              </w:rPr>
              <w:t>Headache</w:t>
            </w:r>
            <w:r w:rsidRPr="00D961C2">
              <w:rPr>
                <w:b w:val="0"/>
                <w:vertAlign w:val="superscript"/>
              </w:rPr>
              <w:t>1</w:t>
            </w:r>
          </w:p>
        </w:tc>
        <w:tc>
          <w:tcPr>
            <w:tcW w:w="2835" w:type="dxa"/>
          </w:tcPr>
          <w:p w14:paraId="2BEE98A1" w14:textId="77777777" w:rsidR="004202B3" w:rsidRPr="00D961C2" w:rsidRDefault="004202B3" w:rsidP="00D961C2">
            <w:pPr>
              <w:pStyle w:val="Table"/>
              <w:rPr>
                <w:b w:val="0"/>
              </w:rPr>
            </w:pPr>
            <w:r w:rsidRPr="00D961C2">
              <w:rPr>
                <w:b w:val="0"/>
              </w:rPr>
              <w:t>Very common</w:t>
            </w:r>
          </w:p>
        </w:tc>
        <w:tc>
          <w:tcPr>
            <w:tcW w:w="2409" w:type="dxa"/>
          </w:tcPr>
          <w:p w14:paraId="7B6215ED" w14:textId="77777777" w:rsidR="004202B3" w:rsidRPr="00D961C2" w:rsidRDefault="004202B3" w:rsidP="00D961C2">
            <w:pPr>
              <w:pStyle w:val="Table"/>
              <w:rPr>
                <w:b w:val="0"/>
              </w:rPr>
            </w:pPr>
            <w:r w:rsidRPr="00D961C2">
              <w:rPr>
                <w:b w:val="0"/>
              </w:rPr>
              <w:t>-</w:t>
            </w:r>
          </w:p>
        </w:tc>
      </w:tr>
      <w:tr w:rsidR="004202B3" w:rsidRPr="00EA1DE7" w14:paraId="7F7FE978" w14:textId="77777777" w:rsidTr="6E9AFC58">
        <w:trPr>
          <w:trHeight w:val="145"/>
        </w:trPr>
        <w:tc>
          <w:tcPr>
            <w:tcW w:w="3828" w:type="dxa"/>
            <w:shd w:val="clear" w:color="auto" w:fill="auto"/>
            <w:vAlign w:val="center"/>
          </w:tcPr>
          <w:p w14:paraId="23835058" w14:textId="77777777" w:rsidR="004202B3" w:rsidRPr="00EA1DE7" w:rsidRDefault="004202B3" w:rsidP="00D961C2">
            <w:pPr>
              <w:pStyle w:val="Table"/>
            </w:pPr>
            <w:r w:rsidRPr="00EA1DE7">
              <w:t>Gastrointestinal disorders</w:t>
            </w:r>
          </w:p>
        </w:tc>
        <w:tc>
          <w:tcPr>
            <w:tcW w:w="2835" w:type="dxa"/>
          </w:tcPr>
          <w:p w14:paraId="7FADFA56" w14:textId="77777777" w:rsidR="004202B3" w:rsidRPr="00EA1DE7" w:rsidRDefault="004202B3" w:rsidP="00D961C2">
            <w:pPr>
              <w:pStyle w:val="Table"/>
            </w:pPr>
          </w:p>
        </w:tc>
        <w:tc>
          <w:tcPr>
            <w:tcW w:w="2409" w:type="dxa"/>
          </w:tcPr>
          <w:p w14:paraId="5069A230" w14:textId="77777777" w:rsidR="004202B3" w:rsidRPr="00EA1DE7" w:rsidRDefault="004202B3" w:rsidP="00D961C2">
            <w:pPr>
              <w:pStyle w:val="Table"/>
            </w:pPr>
          </w:p>
        </w:tc>
      </w:tr>
      <w:tr w:rsidR="004202B3" w:rsidRPr="00D961C2" w14:paraId="7119FF41" w14:textId="77777777" w:rsidTr="6E9AFC58">
        <w:trPr>
          <w:trHeight w:val="145"/>
        </w:trPr>
        <w:tc>
          <w:tcPr>
            <w:tcW w:w="3828" w:type="dxa"/>
            <w:shd w:val="clear" w:color="auto" w:fill="auto"/>
            <w:vAlign w:val="center"/>
          </w:tcPr>
          <w:p w14:paraId="692C9F38" w14:textId="77777777" w:rsidR="004202B3" w:rsidRPr="00D961C2" w:rsidRDefault="004202B3" w:rsidP="00D961C2">
            <w:pPr>
              <w:pStyle w:val="Table"/>
              <w:rPr>
                <w:b w:val="0"/>
                <w:vertAlign w:val="superscript"/>
              </w:rPr>
            </w:pPr>
            <w:r w:rsidRPr="00D961C2">
              <w:rPr>
                <w:b w:val="0"/>
              </w:rPr>
              <w:t>Flatulence</w:t>
            </w:r>
            <w:r w:rsidRPr="00D961C2">
              <w:rPr>
                <w:b w:val="0"/>
                <w:vertAlign w:val="superscript"/>
              </w:rPr>
              <w:t>1</w:t>
            </w:r>
          </w:p>
        </w:tc>
        <w:tc>
          <w:tcPr>
            <w:tcW w:w="2835" w:type="dxa"/>
          </w:tcPr>
          <w:p w14:paraId="6FE526A5" w14:textId="77777777" w:rsidR="004202B3" w:rsidRPr="00D961C2" w:rsidRDefault="004202B3" w:rsidP="00D961C2">
            <w:pPr>
              <w:pStyle w:val="Table"/>
              <w:rPr>
                <w:b w:val="0"/>
              </w:rPr>
            </w:pPr>
            <w:r w:rsidRPr="00D961C2">
              <w:rPr>
                <w:b w:val="0"/>
              </w:rPr>
              <w:t>Common</w:t>
            </w:r>
          </w:p>
        </w:tc>
        <w:tc>
          <w:tcPr>
            <w:tcW w:w="2409" w:type="dxa"/>
          </w:tcPr>
          <w:p w14:paraId="45087915" w14:textId="77777777" w:rsidR="004202B3" w:rsidRPr="00D961C2" w:rsidRDefault="004202B3" w:rsidP="00D961C2">
            <w:pPr>
              <w:pStyle w:val="Table"/>
              <w:rPr>
                <w:b w:val="0"/>
              </w:rPr>
            </w:pPr>
            <w:r w:rsidRPr="00D961C2">
              <w:rPr>
                <w:b w:val="0"/>
              </w:rPr>
              <w:t>-</w:t>
            </w:r>
          </w:p>
        </w:tc>
      </w:tr>
      <w:tr w:rsidR="004202B3" w:rsidRPr="00D961C2" w14:paraId="09E72596" w14:textId="77777777" w:rsidTr="6E9AFC58">
        <w:trPr>
          <w:trHeight w:val="145"/>
        </w:trPr>
        <w:tc>
          <w:tcPr>
            <w:tcW w:w="3828" w:type="dxa"/>
            <w:shd w:val="clear" w:color="auto" w:fill="auto"/>
            <w:vAlign w:val="center"/>
          </w:tcPr>
          <w:p w14:paraId="0D625EA5" w14:textId="77777777" w:rsidR="004202B3" w:rsidRPr="00D961C2" w:rsidRDefault="004202B3" w:rsidP="00D961C2">
            <w:pPr>
              <w:pStyle w:val="Table"/>
              <w:rPr>
                <w:b w:val="0"/>
              </w:rPr>
            </w:pPr>
            <w:r w:rsidRPr="00D961C2">
              <w:rPr>
                <w:b w:val="0"/>
              </w:rPr>
              <w:t>Constipation</w:t>
            </w:r>
            <w:r w:rsidRPr="00D961C2">
              <w:rPr>
                <w:b w:val="0"/>
                <w:vertAlign w:val="superscript"/>
              </w:rPr>
              <w:t>1</w:t>
            </w:r>
          </w:p>
        </w:tc>
        <w:tc>
          <w:tcPr>
            <w:tcW w:w="2835" w:type="dxa"/>
          </w:tcPr>
          <w:p w14:paraId="11D5A780" w14:textId="77777777" w:rsidR="004202B3" w:rsidRPr="00D961C2" w:rsidRDefault="004202B3" w:rsidP="00D961C2">
            <w:pPr>
              <w:pStyle w:val="Table"/>
              <w:rPr>
                <w:b w:val="0"/>
              </w:rPr>
            </w:pPr>
            <w:r w:rsidRPr="00D961C2">
              <w:rPr>
                <w:b w:val="0"/>
              </w:rPr>
              <w:t>-</w:t>
            </w:r>
          </w:p>
        </w:tc>
        <w:tc>
          <w:tcPr>
            <w:tcW w:w="2409" w:type="dxa"/>
          </w:tcPr>
          <w:p w14:paraId="4C879EE2" w14:textId="77777777" w:rsidR="004202B3" w:rsidRPr="00D961C2" w:rsidRDefault="004202B3" w:rsidP="00D961C2">
            <w:pPr>
              <w:pStyle w:val="Table"/>
              <w:rPr>
                <w:b w:val="0"/>
              </w:rPr>
            </w:pPr>
            <w:r w:rsidRPr="00D961C2">
              <w:rPr>
                <w:b w:val="0"/>
              </w:rPr>
              <w:t>Common</w:t>
            </w:r>
          </w:p>
        </w:tc>
      </w:tr>
      <w:tr w:rsidR="004202B3" w:rsidRPr="00EA1DE7" w14:paraId="39432CF2" w14:textId="77777777" w:rsidTr="6E9AFC58">
        <w:trPr>
          <w:trHeight w:val="145"/>
        </w:trPr>
        <w:tc>
          <w:tcPr>
            <w:tcW w:w="9072" w:type="dxa"/>
            <w:gridSpan w:val="3"/>
            <w:shd w:val="clear" w:color="auto" w:fill="auto"/>
            <w:vAlign w:val="center"/>
          </w:tcPr>
          <w:p w14:paraId="0399AB09" w14:textId="77777777" w:rsidR="004202B3" w:rsidRPr="00EA1DE7" w:rsidRDefault="004202B3" w:rsidP="00D961C2">
            <w:pPr>
              <w:pStyle w:val="Table"/>
            </w:pPr>
            <w:r w:rsidRPr="00EA1DE7">
              <w:t>Hepatobiliary disorders</w:t>
            </w:r>
          </w:p>
        </w:tc>
      </w:tr>
      <w:tr w:rsidR="004202B3" w:rsidRPr="00D961C2" w14:paraId="1032548A" w14:textId="77777777" w:rsidTr="6E9AFC58">
        <w:trPr>
          <w:trHeight w:val="176"/>
        </w:trPr>
        <w:tc>
          <w:tcPr>
            <w:tcW w:w="3828" w:type="dxa"/>
            <w:shd w:val="clear" w:color="auto" w:fill="auto"/>
            <w:vAlign w:val="center"/>
          </w:tcPr>
          <w:p w14:paraId="61200DFD" w14:textId="77777777" w:rsidR="004202B3" w:rsidRPr="00D961C2" w:rsidRDefault="004202B3" w:rsidP="00D961C2">
            <w:pPr>
              <w:pStyle w:val="Table"/>
              <w:rPr>
                <w:b w:val="0"/>
                <w:vertAlign w:val="superscript"/>
              </w:rPr>
            </w:pPr>
            <w:r w:rsidRPr="00D961C2">
              <w:rPr>
                <w:b w:val="0"/>
              </w:rPr>
              <w:t>Raised alanine aminotransferase</w:t>
            </w:r>
            <w:r w:rsidRPr="00D961C2">
              <w:rPr>
                <w:b w:val="0"/>
                <w:vertAlign w:val="superscript"/>
              </w:rPr>
              <w:t>2</w:t>
            </w:r>
          </w:p>
        </w:tc>
        <w:tc>
          <w:tcPr>
            <w:tcW w:w="2835" w:type="dxa"/>
          </w:tcPr>
          <w:p w14:paraId="25C58717" w14:textId="77777777" w:rsidR="004202B3" w:rsidRPr="00D961C2" w:rsidRDefault="004202B3" w:rsidP="00D961C2">
            <w:pPr>
              <w:pStyle w:val="Table"/>
              <w:rPr>
                <w:b w:val="0"/>
              </w:rPr>
            </w:pPr>
          </w:p>
        </w:tc>
        <w:tc>
          <w:tcPr>
            <w:tcW w:w="2409" w:type="dxa"/>
          </w:tcPr>
          <w:p w14:paraId="25DC5194" w14:textId="77777777" w:rsidR="004202B3" w:rsidRPr="00D961C2" w:rsidRDefault="004202B3" w:rsidP="00D961C2">
            <w:pPr>
              <w:pStyle w:val="Table"/>
              <w:rPr>
                <w:b w:val="0"/>
              </w:rPr>
            </w:pPr>
          </w:p>
        </w:tc>
      </w:tr>
      <w:tr w:rsidR="004202B3" w:rsidRPr="00D961C2" w14:paraId="695F2A61" w14:textId="77777777" w:rsidTr="6E9AFC58">
        <w:trPr>
          <w:trHeight w:val="145"/>
        </w:trPr>
        <w:tc>
          <w:tcPr>
            <w:tcW w:w="3828" w:type="dxa"/>
            <w:shd w:val="clear" w:color="auto" w:fill="auto"/>
            <w:vAlign w:val="center"/>
          </w:tcPr>
          <w:p w14:paraId="75E1E754" w14:textId="77777777" w:rsidR="004202B3" w:rsidRPr="00D961C2" w:rsidRDefault="004202B3" w:rsidP="00D961C2">
            <w:pPr>
              <w:pStyle w:val="Table"/>
              <w:jc w:val="right"/>
              <w:rPr>
                <w:b w:val="0"/>
              </w:rPr>
            </w:pPr>
            <w:r w:rsidRPr="00D961C2">
              <w:rPr>
                <w:b w:val="0"/>
              </w:rPr>
              <w:t>CTCAE grade 3</w:t>
            </w:r>
          </w:p>
          <w:p w14:paraId="7674805E" w14:textId="77777777" w:rsidR="004202B3" w:rsidRPr="00D961C2" w:rsidDel="000E13C7" w:rsidRDefault="004202B3" w:rsidP="00D961C2">
            <w:pPr>
              <w:pStyle w:val="Table"/>
              <w:jc w:val="right"/>
              <w:rPr>
                <w:b w:val="0"/>
              </w:rPr>
            </w:pPr>
            <w:r w:rsidRPr="00D961C2">
              <w:rPr>
                <w:b w:val="0"/>
              </w:rPr>
              <w:t>(&gt; 5x – 20 x ULN)</w:t>
            </w:r>
          </w:p>
        </w:tc>
        <w:tc>
          <w:tcPr>
            <w:tcW w:w="2835" w:type="dxa"/>
          </w:tcPr>
          <w:p w14:paraId="6E6D83EA" w14:textId="77777777" w:rsidR="004202B3" w:rsidRPr="00D961C2" w:rsidRDefault="004202B3" w:rsidP="00D961C2">
            <w:pPr>
              <w:pStyle w:val="Table"/>
              <w:rPr>
                <w:b w:val="0"/>
              </w:rPr>
            </w:pPr>
            <w:r w:rsidRPr="00D961C2">
              <w:rPr>
                <w:b w:val="0"/>
              </w:rPr>
              <w:t>Common</w:t>
            </w:r>
          </w:p>
        </w:tc>
        <w:tc>
          <w:tcPr>
            <w:tcW w:w="2409" w:type="dxa"/>
          </w:tcPr>
          <w:p w14:paraId="7A6AAC41" w14:textId="77777777" w:rsidR="004202B3" w:rsidRPr="00D961C2" w:rsidRDefault="004202B3" w:rsidP="00D961C2">
            <w:pPr>
              <w:pStyle w:val="Table"/>
              <w:rPr>
                <w:b w:val="0"/>
              </w:rPr>
            </w:pPr>
            <w:r w:rsidRPr="00D961C2">
              <w:rPr>
                <w:b w:val="0"/>
              </w:rPr>
              <w:t>Uncommon</w:t>
            </w:r>
          </w:p>
        </w:tc>
      </w:tr>
      <w:tr w:rsidR="004202B3" w:rsidRPr="00D961C2" w14:paraId="5FD4B285" w14:textId="77777777" w:rsidTr="6E9AFC58">
        <w:trPr>
          <w:trHeight w:val="145"/>
        </w:trPr>
        <w:tc>
          <w:tcPr>
            <w:tcW w:w="3828" w:type="dxa"/>
            <w:shd w:val="clear" w:color="auto" w:fill="auto"/>
            <w:vAlign w:val="center"/>
          </w:tcPr>
          <w:p w14:paraId="02E9B351" w14:textId="77777777" w:rsidR="004202B3" w:rsidRPr="00D961C2" w:rsidDel="000E13C7" w:rsidRDefault="004202B3" w:rsidP="00D961C2">
            <w:pPr>
              <w:pStyle w:val="Table"/>
              <w:jc w:val="right"/>
              <w:rPr>
                <w:b w:val="0"/>
              </w:rPr>
            </w:pPr>
            <w:r w:rsidRPr="00D961C2">
              <w:rPr>
                <w:b w:val="0"/>
              </w:rPr>
              <w:t>Any CTCAE grade</w:t>
            </w:r>
          </w:p>
        </w:tc>
        <w:tc>
          <w:tcPr>
            <w:tcW w:w="2835" w:type="dxa"/>
          </w:tcPr>
          <w:p w14:paraId="5A90E95D" w14:textId="77777777" w:rsidR="004202B3" w:rsidRPr="00D961C2" w:rsidRDefault="004202B3" w:rsidP="00D961C2">
            <w:pPr>
              <w:pStyle w:val="Table"/>
              <w:rPr>
                <w:b w:val="0"/>
              </w:rPr>
            </w:pPr>
            <w:r w:rsidRPr="00D961C2">
              <w:rPr>
                <w:b w:val="0"/>
              </w:rPr>
              <w:t>Very common</w:t>
            </w:r>
          </w:p>
        </w:tc>
        <w:tc>
          <w:tcPr>
            <w:tcW w:w="2409" w:type="dxa"/>
          </w:tcPr>
          <w:p w14:paraId="045584CF" w14:textId="77777777" w:rsidR="004202B3" w:rsidRPr="00D961C2" w:rsidRDefault="004202B3" w:rsidP="00D961C2">
            <w:pPr>
              <w:pStyle w:val="Table"/>
              <w:rPr>
                <w:b w:val="0"/>
              </w:rPr>
            </w:pPr>
            <w:r w:rsidRPr="00D961C2">
              <w:rPr>
                <w:b w:val="0"/>
              </w:rPr>
              <w:t>Very common</w:t>
            </w:r>
          </w:p>
        </w:tc>
      </w:tr>
      <w:tr w:rsidR="004202B3" w:rsidRPr="00D961C2" w14:paraId="17936197" w14:textId="77777777" w:rsidTr="6E9AFC58">
        <w:trPr>
          <w:trHeight w:val="145"/>
        </w:trPr>
        <w:tc>
          <w:tcPr>
            <w:tcW w:w="3828" w:type="dxa"/>
            <w:shd w:val="clear" w:color="auto" w:fill="auto"/>
            <w:vAlign w:val="center"/>
          </w:tcPr>
          <w:p w14:paraId="7DD1706E" w14:textId="77777777" w:rsidR="004202B3" w:rsidRPr="00D961C2" w:rsidRDefault="004202B3" w:rsidP="00D961C2">
            <w:pPr>
              <w:pStyle w:val="Table"/>
              <w:rPr>
                <w:b w:val="0"/>
                <w:vertAlign w:val="superscript"/>
              </w:rPr>
            </w:pPr>
            <w:r w:rsidRPr="00D961C2">
              <w:rPr>
                <w:b w:val="0"/>
              </w:rPr>
              <w:t>Raised aspartate aminotransferase</w:t>
            </w:r>
            <w:r w:rsidRPr="00D961C2">
              <w:rPr>
                <w:b w:val="0"/>
                <w:vertAlign w:val="superscript"/>
              </w:rPr>
              <w:t>2</w:t>
            </w:r>
          </w:p>
        </w:tc>
        <w:tc>
          <w:tcPr>
            <w:tcW w:w="2835" w:type="dxa"/>
          </w:tcPr>
          <w:p w14:paraId="66D31D2D" w14:textId="77777777" w:rsidR="004202B3" w:rsidRPr="00D961C2" w:rsidRDefault="004202B3" w:rsidP="00D961C2">
            <w:pPr>
              <w:pStyle w:val="Table"/>
              <w:rPr>
                <w:b w:val="0"/>
              </w:rPr>
            </w:pPr>
          </w:p>
        </w:tc>
        <w:tc>
          <w:tcPr>
            <w:tcW w:w="2409" w:type="dxa"/>
          </w:tcPr>
          <w:p w14:paraId="4C1332DF" w14:textId="77777777" w:rsidR="004202B3" w:rsidRPr="00D961C2" w:rsidRDefault="004202B3" w:rsidP="00D961C2">
            <w:pPr>
              <w:pStyle w:val="Table"/>
              <w:rPr>
                <w:b w:val="0"/>
              </w:rPr>
            </w:pPr>
          </w:p>
        </w:tc>
      </w:tr>
      <w:tr w:rsidR="004202B3" w:rsidRPr="00D961C2" w14:paraId="54569C5C" w14:textId="77777777" w:rsidTr="6E9AFC58">
        <w:trPr>
          <w:trHeight w:val="145"/>
        </w:trPr>
        <w:tc>
          <w:tcPr>
            <w:tcW w:w="3828" w:type="dxa"/>
            <w:shd w:val="clear" w:color="auto" w:fill="auto"/>
            <w:vAlign w:val="center"/>
          </w:tcPr>
          <w:p w14:paraId="0C13A9C3" w14:textId="77777777" w:rsidR="004202B3" w:rsidRPr="00D961C2" w:rsidRDefault="004202B3" w:rsidP="00D961C2">
            <w:pPr>
              <w:pStyle w:val="Table"/>
              <w:jc w:val="right"/>
              <w:rPr>
                <w:b w:val="0"/>
              </w:rPr>
            </w:pPr>
            <w:r w:rsidRPr="00D961C2">
              <w:rPr>
                <w:b w:val="0"/>
              </w:rPr>
              <w:t>Any CTCAE grade</w:t>
            </w:r>
          </w:p>
        </w:tc>
        <w:tc>
          <w:tcPr>
            <w:tcW w:w="2835" w:type="dxa"/>
          </w:tcPr>
          <w:p w14:paraId="69645163" w14:textId="77777777" w:rsidR="004202B3" w:rsidRPr="00D961C2" w:rsidRDefault="004202B3" w:rsidP="00D961C2">
            <w:pPr>
              <w:pStyle w:val="Table"/>
              <w:rPr>
                <w:b w:val="0"/>
              </w:rPr>
            </w:pPr>
            <w:r w:rsidRPr="00D961C2">
              <w:rPr>
                <w:b w:val="0"/>
              </w:rPr>
              <w:t>Very common</w:t>
            </w:r>
          </w:p>
        </w:tc>
        <w:tc>
          <w:tcPr>
            <w:tcW w:w="2409" w:type="dxa"/>
          </w:tcPr>
          <w:p w14:paraId="489341F8" w14:textId="77777777" w:rsidR="004202B3" w:rsidRPr="00D961C2" w:rsidRDefault="004202B3" w:rsidP="00D961C2">
            <w:pPr>
              <w:pStyle w:val="Table"/>
              <w:rPr>
                <w:b w:val="0"/>
              </w:rPr>
            </w:pPr>
            <w:r w:rsidRPr="00D961C2">
              <w:rPr>
                <w:b w:val="0"/>
              </w:rPr>
              <w:t>Very common</w:t>
            </w:r>
          </w:p>
        </w:tc>
      </w:tr>
      <w:tr w:rsidR="004202B3" w:rsidRPr="00EA1DE7" w14:paraId="79332031" w14:textId="77777777" w:rsidTr="6E9AFC58">
        <w:trPr>
          <w:trHeight w:val="145"/>
        </w:trPr>
        <w:tc>
          <w:tcPr>
            <w:tcW w:w="9072" w:type="dxa"/>
            <w:gridSpan w:val="3"/>
            <w:shd w:val="clear" w:color="auto" w:fill="auto"/>
            <w:vAlign w:val="center"/>
          </w:tcPr>
          <w:p w14:paraId="19B96A63" w14:textId="77777777" w:rsidR="004202B3" w:rsidRPr="00EA1DE7" w:rsidRDefault="004202B3" w:rsidP="00D961C2">
            <w:pPr>
              <w:pStyle w:val="Table"/>
            </w:pPr>
            <w:r w:rsidRPr="00EA1DE7">
              <w:t>Skin and subcutaneous tissue disorders</w:t>
            </w:r>
          </w:p>
        </w:tc>
      </w:tr>
      <w:tr w:rsidR="004202B3" w:rsidRPr="00D961C2" w14:paraId="758A900D" w14:textId="77777777" w:rsidTr="6E9AFC58">
        <w:trPr>
          <w:trHeight w:val="70"/>
        </w:trPr>
        <w:tc>
          <w:tcPr>
            <w:tcW w:w="3828" w:type="dxa"/>
            <w:shd w:val="clear" w:color="auto" w:fill="auto"/>
            <w:vAlign w:val="center"/>
          </w:tcPr>
          <w:p w14:paraId="3966FBE6" w14:textId="77777777" w:rsidR="004202B3" w:rsidRPr="00D961C2" w:rsidRDefault="004202B3" w:rsidP="00D961C2">
            <w:pPr>
              <w:pStyle w:val="Table"/>
              <w:rPr>
                <w:b w:val="0"/>
              </w:rPr>
            </w:pPr>
            <w:r w:rsidRPr="00D961C2">
              <w:rPr>
                <w:b w:val="0"/>
              </w:rPr>
              <w:t>Bruising</w:t>
            </w:r>
            <w:r w:rsidRPr="00D961C2">
              <w:rPr>
                <w:b w:val="0"/>
                <w:vertAlign w:val="superscript"/>
              </w:rPr>
              <w:t>1</w:t>
            </w:r>
          </w:p>
        </w:tc>
        <w:tc>
          <w:tcPr>
            <w:tcW w:w="2835" w:type="dxa"/>
          </w:tcPr>
          <w:p w14:paraId="3EDA8963" w14:textId="77777777" w:rsidR="004202B3" w:rsidRPr="00D961C2" w:rsidRDefault="004202B3" w:rsidP="00D961C2">
            <w:pPr>
              <w:pStyle w:val="Table"/>
              <w:rPr>
                <w:b w:val="0"/>
              </w:rPr>
            </w:pPr>
            <w:r w:rsidRPr="00D961C2">
              <w:rPr>
                <w:b w:val="0"/>
              </w:rPr>
              <w:t>Very common</w:t>
            </w:r>
          </w:p>
        </w:tc>
        <w:tc>
          <w:tcPr>
            <w:tcW w:w="2409" w:type="dxa"/>
          </w:tcPr>
          <w:p w14:paraId="60D564D8" w14:textId="77777777" w:rsidR="004202B3" w:rsidRPr="00D961C2" w:rsidRDefault="004202B3" w:rsidP="00D961C2">
            <w:pPr>
              <w:pStyle w:val="Table"/>
              <w:rPr>
                <w:b w:val="0"/>
              </w:rPr>
            </w:pPr>
            <w:r w:rsidRPr="00D961C2">
              <w:rPr>
                <w:b w:val="0"/>
              </w:rPr>
              <w:t>-</w:t>
            </w:r>
          </w:p>
        </w:tc>
      </w:tr>
      <w:tr w:rsidR="004202B3" w:rsidRPr="00EA1DE7" w14:paraId="2CE4B870" w14:textId="77777777" w:rsidTr="6E9AFC58">
        <w:trPr>
          <w:trHeight w:val="70"/>
        </w:trPr>
        <w:tc>
          <w:tcPr>
            <w:tcW w:w="9072" w:type="dxa"/>
            <w:gridSpan w:val="3"/>
            <w:shd w:val="clear" w:color="auto" w:fill="auto"/>
            <w:vAlign w:val="center"/>
          </w:tcPr>
          <w:p w14:paraId="5FC53DE7" w14:textId="77777777" w:rsidR="004202B3" w:rsidRPr="00EA1DE7" w:rsidRDefault="004202B3" w:rsidP="00D961C2">
            <w:pPr>
              <w:pStyle w:val="Table"/>
            </w:pPr>
            <w:r w:rsidRPr="00EA1DE7">
              <w:t>Vascular disorders</w:t>
            </w:r>
          </w:p>
        </w:tc>
      </w:tr>
      <w:tr w:rsidR="004202B3" w:rsidRPr="00D961C2" w14:paraId="1B7373B0" w14:textId="77777777" w:rsidTr="6E9AFC58">
        <w:trPr>
          <w:trHeight w:val="70"/>
        </w:trPr>
        <w:tc>
          <w:tcPr>
            <w:tcW w:w="3828" w:type="dxa"/>
            <w:shd w:val="clear" w:color="auto" w:fill="auto"/>
            <w:vAlign w:val="center"/>
          </w:tcPr>
          <w:p w14:paraId="5D845B48" w14:textId="77777777" w:rsidR="004202B3" w:rsidRPr="00D961C2" w:rsidRDefault="004202B3" w:rsidP="00D961C2">
            <w:pPr>
              <w:pStyle w:val="Table"/>
              <w:rPr>
                <w:b w:val="0"/>
              </w:rPr>
            </w:pPr>
            <w:r w:rsidRPr="00D961C2">
              <w:rPr>
                <w:b w:val="0"/>
              </w:rPr>
              <w:t>Hypertension</w:t>
            </w:r>
            <w:r w:rsidRPr="00D961C2">
              <w:rPr>
                <w:b w:val="0"/>
                <w:vertAlign w:val="superscript"/>
              </w:rPr>
              <w:t>1</w:t>
            </w:r>
          </w:p>
        </w:tc>
        <w:tc>
          <w:tcPr>
            <w:tcW w:w="2835" w:type="dxa"/>
            <w:vAlign w:val="center"/>
          </w:tcPr>
          <w:p w14:paraId="39AEB4A5" w14:textId="77777777" w:rsidR="004202B3" w:rsidRPr="00D961C2" w:rsidRDefault="004202B3" w:rsidP="00D961C2">
            <w:pPr>
              <w:pStyle w:val="Table"/>
              <w:rPr>
                <w:b w:val="0"/>
              </w:rPr>
            </w:pPr>
            <w:r w:rsidRPr="00D961C2">
              <w:rPr>
                <w:b w:val="0"/>
              </w:rPr>
              <w:t>-</w:t>
            </w:r>
          </w:p>
        </w:tc>
        <w:tc>
          <w:tcPr>
            <w:tcW w:w="2409" w:type="dxa"/>
          </w:tcPr>
          <w:p w14:paraId="7E54EF76" w14:textId="77777777" w:rsidR="004202B3" w:rsidRPr="00D961C2" w:rsidRDefault="004202B3" w:rsidP="00D961C2">
            <w:pPr>
              <w:pStyle w:val="Table"/>
              <w:rPr>
                <w:b w:val="0"/>
              </w:rPr>
            </w:pPr>
            <w:r w:rsidRPr="00D961C2">
              <w:rPr>
                <w:b w:val="0"/>
              </w:rPr>
              <w:t>Common</w:t>
            </w:r>
          </w:p>
        </w:tc>
      </w:tr>
      <w:tr w:rsidR="004202B3" w:rsidRPr="00EA1DE7" w14:paraId="1314157D" w14:textId="77777777" w:rsidTr="6E9AFC58">
        <w:trPr>
          <w:trHeight w:val="748"/>
        </w:trPr>
        <w:tc>
          <w:tcPr>
            <w:tcW w:w="9072" w:type="dxa"/>
            <w:gridSpan w:val="3"/>
            <w:shd w:val="clear" w:color="auto" w:fill="auto"/>
            <w:vAlign w:val="center"/>
          </w:tcPr>
          <w:p w14:paraId="3729D71E" w14:textId="77777777" w:rsidR="004202B3" w:rsidRPr="00D961C2" w:rsidRDefault="004202B3" w:rsidP="00D961C2">
            <w:pPr>
              <w:pStyle w:val="Table"/>
              <w:rPr>
                <w:b w:val="0"/>
              </w:rPr>
            </w:pPr>
            <w:r w:rsidRPr="00D961C2">
              <w:rPr>
                <w:b w:val="0"/>
                <w:vertAlign w:val="superscript"/>
              </w:rPr>
              <w:t>1</w:t>
            </w:r>
            <w:r w:rsidRPr="00D961C2">
              <w:rPr>
                <w:b w:val="0"/>
              </w:rPr>
              <w:t xml:space="preserve"> Frequency is based on adverse event data.</w:t>
            </w:r>
          </w:p>
          <w:p w14:paraId="5B2E6BDE" w14:textId="77777777" w:rsidR="004202B3" w:rsidRPr="00D961C2" w:rsidRDefault="004202B3" w:rsidP="00D961C2">
            <w:pPr>
              <w:pStyle w:val="Table"/>
              <w:rPr>
                <w:b w:val="0"/>
              </w:rPr>
            </w:pPr>
            <w:r w:rsidRPr="00D961C2">
              <w:rPr>
                <w:b w:val="0"/>
                <w:vertAlign w:val="superscript"/>
              </w:rPr>
              <w:t>2</w:t>
            </w:r>
            <w:r w:rsidRPr="00D961C2">
              <w:rPr>
                <w:b w:val="0"/>
              </w:rPr>
              <w:t xml:space="preserve"> Frequency is based on laboratory values.</w:t>
            </w:r>
          </w:p>
          <w:p w14:paraId="1EED18EA" w14:textId="79FA8641" w:rsidR="004202B3" w:rsidRPr="00D961C2" w:rsidRDefault="004202B3" w:rsidP="00D961C2">
            <w:pPr>
              <w:pStyle w:val="Table"/>
              <w:rPr>
                <w:b w:val="0"/>
              </w:rPr>
            </w:pPr>
            <w:r w:rsidRPr="00D961C2">
              <w:rPr>
                <w:b w:val="0"/>
                <w:vertAlign w:val="superscript"/>
              </w:rPr>
              <w:t>3</w:t>
            </w:r>
            <w:r w:rsidRPr="00D961C2">
              <w:rPr>
                <w:b w:val="0"/>
              </w:rPr>
              <w:t xml:space="preserve"> Pancytopenia is defined as </w:t>
            </w:r>
            <w:proofErr w:type="spellStart"/>
            <w:r w:rsidRPr="00D961C2">
              <w:rPr>
                <w:b w:val="0"/>
              </w:rPr>
              <w:t>h</w:t>
            </w:r>
            <w:r w:rsidR="009238D1">
              <w:rPr>
                <w:b w:val="0"/>
              </w:rPr>
              <w:t>a</w:t>
            </w:r>
            <w:r w:rsidRPr="00D961C2">
              <w:rPr>
                <w:b w:val="0"/>
              </w:rPr>
              <w:t>emoglobin</w:t>
            </w:r>
            <w:proofErr w:type="spellEnd"/>
            <w:r w:rsidRPr="00D961C2">
              <w:rPr>
                <w:b w:val="0"/>
              </w:rPr>
              <w:t xml:space="preserve"> level &lt; 100 g/l, platelet count &lt;100 x 10</w:t>
            </w:r>
            <w:r w:rsidRPr="00D961C2">
              <w:rPr>
                <w:b w:val="0"/>
                <w:vertAlign w:val="superscript"/>
              </w:rPr>
              <w:t>9</w:t>
            </w:r>
            <w:r w:rsidRPr="00D961C2">
              <w:rPr>
                <w:b w:val="0"/>
              </w:rPr>
              <w:t xml:space="preserve"> /l, and neutrophils count &lt;1.5 x 10</w:t>
            </w:r>
            <w:r w:rsidRPr="00D961C2">
              <w:rPr>
                <w:b w:val="0"/>
                <w:vertAlign w:val="superscript"/>
              </w:rPr>
              <w:t>9</w:t>
            </w:r>
            <w:r w:rsidRPr="00D961C2">
              <w:rPr>
                <w:b w:val="0"/>
              </w:rPr>
              <w:t xml:space="preserve"> /l (or low WBC count of grade 2 if neutrophils count is missing), simultaneously in the same lab assessment</w:t>
            </w:r>
          </w:p>
          <w:p w14:paraId="08E186C1" w14:textId="77777777" w:rsidR="004202B3" w:rsidRPr="00D961C2" w:rsidRDefault="004202B3" w:rsidP="00D961C2">
            <w:pPr>
              <w:pStyle w:val="Table"/>
              <w:rPr>
                <w:b w:val="0"/>
              </w:rPr>
            </w:pPr>
            <w:r w:rsidRPr="00D961C2">
              <w:rPr>
                <w:b w:val="0"/>
                <w:vertAlign w:val="superscript"/>
              </w:rPr>
              <w:t>4</w:t>
            </w:r>
            <w:r w:rsidRPr="00D961C2">
              <w:rPr>
                <w:b w:val="0"/>
              </w:rPr>
              <w:t xml:space="preserve"> Common Terminology Criteria for Adverse Events (</w:t>
            </w:r>
            <w:proofErr w:type="gramStart"/>
            <w:r w:rsidRPr="00D961C2">
              <w:rPr>
                <w:b w:val="0"/>
              </w:rPr>
              <w:t>CTCAE)  Version</w:t>
            </w:r>
            <w:proofErr w:type="gramEnd"/>
            <w:r w:rsidRPr="00D961C2">
              <w:rPr>
                <w:b w:val="0"/>
              </w:rPr>
              <w:t xml:space="preserve"> 3.0; </w:t>
            </w:r>
          </w:p>
          <w:p w14:paraId="4EFB4100" w14:textId="77777777" w:rsidR="004202B3" w:rsidRPr="00D961C2" w:rsidRDefault="004202B3" w:rsidP="00D961C2">
            <w:pPr>
              <w:pStyle w:val="Table"/>
              <w:rPr>
                <w:b w:val="0"/>
              </w:rPr>
            </w:pPr>
            <w:r w:rsidRPr="00D961C2">
              <w:rPr>
                <w:b w:val="0"/>
              </w:rPr>
              <w:t>Grade 1=mild, Grade 2= moderate, Grade 3=severe, Grade 4=life-threatening or disabling.</w:t>
            </w:r>
          </w:p>
          <w:p w14:paraId="17F98142" w14:textId="77777777" w:rsidR="004202B3" w:rsidRPr="00D961C2" w:rsidRDefault="004202B3" w:rsidP="00D961C2">
            <w:pPr>
              <w:pStyle w:val="Table"/>
              <w:rPr>
                <w:b w:val="0"/>
              </w:rPr>
            </w:pPr>
            <w:r w:rsidRPr="00D961C2">
              <w:rPr>
                <w:b w:val="0"/>
              </w:rPr>
              <w:t>ULN = upper limit of normal</w:t>
            </w:r>
          </w:p>
          <w:p w14:paraId="59E075CD" w14:textId="77777777" w:rsidR="004202B3" w:rsidRPr="00D961C2" w:rsidRDefault="004202B3" w:rsidP="00D961C2">
            <w:pPr>
              <w:pStyle w:val="Table"/>
              <w:rPr>
                <w:b w:val="0"/>
                <w:vertAlign w:val="superscript"/>
              </w:rPr>
            </w:pPr>
            <w:r w:rsidRPr="00D961C2">
              <w:rPr>
                <w:b w:val="0"/>
                <w:vertAlign w:val="superscript"/>
              </w:rPr>
              <w:t>*</w:t>
            </w:r>
            <w:r w:rsidRPr="00D961C2">
              <w:rPr>
                <w:b w:val="0"/>
              </w:rPr>
              <w:t xml:space="preserve"> Frequency is based on all patients exposed to </w:t>
            </w:r>
            <w:proofErr w:type="spellStart"/>
            <w:r w:rsidRPr="00D961C2">
              <w:rPr>
                <w:b w:val="0"/>
              </w:rPr>
              <w:t>ruxolitinib</w:t>
            </w:r>
            <w:proofErr w:type="spellEnd"/>
            <w:r w:rsidRPr="00D961C2">
              <w:rPr>
                <w:b w:val="0"/>
              </w:rPr>
              <w:t xml:space="preserve"> in clinical trials (N=4755)</w:t>
            </w:r>
          </w:p>
        </w:tc>
      </w:tr>
    </w:tbl>
    <w:p w14:paraId="0B344CDE" w14:textId="77777777" w:rsidR="004202B3" w:rsidRDefault="004202B3" w:rsidP="004202B3"/>
    <w:p w14:paraId="048911FD" w14:textId="39EE3DB4" w:rsidR="004202B3" w:rsidRDefault="004202B3" w:rsidP="004202B3">
      <w:r w:rsidRPr="00DE6BF0">
        <w:t xml:space="preserve">Upon discontinuation </w:t>
      </w:r>
      <w:r>
        <w:t xml:space="preserve">MF </w:t>
      </w:r>
      <w:r w:rsidRPr="00DE6BF0">
        <w:t xml:space="preserve">patients may experience a return of myelofibrosis symptoms such as fatigue, bone pain, fever, pruritus, night sweats, symptomatic </w:t>
      </w:r>
      <w:proofErr w:type="gramStart"/>
      <w:r w:rsidRPr="00DE6BF0">
        <w:t>splenomegaly</w:t>
      </w:r>
      <w:proofErr w:type="gramEnd"/>
      <w:r w:rsidRPr="00DE6BF0">
        <w:t xml:space="preserve"> and weight loss. </w:t>
      </w:r>
      <w:r w:rsidRPr="00DE6BF0">
        <w:lastRenderedPageBreak/>
        <w:t xml:space="preserve">In </w:t>
      </w:r>
      <w:r>
        <w:t xml:space="preserve">MF </w:t>
      </w:r>
      <w:r w:rsidRPr="00DE6BF0">
        <w:t>clinical studies the total symptom score for myelofibrosis symptoms gradually returned to baseline values within 7 days after dose discontinuation.</w:t>
      </w:r>
    </w:p>
    <w:p w14:paraId="22D42984" w14:textId="700334E4" w:rsidR="00CE1CBC" w:rsidRPr="00CE1CBC" w:rsidRDefault="00CE1CBC" w:rsidP="00CE1CBC">
      <w:pPr>
        <w:rPr>
          <w:b/>
        </w:rPr>
      </w:pPr>
      <w:bookmarkStart w:id="1" w:name="_Toc56781761"/>
      <w:bookmarkStart w:id="2" w:name="_Toc56781930"/>
      <w:bookmarkStart w:id="3" w:name="_Toc59188501"/>
      <w:r w:rsidRPr="00CE1CBC">
        <w:rPr>
          <w:b/>
        </w:rPr>
        <w:t xml:space="preserve">Table </w:t>
      </w:r>
      <w:r w:rsidRPr="00CE1CBC">
        <w:rPr>
          <w:b/>
          <w:color w:val="2B579A"/>
          <w:shd w:val="clear" w:color="auto" w:fill="E6E6E6"/>
        </w:rPr>
        <w:fldChar w:fldCharType="begin"/>
      </w:r>
      <w:r w:rsidRPr="00CE1CBC">
        <w:rPr>
          <w:b/>
        </w:rPr>
        <w:instrText xml:space="preserve"> SEQ Table \* ARABIC </w:instrText>
      </w:r>
      <w:r w:rsidRPr="00CE1CBC">
        <w:rPr>
          <w:b/>
          <w:color w:val="2B579A"/>
          <w:shd w:val="clear" w:color="auto" w:fill="E6E6E6"/>
        </w:rPr>
        <w:fldChar w:fldCharType="separate"/>
      </w:r>
      <w:r w:rsidR="00F06539">
        <w:rPr>
          <w:b/>
          <w:noProof/>
        </w:rPr>
        <w:t>6</w:t>
      </w:r>
      <w:r w:rsidRPr="00CE1CBC">
        <w:rPr>
          <w:b/>
          <w:color w:val="2B579A"/>
          <w:shd w:val="clear" w:color="auto" w:fill="E6E6E6"/>
        </w:rPr>
        <w:fldChar w:fldCharType="end"/>
      </w:r>
      <w:r w:rsidRPr="00CE1CBC">
        <w:rPr>
          <w:b/>
        </w:rPr>
        <w:t xml:space="preserve"> ADRs reported in the phase 3 studies in GvHD</w:t>
      </w:r>
      <w:bookmarkEnd w:id="1"/>
      <w:bookmarkEnd w:id="2"/>
      <w:bookmarkEnd w:id="3"/>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1416"/>
        <w:gridCol w:w="850"/>
        <w:gridCol w:w="1278"/>
        <w:gridCol w:w="1416"/>
        <w:gridCol w:w="851"/>
        <w:gridCol w:w="1274"/>
      </w:tblGrid>
      <w:tr w:rsidR="00D961C2" w:rsidRPr="00CE1CBC" w14:paraId="5213316F" w14:textId="77777777" w:rsidTr="00D961C2">
        <w:trPr>
          <w:trHeight w:val="53"/>
          <w:tblHeader/>
        </w:trPr>
        <w:tc>
          <w:tcPr>
            <w:tcW w:w="1213" w:type="pct"/>
            <w:tcBorders>
              <w:left w:val="nil"/>
            </w:tcBorders>
            <w:vAlign w:val="center"/>
          </w:tcPr>
          <w:p w14:paraId="40496D9E" w14:textId="77777777" w:rsidR="00CE1CBC" w:rsidRPr="00CE1CBC" w:rsidRDefault="00CE1CBC" w:rsidP="00D961C2">
            <w:pPr>
              <w:pStyle w:val="Table"/>
            </w:pPr>
          </w:p>
        </w:tc>
        <w:tc>
          <w:tcPr>
            <w:tcW w:w="1894" w:type="pct"/>
            <w:gridSpan w:val="3"/>
            <w:vAlign w:val="center"/>
          </w:tcPr>
          <w:p w14:paraId="5BFF16DF" w14:textId="77777777" w:rsidR="00CE1CBC" w:rsidRPr="00CE1CBC" w:rsidRDefault="00CE1CBC" w:rsidP="00D961C2">
            <w:pPr>
              <w:pStyle w:val="Table"/>
              <w:jc w:val="center"/>
            </w:pPr>
            <w:r w:rsidRPr="00CE1CBC">
              <w:t>Acute GvHD (REACH2)</w:t>
            </w:r>
            <w:r w:rsidRPr="00CE1CBC">
              <w:br/>
              <w:t>(N=201)</w:t>
            </w:r>
          </w:p>
        </w:tc>
        <w:tc>
          <w:tcPr>
            <w:tcW w:w="1893" w:type="pct"/>
            <w:gridSpan w:val="3"/>
            <w:tcBorders>
              <w:right w:val="nil"/>
            </w:tcBorders>
            <w:vAlign w:val="center"/>
          </w:tcPr>
          <w:p w14:paraId="641D45FF" w14:textId="77777777" w:rsidR="00CE1CBC" w:rsidRPr="00CE1CBC" w:rsidRDefault="00CE1CBC" w:rsidP="00D961C2">
            <w:pPr>
              <w:pStyle w:val="Table"/>
              <w:jc w:val="center"/>
            </w:pPr>
            <w:r w:rsidRPr="00CE1CBC">
              <w:t>Chronic GvHD (REACH3)</w:t>
            </w:r>
            <w:r w:rsidRPr="00CE1CBC">
              <w:br/>
              <w:t>(N=226)</w:t>
            </w:r>
          </w:p>
        </w:tc>
      </w:tr>
      <w:tr w:rsidR="00D961C2" w:rsidRPr="00CE1CBC" w14:paraId="56D7738A" w14:textId="77777777" w:rsidTr="00D961C2">
        <w:trPr>
          <w:trHeight w:val="145"/>
          <w:tblHeader/>
        </w:trPr>
        <w:tc>
          <w:tcPr>
            <w:tcW w:w="1213" w:type="pct"/>
            <w:tcBorders>
              <w:left w:val="nil"/>
            </w:tcBorders>
            <w:vAlign w:val="center"/>
          </w:tcPr>
          <w:p w14:paraId="455C5B72" w14:textId="77777777" w:rsidR="00CE1CBC" w:rsidRPr="00CE1CBC" w:rsidDel="00091FDE" w:rsidRDefault="00CE1CBC" w:rsidP="00D961C2">
            <w:pPr>
              <w:pStyle w:val="Table"/>
            </w:pPr>
            <w:r w:rsidRPr="00CE1CBC">
              <w:t>ADR</w:t>
            </w:r>
          </w:p>
        </w:tc>
        <w:tc>
          <w:tcPr>
            <w:tcW w:w="757" w:type="pct"/>
            <w:vAlign w:val="center"/>
          </w:tcPr>
          <w:p w14:paraId="032D0261" w14:textId="77777777" w:rsidR="00CE1CBC" w:rsidRPr="00CE1CBC" w:rsidDel="00091FDE" w:rsidRDefault="00CE1CBC" w:rsidP="00D961C2">
            <w:pPr>
              <w:pStyle w:val="Table"/>
              <w:jc w:val="center"/>
            </w:pPr>
            <w:r w:rsidRPr="00CE1CBC">
              <w:t>Frequency</w:t>
            </w:r>
            <w:r w:rsidRPr="00CE1CBC">
              <w:br/>
              <w:t>category</w:t>
            </w:r>
          </w:p>
        </w:tc>
        <w:tc>
          <w:tcPr>
            <w:tcW w:w="454" w:type="pct"/>
          </w:tcPr>
          <w:p w14:paraId="70C0EE2B" w14:textId="77777777" w:rsidR="00CE1CBC" w:rsidRPr="00CE1CBC" w:rsidDel="00091FDE" w:rsidRDefault="00CE1CBC" w:rsidP="00D961C2">
            <w:pPr>
              <w:pStyle w:val="Table"/>
              <w:jc w:val="center"/>
            </w:pPr>
            <w:r w:rsidRPr="00CE1CBC">
              <w:t>All grades</w:t>
            </w:r>
            <w:r w:rsidRPr="00CE1CBC">
              <w:br/>
              <w:t>(%)</w:t>
            </w:r>
          </w:p>
        </w:tc>
        <w:tc>
          <w:tcPr>
            <w:tcW w:w="682" w:type="pct"/>
          </w:tcPr>
          <w:p w14:paraId="347DEAE6" w14:textId="77777777" w:rsidR="00CE1CBC" w:rsidRPr="00CE1CBC" w:rsidDel="00091FDE" w:rsidRDefault="00CE1CBC" w:rsidP="00D961C2">
            <w:pPr>
              <w:pStyle w:val="Table"/>
              <w:jc w:val="center"/>
            </w:pPr>
            <w:r w:rsidRPr="00CE1CBC">
              <w:t>CTCAE</w:t>
            </w:r>
            <w:r w:rsidRPr="00CE1CBC">
              <w:rPr>
                <w:vertAlign w:val="superscript"/>
              </w:rPr>
              <w:t>3</w:t>
            </w:r>
            <w:r w:rsidRPr="00CE1CBC">
              <w:br/>
              <w:t>Grade 3 / 4</w:t>
            </w:r>
            <w:r w:rsidRPr="00CE1CBC">
              <w:br/>
              <w:t>(%)</w:t>
            </w:r>
          </w:p>
        </w:tc>
        <w:tc>
          <w:tcPr>
            <w:tcW w:w="757" w:type="pct"/>
          </w:tcPr>
          <w:p w14:paraId="5DA94D19" w14:textId="77777777" w:rsidR="00CE1CBC" w:rsidRPr="00CE1CBC" w:rsidDel="00091FDE" w:rsidRDefault="00CE1CBC" w:rsidP="00D961C2">
            <w:pPr>
              <w:pStyle w:val="Table"/>
              <w:jc w:val="center"/>
            </w:pPr>
            <w:r w:rsidRPr="00CE1CBC">
              <w:t>Frequency</w:t>
            </w:r>
            <w:r w:rsidRPr="00CE1CBC">
              <w:br/>
              <w:t>category</w:t>
            </w:r>
          </w:p>
        </w:tc>
        <w:tc>
          <w:tcPr>
            <w:tcW w:w="455" w:type="pct"/>
            <w:tcBorders>
              <w:right w:val="nil"/>
            </w:tcBorders>
          </w:tcPr>
          <w:p w14:paraId="42FFA63A" w14:textId="77777777" w:rsidR="00CE1CBC" w:rsidRPr="00CE1CBC" w:rsidRDefault="00CE1CBC" w:rsidP="00D961C2">
            <w:pPr>
              <w:pStyle w:val="Table"/>
              <w:jc w:val="center"/>
            </w:pPr>
            <w:r w:rsidRPr="00CE1CBC">
              <w:t>All grades</w:t>
            </w:r>
            <w:r w:rsidRPr="00CE1CBC">
              <w:br/>
              <w:t>(%)</w:t>
            </w:r>
          </w:p>
        </w:tc>
        <w:tc>
          <w:tcPr>
            <w:tcW w:w="681" w:type="pct"/>
            <w:tcBorders>
              <w:right w:val="nil"/>
            </w:tcBorders>
          </w:tcPr>
          <w:p w14:paraId="6498D95B" w14:textId="77777777" w:rsidR="00CE1CBC" w:rsidRPr="00CE1CBC" w:rsidRDefault="00CE1CBC" w:rsidP="00D961C2">
            <w:pPr>
              <w:pStyle w:val="Table"/>
              <w:ind w:firstLine="0"/>
              <w:jc w:val="center"/>
            </w:pPr>
            <w:r w:rsidRPr="00CE1CBC">
              <w:t>CTCAE</w:t>
            </w:r>
            <w:r w:rsidRPr="00CE1CBC">
              <w:rPr>
                <w:vertAlign w:val="superscript"/>
              </w:rPr>
              <w:t>3</w:t>
            </w:r>
            <w:r w:rsidRPr="00CE1CBC">
              <w:rPr>
                <w:vertAlign w:val="superscript"/>
              </w:rPr>
              <w:br/>
            </w:r>
            <w:r w:rsidRPr="00CE1CBC">
              <w:t>Grade 3 / 4</w:t>
            </w:r>
            <w:r w:rsidRPr="00CE1CBC">
              <w:br/>
              <w:t>(%)</w:t>
            </w:r>
          </w:p>
        </w:tc>
      </w:tr>
      <w:tr w:rsidR="00CE1CBC" w:rsidRPr="00CE1CBC" w14:paraId="7E74615D" w14:textId="77777777" w:rsidTr="00D961C2">
        <w:trPr>
          <w:trHeight w:val="145"/>
        </w:trPr>
        <w:tc>
          <w:tcPr>
            <w:tcW w:w="5000" w:type="pct"/>
            <w:gridSpan w:val="7"/>
            <w:tcBorders>
              <w:left w:val="nil"/>
              <w:right w:val="nil"/>
            </w:tcBorders>
            <w:vAlign w:val="center"/>
          </w:tcPr>
          <w:p w14:paraId="22785C29" w14:textId="77777777" w:rsidR="00CE1CBC" w:rsidRPr="00D961C2" w:rsidRDefault="00CE1CBC" w:rsidP="00D961C2">
            <w:pPr>
              <w:pStyle w:val="Table"/>
            </w:pPr>
            <w:r w:rsidRPr="00D961C2">
              <w:t>Infections and infestations</w:t>
            </w:r>
          </w:p>
        </w:tc>
      </w:tr>
      <w:tr w:rsidR="00D961C2" w:rsidRPr="00D961C2" w14:paraId="27B1604A" w14:textId="77777777" w:rsidTr="00D961C2">
        <w:trPr>
          <w:trHeight w:val="145"/>
        </w:trPr>
        <w:tc>
          <w:tcPr>
            <w:tcW w:w="1213" w:type="pct"/>
            <w:tcBorders>
              <w:top w:val="single" w:sz="4" w:space="0" w:color="auto"/>
              <w:left w:val="nil"/>
              <w:bottom w:val="single" w:sz="4" w:space="0" w:color="auto"/>
              <w:right w:val="single" w:sz="4" w:space="0" w:color="auto"/>
            </w:tcBorders>
          </w:tcPr>
          <w:p w14:paraId="51C83022" w14:textId="77777777" w:rsidR="00CE1CBC" w:rsidRPr="00D961C2" w:rsidRDefault="00CE1CBC" w:rsidP="00D961C2">
            <w:pPr>
              <w:pStyle w:val="Table"/>
              <w:rPr>
                <w:b w:val="0"/>
              </w:rPr>
            </w:pPr>
            <w:r w:rsidRPr="00D961C2">
              <w:rPr>
                <w:b w:val="0"/>
              </w:rPr>
              <w:t>CMV infections</w:t>
            </w:r>
          </w:p>
        </w:tc>
        <w:tc>
          <w:tcPr>
            <w:tcW w:w="757" w:type="pct"/>
            <w:tcBorders>
              <w:top w:val="single" w:sz="4" w:space="0" w:color="auto"/>
              <w:left w:val="single" w:sz="4" w:space="0" w:color="auto"/>
              <w:bottom w:val="single" w:sz="4" w:space="0" w:color="auto"/>
              <w:right w:val="single" w:sz="4" w:space="0" w:color="auto"/>
            </w:tcBorders>
          </w:tcPr>
          <w:p w14:paraId="07EB723B" w14:textId="77777777" w:rsidR="00CE1CBC" w:rsidRPr="00D961C2" w:rsidRDefault="00CE1CBC" w:rsidP="00D961C2">
            <w:pPr>
              <w:pStyle w:val="Table"/>
              <w:rPr>
                <w:b w:val="0"/>
              </w:rPr>
            </w:pPr>
            <w:r w:rsidRPr="00D961C2">
              <w:rPr>
                <w:b w:val="0"/>
              </w:rPr>
              <w:t>Very common</w:t>
            </w:r>
          </w:p>
        </w:tc>
        <w:tc>
          <w:tcPr>
            <w:tcW w:w="454" w:type="pct"/>
            <w:tcBorders>
              <w:top w:val="single" w:sz="4" w:space="0" w:color="auto"/>
              <w:left w:val="single" w:sz="4" w:space="0" w:color="auto"/>
              <w:bottom w:val="single" w:sz="4" w:space="0" w:color="auto"/>
              <w:right w:val="single" w:sz="4" w:space="0" w:color="auto"/>
            </w:tcBorders>
          </w:tcPr>
          <w:p w14:paraId="6E89E7CB" w14:textId="77777777" w:rsidR="00CE1CBC" w:rsidRPr="00D961C2" w:rsidRDefault="00CE1CBC" w:rsidP="00D961C2">
            <w:pPr>
              <w:pStyle w:val="Table"/>
              <w:rPr>
                <w:b w:val="0"/>
              </w:rPr>
            </w:pPr>
            <w:r w:rsidRPr="00D961C2">
              <w:rPr>
                <w:b w:val="0"/>
              </w:rPr>
              <w:t>32.3</w:t>
            </w:r>
          </w:p>
        </w:tc>
        <w:tc>
          <w:tcPr>
            <w:tcW w:w="682" w:type="pct"/>
            <w:tcBorders>
              <w:top w:val="single" w:sz="4" w:space="0" w:color="auto"/>
              <w:left w:val="single" w:sz="4" w:space="0" w:color="auto"/>
              <w:bottom w:val="single" w:sz="4" w:space="0" w:color="auto"/>
              <w:right w:val="single" w:sz="4" w:space="0" w:color="auto"/>
            </w:tcBorders>
          </w:tcPr>
          <w:p w14:paraId="3B8E56F3" w14:textId="77777777" w:rsidR="00CE1CBC" w:rsidRPr="00D961C2" w:rsidRDefault="00CE1CBC" w:rsidP="00D961C2">
            <w:pPr>
              <w:pStyle w:val="Table"/>
              <w:rPr>
                <w:b w:val="0"/>
              </w:rPr>
            </w:pPr>
            <w:r w:rsidRPr="00D961C2">
              <w:rPr>
                <w:b w:val="0"/>
              </w:rPr>
              <w:t>10.9 / 0.5</w:t>
            </w:r>
          </w:p>
        </w:tc>
        <w:tc>
          <w:tcPr>
            <w:tcW w:w="757" w:type="pct"/>
            <w:tcBorders>
              <w:top w:val="single" w:sz="4" w:space="0" w:color="auto"/>
              <w:left w:val="single" w:sz="4" w:space="0" w:color="auto"/>
              <w:bottom w:val="single" w:sz="4" w:space="0" w:color="auto"/>
              <w:right w:val="single" w:sz="4" w:space="0" w:color="auto"/>
            </w:tcBorders>
          </w:tcPr>
          <w:p w14:paraId="5EAA7A06" w14:textId="77777777" w:rsidR="00CE1CBC" w:rsidRPr="00D961C2" w:rsidRDefault="00CE1CBC" w:rsidP="00D961C2">
            <w:pPr>
              <w:pStyle w:val="Table"/>
              <w:rPr>
                <w:b w:val="0"/>
              </w:rPr>
            </w:pPr>
            <w:r w:rsidRPr="00D961C2">
              <w:rPr>
                <w:b w:val="0"/>
              </w:rPr>
              <w:t>-</w:t>
            </w:r>
          </w:p>
        </w:tc>
        <w:tc>
          <w:tcPr>
            <w:tcW w:w="455" w:type="pct"/>
            <w:tcBorders>
              <w:top w:val="single" w:sz="4" w:space="0" w:color="auto"/>
              <w:left w:val="single" w:sz="4" w:space="0" w:color="auto"/>
              <w:bottom w:val="single" w:sz="4" w:space="0" w:color="auto"/>
              <w:right w:val="single" w:sz="4" w:space="0" w:color="auto"/>
            </w:tcBorders>
          </w:tcPr>
          <w:p w14:paraId="4D181889" w14:textId="77777777" w:rsidR="00CE1CBC" w:rsidRPr="00D961C2" w:rsidRDefault="00CE1CBC" w:rsidP="00D961C2">
            <w:pPr>
              <w:pStyle w:val="Table"/>
              <w:rPr>
                <w:b w:val="0"/>
              </w:rPr>
            </w:pPr>
            <w:r w:rsidRPr="00D961C2">
              <w:rPr>
                <w:b w:val="0"/>
              </w:rPr>
              <w:t>-</w:t>
            </w:r>
          </w:p>
        </w:tc>
        <w:tc>
          <w:tcPr>
            <w:tcW w:w="681" w:type="pct"/>
            <w:tcBorders>
              <w:top w:val="single" w:sz="4" w:space="0" w:color="auto"/>
              <w:left w:val="single" w:sz="4" w:space="0" w:color="auto"/>
              <w:bottom w:val="single" w:sz="4" w:space="0" w:color="auto"/>
              <w:right w:val="nil"/>
            </w:tcBorders>
          </w:tcPr>
          <w:p w14:paraId="3072303D" w14:textId="77777777" w:rsidR="00CE1CBC" w:rsidRPr="00D961C2" w:rsidRDefault="00CE1CBC" w:rsidP="00D961C2">
            <w:pPr>
              <w:pStyle w:val="Table"/>
              <w:rPr>
                <w:b w:val="0"/>
              </w:rPr>
            </w:pPr>
            <w:r w:rsidRPr="00D961C2">
              <w:rPr>
                <w:b w:val="0"/>
              </w:rPr>
              <w:t>- / -</w:t>
            </w:r>
          </w:p>
        </w:tc>
      </w:tr>
      <w:tr w:rsidR="00D961C2" w:rsidRPr="00D961C2" w14:paraId="5B51F72E" w14:textId="77777777" w:rsidTr="00D961C2">
        <w:trPr>
          <w:trHeight w:val="145"/>
        </w:trPr>
        <w:tc>
          <w:tcPr>
            <w:tcW w:w="1213" w:type="pct"/>
            <w:tcBorders>
              <w:left w:val="nil"/>
            </w:tcBorders>
            <w:vAlign w:val="center"/>
          </w:tcPr>
          <w:p w14:paraId="5AC7BF56" w14:textId="77777777" w:rsidR="00CE1CBC" w:rsidRPr="00D961C2" w:rsidDel="00091FDE" w:rsidRDefault="00CE1CBC" w:rsidP="00D961C2">
            <w:pPr>
              <w:pStyle w:val="Table"/>
              <w:rPr>
                <w:b w:val="0"/>
                <w:highlight w:val="cyan"/>
              </w:rPr>
            </w:pPr>
            <w:r w:rsidRPr="00D961C2">
              <w:rPr>
                <w:b w:val="0"/>
              </w:rPr>
              <w:t>Sepsis</w:t>
            </w:r>
          </w:p>
        </w:tc>
        <w:tc>
          <w:tcPr>
            <w:tcW w:w="757" w:type="pct"/>
            <w:vAlign w:val="center"/>
          </w:tcPr>
          <w:p w14:paraId="3C0438E2" w14:textId="77777777" w:rsidR="00CE1CBC" w:rsidRPr="00D961C2" w:rsidDel="00091FDE" w:rsidRDefault="00CE1CBC" w:rsidP="00D961C2">
            <w:pPr>
              <w:pStyle w:val="Table"/>
              <w:rPr>
                <w:b w:val="0"/>
              </w:rPr>
            </w:pPr>
            <w:r w:rsidRPr="00D961C2">
              <w:rPr>
                <w:b w:val="0"/>
              </w:rPr>
              <w:t>Very common</w:t>
            </w:r>
          </w:p>
        </w:tc>
        <w:tc>
          <w:tcPr>
            <w:tcW w:w="454" w:type="pct"/>
            <w:vAlign w:val="center"/>
          </w:tcPr>
          <w:p w14:paraId="09070C7F" w14:textId="77777777" w:rsidR="00CE1CBC" w:rsidRPr="00D961C2" w:rsidDel="00091FDE" w:rsidRDefault="00CE1CBC" w:rsidP="00D961C2">
            <w:pPr>
              <w:pStyle w:val="Table"/>
              <w:rPr>
                <w:b w:val="0"/>
              </w:rPr>
            </w:pPr>
            <w:r w:rsidRPr="00D961C2">
              <w:rPr>
                <w:b w:val="0"/>
              </w:rPr>
              <w:t>25.4</w:t>
            </w:r>
          </w:p>
        </w:tc>
        <w:tc>
          <w:tcPr>
            <w:tcW w:w="682" w:type="pct"/>
            <w:vAlign w:val="center"/>
          </w:tcPr>
          <w:p w14:paraId="6E77282B" w14:textId="77777777" w:rsidR="00CE1CBC" w:rsidRPr="00D961C2" w:rsidDel="00091FDE" w:rsidRDefault="00CE1CBC" w:rsidP="00D961C2">
            <w:pPr>
              <w:pStyle w:val="Table"/>
              <w:rPr>
                <w:b w:val="0"/>
              </w:rPr>
            </w:pPr>
            <w:r w:rsidRPr="00D961C2">
              <w:rPr>
                <w:b w:val="0"/>
              </w:rPr>
              <w:t>4.0 / 17.9</w:t>
            </w:r>
            <w:r w:rsidRPr="00D961C2">
              <w:rPr>
                <w:b w:val="0"/>
                <w:vertAlign w:val="superscript"/>
              </w:rPr>
              <w:t>4</w:t>
            </w:r>
          </w:p>
        </w:tc>
        <w:tc>
          <w:tcPr>
            <w:tcW w:w="757" w:type="pct"/>
            <w:vAlign w:val="center"/>
          </w:tcPr>
          <w:p w14:paraId="6C4CF720" w14:textId="77777777" w:rsidR="00CE1CBC" w:rsidRPr="00D961C2" w:rsidDel="00091FDE" w:rsidRDefault="00CE1CBC" w:rsidP="00D961C2">
            <w:pPr>
              <w:pStyle w:val="Table"/>
              <w:rPr>
                <w:b w:val="0"/>
              </w:rPr>
            </w:pPr>
            <w:r w:rsidRPr="00D961C2">
              <w:rPr>
                <w:b w:val="0"/>
              </w:rPr>
              <w:t>-</w:t>
            </w:r>
          </w:p>
        </w:tc>
        <w:tc>
          <w:tcPr>
            <w:tcW w:w="455" w:type="pct"/>
            <w:vAlign w:val="center"/>
          </w:tcPr>
          <w:p w14:paraId="5FB16A0E" w14:textId="77777777" w:rsidR="00CE1CBC" w:rsidRPr="00D961C2" w:rsidRDefault="00CE1CBC" w:rsidP="00D961C2">
            <w:pPr>
              <w:pStyle w:val="Table"/>
              <w:rPr>
                <w:b w:val="0"/>
              </w:rPr>
            </w:pPr>
            <w:r w:rsidRPr="00D961C2">
              <w:rPr>
                <w:b w:val="0"/>
              </w:rPr>
              <w:t>-</w:t>
            </w:r>
          </w:p>
        </w:tc>
        <w:tc>
          <w:tcPr>
            <w:tcW w:w="681" w:type="pct"/>
            <w:tcBorders>
              <w:right w:val="nil"/>
            </w:tcBorders>
            <w:vAlign w:val="center"/>
          </w:tcPr>
          <w:p w14:paraId="343E766D" w14:textId="77777777" w:rsidR="00CE1CBC" w:rsidRPr="00D961C2" w:rsidRDefault="00CE1CBC" w:rsidP="00D961C2">
            <w:pPr>
              <w:pStyle w:val="Table"/>
              <w:rPr>
                <w:b w:val="0"/>
              </w:rPr>
            </w:pPr>
            <w:r w:rsidRPr="00D961C2">
              <w:rPr>
                <w:b w:val="0"/>
              </w:rPr>
              <w:t>- / -</w:t>
            </w:r>
          </w:p>
        </w:tc>
      </w:tr>
      <w:tr w:rsidR="00D961C2" w:rsidRPr="00D961C2" w14:paraId="10251DE9" w14:textId="77777777" w:rsidTr="00D961C2">
        <w:trPr>
          <w:trHeight w:val="145"/>
        </w:trPr>
        <w:tc>
          <w:tcPr>
            <w:tcW w:w="1213" w:type="pct"/>
            <w:tcBorders>
              <w:left w:val="nil"/>
            </w:tcBorders>
          </w:tcPr>
          <w:p w14:paraId="728499C4" w14:textId="77777777" w:rsidR="00CE1CBC" w:rsidRPr="00D961C2" w:rsidRDefault="00CE1CBC" w:rsidP="00D961C2">
            <w:pPr>
              <w:pStyle w:val="Table"/>
              <w:rPr>
                <w:b w:val="0"/>
              </w:rPr>
            </w:pPr>
            <w:r w:rsidRPr="00D961C2">
              <w:rPr>
                <w:b w:val="0"/>
              </w:rPr>
              <w:t>Urinary tract infections</w:t>
            </w:r>
          </w:p>
        </w:tc>
        <w:tc>
          <w:tcPr>
            <w:tcW w:w="757" w:type="pct"/>
          </w:tcPr>
          <w:p w14:paraId="640BF048" w14:textId="77777777" w:rsidR="00CE1CBC" w:rsidRPr="00D961C2" w:rsidRDefault="00CE1CBC" w:rsidP="00D961C2">
            <w:pPr>
              <w:pStyle w:val="Table"/>
              <w:rPr>
                <w:b w:val="0"/>
              </w:rPr>
            </w:pPr>
            <w:r w:rsidRPr="00D961C2">
              <w:rPr>
                <w:b w:val="0"/>
              </w:rPr>
              <w:t>Very common</w:t>
            </w:r>
          </w:p>
        </w:tc>
        <w:tc>
          <w:tcPr>
            <w:tcW w:w="454" w:type="pct"/>
          </w:tcPr>
          <w:p w14:paraId="390DF291" w14:textId="77777777" w:rsidR="00CE1CBC" w:rsidRPr="00D961C2" w:rsidRDefault="00CE1CBC" w:rsidP="00D961C2">
            <w:pPr>
              <w:pStyle w:val="Table"/>
              <w:rPr>
                <w:b w:val="0"/>
              </w:rPr>
            </w:pPr>
            <w:r w:rsidRPr="00D961C2">
              <w:rPr>
                <w:b w:val="0"/>
              </w:rPr>
              <w:t>17.9</w:t>
            </w:r>
          </w:p>
        </w:tc>
        <w:tc>
          <w:tcPr>
            <w:tcW w:w="682" w:type="pct"/>
          </w:tcPr>
          <w:p w14:paraId="671F7A8B" w14:textId="77777777" w:rsidR="00CE1CBC" w:rsidRPr="00D961C2" w:rsidRDefault="00CE1CBC" w:rsidP="00D961C2">
            <w:pPr>
              <w:pStyle w:val="Table"/>
              <w:rPr>
                <w:b w:val="0"/>
              </w:rPr>
            </w:pPr>
            <w:r w:rsidRPr="00D961C2">
              <w:rPr>
                <w:b w:val="0"/>
              </w:rPr>
              <w:t>6.0 / 0.5</w:t>
            </w:r>
          </w:p>
        </w:tc>
        <w:tc>
          <w:tcPr>
            <w:tcW w:w="757" w:type="pct"/>
          </w:tcPr>
          <w:p w14:paraId="3DAD067B" w14:textId="77777777" w:rsidR="00CE1CBC" w:rsidRPr="00D961C2" w:rsidRDefault="00CE1CBC" w:rsidP="00D961C2">
            <w:pPr>
              <w:pStyle w:val="Table"/>
              <w:rPr>
                <w:b w:val="0"/>
              </w:rPr>
            </w:pPr>
            <w:r w:rsidRPr="00D961C2">
              <w:rPr>
                <w:b w:val="0"/>
              </w:rPr>
              <w:t>Common</w:t>
            </w:r>
          </w:p>
        </w:tc>
        <w:tc>
          <w:tcPr>
            <w:tcW w:w="455" w:type="pct"/>
          </w:tcPr>
          <w:p w14:paraId="31DE6A4F" w14:textId="77777777" w:rsidR="00CE1CBC" w:rsidRPr="00D961C2" w:rsidRDefault="00CE1CBC" w:rsidP="00D961C2">
            <w:pPr>
              <w:pStyle w:val="Table"/>
              <w:rPr>
                <w:b w:val="0"/>
              </w:rPr>
            </w:pPr>
            <w:r w:rsidRPr="00D961C2">
              <w:rPr>
                <w:b w:val="0"/>
              </w:rPr>
              <w:t>9.3</w:t>
            </w:r>
          </w:p>
        </w:tc>
        <w:tc>
          <w:tcPr>
            <w:tcW w:w="681" w:type="pct"/>
            <w:tcBorders>
              <w:right w:val="nil"/>
            </w:tcBorders>
          </w:tcPr>
          <w:p w14:paraId="3CA1396F" w14:textId="77777777" w:rsidR="00CE1CBC" w:rsidRPr="00D961C2" w:rsidRDefault="00CE1CBC" w:rsidP="00D961C2">
            <w:pPr>
              <w:pStyle w:val="Table"/>
              <w:rPr>
                <w:b w:val="0"/>
              </w:rPr>
            </w:pPr>
            <w:r w:rsidRPr="00D961C2">
              <w:rPr>
                <w:b w:val="0"/>
              </w:rPr>
              <w:t>1.3 / 0</w:t>
            </w:r>
          </w:p>
        </w:tc>
      </w:tr>
      <w:tr w:rsidR="00D961C2" w:rsidRPr="00D961C2" w14:paraId="2F416DCC" w14:textId="77777777" w:rsidTr="00D961C2">
        <w:trPr>
          <w:trHeight w:val="145"/>
        </w:trPr>
        <w:tc>
          <w:tcPr>
            <w:tcW w:w="1213" w:type="pct"/>
            <w:tcBorders>
              <w:left w:val="nil"/>
            </w:tcBorders>
          </w:tcPr>
          <w:p w14:paraId="7AF92B2A" w14:textId="77777777" w:rsidR="00CE1CBC" w:rsidRPr="00D961C2" w:rsidRDefault="00CE1CBC" w:rsidP="00D961C2">
            <w:pPr>
              <w:pStyle w:val="Table"/>
              <w:rPr>
                <w:b w:val="0"/>
              </w:rPr>
            </w:pPr>
            <w:r w:rsidRPr="00D961C2">
              <w:rPr>
                <w:b w:val="0"/>
              </w:rPr>
              <w:t>BK virus infections</w:t>
            </w:r>
          </w:p>
        </w:tc>
        <w:tc>
          <w:tcPr>
            <w:tcW w:w="757" w:type="pct"/>
          </w:tcPr>
          <w:p w14:paraId="43F9DAF3" w14:textId="77777777" w:rsidR="00CE1CBC" w:rsidRPr="00D961C2" w:rsidRDefault="00CE1CBC" w:rsidP="00D961C2">
            <w:pPr>
              <w:pStyle w:val="Table"/>
              <w:rPr>
                <w:b w:val="0"/>
              </w:rPr>
            </w:pPr>
            <w:r w:rsidRPr="00D961C2">
              <w:rPr>
                <w:b w:val="0"/>
              </w:rPr>
              <w:t>-</w:t>
            </w:r>
          </w:p>
        </w:tc>
        <w:tc>
          <w:tcPr>
            <w:tcW w:w="454" w:type="pct"/>
          </w:tcPr>
          <w:p w14:paraId="63517D4F" w14:textId="77777777" w:rsidR="00CE1CBC" w:rsidRPr="00D961C2" w:rsidRDefault="00CE1CBC" w:rsidP="00D961C2">
            <w:pPr>
              <w:pStyle w:val="Table"/>
              <w:rPr>
                <w:b w:val="0"/>
              </w:rPr>
            </w:pPr>
            <w:r w:rsidRPr="00D961C2">
              <w:rPr>
                <w:b w:val="0"/>
              </w:rPr>
              <w:t>-</w:t>
            </w:r>
          </w:p>
        </w:tc>
        <w:tc>
          <w:tcPr>
            <w:tcW w:w="682" w:type="pct"/>
          </w:tcPr>
          <w:p w14:paraId="48412228" w14:textId="77777777" w:rsidR="00CE1CBC" w:rsidRPr="00D961C2" w:rsidRDefault="00CE1CBC" w:rsidP="00D961C2">
            <w:pPr>
              <w:pStyle w:val="Table"/>
              <w:rPr>
                <w:b w:val="0"/>
              </w:rPr>
            </w:pPr>
            <w:r w:rsidRPr="00D961C2">
              <w:rPr>
                <w:b w:val="0"/>
              </w:rPr>
              <w:t>- / -</w:t>
            </w:r>
          </w:p>
        </w:tc>
        <w:tc>
          <w:tcPr>
            <w:tcW w:w="757" w:type="pct"/>
          </w:tcPr>
          <w:p w14:paraId="05C825F0" w14:textId="77777777" w:rsidR="00CE1CBC" w:rsidRPr="00D961C2" w:rsidRDefault="00CE1CBC" w:rsidP="00D961C2">
            <w:pPr>
              <w:pStyle w:val="Table"/>
              <w:rPr>
                <w:b w:val="0"/>
              </w:rPr>
            </w:pPr>
            <w:r w:rsidRPr="00D961C2">
              <w:rPr>
                <w:b w:val="0"/>
              </w:rPr>
              <w:t>Common</w:t>
            </w:r>
          </w:p>
        </w:tc>
        <w:tc>
          <w:tcPr>
            <w:tcW w:w="455" w:type="pct"/>
          </w:tcPr>
          <w:p w14:paraId="6A640DA6" w14:textId="77777777" w:rsidR="00CE1CBC" w:rsidRPr="00D961C2" w:rsidRDefault="00CE1CBC" w:rsidP="00D961C2">
            <w:pPr>
              <w:pStyle w:val="Table"/>
              <w:rPr>
                <w:b w:val="0"/>
              </w:rPr>
            </w:pPr>
            <w:r w:rsidRPr="00D961C2">
              <w:rPr>
                <w:b w:val="0"/>
              </w:rPr>
              <w:t>4.9</w:t>
            </w:r>
          </w:p>
        </w:tc>
        <w:tc>
          <w:tcPr>
            <w:tcW w:w="681" w:type="pct"/>
            <w:tcBorders>
              <w:right w:val="nil"/>
            </w:tcBorders>
          </w:tcPr>
          <w:p w14:paraId="1B6C929E" w14:textId="77777777" w:rsidR="00CE1CBC" w:rsidRPr="00D961C2" w:rsidRDefault="00CE1CBC" w:rsidP="00D961C2">
            <w:pPr>
              <w:pStyle w:val="Table"/>
              <w:rPr>
                <w:b w:val="0"/>
              </w:rPr>
            </w:pPr>
            <w:r w:rsidRPr="00D961C2">
              <w:rPr>
                <w:b w:val="0"/>
              </w:rPr>
              <w:t>0.4 / 0</w:t>
            </w:r>
          </w:p>
        </w:tc>
      </w:tr>
      <w:tr w:rsidR="00CE1CBC" w:rsidRPr="00CE1CBC" w14:paraId="25F2F87D" w14:textId="77777777" w:rsidTr="00D961C2">
        <w:trPr>
          <w:trHeight w:val="145"/>
        </w:trPr>
        <w:tc>
          <w:tcPr>
            <w:tcW w:w="5000" w:type="pct"/>
            <w:gridSpan w:val="7"/>
            <w:tcBorders>
              <w:left w:val="nil"/>
              <w:right w:val="nil"/>
            </w:tcBorders>
            <w:vAlign w:val="center"/>
          </w:tcPr>
          <w:p w14:paraId="7C1E0000" w14:textId="77777777" w:rsidR="00CE1CBC" w:rsidRPr="00CE1CBC" w:rsidRDefault="00CE1CBC" w:rsidP="00D961C2">
            <w:pPr>
              <w:pStyle w:val="Table"/>
            </w:pPr>
            <w:r w:rsidRPr="00CE1CBC">
              <w:t>Blood and lymphatic system disorders</w:t>
            </w:r>
          </w:p>
        </w:tc>
      </w:tr>
      <w:tr w:rsidR="00D961C2" w:rsidRPr="00D961C2" w14:paraId="7589D5C3" w14:textId="77777777" w:rsidTr="00D961C2">
        <w:trPr>
          <w:trHeight w:val="145"/>
        </w:trPr>
        <w:tc>
          <w:tcPr>
            <w:tcW w:w="1213" w:type="pct"/>
            <w:tcBorders>
              <w:left w:val="nil"/>
            </w:tcBorders>
            <w:vAlign w:val="center"/>
          </w:tcPr>
          <w:p w14:paraId="753389E1" w14:textId="1AFD5D95" w:rsidR="00CE1CBC" w:rsidRPr="00D961C2" w:rsidRDefault="00CE1CBC" w:rsidP="00D961C2">
            <w:pPr>
              <w:pStyle w:val="Table"/>
              <w:rPr>
                <w:b w:val="0"/>
              </w:rPr>
            </w:pPr>
            <w:r w:rsidRPr="00D961C2">
              <w:rPr>
                <w:b w:val="0"/>
              </w:rPr>
              <w:t>Thrombocytopenia</w:t>
            </w:r>
            <w:r w:rsidRPr="00D961C2">
              <w:rPr>
                <w:b w:val="0"/>
                <w:vertAlign w:val="superscript"/>
              </w:rPr>
              <w:t>1</w:t>
            </w:r>
          </w:p>
        </w:tc>
        <w:tc>
          <w:tcPr>
            <w:tcW w:w="757" w:type="pct"/>
            <w:vAlign w:val="center"/>
          </w:tcPr>
          <w:p w14:paraId="553D7EF6" w14:textId="77777777" w:rsidR="00CE1CBC" w:rsidRPr="00D961C2" w:rsidRDefault="00CE1CBC" w:rsidP="00D961C2">
            <w:pPr>
              <w:pStyle w:val="Table"/>
              <w:rPr>
                <w:b w:val="0"/>
              </w:rPr>
            </w:pPr>
            <w:r w:rsidRPr="00D961C2">
              <w:rPr>
                <w:b w:val="0"/>
              </w:rPr>
              <w:t>Very common</w:t>
            </w:r>
          </w:p>
        </w:tc>
        <w:tc>
          <w:tcPr>
            <w:tcW w:w="454" w:type="pct"/>
            <w:vAlign w:val="center"/>
          </w:tcPr>
          <w:p w14:paraId="333C97E2" w14:textId="77777777" w:rsidR="00CE1CBC" w:rsidRPr="00D961C2" w:rsidRDefault="00CE1CBC" w:rsidP="00D961C2">
            <w:pPr>
              <w:pStyle w:val="Table"/>
              <w:rPr>
                <w:b w:val="0"/>
              </w:rPr>
            </w:pPr>
            <w:r w:rsidRPr="00D961C2">
              <w:rPr>
                <w:b w:val="0"/>
              </w:rPr>
              <w:t>85.2</w:t>
            </w:r>
          </w:p>
        </w:tc>
        <w:tc>
          <w:tcPr>
            <w:tcW w:w="682" w:type="pct"/>
          </w:tcPr>
          <w:p w14:paraId="369B7DE3" w14:textId="77777777" w:rsidR="00CE1CBC" w:rsidRPr="00D961C2" w:rsidRDefault="00CE1CBC" w:rsidP="00D961C2">
            <w:pPr>
              <w:pStyle w:val="Table"/>
              <w:rPr>
                <w:b w:val="0"/>
              </w:rPr>
            </w:pPr>
            <w:r w:rsidRPr="00D961C2">
              <w:rPr>
                <w:b w:val="0"/>
              </w:rPr>
              <w:t>31.3 / 47.7</w:t>
            </w:r>
          </w:p>
        </w:tc>
        <w:tc>
          <w:tcPr>
            <w:tcW w:w="757" w:type="pct"/>
          </w:tcPr>
          <w:p w14:paraId="06393D91" w14:textId="77777777" w:rsidR="00CE1CBC" w:rsidRPr="00D961C2" w:rsidRDefault="00CE1CBC" w:rsidP="00D961C2">
            <w:pPr>
              <w:pStyle w:val="Table"/>
              <w:rPr>
                <w:b w:val="0"/>
              </w:rPr>
            </w:pPr>
            <w:r w:rsidRPr="00D961C2">
              <w:rPr>
                <w:b w:val="0"/>
              </w:rPr>
              <w:t>Very common</w:t>
            </w:r>
          </w:p>
        </w:tc>
        <w:tc>
          <w:tcPr>
            <w:tcW w:w="455" w:type="pct"/>
          </w:tcPr>
          <w:p w14:paraId="5CFB9DD2" w14:textId="77777777" w:rsidR="00CE1CBC" w:rsidRPr="00D961C2" w:rsidRDefault="00CE1CBC" w:rsidP="00D961C2">
            <w:pPr>
              <w:pStyle w:val="Table"/>
              <w:rPr>
                <w:b w:val="0"/>
              </w:rPr>
            </w:pPr>
            <w:r w:rsidRPr="00D961C2">
              <w:rPr>
                <w:b w:val="0"/>
              </w:rPr>
              <w:t>34.4</w:t>
            </w:r>
          </w:p>
        </w:tc>
        <w:tc>
          <w:tcPr>
            <w:tcW w:w="681" w:type="pct"/>
            <w:tcBorders>
              <w:right w:val="nil"/>
            </w:tcBorders>
          </w:tcPr>
          <w:p w14:paraId="3BE25955" w14:textId="77777777" w:rsidR="00CE1CBC" w:rsidRPr="00D961C2" w:rsidRDefault="00CE1CBC" w:rsidP="00D961C2">
            <w:pPr>
              <w:pStyle w:val="Table"/>
              <w:rPr>
                <w:b w:val="0"/>
              </w:rPr>
            </w:pPr>
            <w:r w:rsidRPr="00D961C2">
              <w:rPr>
                <w:b w:val="0"/>
              </w:rPr>
              <w:t>5.9 / 10.7</w:t>
            </w:r>
          </w:p>
        </w:tc>
      </w:tr>
      <w:tr w:rsidR="00D961C2" w:rsidRPr="00D961C2" w14:paraId="68F1D476" w14:textId="77777777" w:rsidTr="00D961C2">
        <w:trPr>
          <w:trHeight w:val="145"/>
        </w:trPr>
        <w:tc>
          <w:tcPr>
            <w:tcW w:w="1213" w:type="pct"/>
            <w:tcBorders>
              <w:left w:val="nil"/>
            </w:tcBorders>
            <w:vAlign w:val="center"/>
          </w:tcPr>
          <w:p w14:paraId="43DA8968" w14:textId="77777777" w:rsidR="00CE1CBC" w:rsidRPr="00D961C2" w:rsidRDefault="00CE1CBC" w:rsidP="00D961C2">
            <w:pPr>
              <w:pStyle w:val="Table"/>
              <w:rPr>
                <w:b w:val="0"/>
              </w:rPr>
            </w:pPr>
            <w:r w:rsidRPr="00D961C2">
              <w:rPr>
                <w:b w:val="0"/>
              </w:rPr>
              <w:t>Anaemia</w:t>
            </w:r>
            <w:r w:rsidRPr="00D961C2">
              <w:rPr>
                <w:b w:val="0"/>
                <w:vertAlign w:val="superscript"/>
              </w:rPr>
              <w:t>1</w:t>
            </w:r>
          </w:p>
        </w:tc>
        <w:tc>
          <w:tcPr>
            <w:tcW w:w="757" w:type="pct"/>
          </w:tcPr>
          <w:p w14:paraId="31D64674" w14:textId="77777777" w:rsidR="00CE1CBC" w:rsidRPr="00D961C2" w:rsidRDefault="00CE1CBC" w:rsidP="00D961C2">
            <w:pPr>
              <w:pStyle w:val="Table"/>
              <w:rPr>
                <w:b w:val="0"/>
              </w:rPr>
            </w:pPr>
            <w:r w:rsidRPr="00D961C2">
              <w:rPr>
                <w:b w:val="0"/>
              </w:rPr>
              <w:t>Very common</w:t>
            </w:r>
          </w:p>
        </w:tc>
        <w:tc>
          <w:tcPr>
            <w:tcW w:w="454" w:type="pct"/>
          </w:tcPr>
          <w:p w14:paraId="0459AAA8" w14:textId="77777777" w:rsidR="00CE1CBC" w:rsidRPr="00D961C2" w:rsidRDefault="00CE1CBC" w:rsidP="00D961C2">
            <w:pPr>
              <w:pStyle w:val="Table"/>
              <w:rPr>
                <w:b w:val="0"/>
              </w:rPr>
            </w:pPr>
            <w:r w:rsidRPr="00D961C2">
              <w:rPr>
                <w:b w:val="0"/>
              </w:rPr>
              <w:t>75.0</w:t>
            </w:r>
          </w:p>
        </w:tc>
        <w:tc>
          <w:tcPr>
            <w:tcW w:w="682" w:type="pct"/>
          </w:tcPr>
          <w:p w14:paraId="7EF4B2B0" w14:textId="77777777" w:rsidR="00CE1CBC" w:rsidRPr="00D961C2" w:rsidRDefault="00CE1CBC" w:rsidP="00D961C2">
            <w:pPr>
              <w:pStyle w:val="Table"/>
              <w:rPr>
                <w:b w:val="0"/>
              </w:rPr>
            </w:pPr>
            <w:r w:rsidRPr="00D961C2">
              <w:rPr>
                <w:b w:val="0"/>
              </w:rPr>
              <w:t>47.7 / NA</w:t>
            </w:r>
          </w:p>
        </w:tc>
        <w:tc>
          <w:tcPr>
            <w:tcW w:w="757" w:type="pct"/>
          </w:tcPr>
          <w:p w14:paraId="0C780AF8" w14:textId="77777777" w:rsidR="00CE1CBC" w:rsidRPr="00D961C2" w:rsidRDefault="00CE1CBC" w:rsidP="00D961C2">
            <w:pPr>
              <w:pStyle w:val="Table"/>
              <w:rPr>
                <w:b w:val="0"/>
              </w:rPr>
            </w:pPr>
            <w:r w:rsidRPr="00D961C2">
              <w:rPr>
                <w:b w:val="0"/>
              </w:rPr>
              <w:t>Very common</w:t>
            </w:r>
          </w:p>
        </w:tc>
        <w:tc>
          <w:tcPr>
            <w:tcW w:w="455" w:type="pct"/>
          </w:tcPr>
          <w:p w14:paraId="74497779" w14:textId="77777777" w:rsidR="00CE1CBC" w:rsidRPr="00D961C2" w:rsidRDefault="00CE1CBC" w:rsidP="00D961C2">
            <w:pPr>
              <w:pStyle w:val="Table"/>
              <w:rPr>
                <w:b w:val="0"/>
              </w:rPr>
            </w:pPr>
            <w:r w:rsidRPr="00D961C2">
              <w:rPr>
                <w:b w:val="0"/>
              </w:rPr>
              <w:t>68.6</w:t>
            </w:r>
          </w:p>
        </w:tc>
        <w:tc>
          <w:tcPr>
            <w:tcW w:w="681" w:type="pct"/>
            <w:tcBorders>
              <w:right w:val="nil"/>
            </w:tcBorders>
          </w:tcPr>
          <w:p w14:paraId="417963AE" w14:textId="77777777" w:rsidR="00CE1CBC" w:rsidRPr="00D961C2" w:rsidRDefault="00CE1CBC" w:rsidP="00D961C2">
            <w:pPr>
              <w:pStyle w:val="Table"/>
              <w:rPr>
                <w:b w:val="0"/>
              </w:rPr>
            </w:pPr>
            <w:r w:rsidRPr="00D961C2">
              <w:rPr>
                <w:b w:val="0"/>
              </w:rPr>
              <w:t>14.8 / NA</w:t>
            </w:r>
          </w:p>
        </w:tc>
      </w:tr>
      <w:tr w:rsidR="00D961C2" w:rsidRPr="00D961C2" w14:paraId="732D466E" w14:textId="77777777" w:rsidTr="00D961C2">
        <w:trPr>
          <w:trHeight w:val="145"/>
        </w:trPr>
        <w:tc>
          <w:tcPr>
            <w:tcW w:w="1213" w:type="pct"/>
            <w:tcBorders>
              <w:top w:val="single" w:sz="4" w:space="0" w:color="auto"/>
              <w:left w:val="nil"/>
              <w:bottom w:val="single" w:sz="4" w:space="0" w:color="auto"/>
              <w:right w:val="single" w:sz="4" w:space="0" w:color="auto"/>
            </w:tcBorders>
            <w:vAlign w:val="center"/>
          </w:tcPr>
          <w:p w14:paraId="2070B34C" w14:textId="04FBDB40" w:rsidR="00CE1CBC" w:rsidRPr="00D961C2" w:rsidRDefault="00CE1CBC" w:rsidP="00D961C2">
            <w:pPr>
              <w:pStyle w:val="Table"/>
              <w:rPr>
                <w:b w:val="0"/>
              </w:rPr>
            </w:pPr>
            <w:r w:rsidRPr="00D961C2">
              <w:rPr>
                <w:b w:val="0"/>
              </w:rPr>
              <w:t>Neutropenia</w:t>
            </w:r>
            <w:r w:rsidRPr="00D961C2">
              <w:rPr>
                <w:b w:val="0"/>
                <w:vertAlign w:val="superscript"/>
              </w:rPr>
              <w:t>1</w:t>
            </w:r>
          </w:p>
        </w:tc>
        <w:tc>
          <w:tcPr>
            <w:tcW w:w="757" w:type="pct"/>
            <w:tcBorders>
              <w:top w:val="single" w:sz="4" w:space="0" w:color="auto"/>
              <w:left w:val="single" w:sz="4" w:space="0" w:color="auto"/>
              <w:bottom w:val="single" w:sz="4" w:space="0" w:color="auto"/>
              <w:right w:val="single" w:sz="4" w:space="0" w:color="auto"/>
            </w:tcBorders>
          </w:tcPr>
          <w:p w14:paraId="1E9B2AD3" w14:textId="77777777" w:rsidR="00CE1CBC" w:rsidRPr="00D961C2" w:rsidRDefault="00CE1CBC" w:rsidP="00D961C2">
            <w:pPr>
              <w:pStyle w:val="Table"/>
              <w:rPr>
                <w:b w:val="0"/>
              </w:rPr>
            </w:pPr>
            <w:r w:rsidRPr="00D961C2">
              <w:rPr>
                <w:b w:val="0"/>
              </w:rPr>
              <w:t>Very common</w:t>
            </w:r>
          </w:p>
        </w:tc>
        <w:tc>
          <w:tcPr>
            <w:tcW w:w="454" w:type="pct"/>
            <w:tcBorders>
              <w:top w:val="single" w:sz="4" w:space="0" w:color="auto"/>
              <w:left w:val="single" w:sz="4" w:space="0" w:color="auto"/>
              <w:bottom w:val="single" w:sz="4" w:space="0" w:color="auto"/>
              <w:right w:val="single" w:sz="4" w:space="0" w:color="auto"/>
            </w:tcBorders>
          </w:tcPr>
          <w:p w14:paraId="41C6ADAE" w14:textId="77777777" w:rsidR="00CE1CBC" w:rsidRPr="00D961C2" w:rsidRDefault="00CE1CBC" w:rsidP="00D961C2">
            <w:pPr>
              <w:pStyle w:val="Table"/>
              <w:rPr>
                <w:b w:val="0"/>
              </w:rPr>
            </w:pPr>
            <w:r w:rsidRPr="00D961C2">
              <w:rPr>
                <w:b w:val="0"/>
              </w:rPr>
              <w:t>65.1</w:t>
            </w:r>
          </w:p>
        </w:tc>
        <w:tc>
          <w:tcPr>
            <w:tcW w:w="682" w:type="pct"/>
            <w:tcBorders>
              <w:top w:val="single" w:sz="4" w:space="0" w:color="auto"/>
              <w:left w:val="single" w:sz="4" w:space="0" w:color="auto"/>
              <w:bottom w:val="single" w:sz="4" w:space="0" w:color="auto"/>
              <w:right w:val="single" w:sz="4" w:space="0" w:color="auto"/>
            </w:tcBorders>
          </w:tcPr>
          <w:p w14:paraId="7E01BB8E" w14:textId="77777777" w:rsidR="00CE1CBC" w:rsidRPr="00D961C2" w:rsidRDefault="00CE1CBC" w:rsidP="00D961C2">
            <w:pPr>
              <w:pStyle w:val="Table"/>
              <w:rPr>
                <w:b w:val="0"/>
              </w:rPr>
            </w:pPr>
            <w:r w:rsidRPr="00D961C2">
              <w:rPr>
                <w:b w:val="0"/>
              </w:rPr>
              <w:t>17.9 / 20.6</w:t>
            </w:r>
          </w:p>
        </w:tc>
        <w:tc>
          <w:tcPr>
            <w:tcW w:w="757" w:type="pct"/>
            <w:tcBorders>
              <w:top w:val="single" w:sz="4" w:space="0" w:color="auto"/>
              <w:left w:val="single" w:sz="4" w:space="0" w:color="auto"/>
              <w:bottom w:val="single" w:sz="4" w:space="0" w:color="auto"/>
              <w:right w:val="single" w:sz="4" w:space="0" w:color="auto"/>
            </w:tcBorders>
          </w:tcPr>
          <w:p w14:paraId="23854481" w14:textId="77777777" w:rsidR="00CE1CBC" w:rsidRPr="00D961C2" w:rsidRDefault="00CE1CBC" w:rsidP="00D961C2">
            <w:pPr>
              <w:pStyle w:val="Table"/>
              <w:rPr>
                <w:b w:val="0"/>
              </w:rPr>
            </w:pPr>
            <w:r w:rsidRPr="00D961C2">
              <w:rPr>
                <w:b w:val="0"/>
              </w:rPr>
              <w:t>Very common</w:t>
            </w:r>
          </w:p>
        </w:tc>
        <w:tc>
          <w:tcPr>
            <w:tcW w:w="455" w:type="pct"/>
            <w:tcBorders>
              <w:top w:val="single" w:sz="4" w:space="0" w:color="auto"/>
              <w:left w:val="single" w:sz="4" w:space="0" w:color="auto"/>
              <w:bottom w:val="single" w:sz="4" w:space="0" w:color="auto"/>
              <w:right w:val="single" w:sz="4" w:space="0" w:color="auto"/>
            </w:tcBorders>
          </w:tcPr>
          <w:p w14:paraId="4AA1BD8A" w14:textId="77777777" w:rsidR="00CE1CBC" w:rsidRPr="00D961C2" w:rsidRDefault="00CE1CBC" w:rsidP="00D961C2">
            <w:pPr>
              <w:pStyle w:val="Table"/>
              <w:rPr>
                <w:b w:val="0"/>
              </w:rPr>
            </w:pPr>
            <w:r w:rsidRPr="00D961C2">
              <w:rPr>
                <w:b w:val="0"/>
              </w:rPr>
              <w:t>36.2</w:t>
            </w:r>
          </w:p>
        </w:tc>
        <w:tc>
          <w:tcPr>
            <w:tcW w:w="681" w:type="pct"/>
            <w:tcBorders>
              <w:top w:val="single" w:sz="4" w:space="0" w:color="auto"/>
              <w:left w:val="single" w:sz="4" w:space="0" w:color="auto"/>
              <w:bottom w:val="single" w:sz="4" w:space="0" w:color="auto"/>
              <w:right w:val="nil"/>
            </w:tcBorders>
          </w:tcPr>
          <w:p w14:paraId="39F12535" w14:textId="77777777" w:rsidR="00CE1CBC" w:rsidRPr="00D961C2" w:rsidRDefault="00CE1CBC" w:rsidP="00D961C2">
            <w:pPr>
              <w:pStyle w:val="Table"/>
              <w:rPr>
                <w:b w:val="0"/>
              </w:rPr>
            </w:pPr>
            <w:r w:rsidRPr="00D961C2">
              <w:rPr>
                <w:b w:val="0"/>
              </w:rPr>
              <w:t>9.5 / 6.7</w:t>
            </w:r>
          </w:p>
        </w:tc>
      </w:tr>
      <w:tr w:rsidR="00D961C2" w:rsidRPr="00D961C2" w14:paraId="769DAF9E" w14:textId="77777777" w:rsidTr="00D961C2">
        <w:trPr>
          <w:trHeight w:val="145"/>
        </w:trPr>
        <w:tc>
          <w:tcPr>
            <w:tcW w:w="1213" w:type="pct"/>
            <w:tcBorders>
              <w:left w:val="nil"/>
            </w:tcBorders>
            <w:vAlign w:val="center"/>
          </w:tcPr>
          <w:p w14:paraId="2AF3E48C" w14:textId="4D16C99E" w:rsidR="00CE1CBC" w:rsidRPr="00D961C2" w:rsidRDefault="00CE1CBC" w:rsidP="00D961C2">
            <w:pPr>
              <w:pStyle w:val="Table"/>
              <w:rPr>
                <w:b w:val="0"/>
              </w:rPr>
            </w:pPr>
            <w:r w:rsidRPr="00D961C2">
              <w:rPr>
                <w:b w:val="0"/>
              </w:rPr>
              <w:t>Pancytopenia</w:t>
            </w:r>
            <w:r w:rsidRPr="00D961C2">
              <w:rPr>
                <w:b w:val="0"/>
                <w:vertAlign w:val="superscript"/>
              </w:rPr>
              <w:t>1,2</w:t>
            </w:r>
          </w:p>
        </w:tc>
        <w:tc>
          <w:tcPr>
            <w:tcW w:w="757" w:type="pct"/>
          </w:tcPr>
          <w:p w14:paraId="699388A0" w14:textId="77777777" w:rsidR="00CE1CBC" w:rsidRPr="00D961C2" w:rsidRDefault="00CE1CBC" w:rsidP="00D961C2">
            <w:pPr>
              <w:pStyle w:val="Table"/>
              <w:rPr>
                <w:b w:val="0"/>
              </w:rPr>
            </w:pPr>
            <w:r w:rsidRPr="00D961C2">
              <w:rPr>
                <w:b w:val="0"/>
              </w:rPr>
              <w:t>Very common</w:t>
            </w:r>
          </w:p>
        </w:tc>
        <w:tc>
          <w:tcPr>
            <w:tcW w:w="454" w:type="pct"/>
          </w:tcPr>
          <w:p w14:paraId="5BED640D" w14:textId="77777777" w:rsidR="00CE1CBC" w:rsidRPr="00D961C2" w:rsidRDefault="00CE1CBC" w:rsidP="00D961C2">
            <w:pPr>
              <w:pStyle w:val="Table"/>
              <w:rPr>
                <w:b w:val="0"/>
              </w:rPr>
            </w:pPr>
            <w:r w:rsidRPr="00D961C2">
              <w:rPr>
                <w:b w:val="0"/>
              </w:rPr>
              <w:t>32.8</w:t>
            </w:r>
          </w:p>
        </w:tc>
        <w:tc>
          <w:tcPr>
            <w:tcW w:w="682" w:type="pct"/>
          </w:tcPr>
          <w:p w14:paraId="3D241F37" w14:textId="77777777" w:rsidR="00CE1CBC" w:rsidRPr="00D961C2" w:rsidRDefault="00CE1CBC" w:rsidP="00D961C2">
            <w:pPr>
              <w:pStyle w:val="Table"/>
              <w:rPr>
                <w:b w:val="0"/>
              </w:rPr>
            </w:pPr>
            <w:r w:rsidRPr="00D961C2">
              <w:rPr>
                <w:b w:val="0"/>
              </w:rPr>
              <w:t>NA</w:t>
            </w:r>
          </w:p>
        </w:tc>
        <w:tc>
          <w:tcPr>
            <w:tcW w:w="757" w:type="pct"/>
          </w:tcPr>
          <w:p w14:paraId="2DCE4850" w14:textId="77777777" w:rsidR="00CE1CBC" w:rsidRPr="00D961C2" w:rsidRDefault="00CE1CBC" w:rsidP="00D961C2">
            <w:pPr>
              <w:pStyle w:val="Table"/>
              <w:rPr>
                <w:b w:val="0"/>
              </w:rPr>
            </w:pPr>
            <w:r w:rsidRPr="00D961C2">
              <w:rPr>
                <w:b w:val="0"/>
              </w:rPr>
              <w:t>-</w:t>
            </w:r>
          </w:p>
        </w:tc>
        <w:tc>
          <w:tcPr>
            <w:tcW w:w="455" w:type="pct"/>
          </w:tcPr>
          <w:p w14:paraId="5DB8FBE7" w14:textId="77777777" w:rsidR="00CE1CBC" w:rsidRPr="00D961C2" w:rsidRDefault="00CE1CBC" w:rsidP="00D961C2">
            <w:pPr>
              <w:pStyle w:val="Table"/>
              <w:rPr>
                <w:b w:val="0"/>
              </w:rPr>
            </w:pPr>
            <w:r w:rsidRPr="00D961C2">
              <w:rPr>
                <w:b w:val="0"/>
              </w:rPr>
              <w:t>-</w:t>
            </w:r>
          </w:p>
        </w:tc>
        <w:tc>
          <w:tcPr>
            <w:tcW w:w="681" w:type="pct"/>
            <w:tcBorders>
              <w:right w:val="nil"/>
            </w:tcBorders>
          </w:tcPr>
          <w:p w14:paraId="1CA4BAC4" w14:textId="77777777" w:rsidR="00CE1CBC" w:rsidRPr="00D961C2" w:rsidRDefault="00CE1CBC" w:rsidP="00D961C2">
            <w:pPr>
              <w:pStyle w:val="Table"/>
              <w:rPr>
                <w:b w:val="0"/>
              </w:rPr>
            </w:pPr>
            <w:r w:rsidRPr="00D961C2">
              <w:rPr>
                <w:b w:val="0"/>
              </w:rPr>
              <w:t>- / -</w:t>
            </w:r>
          </w:p>
        </w:tc>
      </w:tr>
      <w:tr w:rsidR="00CE1CBC" w:rsidRPr="00CE1CBC" w14:paraId="0229B388" w14:textId="77777777" w:rsidTr="00D961C2">
        <w:trPr>
          <w:trHeight w:val="145"/>
        </w:trPr>
        <w:tc>
          <w:tcPr>
            <w:tcW w:w="5000" w:type="pct"/>
            <w:gridSpan w:val="7"/>
            <w:tcBorders>
              <w:left w:val="nil"/>
              <w:right w:val="nil"/>
            </w:tcBorders>
            <w:vAlign w:val="center"/>
          </w:tcPr>
          <w:p w14:paraId="1A672601" w14:textId="77777777" w:rsidR="00CE1CBC" w:rsidRPr="00CE1CBC" w:rsidRDefault="00CE1CBC" w:rsidP="00D961C2">
            <w:pPr>
              <w:pStyle w:val="Table"/>
            </w:pPr>
            <w:r w:rsidRPr="00CE1CBC">
              <w:t>Metabolism and nutrition disorders</w:t>
            </w:r>
          </w:p>
        </w:tc>
      </w:tr>
      <w:tr w:rsidR="00D961C2" w:rsidRPr="00D961C2" w14:paraId="7DD7FF60" w14:textId="77777777" w:rsidTr="00D961C2">
        <w:trPr>
          <w:trHeight w:val="145"/>
        </w:trPr>
        <w:tc>
          <w:tcPr>
            <w:tcW w:w="1213" w:type="pct"/>
            <w:tcBorders>
              <w:left w:val="nil"/>
            </w:tcBorders>
          </w:tcPr>
          <w:p w14:paraId="14D9209B" w14:textId="77777777" w:rsidR="00CE1CBC" w:rsidRPr="00D961C2" w:rsidRDefault="00CE1CBC" w:rsidP="00D961C2">
            <w:pPr>
              <w:pStyle w:val="Table"/>
              <w:rPr>
                <w:b w:val="0"/>
              </w:rPr>
            </w:pPr>
            <w:r w:rsidRPr="00D961C2">
              <w:rPr>
                <w:b w:val="0"/>
              </w:rPr>
              <w:t>Hypercholesterolaemia</w:t>
            </w:r>
            <w:r w:rsidRPr="00D961C2">
              <w:rPr>
                <w:b w:val="0"/>
                <w:vertAlign w:val="superscript"/>
              </w:rPr>
              <w:t>1</w:t>
            </w:r>
          </w:p>
        </w:tc>
        <w:tc>
          <w:tcPr>
            <w:tcW w:w="757" w:type="pct"/>
          </w:tcPr>
          <w:p w14:paraId="68C496A0" w14:textId="77777777" w:rsidR="00CE1CBC" w:rsidRPr="00D961C2" w:rsidRDefault="00CE1CBC" w:rsidP="00D961C2">
            <w:pPr>
              <w:pStyle w:val="Table"/>
              <w:rPr>
                <w:b w:val="0"/>
              </w:rPr>
            </w:pPr>
            <w:r w:rsidRPr="00D961C2">
              <w:rPr>
                <w:b w:val="0"/>
              </w:rPr>
              <w:t>Very common</w:t>
            </w:r>
          </w:p>
        </w:tc>
        <w:tc>
          <w:tcPr>
            <w:tcW w:w="454" w:type="pct"/>
          </w:tcPr>
          <w:p w14:paraId="58D3716F" w14:textId="77777777" w:rsidR="00CE1CBC" w:rsidRPr="00D961C2" w:rsidRDefault="00CE1CBC" w:rsidP="00D961C2">
            <w:pPr>
              <w:pStyle w:val="Table"/>
              <w:rPr>
                <w:b w:val="0"/>
              </w:rPr>
            </w:pPr>
            <w:r w:rsidRPr="00D961C2">
              <w:rPr>
                <w:b w:val="0"/>
              </w:rPr>
              <w:t>49.2</w:t>
            </w:r>
          </w:p>
        </w:tc>
        <w:tc>
          <w:tcPr>
            <w:tcW w:w="682" w:type="pct"/>
          </w:tcPr>
          <w:p w14:paraId="42B38C16" w14:textId="77777777" w:rsidR="00CE1CBC" w:rsidRPr="00D961C2" w:rsidRDefault="00CE1CBC" w:rsidP="00D961C2">
            <w:pPr>
              <w:pStyle w:val="Table"/>
              <w:rPr>
                <w:b w:val="0"/>
              </w:rPr>
            </w:pPr>
            <w:r w:rsidRPr="00D961C2">
              <w:rPr>
                <w:b w:val="0"/>
              </w:rPr>
              <w:t>3.3 / 5.9</w:t>
            </w:r>
          </w:p>
        </w:tc>
        <w:tc>
          <w:tcPr>
            <w:tcW w:w="757" w:type="pct"/>
          </w:tcPr>
          <w:p w14:paraId="7D11FCE2" w14:textId="77777777" w:rsidR="00CE1CBC" w:rsidRPr="00D961C2" w:rsidRDefault="00CE1CBC" w:rsidP="00D961C2">
            <w:pPr>
              <w:pStyle w:val="Table"/>
              <w:rPr>
                <w:b w:val="0"/>
              </w:rPr>
            </w:pPr>
            <w:r w:rsidRPr="00D961C2">
              <w:rPr>
                <w:b w:val="0"/>
              </w:rPr>
              <w:t>Very common</w:t>
            </w:r>
          </w:p>
        </w:tc>
        <w:tc>
          <w:tcPr>
            <w:tcW w:w="455" w:type="pct"/>
          </w:tcPr>
          <w:p w14:paraId="361F6296" w14:textId="77777777" w:rsidR="00CE1CBC" w:rsidRPr="00D961C2" w:rsidRDefault="00CE1CBC" w:rsidP="00D961C2">
            <w:pPr>
              <w:pStyle w:val="Table"/>
              <w:rPr>
                <w:b w:val="0"/>
              </w:rPr>
            </w:pPr>
            <w:r w:rsidRPr="00D961C2">
              <w:rPr>
                <w:b w:val="0"/>
              </w:rPr>
              <w:t>52.3</w:t>
            </w:r>
          </w:p>
        </w:tc>
        <w:tc>
          <w:tcPr>
            <w:tcW w:w="681" w:type="pct"/>
            <w:tcBorders>
              <w:right w:val="nil"/>
            </w:tcBorders>
          </w:tcPr>
          <w:p w14:paraId="6D15F153" w14:textId="77777777" w:rsidR="00CE1CBC" w:rsidRPr="00D961C2" w:rsidRDefault="00CE1CBC" w:rsidP="00D961C2">
            <w:pPr>
              <w:pStyle w:val="Table"/>
              <w:rPr>
                <w:b w:val="0"/>
              </w:rPr>
            </w:pPr>
            <w:r w:rsidRPr="00D961C2">
              <w:rPr>
                <w:b w:val="0"/>
              </w:rPr>
              <w:t>5.5 / 0.5</w:t>
            </w:r>
          </w:p>
        </w:tc>
      </w:tr>
      <w:tr w:rsidR="00D961C2" w:rsidRPr="00D961C2" w14:paraId="0D4C1912" w14:textId="77777777" w:rsidTr="00D961C2">
        <w:trPr>
          <w:trHeight w:val="145"/>
        </w:trPr>
        <w:tc>
          <w:tcPr>
            <w:tcW w:w="1213" w:type="pct"/>
            <w:tcBorders>
              <w:left w:val="nil"/>
            </w:tcBorders>
          </w:tcPr>
          <w:p w14:paraId="626CFA63" w14:textId="77777777" w:rsidR="00CE1CBC" w:rsidRPr="00D961C2" w:rsidRDefault="00CE1CBC" w:rsidP="00D961C2">
            <w:pPr>
              <w:pStyle w:val="Table"/>
              <w:rPr>
                <w:b w:val="0"/>
              </w:rPr>
            </w:pPr>
            <w:r w:rsidRPr="00D961C2">
              <w:rPr>
                <w:b w:val="0"/>
              </w:rPr>
              <w:t>Weight gain</w:t>
            </w:r>
          </w:p>
        </w:tc>
        <w:tc>
          <w:tcPr>
            <w:tcW w:w="757" w:type="pct"/>
          </w:tcPr>
          <w:p w14:paraId="09CE9331" w14:textId="77777777" w:rsidR="00CE1CBC" w:rsidRPr="00D961C2" w:rsidRDefault="00CE1CBC" w:rsidP="00D961C2">
            <w:pPr>
              <w:pStyle w:val="Table"/>
              <w:rPr>
                <w:b w:val="0"/>
              </w:rPr>
            </w:pPr>
            <w:r w:rsidRPr="00D961C2">
              <w:rPr>
                <w:b w:val="0"/>
              </w:rPr>
              <w:t>-</w:t>
            </w:r>
          </w:p>
        </w:tc>
        <w:tc>
          <w:tcPr>
            <w:tcW w:w="454" w:type="pct"/>
          </w:tcPr>
          <w:p w14:paraId="54F16F81" w14:textId="77777777" w:rsidR="00CE1CBC" w:rsidRPr="00D961C2" w:rsidRDefault="00CE1CBC" w:rsidP="00D961C2">
            <w:pPr>
              <w:pStyle w:val="Table"/>
              <w:rPr>
                <w:b w:val="0"/>
              </w:rPr>
            </w:pPr>
            <w:r w:rsidRPr="00D961C2">
              <w:rPr>
                <w:b w:val="0"/>
              </w:rPr>
              <w:t>-</w:t>
            </w:r>
          </w:p>
        </w:tc>
        <w:tc>
          <w:tcPr>
            <w:tcW w:w="682" w:type="pct"/>
          </w:tcPr>
          <w:p w14:paraId="4D4F8440" w14:textId="77777777" w:rsidR="00CE1CBC" w:rsidRPr="00D961C2" w:rsidRDefault="00CE1CBC" w:rsidP="00D961C2">
            <w:pPr>
              <w:pStyle w:val="Table"/>
              <w:rPr>
                <w:b w:val="0"/>
              </w:rPr>
            </w:pPr>
            <w:r w:rsidRPr="00D961C2">
              <w:rPr>
                <w:b w:val="0"/>
              </w:rPr>
              <w:t>-</w:t>
            </w:r>
          </w:p>
        </w:tc>
        <w:tc>
          <w:tcPr>
            <w:tcW w:w="757" w:type="pct"/>
          </w:tcPr>
          <w:p w14:paraId="7E9163A9" w14:textId="77777777" w:rsidR="00CE1CBC" w:rsidRPr="00D961C2" w:rsidRDefault="00CE1CBC" w:rsidP="00D961C2">
            <w:pPr>
              <w:pStyle w:val="Table"/>
              <w:rPr>
                <w:b w:val="0"/>
              </w:rPr>
            </w:pPr>
            <w:r w:rsidRPr="00D961C2">
              <w:rPr>
                <w:b w:val="0"/>
              </w:rPr>
              <w:t>Common</w:t>
            </w:r>
          </w:p>
        </w:tc>
        <w:tc>
          <w:tcPr>
            <w:tcW w:w="455" w:type="pct"/>
          </w:tcPr>
          <w:p w14:paraId="2AA9577C" w14:textId="77777777" w:rsidR="00CE1CBC" w:rsidRPr="00D961C2" w:rsidRDefault="00CE1CBC" w:rsidP="00D961C2">
            <w:pPr>
              <w:pStyle w:val="Table"/>
              <w:rPr>
                <w:b w:val="0"/>
              </w:rPr>
            </w:pPr>
            <w:r w:rsidRPr="00D961C2">
              <w:rPr>
                <w:b w:val="0"/>
              </w:rPr>
              <w:t>3.5</w:t>
            </w:r>
          </w:p>
        </w:tc>
        <w:tc>
          <w:tcPr>
            <w:tcW w:w="681" w:type="pct"/>
            <w:tcBorders>
              <w:right w:val="nil"/>
            </w:tcBorders>
          </w:tcPr>
          <w:p w14:paraId="3D8E0B16" w14:textId="77777777" w:rsidR="00CE1CBC" w:rsidRPr="00D961C2" w:rsidRDefault="00CE1CBC" w:rsidP="00D961C2">
            <w:pPr>
              <w:pStyle w:val="Table"/>
              <w:rPr>
                <w:b w:val="0"/>
              </w:rPr>
            </w:pPr>
            <w:r w:rsidRPr="00D961C2">
              <w:rPr>
                <w:b w:val="0"/>
              </w:rPr>
              <w:t>0 / 0</w:t>
            </w:r>
          </w:p>
        </w:tc>
      </w:tr>
      <w:tr w:rsidR="00CE1CBC" w:rsidRPr="00CE1CBC" w14:paraId="008AC848" w14:textId="77777777" w:rsidTr="00D961C2">
        <w:trPr>
          <w:trHeight w:val="145"/>
        </w:trPr>
        <w:tc>
          <w:tcPr>
            <w:tcW w:w="5000" w:type="pct"/>
            <w:gridSpan w:val="7"/>
            <w:tcBorders>
              <w:left w:val="nil"/>
              <w:right w:val="nil"/>
            </w:tcBorders>
            <w:vAlign w:val="center"/>
          </w:tcPr>
          <w:p w14:paraId="3B6A855B" w14:textId="77777777" w:rsidR="00CE1CBC" w:rsidRPr="00CE1CBC" w:rsidRDefault="00CE1CBC" w:rsidP="00D961C2">
            <w:pPr>
              <w:pStyle w:val="Table"/>
            </w:pPr>
            <w:r w:rsidRPr="00CE1CBC">
              <w:t>Nervous system disorders</w:t>
            </w:r>
          </w:p>
        </w:tc>
      </w:tr>
      <w:tr w:rsidR="00D961C2" w:rsidRPr="00D961C2" w14:paraId="73ECFBEB" w14:textId="77777777" w:rsidTr="00D961C2">
        <w:trPr>
          <w:trHeight w:val="145"/>
        </w:trPr>
        <w:tc>
          <w:tcPr>
            <w:tcW w:w="1213" w:type="pct"/>
            <w:tcBorders>
              <w:left w:val="nil"/>
            </w:tcBorders>
          </w:tcPr>
          <w:p w14:paraId="67322BED" w14:textId="77777777" w:rsidR="00CE1CBC" w:rsidRPr="00D961C2" w:rsidRDefault="00CE1CBC" w:rsidP="00D961C2">
            <w:pPr>
              <w:pStyle w:val="Table"/>
              <w:rPr>
                <w:b w:val="0"/>
              </w:rPr>
            </w:pPr>
            <w:r w:rsidRPr="00D961C2">
              <w:rPr>
                <w:b w:val="0"/>
              </w:rPr>
              <w:t>Headache</w:t>
            </w:r>
          </w:p>
        </w:tc>
        <w:tc>
          <w:tcPr>
            <w:tcW w:w="757" w:type="pct"/>
          </w:tcPr>
          <w:p w14:paraId="0ACBFEAA" w14:textId="77777777" w:rsidR="00CE1CBC" w:rsidRPr="00D961C2" w:rsidRDefault="00CE1CBC" w:rsidP="00D961C2">
            <w:pPr>
              <w:pStyle w:val="Table"/>
              <w:rPr>
                <w:b w:val="0"/>
              </w:rPr>
            </w:pPr>
            <w:r w:rsidRPr="00D961C2">
              <w:rPr>
                <w:b w:val="0"/>
              </w:rPr>
              <w:t>Common</w:t>
            </w:r>
          </w:p>
        </w:tc>
        <w:tc>
          <w:tcPr>
            <w:tcW w:w="454" w:type="pct"/>
          </w:tcPr>
          <w:p w14:paraId="4EF57D59" w14:textId="77777777" w:rsidR="00CE1CBC" w:rsidRPr="00D961C2" w:rsidRDefault="00CE1CBC" w:rsidP="00D961C2">
            <w:pPr>
              <w:pStyle w:val="Table"/>
              <w:rPr>
                <w:b w:val="0"/>
              </w:rPr>
            </w:pPr>
            <w:r w:rsidRPr="00D961C2">
              <w:rPr>
                <w:b w:val="0"/>
              </w:rPr>
              <w:t>8.5</w:t>
            </w:r>
          </w:p>
        </w:tc>
        <w:tc>
          <w:tcPr>
            <w:tcW w:w="682" w:type="pct"/>
          </w:tcPr>
          <w:p w14:paraId="3AD6A503" w14:textId="77777777" w:rsidR="00CE1CBC" w:rsidRPr="00D961C2" w:rsidRDefault="00CE1CBC" w:rsidP="00D961C2">
            <w:pPr>
              <w:pStyle w:val="Table"/>
              <w:rPr>
                <w:b w:val="0"/>
              </w:rPr>
            </w:pPr>
            <w:r w:rsidRPr="00D961C2">
              <w:rPr>
                <w:b w:val="0"/>
              </w:rPr>
              <w:t>0.5 / 0</w:t>
            </w:r>
          </w:p>
        </w:tc>
        <w:tc>
          <w:tcPr>
            <w:tcW w:w="757" w:type="pct"/>
          </w:tcPr>
          <w:p w14:paraId="57852A39" w14:textId="77777777" w:rsidR="00CE1CBC" w:rsidRPr="00D961C2" w:rsidRDefault="00CE1CBC" w:rsidP="00D961C2">
            <w:pPr>
              <w:pStyle w:val="Table"/>
              <w:rPr>
                <w:b w:val="0"/>
              </w:rPr>
            </w:pPr>
            <w:r w:rsidRPr="00D961C2">
              <w:rPr>
                <w:b w:val="0"/>
              </w:rPr>
              <w:t>Very common</w:t>
            </w:r>
          </w:p>
        </w:tc>
        <w:tc>
          <w:tcPr>
            <w:tcW w:w="455" w:type="pct"/>
          </w:tcPr>
          <w:p w14:paraId="2AB1A726" w14:textId="77777777" w:rsidR="00CE1CBC" w:rsidRPr="00D961C2" w:rsidRDefault="00CE1CBC" w:rsidP="00D961C2">
            <w:pPr>
              <w:pStyle w:val="Table"/>
              <w:rPr>
                <w:b w:val="0"/>
              </w:rPr>
            </w:pPr>
            <w:r w:rsidRPr="00D961C2">
              <w:rPr>
                <w:b w:val="0"/>
              </w:rPr>
              <w:t>10.2</w:t>
            </w:r>
          </w:p>
        </w:tc>
        <w:tc>
          <w:tcPr>
            <w:tcW w:w="681" w:type="pct"/>
            <w:tcBorders>
              <w:right w:val="nil"/>
            </w:tcBorders>
          </w:tcPr>
          <w:p w14:paraId="7C66197E" w14:textId="77777777" w:rsidR="00CE1CBC" w:rsidRPr="00D961C2" w:rsidRDefault="00CE1CBC" w:rsidP="00D961C2">
            <w:pPr>
              <w:pStyle w:val="Table"/>
              <w:rPr>
                <w:b w:val="0"/>
              </w:rPr>
            </w:pPr>
            <w:r w:rsidRPr="00D961C2">
              <w:rPr>
                <w:b w:val="0"/>
              </w:rPr>
              <w:t>1.3 / 0</w:t>
            </w:r>
          </w:p>
        </w:tc>
      </w:tr>
      <w:tr w:rsidR="00CE1CBC" w:rsidRPr="00CE1CBC" w14:paraId="61E935E4" w14:textId="77777777" w:rsidTr="00D961C2">
        <w:trPr>
          <w:trHeight w:val="145"/>
        </w:trPr>
        <w:tc>
          <w:tcPr>
            <w:tcW w:w="5000" w:type="pct"/>
            <w:gridSpan w:val="7"/>
            <w:tcBorders>
              <w:left w:val="nil"/>
              <w:right w:val="nil"/>
            </w:tcBorders>
            <w:vAlign w:val="center"/>
          </w:tcPr>
          <w:p w14:paraId="65895E08" w14:textId="77777777" w:rsidR="00CE1CBC" w:rsidRPr="00CE1CBC" w:rsidRDefault="00CE1CBC" w:rsidP="00D961C2">
            <w:pPr>
              <w:pStyle w:val="Table"/>
            </w:pPr>
            <w:r w:rsidRPr="00CE1CBC">
              <w:t>Vascular disorders</w:t>
            </w:r>
          </w:p>
        </w:tc>
      </w:tr>
      <w:tr w:rsidR="00D961C2" w:rsidRPr="00D961C2" w14:paraId="09298A35" w14:textId="77777777" w:rsidTr="00D961C2">
        <w:trPr>
          <w:trHeight w:val="145"/>
        </w:trPr>
        <w:tc>
          <w:tcPr>
            <w:tcW w:w="1213" w:type="pct"/>
            <w:tcBorders>
              <w:left w:val="nil"/>
            </w:tcBorders>
          </w:tcPr>
          <w:p w14:paraId="4AC555A0" w14:textId="77777777" w:rsidR="00CE1CBC" w:rsidRPr="00D961C2" w:rsidRDefault="00CE1CBC" w:rsidP="00D961C2">
            <w:pPr>
              <w:pStyle w:val="Table"/>
              <w:rPr>
                <w:b w:val="0"/>
              </w:rPr>
            </w:pPr>
            <w:r w:rsidRPr="00D961C2">
              <w:rPr>
                <w:b w:val="0"/>
              </w:rPr>
              <w:t>Hypertension</w:t>
            </w:r>
          </w:p>
        </w:tc>
        <w:tc>
          <w:tcPr>
            <w:tcW w:w="757" w:type="pct"/>
          </w:tcPr>
          <w:p w14:paraId="0F72C740" w14:textId="77777777" w:rsidR="00CE1CBC" w:rsidRPr="00D961C2" w:rsidRDefault="00CE1CBC" w:rsidP="00D961C2">
            <w:pPr>
              <w:pStyle w:val="Table"/>
              <w:rPr>
                <w:b w:val="0"/>
              </w:rPr>
            </w:pPr>
            <w:r w:rsidRPr="00D961C2">
              <w:rPr>
                <w:b w:val="0"/>
              </w:rPr>
              <w:t>Very common</w:t>
            </w:r>
          </w:p>
        </w:tc>
        <w:tc>
          <w:tcPr>
            <w:tcW w:w="454" w:type="pct"/>
          </w:tcPr>
          <w:p w14:paraId="415299D9" w14:textId="77777777" w:rsidR="00CE1CBC" w:rsidRPr="00D961C2" w:rsidRDefault="00CE1CBC" w:rsidP="00D961C2">
            <w:pPr>
              <w:pStyle w:val="Table"/>
              <w:rPr>
                <w:b w:val="0"/>
              </w:rPr>
            </w:pPr>
            <w:r w:rsidRPr="00D961C2">
              <w:rPr>
                <w:b w:val="0"/>
              </w:rPr>
              <w:t>13.4</w:t>
            </w:r>
          </w:p>
        </w:tc>
        <w:tc>
          <w:tcPr>
            <w:tcW w:w="682" w:type="pct"/>
          </w:tcPr>
          <w:p w14:paraId="18E4EB22" w14:textId="77777777" w:rsidR="00CE1CBC" w:rsidRPr="00D961C2" w:rsidRDefault="00CE1CBC" w:rsidP="00D961C2">
            <w:pPr>
              <w:pStyle w:val="Table"/>
              <w:rPr>
                <w:b w:val="0"/>
              </w:rPr>
            </w:pPr>
            <w:r w:rsidRPr="00D961C2">
              <w:rPr>
                <w:b w:val="0"/>
              </w:rPr>
              <w:t>5.5 / 0</w:t>
            </w:r>
          </w:p>
        </w:tc>
        <w:tc>
          <w:tcPr>
            <w:tcW w:w="757" w:type="pct"/>
          </w:tcPr>
          <w:p w14:paraId="211D2DE7" w14:textId="77777777" w:rsidR="00CE1CBC" w:rsidRPr="00D961C2" w:rsidRDefault="00CE1CBC" w:rsidP="00D961C2">
            <w:pPr>
              <w:pStyle w:val="Table"/>
              <w:rPr>
                <w:b w:val="0"/>
              </w:rPr>
            </w:pPr>
            <w:r w:rsidRPr="00D961C2">
              <w:rPr>
                <w:b w:val="0"/>
              </w:rPr>
              <w:t>Very common</w:t>
            </w:r>
          </w:p>
        </w:tc>
        <w:tc>
          <w:tcPr>
            <w:tcW w:w="455" w:type="pct"/>
          </w:tcPr>
          <w:p w14:paraId="7776B362" w14:textId="77777777" w:rsidR="00CE1CBC" w:rsidRPr="00D961C2" w:rsidRDefault="00CE1CBC" w:rsidP="00D961C2">
            <w:pPr>
              <w:pStyle w:val="Table"/>
              <w:rPr>
                <w:b w:val="0"/>
              </w:rPr>
            </w:pPr>
            <w:r w:rsidRPr="00D961C2">
              <w:rPr>
                <w:b w:val="0"/>
              </w:rPr>
              <w:t>15.0</w:t>
            </w:r>
          </w:p>
        </w:tc>
        <w:tc>
          <w:tcPr>
            <w:tcW w:w="681" w:type="pct"/>
            <w:tcBorders>
              <w:right w:val="nil"/>
            </w:tcBorders>
          </w:tcPr>
          <w:p w14:paraId="1FCCA6D9" w14:textId="77777777" w:rsidR="00CE1CBC" w:rsidRPr="00D961C2" w:rsidRDefault="00CE1CBC" w:rsidP="00D961C2">
            <w:pPr>
              <w:pStyle w:val="Table"/>
              <w:rPr>
                <w:b w:val="0"/>
              </w:rPr>
            </w:pPr>
            <w:r w:rsidRPr="00D961C2">
              <w:rPr>
                <w:b w:val="0"/>
              </w:rPr>
              <w:t>5.3 / 0</w:t>
            </w:r>
          </w:p>
        </w:tc>
      </w:tr>
      <w:tr w:rsidR="00CE1CBC" w:rsidRPr="00CE1CBC" w14:paraId="55D5D637" w14:textId="77777777" w:rsidTr="00D961C2">
        <w:trPr>
          <w:trHeight w:val="145"/>
        </w:trPr>
        <w:tc>
          <w:tcPr>
            <w:tcW w:w="5000" w:type="pct"/>
            <w:gridSpan w:val="7"/>
            <w:tcBorders>
              <w:left w:val="nil"/>
              <w:right w:val="nil"/>
            </w:tcBorders>
            <w:vAlign w:val="center"/>
          </w:tcPr>
          <w:p w14:paraId="19A7CFA6" w14:textId="77777777" w:rsidR="00CE1CBC" w:rsidRPr="00CE1CBC" w:rsidRDefault="00CE1CBC" w:rsidP="00D961C2">
            <w:pPr>
              <w:pStyle w:val="Table"/>
            </w:pPr>
            <w:r w:rsidRPr="00CE1CBC">
              <w:t>Gastrointestinal disorders</w:t>
            </w:r>
          </w:p>
        </w:tc>
      </w:tr>
      <w:tr w:rsidR="00D961C2" w:rsidRPr="00D961C2" w14:paraId="2C0860A0" w14:textId="77777777" w:rsidTr="00D961C2">
        <w:trPr>
          <w:trHeight w:val="145"/>
        </w:trPr>
        <w:tc>
          <w:tcPr>
            <w:tcW w:w="1213" w:type="pct"/>
            <w:tcBorders>
              <w:left w:val="nil"/>
            </w:tcBorders>
          </w:tcPr>
          <w:p w14:paraId="0787DDB1" w14:textId="77777777" w:rsidR="00CE1CBC" w:rsidRPr="00D961C2" w:rsidRDefault="00CE1CBC" w:rsidP="00D961C2">
            <w:pPr>
              <w:pStyle w:val="Table"/>
              <w:rPr>
                <w:b w:val="0"/>
              </w:rPr>
            </w:pPr>
            <w:r w:rsidRPr="00D961C2">
              <w:rPr>
                <w:b w:val="0"/>
              </w:rPr>
              <w:t>Increased lipase</w:t>
            </w:r>
            <w:r w:rsidRPr="00D961C2">
              <w:rPr>
                <w:b w:val="0"/>
                <w:vertAlign w:val="superscript"/>
              </w:rPr>
              <w:t>1</w:t>
            </w:r>
          </w:p>
        </w:tc>
        <w:tc>
          <w:tcPr>
            <w:tcW w:w="757" w:type="pct"/>
          </w:tcPr>
          <w:p w14:paraId="02507D63" w14:textId="77777777" w:rsidR="00CE1CBC" w:rsidRPr="00D961C2" w:rsidRDefault="00CE1CBC" w:rsidP="00D961C2">
            <w:pPr>
              <w:pStyle w:val="Table"/>
              <w:rPr>
                <w:b w:val="0"/>
              </w:rPr>
            </w:pPr>
            <w:r w:rsidRPr="00D961C2">
              <w:rPr>
                <w:b w:val="0"/>
              </w:rPr>
              <w:t>-</w:t>
            </w:r>
          </w:p>
        </w:tc>
        <w:tc>
          <w:tcPr>
            <w:tcW w:w="454" w:type="pct"/>
          </w:tcPr>
          <w:p w14:paraId="64E6E746" w14:textId="77777777" w:rsidR="00CE1CBC" w:rsidRPr="00D961C2" w:rsidRDefault="00CE1CBC" w:rsidP="00D961C2">
            <w:pPr>
              <w:pStyle w:val="Table"/>
              <w:rPr>
                <w:b w:val="0"/>
              </w:rPr>
            </w:pPr>
            <w:r w:rsidRPr="00D961C2">
              <w:rPr>
                <w:b w:val="0"/>
              </w:rPr>
              <w:t>-</w:t>
            </w:r>
          </w:p>
        </w:tc>
        <w:tc>
          <w:tcPr>
            <w:tcW w:w="682" w:type="pct"/>
          </w:tcPr>
          <w:p w14:paraId="09435E00" w14:textId="77777777" w:rsidR="00CE1CBC" w:rsidRPr="00D961C2" w:rsidRDefault="00CE1CBC" w:rsidP="00D961C2">
            <w:pPr>
              <w:pStyle w:val="Table"/>
              <w:rPr>
                <w:b w:val="0"/>
              </w:rPr>
            </w:pPr>
            <w:r w:rsidRPr="00D961C2">
              <w:rPr>
                <w:b w:val="0"/>
              </w:rPr>
              <w:t>-</w:t>
            </w:r>
          </w:p>
        </w:tc>
        <w:tc>
          <w:tcPr>
            <w:tcW w:w="757" w:type="pct"/>
          </w:tcPr>
          <w:p w14:paraId="7879C9E3" w14:textId="77777777" w:rsidR="00CE1CBC" w:rsidRPr="00D961C2" w:rsidRDefault="00CE1CBC" w:rsidP="00D961C2">
            <w:pPr>
              <w:pStyle w:val="Table"/>
              <w:rPr>
                <w:b w:val="0"/>
              </w:rPr>
            </w:pPr>
            <w:r w:rsidRPr="00D961C2">
              <w:rPr>
                <w:b w:val="0"/>
              </w:rPr>
              <w:t>Very common</w:t>
            </w:r>
          </w:p>
        </w:tc>
        <w:tc>
          <w:tcPr>
            <w:tcW w:w="455" w:type="pct"/>
          </w:tcPr>
          <w:p w14:paraId="734309E4" w14:textId="77777777" w:rsidR="00CE1CBC" w:rsidRPr="00D961C2" w:rsidRDefault="00CE1CBC" w:rsidP="00D961C2">
            <w:pPr>
              <w:pStyle w:val="Table"/>
              <w:rPr>
                <w:b w:val="0"/>
              </w:rPr>
            </w:pPr>
            <w:r w:rsidRPr="00D961C2">
              <w:rPr>
                <w:b w:val="0"/>
              </w:rPr>
              <w:t>35.9</w:t>
            </w:r>
          </w:p>
        </w:tc>
        <w:tc>
          <w:tcPr>
            <w:tcW w:w="681" w:type="pct"/>
            <w:tcBorders>
              <w:right w:val="nil"/>
            </w:tcBorders>
          </w:tcPr>
          <w:p w14:paraId="6DDF568D" w14:textId="77777777" w:rsidR="00CE1CBC" w:rsidRPr="00D961C2" w:rsidRDefault="00CE1CBC" w:rsidP="00D961C2">
            <w:pPr>
              <w:pStyle w:val="Table"/>
              <w:rPr>
                <w:b w:val="0"/>
              </w:rPr>
            </w:pPr>
            <w:r w:rsidRPr="00D961C2">
              <w:rPr>
                <w:b w:val="0"/>
              </w:rPr>
              <w:t>9.5 / 0.4</w:t>
            </w:r>
          </w:p>
        </w:tc>
      </w:tr>
      <w:tr w:rsidR="00D961C2" w:rsidRPr="00D961C2" w14:paraId="6095C9A9" w14:textId="77777777" w:rsidTr="00D961C2">
        <w:trPr>
          <w:trHeight w:val="145"/>
        </w:trPr>
        <w:tc>
          <w:tcPr>
            <w:tcW w:w="1213" w:type="pct"/>
            <w:tcBorders>
              <w:left w:val="nil"/>
            </w:tcBorders>
          </w:tcPr>
          <w:p w14:paraId="586FA846" w14:textId="77777777" w:rsidR="00CE1CBC" w:rsidRPr="00D961C2" w:rsidRDefault="00CE1CBC" w:rsidP="00D961C2">
            <w:pPr>
              <w:pStyle w:val="Table"/>
              <w:rPr>
                <w:b w:val="0"/>
              </w:rPr>
            </w:pPr>
            <w:r w:rsidRPr="00D961C2">
              <w:rPr>
                <w:b w:val="0"/>
              </w:rPr>
              <w:t>Increased amylase</w:t>
            </w:r>
            <w:r w:rsidRPr="00D961C2">
              <w:rPr>
                <w:b w:val="0"/>
                <w:vertAlign w:val="superscript"/>
              </w:rPr>
              <w:t>1</w:t>
            </w:r>
          </w:p>
        </w:tc>
        <w:tc>
          <w:tcPr>
            <w:tcW w:w="757" w:type="pct"/>
          </w:tcPr>
          <w:p w14:paraId="4E977094" w14:textId="77777777" w:rsidR="00CE1CBC" w:rsidRPr="00D961C2" w:rsidRDefault="00CE1CBC" w:rsidP="00D961C2">
            <w:pPr>
              <w:pStyle w:val="Table"/>
              <w:rPr>
                <w:b w:val="0"/>
              </w:rPr>
            </w:pPr>
            <w:r w:rsidRPr="00D961C2">
              <w:rPr>
                <w:b w:val="0"/>
              </w:rPr>
              <w:t>-</w:t>
            </w:r>
          </w:p>
        </w:tc>
        <w:tc>
          <w:tcPr>
            <w:tcW w:w="454" w:type="pct"/>
          </w:tcPr>
          <w:p w14:paraId="22C6ADDE" w14:textId="77777777" w:rsidR="00CE1CBC" w:rsidRPr="00D961C2" w:rsidRDefault="00CE1CBC" w:rsidP="00D961C2">
            <w:pPr>
              <w:pStyle w:val="Table"/>
              <w:rPr>
                <w:b w:val="0"/>
              </w:rPr>
            </w:pPr>
            <w:r w:rsidRPr="00D961C2">
              <w:rPr>
                <w:b w:val="0"/>
              </w:rPr>
              <w:t>-</w:t>
            </w:r>
          </w:p>
        </w:tc>
        <w:tc>
          <w:tcPr>
            <w:tcW w:w="682" w:type="pct"/>
          </w:tcPr>
          <w:p w14:paraId="3B08D7CB" w14:textId="77777777" w:rsidR="00CE1CBC" w:rsidRPr="00D961C2" w:rsidRDefault="00CE1CBC" w:rsidP="00D961C2">
            <w:pPr>
              <w:pStyle w:val="Table"/>
              <w:rPr>
                <w:b w:val="0"/>
              </w:rPr>
            </w:pPr>
            <w:r w:rsidRPr="00D961C2">
              <w:rPr>
                <w:b w:val="0"/>
              </w:rPr>
              <w:t>-</w:t>
            </w:r>
          </w:p>
        </w:tc>
        <w:tc>
          <w:tcPr>
            <w:tcW w:w="757" w:type="pct"/>
          </w:tcPr>
          <w:p w14:paraId="5D4B5EC9" w14:textId="77777777" w:rsidR="00CE1CBC" w:rsidRPr="00D961C2" w:rsidRDefault="00CE1CBC" w:rsidP="00D961C2">
            <w:pPr>
              <w:pStyle w:val="Table"/>
              <w:rPr>
                <w:b w:val="0"/>
              </w:rPr>
            </w:pPr>
            <w:r w:rsidRPr="00D961C2">
              <w:rPr>
                <w:b w:val="0"/>
              </w:rPr>
              <w:t>Very common</w:t>
            </w:r>
          </w:p>
        </w:tc>
        <w:tc>
          <w:tcPr>
            <w:tcW w:w="455" w:type="pct"/>
          </w:tcPr>
          <w:p w14:paraId="2F802F45" w14:textId="77777777" w:rsidR="00CE1CBC" w:rsidRPr="00D961C2" w:rsidRDefault="00CE1CBC" w:rsidP="00D961C2">
            <w:pPr>
              <w:pStyle w:val="Table"/>
              <w:rPr>
                <w:b w:val="0"/>
              </w:rPr>
            </w:pPr>
            <w:r w:rsidRPr="00D961C2">
              <w:rPr>
                <w:b w:val="0"/>
              </w:rPr>
              <w:t>32.4</w:t>
            </w:r>
          </w:p>
        </w:tc>
        <w:tc>
          <w:tcPr>
            <w:tcW w:w="681" w:type="pct"/>
            <w:tcBorders>
              <w:right w:val="nil"/>
            </w:tcBorders>
          </w:tcPr>
          <w:p w14:paraId="63A23345" w14:textId="77777777" w:rsidR="00CE1CBC" w:rsidRPr="00D961C2" w:rsidRDefault="00CE1CBC" w:rsidP="00D961C2">
            <w:pPr>
              <w:pStyle w:val="Table"/>
              <w:rPr>
                <w:b w:val="0"/>
              </w:rPr>
            </w:pPr>
            <w:r w:rsidRPr="00D961C2">
              <w:rPr>
                <w:b w:val="0"/>
              </w:rPr>
              <w:t>4.2 / 2.7</w:t>
            </w:r>
          </w:p>
        </w:tc>
      </w:tr>
      <w:tr w:rsidR="00D961C2" w:rsidRPr="00D961C2" w14:paraId="25D4713B" w14:textId="77777777" w:rsidTr="00D961C2">
        <w:trPr>
          <w:trHeight w:val="145"/>
        </w:trPr>
        <w:tc>
          <w:tcPr>
            <w:tcW w:w="1213" w:type="pct"/>
            <w:tcBorders>
              <w:top w:val="single" w:sz="4" w:space="0" w:color="auto"/>
              <w:left w:val="nil"/>
              <w:bottom w:val="single" w:sz="4" w:space="0" w:color="auto"/>
              <w:right w:val="single" w:sz="4" w:space="0" w:color="auto"/>
            </w:tcBorders>
          </w:tcPr>
          <w:p w14:paraId="6D66524D" w14:textId="77777777" w:rsidR="00CE1CBC" w:rsidRPr="00D961C2" w:rsidRDefault="00CE1CBC" w:rsidP="00D961C2">
            <w:pPr>
              <w:pStyle w:val="Table"/>
              <w:rPr>
                <w:b w:val="0"/>
              </w:rPr>
            </w:pPr>
            <w:r w:rsidRPr="00D961C2">
              <w:rPr>
                <w:b w:val="0"/>
              </w:rPr>
              <w:t>Nausea</w:t>
            </w:r>
          </w:p>
        </w:tc>
        <w:tc>
          <w:tcPr>
            <w:tcW w:w="757" w:type="pct"/>
            <w:tcBorders>
              <w:top w:val="single" w:sz="4" w:space="0" w:color="auto"/>
              <w:left w:val="single" w:sz="4" w:space="0" w:color="auto"/>
              <w:bottom w:val="single" w:sz="4" w:space="0" w:color="auto"/>
              <w:right w:val="single" w:sz="4" w:space="0" w:color="auto"/>
            </w:tcBorders>
          </w:tcPr>
          <w:p w14:paraId="0970421F" w14:textId="77777777" w:rsidR="00CE1CBC" w:rsidRPr="00D961C2" w:rsidRDefault="00CE1CBC" w:rsidP="00D961C2">
            <w:pPr>
              <w:pStyle w:val="Table"/>
              <w:rPr>
                <w:b w:val="0"/>
              </w:rPr>
            </w:pPr>
            <w:r w:rsidRPr="00D961C2">
              <w:rPr>
                <w:b w:val="0"/>
              </w:rPr>
              <w:t>Very common</w:t>
            </w:r>
          </w:p>
        </w:tc>
        <w:tc>
          <w:tcPr>
            <w:tcW w:w="454" w:type="pct"/>
            <w:tcBorders>
              <w:top w:val="single" w:sz="4" w:space="0" w:color="auto"/>
              <w:left w:val="single" w:sz="4" w:space="0" w:color="auto"/>
              <w:bottom w:val="single" w:sz="4" w:space="0" w:color="auto"/>
              <w:right w:val="single" w:sz="4" w:space="0" w:color="auto"/>
            </w:tcBorders>
          </w:tcPr>
          <w:p w14:paraId="32A55357" w14:textId="77777777" w:rsidR="00CE1CBC" w:rsidRPr="00D961C2" w:rsidRDefault="00CE1CBC" w:rsidP="00D961C2">
            <w:pPr>
              <w:pStyle w:val="Table"/>
              <w:rPr>
                <w:b w:val="0"/>
              </w:rPr>
            </w:pPr>
            <w:r w:rsidRPr="00D961C2">
              <w:rPr>
                <w:b w:val="0"/>
              </w:rPr>
              <w:t>16.4</w:t>
            </w:r>
          </w:p>
        </w:tc>
        <w:tc>
          <w:tcPr>
            <w:tcW w:w="682" w:type="pct"/>
            <w:tcBorders>
              <w:top w:val="single" w:sz="4" w:space="0" w:color="auto"/>
              <w:left w:val="single" w:sz="4" w:space="0" w:color="auto"/>
              <w:bottom w:val="single" w:sz="4" w:space="0" w:color="auto"/>
              <w:right w:val="single" w:sz="4" w:space="0" w:color="auto"/>
            </w:tcBorders>
          </w:tcPr>
          <w:p w14:paraId="0B7AED4D" w14:textId="77777777" w:rsidR="00CE1CBC" w:rsidRPr="00D961C2" w:rsidRDefault="00CE1CBC" w:rsidP="00D961C2">
            <w:pPr>
              <w:pStyle w:val="Table"/>
              <w:rPr>
                <w:b w:val="0"/>
              </w:rPr>
            </w:pPr>
            <w:r w:rsidRPr="00D961C2">
              <w:rPr>
                <w:b w:val="0"/>
              </w:rPr>
              <w:t>0.5 / 0</w:t>
            </w:r>
          </w:p>
        </w:tc>
        <w:tc>
          <w:tcPr>
            <w:tcW w:w="757" w:type="pct"/>
            <w:tcBorders>
              <w:top w:val="single" w:sz="4" w:space="0" w:color="auto"/>
              <w:left w:val="single" w:sz="4" w:space="0" w:color="auto"/>
              <w:bottom w:val="single" w:sz="4" w:space="0" w:color="auto"/>
              <w:right w:val="single" w:sz="4" w:space="0" w:color="auto"/>
            </w:tcBorders>
          </w:tcPr>
          <w:p w14:paraId="05EE5B66" w14:textId="77777777" w:rsidR="00CE1CBC" w:rsidRPr="00D961C2" w:rsidRDefault="00CE1CBC" w:rsidP="00D961C2">
            <w:pPr>
              <w:pStyle w:val="Table"/>
              <w:rPr>
                <w:b w:val="0"/>
              </w:rPr>
            </w:pPr>
            <w:r w:rsidRPr="00D961C2">
              <w:rPr>
                <w:b w:val="0"/>
              </w:rPr>
              <w:t>-</w:t>
            </w:r>
          </w:p>
        </w:tc>
        <w:tc>
          <w:tcPr>
            <w:tcW w:w="455" w:type="pct"/>
            <w:tcBorders>
              <w:top w:val="single" w:sz="4" w:space="0" w:color="auto"/>
              <w:left w:val="single" w:sz="4" w:space="0" w:color="auto"/>
              <w:bottom w:val="single" w:sz="4" w:space="0" w:color="auto"/>
              <w:right w:val="single" w:sz="4" w:space="0" w:color="auto"/>
            </w:tcBorders>
          </w:tcPr>
          <w:p w14:paraId="243502EA" w14:textId="77777777" w:rsidR="00CE1CBC" w:rsidRPr="00D961C2" w:rsidRDefault="00CE1CBC" w:rsidP="00D961C2">
            <w:pPr>
              <w:pStyle w:val="Table"/>
              <w:rPr>
                <w:b w:val="0"/>
              </w:rPr>
            </w:pPr>
            <w:r w:rsidRPr="00D961C2">
              <w:rPr>
                <w:b w:val="0"/>
              </w:rPr>
              <w:t>-</w:t>
            </w:r>
          </w:p>
        </w:tc>
        <w:tc>
          <w:tcPr>
            <w:tcW w:w="681" w:type="pct"/>
            <w:tcBorders>
              <w:top w:val="single" w:sz="4" w:space="0" w:color="auto"/>
              <w:left w:val="single" w:sz="4" w:space="0" w:color="auto"/>
              <w:bottom w:val="single" w:sz="4" w:space="0" w:color="auto"/>
              <w:right w:val="nil"/>
            </w:tcBorders>
          </w:tcPr>
          <w:p w14:paraId="20BDA0F4" w14:textId="77777777" w:rsidR="00CE1CBC" w:rsidRPr="00D961C2" w:rsidRDefault="00CE1CBC" w:rsidP="00D961C2">
            <w:pPr>
              <w:pStyle w:val="Table"/>
              <w:rPr>
                <w:b w:val="0"/>
              </w:rPr>
            </w:pPr>
            <w:r w:rsidRPr="00D961C2">
              <w:rPr>
                <w:b w:val="0"/>
              </w:rPr>
              <w:t>- / -</w:t>
            </w:r>
          </w:p>
        </w:tc>
      </w:tr>
      <w:tr w:rsidR="00D961C2" w:rsidRPr="00D961C2" w14:paraId="798A5029" w14:textId="77777777" w:rsidTr="00D961C2">
        <w:trPr>
          <w:trHeight w:val="145"/>
        </w:trPr>
        <w:tc>
          <w:tcPr>
            <w:tcW w:w="1213" w:type="pct"/>
            <w:tcBorders>
              <w:left w:val="nil"/>
            </w:tcBorders>
          </w:tcPr>
          <w:p w14:paraId="6208ADF0" w14:textId="77777777" w:rsidR="00CE1CBC" w:rsidRPr="00D961C2" w:rsidRDefault="00CE1CBC" w:rsidP="00D961C2">
            <w:pPr>
              <w:pStyle w:val="Table"/>
              <w:rPr>
                <w:b w:val="0"/>
              </w:rPr>
            </w:pPr>
            <w:r w:rsidRPr="00D961C2">
              <w:rPr>
                <w:b w:val="0"/>
              </w:rPr>
              <w:t>Constipation</w:t>
            </w:r>
          </w:p>
        </w:tc>
        <w:tc>
          <w:tcPr>
            <w:tcW w:w="757" w:type="pct"/>
          </w:tcPr>
          <w:p w14:paraId="0205B14C" w14:textId="77777777" w:rsidR="00CE1CBC" w:rsidRPr="00D961C2" w:rsidRDefault="00CE1CBC" w:rsidP="00D961C2">
            <w:pPr>
              <w:pStyle w:val="Table"/>
              <w:rPr>
                <w:b w:val="0"/>
              </w:rPr>
            </w:pPr>
            <w:r w:rsidRPr="00D961C2">
              <w:rPr>
                <w:b w:val="0"/>
              </w:rPr>
              <w:t>-</w:t>
            </w:r>
          </w:p>
        </w:tc>
        <w:tc>
          <w:tcPr>
            <w:tcW w:w="454" w:type="pct"/>
          </w:tcPr>
          <w:p w14:paraId="2F6F73AC" w14:textId="77777777" w:rsidR="00CE1CBC" w:rsidRPr="00D961C2" w:rsidRDefault="00CE1CBC" w:rsidP="00D961C2">
            <w:pPr>
              <w:pStyle w:val="Table"/>
              <w:rPr>
                <w:b w:val="0"/>
              </w:rPr>
            </w:pPr>
            <w:r w:rsidRPr="00D961C2">
              <w:rPr>
                <w:b w:val="0"/>
              </w:rPr>
              <w:t>-</w:t>
            </w:r>
          </w:p>
        </w:tc>
        <w:tc>
          <w:tcPr>
            <w:tcW w:w="682" w:type="pct"/>
          </w:tcPr>
          <w:p w14:paraId="61B556C4" w14:textId="77777777" w:rsidR="00CE1CBC" w:rsidRPr="00D961C2" w:rsidRDefault="00CE1CBC" w:rsidP="00D961C2">
            <w:pPr>
              <w:pStyle w:val="Table"/>
              <w:rPr>
                <w:b w:val="0"/>
              </w:rPr>
            </w:pPr>
            <w:r w:rsidRPr="00D961C2">
              <w:rPr>
                <w:b w:val="0"/>
              </w:rPr>
              <w:t>-</w:t>
            </w:r>
          </w:p>
        </w:tc>
        <w:tc>
          <w:tcPr>
            <w:tcW w:w="757" w:type="pct"/>
          </w:tcPr>
          <w:p w14:paraId="04CE806A" w14:textId="77777777" w:rsidR="00CE1CBC" w:rsidRPr="00D961C2" w:rsidRDefault="00CE1CBC" w:rsidP="00D961C2">
            <w:pPr>
              <w:pStyle w:val="Table"/>
              <w:rPr>
                <w:b w:val="0"/>
              </w:rPr>
            </w:pPr>
            <w:r w:rsidRPr="00D961C2">
              <w:rPr>
                <w:b w:val="0"/>
              </w:rPr>
              <w:t>Common</w:t>
            </w:r>
          </w:p>
        </w:tc>
        <w:tc>
          <w:tcPr>
            <w:tcW w:w="455" w:type="pct"/>
          </w:tcPr>
          <w:p w14:paraId="01210282" w14:textId="77777777" w:rsidR="00CE1CBC" w:rsidRPr="00D961C2" w:rsidRDefault="00CE1CBC" w:rsidP="00D961C2">
            <w:pPr>
              <w:pStyle w:val="Table"/>
              <w:rPr>
                <w:b w:val="0"/>
              </w:rPr>
            </w:pPr>
            <w:r w:rsidRPr="00D961C2">
              <w:rPr>
                <w:b w:val="0"/>
              </w:rPr>
              <w:t>6.6</w:t>
            </w:r>
          </w:p>
        </w:tc>
        <w:tc>
          <w:tcPr>
            <w:tcW w:w="681" w:type="pct"/>
            <w:tcBorders>
              <w:right w:val="nil"/>
            </w:tcBorders>
          </w:tcPr>
          <w:p w14:paraId="6A69D7D7" w14:textId="77777777" w:rsidR="00CE1CBC" w:rsidRPr="00D961C2" w:rsidRDefault="00CE1CBC" w:rsidP="00D961C2">
            <w:pPr>
              <w:pStyle w:val="Table"/>
              <w:rPr>
                <w:b w:val="0"/>
              </w:rPr>
            </w:pPr>
            <w:r w:rsidRPr="00D961C2">
              <w:rPr>
                <w:b w:val="0"/>
              </w:rPr>
              <w:t>0 / 0</w:t>
            </w:r>
          </w:p>
        </w:tc>
      </w:tr>
      <w:tr w:rsidR="00CE1CBC" w:rsidRPr="00CE1CBC" w14:paraId="000CB5C9" w14:textId="77777777" w:rsidTr="00D961C2">
        <w:trPr>
          <w:trHeight w:val="145"/>
        </w:trPr>
        <w:tc>
          <w:tcPr>
            <w:tcW w:w="5000" w:type="pct"/>
            <w:gridSpan w:val="7"/>
            <w:tcBorders>
              <w:left w:val="nil"/>
              <w:right w:val="nil"/>
            </w:tcBorders>
            <w:vAlign w:val="center"/>
          </w:tcPr>
          <w:p w14:paraId="4A322044" w14:textId="77777777" w:rsidR="00CE1CBC" w:rsidRPr="00CE1CBC" w:rsidRDefault="00CE1CBC" w:rsidP="00D961C2">
            <w:pPr>
              <w:pStyle w:val="Table"/>
            </w:pPr>
            <w:r w:rsidRPr="00CE1CBC">
              <w:t>Hepatobiliary disorders</w:t>
            </w:r>
          </w:p>
        </w:tc>
      </w:tr>
      <w:tr w:rsidR="00D961C2" w:rsidRPr="00D961C2" w14:paraId="14CDDF60" w14:textId="77777777" w:rsidTr="00D961C2">
        <w:trPr>
          <w:trHeight w:val="145"/>
        </w:trPr>
        <w:tc>
          <w:tcPr>
            <w:tcW w:w="1213" w:type="pct"/>
            <w:tcBorders>
              <w:left w:val="nil"/>
            </w:tcBorders>
          </w:tcPr>
          <w:p w14:paraId="02A694C6" w14:textId="77777777" w:rsidR="00CE1CBC" w:rsidRPr="00D961C2" w:rsidRDefault="00CE1CBC" w:rsidP="00D961C2">
            <w:pPr>
              <w:pStyle w:val="Table"/>
              <w:rPr>
                <w:b w:val="0"/>
              </w:rPr>
            </w:pPr>
            <w:r w:rsidRPr="00D961C2">
              <w:rPr>
                <w:b w:val="0"/>
              </w:rPr>
              <w:t>Increased ALT</w:t>
            </w:r>
            <w:r w:rsidRPr="00D961C2">
              <w:rPr>
                <w:b w:val="0"/>
                <w:vertAlign w:val="superscript"/>
              </w:rPr>
              <w:t>1</w:t>
            </w:r>
          </w:p>
        </w:tc>
        <w:tc>
          <w:tcPr>
            <w:tcW w:w="757" w:type="pct"/>
          </w:tcPr>
          <w:p w14:paraId="4BA61E9C" w14:textId="77777777" w:rsidR="00CE1CBC" w:rsidRPr="00D961C2" w:rsidRDefault="00CE1CBC" w:rsidP="00D961C2">
            <w:pPr>
              <w:pStyle w:val="Table"/>
              <w:rPr>
                <w:b w:val="0"/>
              </w:rPr>
            </w:pPr>
            <w:r w:rsidRPr="00D961C2">
              <w:rPr>
                <w:b w:val="0"/>
              </w:rPr>
              <w:t>Very common</w:t>
            </w:r>
          </w:p>
        </w:tc>
        <w:tc>
          <w:tcPr>
            <w:tcW w:w="454" w:type="pct"/>
          </w:tcPr>
          <w:p w14:paraId="3EF13463" w14:textId="77777777" w:rsidR="00CE1CBC" w:rsidRPr="00D961C2" w:rsidRDefault="00CE1CBC" w:rsidP="00D961C2">
            <w:pPr>
              <w:pStyle w:val="Table"/>
              <w:rPr>
                <w:b w:val="0"/>
              </w:rPr>
            </w:pPr>
            <w:r w:rsidRPr="00D961C2">
              <w:rPr>
                <w:b w:val="0"/>
              </w:rPr>
              <w:t>54.9</w:t>
            </w:r>
          </w:p>
        </w:tc>
        <w:tc>
          <w:tcPr>
            <w:tcW w:w="682" w:type="pct"/>
          </w:tcPr>
          <w:p w14:paraId="467388F0" w14:textId="77777777" w:rsidR="00CE1CBC" w:rsidRPr="00D961C2" w:rsidRDefault="00CE1CBC" w:rsidP="00D961C2">
            <w:pPr>
              <w:pStyle w:val="Table"/>
              <w:rPr>
                <w:b w:val="0"/>
              </w:rPr>
            </w:pPr>
            <w:r w:rsidRPr="00D961C2">
              <w:rPr>
                <w:b w:val="0"/>
              </w:rPr>
              <w:t>17.6 / 1.5</w:t>
            </w:r>
          </w:p>
        </w:tc>
        <w:tc>
          <w:tcPr>
            <w:tcW w:w="757" w:type="pct"/>
          </w:tcPr>
          <w:p w14:paraId="59594A42" w14:textId="77777777" w:rsidR="00CE1CBC" w:rsidRPr="00D961C2" w:rsidRDefault="00CE1CBC" w:rsidP="00D961C2">
            <w:pPr>
              <w:pStyle w:val="Table"/>
              <w:rPr>
                <w:b w:val="0"/>
              </w:rPr>
            </w:pPr>
            <w:r w:rsidRPr="00D961C2">
              <w:rPr>
                <w:b w:val="0"/>
              </w:rPr>
              <w:t>Very common</w:t>
            </w:r>
          </w:p>
        </w:tc>
        <w:tc>
          <w:tcPr>
            <w:tcW w:w="455" w:type="pct"/>
          </w:tcPr>
          <w:p w14:paraId="5182B578" w14:textId="77777777" w:rsidR="00CE1CBC" w:rsidRPr="00D961C2" w:rsidRDefault="00CE1CBC" w:rsidP="00D961C2">
            <w:pPr>
              <w:pStyle w:val="Table"/>
              <w:rPr>
                <w:b w:val="0"/>
              </w:rPr>
            </w:pPr>
            <w:r w:rsidRPr="00D961C2">
              <w:rPr>
                <w:b w:val="0"/>
              </w:rPr>
              <w:t>43.1</w:t>
            </w:r>
          </w:p>
        </w:tc>
        <w:tc>
          <w:tcPr>
            <w:tcW w:w="681" w:type="pct"/>
            <w:tcBorders>
              <w:right w:val="nil"/>
            </w:tcBorders>
          </w:tcPr>
          <w:p w14:paraId="1E78A13A" w14:textId="77777777" w:rsidR="00CE1CBC" w:rsidRPr="00D961C2" w:rsidRDefault="00CE1CBC" w:rsidP="00D961C2">
            <w:pPr>
              <w:pStyle w:val="Table"/>
              <w:rPr>
                <w:b w:val="0"/>
              </w:rPr>
            </w:pPr>
            <w:r w:rsidRPr="00D961C2">
              <w:rPr>
                <w:b w:val="0"/>
              </w:rPr>
              <w:t>4.7 / 0.9</w:t>
            </w:r>
          </w:p>
        </w:tc>
      </w:tr>
      <w:tr w:rsidR="00D961C2" w:rsidRPr="00D961C2" w14:paraId="54F9B555" w14:textId="77777777" w:rsidTr="00D961C2">
        <w:trPr>
          <w:trHeight w:val="145"/>
        </w:trPr>
        <w:tc>
          <w:tcPr>
            <w:tcW w:w="1213" w:type="pct"/>
            <w:tcBorders>
              <w:left w:val="nil"/>
            </w:tcBorders>
          </w:tcPr>
          <w:p w14:paraId="38FF2D48" w14:textId="77777777" w:rsidR="00CE1CBC" w:rsidRPr="00D961C2" w:rsidRDefault="00CE1CBC" w:rsidP="00D961C2">
            <w:pPr>
              <w:pStyle w:val="Table"/>
              <w:rPr>
                <w:b w:val="0"/>
              </w:rPr>
            </w:pPr>
            <w:r w:rsidRPr="00D961C2">
              <w:rPr>
                <w:b w:val="0"/>
              </w:rPr>
              <w:t>Increased AST</w:t>
            </w:r>
            <w:r w:rsidRPr="00D961C2">
              <w:rPr>
                <w:b w:val="0"/>
                <w:vertAlign w:val="superscript"/>
              </w:rPr>
              <w:t>1</w:t>
            </w:r>
          </w:p>
        </w:tc>
        <w:tc>
          <w:tcPr>
            <w:tcW w:w="757" w:type="pct"/>
          </w:tcPr>
          <w:p w14:paraId="307900F8" w14:textId="77777777" w:rsidR="00CE1CBC" w:rsidRPr="00D961C2" w:rsidRDefault="00CE1CBC" w:rsidP="00D961C2">
            <w:pPr>
              <w:pStyle w:val="Table"/>
              <w:rPr>
                <w:b w:val="0"/>
              </w:rPr>
            </w:pPr>
            <w:r w:rsidRPr="00D961C2">
              <w:rPr>
                <w:b w:val="0"/>
              </w:rPr>
              <w:t>Very common</w:t>
            </w:r>
          </w:p>
        </w:tc>
        <w:tc>
          <w:tcPr>
            <w:tcW w:w="454" w:type="pct"/>
          </w:tcPr>
          <w:p w14:paraId="2D26ED75" w14:textId="77777777" w:rsidR="00CE1CBC" w:rsidRPr="00D961C2" w:rsidRDefault="00CE1CBC" w:rsidP="00D961C2">
            <w:pPr>
              <w:pStyle w:val="Table"/>
              <w:rPr>
                <w:b w:val="0"/>
              </w:rPr>
            </w:pPr>
            <w:r w:rsidRPr="00D961C2">
              <w:rPr>
                <w:b w:val="0"/>
              </w:rPr>
              <w:t>52.3</w:t>
            </w:r>
          </w:p>
        </w:tc>
        <w:tc>
          <w:tcPr>
            <w:tcW w:w="682" w:type="pct"/>
          </w:tcPr>
          <w:p w14:paraId="4970604B" w14:textId="77777777" w:rsidR="00CE1CBC" w:rsidRPr="00D961C2" w:rsidRDefault="00CE1CBC" w:rsidP="00D961C2">
            <w:pPr>
              <w:pStyle w:val="Table"/>
              <w:rPr>
                <w:b w:val="0"/>
              </w:rPr>
            </w:pPr>
            <w:r w:rsidRPr="00D961C2">
              <w:rPr>
                <w:b w:val="0"/>
              </w:rPr>
              <w:t>7.8 / 0</w:t>
            </w:r>
          </w:p>
        </w:tc>
        <w:tc>
          <w:tcPr>
            <w:tcW w:w="757" w:type="pct"/>
          </w:tcPr>
          <w:p w14:paraId="772AFF53" w14:textId="77777777" w:rsidR="00CE1CBC" w:rsidRPr="00D961C2" w:rsidRDefault="00CE1CBC" w:rsidP="00D961C2">
            <w:pPr>
              <w:pStyle w:val="Table"/>
              <w:rPr>
                <w:b w:val="0"/>
              </w:rPr>
            </w:pPr>
            <w:r w:rsidRPr="00D961C2">
              <w:rPr>
                <w:b w:val="0"/>
              </w:rPr>
              <w:t>Very common</w:t>
            </w:r>
          </w:p>
        </w:tc>
        <w:tc>
          <w:tcPr>
            <w:tcW w:w="455" w:type="pct"/>
          </w:tcPr>
          <w:p w14:paraId="47920A70" w14:textId="77777777" w:rsidR="00CE1CBC" w:rsidRPr="00D961C2" w:rsidRDefault="00CE1CBC" w:rsidP="00D961C2">
            <w:pPr>
              <w:pStyle w:val="Table"/>
              <w:rPr>
                <w:b w:val="0"/>
              </w:rPr>
            </w:pPr>
            <w:r w:rsidRPr="00D961C2">
              <w:rPr>
                <w:b w:val="0"/>
              </w:rPr>
              <w:t>52.2</w:t>
            </w:r>
          </w:p>
        </w:tc>
        <w:tc>
          <w:tcPr>
            <w:tcW w:w="681" w:type="pct"/>
            <w:tcBorders>
              <w:right w:val="nil"/>
            </w:tcBorders>
          </w:tcPr>
          <w:p w14:paraId="48A74B1F" w14:textId="77777777" w:rsidR="00CE1CBC" w:rsidRPr="00D961C2" w:rsidRDefault="00CE1CBC" w:rsidP="00D961C2">
            <w:pPr>
              <w:pStyle w:val="Table"/>
              <w:rPr>
                <w:b w:val="0"/>
              </w:rPr>
            </w:pPr>
            <w:r w:rsidRPr="00D961C2">
              <w:rPr>
                <w:b w:val="0"/>
              </w:rPr>
              <w:t>3.1 / 0.9</w:t>
            </w:r>
          </w:p>
        </w:tc>
      </w:tr>
      <w:tr w:rsidR="00CE1CBC" w:rsidRPr="00CE1CBC" w14:paraId="607B9C14" w14:textId="77777777" w:rsidTr="00D961C2">
        <w:trPr>
          <w:trHeight w:val="145"/>
        </w:trPr>
        <w:tc>
          <w:tcPr>
            <w:tcW w:w="5000" w:type="pct"/>
            <w:gridSpan w:val="7"/>
            <w:tcBorders>
              <w:left w:val="nil"/>
              <w:right w:val="nil"/>
            </w:tcBorders>
            <w:vAlign w:val="center"/>
          </w:tcPr>
          <w:p w14:paraId="0AAE6C40" w14:textId="77777777" w:rsidR="00CE1CBC" w:rsidRPr="00CE1CBC" w:rsidRDefault="00CE1CBC" w:rsidP="00D961C2">
            <w:pPr>
              <w:pStyle w:val="Table"/>
            </w:pPr>
            <w:r w:rsidRPr="00CE1CBC">
              <w:t>Musculoskeletal and connective tissue disorders</w:t>
            </w:r>
          </w:p>
        </w:tc>
      </w:tr>
      <w:tr w:rsidR="00D961C2" w:rsidRPr="00D961C2" w14:paraId="4AECF6FD" w14:textId="77777777" w:rsidTr="00D961C2">
        <w:trPr>
          <w:trHeight w:val="145"/>
        </w:trPr>
        <w:tc>
          <w:tcPr>
            <w:tcW w:w="1213" w:type="pct"/>
            <w:tcBorders>
              <w:left w:val="nil"/>
            </w:tcBorders>
          </w:tcPr>
          <w:p w14:paraId="011F9A63" w14:textId="77777777" w:rsidR="00CE1CBC" w:rsidRPr="00D961C2" w:rsidRDefault="00CE1CBC" w:rsidP="00D961C2">
            <w:pPr>
              <w:pStyle w:val="Table"/>
              <w:rPr>
                <w:b w:val="0"/>
              </w:rPr>
            </w:pPr>
            <w:r w:rsidRPr="00D961C2">
              <w:rPr>
                <w:b w:val="0"/>
              </w:rPr>
              <w:t>Increased blood CPK</w:t>
            </w:r>
            <w:r w:rsidRPr="00D961C2">
              <w:rPr>
                <w:b w:val="0"/>
                <w:vertAlign w:val="superscript"/>
              </w:rPr>
              <w:t>1</w:t>
            </w:r>
          </w:p>
        </w:tc>
        <w:tc>
          <w:tcPr>
            <w:tcW w:w="757" w:type="pct"/>
          </w:tcPr>
          <w:p w14:paraId="347289C1" w14:textId="77777777" w:rsidR="00CE1CBC" w:rsidRPr="00D961C2" w:rsidRDefault="00CE1CBC" w:rsidP="00D961C2">
            <w:pPr>
              <w:pStyle w:val="Table"/>
              <w:rPr>
                <w:b w:val="0"/>
              </w:rPr>
            </w:pPr>
            <w:r w:rsidRPr="00D961C2">
              <w:rPr>
                <w:b w:val="0"/>
              </w:rPr>
              <w:t>-</w:t>
            </w:r>
          </w:p>
        </w:tc>
        <w:tc>
          <w:tcPr>
            <w:tcW w:w="454" w:type="pct"/>
          </w:tcPr>
          <w:p w14:paraId="291B7706" w14:textId="77777777" w:rsidR="00CE1CBC" w:rsidRPr="00D961C2" w:rsidRDefault="00CE1CBC" w:rsidP="00D961C2">
            <w:pPr>
              <w:pStyle w:val="Table"/>
              <w:rPr>
                <w:b w:val="0"/>
              </w:rPr>
            </w:pPr>
            <w:r w:rsidRPr="00D961C2">
              <w:rPr>
                <w:b w:val="0"/>
              </w:rPr>
              <w:t>-</w:t>
            </w:r>
          </w:p>
        </w:tc>
        <w:tc>
          <w:tcPr>
            <w:tcW w:w="682" w:type="pct"/>
          </w:tcPr>
          <w:p w14:paraId="1DB1F238" w14:textId="77777777" w:rsidR="00CE1CBC" w:rsidRPr="00D961C2" w:rsidRDefault="00CE1CBC" w:rsidP="00D961C2">
            <w:pPr>
              <w:pStyle w:val="Table"/>
              <w:rPr>
                <w:b w:val="0"/>
              </w:rPr>
            </w:pPr>
            <w:r w:rsidRPr="00D961C2">
              <w:rPr>
                <w:b w:val="0"/>
              </w:rPr>
              <w:t>-</w:t>
            </w:r>
          </w:p>
        </w:tc>
        <w:tc>
          <w:tcPr>
            <w:tcW w:w="757" w:type="pct"/>
          </w:tcPr>
          <w:p w14:paraId="4EA5FFAF" w14:textId="77777777" w:rsidR="00CE1CBC" w:rsidRPr="00D961C2" w:rsidRDefault="00CE1CBC" w:rsidP="00D961C2">
            <w:pPr>
              <w:pStyle w:val="Table"/>
              <w:rPr>
                <w:b w:val="0"/>
              </w:rPr>
            </w:pPr>
            <w:r w:rsidRPr="00D961C2">
              <w:rPr>
                <w:b w:val="0"/>
              </w:rPr>
              <w:t>Very common</w:t>
            </w:r>
          </w:p>
        </w:tc>
        <w:tc>
          <w:tcPr>
            <w:tcW w:w="455" w:type="pct"/>
          </w:tcPr>
          <w:p w14:paraId="514EBAA5" w14:textId="77777777" w:rsidR="00CE1CBC" w:rsidRPr="00D961C2" w:rsidRDefault="00CE1CBC" w:rsidP="00D961C2">
            <w:pPr>
              <w:pStyle w:val="Table"/>
              <w:rPr>
                <w:b w:val="0"/>
              </w:rPr>
            </w:pPr>
            <w:r w:rsidRPr="00D961C2">
              <w:rPr>
                <w:b w:val="0"/>
              </w:rPr>
              <w:t>31.1</w:t>
            </w:r>
          </w:p>
        </w:tc>
        <w:tc>
          <w:tcPr>
            <w:tcW w:w="681" w:type="pct"/>
            <w:tcBorders>
              <w:right w:val="nil"/>
            </w:tcBorders>
          </w:tcPr>
          <w:p w14:paraId="545B3AD6" w14:textId="77777777" w:rsidR="00CE1CBC" w:rsidRPr="00D961C2" w:rsidRDefault="00CE1CBC" w:rsidP="00D961C2">
            <w:pPr>
              <w:pStyle w:val="Table"/>
              <w:rPr>
                <w:b w:val="0"/>
              </w:rPr>
            </w:pPr>
            <w:r w:rsidRPr="00D961C2">
              <w:rPr>
                <w:b w:val="0"/>
              </w:rPr>
              <w:t>1.0 / 1.4</w:t>
            </w:r>
          </w:p>
        </w:tc>
      </w:tr>
      <w:tr w:rsidR="00CE1CBC" w:rsidRPr="00CE1CBC" w14:paraId="5415417C" w14:textId="77777777" w:rsidTr="00D961C2">
        <w:trPr>
          <w:trHeight w:val="145"/>
        </w:trPr>
        <w:tc>
          <w:tcPr>
            <w:tcW w:w="5000" w:type="pct"/>
            <w:gridSpan w:val="7"/>
            <w:tcBorders>
              <w:left w:val="nil"/>
              <w:right w:val="nil"/>
            </w:tcBorders>
            <w:vAlign w:val="center"/>
          </w:tcPr>
          <w:p w14:paraId="7FCC1A2E" w14:textId="77777777" w:rsidR="00CE1CBC" w:rsidRPr="00CE1CBC" w:rsidRDefault="00CE1CBC" w:rsidP="00D961C2">
            <w:pPr>
              <w:pStyle w:val="Table"/>
            </w:pPr>
            <w:r w:rsidRPr="00CE1CBC">
              <w:lastRenderedPageBreak/>
              <w:t>Renal and urinary disorders</w:t>
            </w:r>
          </w:p>
        </w:tc>
      </w:tr>
      <w:tr w:rsidR="00D961C2" w:rsidRPr="00D961C2" w14:paraId="263C5258" w14:textId="77777777" w:rsidTr="00D961C2">
        <w:trPr>
          <w:trHeight w:val="145"/>
        </w:trPr>
        <w:tc>
          <w:tcPr>
            <w:tcW w:w="1213" w:type="pct"/>
            <w:tcBorders>
              <w:left w:val="nil"/>
            </w:tcBorders>
          </w:tcPr>
          <w:p w14:paraId="4E7E05BE" w14:textId="77777777" w:rsidR="00CE1CBC" w:rsidRPr="00D961C2" w:rsidRDefault="00CE1CBC" w:rsidP="00D961C2">
            <w:pPr>
              <w:pStyle w:val="Table"/>
              <w:rPr>
                <w:b w:val="0"/>
              </w:rPr>
            </w:pPr>
            <w:r w:rsidRPr="00D961C2">
              <w:rPr>
                <w:b w:val="0"/>
              </w:rPr>
              <w:t>Increased blood creatinine</w:t>
            </w:r>
            <w:r w:rsidRPr="00D961C2">
              <w:rPr>
                <w:b w:val="0"/>
                <w:vertAlign w:val="superscript"/>
              </w:rPr>
              <w:t>1</w:t>
            </w:r>
          </w:p>
        </w:tc>
        <w:tc>
          <w:tcPr>
            <w:tcW w:w="757" w:type="pct"/>
          </w:tcPr>
          <w:p w14:paraId="53AF1FBE" w14:textId="77777777" w:rsidR="00CE1CBC" w:rsidRPr="00D961C2" w:rsidRDefault="00CE1CBC" w:rsidP="00D961C2">
            <w:pPr>
              <w:pStyle w:val="Table"/>
              <w:rPr>
                <w:b w:val="0"/>
              </w:rPr>
            </w:pPr>
            <w:r w:rsidRPr="00D961C2">
              <w:rPr>
                <w:b w:val="0"/>
              </w:rPr>
              <w:t>-</w:t>
            </w:r>
          </w:p>
        </w:tc>
        <w:tc>
          <w:tcPr>
            <w:tcW w:w="454" w:type="pct"/>
          </w:tcPr>
          <w:p w14:paraId="00618E13" w14:textId="77777777" w:rsidR="00CE1CBC" w:rsidRPr="00D961C2" w:rsidRDefault="00CE1CBC" w:rsidP="00D961C2">
            <w:pPr>
              <w:pStyle w:val="Table"/>
              <w:rPr>
                <w:b w:val="0"/>
              </w:rPr>
            </w:pPr>
            <w:r w:rsidRPr="00D961C2">
              <w:rPr>
                <w:b w:val="0"/>
              </w:rPr>
              <w:t>-</w:t>
            </w:r>
          </w:p>
        </w:tc>
        <w:tc>
          <w:tcPr>
            <w:tcW w:w="682" w:type="pct"/>
          </w:tcPr>
          <w:p w14:paraId="39941E68" w14:textId="77777777" w:rsidR="00CE1CBC" w:rsidRPr="00D961C2" w:rsidRDefault="00CE1CBC" w:rsidP="00D961C2">
            <w:pPr>
              <w:pStyle w:val="Table"/>
              <w:rPr>
                <w:b w:val="0"/>
              </w:rPr>
            </w:pPr>
            <w:r w:rsidRPr="00D961C2">
              <w:rPr>
                <w:b w:val="0"/>
              </w:rPr>
              <w:t>-</w:t>
            </w:r>
          </w:p>
        </w:tc>
        <w:tc>
          <w:tcPr>
            <w:tcW w:w="757" w:type="pct"/>
          </w:tcPr>
          <w:p w14:paraId="025F5BC5" w14:textId="77777777" w:rsidR="00CE1CBC" w:rsidRPr="00D961C2" w:rsidRDefault="00CE1CBC" w:rsidP="00D961C2">
            <w:pPr>
              <w:pStyle w:val="Table"/>
              <w:rPr>
                <w:b w:val="0"/>
              </w:rPr>
            </w:pPr>
            <w:r w:rsidRPr="00D961C2">
              <w:rPr>
                <w:b w:val="0"/>
              </w:rPr>
              <w:t>Very common</w:t>
            </w:r>
          </w:p>
        </w:tc>
        <w:tc>
          <w:tcPr>
            <w:tcW w:w="455" w:type="pct"/>
          </w:tcPr>
          <w:p w14:paraId="1F504A38" w14:textId="77777777" w:rsidR="00CE1CBC" w:rsidRPr="00D961C2" w:rsidRDefault="00CE1CBC" w:rsidP="00D961C2">
            <w:pPr>
              <w:pStyle w:val="Table"/>
              <w:rPr>
                <w:b w:val="0"/>
              </w:rPr>
            </w:pPr>
            <w:r w:rsidRPr="00D961C2">
              <w:rPr>
                <w:b w:val="0"/>
              </w:rPr>
              <w:t>38.4</w:t>
            </w:r>
          </w:p>
        </w:tc>
        <w:tc>
          <w:tcPr>
            <w:tcW w:w="681" w:type="pct"/>
            <w:tcBorders>
              <w:right w:val="nil"/>
            </w:tcBorders>
          </w:tcPr>
          <w:p w14:paraId="663BFBEB" w14:textId="77777777" w:rsidR="00CE1CBC" w:rsidRPr="00D961C2" w:rsidRDefault="00CE1CBC" w:rsidP="00D961C2">
            <w:pPr>
              <w:pStyle w:val="Table"/>
              <w:rPr>
                <w:b w:val="0"/>
              </w:rPr>
            </w:pPr>
            <w:r w:rsidRPr="00D961C2">
              <w:rPr>
                <w:b w:val="0"/>
              </w:rPr>
              <w:t>1.3 / 0</w:t>
            </w:r>
          </w:p>
        </w:tc>
      </w:tr>
      <w:tr w:rsidR="00CE1CBC" w:rsidRPr="00CE1CBC" w14:paraId="3BF0B83F" w14:textId="77777777" w:rsidTr="00D961C2">
        <w:trPr>
          <w:trHeight w:val="145"/>
        </w:trPr>
        <w:tc>
          <w:tcPr>
            <w:tcW w:w="5000" w:type="pct"/>
            <w:gridSpan w:val="7"/>
            <w:tcBorders>
              <w:left w:val="nil"/>
              <w:right w:val="nil"/>
            </w:tcBorders>
          </w:tcPr>
          <w:p w14:paraId="732FC9FD" w14:textId="77777777" w:rsidR="00CE1CBC" w:rsidRPr="00D961C2" w:rsidRDefault="00CE1CBC" w:rsidP="00D961C2">
            <w:pPr>
              <w:pStyle w:val="Table"/>
              <w:rPr>
                <w:b w:val="0"/>
              </w:rPr>
            </w:pPr>
            <w:r w:rsidRPr="00D961C2">
              <w:rPr>
                <w:b w:val="0"/>
                <w:vertAlign w:val="superscript"/>
              </w:rPr>
              <w:t>1</w:t>
            </w:r>
            <w:r w:rsidRPr="00D961C2">
              <w:rPr>
                <w:b w:val="0"/>
              </w:rPr>
              <w:tab/>
              <w:t>Frequency is based on new or worsened laboratory abnormalities compared to baseline.</w:t>
            </w:r>
          </w:p>
          <w:p w14:paraId="0B64EED1" w14:textId="7E41820B" w:rsidR="00CE1CBC" w:rsidRPr="00D961C2" w:rsidRDefault="00CE1CBC" w:rsidP="00D961C2">
            <w:pPr>
              <w:pStyle w:val="Table"/>
              <w:rPr>
                <w:b w:val="0"/>
              </w:rPr>
            </w:pPr>
            <w:r w:rsidRPr="00D961C2">
              <w:rPr>
                <w:b w:val="0"/>
                <w:vertAlign w:val="superscript"/>
              </w:rPr>
              <w:t>2</w:t>
            </w:r>
            <w:r w:rsidRPr="00D961C2">
              <w:rPr>
                <w:b w:val="0"/>
                <w:vertAlign w:val="superscript"/>
              </w:rPr>
              <w:tab/>
            </w:r>
            <w:r w:rsidRPr="00D961C2">
              <w:rPr>
                <w:b w:val="0"/>
              </w:rPr>
              <w:t xml:space="preserve">Pancytopenia is defined as </w:t>
            </w:r>
            <w:proofErr w:type="spellStart"/>
            <w:r w:rsidRPr="00D961C2">
              <w:rPr>
                <w:b w:val="0"/>
              </w:rPr>
              <w:t>h</w:t>
            </w:r>
            <w:r w:rsidR="009238D1">
              <w:rPr>
                <w:b w:val="0"/>
              </w:rPr>
              <w:t>a</w:t>
            </w:r>
            <w:r w:rsidRPr="00D961C2">
              <w:rPr>
                <w:b w:val="0"/>
              </w:rPr>
              <w:t>emoglobin</w:t>
            </w:r>
            <w:proofErr w:type="spellEnd"/>
            <w:r w:rsidRPr="00D961C2">
              <w:rPr>
                <w:b w:val="0"/>
              </w:rPr>
              <w:t xml:space="preserve"> level &lt;100 g/L, platelet count &lt;100 x 10</w:t>
            </w:r>
            <w:r w:rsidRPr="00D961C2">
              <w:rPr>
                <w:b w:val="0"/>
                <w:vertAlign w:val="superscript"/>
              </w:rPr>
              <w:t>9</w:t>
            </w:r>
            <w:r w:rsidRPr="00D961C2">
              <w:rPr>
                <w:b w:val="0"/>
              </w:rPr>
              <w:t>/L, and neutrophils count &lt;1.5 x 10</w:t>
            </w:r>
            <w:r w:rsidRPr="00D961C2">
              <w:rPr>
                <w:b w:val="0"/>
                <w:vertAlign w:val="superscript"/>
              </w:rPr>
              <w:t>9</w:t>
            </w:r>
            <w:r w:rsidRPr="00D961C2">
              <w:rPr>
                <w:b w:val="0"/>
              </w:rPr>
              <w:t>/L (or low WBC of grade 2 if neutrophil count is missing), simultaneously in the same laboratory assessment. No CTCAE grades defined.</w:t>
            </w:r>
          </w:p>
          <w:p w14:paraId="3A2A7DCD" w14:textId="77777777" w:rsidR="00CE1CBC" w:rsidRPr="00D961C2" w:rsidRDefault="00CE1CBC" w:rsidP="00D961C2">
            <w:pPr>
              <w:pStyle w:val="Table"/>
              <w:rPr>
                <w:b w:val="0"/>
              </w:rPr>
            </w:pPr>
            <w:r w:rsidRPr="00D961C2">
              <w:rPr>
                <w:b w:val="0"/>
                <w:vertAlign w:val="superscript"/>
              </w:rPr>
              <w:t>3</w:t>
            </w:r>
            <w:r w:rsidRPr="00D961C2">
              <w:rPr>
                <w:b w:val="0"/>
                <w:vertAlign w:val="superscript"/>
              </w:rPr>
              <w:tab/>
            </w:r>
            <w:r w:rsidRPr="00D961C2">
              <w:rPr>
                <w:b w:val="0"/>
              </w:rPr>
              <w:t>CTCAE Version 4.03.</w:t>
            </w:r>
          </w:p>
          <w:p w14:paraId="0B28EBF4" w14:textId="77777777" w:rsidR="00CE1CBC" w:rsidRPr="00D961C2" w:rsidRDefault="00CE1CBC" w:rsidP="00D961C2">
            <w:pPr>
              <w:pStyle w:val="Table"/>
              <w:rPr>
                <w:b w:val="0"/>
                <w:iCs/>
              </w:rPr>
            </w:pPr>
            <w:r w:rsidRPr="00D961C2">
              <w:rPr>
                <w:b w:val="0"/>
                <w:vertAlign w:val="superscript"/>
              </w:rPr>
              <w:t>4</w:t>
            </w:r>
            <w:r w:rsidRPr="00D961C2">
              <w:rPr>
                <w:b w:val="0"/>
                <w:vertAlign w:val="superscript"/>
              </w:rPr>
              <w:tab/>
            </w:r>
            <w:r w:rsidRPr="00D961C2">
              <w:rPr>
                <w:b w:val="0"/>
              </w:rPr>
              <w:t>Grade 4 sepsis includes 16 (8%) Grade 4 events and 20 (10%) Grade 5 events.</w:t>
            </w:r>
          </w:p>
        </w:tc>
      </w:tr>
    </w:tbl>
    <w:p w14:paraId="03C1FA83" w14:textId="77777777" w:rsidR="00CE1CBC" w:rsidRPr="00DE6BF0" w:rsidRDefault="00CE1CBC" w:rsidP="004202B3"/>
    <w:p w14:paraId="6277C8F8" w14:textId="77777777" w:rsidR="004202B3" w:rsidRDefault="004202B3" w:rsidP="004202B3">
      <w:pPr>
        <w:pStyle w:val="Heading3"/>
      </w:pPr>
      <w:r>
        <w:t>Post-marketing experience</w:t>
      </w:r>
    </w:p>
    <w:p w14:paraId="2865C5EF" w14:textId="77777777" w:rsidR="004202B3" w:rsidRDefault="004202B3" w:rsidP="004202B3">
      <w:r w:rsidRPr="00363E80">
        <w:t xml:space="preserve">Tuberculosis has been observed post-marketing with </w:t>
      </w:r>
      <w:proofErr w:type="spellStart"/>
      <w:r w:rsidRPr="00363E80">
        <w:t>Jakavi</w:t>
      </w:r>
      <w:proofErr w:type="spellEnd"/>
      <w:r w:rsidRPr="00363E80">
        <w:t xml:space="preserve"> in PV patients via spontaneous case reports and in the literature. </w:t>
      </w:r>
    </w:p>
    <w:p w14:paraId="6367349E" w14:textId="2E98B4D3" w:rsidR="004202B3" w:rsidRPr="00363E80" w:rsidRDefault="004202B3" w:rsidP="004202B3">
      <w:r>
        <w:t>Because cases were reported voluntarily from a population of uncertain size, it is not possible to reliably estimate the frequency, which is therefore characteri</w:t>
      </w:r>
      <w:r w:rsidR="00AB36A3">
        <w:t>s</w:t>
      </w:r>
      <w:r>
        <w:t>ed as ‘not known’.</w:t>
      </w:r>
    </w:p>
    <w:p w14:paraId="506AF90F" w14:textId="77777777" w:rsidR="004202B3" w:rsidRPr="00DE6BF0" w:rsidRDefault="004202B3" w:rsidP="004202B3">
      <w:pPr>
        <w:pStyle w:val="Heading3"/>
      </w:pPr>
      <w:r w:rsidRPr="00DE6BF0">
        <w:t>Description of selected adverse drug reactions</w:t>
      </w:r>
    </w:p>
    <w:p w14:paraId="32E1A105" w14:textId="77777777" w:rsidR="004202B3" w:rsidRPr="00DE6BF0" w:rsidRDefault="004202B3" w:rsidP="004202B3">
      <w:pPr>
        <w:pStyle w:val="Nottoc-headings"/>
      </w:pPr>
      <w:proofErr w:type="spellStart"/>
      <w:r w:rsidRPr="00DE6BF0">
        <w:t>An</w:t>
      </w:r>
      <w:r>
        <w:t>a</w:t>
      </w:r>
      <w:r w:rsidRPr="00DE6BF0">
        <w:t>emia</w:t>
      </w:r>
      <w:proofErr w:type="spellEnd"/>
    </w:p>
    <w:p w14:paraId="14EB1E3A" w14:textId="77777777" w:rsidR="004202B3" w:rsidRPr="00DE6BF0" w:rsidRDefault="004202B3" w:rsidP="004202B3">
      <w:r w:rsidRPr="00DE6BF0">
        <w:t xml:space="preserve">In phase 3 </w:t>
      </w:r>
      <w:r>
        <w:t xml:space="preserve">MF </w:t>
      </w:r>
      <w:r w:rsidRPr="00DE6BF0">
        <w:t xml:space="preserve">clinical studies, median time to onset of first CTCAE </w:t>
      </w:r>
      <w:r>
        <w:t>G</w:t>
      </w:r>
      <w:r w:rsidRPr="00DE6BF0">
        <w:t>rade 2 or higher an</w:t>
      </w:r>
      <w:r>
        <w:t>a</w:t>
      </w:r>
      <w:r w:rsidRPr="00DE6BF0">
        <w:t>emia was 1.5 months. One patient (0.3%) discontinued treatment because of an</w:t>
      </w:r>
      <w:r>
        <w:t>a</w:t>
      </w:r>
      <w:r w:rsidRPr="00DE6BF0">
        <w:t xml:space="preserve">emia. </w:t>
      </w:r>
    </w:p>
    <w:p w14:paraId="1AF34FA5" w14:textId="77777777" w:rsidR="004202B3" w:rsidRPr="00DE6BF0" w:rsidRDefault="004202B3" w:rsidP="004202B3">
      <w:r w:rsidRPr="00DE6BF0">
        <w:t xml:space="preserve">In patients receiving </w:t>
      </w:r>
      <w:proofErr w:type="spellStart"/>
      <w:r w:rsidRPr="00DE6BF0">
        <w:t>Jakavi</w:t>
      </w:r>
      <w:proofErr w:type="spellEnd"/>
      <w:r w:rsidRPr="00DE6BF0">
        <w:t xml:space="preserve"> mean decreases in h</w:t>
      </w:r>
      <w:r>
        <w:t>a</w:t>
      </w:r>
      <w:r w:rsidRPr="00DE6BF0">
        <w:t>emoglobin reached a nadir of approximately 15 to 20 g/L below baseline after 8 to 12 weeks of therapy and then gradually recovered to reach a new steady state that was approximately 10 g/L below baseline. This pattern was observed in patients regardless of whether they had received transfusion during therapy.</w:t>
      </w:r>
    </w:p>
    <w:p w14:paraId="034325BE" w14:textId="5118C2CD" w:rsidR="004202B3" w:rsidRDefault="004202B3" w:rsidP="004202B3">
      <w:r>
        <w:t>In the randomi</w:t>
      </w:r>
      <w:r w:rsidR="00AB36A3">
        <w:t>s</w:t>
      </w:r>
      <w:r>
        <w:t xml:space="preserve">ed, </w:t>
      </w:r>
      <w:proofErr w:type="gramStart"/>
      <w:r>
        <w:t>placebo controlled</w:t>
      </w:r>
      <w:proofErr w:type="gramEnd"/>
      <w:r>
        <w:t xml:space="preserve"> study (COMFORT-I), 59.4% of </w:t>
      </w:r>
      <w:proofErr w:type="spellStart"/>
      <w:r>
        <w:t>Jakavi</w:t>
      </w:r>
      <w:proofErr w:type="spellEnd"/>
      <w:r>
        <w:t xml:space="preserve"> treated patients and 37.1% of patients receiving placebo received red blood cell transfusions during randomi</w:t>
      </w:r>
      <w:r w:rsidR="00AB36A3">
        <w:t>s</w:t>
      </w:r>
      <w:r>
        <w:t xml:space="preserve">ed treatment. In the COMFORT-II study, the rate of packed red blood cell transfusions was 51.4% in the </w:t>
      </w:r>
      <w:proofErr w:type="spellStart"/>
      <w:r>
        <w:t>Jakavi</w:t>
      </w:r>
      <w:proofErr w:type="spellEnd"/>
      <w:r>
        <w:t xml:space="preserve"> arm and 38.4% in the best available therapy arm (BAT). Over the randomi</w:t>
      </w:r>
      <w:r w:rsidR="00AB36A3">
        <w:t>s</w:t>
      </w:r>
      <w:r>
        <w:t>ed period in the pivotal studies, an</w:t>
      </w:r>
      <w:r w:rsidR="000F1020">
        <w:t>a</w:t>
      </w:r>
      <w:r>
        <w:t>emia was less frequent in the PV patients (43.6%) versus 82.4% in MF patients. In the PV population, the CTCAE Grade 3 and 4 events were reported in 1.8%, while in the MF patients, the frequency was of 42.5%.</w:t>
      </w:r>
    </w:p>
    <w:p w14:paraId="70F42749" w14:textId="56997356" w:rsidR="00FC2ED8" w:rsidRPr="00DE6BF0" w:rsidRDefault="00FC2ED8" w:rsidP="004202B3">
      <w:r>
        <w:lastRenderedPageBreak/>
        <w:t>In the phase 3 acute and chronic GvHD studies, an</w:t>
      </w:r>
      <w:r w:rsidR="000F1020">
        <w:t>a</w:t>
      </w:r>
      <w:r>
        <w:t>emia CTCAE Grade 3 was reported in 47.7% and 14.8% of patients, respectively.</w:t>
      </w:r>
    </w:p>
    <w:p w14:paraId="420B915C" w14:textId="3226E36C" w:rsidR="004202B3" w:rsidRDefault="004202B3" w:rsidP="004202B3">
      <w:pPr>
        <w:pStyle w:val="Nottoc-headings"/>
      </w:pPr>
      <w:r w:rsidRPr="00DE6BF0">
        <w:t>Thrombocytopenia</w:t>
      </w:r>
    </w:p>
    <w:p w14:paraId="2EF17C46" w14:textId="5E8BD140" w:rsidR="004202B3" w:rsidRDefault="004202B3" w:rsidP="004202B3">
      <w:r>
        <w:t xml:space="preserve">In the </w:t>
      </w:r>
      <w:r w:rsidR="00FC2ED8">
        <w:t xml:space="preserve">phase </w:t>
      </w:r>
      <w:r>
        <w:t>3 MF clinical studies, in patients who developed Grade 3 or 4 thrombocytopenia, the median time to onset was approximately 8 weeks. Thrombocytopenia was generally reversible with dose reduction or dose interruption. The median time to recovery of platelet counts above 50X 10</w:t>
      </w:r>
      <w:r w:rsidRPr="6E9AFC58">
        <w:rPr>
          <w:vertAlign w:val="superscript"/>
        </w:rPr>
        <w:t>9</w:t>
      </w:r>
      <w:r>
        <w:t>/L was 14 days. During the randomi</w:t>
      </w:r>
      <w:r w:rsidR="00AB36A3">
        <w:t>s</w:t>
      </w:r>
      <w:r>
        <w:t xml:space="preserve">ed period, platelet transfusions were administered to 4.5% of patients receiving </w:t>
      </w:r>
      <w:proofErr w:type="spellStart"/>
      <w:r>
        <w:t>Jakavi</w:t>
      </w:r>
      <w:proofErr w:type="spellEnd"/>
      <w:r>
        <w:t xml:space="preserve"> and to 5.8% of patients receiving control regimens. Discontinuation of treatment because of thrombocytopenia occurred in 0.7% of patients receiving </w:t>
      </w:r>
      <w:proofErr w:type="spellStart"/>
      <w:r>
        <w:t>Jakavi</w:t>
      </w:r>
      <w:proofErr w:type="spellEnd"/>
      <w:r>
        <w:t xml:space="preserve"> and 0.9% of patients receiving control regimens. Patients with a platelet count of 100X 10</w:t>
      </w:r>
      <w:r w:rsidRPr="6E9AFC58">
        <w:rPr>
          <w:vertAlign w:val="superscript"/>
        </w:rPr>
        <w:t>9</w:t>
      </w:r>
      <w:r>
        <w:t>/L to 200X 10</w:t>
      </w:r>
      <w:r w:rsidRPr="6E9AFC58">
        <w:rPr>
          <w:vertAlign w:val="superscript"/>
        </w:rPr>
        <w:t>9</w:t>
      </w:r>
      <w:r>
        <w:t xml:space="preserve">/L before starting </w:t>
      </w:r>
      <w:proofErr w:type="spellStart"/>
      <w:r>
        <w:t>Jakavi</w:t>
      </w:r>
      <w:proofErr w:type="spellEnd"/>
      <w:r>
        <w:t xml:space="preserve"> had a higher frequency of Grade 3 or 4 thrombocytopenia compared to patients with platelet count &gt;200X 10</w:t>
      </w:r>
      <w:r w:rsidRPr="6E9AFC58">
        <w:rPr>
          <w:vertAlign w:val="superscript"/>
        </w:rPr>
        <w:t>9</w:t>
      </w:r>
      <w:r>
        <w:t>/L (64.2% versus 35.4%).</w:t>
      </w:r>
    </w:p>
    <w:p w14:paraId="01395AE2" w14:textId="05FB8630" w:rsidR="004202B3" w:rsidRDefault="004202B3" w:rsidP="004202B3">
      <w:r>
        <w:t>Over the randomi</w:t>
      </w:r>
      <w:r w:rsidR="00AB36A3">
        <w:t>s</w:t>
      </w:r>
      <w:r>
        <w:t>ed period in the pivotal studies, the rate of patients experiencing thrombocytopenia was lower in PV (24.5%) compared to MF (69.8%) patients. The frequency of severe (</w:t>
      </w:r>
      <w:proofErr w:type="gramStart"/>
      <w:r>
        <w:t>i.e.</w:t>
      </w:r>
      <w:proofErr w:type="gramEnd"/>
      <w:r>
        <w:t xml:space="preserve"> of CTCAE Grade 3 and 4) thrombocytopenia was lower in PV (5.5%) than in MF (11.6%) patients.</w:t>
      </w:r>
    </w:p>
    <w:p w14:paraId="27C7A11E" w14:textId="7847B6A4" w:rsidR="00FC2ED8" w:rsidRPr="00924C4E" w:rsidRDefault="00FC2ED8" w:rsidP="004202B3">
      <w:r>
        <w:t>In the phase 3 acute GvHD study, Grade 3 and 4 thrombocytopenia was observed in 31.3% and 47.7% of patients, respectively. In the phase 3 chronic GvHD study Grade 3 and 4 thrombocytopenia was lower (5.9% and 10.7%) than in acute GvHD.</w:t>
      </w:r>
    </w:p>
    <w:p w14:paraId="34A15A2A" w14:textId="4953A4E4" w:rsidR="004202B3" w:rsidRPr="00DE6BF0" w:rsidRDefault="004202B3" w:rsidP="004202B3">
      <w:pPr>
        <w:pStyle w:val="Nottoc-headings"/>
      </w:pPr>
      <w:r w:rsidRPr="00DE6BF0">
        <w:t>Neutropenia</w:t>
      </w:r>
    </w:p>
    <w:p w14:paraId="2D0CCD82" w14:textId="2DBBE54E" w:rsidR="004202B3" w:rsidRDefault="004202B3" w:rsidP="004202B3">
      <w:r>
        <w:t>In the MF phase 3 clinical studies, in patients who developed Grade 3 or 4 neutropenia, the median time of onset was 12 weeks. During the randomi</w:t>
      </w:r>
      <w:r w:rsidR="00AB36A3">
        <w:t>s</w:t>
      </w:r>
      <w:r>
        <w:t>ed period of the studies dose holding or reductions due to neutropenia were reported in 1.0% of patients and 0.3% of patients discontinued treatment because of neutropenia.</w:t>
      </w:r>
    </w:p>
    <w:p w14:paraId="5F34BC4E" w14:textId="2B1AE30E" w:rsidR="004202B3" w:rsidRPr="00924C4E" w:rsidRDefault="004202B3" w:rsidP="004202B3">
      <w:r>
        <w:t>Over the randomi</w:t>
      </w:r>
      <w:r w:rsidR="00AB36A3">
        <w:t>s</w:t>
      </w:r>
      <w:r>
        <w:t>ed period in the pivotal study, in PV patients, neutropenia was observed in 2 patients (1.8%) of which one patient developed CTCAE Grade 4 neutropenia.</w:t>
      </w:r>
    </w:p>
    <w:p w14:paraId="6A605661" w14:textId="638B8A7B" w:rsidR="00FC2ED8" w:rsidRDefault="00FC2ED8" w:rsidP="00FC2ED8">
      <w:r>
        <w:t>In the phase 3 acute GvHD study, Grade 3 and 4 neutropenia was observed in 17.9% and 20.6% of patients</w:t>
      </w:r>
      <w:r w:rsidRPr="001A726D">
        <w:t>, respectively. In the phase 3 chronic GvHD study, Grade</w:t>
      </w:r>
      <w:r>
        <w:t xml:space="preserve"> 3 and 4 neutropenia was lower (9.5% and 6.7%) than in acute GvHD.</w:t>
      </w:r>
    </w:p>
    <w:p w14:paraId="0528F280" w14:textId="30C95338" w:rsidR="004202B3" w:rsidRPr="00DE6BF0" w:rsidRDefault="00FC2ED8" w:rsidP="004202B3">
      <w:pPr>
        <w:pStyle w:val="Nottoc-headings"/>
      </w:pPr>
      <w:r>
        <w:t>I</w:t>
      </w:r>
      <w:r w:rsidR="004202B3" w:rsidRPr="00DE6BF0">
        <w:t>nfections</w:t>
      </w:r>
    </w:p>
    <w:p w14:paraId="0EEBDD23" w14:textId="2D0F8098" w:rsidR="004202B3" w:rsidRPr="00924C4E" w:rsidRDefault="004202B3" w:rsidP="004202B3">
      <w:r>
        <w:t xml:space="preserve">In phase 3 MF clinical studies Grade 3 or 4 urinary tract infection was reported for 1.0% of patients. Urosepsis was reported in 1.0% of patients and kidney infection in 1 patient. Over the </w:t>
      </w:r>
      <w:r>
        <w:lastRenderedPageBreak/>
        <w:t>randomi</w:t>
      </w:r>
      <w:r w:rsidR="00833FD2">
        <w:t>s</w:t>
      </w:r>
      <w:r>
        <w:t>ed period in the pivotal study, one (0.9%) Grade 3-4 urinary tract infections was observed in PV patients.</w:t>
      </w:r>
    </w:p>
    <w:p w14:paraId="5911FF20" w14:textId="75BD54BA" w:rsidR="004202B3" w:rsidRDefault="004202B3" w:rsidP="004202B3">
      <w:r w:rsidRPr="00924C4E">
        <w:t xml:space="preserve">The rate of herpes zoster was slightly higher in PV (6.4%) patients than in MF patients (4.0%). There was one report of </w:t>
      </w:r>
      <w:r>
        <w:t>G</w:t>
      </w:r>
      <w:r w:rsidRPr="00924C4E">
        <w:t>rade 3 and 4 post herpetic neuralgia amongst the PV patients</w:t>
      </w:r>
      <w:r>
        <w:t>.</w:t>
      </w:r>
    </w:p>
    <w:p w14:paraId="18879257" w14:textId="6DF5E8D6" w:rsidR="00FC2ED8" w:rsidRPr="00E66AAC" w:rsidRDefault="00FC2ED8" w:rsidP="00FC2ED8">
      <w:r>
        <w:t xml:space="preserve">In the phase 3 acute GvHD study, Grade 3 and 4 CMV infections were reported in 10.9% and 0.5% of patients, respectively. CMV infection with organ involvement was seen in very few patients; CMV colitis, CMV enteritis and CMV gastrointestinal infection of any Grade were reported in four, two and one patients, </w:t>
      </w:r>
      <w:r w:rsidRPr="00E66AAC">
        <w:t>respectively.</w:t>
      </w:r>
    </w:p>
    <w:p w14:paraId="2405D339" w14:textId="2B1B4311" w:rsidR="00FC2ED8" w:rsidRDefault="00FC2ED8" w:rsidP="00FC2ED8">
      <w:r w:rsidRPr="00E66AAC">
        <w:t xml:space="preserve">Sepsis </w:t>
      </w:r>
      <w:r>
        <w:t xml:space="preserve">events including septic shock </w:t>
      </w:r>
      <w:r w:rsidRPr="00E66AAC">
        <w:t>of any Grade w</w:t>
      </w:r>
      <w:r>
        <w:t>ere</w:t>
      </w:r>
      <w:r w:rsidRPr="00E66AAC">
        <w:t xml:space="preserve"> reported in 25.4% of patients.</w:t>
      </w:r>
    </w:p>
    <w:p w14:paraId="0E84ED5A" w14:textId="3F6CC125" w:rsidR="00FC2ED8" w:rsidRDefault="00FC2ED8" w:rsidP="00FC2ED8">
      <w:r>
        <w:t xml:space="preserve">In the phase 3 chronic GvHD study, Grade 3 urinary tract infections and BK virus infections were reported in 1.3% </w:t>
      </w:r>
      <w:r w:rsidRPr="001A726D">
        <w:t>and 0.4% of patients, respectively</w:t>
      </w:r>
      <w:r>
        <w:t>.</w:t>
      </w:r>
    </w:p>
    <w:p w14:paraId="3FEE472D" w14:textId="77777777" w:rsidR="004202B3" w:rsidRPr="00692833" w:rsidRDefault="004202B3" w:rsidP="004202B3">
      <w:pPr>
        <w:pStyle w:val="Nottoc-headings"/>
      </w:pPr>
      <w:r w:rsidRPr="00692833">
        <w:t>Increased systolic blood pressure</w:t>
      </w:r>
    </w:p>
    <w:p w14:paraId="332D704D" w14:textId="77777777" w:rsidR="004202B3" w:rsidRDefault="004202B3" w:rsidP="004202B3">
      <w:r w:rsidRPr="00692833">
        <w:t>In the phase 3 pivotal clinical studies an increase in systolic blood pressure of 20 mmHg or more from baseline was recorded in 31.5% of patients on at least one visit compared with 19.5% of the control</w:t>
      </w:r>
      <w:r w:rsidRPr="00692833">
        <w:noBreakHyphen/>
        <w:t>treated patients. In COMFORT</w:t>
      </w:r>
      <w:r w:rsidRPr="00692833">
        <w:noBreakHyphen/>
        <w:t>I the mean increase from baseline in systolic BP was 0</w:t>
      </w:r>
      <w:r w:rsidRPr="00692833">
        <w:noBreakHyphen/>
        <w:t xml:space="preserve">2 mmHg on </w:t>
      </w:r>
      <w:proofErr w:type="spellStart"/>
      <w:r w:rsidRPr="00692833">
        <w:t>Jakavi</w:t>
      </w:r>
      <w:proofErr w:type="spellEnd"/>
      <w:r w:rsidRPr="00692833">
        <w:t xml:space="preserve"> versus a decrease of 2</w:t>
      </w:r>
      <w:r w:rsidRPr="00692833">
        <w:noBreakHyphen/>
        <w:t>5 mmHg in the placebo arm. In COMFORT</w:t>
      </w:r>
      <w:r w:rsidRPr="00692833">
        <w:noBreakHyphen/>
        <w:t xml:space="preserve">II mean values showed little difference between the </w:t>
      </w:r>
      <w:proofErr w:type="spellStart"/>
      <w:r w:rsidRPr="00692833">
        <w:t>ruxolitinib</w:t>
      </w:r>
      <w:proofErr w:type="spellEnd"/>
      <w:r w:rsidRPr="00692833">
        <w:noBreakHyphen/>
        <w:t>treated and the control</w:t>
      </w:r>
      <w:r w:rsidRPr="00692833">
        <w:noBreakHyphen/>
        <w:t>treated patients.</w:t>
      </w:r>
    </w:p>
    <w:p w14:paraId="59A4406D" w14:textId="07FD8618" w:rsidR="004202B3" w:rsidRPr="00421FB1" w:rsidRDefault="004202B3" w:rsidP="004202B3">
      <w:r w:rsidRPr="00421FB1">
        <w:t>In the randomised period of the pivotal study in PV patients, the mean systolic blood pressure</w:t>
      </w:r>
      <w:r>
        <w:t xml:space="preserve"> </w:t>
      </w:r>
      <w:r w:rsidRPr="00421FB1">
        <w:t xml:space="preserve">increased by 0.65 mmHg in the </w:t>
      </w:r>
      <w:proofErr w:type="spellStart"/>
      <w:r w:rsidRPr="00421FB1">
        <w:t>Jakavi</w:t>
      </w:r>
      <w:proofErr w:type="spellEnd"/>
      <w:r w:rsidRPr="00421FB1">
        <w:t xml:space="preserve"> arm versus a decrease of 2 mmHg in the BAT arm.</w:t>
      </w:r>
    </w:p>
    <w:p w14:paraId="7A970FC2" w14:textId="77777777" w:rsidR="002B424E" w:rsidRPr="002B424E" w:rsidRDefault="002B424E" w:rsidP="002B424E">
      <w:pPr>
        <w:pStyle w:val="Heading3"/>
      </w:pPr>
      <w:r>
        <w:t>Reporting suspected adverse effects</w:t>
      </w:r>
    </w:p>
    <w:p w14:paraId="104474E6" w14:textId="00A1F378" w:rsidR="00497C85" w:rsidRPr="00497C85" w:rsidRDefault="00497C85" w:rsidP="00497C85">
      <w:pPr>
        <w:rPr>
          <w:rFonts w:asciiTheme="majorHAnsi" w:hAnsiTheme="majorHAnsi" w:cstheme="minorHAnsi"/>
        </w:rPr>
      </w:pPr>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Pr="004202B3">
        <w:rPr>
          <w:rFonts w:asciiTheme="majorHAnsi" w:hAnsiTheme="majorHAnsi" w:cstheme="minorHAnsi"/>
          <w:lang w:val="en"/>
        </w:rPr>
        <w:t>www.tga.gov.au/reporting-problems</w:t>
      </w:r>
      <w:r w:rsidRPr="00497C85">
        <w:rPr>
          <w:rFonts w:asciiTheme="majorHAnsi" w:hAnsiTheme="majorHAnsi" w:cstheme="minorHAnsi"/>
          <w:lang w:val="en"/>
        </w:rPr>
        <w:t>.</w:t>
      </w:r>
    </w:p>
    <w:p w14:paraId="2D4552EE" w14:textId="77777777" w:rsidR="001A3992" w:rsidRPr="00497C85" w:rsidRDefault="001A3992" w:rsidP="001A3992">
      <w:pPr>
        <w:pStyle w:val="Heading2"/>
        <w:keepNext/>
        <w:keepLines/>
        <w:spacing w:before="0" w:after="120"/>
        <w:rPr>
          <w:rFonts w:cstheme="minorHAnsi"/>
        </w:rPr>
      </w:pPr>
      <w:r w:rsidRPr="00497C85">
        <w:rPr>
          <w:rFonts w:cstheme="minorHAnsi"/>
        </w:rPr>
        <w:t>Overdose</w:t>
      </w:r>
    </w:p>
    <w:p w14:paraId="5A69128B" w14:textId="7B4C7A2E" w:rsidR="00162289" w:rsidRPr="00DE6BF0" w:rsidRDefault="00162289" w:rsidP="00162289">
      <w:r w:rsidRPr="00DE6BF0">
        <w:t xml:space="preserve">There is no known antidote for overdoses with </w:t>
      </w:r>
      <w:proofErr w:type="spellStart"/>
      <w:r w:rsidRPr="00DE6BF0">
        <w:t>Jakavi</w:t>
      </w:r>
      <w:proofErr w:type="spellEnd"/>
      <w:r w:rsidRPr="00DE6BF0">
        <w:t xml:space="preserve">. Single doses up to 200 mg have been given with acceptable acute tolerability. Higher than recommended repeat doses are associated with increased myelosuppression including leucopoenia, </w:t>
      </w:r>
      <w:proofErr w:type="gramStart"/>
      <w:r w:rsidRPr="00DE6BF0">
        <w:t>an</w:t>
      </w:r>
      <w:r>
        <w:t>a</w:t>
      </w:r>
      <w:r w:rsidRPr="00DE6BF0">
        <w:t>emia</w:t>
      </w:r>
      <w:proofErr w:type="gramEnd"/>
      <w:r w:rsidRPr="00DE6BF0">
        <w:t xml:space="preserve"> and thrombocytopenia. Appropriate supportive treatment should be given.</w:t>
      </w:r>
    </w:p>
    <w:p w14:paraId="0BF947B3" w14:textId="365D1258" w:rsidR="00162289" w:rsidRPr="00DE6BF0" w:rsidRDefault="00162289" w:rsidP="00162289">
      <w:r>
        <w:t>H</w:t>
      </w:r>
      <w:r w:rsidR="00833FD2">
        <w:t>a</w:t>
      </w:r>
      <w:r>
        <w:t xml:space="preserve">emodialysis is not expected to enhance the elimination of </w:t>
      </w:r>
      <w:proofErr w:type="spellStart"/>
      <w:r>
        <w:t>ruxolitinib</w:t>
      </w:r>
      <w:proofErr w:type="spellEnd"/>
      <w:r>
        <w:t>.</w:t>
      </w:r>
    </w:p>
    <w:p w14:paraId="578B30DA" w14:textId="77777777" w:rsidR="00497C85" w:rsidRPr="00497C85" w:rsidRDefault="00497C85" w:rsidP="00497C85">
      <w:pPr>
        <w:rPr>
          <w:rFonts w:asciiTheme="majorHAnsi" w:hAnsiTheme="majorHAnsi" w:cstheme="minorHAnsi"/>
        </w:rPr>
      </w:pPr>
      <w:r w:rsidRPr="00497C85">
        <w:rPr>
          <w:rFonts w:asciiTheme="majorHAnsi" w:hAnsiTheme="majorHAnsi" w:cstheme="minorHAnsi"/>
          <w:lang w:val="en"/>
        </w:rPr>
        <w:lastRenderedPageBreak/>
        <w:t>For information on the management of overdose, contact the Poisons Information Centre on 13 11 26 (Australia).</w:t>
      </w:r>
    </w:p>
    <w:p w14:paraId="11DE0479" w14:textId="77777777" w:rsidR="001A3992" w:rsidRPr="00497C85" w:rsidRDefault="001A3992" w:rsidP="001A3992">
      <w:pPr>
        <w:pStyle w:val="Heading1"/>
        <w:spacing w:before="0" w:after="120"/>
        <w:rPr>
          <w:rFonts w:cstheme="minorHAnsi"/>
          <w:lang w:val="en-US"/>
        </w:rPr>
      </w:pPr>
      <w:r w:rsidRPr="00497C85">
        <w:rPr>
          <w:rFonts w:cstheme="minorHAnsi"/>
          <w:lang w:val="en-US"/>
        </w:rPr>
        <w:t>Pharmacological properties</w:t>
      </w:r>
    </w:p>
    <w:p w14:paraId="0D5E514E"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Pharmacodynamic properties </w:t>
      </w:r>
    </w:p>
    <w:p w14:paraId="7661CB6A" w14:textId="1914B8C3" w:rsidR="001A3992" w:rsidRDefault="001A3992" w:rsidP="001A3992">
      <w:pPr>
        <w:pStyle w:val="Heading3"/>
        <w:spacing w:before="0" w:after="120"/>
        <w:rPr>
          <w:rFonts w:cstheme="minorHAnsi"/>
        </w:rPr>
      </w:pPr>
      <w:r w:rsidRPr="00497C85">
        <w:rPr>
          <w:rFonts w:cstheme="minorHAnsi"/>
        </w:rPr>
        <w:t>Mechanism of action</w:t>
      </w:r>
    </w:p>
    <w:p w14:paraId="3A3414EC" w14:textId="530EE4FD" w:rsidR="00162289" w:rsidRPr="00DE6BF0" w:rsidRDefault="00162289" w:rsidP="00162289">
      <w:proofErr w:type="spellStart"/>
      <w:r>
        <w:t>Ruxolitinib</w:t>
      </w:r>
      <w:proofErr w:type="spellEnd"/>
      <w:r>
        <w:t xml:space="preserve"> is an inhibitor of the Janus Associated Kinases (JAKs) JAK1 and JAK2 with nanomolar potency. JAKs mediate the </w:t>
      </w:r>
      <w:r w:rsidR="00833FD2">
        <w:t>signalling</w:t>
      </w:r>
      <w:r>
        <w:t xml:space="preserve"> of </w:t>
      </w:r>
      <w:proofErr w:type="gramStart"/>
      <w:r>
        <w:t>a number of</w:t>
      </w:r>
      <w:proofErr w:type="gramEnd"/>
      <w:r>
        <w:t xml:space="preserve"> cytokines and growth factors that are important for haematopoiesis and immune function. JAK signalling involves recruitment of STATs (signal transducers and activators of transcription) to cytokine receptors, activation, and subsequent locali</w:t>
      </w:r>
      <w:r w:rsidR="00833FD2">
        <w:t>s</w:t>
      </w:r>
      <w:r>
        <w:t>ation of STATs to the nucleus leading to modulation of gene expression. Dysregulation of the JAKSTAT pathway has been associated with several cancers and increased proliferation and survival of malignant cells.</w:t>
      </w:r>
    </w:p>
    <w:p w14:paraId="7B1385E9" w14:textId="6C82E293" w:rsidR="00162289" w:rsidRDefault="00162289" w:rsidP="00162289">
      <w:r w:rsidRPr="00DE6BF0">
        <w:t xml:space="preserve">Myelofibrosis (MF) </w:t>
      </w:r>
      <w:r>
        <w:t xml:space="preserve">and </w:t>
      </w:r>
      <w:proofErr w:type="spellStart"/>
      <w:r>
        <w:t>Polycythemia</w:t>
      </w:r>
      <w:proofErr w:type="spellEnd"/>
      <w:r>
        <w:t xml:space="preserve"> vera (PV) are</w:t>
      </w:r>
      <w:r w:rsidRPr="00DE6BF0">
        <w:t xml:space="preserve"> myeloproliferative neoplasm</w:t>
      </w:r>
      <w:r>
        <w:t>s</w:t>
      </w:r>
      <w:r w:rsidRPr="00DE6BF0">
        <w:t xml:space="preserve"> (MPN) known to be associated with dysregulated JAK1 and JAK2 signa</w:t>
      </w:r>
      <w:r>
        <w:t>l</w:t>
      </w:r>
      <w:r w:rsidRPr="00DE6BF0">
        <w:t>ling. The basis for the dysregulation is believed to include high levels of circulating cytokines that activate the JAK-STAT pathway, gain</w:t>
      </w:r>
      <w:r>
        <w:t xml:space="preserve"> </w:t>
      </w:r>
      <w:r w:rsidRPr="00DE6BF0">
        <w:t>of function mutations such as JAK2V617F, and silencing of negative regulatory mechanisms. MF patients exhibit dysregulated JAK signa</w:t>
      </w:r>
      <w:r>
        <w:t>l</w:t>
      </w:r>
      <w:r w:rsidRPr="00DE6BF0">
        <w:t>ling regardless of JAK2V617F mutation status.</w:t>
      </w:r>
      <w:r>
        <w:t xml:space="preserve"> </w:t>
      </w:r>
      <w:r w:rsidRPr="002E6E2D">
        <w:t>Activating mutations in JAK2 (V617F or exon 12) are found in &gt;95% of PV patients.</w:t>
      </w:r>
    </w:p>
    <w:p w14:paraId="2F2C6D58" w14:textId="08871BAF" w:rsidR="00162289" w:rsidRDefault="00162289" w:rsidP="00162289">
      <w:proofErr w:type="spellStart"/>
      <w:r w:rsidRPr="00DE6BF0">
        <w:t>Ruxolitinib</w:t>
      </w:r>
      <w:proofErr w:type="spellEnd"/>
      <w:r w:rsidRPr="00DE6BF0">
        <w:t xml:space="preserve"> inhibits JAK-STAT signa</w:t>
      </w:r>
      <w:r>
        <w:t>l</w:t>
      </w:r>
      <w:r w:rsidRPr="00DE6BF0">
        <w:t>ling and cell proliferation of cytokine-dependent cellular models of h</w:t>
      </w:r>
      <w:r>
        <w:t>a</w:t>
      </w:r>
      <w:r w:rsidRPr="00DE6BF0">
        <w:t>ematological malignancies</w:t>
      </w:r>
      <w:r>
        <w:t>.</w:t>
      </w:r>
      <w:r w:rsidRPr="00DE6BF0">
        <w:t xml:space="preserve"> In a</w:t>
      </w:r>
      <w:r>
        <w:t>n acute</w:t>
      </w:r>
      <w:r w:rsidRPr="00DE6BF0">
        <w:t xml:space="preserve"> mouse model of JAK2V617F-positive MPN, oral administration of </w:t>
      </w:r>
      <w:proofErr w:type="spellStart"/>
      <w:r w:rsidRPr="00DE6BF0">
        <w:t>ruxolitinib</w:t>
      </w:r>
      <w:proofErr w:type="spellEnd"/>
      <w:r w:rsidRPr="00DE6BF0">
        <w:t xml:space="preserve"> prevented splenomegaly, decreased circula</w:t>
      </w:r>
      <w:r>
        <w:t>ting inflammatory cytokines (e.g.:</w:t>
      </w:r>
      <w:r w:rsidRPr="00DE6BF0">
        <w:t xml:space="preserve"> TNF-</w:t>
      </w:r>
      <w:r>
        <w:t>alpha</w:t>
      </w:r>
      <w:r w:rsidRPr="00DE6BF0">
        <w:t>, IL-6) and resulted in significantly prolonged survival</w:t>
      </w:r>
      <w:r>
        <w:t>.</w:t>
      </w:r>
    </w:p>
    <w:p w14:paraId="423DC651" w14:textId="376495EA" w:rsidR="00577FC8" w:rsidRPr="00DE6BF0" w:rsidRDefault="00577FC8" w:rsidP="00162289">
      <w:r w:rsidRPr="00CF565A">
        <w:t xml:space="preserve">JAK-STAT </w:t>
      </w:r>
      <w:r w:rsidR="00833FD2" w:rsidRPr="00CF565A">
        <w:t>signalling</w:t>
      </w:r>
      <w:r w:rsidRPr="00CF565A">
        <w:t xml:space="preserve"> pathways play a role in regulating the development, proliferation, and activation of several immune cell types important for GvHD pathogenesis. In a mouse model of acute GvHD, oral administration of </w:t>
      </w:r>
      <w:proofErr w:type="spellStart"/>
      <w:r w:rsidRPr="00CF565A">
        <w:t>ruxolitinib</w:t>
      </w:r>
      <w:proofErr w:type="spellEnd"/>
      <w:r w:rsidRPr="00CF565A">
        <w:t xml:space="preserve"> was associated with decreased expression of inflammatory cytokines in colon homogenates and reduced immune-cell infiltration in the colon.</w:t>
      </w:r>
    </w:p>
    <w:p w14:paraId="38BB7175" w14:textId="77777777" w:rsidR="00162289" w:rsidRPr="00DE6BF0" w:rsidRDefault="00162289" w:rsidP="00162289">
      <w:pPr>
        <w:pStyle w:val="Heading3"/>
      </w:pPr>
      <w:r w:rsidRPr="00DE6BF0">
        <w:t>Pharmacodynamics</w:t>
      </w:r>
    </w:p>
    <w:p w14:paraId="09FC58DE" w14:textId="77777777" w:rsidR="00162289" w:rsidRPr="00DE6BF0" w:rsidRDefault="00162289" w:rsidP="00162289">
      <w:proofErr w:type="spellStart"/>
      <w:r w:rsidRPr="00DE6BF0">
        <w:t>Ruxolitinib</w:t>
      </w:r>
      <w:proofErr w:type="spellEnd"/>
      <w:r w:rsidRPr="00DE6BF0">
        <w:t xml:space="preserve"> inhibits cytokine induced STAT3 phosphorylation in whole blood from healthy subjects and MF </w:t>
      </w:r>
      <w:r>
        <w:t xml:space="preserve">and PV </w:t>
      </w:r>
      <w:r w:rsidRPr="00DE6BF0">
        <w:t xml:space="preserve">patients. </w:t>
      </w:r>
      <w:proofErr w:type="spellStart"/>
      <w:r w:rsidRPr="00DE6BF0">
        <w:t>Ruxolitinib</w:t>
      </w:r>
      <w:proofErr w:type="spellEnd"/>
      <w:r w:rsidRPr="00DE6BF0">
        <w:t xml:space="preserve"> resulted in maximal inhibition of STAT3 phosphorylation 2 hours after dosing which returned to near baseline by 8 hours in both healthy subjects and myelofibrosis patients, indicating no accumulation of either parent or active metabolites.</w:t>
      </w:r>
    </w:p>
    <w:p w14:paraId="30E9FB71" w14:textId="743B0DBF" w:rsidR="00162289" w:rsidRPr="00311235" w:rsidRDefault="00162289" w:rsidP="00162289">
      <w:r w:rsidRPr="00DE6BF0">
        <w:lastRenderedPageBreak/>
        <w:t xml:space="preserve">Baseline elevations in inflammatory markers associated with constitutional symptoms such as </w:t>
      </w:r>
      <w:proofErr w:type="spellStart"/>
      <w:r w:rsidRPr="00DE6BF0">
        <w:t>TNFalpha</w:t>
      </w:r>
      <w:proofErr w:type="spellEnd"/>
      <w:r w:rsidRPr="00DE6BF0">
        <w:t xml:space="preserve">, IL-6, and CRP in subjects with MF were decreased following treatment with </w:t>
      </w:r>
      <w:proofErr w:type="spellStart"/>
      <w:r w:rsidRPr="00DE6BF0">
        <w:t>ruxolitinib</w:t>
      </w:r>
      <w:proofErr w:type="spellEnd"/>
      <w:r w:rsidRPr="00DE6BF0">
        <w:t xml:space="preserve">. Patients with myelofibrosis did not become refractory to the pharmacodynamic effects of </w:t>
      </w:r>
      <w:proofErr w:type="spellStart"/>
      <w:r w:rsidRPr="00DE6BF0">
        <w:t>ruxolitinib</w:t>
      </w:r>
      <w:proofErr w:type="spellEnd"/>
      <w:r w:rsidRPr="00DE6BF0">
        <w:t xml:space="preserve"> treatment over time. </w:t>
      </w:r>
      <w:r w:rsidRPr="00311235">
        <w:t xml:space="preserve">Similarly, patients with </w:t>
      </w:r>
      <w:proofErr w:type="spellStart"/>
      <w:r w:rsidRPr="00311235">
        <w:t>polycythemia</w:t>
      </w:r>
      <w:proofErr w:type="spellEnd"/>
      <w:r w:rsidRPr="00311235">
        <w:t xml:space="preserve"> vera also presented with baseline elevations in inflammatory markers and these markers were decreased following treatment with </w:t>
      </w:r>
      <w:proofErr w:type="spellStart"/>
      <w:r w:rsidRPr="00311235">
        <w:t>ruxolitinib</w:t>
      </w:r>
      <w:proofErr w:type="spellEnd"/>
      <w:r w:rsidRPr="00311235">
        <w:t xml:space="preserve">. </w:t>
      </w:r>
    </w:p>
    <w:p w14:paraId="1B5FD9C5" w14:textId="42D82B37" w:rsidR="00162289" w:rsidRPr="00DE6BF0" w:rsidRDefault="00162289" w:rsidP="00162289">
      <w:r w:rsidRPr="00DE6BF0">
        <w:t xml:space="preserve">In a thorough QT study in healthy subjects, there was no indication of a QT/QTc prolonging effect of </w:t>
      </w:r>
      <w:proofErr w:type="spellStart"/>
      <w:r w:rsidRPr="00DE6BF0">
        <w:t>ruxolitinib</w:t>
      </w:r>
      <w:proofErr w:type="spellEnd"/>
      <w:r w:rsidRPr="00DE6BF0">
        <w:t xml:space="preserve"> in single doses up to a supratherapeutic dose of 200 mg indicating that </w:t>
      </w:r>
      <w:proofErr w:type="spellStart"/>
      <w:r w:rsidRPr="00DE6BF0">
        <w:t>ruxolitinib</w:t>
      </w:r>
      <w:proofErr w:type="spellEnd"/>
      <w:r w:rsidRPr="00DE6BF0">
        <w:t xml:space="preserve"> has no effect on cardiac repolari</w:t>
      </w:r>
      <w:r w:rsidR="00833FD2">
        <w:t>s</w:t>
      </w:r>
      <w:r w:rsidRPr="00DE6BF0">
        <w:t>ation.</w:t>
      </w:r>
    </w:p>
    <w:p w14:paraId="20C5968C" w14:textId="7BDAF52F" w:rsidR="001A3992" w:rsidRDefault="001A3992" w:rsidP="001A3992">
      <w:pPr>
        <w:pStyle w:val="Heading3"/>
        <w:spacing w:before="0" w:after="120"/>
        <w:rPr>
          <w:rFonts w:cstheme="minorHAnsi"/>
          <w:lang w:val="en-US"/>
        </w:rPr>
      </w:pPr>
      <w:r w:rsidRPr="00497C85">
        <w:rPr>
          <w:rFonts w:cstheme="minorHAnsi"/>
        </w:rPr>
        <w:t>Clinical</w:t>
      </w:r>
      <w:r w:rsidRPr="00497C85">
        <w:rPr>
          <w:rFonts w:cstheme="minorHAnsi"/>
          <w:lang w:val="en-US"/>
        </w:rPr>
        <w:t xml:space="preserve"> trials</w:t>
      </w:r>
    </w:p>
    <w:p w14:paraId="7DEC2C91" w14:textId="77777777" w:rsidR="00162289" w:rsidRPr="00311235" w:rsidRDefault="00162289" w:rsidP="00162289">
      <w:pPr>
        <w:pStyle w:val="Heading3"/>
      </w:pPr>
      <w:r w:rsidRPr="00311235">
        <w:t>Myelofibrosis</w:t>
      </w:r>
    </w:p>
    <w:p w14:paraId="58F88679" w14:textId="669AAA69" w:rsidR="00162289" w:rsidRPr="00DE6BF0" w:rsidRDefault="00162289" w:rsidP="00162289">
      <w:r>
        <w:t>Two randomi</w:t>
      </w:r>
      <w:r w:rsidR="00833FD2">
        <w:t>s</w:t>
      </w:r>
      <w:r>
        <w:t>ed Phase 3 studies (COMFORT-I and COMFORT-II) were conducted in patients with Myelofibrosis (Primary Myelofibrosis, Post-</w:t>
      </w:r>
      <w:proofErr w:type="spellStart"/>
      <w:r>
        <w:t>Polycythemia</w:t>
      </w:r>
      <w:proofErr w:type="spellEnd"/>
      <w:r>
        <w:t xml:space="preserve"> Vera Myelofibrosis or Post-Essential Thrombocythemia-Myelofibrosis) In both studies, patients had palpable splenomegaly at least 5 cm below the costal margin and risk category of intermediate 2 (2 prognostic factors) or high risk (3 or more prognostic factors) based on the International Working Group Consensus Criteria (IWG). The prognostic factors that comprise the IWG criteria consist of age &gt;65 years, presence of constitutional symptoms (weight loss, fever, night sweats) anaemia (haemoglobin &lt;100 g/L), </w:t>
      </w:r>
      <w:proofErr w:type="spellStart"/>
      <w:r>
        <w:t>leukocytosis</w:t>
      </w:r>
      <w:proofErr w:type="spellEnd"/>
      <w:r>
        <w:t xml:space="preserve"> (history of WBC &gt;25 X 10</w:t>
      </w:r>
      <w:r w:rsidRPr="6E9AFC58">
        <w:rPr>
          <w:vertAlign w:val="superscript"/>
        </w:rPr>
        <w:t>9</w:t>
      </w:r>
      <w:r>
        <w:t xml:space="preserve">/L) and circulating blasts ≥1%. The starting dose of </w:t>
      </w:r>
      <w:proofErr w:type="spellStart"/>
      <w:r>
        <w:t>Jakavi</w:t>
      </w:r>
      <w:proofErr w:type="spellEnd"/>
      <w:r>
        <w:t xml:space="preserve"> was based on platelet count. A baseline platelet count &gt; 100 x 10</w:t>
      </w:r>
      <w:r w:rsidRPr="6E9AFC58">
        <w:rPr>
          <w:vertAlign w:val="superscript"/>
        </w:rPr>
        <w:t>9</w:t>
      </w:r>
      <w:r>
        <w:t>/L was required for trial entry. Patients with a platelet count between 100 and 200X 10</w:t>
      </w:r>
      <w:r w:rsidRPr="6E9AFC58">
        <w:rPr>
          <w:vertAlign w:val="superscript"/>
        </w:rPr>
        <w:t>9</w:t>
      </w:r>
      <w:r>
        <w:t xml:space="preserve">/L were started on </w:t>
      </w:r>
      <w:proofErr w:type="spellStart"/>
      <w:r>
        <w:t>Jakavi</w:t>
      </w:r>
      <w:proofErr w:type="spellEnd"/>
      <w:r>
        <w:t xml:space="preserve"> 15 mg twice daily and patients with a platelet count &gt;200X 10</w:t>
      </w:r>
      <w:r w:rsidRPr="6E9AFC58">
        <w:rPr>
          <w:vertAlign w:val="superscript"/>
        </w:rPr>
        <w:t>9</w:t>
      </w:r>
      <w:r>
        <w:t xml:space="preserve">/L were started on </w:t>
      </w:r>
      <w:proofErr w:type="spellStart"/>
      <w:r>
        <w:t>Jakavi</w:t>
      </w:r>
      <w:proofErr w:type="spellEnd"/>
      <w:r>
        <w:t xml:space="preserve"> 20 mg twice daily. Doses were then individuali</w:t>
      </w:r>
      <w:r w:rsidR="00833FD2">
        <w:t>s</w:t>
      </w:r>
      <w:r>
        <w:t>ed based upon tolerability and efficacy with maximum doses of 20 mg twice daily for patients with platelet counts between 100 to ≤125X 10</w:t>
      </w:r>
      <w:r w:rsidRPr="6E9AFC58">
        <w:rPr>
          <w:vertAlign w:val="superscript"/>
        </w:rPr>
        <w:t>9</w:t>
      </w:r>
      <w:r>
        <w:t>/L, of 10 mg twice daily for patients with platelet counts between 75 to ≤100X 10</w:t>
      </w:r>
      <w:r w:rsidRPr="6E9AFC58">
        <w:rPr>
          <w:vertAlign w:val="superscript"/>
        </w:rPr>
        <w:t>9</w:t>
      </w:r>
      <w:r>
        <w:t>/L, and of 5 mg twice daily for patients with platelet counts between 50 to ≤75X 10</w:t>
      </w:r>
      <w:r w:rsidRPr="6E9AFC58">
        <w:rPr>
          <w:vertAlign w:val="superscript"/>
        </w:rPr>
        <w:t>9</w:t>
      </w:r>
      <w:r>
        <w:t>/L.</w:t>
      </w:r>
    </w:p>
    <w:p w14:paraId="514BA659" w14:textId="1926EB0A" w:rsidR="00162289" w:rsidRPr="00DE6BF0" w:rsidRDefault="00162289" w:rsidP="00162289">
      <w:r>
        <w:t>COMFORT-I was a double-blind, randomi</w:t>
      </w:r>
      <w:r w:rsidR="00833FD2">
        <w:t>s</w:t>
      </w:r>
      <w:r>
        <w:t xml:space="preserve">ed, placebo-controlled study in 309 patients who were refractory to or were not candidates for available therapy. Patients were dosed with </w:t>
      </w:r>
      <w:proofErr w:type="spellStart"/>
      <w:r>
        <w:t>Jakavi</w:t>
      </w:r>
      <w:proofErr w:type="spellEnd"/>
      <w:r>
        <w:t xml:space="preserve"> or matching placebo. The primary efficacy endpoint was proportion of subjects achieving ≥35% reduction from baseline in spleen volume at Week 24 as measured by MRI or CT.</w:t>
      </w:r>
    </w:p>
    <w:p w14:paraId="5E398EBB" w14:textId="77777777" w:rsidR="00162289" w:rsidRPr="00DE6BF0" w:rsidRDefault="00162289" w:rsidP="00162289">
      <w:r w:rsidRPr="00DE6BF0">
        <w:t>Secondary endpoints included duration of maintenance of a ≥35% reduction from baseline in spleen volume, proportion of patients who had ≥50% reduction in total symptom score from baseline to Week 24 as measured by the modified Myelofibrosis Symptom Assessment Form (MFSAF) v2.0 diary, change in total symptom score from baseline to Week 24 as measured by the modified MFSAF v2.0 diary and overall survival.</w:t>
      </w:r>
    </w:p>
    <w:p w14:paraId="08056B06" w14:textId="4F36CFF1" w:rsidR="00162289" w:rsidRPr="00DE6BF0" w:rsidRDefault="00162289" w:rsidP="00162289">
      <w:r>
        <w:lastRenderedPageBreak/>
        <w:t>COMFORT-II was an open-label, randomi</w:t>
      </w:r>
      <w:r w:rsidR="00833FD2">
        <w:t>s</w:t>
      </w:r>
      <w:r>
        <w:t>ed study in 219 patients. Patients were randomi</w:t>
      </w:r>
      <w:r w:rsidR="00833FD2">
        <w:t>s</w:t>
      </w:r>
      <w:r>
        <w:t xml:space="preserve">ed 2:1 to </w:t>
      </w:r>
      <w:proofErr w:type="spellStart"/>
      <w:r>
        <w:t>Jakavi</w:t>
      </w:r>
      <w:proofErr w:type="spellEnd"/>
      <w:r>
        <w:t xml:space="preserve"> versus best available therapy. Best available therapy (BAT) was selected by the investigator on a patient-by-patient basis. In the best available therapy arm, 47% of patients received hydroxyurea and 16% of patients received glucocorticoids. The primary efficacy endpoint was proportion of patients achieving ≥35% reduction from baseline in spleen volume at Week 48 as measured by MRI or CT.</w:t>
      </w:r>
    </w:p>
    <w:p w14:paraId="52E77129" w14:textId="77777777" w:rsidR="00162289" w:rsidRPr="00DE6BF0" w:rsidRDefault="00162289" w:rsidP="00162289">
      <w:r w:rsidRPr="00DE6BF0">
        <w:t>A secondary endpoint in COMFORT-II was the proportion of patients achieving a ≥35% reduction of spleen volume measured by MRI or CT from baseline to Week 24. Duration of maintenance of a ≥35% reduction from baseline in responding patients was also a secondary endpoint.</w:t>
      </w:r>
    </w:p>
    <w:p w14:paraId="13ED23A4" w14:textId="2D31EAB6" w:rsidR="00162289" w:rsidRDefault="00162289" w:rsidP="00162289">
      <w:r w:rsidRPr="00DE6BF0">
        <w:t>In COMFORT-I, patient baseline demographics and disease characteristics were comparable between the treatment arms. The median age was 68 years with 61% of patients older than 65 years and 54% male. Fifty percent (50%) of patients had primary myelofibrosis, 31% had post-</w:t>
      </w:r>
      <w:proofErr w:type="spellStart"/>
      <w:r w:rsidRPr="00DE6BF0">
        <w:t>polycythemia</w:t>
      </w:r>
      <w:proofErr w:type="spellEnd"/>
      <w:r w:rsidRPr="00DE6BF0">
        <w:t xml:space="preserve"> myelofibrosis and 18% had post-essential thrombocythemia myelofibrosis. Twenty-one (21%) of patients had red blood transfusions within 8 weeks of enrolment in the study. The median platelet count was 251</w:t>
      </w:r>
      <w:r>
        <w:t>X 10</w:t>
      </w:r>
      <w:r w:rsidRPr="0054289A">
        <w:rPr>
          <w:vertAlign w:val="superscript"/>
        </w:rPr>
        <w:t>9</w:t>
      </w:r>
      <w:r>
        <w:t>/L</w:t>
      </w:r>
      <w:r w:rsidRPr="00DE6BF0">
        <w:t xml:space="preserve">. Seventy-six percent of patients had the mutation encoding the V617F substitution present in the JAK protein. Patients had a median palpable spleen length of 16 cm. At baseline 37.4% of the patients in the </w:t>
      </w:r>
      <w:proofErr w:type="spellStart"/>
      <w:r w:rsidRPr="00DE6BF0">
        <w:t>Jakavi</w:t>
      </w:r>
      <w:proofErr w:type="spellEnd"/>
      <w:r w:rsidRPr="00DE6BF0">
        <w:t xml:space="preserve"> arm had </w:t>
      </w:r>
      <w:r>
        <w:t>G</w:t>
      </w:r>
      <w:r w:rsidRPr="00DE6BF0">
        <w:t xml:space="preserve">rade 1 anaemia, 31.6% </w:t>
      </w:r>
      <w:r>
        <w:t>G</w:t>
      </w:r>
      <w:r w:rsidRPr="00DE6BF0">
        <w:t xml:space="preserve">rade 2 and 4.5% </w:t>
      </w:r>
      <w:r>
        <w:t>G</w:t>
      </w:r>
      <w:r w:rsidRPr="00DE6BF0">
        <w:t xml:space="preserve">rade 3, while in the placebo arm 35.8% had </w:t>
      </w:r>
      <w:r>
        <w:t>G</w:t>
      </w:r>
      <w:r w:rsidRPr="00DE6BF0">
        <w:t xml:space="preserve">rade 1, 35.1% </w:t>
      </w:r>
      <w:r>
        <w:t>G</w:t>
      </w:r>
      <w:r w:rsidRPr="00DE6BF0">
        <w:t xml:space="preserve">rade 2, 4.6% </w:t>
      </w:r>
      <w:r>
        <w:t>G</w:t>
      </w:r>
      <w:r w:rsidRPr="00DE6BF0">
        <w:t xml:space="preserve">rade 3, and 0.7% </w:t>
      </w:r>
      <w:r>
        <w:t>G</w:t>
      </w:r>
      <w:r w:rsidRPr="00DE6BF0">
        <w:t xml:space="preserve">rade 4. Grade 1 thrombocytopenia was found in 12.9 % of patients in the </w:t>
      </w:r>
      <w:proofErr w:type="spellStart"/>
      <w:r w:rsidRPr="00DE6BF0">
        <w:t>Jakavi</w:t>
      </w:r>
      <w:proofErr w:type="spellEnd"/>
      <w:r w:rsidRPr="00DE6BF0">
        <w:t xml:space="preserve"> arm and 13.2% in the placebo arm.</w:t>
      </w:r>
    </w:p>
    <w:p w14:paraId="061AD2AA" w14:textId="6F0606FB" w:rsidR="00162289" w:rsidRPr="00DE6BF0" w:rsidRDefault="00162289" w:rsidP="00162289">
      <w:r w:rsidRPr="00DE6BF0">
        <w:t>In COMFORT-II, patient baseline demographics and disease characteristics were comparable between the treatment arms. The median age was 66 years with 52% of patients older than 65 years and 57% male. Fifty-three percent (53%) of the subjects had primary myelofibrosis, 31% had post-</w:t>
      </w:r>
      <w:proofErr w:type="spellStart"/>
      <w:r w:rsidRPr="00DE6BF0">
        <w:t>polycythemia</w:t>
      </w:r>
      <w:proofErr w:type="spellEnd"/>
      <w:r w:rsidRPr="00DE6BF0">
        <w:t xml:space="preserve"> vera myelofibrosis, and 16% had post-essential thrombocythemia myelofibrosis. 19% of patients were considered transfusion dependent at baseline. Patients had a median palpable spleen length of 15 cm.</w:t>
      </w:r>
    </w:p>
    <w:p w14:paraId="4E107D87" w14:textId="3E9A485D" w:rsidR="00162289" w:rsidRDefault="00162289" w:rsidP="00162289">
      <w:r>
        <w:t xml:space="preserve">At baseline 34.2% of the patients in the </w:t>
      </w:r>
      <w:proofErr w:type="spellStart"/>
      <w:r>
        <w:t>Jakavi</w:t>
      </w:r>
      <w:proofErr w:type="spellEnd"/>
      <w:r>
        <w:t xml:space="preserve"> arm had Grade 1 anaemia, 28.8% Grade 2, and 7.5% Grade 3, while in the BAT arm 37% had Grade 1, 27.4% Grade 2, 13.7% Grade 3, and 1.4% Grade 4. Thrombocytopenia of Grade 1 was found in 8.2% of patients in the </w:t>
      </w:r>
      <w:proofErr w:type="spellStart"/>
      <w:r>
        <w:t>Jakavi</w:t>
      </w:r>
      <w:proofErr w:type="spellEnd"/>
      <w:r>
        <w:t xml:space="preserve"> arm, and 9.6% in the BAT arm. </w:t>
      </w:r>
    </w:p>
    <w:p w14:paraId="69AC7F9A" w14:textId="7B685BAD" w:rsidR="00162289" w:rsidRPr="00DE6BF0" w:rsidRDefault="00162289" w:rsidP="00162289">
      <w:r w:rsidRPr="00DE6BF0">
        <w:t xml:space="preserve">Efficacy analyses of the primary endpoint in COMFORT-I and COMFORT-II are presented in Table </w:t>
      </w:r>
      <w:r w:rsidR="000603E1">
        <w:t>7</w:t>
      </w:r>
      <w:r w:rsidRPr="00DE6BF0">
        <w:t xml:space="preserve"> below. A significantly larger proportion of patients in the </w:t>
      </w:r>
      <w:proofErr w:type="spellStart"/>
      <w:r w:rsidRPr="00DE6BF0">
        <w:t>Jakavi</w:t>
      </w:r>
      <w:proofErr w:type="spellEnd"/>
      <w:r w:rsidRPr="00DE6BF0">
        <w:t xml:space="preserve"> group achieved a ≥35% reduction in spleen volume from baseline in both studies compared to placebo in COMFORT-I and best available therapy in COMFORT-II.</w:t>
      </w:r>
    </w:p>
    <w:p w14:paraId="7833CB8C" w14:textId="7AFEDB0F" w:rsidR="00162289" w:rsidRDefault="00162289" w:rsidP="00162289">
      <w:pPr>
        <w:pStyle w:val="Nottoc-headings"/>
        <w:rPr>
          <w:bCs/>
          <w:color w:val="000000"/>
          <w:sz w:val="22"/>
          <w:szCs w:val="22"/>
          <w:lang w:val="en-AU"/>
        </w:rPr>
      </w:pPr>
      <w:r>
        <w:lastRenderedPageBreak/>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F06539">
        <w:rPr>
          <w:noProof/>
        </w:rPr>
        <w:t>7</w:t>
      </w:r>
      <w:r>
        <w:rPr>
          <w:color w:val="2B579A"/>
          <w:shd w:val="clear" w:color="auto" w:fill="E6E6E6"/>
        </w:rPr>
        <w:fldChar w:fldCharType="end"/>
      </w:r>
      <w:r>
        <w:t xml:space="preserve">: </w:t>
      </w:r>
      <w:r w:rsidRPr="00DE6BF0">
        <w:t xml:space="preserve"> Percent of Patients with ≥35% Reduction from Baseline in Spleen Volume at Week 24 in COMFORT-I and at Week 48 in COMFORT-II (ITT)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432"/>
        <w:gridCol w:w="1528"/>
        <w:gridCol w:w="1448"/>
        <w:gridCol w:w="1807"/>
      </w:tblGrid>
      <w:tr w:rsidR="00162289" w:rsidRPr="00162289" w14:paraId="1FDD9D5F" w14:textId="77777777" w:rsidTr="00E65453">
        <w:tc>
          <w:tcPr>
            <w:tcW w:w="2904" w:type="dxa"/>
            <w:tcBorders>
              <w:top w:val="single" w:sz="4" w:space="0" w:color="auto"/>
              <w:left w:val="single" w:sz="4" w:space="0" w:color="auto"/>
              <w:bottom w:val="single" w:sz="4" w:space="0" w:color="auto"/>
              <w:right w:val="single" w:sz="4" w:space="0" w:color="auto"/>
            </w:tcBorders>
          </w:tcPr>
          <w:p w14:paraId="7614BE1B" w14:textId="77777777" w:rsidR="00162289" w:rsidRPr="00162289" w:rsidRDefault="00162289" w:rsidP="00162289">
            <w:pPr>
              <w:spacing w:after="0" w:line="240" w:lineRule="auto"/>
              <w:jc w:val="left"/>
              <w:rPr>
                <w:bCs/>
                <w:color w:val="000000"/>
                <w:szCs w:val="24"/>
              </w:rPr>
            </w:pPr>
          </w:p>
        </w:tc>
        <w:tc>
          <w:tcPr>
            <w:tcW w:w="1457" w:type="dxa"/>
            <w:tcBorders>
              <w:top w:val="single" w:sz="4" w:space="0" w:color="auto"/>
              <w:left w:val="single" w:sz="4" w:space="0" w:color="auto"/>
              <w:bottom w:val="single" w:sz="4" w:space="0" w:color="auto"/>
              <w:right w:val="single" w:sz="4" w:space="0" w:color="auto"/>
            </w:tcBorders>
            <w:hideMark/>
          </w:tcPr>
          <w:p w14:paraId="3E45A97A" w14:textId="09438811" w:rsidR="00162289" w:rsidRPr="00162289" w:rsidRDefault="00162289" w:rsidP="00162289">
            <w:pPr>
              <w:spacing w:after="0"/>
              <w:jc w:val="center"/>
              <w:rPr>
                <w:bCs/>
                <w:color w:val="000000"/>
                <w:szCs w:val="24"/>
              </w:rPr>
            </w:pPr>
            <w:proofErr w:type="spellStart"/>
            <w:r w:rsidRPr="00162289">
              <w:rPr>
                <w:szCs w:val="24"/>
              </w:rPr>
              <w:t>Jakavi</w:t>
            </w:r>
            <w:proofErr w:type="spellEnd"/>
            <w:r>
              <w:rPr>
                <w:szCs w:val="24"/>
              </w:rPr>
              <w:t xml:space="preserve"> </w:t>
            </w:r>
            <w:r w:rsidRPr="00162289">
              <w:rPr>
                <w:szCs w:val="24"/>
              </w:rPr>
              <w:t>(N=155)</w:t>
            </w:r>
          </w:p>
        </w:tc>
        <w:tc>
          <w:tcPr>
            <w:tcW w:w="1559" w:type="dxa"/>
            <w:tcBorders>
              <w:top w:val="single" w:sz="4" w:space="0" w:color="auto"/>
              <w:left w:val="single" w:sz="4" w:space="0" w:color="auto"/>
              <w:bottom w:val="single" w:sz="4" w:space="0" w:color="auto"/>
              <w:right w:val="single" w:sz="4" w:space="0" w:color="auto"/>
            </w:tcBorders>
            <w:hideMark/>
          </w:tcPr>
          <w:p w14:paraId="118392A0" w14:textId="77777777" w:rsidR="00162289" w:rsidRPr="00162289" w:rsidRDefault="00162289" w:rsidP="00162289">
            <w:pPr>
              <w:spacing w:after="0"/>
              <w:jc w:val="center"/>
              <w:rPr>
                <w:szCs w:val="24"/>
              </w:rPr>
            </w:pPr>
            <w:r w:rsidRPr="00162289">
              <w:rPr>
                <w:szCs w:val="24"/>
              </w:rPr>
              <w:t>Placebo (N=153)</w:t>
            </w:r>
          </w:p>
        </w:tc>
        <w:tc>
          <w:tcPr>
            <w:tcW w:w="1474" w:type="dxa"/>
            <w:tcBorders>
              <w:top w:val="single" w:sz="4" w:space="0" w:color="auto"/>
              <w:left w:val="single" w:sz="4" w:space="0" w:color="auto"/>
              <w:bottom w:val="single" w:sz="4" w:space="0" w:color="auto"/>
              <w:right w:val="single" w:sz="4" w:space="0" w:color="auto"/>
            </w:tcBorders>
            <w:hideMark/>
          </w:tcPr>
          <w:p w14:paraId="3D8F3A56" w14:textId="2E15BDC7" w:rsidR="00162289" w:rsidRPr="00162289" w:rsidRDefault="00162289" w:rsidP="00162289">
            <w:pPr>
              <w:spacing w:after="0"/>
              <w:jc w:val="center"/>
              <w:rPr>
                <w:bCs/>
                <w:color w:val="000000"/>
                <w:szCs w:val="24"/>
              </w:rPr>
            </w:pPr>
            <w:proofErr w:type="spellStart"/>
            <w:r w:rsidRPr="00162289">
              <w:rPr>
                <w:szCs w:val="24"/>
              </w:rPr>
              <w:t>Jakavi</w:t>
            </w:r>
            <w:proofErr w:type="spellEnd"/>
            <w:r>
              <w:rPr>
                <w:szCs w:val="24"/>
              </w:rPr>
              <w:t xml:space="preserve"> </w:t>
            </w:r>
            <w:r w:rsidRPr="00162289">
              <w:rPr>
                <w:szCs w:val="24"/>
              </w:rPr>
              <w:t>(N=144)</w:t>
            </w:r>
          </w:p>
        </w:tc>
        <w:tc>
          <w:tcPr>
            <w:tcW w:w="1849" w:type="dxa"/>
            <w:tcBorders>
              <w:top w:val="single" w:sz="4" w:space="0" w:color="auto"/>
              <w:left w:val="single" w:sz="4" w:space="0" w:color="auto"/>
              <w:bottom w:val="single" w:sz="4" w:space="0" w:color="auto"/>
              <w:right w:val="single" w:sz="4" w:space="0" w:color="auto"/>
            </w:tcBorders>
            <w:hideMark/>
          </w:tcPr>
          <w:p w14:paraId="3ABDD693" w14:textId="77777777" w:rsidR="00162289" w:rsidRPr="00162289" w:rsidRDefault="00162289" w:rsidP="00162289">
            <w:pPr>
              <w:spacing w:after="0"/>
              <w:jc w:val="center"/>
              <w:rPr>
                <w:szCs w:val="24"/>
              </w:rPr>
            </w:pPr>
            <w:r w:rsidRPr="00162289">
              <w:rPr>
                <w:szCs w:val="24"/>
              </w:rPr>
              <w:t>Best Available Therapy (N=72)</w:t>
            </w:r>
          </w:p>
        </w:tc>
      </w:tr>
      <w:tr w:rsidR="00162289" w:rsidRPr="00162289" w14:paraId="00603A18" w14:textId="77777777" w:rsidTr="00E65453">
        <w:tc>
          <w:tcPr>
            <w:tcW w:w="2904" w:type="dxa"/>
            <w:tcBorders>
              <w:top w:val="single" w:sz="4" w:space="0" w:color="auto"/>
              <w:left w:val="single" w:sz="4" w:space="0" w:color="auto"/>
              <w:bottom w:val="single" w:sz="4" w:space="0" w:color="auto"/>
              <w:right w:val="single" w:sz="4" w:space="0" w:color="auto"/>
            </w:tcBorders>
            <w:hideMark/>
          </w:tcPr>
          <w:p w14:paraId="13EB026E" w14:textId="77777777" w:rsidR="00162289" w:rsidRPr="00162289" w:rsidRDefault="00162289" w:rsidP="00162289">
            <w:pPr>
              <w:spacing w:after="0" w:line="240" w:lineRule="auto"/>
              <w:jc w:val="left"/>
              <w:rPr>
                <w:bCs/>
                <w:color w:val="000000"/>
                <w:szCs w:val="24"/>
              </w:rPr>
            </w:pPr>
            <w:r w:rsidRPr="00162289">
              <w:rPr>
                <w:szCs w:val="24"/>
              </w:rPr>
              <w:t>Time Points</w:t>
            </w:r>
          </w:p>
        </w:tc>
        <w:tc>
          <w:tcPr>
            <w:tcW w:w="3016" w:type="dxa"/>
            <w:gridSpan w:val="2"/>
            <w:tcBorders>
              <w:top w:val="single" w:sz="4" w:space="0" w:color="auto"/>
              <w:left w:val="single" w:sz="4" w:space="0" w:color="auto"/>
              <w:bottom w:val="single" w:sz="4" w:space="0" w:color="auto"/>
              <w:right w:val="single" w:sz="4" w:space="0" w:color="auto"/>
            </w:tcBorders>
            <w:hideMark/>
          </w:tcPr>
          <w:p w14:paraId="39C9034A" w14:textId="77777777" w:rsidR="00162289" w:rsidRPr="00162289" w:rsidRDefault="00162289" w:rsidP="00162289">
            <w:pPr>
              <w:spacing w:after="0" w:line="240" w:lineRule="auto"/>
              <w:jc w:val="center"/>
              <w:rPr>
                <w:bCs/>
                <w:color w:val="000000"/>
                <w:szCs w:val="24"/>
              </w:rPr>
            </w:pPr>
            <w:r w:rsidRPr="00162289">
              <w:rPr>
                <w:szCs w:val="24"/>
              </w:rPr>
              <w:t>Week 24</w:t>
            </w:r>
          </w:p>
        </w:tc>
        <w:tc>
          <w:tcPr>
            <w:tcW w:w="3323" w:type="dxa"/>
            <w:gridSpan w:val="2"/>
            <w:tcBorders>
              <w:top w:val="single" w:sz="4" w:space="0" w:color="auto"/>
              <w:left w:val="single" w:sz="4" w:space="0" w:color="auto"/>
              <w:bottom w:val="single" w:sz="4" w:space="0" w:color="auto"/>
              <w:right w:val="single" w:sz="4" w:space="0" w:color="auto"/>
            </w:tcBorders>
            <w:hideMark/>
          </w:tcPr>
          <w:p w14:paraId="6F8FF2BD" w14:textId="77777777" w:rsidR="00162289" w:rsidRPr="00162289" w:rsidRDefault="00162289" w:rsidP="00162289">
            <w:pPr>
              <w:spacing w:after="0" w:line="240" w:lineRule="auto"/>
              <w:jc w:val="center"/>
              <w:rPr>
                <w:szCs w:val="24"/>
              </w:rPr>
            </w:pPr>
            <w:r w:rsidRPr="00162289">
              <w:rPr>
                <w:szCs w:val="24"/>
              </w:rPr>
              <w:t>Week 48</w:t>
            </w:r>
          </w:p>
        </w:tc>
      </w:tr>
      <w:tr w:rsidR="00162289" w:rsidRPr="00162289" w14:paraId="5929D017" w14:textId="77777777" w:rsidTr="00E65453">
        <w:tc>
          <w:tcPr>
            <w:tcW w:w="2904" w:type="dxa"/>
            <w:tcBorders>
              <w:top w:val="single" w:sz="4" w:space="0" w:color="auto"/>
              <w:left w:val="single" w:sz="4" w:space="0" w:color="auto"/>
              <w:bottom w:val="single" w:sz="4" w:space="0" w:color="auto"/>
              <w:right w:val="single" w:sz="4" w:space="0" w:color="auto"/>
            </w:tcBorders>
            <w:hideMark/>
          </w:tcPr>
          <w:p w14:paraId="06A160E5" w14:textId="77777777" w:rsidR="00162289" w:rsidRPr="00162289" w:rsidRDefault="00162289" w:rsidP="00162289">
            <w:pPr>
              <w:spacing w:after="0" w:line="240" w:lineRule="auto"/>
              <w:jc w:val="left"/>
              <w:rPr>
                <w:bCs/>
                <w:color w:val="000000"/>
                <w:szCs w:val="24"/>
              </w:rPr>
            </w:pPr>
            <w:r w:rsidRPr="00162289">
              <w:rPr>
                <w:szCs w:val="24"/>
              </w:rPr>
              <w:t>Number (%) of Subjects with Spleen Volume Reduced by ≥35%</w:t>
            </w:r>
          </w:p>
        </w:tc>
        <w:tc>
          <w:tcPr>
            <w:tcW w:w="1457" w:type="dxa"/>
            <w:tcBorders>
              <w:top w:val="single" w:sz="4" w:space="0" w:color="auto"/>
              <w:left w:val="single" w:sz="4" w:space="0" w:color="auto"/>
              <w:bottom w:val="single" w:sz="4" w:space="0" w:color="auto"/>
              <w:right w:val="single" w:sz="4" w:space="0" w:color="auto"/>
            </w:tcBorders>
            <w:hideMark/>
          </w:tcPr>
          <w:p w14:paraId="780EF12E" w14:textId="77777777" w:rsidR="00162289" w:rsidRPr="00162289" w:rsidRDefault="00162289" w:rsidP="00162289">
            <w:pPr>
              <w:spacing w:after="0" w:line="240" w:lineRule="auto"/>
              <w:jc w:val="center"/>
              <w:rPr>
                <w:bCs/>
                <w:color w:val="000000"/>
                <w:szCs w:val="24"/>
              </w:rPr>
            </w:pPr>
            <w:r w:rsidRPr="00162289">
              <w:rPr>
                <w:szCs w:val="24"/>
              </w:rPr>
              <w:t>65 (41.9)</w:t>
            </w:r>
          </w:p>
        </w:tc>
        <w:tc>
          <w:tcPr>
            <w:tcW w:w="1559" w:type="dxa"/>
            <w:tcBorders>
              <w:top w:val="single" w:sz="4" w:space="0" w:color="auto"/>
              <w:left w:val="single" w:sz="4" w:space="0" w:color="auto"/>
              <w:bottom w:val="single" w:sz="4" w:space="0" w:color="auto"/>
              <w:right w:val="single" w:sz="4" w:space="0" w:color="auto"/>
            </w:tcBorders>
            <w:hideMark/>
          </w:tcPr>
          <w:p w14:paraId="70475E91" w14:textId="77777777" w:rsidR="00162289" w:rsidRPr="00162289" w:rsidRDefault="00162289" w:rsidP="00162289">
            <w:pPr>
              <w:spacing w:after="0" w:line="240" w:lineRule="auto"/>
              <w:jc w:val="center"/>
              <w:rPr>
                <w:bCs/>
                <w:color w:val="000000"/>
                <w:szCs w:val="24"/>
              </w:rPr>
            </w:pPr>
            <w:r w:rsidRPr="00162289">
              <w:rPr>
                <w:szCs w:val="24"/>
              </w:rPr>
              <w:t>1 (0.7)</w:t>
            </w:r>
          </w:p>
        </w:tc>
        <w:tc>
          <w:tcPr>
            <w:tcW w:w="1474" w:type="dxa"/>
            <w:tcBorders>
              <w:top w:val="single" w:sz="4" w:space="0" w:color="auto"/>
              <w:left w:val="single" w:sz="4" w:space="0" w:color="auto"/>
              <w:bottom w:val="single" w:sz="4" w:space="0" w:color="auto"/>
              <w:right w:val="single" w:sz="4" w:space="0" w:color="auto"/>
            </w:tcBorders>
            <w:hideMark/>
          </w:tcPr>
          <w:p w14:paraId="7D03C719" w14:textId="77777777" w:rsidR="00162289" w:rsidRPr="00162289" w:rsidRDefault="00162289" w:rsidP="00162289">
            <w:pPr>
              <w:spacing w:after="0" w:line="240" w:lineRule="auto"/>
              <w:jc w:val="center"/>
              <w:rPr>
                <w:bCs/>
                <w:color w:val="000000"/>
                <w:szCs w:val="24"/>
              </w:rPr>
            </w:pPr>
            <w:r w:rsidRPr="00162289">
              <w:rPr>
                <w:szCs w:val="24"/>
              </w:rPr>
              <w:t>41 (28.5)</w:t>
            </w:r>
          </w:p>
        </w:tc>
        <w:tc>
          <w:tcPr>
            <w:tcW w:w="1849" w:type="dxa"/>
            <w:tcBorders>
              <w:top w:val="single" w:sz="4" w:space="0" w:color="auto"/>
              <w:left w:val="single" w:sz="4" w:space="0" w:color="auto"/>
              <w:bottom w:val="single" w:sz="4" w:space="0" w:color="auto"/>
              <w:right w:val="single" w:sz="4" w:space="0" w:color="auto"/>
            </w:tcBorders>
            <w:hideMark/>
          </w:tcPr>
          <w:p w14:paraId="14FA15FA" w14:textId="77777777" w:rsidR="00162289" w:rsidRPr="00162289" w:rsidRDefault="00162289" w:rsidP="00162289">
            <w:pPr>
              <w:spacing w:after="0"/>
              <w:jc w:val="center"/>
              <w:rPr>
                <w:szCs w:val="24"/>
              </w:rPr>
            </w:pPr>
            <w:r w:rsidRPr="00162289">
              <w:rPr>
                <w:szCs w:val="24"/>
              </w:rPr>
              <w:t>0</w:t>
            </w:r>
          </w:p>
        </w:tc>
      </w:tr>
      <w:tr w:rsidR="00162289" w:rsidRPr="00162289" w14:paraId="13F4B35D" w14:textId="77777777" w:rsidTr="00E65453">
        <w:tc>
          <w:tcPr>
            <w:tcW w:w="2904" w:type="dxa"/>
            <w:tcBorders>
              <w:top w:val="single" w:sz="4" w:space="0" w:color="auto"/>
              <w:left w:val="single" w:sz="4" w:space="0" w:color="auto"/>
              <w:bottom w:val="single" w:sz="4" w:space="0" w:color="auto"/>
              <w:right w:val="single" w:sz="4" w:space="0" w:color="auto"/>
            </w:tcBorders>
            <w:hideMark/>
          </w:tcPr>
          <w:p w14:paraId="3420EC01" w14:textId="77777777" w:rsidR="00162289" w:rsidRPr="00162289" w:rsidRDefault="00162289" w:rsidP="00162289">
            <w:pPr>
              <w:spacing w:after="0"/>
              <w:jc w:val="left"/>
              <w:rPr>
                <w:szCs w:val="24"/>
              </w:rPr>
            </w:pPr>
            <w:r w:rsidRPr="00162289">
              <w:rPr>
                <w:szCs w:val="24"/>
              </w:rPr>
              <w:t xml:space="preserve">% difference between treatments (95% </w:t>
            </w:r>
            <w:proofErr w:type="spellStart"/>
            <w:r w:rsidRPr="00162289">
              <w:rPr>
                <w:szCs w:val="24"/>
              </w:rPr>
              <w:t>CI</w:t>
            </w:r>
            <w:r w:rsidRPr="00162289">
              <w:rPr>
                <w:szCs w:val="24"/>
                <w:vertAlign w:val="superscript"/>
              </w:rPr>
              <w:t>a</w:t>
            </w:r>
            <w:proofErr w:type="spellEnd"/>
            <w:r w:rsidRPr="00162289">
              <w:rPr>
                <w:szCs w:val="24"/>
              </w:rPr>
              <w:t>)</w:t>
            </w:r>
          </w:p>
        </w:tc>
        <w:tc>
          <w:tcPr>
            <w:tcW w:w="3016" w:type="dxa"/>
            <w:gridSpan w:val="2"/>
            <w:tcBorders>
              <w:top w:val="single" w:sz="4" w:space="0" w:color="auto"/>
              <w:left w:val="single" w:sz="4" w:space="0" w:color="auto"/>
              <w:bottom w:val="single" w:sz="4" w:space="0" w:color="auto"/>
              <w:right w:val="single" w:sz="4" w:space="0" w:color="auto"/>
            </w:tcBorders>
            <w:hideMark/>
          </w:tcPr>
          <w:p w14:paraId="6E0AC08C" w14:textId="77777777" w:rsidR="00162289" w:rsidRPr="00162289" w:rsidRDefault="00162289" w:rsidP="00162289">
            <w:pPr>
              <w:spacing w:after="0" w:line="240" w:lineRule="auto"/>
              <w:jc w:val="center"/>
              <w:rPr>
                <w:bCs/>
                <w:color w:val="000000"/>
                <w:szCs w:val="24"/>
              </w:rPr>
            </w:pPr>
            <w:r w:rsidRPr="00162289">
              <w:rPr>
                <w:bCs/>
                <w:color w:val="000000"/>
                <w:szCs w:val="24"/>
              </w:rPr>
              <w:t>41.3 (32.8, 48.7)</w:t>
            </w:r>
          </w:p>
        </w:tc>
        <w:tc>
          <w:tcPr>
            <w:tcW w:w="3323" w:type="dxa"/>
            <w:gridSpan w:val="2"/>
            <w:tcBorders>
              <w:top w:val="single" w:sz="4" w:space="0" w:color="auto"/>
              <w:left w:val="single" w:sz="4" w:space="0" w:color="auto"/>
              <w:bottom w:val="single" w:sz="4" w:space="0" w:color="auto"/>
              <w:right w:val="single" w:sz="4" w:space="0" w:color="auto"/>
            </w:tcBorders>
            <w:hideMark/>
          </w:tcPr>
          <w:p w14:paraId="2D89A110" w14:textId="77777777" w:rsidR="00162289" w:rsidRPr="00162289" w:rsidRDefault="00162289" w:rsidP="00162289">
            <w:pPr>
              <w:spacing w:after="0" w:line="240" w:lineRule="auto"/>
              <w:jc w:val="center"/>
              <w:rPr>
                <w:bCs/>
                <w:color w:val="000000"/>
                <w:szCs w:val="24"/>
              </w:rPr>
            </w:pPr>
            <w:r w:rsidRPr="00162289">
              <w:rPr>
                <w:bCs/>
                <w:color w:val="000000"/>
                <w:szCs w:val="24"/>
              </w:rPr>
              <w:t>28.5 (19.6, 35.2)</w:t>
            </w:r>
          </w:p>
        </w:tc>
      </w:tr>
      <w:tr w:rsidR="00162289" w:rsidRPr="00162289" w14:paraId="3D813248" w14:textId="77777777" w:rsidTr="00E65453">
        <w:tc>
          <w:tcPr>
            <w:tcW w:w="2904" w:type="dxa"/>
            <w:tcBorders>
              <w:top w:val="single" w:sz="4" w:space="0" w:color="auto"/>
              <w:left w:val="single" w:sz="4" w:space="0" w:color="auto"/>
              <w:bottom w:val="single" w:sz="4" w:space="0" w:color="auto"/>
              <w:right w:val="single" w:sz="4" w:space="0" w:color="auto"/>
            </w:tcBorders>
            <w:hideMark/>
          </w:tcPr>
          <w:p w14:paraId="2D91B461" w14:textId="77777777" w:rsidR="00162289" w:rsidRPr="00162289" w:rsidRDefault="00162289" w:rsidP="00162289">
            <w:pPr>
              <w:spacing w:after="0" w:line="240" w:lineRule="auto"/>
              <w:jc w:val="left"/>
              <w:rPr>
                <w:bCs/>
                <w:color w:val="000000"/>
                <w:szCs w:val="24"/>
              </w:rPr>
            </w:pPr>
            <w:r w:rsidRPr="00162289">
              <w:rPr>
                <w:szCs w:val="24"/>
              </w:rPr>
              <w:t>P-value</w:t>
            </w:r>
          </w:p>
        </w:tc>
        <w:tc>
          <w:tcPr>
            <w:tcW w:w="3016" w:type="dxa"/>
            <w:gridSpan w:val="2"/>
            <w:tcBorders>
              <w:top w:val="single" w:sz="4" w:space="0" w:color="auto"/>
              <w:left w:val="single" w:sz="4" w:space="0" w:color="auto"/>
              <w:bottom w:val="single" w:sz="4" w:space="0" w:color="auto"/>
              <w:right w:val="single" w:sz="4" w:space="0" w:color="auto"/>
            </w:tcBorders>
            <w:hideMark/>
          </w:tcPr>
          <w:p w14:paraId="49C1AC8D" w14:textId="77777777" w:rsidR="00162289" w:rsidRPr="00162289" w:rsidRDefault="00162289" w:rsidP="00162289">
            <w:pPr>
              <w:spacing w:after="0" w:line="240" w:lineRule="auto"/>
              <w:jc w:val="center"/>
              <w:rPr>
                <w:bCs/>
                <w:color w:val="000000"/>
                <w:szCs w:val="24"/>
              </w:rPr>
            </w:pPr>
            <w:r w:rsidRPr="00162289">
              <w:rPr>
                <w:szCs w:val="24"/>
              </w:rPr>
              <w:t>&lt; 0.0001</w:t>
            </w:r>
          </w:p>
        </w:tc>
        <w:tc>
          <w:tcPr>
            <w:tcW w:w="3323" w:type="dxa"/>
            <w:gridSpan w:val="2"/>
            <w:tcBorders>
              <w:top w:val="single" w:sz="4" w:space="0" w:color="auto"/>
              <w:left w:val="single" w:sz="4" w:space="0" w:color="auto"/>
              <w:bottom w:val="single" w:sz="4" w:space="0" w:color="auto"/>
              <w:right w:val="single" w:sz="4" w:space="0" w:color="auto"/>
            </w:tcBorders>
            <w:hideMark/>
          </w:tcPr>
          <w:p w14:paraId="260589B9" w14:textId="77777777" w:rsidR="00162289" w:rsidRPr="00162289" w:rsidRDefault="00162289" w:rsidP="00162289">
            <w:pPr>
              <w:spacing w:after="0"/>
              <w:jc w:val="center"/>
              <w:rPr>
                <w:szCs w:val="24"/>
              </w:rPr>
            </w:pPr>
            <w:r w:rsidRPr="00162289">
              <w:rPr>
                <w:szCs w:val="24"/>
              </w:rPr>
              <w:t>&lt; 0.0001</w:t>
            </w:r>
          </w:p>
        </w:tc>
      </w:tr>
      <w:tr w:rsidR="00162289" w:rsidRPr="00162289" w14:paraId="70B71166" w14:textId="77777777" w:rsidTr="00E65453">
        <w:tc>
          <w:tcPr>
            <w:tcW w:w="9243" w:type="dxa"/>
            <w:gridSpan w:val="5"/>
            <w:tcBorders>
              <w:top w:val="single" w:sz="4" w:space="0" w:color="auto"/>
              <w:left w:val="nil"/>
              <w:bottom w:val="nil"/>
              <w:right w:val="nil"/>
            </w:tcBorders>
            <w:hideMark/>
          </w:tcPr>
          <w:p w14:paraId="2072D737" w14:textId="77777777" w:rsidR="00162289" w:rsidRPr="00162289" w:rsidRDefault="00162289" w:rsidP="00162289">
            <w:pPr>
              <w:spacing w:after="0"/>
              <w:rPr>
                <w:szCs w:val="24"/>
              </w:rPr>
            </w:pPr>
            <w:r w:rsidRPr="00162289">
              <w:rPr>
                <w:szCs w:val="24"/>
              </w:rPr>
              <w:t xml:space="preserve">a: by </w:t>
            </w:r>
            <w:proofErr w:type="spellStart"/>
            <w:r w:rsidRPr="00162289">
              <w:rPr>
                <w:szCs w:val="24"/>
              </w:rPr>
              <w:t>Agresti-Caffo</w:t>
            </w:r>
            <w:proofErr w:type="spellEnd"/>
            <w:r w:rsidRPr="00162289">
              <w:rPr>
                <w:szCs w:val="24"/>
              </w:rPr>
              <w:t xml:space="preserve"> method (</w:t>
            </w:r>
            <w:proofErr w:type="spellStart"/>
            <w:r w:rsidRPr="00162289">
              <w:rPr>
                <w:szCs w:val="24"/>
              </w:rPr>
              <w:t>Agresti</w:t>
            </w:r>
            <w:proofErr w:type="spellEnd"/>
            <w:r w:rsidRPr="00162289">
              <w:rPr>
                <w:szCs w:val="24"/>
              </w:rPr>
              <w:t xml:space="preserve"> and </w:t>
            </w:r>
            <w:proofErr w:type="spellStart"/>
            <w:r w:rsidRPr="00162289">
              <w:rPr>
                <w:szCs w:val="24"/>
              </w:rPr>
              <w:t>Caffo</w:t>
            </w:r>
            <w:proofErr w:type="spellEnd"/>
            <w:r w:rsidRPr="00162289">
              <w:rPr>
                <w:szCs w:val="24"/>
              </w:rPr>
              <w:t>; The American Statistician, 2000)</w:t>
            </w:r>
          </w:p>
        </w:tc>
      </w:tr>
    </w:tbl>
    <w:p w14:paraId="0BB718CC" w14:textId="77777777" w:rsidR="00162289" w:rsidRDefault="00162289" w:rsidP="00162289"/>
    <w:p w14:paraId="3A236DA4" w14:textId="73C5F0E3" w:rsidR="00162289" w:rsidRPr="00DE6BF0" w:rsidRDefault="00162289" w:rsidP="00162289">
      <w:r w:rsidRPr="00DE6BF0">
        <w:t xml:space="preserve">In COMFORT-I, 41.9% of patients in the </w:t>
      </w:r>
      <w:proofErr w:type="spellStart"/>
      <w:r w:rsidRPr="00DE6BF0">
        <w:t>Jakavi</w:t>
      </w:r>
      <w:proofErr w:type="spellEnd"/>
      <w:r w:rsidRPr="00DE6BF0">
        <w:t xml:space="preserve"> group achieved a ≥35% reduction in spleen volume from baseline compared with 0.7% in the placebo group at Week 24. A similar proportion of patients in the </w:t>
      </w:r>
      <w:proofErr w:type="spellStart"/>
      <w:r w:rsidRPr="00DE6BF0">
        <w:t>Jakavi</w:t>
      </w:r>
      <w:proofErr w:type="spellEnd"/>
      <w:r w:rsidRPr="00DE6BF0">
        <w:t xml:space="preserve"> group achieved a ≥50% reduction in </w:t>
      </w:r>
      <w:r>
        <w:t xml:space="preserve">the exploratory efficacy endpoint of </w:t>
      </w:r>
      <w:r w:rsidRPr="00DE6BF0">
        <w:t>palpable spleen length.</w:t>
      </w:r>
    </w:p>
    <w:p w14:paraId="7C320284" w14:textId="77777777" w:rsidR="00162289" w:rsidRPr="00DE6BF0" w:rsidRDefault="00162289" w:rsidP="00162289">
      <w:r w:rsidRPr="00DE6BF0">
        <w:t xml:space="preserve">In COMFORT-II, 28.5% of patients in the </w:t>
      </w:r>
      <w:proofErr w:type="spellStart"/>
      <w:r w:rsidRPr="00DE6BF0">
        <w:t>Jakavi</w:t>
      </w:r>
      <w:proofErr w:type="spellEnd"/>
      <w:r w:rsidRPr="00DE6BF0">
        <w:t xml:space="preserve"> group achieved a ≥35% reduction in spleen volume from baseline compared with none (0%) in the best available therapy group at Week 48. A secondary endpoint was the proportion of patients achieving a ≥35% reduction of spleen volume at Week 24. A significantly larger proportion of patients in the </w:t>
      </w:r>
      <w:proofErr w:type="spellStart"/>
      <w:r w:rsidRPr="00DE6BF0">
        <w:t>Jakavi</w:t>
      </w:r>
      <w:proofErr w:type="spellEnd"/>
      <w:r w:rsidRPr="00DE6BF0">
        <w:t xml:space="preserve"> group 46 (31.9%) achieved a ≥35% reduction in spleen volume from baseline compared to no (0%) patients in the best available therapy group (p-value &lt;0.0001).</w:t>
      </w:r>
    </w:p>
    <w:p w14:paraId="073D4287" w14:textId="147D2EC0" w:rsidR="00162289" w:rsidRPr="00DE6BF0" w:rsidRDefault="00162289" w:rsidP="00162289">
      <w:r w:rsidRPr="00DE6BF0">
        <w:t>A</w:t>
      </w:r>
      <w:r>
        <w:t>n</w:t>
      </w:r>
      <w:r w:rsidRPr="00DE6BF0">
        <w:t xml:space="preserve"> </w:t>
      </w:r>
      <w:r>
        <w:t xml:space="preserve">exploratory subgroup analysis showed a </w:t>
      </w:r>
      <w:r w:rsidRPr="00DE6BF0">
        <w:t xml:space="preserve">significantly higher proportion of patients in the </w:t>
      </w:r>
      <w:proofErr w:type="spellStart"/>
      <w:r w:rsidRPr="00DE6BF0">
        <w:t>Jakavi</w:t>
      </w:r>
      <w:proofErr w:type="spellEnd"/>
      <w:r w:rsidRPr="00DE6BF0">
        <w:t xml:space="preserve"> group achieved ≥ 35% reduction from baseline in spleen volume regardless of the presence or absence of the JAK2V617F mutation or the disease subtype (primary myelofibrosis, post-</w:t>
      </w:r>
      <w:proofErr w:type="spellStart"/>
      <w:r w:rsidRPr="00DE6BF0">
        <w:t>polycythemia</w:t>
      </w:r>
      <w:proofErr w:type="spellEnd"/>
      <w:r w:rsidRPr="00DE6BF0">
        <w:t xml:space="preserve"> vera myelofibrosis, post-essential thrombocythemia myelofibrosis).</w:t>
      </w:r>
    </w:p>
    <w:p w14:paraId="7CB20469" w14:textId="542DF182" w:rsidR="00162289" w:rsidRPr="00DE6BF0" w:rsidRDefault="00162289" w:rsidP="00162289">
      <w:r w:rsidRPr="00DE6BF0">
        <w:t xml:space="preserve">Figure 1 shows a waterfall plot of the percent change from baseline in spleen volume at Week 24 in COMFORT-I. Among the 139 patients in the </w:t>
      </w:r>
      <w:proofErr w:type="spellStart"/>
      <w:r w:rsidRPr="00DE6BF0">
        <w:t>Jakavi</w:t>
      </w:r>
      <w:proofErr w:type="spellEnd"/>
      <w:r w:rsidRPr="00DE6BF0">
        <w:t xml:space="preserve"> group who had both baseline spleen volume at Week 24, with a median reduction of 33%. Among the 106 patients in the placebo group who had both baseline and Week 24 spleen volume evaluations, there was a median increase of 8.5%.</w:t>
      </w:r>
    </w:p>
    <w:p w14:paraId="7DE03DA4" w14:textId="5728E26E" w:rsidR="00162289" w:rsidRPr="00DE6BF0" w:rsidRDefault="00E03C94" w:rsidP="00182652">
      <w:pPr>
        <w:pStyle w:val="Text"/>
        <w:rPr>
          <w:sz w:val="20"/>
          <w:szCs w:val="20"/>
        </w:rPr>
      </w:pPr>
      <w:r>
        <w:t xml:space="preserve">Figure </w:t>
      </w:r>
      <w:r>
        <w:rPr>
          <w:color w:val="2B579A"/>
          <w:shd w:val="clear" w:color="auto" w:fill="E6E6E6"/>
        </w:rPr>
        <w:fldChar w:fldCharType="begin"/>
      </w:r>
      <w:r>
        <w:instrText xml:space="preserve"> SEQ Figure \* ARABIC </w:instrText>
      </w:r>
      <w:r>
        <w:rPr>
          <w:color w:val="2B579A"/>
          <w:shd w:val="clear" w:color="auto" w:fill="E6E6E6"/>
        </w:rPr>
        <w:fldChar w:fldCharType="separate"/>
      </w:r>
      <w:r w:rsidR="00F06539">
        <w:rPr>
          <w:noProof/>
        </w:rPr>
        <w:t>1</w:t>
      </w:r>
      <w:r>
        <w:rPr>
          <w:color w:val="2B579A"/>
          <w:shd w:val="clear" w:color="auto" w:fill="E6E6E6"/>
        </w:rPr>
        <w:fldChar w:fldCharType="end"/>
      </w:r>
      <w:r>
        <w:t xml:space="preserve"> </w:t>
      </w:r>
      <w:r w:rsidR="00162289" w:rsidRPr="00DE6BF0">
        <w:tab/>
        <w:t xml:space="preserve">Waterfall Plot of Percent Change </w:t>
      </w:r>
      <w:proofErr w:type="gramStart"/>
      <w:r w:rsidR="00162289" w:rsidRPr="00DE6BF0">
        <w:t>From</w:t>
      </w:r>
      <w:proofErr w:type="gramEnd"/>
      <w:r w:rsidR="00162289" w:rsidRPr="00DE6BF0">
        <w:t xml:space="preserve"> Baseline in Spleen Volume at Week 24 (Observed Cases) COMFORT- I</w:t>
      </w:r>
    </w:p>
    <w:p w14:paraId="1EA9AA20" w14:textId="77777777" w:rsidR="00162289" w:rsidRPr="00DE6BF0" w:rsidRDefault="00162289" w:rsidP="00162289">
      <w:pPr>
        <w:pStyle w:val="paragraph"/>
        <w:rPr>
          <w:lang w:val="en-AU"/>
        </w:rPr>
      </w:pPr>
      <w:r>
        <w:rPr>
          <w:noProof/>
          <w:color w:val="2B579A"/>
          <w:shd w:val="clear" w:color="auto" w:fill="E6E6E6"/>
        </w:rPr>
        <w:lastRenderedPageBreak/>
        <w:drawing>
          <wp:inline distT="0" distB="0" distL="0" distR="0" wp14:anchorId="6DF056AD" wp14:editId="15F8F9BB">
            <wp:extent cx="4814455" cy="3192098"/>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9659" cy="3195549"/>
                    </a:xfrm>
                    <a:prstGeom prst="rect">
                      <a:avLst/>
                    </a:prstGeom>
                    <a:noFill/>
                    <a:ln>
                      <a:noFill/>
                    </a:ln>
                  </pic:spPr>
                </pic:pic>
              </a:graphicData>
            </a:graphic>
          </wp:inline>
        </w:drawing>
      </w:r>
    </w:p>
    <w:p w14:paraId="525054BC" w14:textId="77777777" w:rsidR="00162289" w:rsidRPr="00DE6BF0" w:rsidRDefault="00162289" w:rsidP="00162289">
      <w:r w:rsidRPr="00DE6BF0">
        <w:t xml:space="preserve">Figure 2 shows a waterfall plot of the percent change from baseline in spleen volume at Week 48 in COMFORT-II. Among the 98 patients in the </w:t>
      </w:r>
      <w:proofErr w:type="spellStart"/>
      <w:r w:rsidRPr="00DE6BF0">
        <w:t>Jakavi</w:t>
      </w:r>
      <w:proofErr w:type="spellEnd"/>
      <w:r w:rsidRPr="00DE6BF0">
        <w:t xml:space="preserve"> group who had both baseline and Week 48 spleen volume evaluations, the median reduction in spleen volume at Week 48 was 28%. Among the 34 patients in the Best Available Therapy group who had both baseline and Week 48 spleen volume evaluations, there was a median increase of 8.5%.</w:t>
      </w:r>
    </w:p>
    <w:p w14:paraId="26D8D210" w14:textId="28BAD513" w:rsidR="00162289" w:rsidRPr="00DE6BF0" w:rsidRDefault="00E03C94" w:rsidP="00182652">
      <w:pPr>
        <w:pStyle w:val="Caption"/>
        <w:jc w:val="left"/>
      </w:pPr>
      <w:r w:rsidRPr="00182652">
        <w:rPr>
          <w:rStyle w:val="TextChar"/>
          <w:rFonts w:eastAsiaTheme="minorHAnsi"/>
          <w:i w:val="0"/>
          <w:color w:val="000000" w:themeColor="text1"/>
        </w:rPr>
        <w:lastRenderedPageBreak/>
        <w:t xml:space="preserve">Figure </w:t>
      </w:r>
      <w:r w:rsidRPr="00182652">
        <w:rPr>
          <w:rStyle w:val="TextChar"/>
          <w:rFonts w:eastAsiaTheme="minorHAnsi"/>
          <w:i w:val="0"/>
          <w:color w:val="000000" w:themeColor="text1"/>
        </w:rPr>
        <w:fldChar w:fldCharType="begin"/>
      </w:r>
      <w:r w:rsidRPr="00182652">
        <w:rPr>
          <w:rStyle w:val="TextChar"/>
          <w:rFonts w:eastAsiaTheme="minorHAnsi"/>
          <w:i w:val="0"/>
          <w:color w:val="000000" w:themeColor="text1"/>
        </w:rPr>
        <w:instrText xml:space="preserve"> SEQ Figure \* ARABIC </w:instrText>
      </w:r>
      <w:r w:rsidRPr="00182652">
        <w:rPr>
          <w:rStyle w:val="TextChar"/>
          <w:rFonts w:eastAsiaTheme="minorHAnsi"/>
          <w:i w:val="0"/>
          <w:color w:val="000000" w:themeColor="text1"/>
        </w:rPr>
        <w:fldChar w:fldCharType="separate"/>
      </w:r>
      <w:r w:rsidR="00F06539">
        <w:rPr>
          <w:rStyle w:val="TextChar"/>
          <w:rFonts w:eastAsiaTheme="minorHAnsi"/>
          <w:i w:val="0"/>
          <w:noProof/>
          <w:color w:val="000000" w:themeColor="text1"/>
        </w:rPr>
        <w:t>2</w:t>
      </w:r>
      <w:r w:rsidRPr="00182652">
        <w:rPr>
          <w:rStyle w:val="TextChar"/>
          <w:rFonts w:eastAsiaTheme="minorHAnsi"/>
          <w:i w:val="0"/>
          <w:color w:val="000000" w:themeColor="text1"/>
        </w:rPr>
        <w:fldChar w:fldCharType="end"/>
      </w:r>
      <w:r w:rsidRPr="00182652">
        <w:rPr>
          <w:rStyle w:val="TextChar"/>
          <w:rFonts w:eastAsiaTheme="minorHAnsi"/>
          <w:i w:val="0"/>
          <w:color w:val="000000" w:themeColor="text1"/>
        </w:rPr>
        <w:t xml:space="preserve"> </w:t>
      </w:r>
      <w:r w:rsidR="00162289" w:rsidRPr="00182652">
        <w:rPr>
          <w:rStyle w:val="TextChar"/>
          <w:rFonts w:eastAsiaTheme="minorHAnsi"/>
          <w:i w:val="0"/>
          <w:color w:val="000000" w:themeColor="text1"/>
        </w:rPr>
        <w:t>Waterfall Plot of Percent Change from Baseline in Spleen Volume at Week 48 in COMFORT-II</w:t>
      </w:r>
      <w:r w:rsidR="00162289">
        <w:rPr>
          <w:noProof/>
          <w:color w:val="2B579A"/>
          <w:shd w:val="clear" w:color="auto" w:fill="E6E6E6"/>
          <w:lang w:val="en-US"/>
        </w:rPr>
        <w:drawing>
          <wp:inline distT="0" distB="0" distL="0" distR="0" wp14:anchorId="66FF89E0" wp14:editId="74593CF3">
            <wp:extent cx="5410200" cy="3686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3686175"/>
                    </a:xfrm>
                    <a:prstGeom prst="rect">
                      <a:avLst/>
                    </a:prstGeom>
                    <a:noFill/>
                    <a:ln>
                      <a:noFill/>
                    </a:ln>
                  </pic:spPr>
                </pic:pic>
              </a:graphicData>
            </a:graphic>
          </wp:inline>
        </w:drawing>
      </w:r>
    </w:p>
    <w:p w14:paraId="549BA490" w14:textId="5B735267" w:rsidR="00162289" w:rsidRPr="00DE6BF0" w:rsidRDefault="00162289" w:rsidP="00162289">
      <w:r w:rsidRPr="00DE6BF0">
        <w:t xml:space="preserve">The probability of duration from 1st ≥35% reduction of spleen volume to 25% increase from nadir and loss of response in COMFORT-I and COMFORT-II is shown in Table </w:t>
      </w:r>
      <w:r w:rsidR="000603E1">
        <w:t>8</w:t>
      </w:r>
      <w:r w:rsidRPr="00DE6BF0">
        <w:t xml:space="preserve"> below.</w:t>
      </w:r>
    </w:p>
    <w:p w14:paraId="73886114" w14:textId="1CBA118F" w:rsidR="00162289" w:rsidRPr="00DE6BF0" w:rsidRDefault="00162289" w:rsidP="00162289">
      <w:pPr>
        <w:pStyle w:val="Nottoc-headings"/>
        <w:ind w:left="851" w:hanging="851"/>
        <w:rPr>
          <w:rFonts w:ascii="TimesNewRomanPS-BoldMT" w:hAnsi="TimesNewRomanPS-BoldMT" w:cs="TimesNewRomanPS-BoldMT"/>
          <w:bCs/>
          <w:color w:val="000000"/>
        </w:rPr>
      </w:pPr>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F06539">
        <w:rPr>
          <w:noProof/>
        </w:rPr>
        <w:t>8</w:t>
      </w:r>
      <w:r>
        <w:rPr>
          <w:color w:val="2B579A"/>
          <w:shd w:val="clear" w:color="auto" w:fill="E6E6E6"/>
        </w:rPr>
        <w:fldChar w:fldCharType="end"/>
      </w:r>
      <w:r>
        <w:t xml:space="preserve">: </w:t>
      </w:r>
      <w:r w:rsidRPr="00DE6BF0">
        <w:t>Kaplan-Meier Analysis of Duration from 1st ≥ 35% Reduction of Spleen</w:t>
      </w:r>
      <w:r>
        <w:t xml:space="preserve"> </w:t>
      </w:r>
      <w:r w:rsidRPr="00DE6BF0">
        <w:rPr>
          <w:rFonts w:ascii="TimesNewRomanPS-BoldMT" w:hAnsi="TimesNewRomanPS-BoldMT" w:cs="TimesNewRomanPS-BoldMT"/>
          <w:bCs/>
          <w:color w:val="000000"/>
        </w:rPr>
        <w:t xml:space="preserve">Volume to 25% Increase from Nadir and Loss of Response in </w:t>
      </w:r>
      <w:proofErr w:type="spellStart"/>
      <w:r w:rsidRPr="00DE6BF0">
        <w:rPr>
          <w:rFonts w:ascii="TimesNewRomanPS-BoldMT" w:hAnsi="TimesNewRomanPS-BoldMT" w:cs="TimesNewRomanPS-BoldMT"/>
          <w:bCs/>
          <w:color w:val="000000"/>
        </w:rPr>
        <w:t>Jakavi</w:t>
      </w:r>
      <w:proofErr w:type="spellEnd"/>
      <w:r>
        <w:rPr>
          <w:rFonts w:ascii="TimesNewRomanPS-BoldMT" w:hAnsi="TimesNewRomanPS-BoldMT" w:cs="TimesNewRomanPS-BoldMT"/>
          <w:bCs/>
          <w:color w:val="000000"/>
        </w:rPr>
        <w:t xml:space="preserve"> </w:t>
      </w:r>
      <w:r w:rsidRPr="00DE6BF0">
        <w:rPr>
          <w:rFonts w:ascii="TimesNewRomanPS-BoldMT" w:hAnsi="TimesNewRomanPS-BoldMT" w:cs="TimesNewRomanPS-BoldMT"/>
          <w:bCs/>
          <w:color w:val="000000"/>
        </w:rPr>
        <w:t>Patients (COMFORT- I and -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2642"/>
        <w:gridCol w:w="2702"/>
      </w:tblGrid>
      <w:tr w:rsidR="00162289" w:rsidRPr="008C2F88" w14:paraId="1A570581" w14:textId="77777777" w:rsidTr="00E65453">
        <w:tc>
          <w:tcPr>
            <w:tcW w:w="3794" w:type="dxa"/>
            <w:shd w:val="clear" w:color="auto" w:fill="BFBFBF" w:themeFill="background1" w:themeFillShade="BF"/>
          </w:tcPr>
          <w:p w14:paraId="520140BD" w14:textId="77777777" w:rsidR="00162289" w:rsidRPr="008C2F88" w:rsidRDefault="00162289" w:rsidP="008C2F88">
            <w:pPr>
              <w:spacing w:after="0" w:line="240" w:lineRule="auto"/>
              <w:jc w:val="left"/>
              <w:rPr>
                <w:rFonts w:cs="Times New Roman"/>
                <w:b/>
                <w:bCs/>
                <w:color w:val="000000"/>
              </w:rPr>
            </w:pPr>
            <w:r w:rsidRPr="008C2F88">
              <w:rPr>
                <w:rFonts w:cs="Times New Roman"/>
                <w:b/>
                <w:bCs/>
                <w:color w:val="000000"/>
              </w:rPr>
              <w:t xml:space="preserve">Statistics </w:t>
            </w:r>
          </w:p>
        </w:tc>
        <w:tc>
          <w:tcPr>
            <w:tcW w:w="2693" w:type="dxa"/>
            <w:shd w:val="clear" w:color="auto" w:fill="BFBFBF" w:themeFill="background1" w:themeFillShade="BF"/>
          </w:tcPr>
          <w:p w14:paraId="151D71E6" w14:textId="77777777" w:rsidR="00162289" w:rsidRPr="008C2F88" w:rsidRDefault="00162289" w:rsidP="008C2F88">
            <w:pPr>
              <w:spacing w:after="0" w:line="240" w:lineRule="auto"/>
              <w:jc w:val="left"/>
              <w:rPr>
                <w:rFonts w:cs="Times New Roman"/>
                <w:b/>
                <w:bCs/>
                <w:color w:val="000000"/>
              </w:rPr>
            </w:pPr>
            <w:proofErr w:type="spellStart"/>
            <w:proofErr w:type="gramStart"/>
            <w:r w:rsidRPr="008C2F88">
              <w:rPr>
                <w:rFonts w:cs="Times New Roman"/>
                <w:b/>
                <w:bCs/>
                <w:color w:val="000000"/>
              </w:rPr>
              <w:t>Jakavi</w:t>
            </w:r>
            <w:proofErr w:type="spellEnd"/>
            <w:r w:rsidRPr="008C2F88">
              <w:rPr>
                <w:rFonts w:cs="Times New Roman"/>
                <w:b/>
                <w:bCs/>
                <w:color w:val="000000"/>
              </w:rPr>
              <w:t xml:space="preserve">  (</w:t>
            </w:r>
            <w:proofErr w:type="gramEnd"/>
            <w:r w:rsidRPr="008C2F88">
              <w:rPr>
                <w:rFonts w:cs="Times New Roman"/>
                <w:b/>
                <w:bCs/>
                <w:color w:val="000000"/>
              </w:rPr>
              <w:t>COMFORT-I)</w:t>
            </w:r>
          </w:p>
        </w:tc>
        <w:tc>
          <w:tcPr>
            <w:tcW w:w="2756" w:type="dxa"/>
            <w:shd w:val="clear" w:color="auto" w:fill="BFBFBF" w:themeFill="background1" w:themeFillShade="BF"/>
          </w:tcPr>
          <w:p w14:paraId="25A732DD" w14:textId="77777777" w:rsidR="00162289" w:rsidRPr="008C2F88" w:rsidRDefault="00162289" w:rsidP="008C2F88">
            <w:pPr>
              <w:spacing w:after="0" w:line="240" w:lineRule="auto"/>
              <w:jc w:val="left"/>
              <w:rPr>
                <w:rFonts w:cs="Times New Roman"/>
                <w:b/>
                <w:bCs/>
                <w:color w:val="000000"/>
              </w:rPr>
            </w:pPr>
            <w:proofErr w:type="spellStart"/>
            <w:r w:rsidRPr="008C2F88">
              <w:rPr>
                <w:rFonts w:cs="Times New Roman"/>
                <w:b/>
                <w:bCs/>
                <w:color w:val="000000"/>
              </w:rPr>
              <w:t>Jakavi</w:t>
            </w:r>
            <w:proofErr w:type="spellEnd"/>
            <w:r w:rsidRPr="008C2F88">
              <w:rPr>
                <w:rFonts w:cs="Times New Roman"/>
                <w:b/>
                <w:bCs/>
                <w:color w:val="000000"/>
              </w:rPr>
              <w:t xml:space="preserve"> (COMFORT-II)</w:t>
            </w:r>
          </w:p>
        </w:tc>
      </w:tr>
      <w:tr w:rsidR="00162289" w:rsidRPr="008C2F88" w14:paraId="2030ABDE" w14:textId="77777777" w:rsidTr="00E65453">
        <w:tc>
          <w:tcPr>
            <w:tcW w:w="3794" w:type="dxa"/>
          </w:tcPr>
          <w:p w14:paraId="177AE8B4" w14:textId="77777777" w:rsidR="00162289" w:rsidRPr="008C2F88" w:rsidRDefault="00162289" w:rsidP="008C2F88">
            <w:pPr>
              <w:spacing w:after="0"/>
              <w:jc w:val="left"/>
              <w:rPr>
                <w:rFonts w:cs="Times New Roman"/>
              </w:rPr>
            </w:pPr>
            <w:r w:rsidRPr="008C2F88">
              <w:rPr>
                <w:rFonts w:cs="Times New Roman"/>
              </w:rPr>
              <w:t>Probability of &gt;12 weeks of duration (95% CI)</w:t>
            </w:r>
          </w:p>
        </w:tc>
        <w:tc>
          <w:tcPr>
            <w:tcW w:w="2693" w:type="dxa"/>
          </w:tcPr>
          <w:p w14:paraId="613DF5C4" w14:textId="77777777" w:rsidR="00162289" w:rsidRPr="008C2F88" w:rsidRDefault="00162289" w:rsidP="008C2F88">
            <w:pPr>
              <w:spacing w:after="0" w:line="240" w:lineRule="auto"/>
              <w:jc w:val="left"/>
              <w:rPr>
                <w:rFonts w:cs="Times New Roman"/>
                <w:bCs/>
                <w:color w:val="000000"/>
                <w:sz w:val="22"/>
              </w:rPr>
            </w:pPr>
            <w:r w:rsidRPr="008C2F88">
              <w:rPr>
                <w:rFonts w:cs="Times New Roman"/>
              </w:rPr>
              <w:t>0.98 (0.89, 1.00)</w:t>
            </w:r>
          </w:p>
        </w:tc>
        <w:tc>
          <w:tcPr>
            <w:tcW w:w="2756" w:type="dxa"/>
          </w:tcPr>
          <w:p w14:paraId="210A38C5" w14:textId="77777777" w:rsidR="00162289" w:rsidRPr="008C2F88" w:rsidRDefault="00162289" w:rsidP="008C2F88">
            <w:pPr>
              <w:spacing w:after="0"/>
              <w:jc w:val="left"/>
              <w:rPr>
                <w:rFonts w:cs="Times New Roman"/>
              </w:rPr>
            </w:pPr>
            <w:r w:rsidRPr="008C2F88">
              <w:rPr>
                <w:rFonts w:cs="Times New Roman"/>
              </w:rPr>
              <w:t>0.92 (0.82, 0.97)</w:t>
            </w:r>
          </w:p>
        </w:tc>
      </w:tr>
      <w:tr w:rsidR="00162289" w:rsidRPr="008C2F88" w14:paraId="7451E0B1" w14:textId="77777777" w:rsidTr="00E65453">
        <w:tc>
          <w:tcPr>
            <w:tcW w:w="3794" w:type="dxa"/>
          </w:tcPr>
          <w:p w14:paraId="063E3660" w14:textId="77777777" w:rsidR="00162289" w:rsidRPr="008C2F88" w:rsidRDefault="00162289" w:rsidP="008C2F88">
            <w:pPr>
              <w:spacing w:after="0"/>
              <w:jc w:val="left"/>
              <w:rPr>
                <w:rFonts w:cs="Times New Roman"/>
              </w:rPr>
            </w:pPr>
            <w:r w:rsidRPr="008C2F88">
              <w:rPr>
                <w:rFonts w:cs="Times New Roman"/>
              </w:rPr>
              <w:t>Probability of &gt;24 weeks of duration (95% CI)</w:t>
            </w:r>
          </w:p>
        </w:tc>
        <w:tc>
          <w:tcPr>
            <w:tcW w:w="2693" w:type="dxa"/>
          </w:tcPr>
          <w:p w14:paraId="1BB8A25F" w14:textId="77777777" w:rsidR="00162289" w:rsidRPr="008C2F88" w:rsidRDefault="00162289" w:rsidP="008C2F88">
            <w:pPr>
              <w:spacing w:after="0" w:line="240" w:lineRule="auto"/>
              <w:jc w:val="left"/>
              <w:rPr>
                <w:rFonts w:cs="Times New Roman"/>
                <w:bCs/>
                <w:color w:val="000000"/>
                <w:sz w:val="22"/>
              </w:rPr>
            </w:pPr>
            <w:r w:rsidRPr="008C2F88">
              <w:rPr>
                <w:rFonts w:cs="Times New Roman"/>
              </w:rPr>
              <w:t>0.89 (0.75, 0.95)</w:t>
            </w:r>
          </w:p>
        </w:tc>
        <w:tc>
          <w:tcPr>
            <w:tcW w:w="2756" w:type="dxa"/>
          </w:tcPr>
          <w:p w14:paraId="1539D169" w14:textId="77777777" w:rsidR="00162289" w:rsidRPr="008C2F88" w:rsidRDefault="00162289" w:rsidP="008C2F88">
            <w:pPr>
              <w:spacing w:after="0"/>
              <w:jc w:val="left"/>
              <w:rPr>
                <w:rFonts w:cs="Times New Roman"/>
              </w:rPr>
            </w:pPr>
            <w:r w:rsidRPr="008C2F88">
              <w:rPr>
                <w:rFonts w:cs="Times New Roman"/>
              </w:rPr>
              <w:t>0.87 (0.76, 0.93)</w:t>
            </w:r>
          </w:p>
          <w:p w14:paraId="662353C7" w14:textId="77777777" w:rsidR="00162289" w:rsidRPr="008C2F88" w:rsidRDefault="00162289" w:rsidP="008C2F88">
            <w:pPr>
              <w:spacing w:after="0" w:line="240" w:lineRule="auto"/>
              <w:jc w:val="left"/>
              <w:rPr>
                <w:rFonts w:cs="Times New Roman"/>
                <w:bCs/>
                <w:color w:val="000000"/>
                <w:sz w:val="22"/>
              </w:rPr>
            </w:pPr>
          </w:p>
        </w:tc>
      </w:tr>
      <w:tr w:rsidR="00162289" w:rsidRPr="008C2F88" w14:paraId="7ADF01D2" w14:textId="77777777" w:rsidTr="00E65453">
        <w:tc>
          <w:tcPr>
            <w:tcW w:w="3794" w:type="dxa"/>
          </w:tcPr>
          <w:p w14:paraId="0425D99F" w14:textId="77777777" w:rsidR="00162289" w:rsidRPr="008C2F88" w:rsidRDefault="00162289" w:rsidP="008C2F88">
            <w:pPr>
              <w:spacing w:after="0"/>
              <w:jc w:val="left"/>
              <w:rPr>
                <w:rFonts w:cs="Times New Roman"/>
              </w:rPr>
            </w:pPr>
            <w:r w:rsidRPr="008C2F88">
              <w:rPr>
                <w:rFonts w:cs="Times New Roman"/>
              </w:rPr>
              <w:t>Probability of &gt;36 weeks of duration (95% CI)</w:t>
            </w:r>
          </w:p>
        </w:tc>
        <w:tc>
          <w:tcPr>
            <w:tcW w:w="2693" w:type="dxa"/>
          </w:tcPr>
          <w:p w14:paraId="3B1A4ADB" w14:textId="77777777" w:rsidR="00162289" w:rsidRPr="008C2F88" w:rsidRDefault="00162289" w:rsidP="008C2F88">
            <w:pPr>
              <w:spacing w:after="0" w:line="240" w:lineRule="auto"/>
              <w:jc w:val="left"/>
              <w:rPr>
                <w:rFonts w:cs="Times New Roman"/>
              </w:rPr>
            </w:pPr>
            <w:r w:rsidRPr="008C2F88">
              <w:rPr>
                <w:rFonts w:cs="Times New Roman"/>
              </w:rPr>
              <w:t>0.71 (0.41, 0.88)</w:t>
            </w:r>
          </w:p>
        </w:tc>
        <w:tc>
          <w:tcPr>
            <w:tcW w:w="2756" w:type="dxa"/>
          </w:tcPr>
          <w:p w14:paraId="7AB67FD5" w14:textId="77777777" w:rsidR="00162289" w:rsidRPr="008C2F88" w:rsidRDefault="00162289" w:rsidP="008C2F88">
            <w:pPr>
              <w:spacing w:after="0"/>
              <w:jc w:val="left"/>
              <w:rPr>
                <w:rFonts w:cs="Times New Roman"/>
              </w:rPr>
            </w:pPr>
            <w:r w:rsidRPr="008C2F88">
              <w:rPr>
                <w:rFonts w:cs="Times New Roman"/>
              </w:rPr>
              <w:t>0.77 (0.63, 0.87)</w:t>
            </w:r>
          </w:p>
          <w:p w14:paraId="46530B22" w14:textId="77777777" w:rsidR="00162289" w:rsidRPr="008C2F88" w:rsidRDefault="00162289" w:rsidP="008C2F88">
            <w:pPr>
              <w:spacing w:after="0"/>
              <w:jc w:val="left"/>
              <w:rPr>
                <w:rFonts w:cs="Times New Roman"/>
              </w:rPr>
            </w:pPr>
          </w:p>
        </w:tc>
      </w:tr>
      <w:tr w:rsidR="00162289" w:rsidRPr="008C2F88" w14:paraId="7FE30056" w14:textId="77777777" w:rsidTr="00E65453">
        <w:tc>
          <w:tcPr>
            <w:tcW w:w="3794" w:type="dxa"/>
          </w:tcPr>
          <w:p w14:paraId="5855D9C3" w14:textId="77777777" w:rsidR="00162289" w:rsidRPr="008C2F88" w:rsidRDefault="00162289" w:rsidP="008C2F88">
            <w:pPr>
              <w:spacing w:after="0"/>
              <w:jc w:val="left"/>
              <w:rPr>
                <w:rFonts w:cs="Times New Roman"/>
              </w:rPr>
            </w:pPr>
            <w:r w:rsidRPr="008C2F88">
              <w:rPr>
                <w:rFonts w:cs="Times New Roman"/>
              </w:rPr>
              <w:t>Probability of &gt;48 weeks of duration (95% CI)</w:t>
            </w:r>
          </w:p>
        </w:tc>
        <w:tc>
          <w:tcPr>
            <w:tcW w:w="2693" w:type="dxa"/>
          </w:tcPr>
          <w:p w14:paraId="708FED12" w14:textId="77777777" w:rsidR="00162289" w:rsidRPr="008C2F88" w:rsidRDefault="00162289" w:rsidP="008C2F88">
            <w:pPr>
              <w:spacing w:after="0" w:line="240" w:lineRule="auto"/>
              <w:jc w:val="left"/>
              <w:rPr>
                <w:rFonts w:cs="Times New Roman"/>
              </w:rPr>
            </w:pPr>
            <w:r w:rsidRPr="008C2F88">
              <w:rPr>
                <w:rFonts w:cs="Times New Roman"/>
              </w:rPr>
              <w:t>not applicable</w:t>
            </w:r>
          </w:p>
        </w:tc>
        <w:tc>
          <w:tcPr>
            <w:tcW w:w="2756" w:type="dxa"/>
          </w:tcPr>
          <w:p w14:paraId="5C86C692" w14:textId="77777777" w:rsidR="00162289" w:rsidRPr="008C2F88" w:rsidRDefault="00162289" w:rsidP="008C2F88">
            <w:pPr>
              <w:spacing w:after="0"/>
              <w:jc w:val="left"/>
              <w:rPr>
                <w:rFonts w:cs="Times New Roman"/>
              </w:rPr>
            </w:pPr>
            <w:r w:rsidRPr="008C2F88">
              <w:rPr>
                <w:rFonts w:cs="Times New Roman"/>
              </w:rPr>
              <w:t>0.52 (0.18, 0.78)</w:t>
            </w:r>
          </w:p>
          <w:p w14:paraId="397CB2C5" w14:textId="77777777" w:rsidR="00162289" w:rsidRPr="008C2F88" w:rsidRDefault="00162289" w:rsidP="008C2F88">
            <w:pPr>
              <w:spacing w:after="0"/>
              <w:jc w:val="left"/>
              <w:rPr>
                <w:rFonts w:cs="Times New Roman"/>
              </w:rPr>
            </w:pPr>
          </w:p>
        </w:tc>
      </w:tr>
    </w:tbl>
    <w:p w14:paraId="4290DC1A" w14:textId="77777777" w:rsidR="00162289" w:rsidRPr="00DE6BF0" w:rsidRDefault="00162289" w:rsidP="00162289">
      <w:pPr>
        <w:spacing w:line="240" w:lineRule="auto"/>
        <w:jc w:val="left"/>
        <w:rPr>
          <w:rFonts w:ascii="Arial-BoldMT" w:hAnsi="Arial-BoldMT" w:cs="Arial-BoldMT"/>
          <w:bCs/>
          <w:color w:val="000000"/>
          <w:sz w:val="22"/>
        </w:rPr>
      </w:pPr>
    </w:p>
    <w:p w14:paraId="46781B99" w14:textId="604E5207" w:rsidR="008C2F88" w:rsidRDefault="008C2F88" w:rsidP="008C2F88">
      <w:r w:rsidRPr="00DE6BF0">
        <w:t xml:space="preserve">Among the 80 patients that showed a ≥35% reduction at any time point in COMFORT-I and of the 69 patients in COMFORT-II, the probability that a patient would maintain a response </w:t>
      </w:r>
      <w:r w:rsidR="00002902">
        <w:t>to</w:t>
      </w:r>
      <w:r w:rsidR="00002902" w:rsidRPr="00DE6BF0">
        <w:t xml:space="preserve"> </w:t>
      </w:r>
      <w:proofErr w:type="spellStart"/>
      <w:r w:rsidRPr="00DE6BF0">
        <w:lastRenderedPageBreak/>
        <w:t>Jakavi</w:t>
      </w:r>
      <w:proofErr w:type="spellEnd"/>
      <w:r w:rsidRPr="00DE6BF0">
        <w:t xml:space="preserve"> for at least 24 weeks was 89% and 87% in COMFORT-I and COMFORT-II respectively and the probability of maintaining a response for at least 48 weeks was 52% in COMFORT -II.</w:t>
      </w:r>
    </w:p>
    <w:p w14:paraId="13BA3427" w14:textId="77777777" w:rsidR="008C2F88" w:rsidRDefault="008C2F88" w:rsidP="008C2F88">
      <w:r w:rsidRPr="005263EC">
        <w:t xml:space="preserve">Overall survival (OS) was a secondary endpoint on both COMFORT studies. Median OS times had not been reached for either treatment arm in both studies. OS data from COMFORT-I demonstrate a risk of death reduced with </w:t>
      </w:r>
      <w:proofErr w:type="spellStart"/>
      <w:r w:rsidRPr="005263EC">
        <w:t>Jakavi</w:t>
      </w:r>
      <w:proofErr w:type="spellEnd"/>
      <w:r w:rsidRPr="005263EC">
        <w:t xml:space="preserve"> treatment by 50% (median follow-up: 51 weeks, HR:0.499, 95% CI, 0.254, 0.980; p=0.04), 13 out of 155 patients (8.4%) died in the </w:t>
      </w:r>
      <w:proofErr w:type="spellStart"/>
      <w:r w:rsidRPr="005263EC">
        <w:t>Jakavi</w:t>
      </w:r>
      <w:proofErr w:type="spellEnd"/>
      <w:r w:rsidRPr="005263EC">
        <w:t xml:space="preserve"> group and 24 out of 154 patients (15.6%) died in the placebo group with OS time censored for 142 (91.6%) and 130 (84.4%) in </w:t>
      </w:r>
      <w:proofErr w:type="spellStart"/>
      <w:r w:rsidRPr="005263EC">
        <w:t>ruxolitinib</w:t>
      </w:r>
      <w:proofErr w:type="spellEnd"/>
      <w:r w:rsidRPr="005263EC">
        <w:t xml:space="preserve"> and placebo arms, respectively. With 61.1 weeks of follow up COMFORT II OS did not demonstrate a difference between the </w:t>
      </w:r>
      <w:proofErr w:type="spellStart"/>
      <w:r w:rsidRPr="005263EC">
        <w:t>Jakavi</w:t>
      </w:r>
      <w:proofErr w:type="spellEnd"/>
      <w:r w:rsidRPr="005263EC">
        <w:t xml:space="preserve"> and BAT arm (median follow-up:61.1 weeks; HR:1.01, 95% CI, 0.32, 3.24; p=0.95) with 11 (7.5%) deaths in the </w:t>
      </w:r>
      <w:proofErr w:type="spellStart"/>
      <w:r w:rsidRPr="005263EC">
        <w:t>ruxolitinib</w:t>
      </w:r>
      <w:proofErr w:type="spellEnd"/>
      <w:r w:rsidRPr="005263EC">
        <w:t xml:space="preserve"> and 4 (5.5%) in the placebo arm, OS time was censored for 135 (92.5%) and 69 (94.5%) patien</w:t>
      </w:r>
      <w:r>
        <w:t xml:space="preserve">ts in </w:t>
      </w:r>
      <w:proofErr w:type="spellStart"/>
      <w:r>
        <w:t>ruxolitinib</w:t>
      </w:r>
      <w:proofErr w:type="spellEnd"/>
      <w:r>
        <w:t xml:space="preserve"> and BAT arms, </w:t>
      </w:r>
      <w:r w:rsidRPr="005263EC">
        <w:t>respectively.</w:t>
      </w:r>
    </w:p>
    <w:p w14:paraId="696F653B" w14:textId="71E4C4CC" w:rsidR="008C2F88" w:rsidRPr="00263B66" w:rsidRDefault="008C2F88" w:rsidP="008C2F88">
      <w:pPr>
        <w:rPr>
          <w:rFonts w:eastAsia="MS Mincho"/>
        </w:rPr>
      </w:pPr>
      <w:r>
        <w:t>In COMFORT-I, after a median follow–up of 34.3 months, the death rate in patients randomi</w:t>
      </w:r>
      <w:r w:rsidR="00833FD2">
        <w:t>s</w:t>
      </w:r>
      <w:r>
        <w:t xml:space="preserve">ed to the </w:t>
      </w:r>
      <w:proofErr w:type="spellStart"/>
      <w:r>
        <w:t>ruxolitinib</w:t>
      </w:r>
      <w:proofErr w:type="spellEnd"/>
      <w:r>
        <w:t xml:space="preserve"> arm was 27.1% (42 of 155 patients) versus 35.1% (54 of 154) in patients randomi</w:t>
      </w:r>
      <w:r w:rsidR="00833FD2">
        <w:t>s</w:t>
      </w:r>
      <w:r>
        <w:t xml:space="preserve">ed to placebo. There was a 31.3% reduction in the risk of death in the </w:t>
      </w:r>
      <w:proofErr w:type="spellStart"/>
      <w:r>
        <w:t>ruxolitinib</w:t>
      </w:r>
      <w:proofErr w:type="spellEnd"/>
      <w:r>
        <w:t xml:space="preserve"> arm as compared to placebo (HR 0.687; 95%CI 0.459-1.029; p= 0.0668).</w:t>
      </w:r>
    </w:p>
    <w:p w14:paraId="718B6797" w14:textId="229639BF" w:rsidR="008C2F88" w:rsidRPr="008D165D" w:rsidRDefault="008C2F88" w:rsidP="008C2F88">
      <w:r>
        <w:t>In COMFORT-II, after a median follow-up of 34.7 months, the death rate in patients randomi</w:t>
      </w:r>
      <w:r w:rsidR="00833FD2">
        <w:t>s</w:t>
      </w:r>
      <w:r>
        <w:t xml:space="preserve">ed to </w:t>
      </w:r>
      <w:proofErr w:type="spellStart"/>
      <w:r>
        <w:t>ruxolitinib</w:t>
      </w:r>
      <w:proofErr w:type="spellEnd"/>
      <w:r>
        <w:t xml:space="preserve"> was 19.9% (29 of 146 patients) versus 30.1% (22 of 73 patients) in patients randomi</w:t>
      </w:r>
      <w:r w:rsidR="00833FD2">
        <w:t>s</w:t>
      </w:r>
      <w:r>
        <w:t xml:space="preserve">ed to best available therapy (BAT). There was a 52% reduction in risk of death in the </w:t>
      </w:r>
      <w:proofErr w:type="spellStart"/>
      <w:r>
        <w:t>ruxolitinib</w:t>
      </w:r>
      <w:proofErr w:type="spellEnd"/>
      <w:r>
        <w:t xml:space="preserve"> arm compared to BAT arm (HR 0.48; 95% CI 0.28-0.85; p= 0.009).</w:t>
      </w:r>
    </w:p>
    <w:p w14:paraId="7959B53F" w14:textId="77777777" w:rsidR="00EB133D" w:rsidRDefault="00EB133D" w:rsidP="00EB133D">
      <w:r>
        <w:t xml:space="preserve">The impact of </w:t>
      </w:r>
      <w:proofErr w:type="spellStart"/>
      <w:r>
        <w:t>Jakavi</w:t>
      </w:r>
      <w:proofErr w:type="spellEnd"/>
      <w:r>
        <w:t xml:space="preserve"> on </w:t>
      </w:r>
      <w:r w:rsidRPr="00DE6BF0">
        <w:t>myelofibrosis-</w:t>
      </w:r>
      <w:r>
        <w:t>associated</w:t>
      </w:r>
      <w:r w:rsidRPr="00DE6BF0">
        <w:t xml:space="preserve"> symptoms </w:t>
      </w:r>
      <w:r>
        <w:t>was assessed in COMFORT-I only.</w:t>
      </w:r>
      <w:r w:rsidRPr="00DE6BF0">
        <w:t xml:space="preserve"> In COMFORT-I symptoms of MF </w:t>
      </w:r>
      <w:r>
        <w:t xml:space="preserve">(night sweats, itchiness, abdominal discomfort, pain under the ribs, early satiety, </w:t>
      </w:r>
      <w:proofErr w:type="gramStart"/>
      <w:r>
        <w:t>bone</w:t>
      </w:r>
      <w:proofErr w:type="gramEnd"/>
      <w:r>
        <w:t xml:space="preserve"> or muscle pain) </w:t>
      </w:r>
      <w:r w:rsidRPr="00DE6BF0">
        <w:t xml:space="preserve">were captured using the modified MFSAF diary v2.0 as an electronic diary, which subjects completed daily. The change from Baseline in the Week 24 total score was a secondary endpoint in this study. </w:t>
      </w:r>
      <w:r>
        <w:t>S</w:t>
      </w:r>
      <w:r w:rsidRPr="00DE6BF0">
        <w:t xml:space="preserve">ignificantly larger proportion of subjects in the </w:t>
      </w:r>
      <w:proofErr w:type="spellStart"/>
      <w:r w:rsidRPr="00DE6BF0">
        <w:t>Jakavi</w:t>
      </w:r>
      <w:proofErr w:type="spellEnd"/>
      <w:r w:rsidRPr="00DE6BF0">
        <w:t xml:space="preserve"> group achieved a ≥50% improvement from Baseline in the Week 24 total symptom score compared with the placebo group (45.9% and 5.3%, respectively, p &lt;0.0001 using the Chi-Squared test).</w:t>
      </w:r>
    </w:p>
    <w:p w14:paraId="018B3C5C" w14:textId="77777777" w:rsidR="00EB133D" w:rsidRPr="00DE6BF0" w:rsidRDefault="00EB133D" w:rsidP="00EB133D">
      <w:r w:rsidRPr="00DE6BF0">
        <w:t xml:space="preserve">An improvement in overall quality of life was measured by the </w:t>
      </w:r>
      <w:r>
        <w:t xml:space="preserve">exploratory efficacy endpoint, </w:t>
      </w:r>
      <w:r w:rsidRPr="00DE6BF0">
        <w:t>EORTC QLQ-C30</w:t>
      </w:r>
      <w:r>
        <w:t>,</w:t>
      </w:r>
      <w:r w:rsidRPr="00DE6BF0">
        <w:t xml:space="preserve"> in both COMFORT-I and COMFORT-II. COMFORT-I compared </w:t>
      </w:r>
      <w:proofErr w:type="spellStart"/>
      <w:r w:rsidRPr="00DE6BF0">
        <w:t>Jakavi</w:t>
      </w:r>
      <w:proofErr w:type="spellEnd"/>
      <w:r w:rsidRPr="00DE6BF0">
        <w:t xml:space="preserve"> to placebo at 24 weeks and COMFORT-II compared </w:t>
      </w:r>
      <w:proofErr w:type="spellStart"/>
      <w:r w:rsidRPr="00DE6BF0">
        <w:t>Jakavi</w:t>
      </w:r>
      <w:proofErr w:type="spellEnd"/>
      <w:r w:rsidRPr="00DE6BF0">
        <w:t xml:space="preserve"> to best available therapy at 48 weeks. At baseline for both studies, EORTC QLQ-C30 individual subscale scores for the </w:t>
      </w:r>
      <w:proofErr w:type="spellStart"/>
      <w:r w:rsidRPr="00DE6BF0">
        <w:t>Jakavi</w:t>
      </w:r>
      <w:proofErr w:type="spellEnd"/>
      <w:r w:rsidRPr="00DE6BF0">
        <w:t xml:space="preserve"> and comparator groups were similar. At Week 24 in COMFORT-I, the </w:t>
      </w:r>
      <w:proofErr w:type="spellStart"/>
      <w:r w:rsidRPr="00DE6BF0">
        <w:t>Jakavi</w:t>
      </w:r>
      <w:proofErr w:type="spellEnd"/>
      <w:r w:rsidRPr="00DE6BF0">
        <w:t xml:space="preserve"> group showed significant improvement in the global health status/quality of life of the EORTC QLQ-C30 compared with the placebo group (mean change of +12.3 and -3.4 for </w:t>
      </w:r>
      <w:proofErr w:type="spellStart"/>
      <w:r w:rsidRPr="00DE6BF0">
        <w:t>Jakavi</w:t>
      </w:r>
      <w:proofErr w:type="spellEnd"/>
      <w:r w:rsidRPr="00DE6BF0">
        <w:t xml:space="preserve"> and placebo, </w:t>
      </w:r>
      <w:r w:rsidRPr="00DE6BF0">
        <w:lastRenderedPageBreak/>
        <w:t xml:space="preserve">respectively, p &lt;0.0001). At week 24 and week 48, the </w:t>
      </w:r>
      <w:proofErr w:type="spellStart"/>
      <w:r w:rsidRPr="00DE6BF0">
        <w:t>Jakavi</w:t>
      </w:r>
      <w:proofErr w:type="spellEnd"/>
      <w:r w:rsidRPr="00DE6BF0">
        <w:t xml:space="preserve"> group in COMFORT-II showed a trend towards greater improvement of global health status/quality of life compared to best available therapy</w:t>
      </w:r>
      <w:r>
        <w:t xml:space="preserve"> (week 24: 8.4 (</w:t>
      </w:r>
      <w:proofErr w:type="spellStart"/>
      <w:r>
        <w:t>Jakavi</w:t>
      </w:r>
      <w:proofErr w:type="spellEnd"/>
      <w:r>
        <w:t>) vs 5.2 (BAT); week 48: 9.1 (</w:t>
      </w:r>
      <w:proofErr w:type="spellStart"/>
      <w:r>
        <w:t>Jakavi</w:t>
      </w:r>
      <w:proofErr w:type="spellEnd"/>
      <w:r>
        <w:t>) vs 3.4 (BAT)</w:t>
      </w:r>
      <w:r w:rsidRPr="00DE6BF0">
        <w:t>, an exploratory endpoint, consistent with the COMFORT-I findings.</w:t>
      </w:r>
    </w:p>
    <w:p w14:paraId="26C6627C" w14:textId="22ABD6C1" w:rsidR="00EB133D" w:rsidRDefault="00EB133D" w:rsidP="00EB133D">
      <w:r>
        <w:t xml:space="preserve">Recent clinical trial data from two ongoing trials (EXPAND and Study 258) support the use of </w:t>
      </w:r>
      <w:proofErr w:type="spellStart"/>
      <w:r>
        <w:t>ruxolitinib</w:t>
      </w:r>
      <w:proofErr w:type="spellEnd"/>
      <w:r>
        <w:t xml:space="preserve"> at lower starting dose of ≤ 5 mg twice daily for the treatment of patients with platelet counts in the range of 50 to 100 x 10</w:t>
      </w:r>
      <w:r>
        <w:rPr>
          <w:vertAlign w:val="superscript"/>
        </w:rPr>
        <w:t>9</w:t>
      </w:r>
      <w:r>
        <w:t xml:space="preserve">/L. </w:t>
      </w:r>
      <w:r w:rsidRPr="00C80335">
        <w:t xml:space="preserve">Data from </w:t>
      </w:r>
      <w:r>
        <w:t xml:space="preserve">a </w:t>
      </w:r>
      <w:r w:rsidRPr="00652175">
        <w:t>retrospective observational analysis</w:t>
      </w:r>
      <w:r>
        <w:t xml:space="preserve"> on the use of </w:t>
      </w:r>
      <w:proofErr w:type="spellStart"/>
      <w:r>
        <w:t>ruxolitinib</w:t>
      </w:r>
      <w:proofErr w:type="spellEnd"/>
      <w:r>
        <w:t xml:space="preserve"> provided through an individual patient supply program</w:t>
      </w:r>
      <w:r w:rsidRPr="00CB4CA0">
        <w:t xml:space="preserve"> </w:t>
      </w:r>
      <w:r w:rsidRPr="00C80335">
        <w:t xml:space="preserve">demonstrate that patients with intermediate-1 risk disease experience a comparable benefit from </w:t>
      </w:r>
      <w:proofErr w:type="spellStart"/>
      <w:r w:rsidRPr="00C80335">
        <w:t>ruxolitinib</w:t>
      </w:r>
      <w:proofErr w:type="spellEnd"/>
      <w:r w:rsidRPr="00C80335">
        <w:t xml:space="preserve"> therapy to patients with intermediate-2 and high risk disease. </w:t>
      </w:r>
    </w:p>
    <w:p w14:paraId="37178522" w14:textId="21774422" w:rsidR="00EB133D" w:rsidRPr="003B090F" w:rsidRDefault="00EB133D" w:rsidP="00EB133D">
      <w:pPr>
        <w:pStyle w:val="Heading3"/>
      </w:pPr>
      <w:proofErr w:type="spellStart"/>
      <w:r w:rsidRPr="003B090F">
        <w:t>Polycythemia</w:t>
      </w:r>
      <w:proofErr w:type="spellEnd"/>
      <w:r w:rsidRPr="003B090F">
        <w:t xml:space="preserve"> vera</w:t>
      </w:r>
    </w:p>
    <w:p w14:paraId="1C5B2D50" w14:textId="3FB2DA44" w:rsidR="00EB133D" w:rsidRPr="003B090F" w:rsidRDefault="00EB133D" w:rsidP="00EB133D">
      <w:r>
        <w:t>A randomi</w:t>
      </w:r>
      <w:r w:rsidR="00833FD2">
        <w:t>s</w:t>
      </w:r>
      <w:r>
        <w:t xml:space="preserve">ed, open-label, active-controlled Phase 3 study (RESPONSE) was conducted in 222 patients with </w:t>
      </w:r>
      <w:proofErr w:type="spellStart"/>
      <w:r>
        <w:t>polycythemia</w:t>
      </w:r>
      <w:proofErr w:type="spellEnd"/>
      <w:r>
        <w:t xml:space="preserve"> vera who were resistant to or intolerant of hydroxyurea. 110 patients were randomi</w:t>
      </w:r>
      <w:r w:rsidR="00833FD2">
        <w:t>s</w:t>
      </w:r>
      <w:r>
        <w:t xml:space="preserve">ed to the </w:t>
      </w:r>
      <w:proofErr w:type="spellStart"/>
      <w:r>
        <w:t>ruxolitinib</w:t>
      </w:r>
      <w:proofErr w:type="spellEnd"/>
      <w:r>
        <w:t xml:space="preserve"> arm and 112 patients to the BAT arm. Cross-over could occur at Week 32 if BAT patients failed to meet the primary endpoint response, or after 32 weeks if they had a phlebotomy eligibility or spleen size progression. The starting dose of </w:t>
      </w:r>
      <w:proofErr w:type="spellStart"/>
      <w:r>
        <w:t>Jakavi</w:t>
      </w:r>
      <w:proofErr w:type="spellEnd"/>
      <w:r>
        <w:t xml:space="preserve"> was 10 mg twice daily. Doses were then adjusted in individual patients based on tolerability and efficacy with a maximum dose of 25 mg twice daily. BAT was selected by the investigator on a patient-by-patient basis and included hydroxyurea (59.5%), interferon/pegylated interferon (11.7%), anagrelide (7.2%), </w:t>
      </w:r>
      <w:proofErr w:type="spellStart"/>
      <w:r>
        <w:t>pipobroman</w:t>
      </w:r>
      <w:proofErr w:type="spellEnd"/>
      <w:r>
        <w:t xml:space="preserve"> (1.8%) and observation (15.3%).</w:t>
      </w:r>
    </w:p>
    <w:p w14:paraId="70E6263C" w14:textId="77777777" w:rsidR="00EB133D" w:rsidRPr="003B090F" w:rsidRDefault="00EB133D" w:rsidP="00EB133D">
      <w:r w:rsidRPr="003B090F">
        <w:t xml:space="preserve">Baseline demographics and disease characteristics were comparable between the two treatments arms. The median age was 60 years (range 33 to 90 years). Patients in the </w:t>
      </w:r>
      <w:proofErr w:type="spellStart"/>
      <w:r w:rsidRPr="003B090F">
        <w:t>ruxolitinib</w:t>
      </w:r>
      <w:proofErr w:type="spellEnd"/>
      <w:r w:rsidRPr="003B090F">
        <w:t xml:space="preserve"> arm had PV diagnosis for a median of 8.2 years and had previously received hydroxyurea for a median of approximately 3 years. Most patients (&gt; 80%) had received at least two phlebotomies in the last 24 weeks prior to screening.</w:t>
      </w:r>
    </w:p>
    <w:p w14:paraId="48F199D0" w14:textId="0D9106E4" w:rsidR="00EB133D" w:rsidRPr="003B090F" w:rsidRDefault="00EB133D" w:rsidP="00EB133D">
      <w:r w:rsidRPr="003B090F">
        <w:t>The primary composite endpoint was the proportion of patients achieving both the absence of phlebotomy eligibility (HCT control) and ≥ 35% reduction in spleen volume from baseline at Week 32. Phlebotomy eligibility was defined as a confirmed HCT &gt; 45% that is at least 3 percentage points higher than the HCT obtained at baseline or a confirmed HCT &gt; 48%, whichever is lower. Key secondary endpoints included the proportion of patients who achieved the primary endpoint and who remained free from progression at Week 48, and the proportion of patients achieving complete h</w:t>
      </w:r>
      <w:r w:rsidR="009238D1">
        <w:t>a</w:t>
      </w:r>
      <w:r w:rsidRPr="003B090F">
        <w:t>ematological remission at Week 32.</w:t>
      </w:r>
    </w:p>
    <w:p w14:paraId="77A69B26" w14:textId="2316D5BC" w:rsidR="00EB133D" w:rsidRPr="003B090F" w:rsidRDefault="00EB133D" w:rsidP="00EB133D">
      <w:r w:rsidRPr="003B090F">
        <w:t xml:space="preserve">The study met its primary objective and a higher proportion of patients in the </w:t>
      </w:r>
      <w:proofErr w:type="spellStart"/>
      <w:r w:rsidRPr="003B090F">
        <w:t>Jakavi</w:t>
      </w:r>
      <w:proofErr w:type="spellEnd"/>
      <w:r w:rsidRPr="003B090F">
        <w:t xml:space="preserve"> group achieved the primary composite endpoint and each of its individual components. Significantly more patients on </w:t>
      </w:r>
      <w:proofErr w:type="spellStart"/>
      <w:r w:rsidRPr="003B090F">
        <w:t>Jakavi</w:t>
      </w:r>
      <w:proofErr w:type="spellEnd"/>
      <w:r w:rsidRPr="003B090F">
        <w:t xml:space="preserve"> </w:t>
      </w:r>
      <w:r w:rsidRPr="004A12AC">
        <w:t>(22.7%)</w:t>
      </w:r>
      <w:r w:rsidRPr="003B090F">
        <w:t xml:space="preserve"> compared to BAT </w:t>
      </w:r>
      <w:r w:rsidRPr="004A12AC">
        <w:t>(0.9%)</w:t>
      </w:r>
      <w:r w:rsidRPr="003B090F">
        <w:t xml:space="preserve"> achieved a primary response </w:t>
      </w:r>
      <w:r w:rsidRPr="003B090F">
        <w:lastRenderedPageBreak/>
        <w:t>(p&lt;0.0001</w:t>
      </w:r>
      <w:r>
        <w:t xml:space="preserve">; </w:t>
      </w:r>
      <w:r w:rsidRPr="004A12AC">
        <w:t>95% CI: 15.3, 31.7 vs 0.0, 4.9</w:t>
      </w:r>
      <w:r w:rsidRPr="003B090F">
        <w:t>). H</w:t>
      </w:r>
      <w:r w:rsidR="009238D1">
        <w:t>a</w:t>
      </w:r>
      <w:r w:rsidRPr="003B090F">
        <w:t xml:space="preserve">ematocrit control was achieved in </w:t>
      </w:r>
      <w:r w:rsidRPr="004A12AC">
        <w:t>60%</w:t>
      </w:r>
      <w:r w:rsidRPr="003B090F">
        <w:t xml:space="preserve"> of patients in the </w:t>
      </w:r>
      <w:proofErr w:type="spellStart"/>
      <w:r w:rsidRPr="003B090F">
        <w:t>Jakavi</w:t>
      </w:r>
      <w:proofErr w:type="spellEnd"/>
      <w:r w:rsidRPr="003B090F">
        <w:t xml:space="preserve"> arm compared to </w:t>
      </w:r>
      <w:r w:rsidRPr="004A12AC">
        <w:t>19.6%</w:t>
      </w:r>
      <w:r w:rsidRPr="003B090F">
        <w:t xml:space="preserve"> in the BAT arm and ≥ 35% reduction in spleen volume was achieved in </w:t>
      </w:r>
      <w:r>
        <w:t>40</w:t>
      </w:r>
      <w:r w:rsidRPr="004A12AC">
        <w:t>%</w:t>
      </w:r>
      <w:r w:rsidRPr="003B090F">
        <w:t xml:space="preserve"> of patients in the </w:t>
      </w:r>
      <w:proofErr w:type="spellStart"/>
      <w:r w:rsidRPr="003B090F">
        <w:t>Jakavi</w:t>
      </w:r>
      <w:proofErr w:type="spellEnd"/>
      <w:r w:rsidRPr="003B090F">
        <w:t xml:space="preserve"> arm compared to </w:t>
      </w:r>
      <w:r w:rsidRPr="004A12AC">
        <w:t>0.9%</w:t>
      </w:r>
      <w:r w:rsidRPr="003B090F">
        <w:t xml:space="preserve"> in the BAT arm. </w:t>
      </w:r>
    </w:p>
    <w:p w14:paraId="55980C7A" w14:textId="0FC2111A" w:rsidR="00EB133D" w:rsidRPr="003B090F" w:rsidRDefault="00EB133D" w:rsidP="00EB133D">
      <w:r w:rsidRPr="003B090F">
        <w:t>Both key secondary endpoints were also met: The proportion of patients achieving a complete h</w:t>
      </w:r>
      <w:r w:rsidR="009238D1">
        <w:t>a</w:t>
      </w:r>
      <w:r w:rsidRPr="003B090F">
        <w:t xml:space="preserve">ematologic remission was </w:t>
      </w:r>
      <w:r w:rsidRPr="004A12AC">
        <w:t>23.6%</w:t>
      </w:r>
      <w:r w:rsidRPr="003B090F">
        <w:t xml:space="preserve"> on </w:t>
      </w:r>
      <w:proofErr w:type="spellStart"/>
      <w:r w:rsidRPr="003B090F">
        <w:t>Jakavi</w:t>
      </w:r>
      <w:proofErr w:type="spellEnd"/>
      <w:r w:rsidRPr="003B090F">
        <w:t xml:space="preserve"> compared to </w:t>
      </w:r>
      <w:r w:rsidRPr="004A12AC">
        <w:t>8.9</w:t>
      </w:r>
      <w:r w:rsidRPr="003B090F">
        <w:t xml:space="preserve">% on BAT (p=0.0028), and </w:t>
      </w:r>
      <w:r w:rsidRPr="004A12AC">
        <w:t xml:space="preserve">the proportion of patients achieving a durable primary response at week 48 was </w:t>
      </w:r>
      <w:r>
        <w:t>20</w:t>
      </w:r>
      <w:r w:rsidRPr="004A12AC">
        <w:t xml:space="preserve">% on </w:t>
      </w:r>
      <w:proofErr w:type="spellStart"/>
      <w:r w:rsidRPr="004A12AC">
        <w:t>Jakavi</w:t>
      </w:r>
      <w:proofErr w:type="spellEnd"/>
      <w:r w:rsidRPr="004A12AC">
        <w:t xml:space="preserve"> and 0.9% on BAT (p&lt;0.0001).</w:t>
      </w:r>
    </w:p>
    <w:p w14:paraId="45237E16" w14:textId="77777777" w:rsidR="00EB133D" w:rsidRDefault="00EB133D" w:rsidP="00EB133D">
      <w:r w:rsidRPr="003B090F">
        <w:t xml:space="preserve">Symptom burden was assessed using the MPN-SAF total symptom score (TSS) electronic patient diary consisting of 14 questions. At Week 32, 49% and 64% of </w:t>
      </w:r>
      <w:r>
        <w:t xml:space="preserve">evaluable </w:t>
      </w:r>
      <w:r w:rsidRPr="003B090F">
        <w:t xml:space="preserve">patients treated with </w:t>
      </w:r>
      <w:proofErr w:type="spellStart"/>
      <w:r w:rsidRPr="003B090F">
        <w:t>ruxolitinib</w:t>
      </w:r>
      <w:proofErr w:type="spellEnd"/>
      <w:r w:rsidRPr="003B090F">
        <w:t xml:space="preserve"> achieved a ≥50% reduction in TSS-14 and TSS-5, respectively, compared to only 5% and 11% of </w:t>
      </w:r>
      <w:r>
        <w:t xml:space="preserve">evaluable </w:t>
      </w:r>
      <w:r w:rsidRPr="003B090F">
        <w:t>patients on BAT.</w:t>
      </w:r>
    </w:p>
    <w:p w14:paraId="7DA8DCB1" w14:textId="3FD1757D" w:rsidR="00EB133D" w:rsidRDefault="00EB133D" w:rsidP="00EB133D">
      <w:r w:rsidRPr="003B090F">
        <w:t xml:space="preserve">Treatment benefit perception was measured by the Patient Global Impression of Change (PGIC) questionnaire. 66 % of </w:t>
      </w:r>
      <w:proofErr w:type="spellStart"/>
      <w:r w:rsidRPr="003B090F">
        <w:t>ruxolitinib</w:t>
      </w:r>
      <w:proofErr w:type="spellEnd"/>
      <w:r w:rsidRPr="003B090F">
        <w:t xml:space="preserve">-treated patients compared to 19% in BAT reported an improvement as early as 4 weeks after the start of treatment. Improvement in perception of treatment benefit was also higher in </w:t>
      </w:r>
      <w:proofErr w:type="spellStart"/>
      <w:r w:rsidRPr="003B090F">
        <w:t>ruxolitinib</w:t>
      </w:r>
      <w:proofErr w:type="spellEnd"/>
      <w:r w:rsidRPr="003B090F">
        <w:t>-treated patients at Week 32 (78% versus 33%).</w:t>
      </w:r>
    </w:p>
    <w:p w14:paraId="1713C7B2" w14:textId="5B4E1B7F" w:rsidR="00002902" w:rsidRDefault="00633626" w:rsidP="00002902">
      <w:pPr>
        <w:pStyle w:val="Heading3"/>
      </w:pPr>
      <w:r>
        <w:t xml:space="preserve">Acute </w:t>
      </w:r>
      <w:r w:rsidR="00002902">
        <w:t>Graft versus Host Disease</w:t>
      </w:r>
    </w:p>
    <w:p w14:paraId="5EE86A3A" w14:textId="2F0CF1B5" w:rsidR="007B2B77" w:rsidRDefault="002851CB" w:rsidP="007B2B77">
      <w:r>
        <w:t xml:space="preserve">The clinical efficacy of </w:t>
      </w:r>
      <w:proofErr w:type="spellStart"/>
      <w:r>
        <w:t>Jakavi</w:t>
      </w:r>
      <w:proofErr w:type="spellEnd"/>
      <w:r>
        <w:t xml:space="preserve"> in patients 12 years of age and older with GvHD has been investigated in </w:t>
      </w:r>
      <w:r w:rsidR="007B2B77">
        <w:t>REACH</w:t>
      </w:r>
      <w:proofErr w:type="gramStart"/>
      <w:r w:rsidR="007B2B77">
        <w:t>1</w:t>
      </w:r>
      <w:r>
        <w:t>,</w:t>
      </w:r>
      <w:r w:rsidR="007B2B77">
        <w:t xml:space="preserve">  a</w:t>
      </w:r>
      <w:proofErr w:type="gramEnd"/>
      <w:r w:rsidR="004B7FD3">
        <w:t xml:space="preserve"> phase 2</w:t>
      </w:r>
      <w:r w:rsidR="007B2B77">
        <w:t xml:space="preserve"> open-label, single-arm, multicentre study of </w:t>
      </w:r>
      <w:proofErr w:type="spellStart"/>
      <w:r w:rsidR="007B2B77">
        <w:t>Jakavi</w:t>
      </w:r>
      <w:proofErr w:type="spellEnd"/>
      <w:r w:rsidR="007B2B77">
        <w:t xml:space="preserve"> for treatment of patients with steroid-refractory </w:t>
      </w:r>
      <w:proofErr w:type="spellStart"/>
      <w:r w:rsidR="007B2B77">
        <w:t>aGVHD</w:t>
      </w:r>
      <w:proofErr w:type="spellEnd"/>
      <w:r w:rsidR="007B2B77">
        <w:t xml:space="preserve"> Grades 2 to 4 (Mount Sinai Acute GVHD International Consortium (MAGIC) criteria) occurring after allogeneic hematopoietic stem cell transplantation. </w:t>
      </w:r>
      <w:proofErr w:type="spellStart"/>
      <w:r w:rsidR="007B2B77">
        <w:t>Jakavi</w:t>
      </w:r>
      <w:proofErr w:type="spellEnd"/>
      <w:r w:rsidR="007B2B77">
        <w:t xml:space="preserve"> was administered at 5 mg twice daily, and the dose could be increased to 10 mg twice daily after 3 days in the absence of toxicity.</w:t>
      </w:r>
    </w:p>
    <w:p w14:paraId="6D705A9C" w14:textId="34006899" w:rsidR="003D249D" w:rsidRDefault="003D249D" w:rsidP="007B2B77">
      <w:r>
        <w:t xml:space="preserve">Seventy-one patients were enrolled in the study. These patients had a median age of 58 years (range 18-73 years), 49.3% were male and </w:t>
      </w:r>
      <w:proofErr w:type="gramStart"/>
      <w:r>
        <w:t>the majority of</w:t>
      </w:r>
      <w:proofErr w:type="gramEnd"/>
      <w:r>
        <w:t xml:space="preserve"> participants were White/Caucasian (93.0%)</w:t>
      </w:r>
    </w:p>
    <w:p w14:paraId="0EB9957E" w14:textId="4152364F" w:rsidR="003D249D" w:rsidRPr="003D249D" w:rsidRDefault="003D249D" w:rsidP="003D249D">
      <w:pPr>
        <w:rPr>
          <w:rFonts w:cs="Times New Roman"/>
          <w:color w:val="000000" w:themeColor="text1"/>
        </w:rPr>
      </w:pPr>
      <w:r w:rsidRPr="003D249D">
        <w:rPr>
          <w:color w:val="000000" w:themeColor="text1"/>
        </w:rPr>
        <w:t>In REACH1, the primary endpoint was the overall response rate (ORR) on Day 28, defined as the proportion of patients in each arm with a complete response (CR), Very good Partial Response (VGPR) or a partial response (PR) (</w:t>
      </w:r>
      <w:r w:rsidRPr="003D249D">
        <w:rPr>
          <w:rFonts w:cs="Times New Roman"/>
          <w:color w:val="000000" w:themeColor="text1"/>
        </w:rPr>
        <w:t>as per the CIBMTR modifications to the IBMTR response index).</w:t>
      </w:r>
    </w:p>
    <w:p w14:paraId="09FA4C4B" w14:textId="5C46EAA5" w:rsidR="003D249D" w:rsidRPr="003D249D" w:rsidRDefault="003D249D" w:rsidP="003D249D">
      <w:pPr>
        <w:rPr>
          <w:color w:val="000000" w:themeColor="text1"/>
        </w:rPr>
      </w:pPr>
      <w:r w:rsidRPr="003D249D">
        <w:rPr>
          <w:color w:val="000000" w:themeColor="text1"/>
        </w:rPr>
        <w:t>The key secondary endpoint was six-month</w:t>
      </w:r>
      <w:r>
        <w:rPr>
          <w:color w:val="000000" w:themeColor="text1"/>
        </w:rPr>
        <w:t xml:space="preserve"> duration of response</w:t>
      </w:r>
      <w:r w:rsidRPr="003D249D">
        <w:rPr>
          <w:color w:val="000000" w:themeColor="text1"/>
        </w:rPr>
        <w:t xml:space="preserve"> </w:t>
      </w:r>
      <w:r>
        <w:rPr>
          <w:color w:val="000000" w:themeColor="text1"/>
        </w:rPr>
        <w:t>(</w:t>
      </w:r>
      <w:r w:rsidRPr="003D249D">
        <w:rPr>
          <w:color w:val="000000" w:themeColor="text1"/>
        </w:rPr>
        <w:t>DOR</w:t>
      </w:r>
      <w:r>
        <w:rPr>
          <w:color w:val="000000" w:themeColor="text1"/>
        </w:rPr>
        <w:t>)</w:t>
      </w:r>
      <w:r w:rsidRPr="003D249D">
        <w:rPr>
          <w:color w:val="000000" w:themeColor="text1"/>
        </w:rPr>
        <w:t>, defined as the time from first response until G</w:t>
      </w:r>
      <w:r>
        <w:rPr>
          <w:color w:val="000000" w:themeColor="text1"/>
        </w:rPr>
        <w:t>v</w:t>
      </w:r>
      <w:r w:rsidRPr="003D249D">
        <w:rPr>
          <w:color w:val="000000" w:themeColor="text1"/>
        </w:rPr>
        <w:t>HD progression or death assessed when all participants who are still on study complete the Day 180 visit.</w:t>
      </w:r>
    </w:p>
    <w:p w14:paraId="664465D0" w14:textId="663C3857" w:rsidR="003D249D" w:rsidRDefault="00332693" w:rsidP="00332693">
      <w:pPr>
        <w:rPr>
          <w:color w:val="0000FF"/>
        </w:rPr>
      </w:pPr>
      <w:r>
        <w:t xml:space="preserve">The REACH 1 study achieved the predetermined threshold for a positive study outcome (lower limit of the 95% CI for Day 28 ORR ≥ 40%). Forty participants (56.3% [95% CI: 44.0, 68.1]) </w:t>
      </w:r>
      <w:r>
        <w:lastRenderedPageBreak/>
        <w:t>demonstrated a response at Day 28, including 19 participants (26.8%) who achieved a CR, 6 participants who achieved a VGPR (8.5%) and 15 participants who achieved a PR (21.1</w:t>
      </w:r>
      <w:r>
        <w:rPr>
          <w:color w:val="000000"/>
        </w:rPr>
        <w:t>%)</w:t>
      </w:r>
      <w:r>
        <w:rPr>
          <w:color w:val="0000FF"/>
        </w:rPr>
        <w:t>.</w:t>
      </w:r>
    </w:p>
    <w:p w14:paraId="5F8C118A" w14:textId="74786D39" w:rsidR="00E03C94" w:rsidRPr="00150334" w:rsidRDefault="00E03C94" w:rsidP="00150334">
      <w:pPr>
        <w:pStyle w:val="Heading3"/>
        <w:rPr>
          <w:rStyle w:val="Emphasis"/>
          <w:i w:val="0"/>
          <w:iCs w:val="0"/>
        </w:rPr>
      </w:pPr>
      <w:r w:rsidRPr="00150334">
        <w:rPr>
          <w:rStyle w:val="Emphasis"/>
          <w:i w:val="0"/>
          <w:iCs w:val="0"/>
        </w:rPr>
        <w:t xml:space="preserve">Chronic </w:t>
      </w:r>
      <w:r w:rsidR="00150334">
        <w:rPr>
          <w:rStyle w:val="Emphasis"/>
          <w:i w:val="0"/>
          <w:iCs w:val="0"/>
        </w:rPr>
        <w:t>G</w:t>
      </w:r>
      <w:r w:rsidRPr="00150334">
        <w:rPr>
          <w:rStyle w:val="Emphasis"/>
          <w:i w:val="0"/>
          <w:iCs w:val="0"/>
        </w:rPr>
        <w:t>raft</w:t>
      </w:r>
      <w:r w:rsidR="00150334">
        <w:rPr>
          <w:rStyle w:val="Emphasis"/>
          <w:i w:val="0"/>
          <w:iCs w:val="0"/>
        </w:rPr>
        <w:t xml:space="preserve"> </w:t>
      </w:r>
      <w:r w:rsidRPr="00150334">
        <w:rPr>
          <w:rStyle w:val="Emphasis"/>
          <w:i w:val="0"/>
          <w:iCs w:val="0"/>
        </w:rPr>
        <w:t>versus</w:t>
      </w:r>
      <w:r w:rsidR="00150334">
        <w:rPr>
          <w:rStyle w:val="Emphasis"/>
          <w:i w:val="0"/>
          <w:iCs w:val="0"/>
        </w:rPr>
        <w:t xml:space="preserve"> </w:t>
      </w:r>
      <w:r w:rsidR="00150334" w:rsidRPr="00150334">
        <w:rPr>
          <w:rStyle w:val="Emphasis"/>
          <w:i w:val="0"/>
          <w:iCs w:val="0"/>
        </w:rPr>
        <w:t>Host Disease</w:t>
      </w:r>
    </w:p>
    <w:p w14:paraId="1B89B56D" w14:textId="6672BA17" w:rsidR="00E03C94" w:rsidRPr="004D4478" w:rsidRDefault="00E03C94" w:rsidP="00E03C94">
      <w:r>
        <w:t>In REACH3, 329 patients with moderate or severe corticosteroid-refractory, chronic GvHD were randomi</w:t>
      </w:r>
      <w:r w:rsidR="00833FD2">
        <w:t>s</w:t>
      </w:r>
      <w:r>
        <w:t xml:space="preserve">ed 1:1 to </w:t>
      </w:r>
      <w:proofErr w:type="spellStart"/>
      <w:r>
        <w:t>Jakavi</w:t>
      </w:r>
      <w:proofErr w:type="spellEnd"/>
      <w:r>
        <w:t xml:space="preserve"> </w:t>
      </w:r>
      <w:r w:rsidR="009A625B">
        <w:t xml:space="preserve">10 mg twice daily (n=165) </w:t>
      </w:r>
      <w:r>
        <w:t>or BAT</w:t>
      </w:r>
      <w:r w:rsidR="009A625B">
        <w:t xml:space="preserve"> (n=164)</w:t>
      </w:r>
      <w:r>
        <w:t>.</w:t>
      </w:r>
      <w:r w:rsidRPr="53F9EDF2">
        <w:rPr>
          <w:rFonts w:eastAsia="Times New Roman"/>
          <w:szCs w:val="24"/>
        </w:rPr>
        <w:t xml:space="preserve"> </w:t>
      </w:r>
      <w:r w:rsidRPr="004D4478">
        <w:t>Patients were stratified by severity of chronic GvHD at the time of randomi</w:t>
      </w:r>
      <w:r w:rsidR="00833FD2">
        <w:t>s</w:t>
      </w:r>
      <w:r w:rsidRPr="004D4478">
        <w:t xml:space="preserve">ation. </w:t>
      </w:r>
      <w:r>
        <w:t>Corticos</w:t>
      </w:r>
      <w:r w:rsidRPr="004D4478">
        <w:t>teroid</w:t>
      </w:r>
      <w:r w:rsidRPr="0090312C">
        <w:t xml:space="preserve"> </w:t>
      </w:r>
      <w:r w:rsidRPr="004D4478">
        <w:t>refractor</w:t>
      </w:r>
      <w:r>
        <w:t xml:space="preserve">iness </w:t>
      </w:r>
      <w:r w:rsidRPr="004D4478">
        <w:t xml:space="preserve">was determined when patients had lack of response or disease progression after 7 days, or had disease persistence for 4 weeks or failed </w:t>
      </w:r>
      <w:r>
        <w:t>cortico</w:t>
      </w:r>
      <w:r w:rsidRPr="004D4478">
        <w:t>steroid taper twice.</w:t>
      </w:r>
    </w:p>
    <w:p w14:paraId="0D01C55B" w14:textId="06A3255A" w:rsidR="00E03C94" w:rsidRPr="005C00D0" w:rsidRDefault="00E03C94" w:rsidP="00E03C94">
      <w:r>
        <w:t xml:space="preserve">BAT was selected by the investigator on a patient-by-patient basis and included extracorporeal photopheresis (ECP), low dose methotrexate (MTX), mycophenolate mofetil (MMF), mTOR </w:t>
      </w:r>
      <w:r w:rsidRPr="005C00D0">
        <w:t>inhibitors (</w:t>
      </w:r>
      <w:proofErr w:type="spellStart"/>
      <w:r w:rsidRPr="005C00D0">
        <w:t>everolimus</w:t>
      </w:r>
      <w:proofErr w:type="spellEnd"/>
      <w:r w:rsidRPr="005C00D0">
        <w:t xml:space="preserve"> or sirolimus), infliximab, rituximab, </w:t>
      </w:r>
      <w:proofErr w:type="spellStart"/>
      <w:r w:rsidRPr="005C00D0">
        <w:t>pentostatin</w:t>
      </w:r>
      <w:proofErr w:type="spellEnd"/>
      <w:r w:rsidRPr="005C00D0">
        <w:t>, imatinib, or ibrutinib.</w:t>
      </w:r>
    </w:p>
    <w:p w14:paraId="05EDA16F" w14:textId="5352D20B" w:rsidR="00E03C94" w:rsidRPr="005C00D0" w:rsidRDefault="00E03C94" w:rsidP="00E03C94">
      <w:r w:rsidRPr="005C00D0">
        <w:t xml:space="preserve">In addition to </w:t>
      </w:r>
      <w:proofErr w:type="spellStart"/>
      <w:r w:rsidRPr="005C00D0">
        <w:t>Jakavi</w:t>
      </w:r>
      <w:proofErr w:type="spellEnd"/>
      <w:r w:rsidRPr="005C00D0">
        <w:t xml:space="preserve"> or BAT, patients could have received standard allogeneic stem cell transplantation supportive care including anti-infective medications and transfusion support as well as standard chronic GvHD prophylaxis and treatment medications initiated before randomi</w:t>
      </w:r>
      <w:r w:rsidR="00833FD2">
        <w:t>s</w:t>
      </w:r>
      <w:r w:rsidRPr="005C00D0">
        <w:t>ation including systemic corticosteroids and CNIs (cyclosporine or tacrolimus). Topical or inhaled corticosteroid therapy was allowed to be continued per institutional guidelines.</w:t>
      </w:r>
    </w:p>
    <w:p w14:paraId="0856CE88" w14:textId="3CE1EE80" w:rsidR="00E03C94" w:rsidRPr="005C00D0" w:rsidRDefault="00E03C94" w:rsidP="00E03C94">
      <w:r w:rsidRPr="005C00D0">
        <w:t>Patients randomi</w:t>
      </w:r>
      <w:r w:rsidR="00833FD2">
        <w:t>s</w:t>
      </w:r>
      <w:r w:rsidRPr="005C00D0">
        <w:t xml:space="preserve">ed to the BAT arm were allowed to cross over to the </w:t>
      </w:r>
      <w:proofErr w:type="spellStart"/>
      <w:r w:rsidRPr="005C00D0">
        <w:t>Jakavi</w:t>
      </w:r>
      <w:proofErr w:type="spellEnd"/>
      <w:r w:rsidRPr="005C00D0">
        <w:t xml:space="preserve"> arm after the Cycle 7 Day 1 visit (week 24). Tapering of </w:t>
      </w:r>
      <w:proofErr w:type="spellStart"/>
      <w:r w:rsidRPr="005C00D0">
        <w:t>Jakavi</w:t>
      </w:r>
      <w:proofErr w:type="spellEnd"/>
      <w:r w:rsidRPr="005C00D0">
        <w:t xml:space="preserve"> was allowed after the Cycle 7 Day 1 visit.</w:t>
      </w:r>
    </w:p>
    <w:p w14:paraId="053DFB85" w14:textId="33F747E5" w:rsidR="00E03C94" w:rsidRDefault="00E03C94" w:rsidP="00E03C94">
      <w:r w:rsidRPr="005C00D0">
        <w:t>Baseline demographics and disease characteristics were balanced between the two treatment arms. The median age was 49 years (range 12 to 76 years). The study included 3.6% adolescent, 61.1% male and 75.4% white patients. The majority of enrolled patients had malignant underlying disease.</w:t>
      </w:r>
    </w:p>
    <w:p w14:paraId="35E6D510" w14:textId="20FA0390" w:rsidR="00E03C94" w:rsidRPr="00E10291" w:rsidRDefault="00E03C94" w:rsidP="00E03C94">
      <w:r w:rsidRPr="00E10291">
        <w:t xml:space="preserve">The severity at diagnosis of corticosteroid-refractory chronic GvHD was balanced between the two treatment arms, with 41% and 45% moderate, and 59% and 55% severe, in the </w:t>
      </w:r>
      <w:proofErr w:type="spellStart"/>
      <w:r w:rsidRPr="00E10291">
        <w:t>Jakavi</w:t>
      </w:r>
      <w:proofErr w:type="spellEnd"/>
      <w:r w:rsidRPr="00E10291">
        <w:t xml:space="preserve"> and the BAT arms, respectively.</w:t>
      </w:r>
    </w:p>
    <w:p w14:paraId="7388A60B" w14:textId="442C13A7" w:rsidR="00E03C94" w:rsidRPr="001A726D" w:rsidRDefault="00E03C94" w:rsidP="00E03C94">
      <w:r w:rsidRPr="001A726D">
        <w:t xml:space="preserve">Patients’ insufficient response to corticosteroids in the </w:t>
      </w:r>
      <w:proofErr w:type="spellStart"/>
      <w:r w:rsidRPr="001A726D">
        <w:t>Jakavi</w:t>
      </w:r>
      <w:proofErr w:type="spellEnd"/>
      <w:r w:rsidRPr="001A726D">
        <w:t xml:space="preserve"> and BAT arm were characteri</w:t>
      </w:r>
      <w:r w:rsidR="00833FD2">
        <w:t>s</w:t>
      </w:r>
      <w:r w:rsidRPr="001A726D">
        <w:t xml:space="preserve">ed by </w:t>
      </w:r>
      <w:proofErr w:type="spellStart"/>
      <w:r w:rsidRPr="001A726D">
        <w:t>i</w:t>
      </w:r>
      <w:proofErr w:type="spellEnd"/>
      <w:r w:rsidRPr="001A726D">
        <w:t>) a</w:t>
      </w:r>
      <w:r w:rsidRPr="001A726D">
        <w:rPr>
          <w:rFonts w:eastAsia="Times New Roman"/>
        </w:rPr>
        <w:t xml:space="preserve"> lack of response or disease progression after </w:t>
      </w:r>
      <w:r w:rsidRPr="001A726D">
        <w:t xml:space="preserve">corticosteroid </w:t>
      </w:r>
      <w:r w:rsidRPr="001A726D">
        <w:rPr>
          <w:rFonts w:eastAsia="Times New Roman"/>
        </w:rPr>
        <w:t xml:space="preserve">treatment for at least </w:t>
      </w:r>
      <w:r w:rsidRPr="001A726D">
        <w:t xml:space="preserve">7 days at 1mg/kg/day of prednisone equivalents </w:t>
      </w:r>
      <w:r w:rsidRPr="001A726D">
        <w:rPr>
          <w:rFonts w:eastAsia="Times New Roman"/>
        </w:rPr>
        <w:t>(37.6% and 44.5%, respectively), ii) disease persistence after 4 weeks at 0.5 mg/kg/day (35.2</w:t>
      </w:r>
      <w:r w:rsidRPr="001A726D">
        <w:t>% and 25.6%), or iii) c</w:t>
      </w:r>
      <w:r w:rsidRPr="001A726D">
        <w:rPr>
          <w:rFonts w:eastAsia="Times New Roman"/>
        </w:rPr>
        <w:t>orticosteroid dependency (27.3% and 29.9%, respectively).</w:t>
      </w:r>
    </w:p>
    <w:p w14:paraId="5C56EF07" w14:textId="23CF6714" w:rsidR="00E03C94" w:rsidRPr="005C00D0" w:rsidRDefault="00E03C94" w:rsidP="00E03C94">
      <w:r w:rsidRPr="001A726D">
        <w:t>Among all patients,</w:t>
      </w:r>
      <w:r w:rsidRPr="001A726D">
        <w:rPr>
          <w:rFonts w:eastAsia="Times New Roman"/>
        </w:rPr>
        <w:t xml:space="preserve"> 73% and 45% had skin and lung involvement in the </w:t>
      </w:r>
      <w:proofErr w:type="spellStart"/>
      <w:r w:rsidRPr="001A726D">
        <w:rPr>
          <w:rFonts w:eastAsia="Times New Roman"/>
        </w:rPr>
        <w:t>Jakavi</w:t>
      </w:r>
      <w:proofErr w:type="spellEnd"/>
      <w:r w:rsidRPr="001A726D">
        <w:rPr>
          <w:rFonts w:eastAsia="Times New Roman"/>
        </w:rPr>
        <w:t xml:space="preserve"> arm, compared to 69% and 41% in </w:t>
      </w:r>
      <w:r w:rsidRPr="001A726D">
        <w:t>the BAT arm.</w:t>
      </w:r>
    </w:p>
    <w:p w14:paraId="0E1CC347" w14:textId="77777777" w:rsidR="00E03C94" w:rsidRPr="005C00D0" w:rsidRDefault="00E03C94" w:rsidP="00E03C94">
      <w:pPr>
        <w:rPr>
          <w:rFonts w:eastAsia="Times New Roman"/>
        </w:rPr>
      </w:pPr>
      <w:r w:rsidRPr="005C00D0">
        <w:rPr>
          <w:rFonts w:eastAsia="Times New Roman"/>
        </w:rPr>
        <w:lastRenderedPageBreak/>
        <w:t xml:space="preserve">The most frequently used prior systemic chronic GvHD therapies were corticosteroids only (43% in the </w:t>
      </w:r>
      <w:proofErr w:type="spellStart"/>
      <w:r w:rsidRPr="005C00D0">
        <w:rPr>
          <w:rFonts w:eastAsia="Times New Roman"/>
        </w:rPr>
        <w:t>Jakavi</w:t>
      </w:r>
      <w:proofErr w:type="spellEnd"/>
      <w:r w:rsidRPr="005C00D0">
        <w:rPr>
          <w:rFonts w:eastAsia="Times New Roman"/>
        </w:rPr>
        <w:t xml:space="preserve"> arm and 49% in the BAT arm) and </w:t>
      </w:r>
      <w:proofErr w:type="spellStart"/>
      <w:r w:rsidRPr="005C00D0">
        <w:rPr>
          <w:rFonts w:eastAsia="Times New Roman"/>
        </w:rPr>
        <w:t>corticosteroids+CNIs</w:t>
      </w:r>
      <w:proofErr w:type="spellEnd"/>
      <w:r w:rsidRPr="005C00D0">
        <w:rPr>
          <w:rFonts w:eastAsia="Times New Roman"/>
        </w:rPr>
        <w:t xml:space="preserve"> (41% patients in the </w:t>
      </w:r>
      <w:proofErr w:type="spellStart"/>
      <w:r w:rsidRPr="005C00D0">
        <w:rPr>
          <w:rFonts w:eastAsia="Times New Roman"/>
        </w:rPr>
        <w:t>Jakavi</w:t>
      </w:r>
      <w:proofErr w:type="spellEnd"/>
      <w:r w:rsidRPr="005C00D0">
        <w:rPr>
          <w:rFonts w:eastAsia="Times New Roman"/>
        </w:rPr>
        <w:t xml:space="preserve"> arm and 42% in the BAT arm).</w:t>
      </w:r>
    </w:p>
    <w:p w14:paraId="007C2535" w14:textId="29D808EE" w:rsidR="00E03C94" w:rsidRDefault="00E03C94" w:rsidP="00E03C94">
      <w:r w:rsidRPr="005C00D0">
        <w:t>The primary endpoint was the ORR on Day 1 of Cycle 7, defined as the proportion of patients in each arm with a CR or a PR without the requirement of additional systemic therapies for an earlier progression, mixed response or non-response based on investigator assessment per NIH crit</w:t>
      </w:r>
      <w:r w:rsidR="00FE6902">
        <w:t>eria</w:t>
      </w:r>
      <w:r w:rsidRPr="005C00D0">
        <w:t>.</w:t>
      </w:r>
    </w:p>
    <w:p w14:paraId="3A677ECF" w14:textId="00029677" w:rsidR="00E03C94" w:rsidRDefault="00E03C94" w:rsidP="00E03C94">
      <w:r w:rsidRPr="001C0794">
        <w:rPr>
          <w:rFonts w:eastAsia="Times New Roman"/>
        </w:rPr>
        <w:t xml:space="preserve">REACH3 met its primary objective. </w:t>
      </w:r>
      <w:r w:rsidRPr="001C0794">
        <w:t xml:space="preserve">ORR at week 24 was </w:t>
      </w:r>
      <w:r w:rsidRPr="001C0794">
        <w:rPr>
          <w:rFonts w:eastAsia="Times New Roman"/>
        </w:rPr>
        <w:t xml:space="preserve">higher in the </w:t>
      </w:r>
      <w:proofErr w:type="spellStart"/>
      <w:r w:rsidRPr="001C0794">
        <w:rPr>
          <w:rFonts w:eastAsia="Times New Roman"/>
        </w:rPr>
        <w:t>Jakavi</w:t>
      </w:r>
      <w:proofErr w:type="spellEnd"/>
      <w:r w:rsidRPr="001C0794">
        <w:rPr>
          <w:rFonts w:eastAsia="Times New Roman"/>
        </w:rPr>
        <w:t xml:space="preserve"> arm (49.7%) compared to the BAT arm (25.6%). </w:t>
      </w:r>
      <w:r w:rsidRPr="001C0794">
        <w:t>There was a statistically significant difference between the treatment arms (stratified Cochrane-Mantel-Haenszel test p&lt;0.0001, one-sided, OR: 2.99; 95% CI: 1.86, 4.80).</w:t>
      </w:r>
      <w:r w:rsidRPr="001C0794">
        <w:rPr>
          <w:rFonts w:eastAsia="Times New Roman"/>
        </w:rPr>
        <w:t xml:space="preserve"> </w:t>
      </w:r>
      <w:r w:rsidRPr="001C0794">
        <w:t xml:space="preserve">Results are presented in Table </w:t>
      </w:r>
      <w:r>
        <w:t>9.</w:t>
      </w:r>
    </w:p>
    <w:p w14:paraId="585DD68A" w14:textId="36953CC3" w:rsidR="00002902" w:rsidRDefault="00E03C94" w:rsidP="00B67399">
      <w:pPr>
        <w:pStyle w:val="Text"/>
        <w:keepNext/>
        <w:keepLines/>
      </w:pPr>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F06539">
        <w:rPr>
          <w:noProof/>
        </w:rPr>
        <w:t>9</w:t>
      </w:r>
      <w:r>
        <w:rPr>
          <w:color w:val="2B579A"/>
          <w:shd w:val="clear" w:color="auto" w:fill="E6E6E6"/>
        </w:rPr>
        <w:fldChar w:fldCharType="end"/>
      </w:r>
      <w:r>
        <w:t xml:space="preserve"> Overall response rate at Cycle 7 Day 1 in REACH3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4"/>
        <w:gridCol w:w="1559"/>
        <w:gridCol w:w="1985"/>
        <w:gridCol w:w="1847"/>
      </w:tblGrid>
      <w:tr w:rsidR="00E03C94" w:rsidRPr="00E03C94" w14:paraId="61086E88" w14:textId="77777777" w:rsidTr="00E03C94">
        <w:trPr>
          <w:tblHeader/>
        </w:trPr>
        <w:tc>
          <w:tcPr>
            <w:tcW w:w="2127" w:type="dxa"/>
            <w:tcBorders>
              <w:left w:val="nil"/>
            </w:tcBorders>
            <w:shd w:val="clear" w:color="auto" w:fill="auto"/>
          </w:tcPr>
          <w:p w14:paraId="39E01795" w14:textId="77777777" w:rsidR="00E03C94" w:rsidRPr="00E03C94" w:rsidRDefault="00E03C94" w:rsidP="00B67399">
            <w:pPr>
              <w:pStyle w:val="Table"/>
              <w:keepNext/>
              <w:spacing w:before="0" w:line="360" w:lineRule="auto"/>
              <w:rPr>
                <w:b w:val="0"/>
              </w:rPr>
            </w:pPr>
          </w:p>
        </w:tc>
        <w:tc>
          <w:tcPr>
            <w:tcW w:w="3113" w:type="dxa"/>
            <w:gridSpan w:val="2"/>
            <w:shd w:val="clear" w:color="auto" w:fill="auto"/>
          </w:tcPr>
          <w:p w14:paraId="64F57B08" w14:textId="77777777" w:rsidR="00E03C94" w:rsidRPr="00E03C94" w:rsidRDefault="00E03C94" w:rsidP="00B67399">
            <w:pPr>
              <w:pStyle w:val="Table"/>
              <w:keepNext/>
              <w:spacing w:before="0" w:line="360" w:lineRule="auto"/>
              <w:jc w:val="center"/>
              <w:rPr>
                <w:b w:val="0"/>
              </w:rPr>
            </w:pPr>
            <w:proofErr w:type="spellStart"/>
            <w:r w:rsidRPr="00E03C94">
              <w:t>Jakavi</w:t>
            </w:r>
            <w:proofErr w:type="spellEnd"/>
          </w:p>
          <w:p w14:paraId="387DBBD2" w14:textId="77777777" w:rsidR="00E03C94" w:rsidRPr="00E03C94" w:rsidRDefault="00E03C94" w:rsidP="00B67399">
            <w:pPr>
              <w:pStyle w:val="Table"/>
              <w:keepNext/>
              <w:spacing w:before="0" w:line="360" w:lineRule="auto"/>
              <w:jc w:val="center"/>
              <w:rPr>
                <w:b w:val="0"/>
              </w:rPr>
            </w:pPr>
            <w:r w:rsidRPr="00E03C94">
              <w:t>N = 165</w:t>
            </w:r>
          </w:p>
        </w:tc>
        <w:tc>
          <w:tcPr>
            <w:tcW w:w="3832" w:type="dxa"/>
            <w:gridSpan w:val="2"/>
            <w:tcBorders>
              <w:right w:val="nil"/>
            </w:tcBorders>
            <w:shd w:val="clear" w:color="auto" w:fill="auto"/>
          </w:tcPr>
          <w:p w14:paraId="4A9B3FEE" w14:textId="77777777" w:rsidR="00E03C94" w:rsidRPr="00E03C94" w:rsidRDefault="00E03C94" w:rsidP="00B67399">
            <w:pPr>
              <w:pStyle w:val="Table"/>
              <w:keepNext/>
              <w:spacing w:before="0" w:line="360" w:lineRule="auto"/>
              <w:jc w:val="center"/>
              <w:rPr>
                <w:b w:val="0"/>
              </w:rPr>
            </w:pPr>
            <w:r w:rsidRPr="00E03C94">
              <w:t>BAT</w:t>
            </w:r>
          </w:p>
          <w:p w14:paraId="40F062BB" w14:textId="77777777" w:rsidR="00E03C94" w:rsidRPr="00E03C94" w:rsidRDefault="00E03C94" w:rsidP="00B67399">
            <w:pPr>
              <w:pStyle w:val="Table"/>
              <w:keepNext/>
              <w:spacing w:before="0" w:line="360" w:lineRule="auto"/>
              <w:jc w:val="center"/>
              <w:rPr>
                <w:b w:val="0"/>
              </w:rPr>
            </w:pPr>
            <w:r w:rsidRPr="00E03C94">
              <w:t>N = 164</w:t>
            </w:r>
          </w:p>
        </w:tc>
      </w:tr>
      <w:tr w:rsidR="00E03C94" w:rsidRPr="00E03C94" w14:paraId="764D3569" w14:textId="77777777" w:rsidTr="00E03C94">
        <w:trPr>
          <w:tblHeader/>
        </w:trPr>
        <w:tc>
          <w:tcPr>
            <w:tcW w:w="2127" w:type="dxa"/>
            <w:tcBorders>
              <w:left w:val="nil"/>
            </w:tcBorders>
            <w:shd w:val="clear" w:color="auto" w:fill="auto"/>
          </w:tcPr>
          <w:p w14:paraId="1B854601" w14:textId="77777777" w:rsidR="00E03C94" w:rsidRPr="00E03C94" w:rsidRDefault="00E03C94" w:rsidP="00E03C94">
            <w:pPr>
              <w:pStyle w:val="Table"/>
              <w:spacing w:before="0" w:line="360" w:lineRule="auto"/>
              <w:rPr>
                <w:b w:val="0"/>
              </w:rPr>
            </w:pPr>
          </w:p>
        </w:tc>
        <w:tc>
          <w:tcPr>
            <w:tcW w:w="1554" w:type="dxa"/>
            <w:shd w:val="clear" w:color="auto" w:fill="auto"/>
          </w:tcPr>
          <w:p w14:paraId="62DB4BBC" w14:textId="77777777" w:rsidR="00E03C94" w:rsidRPr="00E03C94" w:rsidRDefault="00E03C94" w:rsidP="00E03C94">
            <w:pPr>
              <w:pStyle w:val="Table"/>
              <w:spacing w:before="0" w:line="360" w:lineRule="auto"/>
              <w:jc w:val="center"/>
              <w:rPr>
                <w:b w:val="0"/>
              </w:rPr>
            </w:pPr>
            <w:r w:rsidRPr="00E03C94">
              <w:t>n (%)</w:t>
            </w:r>
          </w:p>
        </w:tc>
        <w:tc>
          <w:tcPr>
            <w:tcW w:w="1559" w:type="dxa"/>
            <w:shd w:val="clear" w:color="auto" w:fill="auto"/>
          </w:tcPr>
          <w:p w14:paraId="11F54E0E" w14:textId="77777777" w:rsidR="00E03C94" w:rsidRPr="00E03C94" w:rsidRDefault="00E03C94" w:rsidP="00E03C94">
            <w:pPr>
              <w:pStyle w:val="Table"/>
              <w:spacing w:before="0" w:line="360" w:lineRule="auto"/>
              <w:jc w:val="center"/>
              <w:rPr>
                <w:b w:val="0"/>
              </w:rPr>
            </w:pPr>
            <w:r w:rsidRPr="00E03C94">
              <w:t>95% CI</w:t>
            </w:r>
          </w:p>
        </w:tc>
        <w:tc>
          <w:tcPr>
            <w:tcW w:w="1985" w:type="dxa"/>
            <w:shd w:val="clear" w:color="auto" w:fill="auto"/>
          </w:tcPr>
          <w:p w14:paraId="0AC03200" w14:textId="77777777" w:rsidR="00E03C94" w:rsidRPr="00E03C94" w:rsidRDefault="00E03C94" w:rsidP="00E03C94">
            <w:pPr>
              <w:pStyle w:val="Table"/>
              <w:spacing w:before="0" w:line="360" w:lineRule="auto"/>
              <w:jc w:val="center"/>
              <w:rPr>
                <w:b w:val="0"/>
              </w:rPr>
            </w:pPr>
            <w:r w:rsidRPr="00E03C94">
              <w:t>n (%)</w:t>
            </w:r>
          </w:p>
        </w:tc>
        <w:tc>
          <w:tcPr>
            <w:tcW w:w="1847" w:type="dxa"/>
            <w:tcBorders>
              <w:right w:val="nil"/>
            </w:tcBorders>
            <w:shd w:val="clear" w:color="auto" w:fill="auto"/>
          </w:tcPr>
          <w:p w14:paraId="0A4AE559" w14:textId="77777777" w:rsidR="00E03C94" w:rsidRPr="00E03C94" w:rsidRDefault="00E03C94" w:rsidP="00E03C94">
            <w:pPr>
              <w:pStyle w:val="Table"/>
              <w:spacing w:before="0" w:line="360" w:lineRule="auto"/>
              <w:jc w:val="center"/>
              <w:rPr>
                <w:b w:val="0"/>
              </w:rPr>
            </w:pPr>
            <w:r w:rsidRPr="00E03C94">
              <w:t>95% CI</w:t>
            </w:r>
          </w:p>
        </w:tc>
      </w:tr>
      <w:tr w:rsidR="00E03C94" w:rsidRPr="00E03C94" w14:paraId="6A1C9A13" w14:textId="77777777" w:rsidTr="00E03C94">
        <w:tc>
          <w:tcPr>
            <w:tcW w:w="2127" w:type="dxa"/>
            <w:tcBorders>
              <w:left w:val="nil"/>
            </w:tcBorders>
            <w:shd w:val="clear" w:color="auto" w:fill="auto"/>
          </w:tcPr>
          <w:p w14:paraId="0B06F230" w14:textId="77777777" w:rsidR="00E03C94" w:rsidRPr="00E03C94" w:rsidRDefault="00E03C94" w:rsidP="00E03C94">
            <w:pPr>
              <w:pStyle w:val="Table"/>
              <w:spacing w:before="0" w:line="360" w:lineRule="auto"/>
              <w:rPr>
                <w:b w:val="0"/>
              </w:rPr>
            </w:pPr>
            <w:r w:rsidRPr="00E03C94">
              <w:rPr>
                <w:b w:val="0"/>
              </w:rPr>
              <w:t>Overall Response</w:t>
            </w:r>
          </w:p>
        </w:tc>
        <w:tc>
          <w:tcPr>
            <w:tcW w:w="1554" w:type="dxa"/>
            <w:shd w:val="clear" w:color="auto" w:fill="auto"/>
          </w:tcPr>
          <w:p w14:paraId="2485C46D" w14:textId="77777777" w:rsidR="00E03C94" w:rsidRPr="00E03C94" w:rsidRDefault="00E03C94" w:rsidP="00E03C94">
            <w:pPr>
              <w:pStyle w:val="Table"/>
              <w:spacing w:before="0" w:line="360" w:lineRule="auto"/>
              <w:jc w:val="center"/>
              <w:rPr>
                <w:b w:val="0"/>
              </w:rPr>
            </w:pPr>
            <w:r w:rsidRPr="00E03C94">
              <w:rPr>
                <w:b w:val="0"/>
              </w:rPr>
              <w:t>82 (49.7)</w:t>
            </w:r>
          </w:p>
        </w:tc>
        <w:tc>
          <w:tcPr>
            <w:tcW w:w="1559" w:type="dxa"/>
            <w:shd w:val="clear" w:color="auto" w:fill="auto"/>
          </w:tcPr>
          <w:p w14:paraId="3ACD4AC9" w14:textId="77777777" w:rsidR="00E03C94" w:rsidRPr="00E03C94" w:rsidRDefault="00E03C94" w:rsidP="00E03C94">
            <w:pPr>
              <w:pStyle w:val="Table"/>
              <w:spacing w:before="0" w:line="360" w:lineRule="auto"/>
              <w:jc w:val="center"/>
              <w:rPr>
                <w:b w:val="0"/>
              </w:rPr>
            </w:pPr>
            <w:r w:rsidRPr="00E03C94">
              <w:rPr>
                <w:b w:val="0"/>
              </w:rPr>
              <w:t>41.8, 57.6</w:t>
            </w:r>
          </w:p>
        </w:tc>
        <w:tc>
          <w:tcPr>
            <w:tcW w:w="1985" w:type="dxa"/>
            <w:shd w:val="clear" w:color="auto" w:fill="auto"/>
          </w:tcPr>
          <w:p w14:paraId="70BADBE8" w14:textId="77777777" w:rsidR="00E03C94" w:rsidRPr="00E03C94" w:rsidRDefault="00E03C94" w:rsidP="00E03C94">
            <w:pPr>
              <w:pStyle w:val="Table"/>
              <w:spacing w:before="0" w:line="360" w:lineRule="auto"/>
              <w:jc w:val="center"/>
              <w:rPr>
                <w:b w:val="0"/>
              </w:rPr>
            </w:pPr>
            <w:r w:rsidRPr="00E03C94">
              <w:rPr>
                <w:b w:val="0"/>
              </w:rPr>
              <w:t>42 (25.6)</w:t>
            </w:r>
          </w:p>
        </w:tc>
        <w:tc>
          <w:tcPr>
            <w:tcW w:w="1847" w:type="dxa"/>
            <w:tcBorders>
              <w:right w:val="nil"/>
            </w:tcBorders>
            <w:shd w:val="clear" w:color="auto" w:fill="auto"/>
          </w:tcPr>
          <w:p w14:paraId="4B9339C8" w14:textId="77777777" w:rsidR="00E03C94" w:rsidRPr="00E03C94" w:rsidRDefault="00E03C94" w:rsidP="00E03C94">
            <w:pPr>
              <w:pStyle w:val="Table"/>
              <w:spacing w:before="0" w:line="360" w:lineRule="auto"/>
              <w:jc w:val="center"/>
              <w:rPr>
                <w:b w:val="0"/>
              </w:rPr>
            </w:pPr>
            <w:r w:rsidRPr="00E03C94">
              <w:rPr>
                <w:b w:val="0"/>
              </w:rPr>
              <w:t>19.1, 33.0</w:t>
            </w:r>
          </w:p>
        </w:tc>
      </w:tr>
      <w:tr w:rsidR="00E03C94" w:rsidRPr="00E03C94" w14:paraId="0631CB5F" w14:textId="77777777" w:rsidTr="00E03C94">
        <w:tc>
          <w:tcPr>
            <w:tcW w:w="2127" w:type="dxa"/>
            <w:tcBorders>
              <w:left w:val="nil"/>
            </w:tcBorders>
            <w:shd w:val="clear" w:color="auto" w:fill="auto"/>
          </w:tcPr>
          <w:p w14:paraId="664FC4BC" w14:textId="77777777" w:rsidR="00E03C94" w:rsidRPr="00E03C94" w:rsidRDefault="00E03C94" w:rsidP="00E03C94">
            <w:pPr>
              <w:pStyle w:val="Table"/>
              <w:tabs>
                <w:tab w:val="clear" w:pos="284"/>
              </w:tabs>
              <w:spacing w:before="0" w:line="360" w:lineRule="auto"/>
              <w:rPr>
                <w:b w:val="0"/>
              </w:rPr>
            </w:pPr>
            <w:r w:rsidRPr="00E03C94">
              <w:rPr>
                <w:b w:val="0"/>
              </w:rPr>
              <w:t>OR (95% CI)</w:t>
            </w:r>
          </w:p>
        </w:tc>
        <w:tc>
          <w:tcPr>
            <w:tcW w:w="6945" w:type="dxa"/>
            <w:gridSpan w:val="4"/>
            <w:tcBorders>
              <w:right w:val="nil"/>
            </w:tcBorders>
            <w:shd w:val="clear" w:color="auto" w:fill="auto"/>
          </w:tcPr>
          <w:p w14:paraId="1D3B477A" w14:textId="77777777" w:rsidR="00E03C94" w:rsidRPr="00E03C94" w:rsidRDefault="00E03C94" w:rsidP="00E03C94">
            <w:pPr>
              <w:pStyle w:val="Table"/>
              <w:spacing w:before="0" w:line="360" w:lineRule="auto"/>
              <w:jc w:val="center"/>
              <w:rPr>
                <w:b w:val="0"/>
              </w:rPr>
            </w:pPr>
            <w:r w:rsidRPr="00E03C94">
              <w:rPr>
                <w:b w:val="0"/>
              </w:rPr>
              <w:t>2.99 (1.86, 4.80)</w:t>
            </w:r>
          </w:p>
        </w:tc>
      </w:tr>
      <w:tr w:rsidR="00E03C94" w:rsidRPr="00E03C94" w14:paraId="0BC899F5" w14:textId="77777777" w:rsidTr="00E03C94">
        <w:tc>
          <w:tcPr>
            <w:tcW w:w="2127" w:type="dxa"/>
            <w:tcBorders>
              <w:left w:val="nil"/>
            </w:tcBorders>
            <w:shd w:val="clear" w:color="auto" w:fill="auto"/>
          </w:tcPr>
          <w:p w14:paraId="3F53A9E5" w14:textId="77777777" w:rsidR="00E03C94" w:rsidRPr="00E03C94" w:rsidRDefault="00E03C94" w:rsidP="00E03C94">
            <w:pPr>
              <w:pStyle w:val="Table"/>
              <w:tabs>
                <w:tab w:val="clear" w:pos="284"/>
              </w:tabs>
              <w:spacing w:before="0" w:line="360" w:lineRule="auto"/>
              <w:rPr>
                <w:b w:val="0"/>
              </w:rPr>
            </w:pPr>
            <w:r w:rsidRPr="00E03C94">
              <w:rPr>
                <w:b w:val="0"/>
              </w:rPr>
              <w:t>p-value</w:t>
            </w:r>
          </w:p>
        </w:tc>
        <w:tc>
          <w:tcPr>
            <w:tcW w:w="6945" w:type="dxa"/>
            <w:gridSpan w:val="4"/>
            <w:tcBorders>
              <w:right w:val="nil"/>
            </w:tcBorders>
            <w:shd w:val="clear" w:color="auto" w:fill="auto"/>
          </w:tcPr>
          <w:p w14:paraId="07A97A61" w14:textId="77777777" w:rsidR="00E03C94" w:rsidRPr="00E03C94" w:rsidRDefault="00E03C94" w:rsidP="00E03C94">
            <w:pPr>
              <w:pStyle w:val="Table"/>
              <w:spacing w:before="0" w:line="360" w:lineRule="auto"/>
              <w:jc w:val="center"/>
              <w:rPr>
                <w:b w:val="0"/>
              </w:rPr>
            </w:pPr>
            <w:r w:rsidRPr="00E03C94">
              <w:rPr>
                <w:b w:val="0"/>
              </w:rPr>
              <w:t>p &lt; 0.0001</w:t>
            </w:r>
          </w:p>
        </w:tc>
      </w:tr>
      <w:tr w:rsidR="00E03C94" w:rsidRPr="00E03C94" w14:paraId="2D1AA473" w14:textId="77777777" w:rsidTr="00E03C94">
        <w:tc>
          <w:tcPr>
            <w:tcW w:w="2127" w:type="dxa"/>
            <w:tcBorders>
              <w:left w:val="nil"/>
            </w:tcBorders>
            <w:shd w:val="clear" w:color="auto" w:fill="auto"/>
          </w:tcPr>
          <w:p w14:paraId="29C700C1" w14:textId="77777777" w:rsidR="00E03C94" w:rsidRPr="00E03C94" w:rsidRDefault="00E03C94" w:rsidP="00E03C94">
            <w:pPr>
              <w:pStyle w:val="Table"/>
              <w:spacing w:before="0" w:line="360" w:lineRule="auto"/>
              <w:ind w:left="173" w:hanging="173"/>
              <w:rPr>
                <w:b w:val="0"/>
              </w:rPr>
            </w:pPr>
            <w:r w:rsidRPr="00E03C94">
              <w:rPr>
                <w:b w:val="0"/>
              </w:rPr>
              <w:t>Complete Response</w:t>
            </w:r>
          </w:p>
        </w:tc>
        <w:tc>
          <w:tcPr>
            <w:tcW w:w="3113" w:type="dxa"/>
            <w:gridSpan w:val="2"/>
            <w:shd w:val="clear" w:color="auto" w:fill="auto"/>
          </w:tcPr>
          <w:p w14:paraId="5274C128" w14:textId="77777777" w:rsidR="00E03C94" w:rsidRPr="00E03C94" w:rsidRDefault="00E03C94" w:rsidP="00E03C94">
            <w:pPr>
              <w:pStyle w:val="Table"/>
              <w:spacing w:before="0" w:line="360" w:lineRule="auto"/>
              <w:jc w:val="center"/>
              <w:rPr>
                <w:b w:val="0"/>
              </w:rPr>
            </w:pPr>
            <w:r w:rsidRPr="00E03C94">
              <w:rPr>
                <w:b w:val="0"/>
              </w:rPr>
              <w:t>11 (6.7)</w:t>
            </w:r>
          </w:p>
        </w:tc>
        <w:tc>
          <w:tcPr>
            <w:tcW w:w="3832" w:type="dxa"/>
            <w:gridSpan w:val="2"/>
            <w:tcBorders>
              <w:right w:val="nil"/>
            </w:tcBorders>
            <w:shd w:val="clear" w:color="auto" w:fill="auto"/>
          </w:tcPr>
          <w:p w14:paraId="6422FB96" w14:textId="77777777" w:rsidR="00E03C94" w:rsidRPr="00E03C94" w:rsidRDefault="00E03C94" w:rsidP="00E03C94">
            <w:pPr>
              <w:pStyle w:val="Table"/>
              <w:spacing w:before="0" w:line="360" w:lineRule="auto"/>
              <w:jc w:val="center"/>
              <w:rPr>
                <w:b w:val="0"/>
              </w:rPr>
            </w:pPr>
            <w:r w:rsidRPr="00E03C94">
              <w:rPr>
                <w:b w:val="0"/>
              </w:rPr>
              <w:t>5 (3.0)</w:t>
            </w:r>
          </w:p>
        </w:tc>
      </w:tr>
      <w:tr w:rsidR="00E03C94" w:rsidRPr="00E03C94" w14:paraId="1CA77310" w14:textId="77777777" w:rsidTr="00E03C94">
        <w:tc>
          <w:tcPr>
            <w:tcW w:w="2127" w:type="dxa"/>
            <w:tcBorders>
              <w:left w:val="nil"/>
            </w:tcBorders>
            <w:shd w:val="clear" w:color="auto" w:fill="auto"/>
          </w:tcPr>
          <w:p w14:paraId="7223AC63" w14:textId="77777777" w:rsidR="00E03C94" w:rsidRPr="00E03C94" w:rsidRDefault="00E03C94" w:rsidP="00E03C94">
            <w:pPr>
              <w:pStyle w:val="Table"/>
              <w:spacing w:before="0" w:line="360" w:lineRule="auto"/>
              <w:ind w:left="173" w:hanging="173"/>
              <w:rPr>
                <w:b w:val="0"/>
              </w:rPr>
            </w:pPr>
            <w:r w:rsidRPr="00E03C94">
              <w:rPr>
                <w:b w:val="0"/>
              </w:rPr>
              <w:t>Partial Response</w:t>
            </w:r>
          </w:p>
        </w:tc>
        <w:tc>
          <w:tcPr>
            <w:tcW w:w="3113" w:type="dxa"/>
            <w:gridSpan w:val="2"/>
            <w:shd w:val="clear" w:color="auto" w:fill="auto"/>
          </w:tcPr>
          <w:p w14:paraId="5D993F49" w14:textId="77777777" w:rsidR="00E03C94" w:rsidRPr="00E03C94" w:rsidRDefault="00E03C94" w:rsidP="00E03C94">
            <w:pPr>
              <w:pStyle w:val="Table"/>
              <w:spacing w:before="0" w:line="360" w:lineRule="auto"/>
              <w:jc w:val="center"/>
              <w:rPr>
                <w:b w:val="0"/>
              </w:rPr>
            </w:pPr>
            <w:r w:rsidRPr="00E03C94">
              <w:rPr>
                <w:b w:val="0"/>
              </w:rPr>
              <w:t>71 (43.0)</w:t>
            </w:r>
          </w:p>
        </w:tc>
        <w:tc>
          <w:tcPr>
            <w:tcW w:w="3832" w:type="dxa"/>
            <w:gridSpan w:val="2"/>
            <w:tcBorders>
              <w:right w:val="nil"/>
            </w:tcBorders>
            <w:shd w:val="clear" w:color="auto" w:fill="auto"/>
          </w:tcPr>
          <w:p w14:paraId="5B1DADF5" w14:textId="77777777" w:rsidR="00E03C94" w:rsidRPr="00E03C94" w:rsidRDefault="00E03C94" w:rsidP="00E03C94">
            <w:pPr>
              <w:pStyle w:val="Table"/>
              <w:spacing w:before="0" w:line="360" w:lineRule="auto"/>
              <w:jc w:val="center"/>
              <w:rPr>
                <w:b w:val="0"/>
              </w:rPr>
            </w:pPr>
            <w:r w:rsidRPr="00E03C94">
              <w:rPr>
                <w:b w:val="0"/>
              </w:rPr>
              <w:t>37 (22.6)</w:t>
            </w:r>
          </w:p>
        </w:tc>
      </w:tr>
    </w:tbl>
    <w:p w14:paraId="5445DA24" w14:textId="32E8E5ED" w:rsidR="00E03C94" w:rsidRDefault="00E03C94" w:rsidP="000E5843"/>
    <w:p w14:paraId="12289C05" w14:textId="06CE3C53" w:rsidR="00E03C94" w:rsidRPr="002E1654" w:rsidRDefault="00861558" w:rsidP="00E03C94">
      <w:pPr>
        <w:rPr>
          <w:rFonts w:eastAsia="Times New Roman"/>
        </w:rPr>
      </w:pPr>
      <w:r>
        <w:t>B</w:t>
      </w:r>
      <w:r w:rsidR="00E03C94" w:rsidRPr="002E1654">
        <w:t>est overall response (BOR)</w:t>
      </w:r>
      <w:r>
        <w:t xml:space="preserve"> is</w:t>
      </w:r>
      <w:r w:rsidR="00E03C94" w:rsidRPr="002E1654">
        <w:t xml:space="preserve"> defined as the proportion of patients who achieved ORR (CR+PR) at any time point up to Cycle 7 Day 1. </w:t>
      </w:r>
      <w:r w:rsidR="00E03C94" w:rsidRPr="002E1654">
        <w:rPr>
          <w:rFonts w:eastAsia="Times New Roman"/>
        </w:rPr>
        <w:t xml:space="preserve">The BOR up to Cycle 7 Day 1 was higher in the </w:t>
      </w:r>
      <w:proofErr w:type="spellStart"/>
      <w:r w:rsidR="00E03C94" w:rsidRPr="002E1654">
        <w:rPr>
          <w:rFonts w:eastAsia="Times New Roman"/>
        </w:rPr>
        <w:t>Jakavi</w:t>
      </w:r>
      <w:proofErr w:type="spellEnd"/>
      <w:r w:rsidR="00E03C94" w:rsidRPr="002E1654">
        <w:rPr>
          <w:rFonts w:eastAsia="Times New Roman"/>
        </w:rPr>
        <w:t xml:space="preserve"> arm (76.4%) than in the BAT arm (60.4%)</w:t>
      </w:r>
      <w:r w:rsidR="00E03C94">
        <w:rPr>
          <w:rFonts w:eastAsia="Times New Roman"/>
        </w:rPr>
        <w:t>.</w:t>
      </w:r>
    </w:p>
    <w:p w14:paraId="3AF62955" w14:textId="77777777" w:rsidR="00E03C94" w:rsidRPr="00B7715B" w:rsidRDefault="00E03C94" w:rsidP="00E03C94">
      <w:pPr>
        <w:rPr>
          <w:rFonts w:eastAsia="Times New Roman"/>
        </w:rPr>
      </w:pPr>
      <w:r>
        <w:t xml:space="preserve">The estimated probability of maintaining BOR at 12 months was higher in the </w:t>
      </w:r>
      <w:proofErr w:type="spellStart"/>
      <w:r>
        <w:t>Jakavi</w:t>
      </w:r>
      <w:proofErr w:type="spellEnd"/>
      <w:r>
        <w:t xml:space="preserve"> arm compared to the BAT arm (64.5% [95% CI: 58.9, 76.3] vs 40.3% [95% CI: 30.3, 50.2]).</w:t>
      </w:r>
    </w:p>
    <w:p w14:paraId="2E2E8052" w14:textId="0C0CD96E" w:rsidR="004765B0" w:rsidRDefault="004765B0" w:rsidP="004765B0">
      <w:bookmarkStart w:id="4" w:name="_Toc59188510"/>
      <w:r w:rsidRPr="00B11F24">
        <w:t xml:space="preserve">Duration of response was evaluated in patients who achieved a complete or partial response at or before Cycle 7 Day 1 (BOR). DOR was defined as “time from first response until </w:t>
      </w:r>
      <w:proofErr w:type="spellStart"/>
      <w:r w:rsidRPr="00B11F24">
        <w:t>cGVHD</w:t>
      </w:r>
      <w:proofErr w:type="spellEnd"/>
      <w:r w:rsidRPr="00B11F24">
        <w:t xml:space="preserve"> progression, death, or systemic therapies for </w:t>
      </w:r>
      <w:proofErr w:type="spellStart"/>
      <w:r w:rsidRPr="00B11F24">
        <w:t>cGVHD</w:t>
      </w:r>
      <w:proofErr w:type="spellEnd"/>
      <w:r w:rsidRPr="00B11F24">
        <w:t xml:space="preserve">”. The Median duration of response was not reached in </w:t>
      </w:r>
      <w:proofErr w:type="spellStart"/>
      <w:r w:rsidRPr="00B11F24">
        <w:t>Jakavi</w:t>
      </w:r>
      <w:proofErr w:type="spellEnd"/>
      <w:r w:rsidRPr="00B11F24">
        <w:t xml:space="preserve"> arm and was 6.2 months (95% CI: 4.7 to 13.3) in the BAT arm. The estimated probability of maintaining BOR with 95% CIs was higher in the </w:t>
      </w:r>
      <w:proofErr w:type="spellStart"/>
      <w:r w:rsidRPr="00B11F24">
        <w:t>Jakavi</w:t>
      </w:r>
      <w:proofErr w:type="spellEnd"/>
      <w:r w:rsidRPr="00B11F24">
        <w:t xml:space="preserve"> arm (76.58%; 95% CI: 67.87, 88.22) compared to the BAT arm (52.11%; 95% CI: 41.78, 61.45) at 6 months. Similar trends in probability were observed at 12 months and 18 months</w:t>
      </w:r>
      <w:r>
        <w:t>.</w:t>
      </w:r>
    </w:p>
    <w:p w14:paraId="63FDF560" w14:textId="610EFCE3" w:rsidR="005A6623" w:rsidRDefault="005A6623" w:rsidP="00062F44">
      <w:pPr>
        <w:pStyle w:val="Text"/>
        <w:keepNext/>
      </w:pPr>
      <w:r>
        <w:lastRenderedPageBreak/>
        <w:t xml:space="preserve">Figure </w:t>
      </w:r>
      <w:r>
        <w:fldChar w:fldCharType="begin"/>
      </w:r>
      <w:r>
        <w:instrText xml:space="preserve"> SEQ Figure \* ARABIC </w:instrText>
      </w:r>
      <w:r>
        <w:fldChar w:fldCharType="separate"/>
      </w:r>
      <w:r w:rsidR="00F06539">
        <w:rPr>
          <w:noProof/>
        </w:rPr>
        <w:t>3</w:t>
      </w:r>
      <w:r>
        <w:fldChar w:fldCharType="end"/>
      </w:r>
      <w:r>
        <w:tab/>
        <w:t>Kaplan Meier estimate of Duration of Response</w:t>
      </w:r>
    </w:p>
    <w:p w14:paraId="5E181A16" w14:textId="246E5F34" w:rsidR="005A6623" w:rsidRDefault="005A6623" w:rsidP="00062F44">
      <w:pPr>
        <w:pStyle w:val="Text"/>
        <w:keepNext/>
      </w:pPr>
      <w:r>
        <w:rPr>
          <w:noProof/>
        </w:rPr>
        <w:drawing>
          <wp:inline distT="0" distB="0" distL="0" distR="0" wp14:anchorId="39471F57" wp14:editId="5E627231">
            <wp:extent cx="5243945" cy="2793821"/>
            <wp:effectExtent l="0" t="0" r="0" b="6985"/>
            <wp:docPr id="3" name="Picture 3" descr="C:\Users\khuju1\AppData\Local\Microsoft\Windows\INetCache\Content.MSO\218504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ju1\AppData\Local\Microsoft\Windows\INetCache\Content.MSO\218504EE.tmp"/>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93" t="19676" b="16133"/>
                    <a:stretch/>
                  </pic:blipFill>
                  <pic:spPr bwMode="auto">
                    <a:xfrm>
                      <a:off x="0" y="0"/>
                      <a:ext cx="5269091" cy="2807218"/>
                    </a:xfrm>
                    <a:prstGeom prst="rect">
                      <a:avLst/>
                    </a:prstGeom>
                    <a:noFill/>
                    <a:ln>
                      <a:noFill/>
                    </a:ln>
                    <a:extLst>
                      <a:ext uri="{53640926-AAD7-44D8-BBD7-CCE9431645EC}">
                        <a14:shadowObscured xmlns:a14="http://schemas.microsoft.com/office/drawing/2010/main"/>
                      </a:ext>
                    </a:extLst>
                  </pic:spPr>
                </pic:pic>
              </a:graphicData>
            </a:graphic>
          </wp:inline>
        </w:drawing>
      </w:r>
    </w:p>
    <w:bookmarkEnd w:id="4"/>
    <w:p w14:paraId="01779A42" w14:textId="4780ACCB" w:rsidR="00E03C94" w:rsidRDefault="00E03C94" w:rsidP="00E03C94">
      <w:pPr>
        <w:pStyle w:val="Text"/>
      </w:pPr>
    </w:p>
    <w:p w14:paraId="572D4835" w14:textId="77777777" w:rsidR="001A3992" w:rsidRPr="00497C85" w:rsidRDefault="001A3992" w:rsidP="001A3992">
      <w:pPr>
        <w:pStyle w:val="Heading2"/>
        <w:keepNext/>
        <w:spacing w:before="0" w:after="120"/>
        <w:rPr>
          <w:rFonts w:cstheme="minorHAnsi"/>
          <w:lang w:val="en-US"/>
        </w:rPr>
      </w:pPr>
      <w:r w:rsidRPr="00497C85">
        <w:rPr>
          <w:rFonts w:cstheme="minorHAnsi"/>
          <w:lang w:val="en-US"/>
        </w:rPr>
        <w:t xml:space="preserve">Pharmacokinetic properties </w:t>
      </w:r>
    </w:p>
    <w:p w14:paraId="7F3800CD" w14:textId="5FB3B2AA" w:rsidR="001A3992" w:rsidRDefault="001A3992" w:rsidP="001A3992">
      <w:pPr>
        <w:pStyle w:val="Heading3"/>
        <w:spacing w:before="0" w:after="120"/>
        <w:rPr>
          <w:rFonts w:cstheme="minorHAnsi"/>
          <w:b w:val="0"/>
        </w:rPr>
      </w:pPr>
      <w:r w:rsidRPr="00497C85">
        <w:rPr>
          <w:rFonts w:cstheme="minorHAnsi"/>
        </w:rPr>
        <w:t>Absorption</w:t>
      </w:r>
    </w:p>
    <w:p w14:paraId="5752C9EF" w14:textId="77777777" w:rsidR="00EB133D" w:rsidRPr="00DE6BF0" w:rsidRDefault="00EB133D" w:rsidP="00EB133D">
      <w:proofErr w:type="spellStart"/>
      <w:r w:rsidRPr="00DE6BF0">
        <w:t>Ruxolitinib</w:t>
      </w:r>
      <w:proofErr w:type="spellEnd"/>
      <w:r w:rsidRPr="00DE6BF0">
        <w:t xml:space="preserve"> is a Class 1 molecule under the Biopharmaceutical Classification System, with high permeability, high solubility and rapid dissolution characteristics. In clinical studies, </w:t>
      </w:r>
      <w:proofErr w:type="spellStart"/>
      <w:r w:rsidRPr="00DE6BF0">
        <w:t>ruxolitinib</w:t>
      </w:r>
      <w:proofErr w:type="spellEnd"/>
      <w:r w:rsidRPr="00DE6BF0">
        <w:t xml:space="preserve"> is rapidly absorbed after oral administration with maximal plasma concentration (</w:t>
      </w:r>
      <w:proofErr w:type="spellStart"/>
      <w:r w:rsidRPr="00DE6BF0">
        <w:t>Cmax</w:t>
      </w:r>
      <w:proofErr w:type="spellEnd"/>
      <w:r w:rsidRPr="00DE6BF0">
        <w:t xml:space="preserve">) achieved approximately 1 hour post-dose. Based on a mass balance study in humans, oral absorption of </w:t>
      </w:r>
      <w:proofErr w:type="spellStart"/>
      <w:r w:rsidRPr="00DE6BF0">
        <w:t>ruxolitinib</w:t>
      </w:r>
      <w:proofErr w:type="spellEnd"/>
      <w:r w:rsidRPr="00DE6BF0">
        <w:t xml:space="preserve"> was 95% or greater. Mean </w:t>
      </w:r>
      <w:proofErr w:type="spellStart"/>
      <w:r w:rsidRPr="00DE6BF0">
        <w:t>ruxolitinib</w:t>
      </w:r>
      <w:proofErr w:type="spellEnd"/>
      <w:r w:rsidRPr="00DE6BF0">
        <w:t xml:space="preserve"> </w:t>
      </w:r>
      <w:proofErr w:type="spellStart"/>
      <w:r w:rsidRPr="00DE6BF0">
        <w:t>Cmax</w:t>
      </w:r>
      <w:proofErr w:type="spellEnd"/>
      <w:r w:rsidRPr="00DE6BF0">
        <w:t xml:space="preserve"> and total exposure (AUC) increased proportionally over a single dose range of 5 to 200 mg. There was no clinically relevant change in the pharmacokinetics of </w:t>
      </w:r>
      <w:proofErr w:type="spellStart"/>
      <w:r w:rsidRPr="00DE6BF0">
        <w:t>ruxolitinib</w:t>
      </w:r>
      <w:proofErr w:type="spellEnd"/>
      <w:r w:rsidRPr="00DE6BF0">
        <w:t xml:space="preserve"> upon administration with a high-fat meal. The mean </w:t>
      </w:r>
      <w:proofErr w:type="spellStart"/>
      <w:r w:rsidRPr="00DE6BF0">
        <w:t>Cmax</w:t>
      </w:r>
      <w:proofErr w:type="spellEnd"/>
      <w:r w:rsidRPr="00DE6BF0">
        <w:t xml:space="preserve"> was moderately decreased (24%) while the mean AUC was nearly unchanged (4% increase) upon dosing with a high-fat mea</w:t>
      </w:r>
      <w:r>
        <w:t>l.</w:t>
      </w:r>
    </w:p>
    <w:p w14:paraId="2283B9BA" w14:textId="2BC75666" w:rsidR="001A3992" w:rsidRDefault="001A3992" w:rsidP="001A3992">
      <w:pPr>
        <w:pStyle w:val="Heading3"/>
        <w:spacing w:before="0" w:after="120"/>
        <w:rPr>
          <w:rFonts w:cstheme="minorHAnsi"/>
        </w:rPr>
      </w:pPr>
      <w:r w:rsidRPr="00497C85">
        <w:rPr>
          <w:rFonts w:cstheme="minorHAnsi"/>
        </w:rPr>
        <w:t>Distribution</w:t>
      </w:r>
    </w:p>
    <w:p w14:paraId="194A4E50" w14:textId="32D8815D" w:rsidR="00EB133D" w:rsidRPr="00EB133D" w:rsidRDefault="00EB133D" w:rsidP="00EB133D">
      <w:r w:rsidRPr="00311235">
        <w:t xml:space="preserve">The mean volume of distribution at steady-state is 72 L in myelofibrosis patients with an inter-subject variability of 29.4% and 75 L in </w:t>
      </w:r>
      <w:proofErr w:type="spellStart"/>
      <w:r w:rsidRPr="00311235">
        <w:t>polycythemia</w:t>
      </w:r>
      <w:proofErr w:type="spellEnd"/>
      <w:r w:rsidRPr="00311235">
        <w:t xml:space="preserve"> vera patients with an associated inter-subject variability of 22.6%. </w:t>
      </w:r>
      <w:r w:rsidRPr="00DE6BF0">
        <w:t xml:space="preserve">At clinically relevant concentrations of </w:t>
      </w:r>
      <w:proofErr w:type="spellStart"/>
      <w:r w:rsidRPr="00DE6BF0">
        <w:t>ruxolitinib</w:t>
      </w:r>
      <w:proofErr w:type="spellEnd"/>
      <w:r w:rsidRPr="00DE6BF0">
        <w:t xml:space="preserve">, binding to plasma proteins in vitro is approximately 97%, mostly to albumin. </w:t>
      </w:r>
    </w:p>
    <w:p w14:paraId="3278D4C9" w14:textId="73321322" w:rsidR="001A3992" w:rsidRDefault="001A3992" w:rsidP="001A3992">
      <w:pPr>
        <w:pStyle w:val="Heading3"/>
        <w:spacing w:before="0" w:after="120"/>
        <w:rPr>
          <w:rFonts w:cstheme="minorHAnsi"/>
          <w:b w:val="0"/>
        </w:rPr>
      </w:pPr>
      <w:r w:rsidRPr="00497C85">
        <w:rPr>
          <w:rFonts w:cstheme="minorHAnsi"/>
        </w:rPr>
        <w:t>Metabolism</w:t>
      </w:r>
    </w:p>
    <w:p w14:paraId="2FBAE6CF" w14:textId="52587DB3" w:rsidR="00EB133D" w:rsidRPr="00EB133D" w:rsidRDefault="00EB133D" w:rsidP="00EB133D">
      <w:r w:rsidRPr="00DE6BF0">
        <w:t xml:space="preserve">In vitro studies indicate that CYP3A4 is the major enzyme responsible for metabolism of </w:t>
      </w:r>
      <w:proofErr w:type="spellStart"/>
      <w:r w:rsidRPr="00DE6BF0">
        <w:t>ruxolitinib</w:t>
      </w:r>
      <w:proofErr w:type="spellEnd"/>
      <w:r w:rsidRPr="00DE6BF0">
        <w:t xml:space="preserve">. Parent compound is the predominant entity in humans representing approximately 60% of the drug-related material in circulation. Two major and active metabolites were </w:t>
      </w:r>
      <w:r w:rsidRPr="00DE6BF0">
        <w:lastRenderedPageBreak/>
        <w:t xml:space="preserve">identified in plasma of healthy subjects representing 25% and 11% of parent AUC. These metabolites have one half to one fifth of the parent JAK-related pharmacological activity. The sum total of all active metabolites contribute to 18% of the overall pharmacodynamics of </w:t>
      </w:r>
      <w:proofErr w:type="spellStart"/>
      <w:r w:rsidRPr="00DE6BF0">
        <w:t>ruxolitinib</w:t>
      </w:r>
      <w:proofErr w:type="spellEnd"/>
      <w:r w:rsidRPr="00DE6BF0">
        <w:t xml:space="preserve">. </w:t>
      </w:r>
    </w:p>
    <w:p w14:paraId="6087F00B" w14:textId="2BB76FAC" w:rsidR="001A3992" w:rsidRDefault="00EB133D" w:rsidP="001A3992">
      <w:pPr>
        <w:pStyle w:val="Heading3"/>
        <w:spacing w:before="0" w:after="120"/>
        <w:rPr>
          <w:rFonts w:cstheme="minorHAnsi"/>
          <w:b w:val="0"/>
        </w:rPr>
      </w:pPr>
      <w:r w:rsidRPr="00497C85">
        <w:rPr>
          <w:rFonts w:cstheme="minorHAnsi"/>
        </w:rPr>
        <w:t>Excretion</w:t>
      </w:r>
    </w:p>
    <w:p w14:paraId="7E5688E1" w14:textId="77777777" w:rsidR="00EB133D" w:rsidRPr="00DE6BF0" w:rsidRDefault="00EB133D" w:rsidP="00EB133D">
      <w:r w:rsidRPr="00DE6BF0">
        <w:t>Following a single oral dose of [14C]-label</w:t>
      </w:r>
      <w:r>
        <w:t>l</w:t>
      </w:r>
      <w:r w:rsidRPr="00DE6BF0">
        <w:t xml:space="preserve">ed </w:t>
      </w:r>
      <w:proofErr w:type="spellStart"/>
      <w:r w:rsidRPr="00DE6BF0">
        <w:t>ruxolitinib</w:t>
      </w:r>
      <w:proofErr w:type="spellEnd"/>
      <w:r w:rsidRPr="00DE6BF0">
        <w:t xml:space="preserve"> in healthy adult subjects, elimination was predominately through metabolism with 74% of radioactivity excreted in urine and 22% excretion via f</w:t>
      </w:r>
      <w:r>
        <w:t>a</w:t>
      </w:r>
      <w:r w:rsidRPr="00DE6BF0">
        <w:t xml:space="preserve">eces. Unchanged drug accounted for less than 1% of the excreted total radioactivity. The mean elimination half-life of </w:t>
      </w:r>
      <w:proofErr w:type="spellStart"/>
      <w:r w:rsidRPr="00DE6BF0">
        <w:t>ruxolitinib</w:t>
      </w:r>
      <w:proofErr w:type="spellEnd"/>
      <w:r w:rsidRPr="00DE6BF0">
        <w:t xml:space="preserve"> is approximately 3 hours.</w:t>
      </w:r>
    </w:p>
    <w:p w14:paraId="43C0321D" w14:textId="77777777" w:rsidR="00EB133D" w:rsidRPr="00DE6BF0" w:rsidRDefault="00EB133D" w:rsidP="00EB133D">
      <w:pPr>
        <w:pStyle w:val="Heading3"/>
      </w:pPr>
      <w:r w:rsidRPr="00DE6BF0">
        <w:t>Pharmacokinetics in special patient groups</w:t>
      </w:r>
    </w:p>
    <w:p w14:paraId="3F4F59C1" w14:textId="77777777" w:rsidR="00EB133D" w:rsidRPr="00DE6BF0" w:rsidRDefault="00EB133D" w:rsidP="00EB133D">
      <w:pPr>
        <w:pStyle w:val="Nottoc-headings"/>
      </w:pPr>
      <w:r w:rsidRPr="00DE6BF0">
        <w:t>Effects of age, gender, or race</w:t>
      </w:r>
    </w:p>
    <w:p w14:paraId="62330512" w14:textId="36E7A98C" w:rsidR="00EB133D" w:rsidRPr="00574FEE" w:rsidRDefault="00EB133D" w:rsidP="00EB133D">
      <w:r>
        <w:t>Based on studies i</w:t>
      </w:r>
      <w:r w:rsidRPr="00DE6BF0">
        <w:t xml:space="preserve">n healthy subjects, no </w:t>
      </w:r>
      <w:r>
        <w:t>relevant</w:t>
      </w:r>
      <w:r w:rsidRPr="00DE6BF0">
        <w:t xml:space="preserve"> differences in </w:t>
      </w:r>
      <w:proofErr w:type="spellStart"/>
      <w:r w:rsidRPr="00DE6BF0">
        <w:t>ruxolitinib</w:t>
      </w:r>
      <w:proofErr w:type="spellEnd"/>
      <w:r w:rsidRPr="00DE6BF0">
        <w:t xml:space="preserve"> pharmacokinetics were observed with regard to gender and race. In a population pharmacokinetic evaluation in myelofibrosis patients, no relationship was apparent between oral clearance and patient age or race. Clearance was 17.7 L/h in women and 22.1 L/h in men, with 39% inter-subject variability</w:t>
      </w:r>
      <w:r>
        <w:t xml:space="preserve"> in myelofibrosis patients</w:t>
      </w:r>
      <w:r w:rsidRPr="00311235">
        <w:t xml:space="preserve">. </w:t>
      </w:r>
      <w:r w:rsidRPr="002E6E2D">
        <w:t xml:space="preserve">Clearance was 12.7 L/h in </w:t>
      </w:r>
      <w:proofErr w:type="spellStart"/>
      <w:r w:rsidRPr="002E6E2D">
        <w:t>polycythemia</w:t>
      </w:r>
      <w:proofErr w:type="spellEnd"/>
      <w:r w:rsidRPr="002E6E2D">
        <w:t xml:space="preserve"> vera patients, with a 42% inter-subject variability, and no relationship was apparent between oral clearance and gender, patient age or race in this patient population. </w:t>
      </w:r>
    </w:p>
    <w:p w14:paraId="5A567A13" w14:textId="77777777" w:rsidR="00EB133D" w:rsidRPr="00DE6BF0" w:rsidRDefault="00EB133D" w:rsidP="00EB133D">
      <w:pPr>
        <w:pStyle w:val="Nottoc-headings"/>
      </w:pPr>
      <w:proofErr w:type="spellStart"/>
      <w:r w:rsidRPr="00DE6BF0">
        <w:t>P</w:t>
      </w:r>
      <w:r>
        <w:t>a</w:t>
      </w:r>
      <w:r w:rsidRPr="00DE6BF0">
        <w:t>ediatric</w:t>
      </w:r>
      <w:proofErr w:type="spellEnd"/>
    </w:p>
    <w:p w14:paraId="42961261" w14:textId="41A5E9D5" w:rsidR="00EB133D" w:rsidRDefault="00EB133D" w:rsidP="00EB133D">
      <w:r>
        <w:t xml:space="preserve">The safety and effectiveness of </w:t>
      </w:r>
      <w:proofErr w:type="spellStart"/>
      <w:r>
        <w:t>Jakavi</w:t>
      </w:r>
      <w:proofErr w:type="spellEnd"/>
      <w:r>
        <w:t xml:space="preserve"> in paediatric patients </w:t>
      </w:r>
      <w:r w:rsidR="00BB2318">
        <w:t xml:space="preserve">with MF or PV </w:t>
      </w:r>
      <w:r>
        <w:t>have not been established.</w:t>
      </w:r>
    </w:p>
    <w:p w14:paraId="0BED170B" w14:textId="616110ED" w:rsidR="00BB2318" w:rsidRPr="00DE6BF0" w:rsidRDefault="00A35472" w:rsidP="00A35472">
      <w:r>
        <w:t>The safety</w:t>
      </w:r>
      <w:r w:rsidR="009048B8">
        <w:t>,</w:t>
      </w:r>
      <w:r>
        <w:t xml:space="preserve"> efficacy</w:t>
      </w:r>
      <w:r w:rsidR="009048B8">
        <w:t xml:space="preserve"> and PK profile observed in adolescent patients with acute or chronic GvHD was comparable to the overall patient population (see section 5.1 Pharmacodynamic Properties, Clinical trials)</w:t>
      </w:r>
      <w:r>
        <w:t>.</w:t>
      </w:r>
    </w:p>
    <w:p w14:paraId="459770E0" w14:textId="63D34D1B" w:rsidR="00EB133D" w:rsidRPr="00DE6BF0" w:rsidRDefault="00EB133D" w:rsidP="00EB133D">
      <w:pPr>
        <w:pStyle w:val="Nottoc-headings"/>
      </w:pPr>
      <w:r w:rsidRPr="00DE6BF0">
        <w:t xml:space="preserve">Renal </w:t>
      </w:r>
      <w:r w:rsidR="007E04A6">
        <w:t>impairment</w:t>
      </w:r>
    </w:p>
    <w:p w14:paraId="5DD21E22" w14:textId="71B12F6C" w:rsidR="00EB133D" w:rsidRPr="00DE6BF0" w:rsidRDefault="00EB133D" w:rsidP="00EB133D">
      <w:r>
        <w:t xml:space="preserve">Following a single </w:t>
      </w:r>
      <w:proofErr w:type="spellStart"/>
      <w:r>
        <w:t>ruxolitinib</w:t>
      </w:r>
      <w:proofErr w:type="spellEnd"/>
      <w:r>
        <w:t xml:space="preserve"> dose of 25 mg, the pharmacokinetics were similar in subjects with various degrees of renal impairment and in those with normal renal function. However, plasma AUC values of </w:t>
      </w:r>
      <w:proofErr w:type="spellStart"/>
      <w:r>
        <w:t>ruxolitinib</w:t>
      </w:r>
      <w:proofErr w:type="spellEnd"/>
      <w:r>
        <w:t xml:space="preserve"> metabolites tended to increase with increasing severity of renal impairment, and most markedly in the subjects with end stage renal disease requiring h</w:t>
      </w:r>
      <w:r w:rsidR="009238D1">
        <w:t>a</w:t>
      </w:r>
      <w:r>
        <w:t xml:space="preserve">emodialysis. </w:t>
      </w:r>
      <w:proofErr w:type="spellStart"/>
      <w:r>
        <w:t>Ruxolitinib</w:t>
      </w:r>
      <w:proofErr w:type="spellEnd"/>
      <w:r>
        <w:t xml:space="preserve"> is not removed by dialysis. A dose modification is recommended for patients with moderate to severe renal impairment (</w:t>
      </w:r>
      <w:proofErr w:type="spellStart"/>
      <w:r>
        <w:t>Clcr</w:t>
      </w:r>
      <w:proofErr w:type="spellEnd"/>
      <w:r>
        <w:t xml:space="preserve"> less than 60 mL/min). For patients with end stage renal disease a modification of the dosing schedule is recommended. </w:t>
      </w:r>
      <w:proofErr w:type="spellStart"/>
      <w:r>
        <w:t>Jakavi</w:t>
      </w:r>
      <w:proofErr w:type="spellEnd"/>
      <w:r>
        <w:t xml:space="preserve"> should be avoided in patients with end stage renal disease (</w:t>
      </w:r>
      <w:proofErr w:type="spellStart"/>
      <w:r>
        <w:t>Clcr</w:t>
      </w:r>
      <w:proofErr w:type="spellEnd"/>
      <w:r>
        <w:t xml:space="preserve"> less than 15 mL/min) not </w:t>
      </w:r>
      <w:r>
        <w:lastRenderedPageBreak/>
        <w:t>undergoing dialysis and in patients with moderate to severe renal impairment with platelet counts less than 100 x10</w:t>
      </w:r>
      <w:r w:rsidRPr="6E9AFC58">
        <w:rPr>
          <w:vertAlign w:val="superscript"/>
        </w:rPr>
        <w:t>9</w:t>
      </w:r>
      <w:r>
        <w:t xml:space="preserve">/L (see </w:t>
      </w:r>
      <w:r w:rsidR="00577FC8">
        <w:t xml:space="preserve">section 4.2 </w:t>
      </w:r>
      <w:r>
        <w:t xml:space="preserve">Dose and </w:t>
      </w:r>
      <w:r w:rsidR="00577FC8">
        <w:t>method of a</w:t>
      </w:r>
      <w:r>
        <w:t>dministration).</w:t>
      </w:r>
    </w:p>
    <w:p w14:paraId="49F21A8A" w14:textId="3C41EC0F" w:rsidR="00EB133D" w:rsidRPr="00DE6BF0" w:rsidRDefault="00EB133D" w:rsidP="00EB133D">
      <w:pPr>
        <w:pStyle w:val="Nottoc-headings"/>
      </w:pPr>
      <w:r w:rsidRPr="00DE6BF0">
        <w:t xml:space="preserve">Hepatic </w:t>
      </w:r>
      <w:r w:rsidR="00577FC8">
        <w:t>impairment</w:t>
      </w:r>
    </w:p>
    <w:p w14:paraId="67F10881" w14:textId="3C598E07" w:rsidR="00EB133D" w:rsidRDefault="00EB133D" w:rsidP="00EB133D">
      <w:r>
        <w:t xml:space="preserve">Following a single </w:t>
      </w:r>
      <w:proofErr w:type="spellStart"/>
      <w:r>
        <w:t>ruxolitinib</w:t>
      </w:r>
      <w:proofErr w:type="spellEnd"/>
      <w:r>
        <w:t xml:space="preserve"> dose of 25 mg in patients with varying degrees of hepatic impairment, the pharmacokinetics and pharmacodynamics of </w:t>
      </w:r>
      <w:proofErr w:type="spellStart"/>
      <w:r>
        <w:t>ruxolitinib</w:t>
      </w:r>
      <w:proofErr w:type="spellEnd"/>
      <w:r>
        <w:t xml:space="preserve"> were assessed. The mean AUC for </w:t>
      </w:r>
      <w:proofErr w:type="spellStart"/>
      <w:r>
        <w:t>ruxolitinib</w:t>
      </w:r>
      <w:proofErr w:type="spellEnd"/>
      <w:r>
        <w:t xml:space="preserve"> was increased in patients with mild, moderate and severe hepatic impairment by 87%, 28% and 65%, respectively, compared to patients with normal hepatic function and indicating no clear relationship to the degree of hepatic impairment based on Child-Pugh scores. The terminal elimination half-life was prolonged in patients with hepatic impairment compared to healthy controls (4.1-5.0 hours versus 2.8 hours). A dose reduction is recommended for </w:t>
      </w:r>
      <w:r w:rsidR="00577FC8">
        <w:t xml:space="preserve">MF and PV </w:t>
      </w:r>
      <w:r>
        <w:t xml:space="preserve">patients with hepatic impairment (see </w:t>
      </w:r>
      <w:r w:rsidR="00577FC8">
        <w:t xml:space="preserve">section 4.2 </w:t>
      </w:r>
      <w:r>
        <w:t xml:space="preserve">Dose and </w:t>
      </w:r>
      <w:r w:rsidR="00577FC8">
        <w:t>method of a</w:t>
      </w:r>
      <w:r>
        <w:t>dministration).</w:t>
      </w:r>
    </w:p>
    <w:p w14:paraId="573B13A7" w14:textId="1F445D34" w:rsidR="00577FC8" w:rsidRPr="000E32E5" w:rsidRDefault="00577FC8" w:rsidP="00EB133D">
      <w:r w:rsidRPr="004D0927">
        <w:t xml:space="preserve">Mild, </w:t>
      </w:r>
      <w:proofErr w:type="gramStart"/>
      <w:r w:rsidRPr="004D0927">
        <w:t>moderate</w:t>
      </w:r>
      <w:proofErr w:type="gramEnd"/>
      <w:r w:rsidRPr="004D0927">
        <w:t xml:space="preserve"> or severe hepatic impairment in patients with GvHD was not found to have a significant impact on any param</w:t>
      </w:r>
      <w:r>
        <w:t>eter in the Population PK model</w:t>
      </w:r>
      <w:r w:rsidRPr="004D0927">
        <w:t>.</w:t>
      </w:r>
    </w:p>
    <w:p w14:paraId="5A10CBB5" w14:textId="0500578F" w:rsidR="001A3992" w:rsidRDefault="001A3992" w:rsidP="001A3992">
      <w:pPr>
        <w:pStyle w:val="Heading2"/>
        <w:spacing w:before="0" w:after="120"/>
        <w:rPr>
          <w:rFonts w:cstheme="minorHAnsi"/>
          <w:lang w:val="en-US"/>
        </w:rPr>
      </w:pPr>
      <w:r w:rsidRPr="00497C85">
        <w:rPr>
          <w:rFonts w:cstheme="minorHAnsi"/>
          <w:lang w:val="en-US"/>
        </w:rPr>
        <w:t>Preclinical safety data</w:t>
      </w:r>
    </w:p>
    <w:p w14:paraId="792BAA37" w14:textId="64918DC6" w:rsidR="00EB133D" w:rsidRPr="00EB133D" w:rsidRDefault="00EB133D" w:rsidP="00EB133D">
      <w:pPr>
        <w:rPr>
          <w:lang w:val="en-US"/>
        </w:rPr>
      </w:pPr>
      <w:r w:rsidRPr="00434DAA">
        <w:t xml:space="preserve">In juvenile </w:t>
      </w:r>
      <w:r>
        <w:t xml:space="preserve">rat </w:t>
      </w:r>
      <w:r w:rsidRPr="00434DAA">
        <w:t>studies,</w:t>
      </w:r>
      <w:r w:rsidRPr="00D63DCA">
        <w:t xml:space="preserve"> administration of </w:t>
      </w:r>
      <w:proofErr w:type="spellStart"/>
      <w:r w:rsidRPr="00D63DCA">
        <w:t>ruxolitinib</w:t>
      </w:r>
      <w:proofErr w:type="spellEnd"/>
      <w:r w:rsidRPr="00D63DCA">
        <w:t xml:space="preserve"> </w:t>
      </w:r>
      <w:r w:rsidRPr="00434DAA">
        <w:t xml:space="preserve">resulted in effects on growth and bone measures. Reduced bone growth was observed at doses ≥5 mg/kg/day </w:t>
      </w:r>
      <w:r w:rsidRPr="00D63DCA">
        <w:t xml:space="preserve">when treatment started on postnatal day 7 </w:t>
      </w:r>
      <w:r>
        <w:t>(</w:t>
      </w:r>
      <w:r w:rsidRPr="00434DAA">
        <w:t>comparable to human newborn d</w:t>
      </w:r>
      <w:r w:rsidRPr="00D63DCA">
        <w:t>evelopmental stage, 0-28 days</w:t>
      </w:r>
      <w:r w:rsidRPr="00434DAA">
        <w:t>),</w:t>
      </w:r>
      <w:r w:rsidRPr="00D63DCA">
        <w:t xml:space="preserve"> </w:t>
      </w:r>
      <w:r w:rsidRPr="00434DAA">
        <w:t>and at ≥15 mg/kg/day when treatment started on postna</w:t>
      </w:r>
      <w:r w:rsidRPr="00D63DCA">
        <w:t>tal day 14</w:t>
      </w:r>
      <w:r>
        <w:t xml:space="preserve"> </w:t>
      </w:r>
      <w:r w:rsidRPr="00434DAA">
        <w:t>or 21</w:t>
      </w:r>
      <w:r w:rsidRPr="0091241A">
        <w:t xml:space="preserve"> (</w:t>
      </w:r>
      <w:r w:rsidRPr="00D63DCA">
        <w:t xml:space="preserve">comparable to human newborn developmental stage, </w:t>
      </w:r>
      <w:r w:rsidRPr="00434DAA">
        <w:t>1-23 months</w:t>
      </w:r>
      <w:r w:rsidRPr="00D63DCA">
        <w:t xml:space="preserve">). </w:t>
      </w:r>
      <w:r w:rsidRPr="00434DAA">
        <w:t xml:space="preserve">Fractures </w:t>
      </w:r>
      <w:r>
        <w:t>that necessitated early termination of rats</w:t>
      </w:r>
      <w:r w:rsidRPr="00434DAA">
        <w:t xml:space="preserve"> </w:t>
      </w:r>
      <w:r>
        <w:t>were</w:t>
      </w:r>
      <w:r w:rsidRPr="00434DAA">
        <w:t xml:space="preserve"> observed at doses ≥30 mg/kg/day when treatment was started on postnatal day 7. </w:t>
      </w:r>
      <w:r w:rsidRPr="005C6E84">
        <w:t xml:space="preserve">Based on unbound AUC, reduced bone growth </w:t>
      </w:r>
      <w:r>
        <w:t xml:space="preserve">and </w:t>
      </w:r>
      <w:r w:rsidRPr="005C6E84">
        <w:t xml:space="preserve">fractures occurred at exposures </w:t>
      </w:r>
      <w:r>
        <w:t>that ranged between 0.2-</w:t>
      </w:r>
      <w:r w:rsidRPr="00E340C6">
        <w:t>1.5-</w:t>
      </w:r>
      <w:r w:rsidRPr="0091241A">
        <w:t xml:space="preserve"> and 13</w:t>
      </w:r>
      <w:r>
        <w:t>-14</w:t>
      </w:r>
      <w:r w:rsidRPr="0091241A">
        <w:t>-</w:t>
      </w:r>
      <w:r>
        <w:t xml:space="preserve"> </w:t>
      </w:r>
      <w:r w:rsidRPr="00E340C6">
        <w:t xml:space="preserve">fold </w:t>
      </w:r>
      <w:r w:rsidRPr="005C6E84">
        <w:t xml:space="preserve">the exposure in adult patients at the maximum recommended dose of 25 mg twice daily, respectively. </w:t>
      </w:r>
      <w:r w:rsidRPr="00D63DCA">
        <w:t>The effects were generally more severe when administration was initiated earlier in the postnatal period.</w:t>
      </w:r>
    </w:p>
    <w:p w14:paraId="5163C64E" w14:textId="30A6680B" w:rsidR="001A3992" w:rsidRDefault="001A3992" w:rsidP="001A3992">
      <w:pPr>
        <w:pStyle w:val="Heading3"/>
        <w:spacing w:before="0" w:after="120"/>
        <w:rPr>
          <w:rFonts w:cstheme="minorHAnsi"/>
        </w:rPr>
      </w:pPr>
      <w:r w:rsidRPr="00497C85">
        <w:rPr>
          <w:rFonts w:cstheme="minorHAnsi"/>
        </w:rPr>
        <w:t>Genotoxicity</w:t>
      </w:r>
    </w:p>
    <w:p w14:paraId="7AF24B34" w14:textId="5D6806AA" w:rsidR="00EB133D" w:rsidRPr="00EB133D" w:rsidRDefault="00EB133D" w:rsidP="00EB133D">
      <w:proofErr w:type="spellStart"/>
      <w:r w:rsidRPr="004C22EB">
        <w:t>Ruxolitinib</w:t>
      </w:r>
      <w:proofErr w:type="spellEnd"/>
      <w:r w:rsidRPr="004C22EB">
        <w:t xml:space="preserve"> was not mutagenic in a bacterial mutagenicity assay (Ames test) or clastogenic in an </w:t>
      </w:r>
      <w:r w:rsidRPr="004C22EB">
        <w:rPr>
          <w:i/>
        </w:rPr>
        <w:t>in vitro</w:t>
      </w:r>
      <w:r w:rsidRPr="004C22EB">
        <w:t xml:space="preserve"> chromosomal aberration assay (cultural human peripheral blood lymphocytes) or an </w:t>
      </w:r>
      <w:r w:rsidRPr="004C22EB">
        <w:rPr>
          <w:i/>
        </w:rPr>
        <w:t>in vivo</w:t>
      </w:r>
      <w:r w:rsidRPr="004C22EB">
        <w:t xml:space="preserve"> rat bone marrow micronucleus assay.</w:t>
      </w:r>
    </w:p>
    <w:p w14:paraId="7BBB7938" w14:textId="746B936A" w:rsidR="001A3992" w:rsidRDefault="001A3992" w:rsidP="001A3992">
      <w:pPr>
        <w:pStyle w:val="Heading3"/>
        <w:spacing w:before="0" w:after="120"/>
        <w:rPr>
          <w:rFonts w:cstheme="minorHAnsi"/>
          <w:lang w:val="en-US"/>
        </w:rPr>
      </w:pPr>
      <w:proofErr w:type="spellStart"/>
      <w:r w:rsidRPr="00497C85">
        <w:rPr>
          <w:rFonts w:cstheme="minorHAnsi"/>
        </w:rPr>
        <w:t>Carcin</w:t>
      </w:r>
      <w:r w:rsidRPr="00497C85">
        <w:rPr>
          <w:rFonts w:cstheme="minorHAnsi"/>
          <w:lang w:val="en-US"/>
        </w:rPr>
        <w:t>ogenicity</w:t>
      </w:r>
      <w:proofErr w:type="spellEnd"/>
    </w:p>
    <w:p w14:paraId="5E034F8E" w14:textId="6503A62B" w:rsidR="00EB133D" w:rsidRPr="00EB133D" w:rsidRDefault="00EB133D" w:rsidP="00EB133D">
      <w:pPr>
        <w:rPr>
          <w:lang w:val="en-US"/>
        </w:rPr>
      </w:pPr>
      <w:r>
        <w:t>No evidence of carcinogenicity was observed in a 6 month study</w:t>
      </w:r>
      <w:r w:rsidRPr="00DE6BF0">
        <w:t xml:space="preserve"> in the Tg.rasH2 transgenic mouse model</w:t>
      </w:r>
      <w:r>
        <w:t xml:space="preserve"> at oral doses of </w:t>
      </w:r>
      <w:proofErr w:type="spellStart"/>
      <w:r>
        <w:t>ruxolitinib</w:t>
      </w:r>
      <w:proofErr w:type="spellEnd"/>
      <w:r>
        <w:t xml:space="preserve"> up to 125 mg/kg/day, resulting in approximately 9 times the human exposure (AUC) at the maximum recommended dose of 25 mg twice daily.</w:t>
      </w:r>
    </w:p>
    <w:p w14:paraId="62266635" w14:textId="77777777" w:rsidR="001A3992" w:rsidRPr="00497C85" w:rsidRDefault="001A3992" w:rsidP="001A3992">
      <w:pPr>
        <w:pStyle w:val="Heading1"/>
        <w:spacing w:before="0" w:after="120"/>
        <w:rPr>
          <w:rFonts w:cstheme="minorHAnsi"/>
          <w:lang w:val="en-US"/>
        </w:rPr>
      </w:pPr>
      <w:r w:rsidRPr="00497C85">
        <w:rPr>
          <w:rFonts w:cstheme="minorHAnsi"/>
          <w:lang w:val="en-US"/>
        </w:rPr>
        <w:lastRenderedPageBreak/>
        <w:t>Pharmaceutical particulars</w:t>
      </w:r>
    </w:p>
    <w:p w14:paraId="762BEBAC" w14:textId="785DF2D0" w:rsidR="001A3992" w:rsidRDefault="001A3992" w:rsidP="001A3992">
      <w:pPr>
        <w:pStyle w:val="Heading2"/>
        <w:spacing w:before="0" w:after="120"/>
        <w:rPr>
          <w:rFonts w:cstheme="minorHAnsi"/>
          <w:lang w:val="en-US"/>
        </w:rPr>
      </w:pPr>
      <w:r w:rsidRPr="00497C85">
        <w:rPr>
          <w:rFonts w:cstheme="minorHAnsi"/>
          <w:lang w:val="en-US"/>
        </w:rPr>
        <w:t xml:space="preserve">List of excipients </w:t>
      </w:r>
    </w:p>
    <w:p w14:paraId="51E98334" w14:textId="77777777" w:rsidR="00EB133D" w:rsidRDefault="00EB133D" w:rsidP="00EB133D">
      <w:proofErr w:type="spellStart"/>
      <w:r w:rsidRPr="00DE6BF0">
        <w:t>Jakavi</w:t>
      </w:r>
      <w:proofErr w:type="spellEnd"/>
      <w:r w:rsidRPr="00DE6BF0">
        <w:t xml:space="preserve"> tablets contain the following excipients: microcrystalline</w:t>
      </w:r>
      <w:r>
        <w:t xml:space="preserve"> c</w:t>
      </w:r>
      <w:r w:rsidRPr="00DE6BF0">
        <w:t xml:space="preserve">ellulose; </w:t>
      </w:r>
      <w:r>
        <w:t>m</w:t>
      </w:r>
      <w:r w:rsidRPr="00DE6BF0">
        <w:t xml:space="preserve">agnesium stearate; </w:t>
      </w:r>
      <w:r>
        <w:t>colloidal anhydrous s</w:t>
      </w:r>
      <w:r w:rsidRPr="00DE6BF0">
        <w:t xml:space="preserve">ilica; </w:t>
      </w:r>
      <w:r>
        <w:t>s</w:t>
      </w:r>
      <w:r w:rsidRPr="00DE6BF0">
        <w:t>odium starch glycol</w:t>
      </w:r>
      <w:r>
        <w:t>l</w:t>
      </w:r>
      <w:r w:rsidRPr="00DE6BF0">
        <w:t xml:space="preserve">ate </w:t>
      </w:r>
      <w:r>
        <w:t>t</w:t>
      </w:r>
      <w:r w:rsidRPr="00DE6BF0">
        <w:t xml:space="preserve">ype A; </w:t>
      </w:r>
      <w:proofErr w:type="spellStart"/>
      <w:r>
        <w:t>hyprolose</w:t>
      </w:r>
      <w:proofErr w:type="spellEnd"/>
      <w:r w:rsidRPr="00DE6BF0">
        <w:t xml:space="preserve">; </w:t>
      </w:r>
      <w:r>
        <w:t>p</w:t>
      </w:r>
      <w:r w:rsidRPr="00DE6BF0">
        <w:t>ovidone; lactose</w:t>
      </w:r>
      <w:r>
        <w:t xml:space="preserve"> monohydrate.</w:t>
      </w:r>
    </w:p>
    <w:p w14:paraId="42A74DC1" w14:textId="77777777" w:rsidR="001A3992" w:rsidRPr="00497C85" w:rsidRDefault="001A3992" w:rsidP="001A3992">
      <w:pPr>
        <w:pStyle w:val="Heading2"/>
        <w:keepNext/>
        <w:keepLines/>
        <w:spacing w:before="0" w:after="120"/>
        <w:rPr>
          <w:rFonts w:cstheme="minorHAnsi"/>
          <w:lang w:val="en-US"/>
        </w:rPr>
      </w:pPr>
      <w:r w:rsidRPr="00497C85">
        <w:rPr>
          <w:rFonts w:cstheme="minorHAnsi"/>
          <w:lang w:val="en-US"/>
        </w:rPr>
        <w:t xml:space="preserve">Incompatibilities </w:t>
      </w:r>
    </w:p>
    <w:p w14:paraId="275EAB19" w14:textId="55933DE7" w:rsidR="00497C85" w:rsidRPr="00497C85" w:rsidRDefault="00497C85" w:rsidP="00EB133D">
      <w:pPr>
        <w:rPr>
          <w:lang w:val="en-US"/>
        </w:rPr>
      </w:pPr>
      <w:r w:rsidRPr="00497C85">
        <w:rPr>
          <w:lang w:val="en"/>
        </w:rPr>
        <w:t>Incompatibilities were either not assessed or not identified as part of the registration of this medicine</w:t>
      </w:r>
      <w:r w:rsidR="00EB133D">
        <w:rPr>
          <w:lang w:val="en"/>
        </w:rPr>
        <w:t>.</w:t>
      </w:r>
    </w:p>
    <w:p w14:paraId="75D6AA95"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Shelf life </w:t>
      </w:r>
    </w:p>
    <w:p w14:paraId="766DFB05" w14:textId="202DC4F1" w:rsidR="001D0581" w:rsidRPr="00497C85" w:rsidRDefault="001D0581" w:rsidP="0059313A">
      <w:pPr>
        <w:rPr>
          <w:lang w:val="en-US"/>
        </w:rPr>
      </w:pPr>
      <w:r w:rsidRPr="00497C85">
        <w:rPr>
          <w:lang w:val="en"/>
        </w:rPr>
        <w:t>In Australia, information on the shelf life can be found on the public summary of the Australian Register of Therapeutic Goods (ARTG). The expiry date can be found on the packaging.</w:t>
      </w:r>
    </w:p>
    <w:p w14:paraId="095290A3" w14:textId="67A9FF7B" w:rsidR="001A3992" w:rsidRDefault="001A3992" w:rsidP="001A3992">
      <w:pPr>
        <w:pStyle w:val="Heading2"/>
        <w:keepNext/>
        <w:keepLines/>
        <w:spacing w:before="0" w:after="120"/>
        <w:rPr>
          <w:rFonts w:cstheme="minorHAnsi"/>
          <w:lang w:val="en-US"/>
        </w:rPr>
      </w:pPr>
      <w:r w:rsidRPr="00497C85">
        <w:rPr>
          <w:rFonts w:cstheme="minorHAnsi"/>
          <w:lang w:val="en-US"/>
        </w:rPr>
        <w:t xml:space="preserve">Special precautions for storage </w:t>
      </w:r>
    </w:p>
    <w:p w14:paraId="7FBB1099" w14:textId="16E9021B" w:rsidR="00975235" w:rsidRPr="00975235" w:rsidRDefault="001D0581" w:rsidP="00975235">
      <w:pPr>
        <w:rPr>
          <w:lang w:val="en-US"/>
        </w:rPr>
      </w:pPr>
      <w:r w:rsidRPr="00DE6BF0">
        <w:t xml:space="preserve">Store below </w:t>
      </w:r>
      <w:r>
        <w:t>30</w:t>
      </w:r>
      <w:r w:rsidRPr="00DE6BF0">
        <w:rPr>
          <w:vertAlign w:val="superscript"/>
        </w:rPr>
        <w:t>o</w:t>
      </w:r>
      <w:r w:rsidRPr="00DE6BF0">
        <w:t>C</w:t>
      </w:r>
      <w:r>
        <w:t xml:space="preserve">. </w:t>
      </w:r>
      <w:r w:rsidR="00975235">
        <w:rPr>
          <w:lang w:val="en-US"/>
        </w:rPr>
        <w:t>Protect from moisture.</w:t>
      </w:r>
    </w:p>
    <w:p w14:paraId="3F836F1E" w14:textId="76DC2953" w:rsidR="001A3992" w:rsidRDefault="001A3992" w:rsidP="001A3992">
      <w:pPr>
        <w:pStyle w:val="Heading2"/>
        <w:spacing w:before="0" w:after="120"/>
        <w:rPr>
          <w:rFonts w:cstheme="minorHAnsi"/>
          <w:lang w:val="en-US"/>
        </w:rPr>
      </w:pPr>
      <w:r w:rsidRPr="00497C85">
        <w:rPr>
          <w:rFonts w:cstheme="minorHAnsi"/>
          <w:lang w:val="en-US"/>
        </w:rPr>
        <w:t xml:space="preserve">Nature and contents of container </w:t>
      </w:r>
    </w:p>
    <w:p w14:paraId="3FD2D304" w14:textId="77777777" w:rsidR="00D95186" w:rsidRPr="00D468D4" w:rsidRDefault="00D95186" w:rsidP="00D95186">
      <w:pPr>
        <w:widowControl w:val="0"/>
        <w:shd w:val="clear" w:color="auto" w:fill="FFFFFF"/>
        <w:rPr>
          <w:noProof/>
        </w:rPr>
      </w:pPr>
      <w:r w:rsidRPr="00D468D4">
        <w:rPr>
          <w:b/>
          <w:noProof/>
        </w:rPr>
        <w:t>5mg tablet:</w:t>
      </w:r>
      <w:r w:rsidRPr="00D468D4">
        <w:rPr>
          <w:noProof/>
        </w:rPr>
        <w:t xml:space="preserve"> Round curved white to almost white tablets of approximately 7.5 mm in diameter with “NVR” debossed on one side and “L5” debossed on the other side.</w:t>
      </w:r>
    </w:p>
    <w:p w14:paraId="15F61D38" w14:textId="77777777" w:rsidR="00D95186" w:rsidRPr="00D468D4" w:rsidRDefault="00D95186" w:rsidP="00D95186">
      <w:pPr>
        <w:widowControl w:val="0"/>
        <w:shd w:val="clear" w:color="auto" w:fill="FFFFFF"/>
        <w:rPr>
          <w:noProof/>
        </w:rPr>
      </w:pPr>
      <w:r w:rsidRPr="00D468D4">
        <w:rPr>
          <w:b/>
          <w:noProof/>
        </w:rPr>
        <w:t>10mg tablet:</w:t>
      </w:r>
      <w:r w:rsidRPr="00D468D4">
        <w:rPr>
          <w:noProof/>
        </w:rPr>
        <w:t xml:space="preserve"> Round curved white to almost white tablets of approximately 9.3 mm in diameter with “NVR” debossed on one side and “L10” debossed on the other side.</w:t>
      </w:r>
    </w:p>
    <w:p w14:paraId="1DCB9BE0" w14:textId="77777777" w:rsidR="00D95186" w:rsidRPr="00D468D4" w:rsidRDefault="00D95186" w:rsidP="00D95186">
      <w:pPr>
        <w:widowControl w:val="0"/>
        <w:shd w:val="clear" w:color="auto" w:fill="FFFFFF"/>
        <w:rPr>
          <w:noProof/>
        </w:rPr>
      </w:pPr>
      <w:r w:rsidRPr="00D468D4">
        <w:rPr>
          <w:b/>
          <w:noProof/>
        </w:rPr>
        <w:t>15 mg tablet:</w:t>
      </w:r>
      <w:r w:rsidRPr="00D468D4">
        <w:rPr>
          <w:noProof/>
        </w:rPr>
        <w:t xml:space="preserve"> Ovaloid curved white to almost white tablets of approximately 15.0 x 7.0 mm with “NVR” debossed on one side and “L15” debossed on the other side.</w:t>
      </w:r>
    </w:p>
    <w:p w14:paraId="2727B280" w14:textId="77777777" w:rsidR="00D95186" w:rsidRPr="00D468D4" w:rsidRDefault="00D95186" w:rsidP="00D95186">
      <w:r w:rsidRPr="00D468D4">
        <w:rPr>
          <w:b/>
          <w:noProof/>
        </w:rPr>
        <w:t>20 mg tablet:</w:t>
      </w:r>
      <w:r w:rsidRPr="00D468D4">
        <w:rPr>
          <w:noProof/>
        </w:rPr>
        <w:t xml:space="preserve"> Elongated curved white to almost white tablets of approximately 16.5 x 7.4 mm with “NVR” debossed one one side and “L20” debossed on the other side,.</w:t>
      </w:r>
    </w:p>
    <w:p w14:paraId="68A3C062" w14:textId="3B8AC830" w:rsidR="00975235" w:rsidRPr="00DE6BF0" w:rsidRDefault="00975235" w:rsidP="6E9AFC58">
      <w:proofErr w:type="spellStart"/>
      <w:r>
        <w:t>Jakavi</w:t>
      </w:r>
      <w:proofErr w:type="spellEnd"/>
      <w:r>
        <w:t xml:space="preserve"> 5 mg, 10mg, 15 mg and 20 mg tablets: blisters (PVC/PCTFE with Aluminium backing)</w:t>
      </w:r>
      <w:r w:rsidRPr="6E9AFC58">
        <w:rPr>
          <w:rFonts w:ascii="Arial" w:hAnsi="Arial" w:cs="Arial"/>
          <w:sz w:val="18"/>
          <w:szCs w:val="18"/>
        </w:rPr>
        <w:t xml:space="preserve"> </w:t>
      </w:r>
      <w:r>
        <w:t>containing 14, 28, 56, 112, 168, 224 tablets</w:t>
      </w:r>
    </w:p>
    <w:p w14:paraId="772A598C" w14:textId="44ED4DC5" w:rsidR="00975235" w:rsidRPr="00975235" w:rsidRDefault="00975235" w:rsidP="00975235">
      <w:pPr>
        <w:rPr>
          <w:lang w:val="en-US"/>
        </w:rPr>
      </w:pPr>
      <w:r w:rsidRPr="00DE6BF0">
        <w:t>Pack sizes: Not all pack sizes may be marketed.</w:t>
      </w:r>
    </w:p>
    <w:p w14:paraId="304AAAB1"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Special precautions for disposal </w:t>
      </w:r>
    </w:p>
    <w:p w14:paraId="3B830525" w14:textId="763F6533" w:rsidR="00497C85" w:rsidRDefault="00497C85" w:rsidP="00975235">
      <w:pPr>
        <w:rPr>
          <w:lang w:val="en"/>
        </w:rPr>
      </w:pPr>
      <w:r w:rsidRPr="00497C85">
        <w:rPr>
          <w:lang w:val="en"/>
        </w:rPr>
        <w:t xml:space="preserve">In Australia, any unused medicine or waste material should be disposed of by </w:t>
      </w:r>
      <w:r w:rsidR="00975235">
        <w:rPr>
          <w:lang w:val="en"/>
        </w:rPr>
        <w:t xml:space="preserve">taking to your local pharmacy. </w:t>
      </w:r>
    </w:p>
    <w:p w14:paraId="5868DB74" w14:textId="08AA909E" w:rsidR="001A3992" w:rsidRDefault="001A3992" w:rsidP="00240754">
      <w:pPr>
        <w:pStyle w:val="Heading2"/>
        <w:pageBreakBefore/>
        <w:spacing w:before="0" w:after="120"/>
        <w:rPr>
          <w:rFonts w:cstheme="minorHAnsi"/>
          <w:lang w:val="en-US"/>
        </w:rPr>
      </w:pPr>
      <w:r w:rsidRPr="00497C85">
        <w:rPr>
          <w:rFonts w:cstheme="minorHAnsi"/>
          <w:lang w:val="en-US"/>
        </w:rPr>
        <w:t>Physicochemical properties</w:t>
      </w:r>
    </w:p>
    <w:p w14:paraId="054968CF" w14:textId="77777777" w:rsidR="00D95186" w:rsidRDefault="00D95186" w:rsidP="00D95186">
      <w:pPr>
        <w:pStyle w:val="Text"/>
        <w:rPr>
          <w:b w:val="0"/>
        </w:rPr>
      </w:pPr>
      <w:proofErr w:type="spellStart"/>
      <w:r w:rsidRPr="00DE6BF0">
        <w:rPr>
          <w:b w:val="0"/>
          <w:lang w:val="en-AU"/>
        </w:rPr>
        <w:lastRenderedPageBreak/>
        <w:t>Ruxolitinib</w:t>
      </w:r>
      <w:proofErr w:type="spellEnd"/>
      <w:r w:rsidRPr="00DE6BF0">
        <w:rPr>
          <w:b w:val="0"/>
          <w:lang w:val="en-AU"/>
        </w:rPr>
        <w:t xml:space="preserve"> phosphate is a white to almost white powder. </w:t>
      </w:r>
    </w:p>
    <w:p w14:paraId="127AA929" w14:textId="77777777" w:rsidR="00D95186" w:rsidRPr="00D95186" w:rsidRDefault="00D95186" w:rsidP="00D95186">
      <w:pPr>
        <w:rPr>
          <w:lang w:val="en-US"/>
        </w:rPr>
      </w:pPr>
    </w:p>
    <w:p w14:paraId="49B7C7D5" w14:textId="04029443" w:rsidR="001A3992" w:rsidRDefault="00975235" w:rsidP="001A3992">
      <w:pPr>
        <w:pStyle w:val="Heading3"/>
        <w:spacing w:before="0" w:after="120"/>
        <w:rPr>
          <w:rFonts w:cstheme="minorHAnsi"/>
          <w:lang w:val="en-US"/>
        </w:rPr>
      </w:pPr>
      <w:r w:rsidRPr="00497C85">
        <w:rPr>
          <w:rFonts w:cstheme="minorHAnsi"/>
          <w:lang w:val="en-US"/>
        </w:rPr>
        <w:t>Chemical structure</w:t>
      </w:r>
    </w:p>
    <w:p w14:paraId="6AC11578" w14:textId="6C412D9D" w:rsidR="00975235" w:rsidRDefault="00975235" w:rsidP="00975235">
      <w:pPr>
        <w:rPr>
          <w:lang w:val="en-US"/>
        </w:rPr>
      </w:pPr>
      <w:r>
        <w:rPr>
          <w:noProof/>
          <w:color w:val="2B579A"/>
          <w:shd w:val="clear" w:color="auto" w:fill="E6E6E6"/>
          <w:lang w:val="en-US"/>
        </w:rPr>
        <w:drawing>
          <wp:inline distT="0" distB="0" distL="0" distR="0" wp14:anchorId="12C97EC2" wp14:editId="57108B5A">
            <wp:extent cx="2209800" cy="1438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438275"/>
                    </a:xfrm>
                    <a:prstGeom prst="rect">
                      <a:avLst/>
                    </a:prstGeom>
                    <a:noFill/>
                    <a:ln>
                      <a:noFill/>
                    </a:ln>
                  </pic:spPr>
                </pic:pic>
              </a:graphicData>
            </a:graphic>
          </wp:inline>
        </w:drawing>
      </w:r>
    </w:p>
    <w:p w14:paraId="700134C3" w14:textId="77777777" w:rsidR="00975235" w:rsidRPr="00DE6BF0" w:rsidRDefault="00975235" w:rsidP="00975235">
      <w:pPr>
        <w:rPr>
          <w:sz w:val="20"/>
          <w:szCs w:val="20"/>
        </w:rPr>
      </w:pPr>
      <w:r w:rsidRPr="00DE6BF0">
        <w:t xml:space="preserve">The active ingredient of </w:t>
      </w:r>
      <w:proofErr w:type="spellStart"/>
      <w:r w:rsidRPr="00DE6BF0">
        <w:t>Jakavi</w:t>
      </w:r>
      <w:proofErr w:type="spellEnd"/>
      <w:r w:rsidRPr="00DE6BF0">
        <w:t xml:space="preserve"> is </w:t>
      </w:r>
      <w:proofErr w:type="spellStart"/>
      <w:r w:rsidRPr="00DE6BF0">
        <w:t>ruxolitinib</w:t>
      </w:r>
      <w:proofErr w:type="spellEnd"/>
      <w:r w:rsidRPr="00DE6BF0">
        <w:t xml:space="preserve"> (as the phosphate salt) or (</w:t>
      </w:r>
      <w:r w:rsidRPr="00DE6BF0">
        <w:rPr>
          <w:i/>
          <w:iCs/>
        </w:rPr>
        <w:t>R</w:t>
      </w:r>
      <w:r w:rsidRPr="00DE6BF0">
        <w:t>)-3-(4-(7</w:t>
      </w:r>
      <w:r w:rsidRPr="00DE6BF0">
        <w:rPr>
          <w:i/>
          <w:iCs/>
        </w:rPr>
        <w:t>H</w:t>
      </w:r>
      <w:r w:rsidRPr="00DE6BF0">
        <w:t>-Pyrrolo[2,3-</w:t>
      </w:r>
      <w:r w:rsidRPr="00DE6BF0">
        <w:rPr>
          <w:i/>
          <w:iCs/>
        </w:rPr>
        <w:t>d</w:t>
      </w:r>
      <w:r w:rsidRPr="00DE6BF0">
        <w:t>]pyrimidin-4-yl)-1</w:t>
      </w:r>
      <w:r w:rsidRPr="00DE6BF0">
        <w:rPr>
          <w:i/>
          <w:iCs/>
        </w:rPr>
        <w:t>H</w:t>
      </w:r>
      <w:r w:rsidRPr="00DE6BF0">
        <w:t>-pyrazol-1-yl)-3-cyclopentylpropanenitrile phosphate</w:t>
      </w:r>
    </w:p>
    <w:p w14:paraId="5EEAE940" w14:textId="7BC854C6" w:rsidR="00975235" w:rsidRPr="00DE6BF0" w:rsidRDefault="00975235" w:rsidP="00975235">
      <w:r w:rsidRPr="00975235">
        <w:rPr>
          <w:b/>
        </w:rPr>
        <w:t>INN:</w:t>
      </w:r>
      <w:r>
        <w:tab/>
      </w:r>
      <w:r>
        <w:tab/>
      </w:r>
      <w:r>
        <w:tab/>
      </w:r>
      <w:proofErr w:type="spellStart"/>
      <w:r w:rsidRPr="00DE6BF0">
        <w:t>ruxolitinib</w:t>
      </w:r>
      <w:proofErr w:type="spellEnd"/>
      <w:r w:rsidRPr="00DE6BF0">
        <w:tab/>
      </w:r>
      <w:r w:rsidRPr="00DE6BF0">
        <w:tab/>
      </w:r>
      <w:r w:rsidRPr="00DE6BF0">
        <w:tab/>
      </w:r>
    </w:p>
    <w:p w14:paraId="75032AD7" w14:textId="09C952F3" w:rsidR="00975235" w:rsidRDefault="00975235" w:rsidP="00975235">
      <w:pPr>
        <w:ind w:left="2160" w:hanging="2160"/>
        <w:jc w:val="left"/>
      </w:pPr>
      <w:smartTag w:uri="urn:schemas-microsoft-com:office:smarttags" w:element="stockticker">
        <w:r w:rsidRPr="00975235">
          <w:rPr>
            <w:b/>
          </w:rPr>
          <w:t>CAS</w:t>
        </w:r>
      </w:smartTag>
      <w:r w:rsidRPr="00975235">
        <w:rPr>
          <w:b/>
        </w:rPr>
        <w:t xml:space="preserve"> name.:</w:t>
      </w:r>
      <w:r w:rsidRPr="00DE6BF0">
        <w:tab/>
        <w:t xml:space="preserve">1H-Pyrazole-1-propanenitrile, β-cyclopentyl-4-(7H-pyrrolo[2,3-d]pyrimidin-4-yl)-, (βR)-, phosphate (1:1); 941678-49-5 </w:t>
      </w:r>
      <w:r w:rsidRPr="00DE6BF0">
        <w:tab/>
      </w:r>
    </w:p>
    <w:p w14:paraId="112B52E4" w14:textId="55D2C793" w:rsidR="00975235" w:rsidRPr="00975235" w:rsidRDefault="001A3992" w:rsidP="00975235">
      <w:r w:rsidRPr="00975235">
        <w:rPr>
          <w:b/>
          <w:lang w:val="en-US"/>
        </w:rPr>
        <w:t>CAS number</w:t>
      </w:r>
      <w:r w:rsidR="00975235">
        <w:rPr>
          <w:b/>
          <w:lang w:val="en-US"/>
        </w:rPr>
        <w:t>:</w:t>
      </w:r>
      <w:r w:rsidR="00975235">
        <w:rPr>
          <w:b/>
          <w:lang w:val="en-US"/>
        </w:rPr>
        <w:tab/>
      </w:r>
      <w:r w:rsidR="00975235">
        <w:rPr>
          <w:b/>
          <w:lang w:val="en-US"/>
        </w:rPr>
        <w:tab/>
      </w:r>
      <w:r w:rsidR="00975235" w:rsidRPr="00975235">
        <w:t>1092939-17-7</w:t>
      </w:r>
      <w:r w:rsidR="00975235" w:rsidRPr="00975235">
        <w:tab/>
      </w:r>
    </w:p>
    <w:p w14:paraId="4617BF9B" w14:textId="2777B56F" w:rsidR="00975235" w:rsidRPr="00DE6BF0" w:rsidRDefault="00975235" w:rsidP="00975235">
      <w:r w:rsidRPr="00975235">
        <w:rPr>
          <w:b/>
        </w:rPr>
        <w:t>Molecular formula:</w:t>
      </w:r>
      <w:r>
        <w:tab/>
      </w:r>
      <w:r w:rsidRPr="00975235">
        <w:t>C</w:t>
      </w:r>
      <w:r w:rsidRPr="00975235">
        <w:rPr>
          <w:vertAlign w:val="subscript"/>
        </w:rPr>
        <w:t>17</w:t>
      </w:r>
      <w:r w:rsidRPr="00975235">
        <w:t>H</w:t>
      </w:r>
      <w:r w:rsidRPr="00975235">
        <w:rPr>
          <w:vertAlign w:val="subscript"/>
        </w:rPr>
        <w:t>18</w:t>
      </w:r>
      <w:r w:rsidRPr="00975235">
        <w:t>N</w:t>
      </w:r>
      <w:r w:rsidRPr="00975235">
        <w:rPr>
          <w:vertAlign w:val="subscript"/>
        </w:rPr>
        <w:t>6</w:t>
      </w:r>
      <w:r w:rsidRPr="00975235">
        <w:t xml:space="preserve"> </w:t>
      </w:r>
      <w:r w:rsidRPr="00DE6BF0">
        <w:tab/>
      </w:r>
    </w:p>
    <w:p w14:paraId="181E81CA" w14:textId="77777777" w:rsidR="00975235" w:rsidRPr="00975235" w:rsidRDefault="00975235" w:rsidP="00975235">
      <w:pPr>
        <w:rPr>
          <w:b/>
        </w:rPr>
      </w:pPr>
      <w:r w:rsidRPr="00975235">
        <w:rPr>
          <w:b/>
        </w:rPr>
        <w:t xml:space="preserve">Molecular weight of the phosphate salt: </w:t>
      </w:r>
      <w:r w:rsidRPr="00975235">
        <w:t>404.36</w:t>
      </w:r>
    </w:p>
    <w:p w14:paraId="6565EC1C" w14:textId="77777777" w:rsidR="00975235" w:rsidRPr="00975235" w:rsidRDefault="00975235" w:rsidP="00975235">
      <w:pPr>
        <w:rPr>
          <w:b/>
        </w:rPr>
      </w:pPr>
      <w:r w:rsidRPr="00975235">
        <w:rPr>
          <w:b/>
        </w:rPr>
        <w:t xml:space="preserve">Molecular weight of the free base: </w:t>
      </w:r>
      <w:r w:rsidRPr="00975235">
        <w:t>306.37</w:t>
      </w:r>
    </w:p>
    <w:p w14:paraId="2A7A164A" w14:textId="3E2EC5B0" w:rsidR="001A3992" w:rsidRPr="00975235" w:rsidRDefault="00975235" w:rsidP="00975235">
      <w:pPr>
        <w:rPr>
          <w:b/>
          <w:lang w:val="en-US"/>
        </w:rPr>
      </w:pPr>
      <w:proofErr w:type="spellStart"/>
      <w:r>
        <w:t>Ruxolitinib</w:t>
      </w:r>
      <w:proofErr w:type="spellEnd"/>
      <w:r w:rsidRPr="00DE6BF0">
        <w:t xml:space="preserve"> is highly soluble in water, most soluble at low pH (pH 3.3) at 37</w:t>
      </w:r>
      <w:r w:rsidRPr="00DE6BF0">
        <w:rPr>
          <w:vertAlign w:val="superscript"/>
        </w:rPr>
        <w:t>o</w:t>
      </w:r>
      <w:r w:rsidRPr="00DE6BF0">
        <w:t>C.</w:t>
      </w:r>
      <w:r>
        <w:t xml:space="preserve"> The</w:t>
      </w:r>
      <w:r w:rsidRPr="00E61538">
        <w:t xml:space="preserve"> </w:t>
      </w:r>
      <w:proofErr w:type="spellStart"/>
      <w:r w:rsidRPr="00E61538">
        <w:t>pKa</w:t>
      </w:r>
      <w:proofErr w:type="spellEnd"/>
      <w:r>
        <w:t xml:space="preserve"> is</w:t>
      </w:r>
      <w:r w:rsidRPr="00E61538">
        <w:t xml:space="preserve"> 4.3 and 11.8</w:t>
      </w:r>
      <w:r>
        <w:t xml:space="preserve">. The </w:t>
      </w:r>
      <w:r w:rsidRPr="00E61538">
        <w:t>BCS</w:t>
      </w:r>
      <w:r>
        <w:t xml:space="preserve"> is</w:t>
      </w:r>
      <w:r w:rsidRPr="00E61538">
        <w:t xml:space="preserve"> Class 1</w:t>
      </w:r>
      <w:r>
        <w:t>.</w:t>
      </w:r>
    </w:p>
    <w:p w14:paraId="28B5DB8B" w14:textId="6ED069B0" w:rsidR="001A3992" w:rsidRDefault="001A3992" w:rsidP="001A3992">
      <w:pPr>
        <w:pStyle w:val="Heading1"/>
        <w:spacing w:before="0" w:after="120"/>
        <w:rPr>
          <w:rFonts w:cstheme="minorHAnsi"/>
          <w:lang w:val="en-US"/>
        </w:rPr>
      </w:pPr>
      <w:r w:rsidRPr="00497C85">
        <w:rPr>
          <w:rFonts w:cstheme="minorHAnsi"/>
          <w:lang w:val="en-US"/>
        </w:rPr>
        <w:t>Medicine schedule (Poisons Standard)</w:t>
      </w:r>
    </w:p>
    <w:p w14:paraId="4C736A04" w14:textId="1B265E1D" w:rsidR="00975235" w:rsidRPr="00975235" w:rsidRDefault="00975235" w:rsidP="00975235">
      <w:r w:rsidRPr="00DE6BF0">
        <w:t>Prescrip</w:t>
      </w:r>
      <w:r>
        <w:t>tion Only Medicine (Schedule 4)</w:t>
      </w:r>
    </w:p>
    <w:p w14:paraId="63B421FC" w14:textId="64F36183" w:rsidR="001A3992" w:rsidRDefault="001A3992" w:rsidP="00D76DAF">
      <w:pPr>
        <w:pStyle w:val="Heading1"/>
        <w:spacing w:before="0" w:after="120"/>
        <w:rPr>
          <w:rFonts w:cstheme="minorHAnsi"/>
          <w:lang w:val="en-US"/>
        </w:rPr>
      </w:pPr>
      <w:r w:rsidRPr="00497C85">
        <w:rPr>
          <w:rFonts w:cstheme="minorHAnsi"/>
          <w:lang w:val="en-US"/>
        </w:rPr>
        <w:t>Sponsor</w:t>
      </w:r>
    </w:p>
    <w:p w14:paraId="1B13D978" w14:textId="77777777" w:rsidR="00975235" w:rsidRPr="00975235" w:rsidRDefault="00975235" w:rsidP="00B21E50">
      <w:pPr>
        <w:keepNext/>
        <w:keepLines/>
        <w:spacing w:after="0"/>
      </w:pPr>
      <w:r w:rsidRPr="00975235">
        <w:t>Novartis Pharmaceuticals Australia Pty Limited</w:t>
      </w:r>
    </w:p>
    <w:p w14:paraId="638A8E8F" w14:textId="77777777" w:rsidR="00975235" w:rsidRPr="00975235" w:rsidRDefault="00975235" w:rsidP="00B21E50">
      <w:pPr>
        <w:keepNext/>
        <w:keepLines/>
        <w:spacing w:after="0"/>
      </w:pPr>
      <w:r w:rsidRPr="00975235">
        <w:t>ABN 18 004 244 160</w:t>
      </w:r>
    </w:p>
    <w:p w14:paraId="558BE61B" w14:textId="77777777" w:rsidR="00975235" w:rsidRPr="00975235" w:rsidRDefault="00975235" w:rsidP="00975235">
      <w:pPr>
        <w:spacing w:after="0"/>
      </w:pPr>
      <w:r w:rsidRPr="00975235">
        <w:t>54 Waterloo Road</w:t>
      </w:r>
    </w:p>
    <w:p w14:paraId="730771B2" w14:textId="77777777" w:rsidR="00975235" w:rsidRPr="00975235" w:rsidRDefault="00975235" w:rsidP="00975235">
      <w:pPr>
        <w:spacing w:after="0"/>
      </w:pPr>
      <w:r w:rsidRPr="00975235">
        <w:t>Macquarie Park NSW 2113</w:t>
      </w:r>
    </w:p>
    <w:p w14:paraId="7FA1BC56" w14:textId="77777777" w:rsidR="00975235" w:rsidRPr="00975235" w:rsidRDefault="00975235" w:rsidP="00975235">
      <w:pPr>
        <w:spacing w:after="0"/>
      </w:pPr>
      <w:r w:rsidRPr="00975235">
        <w:t>Telephone 1 800 671 203</w:t>
      </w:r>
    </w:p>
    <w:p w14:paraId="7AC3270D" w14:textId="77777777" w:rsidR="00975235" w:rsidRPr="00975235" w:rsidRDefault="00975235" w:rsidP="00975235">
      <w:pPr>
        <w:spacing w:after="0"/>
      </w:pPr>
      <w:r w:rsidRPr="00975235">
        <w:t xml:space="preserve">Website: </w:t>
      </w:r>
      <w:hyperlink r:id="rId16" w:history="1">
        <w:r w:rsidRPr="00975235">
          <w:rPr>
            <w:rStyle w:val="Hyperlink"/>
          </w:rPr>
          <w:t>www.novartis.com.au</w:t>
        </w:r>
      </w:hyperlink>
      <w:r w:rsidRPr="00975235">
        <w:t xml:space="preserve"> </w:t>
      </w:r>
    </w:p>
    <w:p w14:paraId="2BBE08A6" w14:textId="77777777" w:rsidR="00975235" w:rsidRPr="00975235" w:rsidRDefault="00975235" w:rsidP="00975235">
      <w:r w:rsidRPr="00975235">
        <w:rPr>
          <w:rFonts w:ascii="Symbol" w:eastAsia="Symbol" w:hAnsi="Symbol" w:cs="Symbol"/>
        </w:rPr>
        <w:lastRenderedPageBreak/>
        <w:t></w:t>
      </w:r>
      <w:r w:rsidRPr="00975235">
        <w:t xml:space="preserve"> = Registered Trademark</w:t>
      </w:r>
    </w:p>
    <w:p w14:paraId="1088AD1F" w14:textId="720054E2" w:rsidR="001A3992" w:rsidRDefault="001A3992" w:rsidP="001A3992">
      <w:pPr>
        <w:pStyle w:val="Heading1"/>
        <w:spacing w:before="0" w:after="120"/>
        <w:rPr>
          <w:rFonts w:cstheme="minorHAnsi"/>
          <w:lang w:val="en-US"/>
        </w:rPr>
      </w:pPr>
      <w:r w:rsidRPr="00497C85">
        <w:rPr>
          <w:rFonts w:cstheme="minorHAnsi"/>
          <w:lang w:val="en-US"/>
        </w:rPr>
        <w:t xml:space="preserve">Date of first approval  </w:t>
      </w:r>
    </w:p>
    <w:p w14:paraId="11C560BC" w14:textId="0A4F727F" w:rsidR="00975235" w:rsidRPr="00975235" w:rsidRDefault="00975235" w:rsidP="00975235">
      <w:pPr>
        <w:rPr>
          <w:lang w:val="en-US"/>
        </w:rPr>
      </w:pPr>
      <w:r>
        <w:rPr>
          <w:lang w:val="en-US"/>
        </w:rPr>
        <w:t>3 July 2013</w:t>
      </w:r>
    </w:p>
    <w:p w14:paraId="6666394E" w14:textId="32F9C82F" w:rsidR="001A3992" w:rsidRDefault="001A3992" w:rsidP="001A3992">
      <w:pPr>
        <w:pStyle w:val="Heading1"/>
        <w:spacing w:before="0" w:after="120"/>
        <w:rPr>
          <w:rFonts w:cstheme="minorHAnsi"/>
          <w:lang w:val="en-US"/>
        </w:rPr>
      </w:pPr>
      <w:r w:rsidRPr="00497C85">
        <w:rPr>
          <w:rFonts w:cstheme="minorHAnsi"/>
          <w:lang w:val="en-US"/>
        </w:rPr>
        <w:t xml:space="preserve">Date of revision </w:t>
      </w:r>
    </w:p>
    <w:p w14:paraId="33818D84" w14:textId="5F766B18" w:rsidR="00975235" w:rsidRDefault="00175707" w:rsidP="00975235">
      <w:pPr>
        <w:rPr>
          <w:lang w:val="en-US"/>
        </w:rPr>
      </w:pPr>
      <w:r>
        <w:rPr>
          <w:lang w:val="en-US"/>
        </w:rPr>
        <w:t xml:space="preserve">28 </w:t>
      </w:r>
      <w:r w:rsidR="003D72DF">
        <w:rPr>
          <w:lang w:val="en-US"/>
        </w:rPr>
        <w:t>January</w:t>
      </w:r>
      <w:r w:rsidR="00975235">
        <w:rPr>
          <w:lang w:val="en-US"/>
        </w:rPr>
        <w:t xml:space="preserve"> 202</w:t>
      </w:r>
      <w:r w:rsidR="003263C0">
        <w:rPr>
          <w:lang w:val="en-US"/>
        </w:rPr>
        <w:t>2</w:t>
      </w:r>
    </w:p>
    <w:p w14:paraId="7AB14444" w14:textId="1B6A59CC" w:rsidR="001A3992" w:rsidRPr="00497C85" w:rsidRDefault="001A3992" w:rsidP="001A3992">
      <w:pPr>
        <w:pStyle w:val="Heading2"/>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497C85" w14:paraId="4360AD15" w14:textId="77777777" w:rsidTr="00975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7D94EA39" w14:textId="77777777" w:rsidR="00ED0937" w:rsidRPr="00497C85" w:rsidRDefault="00ED0937" w:rsidP="00E65453">
            <w:pPr>
              <w:rPr>
                <w:rFonts w:cstheme="minorHAnsi"/>
                <w:sz w:val="20"/>
                <w:lang w:val="en-US"/>
              </w:rPr>
            </w:pPr>
            <w:r w:rsidRPr="00497C85">
              <w:rPr>
                <w:rFonts w:cstheme="minorHAnsi"/>
                <w:sz w:val="20"/>
                <w:lang w:val="en-US"/>
              </w:rPr>
              <w:t>Section Changed</w:t>
            </w:r>
          </w:p>
        </w:tc>
        <w:tc>
          <w:tcPr>
            <w:tcW w:w="7635" w:type="dxa"/>
            <w:shd w:val="clear" w:color="auto" w:fill="F2F2F2" w:themeFill="background1" w:themeFillShade="F2"/>
            <w:vAlign w:val="center"/>
          </w:tcPr>
          <w:p w14:paraId="54EA80EB" w14:textId="77777777" w:rsidR="00ED0937" w:rsidRPr="00497C85" w:rsidRDefault="00ED0937" w:rsidP="00E65453">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032DCB" w:rsidRPr="00497C85" w14:paraId="39BFFD75" w14:textId="77777777" w:rsidTr="00975235">
        <w:tc>
          <w:tcPr>
            <w:cnfStyle w:val="001000000000" w:firstRow="0" w:lastRow="0" w:firstColumn="1" w:lastColumn="0" w:oddVBand="0" w:evenVBand="0" w:oddHBand="0" w:evenHBand="0" w:firstRowFirstColumn="0" w:firstRowLastColumn="0" w:lastRowFirstColumn="0" w:lastRowLastColumn="0"/>
            <w:tcW w:w="1371" w:type="dxa"/>
          </w:tcPr>
          <w:p w14:paraId="21540467" w14:textId="1B99E8BC" w:rsidR="00032DCB" w:rsidRDefault="00032DCB" w:rsidP="001A2BA4">
            <w:pPr>
              <w:jc w:val="left"/>
              <w:rPr>
                <w:b w:val="0"/>
              </w:rPr>
            </w:pPr>
            <w:r>
              <w:rPr>
                <w:b w:val="0"/>
              </w:rPr>
              <w:t>4.1</w:t>
            </w:r>
            <w:r w:rsidR="001A2BA4">
              <w:rPr>
                <w:b w:val="0"/>
              </w:rPr>
              <w:t xml:space="preserve">, </w:t>
            </w:r>
            <w:r>
              <w:rPr>
                <w:b w:val="0"/>
              </w:rPr>
              <w:t>4.2</w:t>
            </w:r>
            <w:r w:rsidR="001A2BA4">
              <w:rPr>
                <w:b w:val="0"/>
              </w:rPr>
              <w:t xml:space="preserve">. </w:t>
            </w:r>
            <w:r>
              <w:rPr>
                <w:b w:val="0"/>
              </w:rPr>
              <w:t>4.5</w:t>
            </w:r>
            <w:r w:rsidR="001A2BA4">
              <w:rPr>
                <w:b w:val="0"/>
              </w:rPr>
              <w:t xml:space="preserve">, </w:t>
            </w:r>
            <w:r>
              <w:rPr>
                <w:b w:val="0"/>
              </w:rPr>
              <w:t>4.8</w:t>
            </w:r>
            <w:r w:rsidR="001A2BA4">
              <w:rPr>
                <w:b w:val="0"/>
              </w:rPr>
              <w:t xml:space="preserve">, </w:t>
            </w:r>
            <w:r>
              <w:rPr>
                <w:b w:val="0"/>
              </w:rPr>
              <w:t>5.1</w:t>
            </w:r>
          </w:p>
          <w:p w14:paraId="760A1CAB" w14:textId="58F8D106" w:rsidR="00032DCB" w:rsidRPr="00975235" w:rsidRDefault="00032DCB" w:rsidP="001A2BA4">
            <w:pPr>
              <w:jc w:val="left"/>
              <w:rPr>
                <w:b w:val="0"/>
              </w:rPr>
            </w:pPr>
            <w:r>
              <w:rPr>
                <w:b w:val="0"/>
              </w:rPr>
              <w:t>All</w:t>
            </w:r>
          </w:p>
        </w:tc>
        <w:tc>
          <w:tcPr>
            <w:tcW w:w="7635" w:type="dxa"/>
          </w:tcPr>
          <w:p w14:paraId="10BE7B80" w14:textId="3ECEFA80" w:rsidR="00032DCB" w:rsidRDefault="00032DCB" w:rsidP="00975235">
            <w:pPr>
              <w:cnfStyle w:val="000000000000" w:firstRow="0" w:lastRow="0" w:firstColumn="0" w:lastColumn="0" w:oddVBand="0" w:evenVBand="0" w:oddHBand="0" w:evenHBand="0" w:firstRowFirstColumn="0" w:firstRowLastColumn="0" w:lastRowFirstColumn="0" w:lastRowLastColumn="0"/>
            </w:pPr>
            <w:r>
              <w:t xml:space="preserve">Addition of </w:t>
            </w:r>
            <w:r w:rsidR="00FE6F6B">
              <w:t xml:space="preserve">acute and chronic </w:t>
            </w:r>
            <w:r>
              <w:t>GvHD indication</w:t>
            </w:r>
            <w:r w:rsidR="00FE6F6B">
              <w:t>s</w:t>
            </w:r>
            <w:r w:rsidR="001A2BA4">
              <w:t>, dosage, interactions, adverse effects and clinical trial information.</w:t>
            </w:r>
          </w:p>
          <w:p w14:paraId="7CFABA0A" w14:textId="60B104A4" w:rsidR="00032DCB" w:rsidRDefault="00032DCB" w:rsidP="00975235">
            <w:pPr>
              <w:cnfStyle w:val="000000000000" w:firstRow="0" w:lastRow="0" w:firstColumn="0" w:lastColumn="0" w:oddVBand="0" w:evenVBand="0" w:oddHBand="0" w:evenHBand="0" w:firstRowFirstColumn="0" w:firstRowLastColumn="0" w:lastRowFirstColumn="0" w:lastRowLastColumn="0"/>
            </w:pPr>
            <w:r>
              <w:t>Revision of sub-headings and cross-references</w:t>
            </w:r>
            <w:r w:rsidR="00FE6902">
              <w:t>, spelling corrections</w:t>
            </w:r>
            <w:r>
              <w:t>.</w:t>
            </w:r>
          </w:p>
        </w:tc>
      </w:tr>
    </w:tbl>
    <w:p w14:paraId="47652A61" w14:textId="77777777" w:rsidR="001C556F" w:rsidRPr="001C556F" w:rsidRDefault="001C556F" w:rsidP="001C556F">
      <w:pPr>
        <w:pBdr>
          <w:bottom w:val="single" w:sz="12" w:space="1" w:color="auto"/>
        </w:pBdr>
        <w:tabs>
          <w:tab w:val="center" w:pos="5812"/>
          <w:tab w:val="center" w:pos="6805"/>
        </w:tabs>
        <w:spacing w:after="120"/>
        <w:rPr>
          <w:rFonts w:ascii="Arial" w:hAnsi="Arial" w:cs="Arial"/>
          <w:sz w:val="22"/>
        </w:rPr>
      </w:pPr>
    </w:p>
    <w:p w14:paraId="0F179FD6" w14:textId="77777777" w:rsidR="001C556F" w:rsidRPr="001C556F" w:rsidRDefault="001C556F" w:rsidP="001C556F">
      <w:pPr>
        <w:tabs>
          <w:tab w:val="center" w:pos="5812"/>
          <w:tab w:val="center" w:pos="6805"/>
        </w:tabs>
      </w:pPr>
      <w:r w:rsidRPr="001C556F">
        <w:t xml:space="preserve">Internal document code: </w:t>
      </w:r>
    </w:p>
    <w:p w14:paraId="185B8AFE" w14:textId="5A03B82E" w:rsidR="001C556F" w:rsidRPr="001C556F" w:rsidRDefault="001C556F" w:rsidP="001C556F">
      <w:pPr>
        <w:tabs>
          <w:tab w:val="center" w:pos="5812"/>
          <w:tab w:val="center" w:pos="6805"/>
        </w:tabs>
      </w:pPr>
      <w:r>
        <w:t>Jak</w:t>
      </w:r>
      <w:r w:rsidR="003D72DF">
        <w:t>27</w:t>
      </w:r>
      <w:r w:rsidR="00584B93">
        <w:t>0122</w:t>
      </w:r>
      <w:r>
        <w:t xml:space="preserve">i based on the CDS of </w:t>
      </w:r>
      <w:r w:rsidR="00AA4485">
        <w:t>12 January 2021</w:t>
      </w:r>
      <w:r>
        <w:t>.</w:t>
      </w:r>
    </w:p>
    <w:p w14:paraId="2C69C4E3" w14:textId="77777777" w:rsidR="00960CD5" w:rsidRPr="001C556F" w:rsidRDefault="00960CD5" w:rsidP="001A3992">
      <w:pPr>
        <w:spacing w:after="120"/>
        <w:rPr>
          <w:rFonts w:asciiTheme="majorHAnsi" w:hAnsiTheme="majorHAnsi" w:cstheme="minorHAnsi"/>
        </w:rPr>
      </w:pPr>
    </w:p>
    <w:sectPr w:rsidR="00960CD5" w:rsidRPr="001C556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AFE5" w14:textId="77777777" w:rsidR="001D4180" w:rsidRDefault="001D4180" w:rsidP="001A3992">
      <w:pPr>
        <w:spacing w:after="0" w:line="240" w:lineRule="auto"/>
      </w:pPr>
      <w:r>
        <w:separator/>
      </w:r>
    </w:p>
  </w:endnote>
  <w:endnote w:type="continuationSeparator" w:id="0">
    <w:p w14:paraId="7CA23922" w14:textId="77777777" w:rsidR="001D4180" w:rsidRDefault="001D4180" w:rsidP="001A3992">
      <w:pPr>
        <w:spacing w:after="0" w:line="240" w:lineRule="auto"/>
      </w:pPr>
      <w:r>
        <w:continuationSeparator/>
      </w:r>
    </w:p>
  </w:endnote>
  <w:endnote w:type="continuationNotice" w:id="1">
    <w:p w14:paraId="44C468D6" w14:textId="77777777" w:rsidR="001D4180" w:rsidRDefault="001D4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04F53C39" w14:textId="6E064507" w:rsidR="001D4180" w:rsidRPr="00B8074A" w:rsidRDefault="001D4180" w:rsidP="00E65453">
        <w:pPr>
          <w:pStyle w:val="Footer"/>
          <w:jc w:val="right"/>
          <w:rPr>
            <w:sz w:val="20"/>
          </w:rPr>
        </w:pPr>
        <w:r w:rsidRPr="00B8074A">
          <w:rPr>
            <w:color w:val="2B579A"/>
            <w:sz w:val="20"/>
            <w:shd w:val="clear" w:color="auto" w:fill="E6E6E6"/>
          </w:rPr>
          <w:fldChar w:fldCharType="begin"/>
        </w:r>
        <w:r w:rsidRPr="00B8074A">
          <w:rPr>
            <w:sz w:val="20"/>
          </w:rPr>
          <w:instrText xml:space="preserve"> PAGE   \* MERGEFORMAT </w:instrText>
        </w:r>
        <w:r w:rsidRPr="00B8074A">
          <w:rPr>
            <w:color w:val="2B579A"/>
            <w:sz w:val="20"/>
            <w:shd w:val="clear" w:color="auto" w:fill="E6E6E6"/>
          </w:rPr>
          <w:fldChar w:fldCharType="separate"/>
        </w:r>
        <w:r>
          <w:rPr>
            <w:noProof/>
            <w:sz w:val="20"/>
          </w:rPr>
          <w:t>9</w:t>
        </w:r>
        <w:r w:rsidRPr="00B8074A">
          <w:rPr>
            <w:color w:val="2B579A"/>
            <w:sz w:val="20"/>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FCF1" w14:textId="77777777" w:rsidR="001D4180" w:rsidRDefault="001D4180" w:rsidP="001A3992">
      <w:pPr>
        <w:spacing w:after="0" w:line="240" w:lineRule="auto"/>
      </w:pPr>
      <w:r>
        <w:separator/>
      </w:r>
    </w:p>
  </w:footnote>
  <w:footnote w:type="continuationSeparator" w:id="0">
    <w:p w14:paraId="25273CDC" w14:textId="77777777" w:rsidR="001D4180" w:rsidRDefault="001D4180" w:rsidP="001A3992">
      <w:pPr>
        <w:spacing w:after="0" w:line="240" w:lineRule="auto"/>
      </w:pPr>
      <w:r>
        <w:continuationSeparator/>
      </w:r>
    </w:p>
  </w:footnote>
  <w:footnote w:type="continuationNotice" w:id="1">
    <w:p w14:paraId="2AECE1AF" w14:textId="77777777" w:rsidR="001D4180" w:rsidRDefault="001D4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240754" w:rsidRPr="00240754" w14:paraId="14C2DE31" w14:textId="77777777" w:rsidTr="00240754">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0972D0DA" w14:textId="4C81467E" w:rsidR="00240754" w:rsidRPr="00240754" w:rsidRDefault="00240754" w:rsidP="00240754">
          <w:pPr>
            <w:spacing w:before="180" w:after="180" w:line="240" w:lineRule="atLeast"/>
            <w:jc w:val="left"/>
            <w:rPr>
              <w:rFonts w:ascii="Cambria" w:eastAsia="Calibri" w:hAnsi="Cambria" w:cs="Arial"/>
              <w:b/>
              <w:sz w:val="18"/>
              <w:szCs w:val="18"/>
            </w:rPr>
          </w:pPr>
          <w:bookmarkStart w:id="5" w:name="_Hlk126587363"/>
          <w:r w:rsidRPr="00240754">
            <w:rPr>
              <w:rFonts w:ascii="Cambria" w:eastAsia="Calibri" w:hAnsi="Cambria" w:cs="Arial"/>
              <w:b/>
              <w:sz w:val="18"/>
              <w:szCs w:val="18"/>
            </w:rPr>
            <w:t xml:space="preserve">Attachment 1: Product information for </w:t>
          </w:r>
          <w:proofErr w:type="spellStart"/>
          <w:r w:rsidRPr="00240754">
            <w:rPr>
              <w:rFonts w:ascii="Cambria" w:eastAsia="Calibri" w:hAnsi="Cambria" w:cs="Arial"/>
              <w:b/>
              <w:color w:val="000000"/>
              <w:sz w:val="18"/>
              <w:szCs w:val="18"/>
            </w:rPr>
            <w:t>AusPAR</w:t>
          </w:r>
          <w:proofErr w:type="spellEnd"/>
          <w:r w:rsidRPr="00240754">
            <w:rPr>
              <w:rFonts w:ascii="Cambria" w:eastAsia="Calibri" w:hAnsi="Cambria" w:cs="Arial"/>
              <w:b/>
              <w:color w:val="000000"/>
              <w:sz w:val="18"/>
              <w:szCs w:val="18"/>
            </w:rPr>
            <w:t xml:space="preserve"> notes - JAKAVI - </w:t>
          </w:r>
          <w:proofErr w:type="spellStart"/>
          <w:r w:rsidRPr="00240754">
            <w:rPr>
              <w:rFonts w:ascii="Cambria" w:eastAsia="Calibri" w:hAnsi="Cambria" w:cs="Arial"/>
              <w:b/>
              <w:color w:val="000000"/>
              <w:sz w:val="18"/>
              <w:szCs w:val="18"/>
            </w:rPr>
            <w:t>Ruxolitinib</w:t>
          </w:r>
          <w:proofErr w:type="spellEnd"/>
          <w:r w:rsidRPr="00240754">
            <w:rPr>
              <w:rFonts w:ascii="Cambria" w:eastAsia="Calibri" w:hAnsi="Cambria" w:cs="Arial"/>
              <w:b/>
              <w:color w:val="000000"/>
              <w:sz w:val="18"/>
              <w:szCs w:val="18"/>
            </w:rPr>
            <w:t xml:space="preserve"> phosphate - Novartis Pharmaceuticals Australia Pty Ltd - PM-2021-00484-1-6</w:t>
          </w:r>
          <w:r>
            <w:rPr>
              <w:rFonts w:ascii="Cambria" w:eastAsia="Calibri" w:hAnsi="Cambria" w:cs="Arial"/>
              <w:b/>
              <w:color w:val="000000"/>
              <w:sz w:val="18"/>
              <w:szCs w:val="18"/>
            </w:rPr>
            <w:t xml:space="preserve"> </w:t>
          </w:r>
          <w:r w:rsidRPr="00240754">
            <w:rPr>
              <w:rFonts w:ascii="Cambria" w:eastAsia="Calibri" w:hAnsi="Cambria" w:cs="Arial"/>
              <w:b/>
              <w:color w:val="000000"/>
              <w:sz w:val="18"/>
              <w:szCs w:val="18"/>
            </w:rPr>
            <w:t xml:space="preserve">Final 4 May 2023. This is the Product Information that was approved with the submission described in this </w:t>
          </w:r>
          <w:proofErr w:type="spellStart"/>
          <w:r w:rsidRPr="00240754">
            <w:rPr>
              <w:rFonts w:ascii="Cambria" w:eastAsia="Calibri" w:hAnsi="Cambria" w:cs="Arial"/>
              <w:b/>
              <w:color w:val="000000"/>
              <w:sz w:val="18"/>
              <w:szCs w:val="18"/>
            </w:rPr>
            <w:t>AusPAR</w:t>
          </w:r>
          <w:proofErr w:type="spellEnd"/>
          <w:r w:rsidRPr="00240754">
            <w:rPr>
              <w:rFonts w:ascii="Cambria" w:eastAsia="Calibri" w:hAnsi="Cambria" w:cs="Arial"/>
              <w:b/>
              <w:color w:val="000000"/>
              <w:sz w:val="18"/>
              <w:szCs w:val="18"/>
            </w:rPr>
            <w:t>. It may have been superseded. For the most recent PI, please refer to the TGA website at &lt;</w:t>
          </w:r>
          <w:hyperlink r:id="rId1" w:history="1">
            <w:r w:rsidRPr="00240754">
              <w:rPr>
                <w:rFonts w:ascii="Cambria" w:eastAsia="Calibri" w:hAnsi="Cambria" w:cs="Arial"/>
                <w:b/>
                <w:color w:val="0000FF"/>
                <w:sz w:val="18"/>
                <w:szCs w:val="18"/>
                <w:u w:val="single"/>
              </w:rPr>
              <w:t>https://www.tga.gov.au/products/australian-register-therapeutic-goods-artg/product-information-one</w:t>
            </w:r>
          </w:hyperlink>
          <w:r w:rsidRPr="00240754">
            <w:rPr>
              <w:rFonts w:ascii="Cambria" w:eastAsia="Calibri" w:hAnsi="Cambria" w:cs="Arial"/>
              <w:b/>
              <w:color w:val="000000"/>
              <w:sz w:val="18"/>
              <w:szCs w:val="18"/>
            </w:rPr>
            <w:t>&gt;</w:t>
          </w:r>
        </w:p>
      </w:tc>
      <w:bookmarkEnd w:id="5"/>
    </w:tr>
  </w:tbl>
  <w:p w14:paraId="2EBC68D7" w14:textId="311C5123" w:rsidR="001D4180" w:rsidRDefault="001D4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7417E"/>
    <w:multiLevelType w:val="hybridMultilevel"/>
    <w:tmpl w:val="A26C7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139E1"/>
    <w:multiLevelType w:val="multilevel"/>
    <w:tmpl w:val="7452DF3C"/>
    <w:lvl w:ilvl="0">
      <w:start w:val="50"/>
      <w:numFmt w:val="decimal"/>
      <w:lvlText w:val="%1"/>
      <w:lvlJc w:val="left"/>
      <w:pPr>
        <w:ind w:left="675" w:hanging="675"/>
      </w:pPr>
      <w:rPr>
        <w:rFonts w:hint="default"/>
      </w:rPr>
    </w:lvl>
    <w:lvl w:ilvl="1">
      <w:start w:val="1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BC783D"/>
    <w:multiLevelType w:val="hybridMultilevel"/>
    <w:tmpl w:val="5874D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14360"/>
    <w:multiLevelType w:val="multilevel"/>
    <w:tmpl w:val="DEFE6BCA"/>
    <w:lvl w:ilvl="0">
      <w:start w:val="50"/>
      <w:numFmt w:val="decimal"/>
      <w:lvlText w:val="%1"/>
      <w:lvlJc w:val="left"/>
      <w:pPr>
        <w:ind w:left="684" w:hanging="684"/>
      </w:pPr>
      <w:rPr>
        <w:rFonts w:hint="default"/>
      </w:rPr>
    </w:lvl>
    <w:lvl w:ilvl="1">
      <w:start w:val="100"/>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163CD8"/>
    <w:multiLevelType w:val="multilevel"/>
    <w:tmpl w:val="167C1B16"/>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11C3D50"/>
    <w:multiLevelType w:val="hybridMultilevel"/>
    <w:tmpl w:val="E5FC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8B573A"/>
    <w:multiLevelType w:val="hybridMultilevel"/>
    <w:tmpl w:val="30548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A22251"/>
    <w:multiLevelType w:val="hybridMultilevel"/>
    <w:tmpl w:val="248ECB7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7C5BFD"/>
    <w:multiLevelType w:val="hybridMultilevel"/>
    <w:tmpl w:val="C8108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243AD5"/>
    <w:multiLevelType w:val="hybridMultilevel"/>
    <w:tmpl w:val="93F0E6D8"/>
    <w:lvl w:ilvl="0" w:tplc="5A0AB87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52E9E"/>
    <w:multiLevelType w:val="hybridMultilevel"/>
    <w:tmpl w:val="407E9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10FD4"/>
    <w:multiLevelType w:val="hybridMultilevel"/>
    <w:tmpl w:val="E09E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4D1547"/>
    <w:multiLevelType w:val="hybridMultilevel"/>
    <w:tmpl w:val="13CE1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0"/>
  </w:num>
  <w:num w:numId="4">
    <w:abstractNumId w:val="11"/>
  </w:num>
  <w:num w:numId="5">
    <w:abstractNumId w:val="22"/>
  </w:num>
  <w:num w:numId="6">
    <w:abstractNumId w:val="19"/>
  </w:num>
  <w:num w:numId="7">
    <w:abstractNumId w:val="16"/>
  </w:num>
  <w:num w:numId="8">
    <w:abstractNumId w:val="20"/>
  </w:num>
  <w:num w:numId="9">
    <w:abstractNumId w:val="6"/>
  </w:num>
  <w:num w:numId="10">
    <w:abstractNumId w:val="15"/>
  </w:num>
  <w:num w:numId="11">
    <w:abstractNumId w:val="3"/>
  </w:num>
  <w:num w:numId="12">
    <w:abstractNumId w:val="5"/>
  </w:num>
  <w:num w:numId="13">
    <w:abstractNumId w:val="13"/>
  </w:num>
  <w:num w:numId="14">
    <w:abstractNumId w:val="7"/>
  </w:num>
  <w:num w:numId="15">
    <w:abstractNumId w:val="17"/>
  </w:num>
  <w:num w:numId="16">
    <w:abstractNumId w:val="10"/>
  </w:num>
  <w:num w:numId="17">
    <w:abstractNumId w:val="4"/>
  </w:num>
  <w:num w:numId="18">
    <w:abstractNumId w:val="21"/>
  </w:num>
  <w:num w:numId="19">
    <w:abstractNumId w:val="12"/>
  </w:num>
  <w:num w:numId="20">
    <w:abstractNumId w:val="1"/>
  </w:num>
  <w:num w:numId="21">
    <w:abstractNumId w:val="14"/>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03"/>
    <w:rsid w:val="00002902"/>
    <w:rsid w:val="000056BE"/>
    <w:rsid w:val="00011270"/>
    <w:rsid w:val="00012F78"/>
    <w:rsid w:val="00015DEF"/>
    <w:rsid w:val="00031A76"/>
    <w:rsid w:val="00032DCB"/>
    <w:rsid w:val="00041675"/>
    <w:rsid w:val="000603E1"/>
    <w:rsid w:val="00062F44"/>
    <w:rsid w:val="0007081D"/>
    <w:rsid w:val="000915E1"/>
    <w:rsid w:val="000B4AD0"/>
    <w:rsid w:val="000B51C6"/>
    <w:rsid w:val="000D2CAC"/>
    <w:rsid w:val="000E5843"/>
    <w:rsid w:val="000E610F"/>
    <w:rsid w:val="000F1020"/>
    <w:rsid w:val="000F38CB"/>
    <w:rsid w:val="00101A85"/>
    <w:rsid w:val="00112054"/>
    <w:rsid w:val="0012446E"/>
    <w:rsid w:val="00124A74"/>
    <w:rsid w:val="00125C6A"/>
    <w:rsid w:val="001310B8"/>
    <w:rsid w:val="00144437"/>
    <w:rsid w:val="00147628"/>
    <w:rsid w:val="00150334"/>
    <w:rsid w:val="001610B1"/>
    <w:rsid w:val="00162289"/>
    <w:rsid w:val="00175707"/>
    <w:rsid w:val="001808F0"/>
    <w:rsid w:val="00181378"/>
    <w:rsid w:val="00182652"/>
    <w:rsid w:val="00183B6B"/>
    <w:rsid w:val="001862BB"/>
    <w:rsid w:val="00187EF6"/>
    <w:rsid w:val="001A2BA4"/>
    <w:rsid w:val="001A3992"/>
    <w:rsid w:val="001C556F"/>
    <w:rsid w:val="001D0581"/>
    <w:rsid w:val="001D2683"/>
    <w:rsid w:val="001D4180"/>
    <w:rsid w:val="00227EF0"/>
    <w:rsid w:val="00240754"/>
    <w:rsid w:val="002851CB"/>
    <w:rsid w:val="00285636"/>
    <w:rsid w:val="00293FA0"/>
    <w:rsid w:val="00294D7A"/>
    <w:rsid w:val="002959D1"/>
    <w:rsid w:val="0029758A"/>
    <w:rsid w:val="002A3149"/>
    <w:rsid w:val="002B424E"/>
    <w:rsid w:val="002B4D9A"/>
    <w:rsid w:val="002C5124"/>
    <w:rsid w:val="002E277D"/>
    <w:rsid w:val="002E3647"/>
    <w:rsid w:val="002F3306"/>
    <w:rsid w:val="003263C0"/>
    <w:rsid w:val="00332693"/>
    <w:rsid w:val="00346628"/>
    <w:rsid w:val="00351B5D"/>
    <w:rsid w:val="0038117C"/>
    <w:rsid w:val="003A21E7"/>
    <w:rsid w:val="003A27BF"/>
    <w:rsid w:val="003A7AA9"/>
    <w:rsid w:val="003B262A"/>
    <w:rsid w:val="003B4882"/>
    <w:rsid w:val="003D249D"/>
    <w:rsid w:val="003D72DF"/>
    <w:rsid w:val="003E3469"/>
    <w:rsid w:val="004032BD"/>
    <w:rsid w:val="00415B9D"/>
    <w:rsid w:val="004202B3"/>
    <w:rsid w:val="00431ACD"/>
    <w:rsid w:val="004359B0"/>
    <w:rsid w:val="004765B0"/>
    <w:rsid w:val="00494E48"/>
    <w:rsid w:val="00497C85"/>
    <w:rsid w:val="004A6A74"/>
    <w:rsid w:val="004B7FD3"/>
    <w:rsid w:val="004D4550"/>
    <w:rsid w:val="004E7824"/>
    <w:rsid w:val="004F51AA"/>
    <w:rsid w:val="004F72FD"/>
    <w:rsid w:val="00512BA0"/>
    <w:rsid w:val="00522D68"/>
    <w:rsid w:val="00535D57"/>
    <w:rsid w:val="00552003"/>
    <w:rsid w:val="005522FE"/>
    <w:rsid w:val="00562043"/>
    <w:rsid w:val="00562317"/>
    <w:rsid w:val="00570D08"/>
    <w:rsid w:val="0057563C"/>
    <w:rsid w:val="00576D88"/>
    <w:rsid w:val="00577FC8"/>
    <w:rsid w:val="005843D3"/>
    <w:rsid w:val="00584B93"/>
    <w:rsid w:val="0059313A"/>
    <w:rsid w:val="005A21DF"/>
    <w:rsid w:val="005A6623"/>
    <w:rsid w:val="005A7402"/>
    <w:rsid w:val="005B31B6"/>
    <w:rsid w:val="005D7847"/>
    <w:rsid w:val="005E12A5"/>
    <w:rsid w:val="00626EEE"/>
    <w:rsid w:val="00630D25"/>
    <w:rsid w:val="00633626"/>
    <w:rsid w:val="006357C8"/>
    <w:rsid w:val="006614AB"/>
    <w:rsid w:val="00677840"/>
    <w:rsid w:val="00682FB7"/>
    <w:rsid w:val="006D3406"/>
    <w:rsid w:val="006D58A1"/>
    <w:rsid w:val="00721B98"/>
    <w:rsid w:val="007378AC"/>
    <w:rsid w:val="00764FE6"/>
    <w:rsid w:val="00771CAD"/>
    <w:rsid w:val="00774278"/>
    <w:rsid w:val="007A2C21"/>
    <w:rsid w:val="007B2B77"/>
    <w:rsid w:val="007C1625"/>
    <w:rsid w:val="007C59A4"/>
    <w:rsid w:val="007E04A6"/>
    <w:rsid w:val="007E4E53"/>
    <w:rsid w:val="007E51A0"/>
    <w:rsid w:val="007E554C"/>
    <w:rsid w:val="007E693C"/>
    <w:rsid w:val="007F34A5"/>
    <w:rsid w:val="007F4331"/>
    <w:rsid w:val="007F467D"/>
    <w:rsid w:val="007F4D48"/>
    <w:rsid w:val="00806FA2"/>
    <w:rsid w:val="00812F43"/>
    <w:rsid w:val="00833FD2"/>
    <w:rsid w:val="00844E66"/>
    <w:rsid w:val="00861558"/>
    <w:rsid w:val="00872523"/>
    <w:rsid w:val="00886EDE"/>
    <w:rsid w:val="008C2F88"/>
    <w:rsid w:val="008F28A1"/>
    <w:rsid w:val="008F36EC"/>
    <w:rsid w:val="009040CA"/>
    <w:rsid w:val="009048B8"/>
    <w:rsid w:val="0091139B"/>
    <w:rsid w:val="00917108"/>
    <w:rsid w:val="00917B15"/>
    <w:rsid w:val="009238D1"/>
    <w:rsid w:val="00940370"/>
    <w:rsid w:val="00960B43"/>
    <w:rsid w:val="00960CD5"/>
    <w:rsid w:val="0097065E"/>
    <w:rsid w:val="00975235"/>
    <w:rsid w:val="00982573"/>
    <w:rsid w:val="009929DD"/>
    <w:rsid w:val="009A625B"/>
    <w:rsid w:val="009B5F34"/>
    <w:rsid w:val="009B6B0E"/>
    <w:rsid w:val="009C26D2"/>
    <w:rsid w:val="009E01A7"/>
    <w:rsid w:val="00A12CDD"/>
    <w:rsid w:val="00A14178"/>
    <w:rsid w:val="00A145F7"/>
    <w:rsid w:val="00A2668D"/>
    <w:rsid w:val="00A32F49"/>
    <w:rsid w:val="00A35472"/>
    <w:rsid w:val="00A3766E"/>
    <w:rsid w:val="00A41406"/>
    <w:rsid w:val="00A50DFA"/>
    <w:rsid w:val="00A64696"/>
    <w:rsid w:val="00A85263"/>
    <w:rsid w:val="00AA00F2"/>
    <w:rsid w:val="00AA4485"/>
    <w:rsid w:val="00AB36A3"/>
    <w:rsid w:val="00AB458C"/>
    <w:rsid w:val="00AB70A3"/>
    <w:rsid w:val="00AC1D63"/>
    <w:rsid w:val="00AD298E"/>
    <w:rsid w:val="00AF4EB7"/>
    <w:rsid w:val="00B0256B"/>
    <w:rsid w:val="00B114F8"/>
    <w:rsid w:val="00B21E50"/>
    <w:rsid w:val="00B454A8"/>
    <w:rsid w:val="00B46BD2"/>
    <w:rsid w:val="00B67399"/>
    <w:rsid w:val="00BA5BFA"/>
    <w:rsid w:val="00BA6249"/>
    <w:rsid w:val="00BB2318"/>
    <w:rsid w:val="00BB2CBE"/>
    <w:rsid w:val="00BD2B67"/>
    <w:rsid w:val="00BD3079"/>
    <w:rsid w:val="00BD331F"/>
    <w:rsid w:val="00C03339"/>
    <w:rsid w:val="00C16F59"/>
    <w:rsid w:val="00C27C26"/>
    <w:rsid w:val="00C604A7"/>
    <w:rsid w:val="00C82072"/>
    <w:rsid w:val="00C83826"/>
    <w:rsid w:val="00C94B63"/>
    <w:rsid w:val="00CA6CCF"/>
    <w:rsid w:val="00CB5E7A"/>
    <w:rsid w:val="00CC003F"/>
    <w:rsid w:val="00CC00EB"/>
    <w:rsid w:val="00CD0F04"/>
    <w:rsid w:val="00CE07AC"/>
    <w:rsid w:val="00CE1CBC"/>
    <w:rsid w:val="00D176FD"/>
    <w:rsid w:val="00D17E4E"/>
    <w:rsid w:val="00D33558"/>
    <w:rsid w:val="00D34E83"/>
    <w:rsid w:val="00D44BA0"/>
    <w:rsid w:val="00D468D4"/>
    <w:rsid w:val="00D54217"/>
    <w:rsid w:val="00D570CE"/>
    <w:rsid w:val="00D67A62"/>
    <w:rsid w:val="00D76DAF"/>
    <w:rsid w:val="00D95186"/>
    <w:rsid w:val="00D961C2"/>
    <w:rsid w:val="00DC481C"/>
    <w:rsid w:val="00DC4D75"/>
    <w:rsid w:val="00DC51F8"/>
    <w:rsid w:val="00DD4E07"/>
    <w:rsid w:val="00DF1304"/>
    <w:rsid w:val="00DF3E11"/>
    <w:rsid w:val="00DF5E99"/>
    <w:rsid w:val="00E03C94"/>
    <w:rsid w:val="00E050F7"/>
    <w:rsid w:val="00E1095B"/>
    <w:rsid w:val="00E1215C"/>
    <w:rsid w:val="00E21DA3"/>
    <w:rsid w:val="00E37E3C"/>
    <w:rsid w:val="00E463B1"/>
    <w:rsid w:val="00E50E39"/>
    <w:rsid w:val="00E5491E"/>
    <w:rsid w:val="00E60C30"/>
    <w:rsid w:val="00E65453"/>
    <w:rsid w:val="00E74A56"/>
    <w:rsid w:val="00E764D9"/>
    <w:rsid w:val="00E85603"/>
    <w:rsid w:val="00EA3547"/>
    <w:rsid w:val="00EB133D"/>
    <w:rsid w:val="00EC540A"/>
    <w:rsid w:val="00ED0937"/>
    <w:rsid w:val="00EE4BB3"/>
    <w:rsid w:val="00EF02EE"/>
    <w:rsid w:val="00F06539"/>
    <w:rsid w:val="00F073E4"/>
    <w:rsid w:val="00F22374"/>
    <w:rsid w:val="00F800D5"/>
    <w:rsid w:val="00F8101F"/>
    <w:rsid w:val="00F86515"/>
    <w:rsid w:val="00F91475"/>
    <w:rsid w:val="00F92568"/>
    <w:rsid w:val="00FB4F3A"/>
    <w:rsid w:val="00FC2ED8"/>
    <w:rsid w:val="00FC3133"/>
    <w:rsid w:val="00FE6902"/>
    <w:rsid w:val="00FE6F6B"/>
    <w:rsid w:val="05F40BD1"/>
    <w:rsid w:val="0603D264"/>
    <w:rsid w:val="078FDC32"/>
    <w:rsid w:val="082FCE64"/>
    <w:rsid w:val="0B54CE6E"/>
    <w:rsid w:val="0C476271"/>
    <w:rsid w:val="0E40232E"/>
    <w:rsid w:val="0E8C6F30"/>
    <w:rsid w:val="0F6F0584"/>
    <w:rsid w:val="16089C04"/>
    <w:rsid w:val="194FB555"/>
    <w:rsid w:val="1BFE6553"/>
    <w:rsid w:val="1C2E5DAA"/>
    <w:rsid w:val="1F9D1483"/>
    <w:rsid w:val="22D4B545"/>
    <w:rsid w:val="25A02312"/>
    <w:rsid w:val="2C7CC67B"/>
    <w:rsid w:val="2FB4673D"/>
    <w:rsid w:val="346EB003"/>
    <w:rsid w:val="3A120632"/>
    <w:rsid w:val="40A5259D"/>
    <w:rsid w:val="46770CE5"/>
    <w:rsid w:val="498F5F27"/>
    <w:rsid w:val="4B3E9BE6"/>
    <w:rsid w:val="4F0AB30A"/>
    <w:rsid w:val="50654BF1"/>
    <w:rsid w:val="51E80195"/>
    <w:rsid w:val="52B5276E"/>
    <w:rsid w:val="5367CB58"/>
    <w:rsid w:val="55B95A2C"/>
    <w:rsid w:val="574912D8"/>
    <w:rsid w:val="58AD32EF"/>
    <w:rsid w:val="653D1D84"/>
    <w:rsid w:val="699B294B"/>
    <w:rsid w:val="6A0D8263"/>
    <w:rsid w:val="6BF53A1F"/>
    <w:rsid w:val="6C02E501"/>
    <w:rsid w:val="6D45BA9D"/>
    <w:rsid w:val="6E9AFC58"/>
    <w:rsid w:val="70D65624"/>
    <w:rsid w:val="7195C9A7"/>
    <w:rsid w:val="739B3C4C"/>
    <w:rsid w:val="76B8D9F5"/>
    <w:rsid w:val="780964C7"/>
    <w:rsid w:val="784EF32E"/>
    <w:rsid w:val="7B56A410"/>
    <w:rsid w:val="7DE0C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6257"/>
    <o:shapelayout v:ext="edit">
      <o:idmap v:ext="edit" data="1"/>
    </o:shapelayout>
  </w:shapeDefaults>
  <w:decimalSymbol w:val="."/>
  <w:listSeparator w:val=","/>
  <w14:docId w14:val="5985844F"/>
  <w15:docId w15:val="{5C77859C-D7FF-4023-9D8D-C46BA3BC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89"/>
    <w:pPr>
      <w:jc w:val="both"/>
    </w:pPr>
    <w:rPr>
      <w:rFonts w:ascii="Times New Roman" w:hAnsi="Times New Roman"/>
      <w:sz w:val="24"/>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99"/>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Comment Text Char1 Char,Comment Text Char Char Char,Comment Text Char1"/>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Text">
    <w:name w:val="Text"/>
    <w:aliases w:val="Graphic,Graphic Char Char,Graphic Char Char Char Char Char,Graphic Char Char Char Char Char Char Char C,notic,Text_10394,non tochic,本文,JP Body Text,Italic,graphics,Body Text1,Body Text11,Body Text111,Body Text1111,??,Body Text11111,本文1,Body Text2,本"/>
    <w:basedOn w:val="Normal"/>
    <w:link w:val="TextChar"/>
    <w:qFormat/>
    <w:rsid w:val="00D468D4"/>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pPr>
    <w:rPr>
      <w:rFonts w:eastAsia="Times New Roman" w:cs="Times New Roman"/>
      <w:b/>
      <w:szCs w:val="24"/>
      <w:lang w:val="en-US"/>
    </w:rPr>
  </w:style>
  <w:style w:type="character" w:customStyle="1" w:styleId="TextChar">
    <w:name w:val="Text Char"/>
    <w:aliases w:val="Graphic Char,Graphic Char Char Char,Graphic Char Char Char Char Char Char,Graphic Char Char Char Char Char Char Char C Char,notic Char,Text_10394 Char,non tochic Char,本文 Char,JP Body Text Char,Italic Char1,graphics Char,Body Text1 Char,?? Char"/>
    <w:basedOn w:val="DefaultParagraphFont"/>
    <w:link w:val="Text"/>
    <w:locked/>
    <w:rsid w:val="00D468D4"/>
    <w:rPr>
      <w:rFonts w:ascii="Times New Roman" w:eastAsia="Times New Roman" w:hAnsi="Times New Roman" w:cs="Times New Roman"/>
      <w:b/>
      <w:sz w:val="24"/>
      <w:szCs w:val="24"/>
      <w:lang w:val="en-US"/>
    </w:rPr>
  </w:style>
  <w:style w:type="table" w:styleId="TableGrid">
    <w:name w:val="Table Grid"/>
    <w:basedOn w:val="TableNormal"/>
    <w:uiPriority w:val="39"/>
    <w:rsid w:val="00D468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6">
    <w:name w:val="CM36"/>
    <w:basedOn w:val="Normal"/>
    <w:next w:val="Normal"/>
    <w:uiPriority w:val="99"/>
    <w:rsid w:val="00D468D4"/>
    <w:pPr>
      <w:autoSpaceDE w:val="0"/>
      <w:autoSpaceDN w:val="0"/>
      <w:adjustRightInd w:val="0"/>
      <w:spacing w:after="0" w:line="240" w:lineRule="auto"/>
    </w:pPr>
    <w:rPr>
      <w:rFonts w:eastAsia="Times New Roman" w:cs="Times New Roman"/>
      <w:szCs w:val="24"/>
      <w:lang w:val="en-US"/>
    </w:rPr>
  </w:style>
  <w:style w:type="paragraph" w:customStyle="1" w:styleId="Default">
    <w:name w:val="Default"/>
    <w:rsid w:val="001120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ttoc-headings">
    <w:name w:val="Not toc-headings"/>
    <w:basedOn w:val="Normal"/>
    <w:next w:val="Text"/>
    <w:link w:val="Nottoc-headingsChar"/>
    <w:rsid w:val="0097065E"/>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before="240" w:after="60" w:line="320" w:lineRule="atLeast"/>
      <w:ind w:left="1701" w:hanging="1701"/>
    </w:pPr>
    <w:rPr>
      <w:rFonts w:eastAsia="Times New Roman" w:cs="Times New Roman"/>
      <w:b/>
      <w:szCs w:val="24"/>
      <w:lang w:val="en-US"/>
    </w:rPr>
  </w:style>
  <w:style w:type="character" w:customStyle="1" w:styleId="Nottoc-headingsChar">
    <w:name w:val="Not toc-headings Char"/>
    <w:basedOn w:val="DefaultParagraphFont"/>
    <w:link w:val="Nottoc-headings"/>
    <w:locked/>
    <w:rsid w:val="0097065E"/>
    <w:rPr>
      <w:rFonts w:ascii="Times New Roman" w:eastAsia="Times New Roman" w:hAnsi="Times New Roman" w:cs="Times New Roman"/>
      <w:b/>
      <w:sz w:val="24"/>
      <w:szCs w:val="24"/>
      <w:lang w:val="en-US"/>
    </w:rPr>
  </w:style>
  <w:style w:type="character" w:styleId="Strong">
    <w:name w:val="Strong"/>
    <w:basedOn w:val="DefaultParagraphFont"/>
    <w:uiPriority w:val="22"/>
    <w:qFormat/>
    <w:rsid w:val="0097065E"/>
    <w:rPr>
      <w:b/>
      <w:bCs/>
    </w:rPr>
  </w:style>
  <w:style w:type="paragraph" w:customStyle="1" w:styleId="Table">
    <w:name w:val="Table"/>
    <w:aliases w:val="10 pt  Bold,9 pt,10 pt,table text 10 pt + Arial,Bold,Normal + (Latin) Arial,(Complex) Arial,9 pt Char Char,9pt,9,legendpt,Table pt,Normal + Courier New,Courier New,Not Bold,Text + Courier New,legendt,Table + (Latin) Courier New,Before:  0 pt,Auto"/>
    <w:basedOn w:val="Nottoc-headings"/>
    <w:link w:val="TableChar"/>
    <w:autoRedefine/>
    <w:qFormat/>
    <w:rsid w:val="00D961C2"/>
    <w:pPr>
      <w:keepNext w:val="0"/>
      <w:tabs>
        <w:tab w:val="left" w:pos="284"/>
      </w:tabs>
      <w:spacing w:before="120" w:after="0" w:line="240" w:lineRule="auto"/>
      <w:ind w:left="22" w:firstLine="22"/>
      <w:jc w:val="left"/>
    </w:pPr>
    <w:rPr>
      <w:rFonts w:eastAsia="SimSun"/>
      <w:bCs/>
      <w:sz w:val="20"/>
      <w:szCs w:val="20"/>
      <w:lang w:eastAsia="zh-CN"/>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basedOn w:val="DefaultParagraphFont"/>
    <w:link w:val="Table"/>
    <w:locked/>
    <w:rsid w:val="00D961C2"/>
    <w:rPr>
      <w:rFonts w:ascii="Times New Roman" w:eastAsia="SimSun" w:hAnsi="Times New Roman" w:cs="Times New Roman"/>
      <w:b/>
      <w:bCs/>
      <w:sz w:val="20"/>
      <w:szCs w:val="20"/>
      <w:lang w:val="en-US" w:eastAsia="zh-CN"/>
    </w:rPr>
  </w:style>
  <w:style w:type="paragraph" w:customStyle="1" w:styleId="paragraph">
    <w:name w:val="paragraph"/>
    <w:basedOn w:val="Normal"/>
    <w:rsid w:val="004202B3"/>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pPr>
    <w:rPr>
      <w:rFonts w:eastAsia="Times New Roman" w:cs="Times New Roman"/>
      <w:b/>
      <w:szCs w:val="24"/>
      <w:lang w:val="en-US"/>
    </w:rPr>
  </w:style>
  <w:style w:type="paragraph" w:styleId="CommentSubject">
    <w:name w:val="annotation subject"/>
    <w:basedOn w:val="CommentText"/>
    <w:next w:val="CommentText"/>
    <w:link w:val="CommentSubjectChar"/>
    <w:uiPriority w:val="99"/>
    <w:semiHidden/>
    <w:unhideWhenUsed/>
    <w:rsid w:val="00162289"/>
    <w:rPr>
      <w:rFonts w:ascii="Times New Roman" w:hAnsi="Times New Roman"/>
      <w:b/>
      <w:bCs/>
    </w:rPr>
  </w:style>
  <w:style w:type="character" w:customStyle="1" w:styleId="CommentSubjectChar">
    <w:name w:val="Comment Subject Char"/>
    <w:basedOn w:val="CommentTextChar"/>
    <w:link w:val="CommentSubject"/>
    <w:uiPriority w:val="99"/>
    <w:semiHidden/>
    <w:rsid w:val="00162289"/>
    <w:rPr>
      <w:rFonts w:ascii="Times New Roman" w:hAnsi="Times New Roman"/>
      <w:b/>
      <w:bCs/>
      <w:sz w:val="20"/>
      <w:szCs w:val="20"/>
    </w:rPr>
  </w:style>
  <w:style w:type="paragraph" w:styleId="Caption">
    <w:name w:val="caption"/>
    <w:basedOn w:val="Normal"/>
    <w:next w:val="Normal"/>
    <w:uiPriority w:val="35"/>
    <w:unhideWhenUsed/>
    <w:qFormat/>
    <w:rsid w:val="0029758A"/>
    <w:pPr>
      <w:spacing w:line="240" w:lineRule="auto"/>
    </w:pPr>
    <w:rPr>
      <w:i/>
      <w:iCs/>
      <w:color w:val="1F497D" w:themeColor="text2"/>
      <w:sz w:val="18"/>
      <w:szCs w:val="18"/>
    </w:rPr>
  </w:style>
  <w:style w:type="paragraph" w:customStyle="1" w:styleId="C-BodyText">
    <w:name w:val="C-Body Text"/>
    <w:link w:val="C-BodyTextChar1"/>
    <w:rsid w:val="00C604A7"/>
    <w:pPr>
      <w:spacing w:before="120" w:after="120" w:line="280" w:lineRule="atLeast"/>
    </w:pPr>
    <w:rPr>
      <w:rFonts w:ascii="Times New Roman" w:eastAsia="Times New Roman" w:hAnsi="Times New Roman" w:cs="Times New Roman"/>
      <w:sz w:val="24"/>
      <w:szCs w:val="20"/>
      <w:lang w:val="en-US"/>
    </w:rPr>
  </w:style>
  <w:style w:type="character" w:customStyle="1" w:styleId="C-BodyTextChar1">
    <w:name w:val="C-Body Text Char1"/>
    <w:link w:val="C-BodyText"/>
    <w:rsid w:val="00C604A7"/>
    <w:rPr>
      <w:rFonts w:ascii="Times New Roman" w:eastAsia="Times New Roman" w:hAnsi="Times New Roman" w:cs="Times New Roman"/>
      <w:sz w:val="24"/>
      <w:szCs w:val="20"/>
      <w:lang w:val="en-US"/>
    </w:rPr>
  </w:style>
  <w:style w:type="paragraph" w:customStyle="1" w:styleId="Reference">
    <w:name w:val="Reference"/>
    <w:basedOn w:val="Normal"/>
    <w:link w:val="ReferenceChar"/>
    <w:rsid w:val="00CE1CBC"/>
    <w:pPr>
      <w:spacing w:before="80" w:after="60" w:line="240" w:lineRule="auto"/>
      <w:jc w:val="left"/>
    </w:pPr>
    <w:rPr>
      <w:rFonts w:eastAsia="MS Mincho" w:cs="Times New Roman"/>
      <w:szCs w:val="20"/>
      <w:lang w:val="en-US" w:eastAsia="zh-CN"/>
    </w:rPr>
  </w:style>
  <w:style w:type="paragraph" w:customStyle="1" w:styleId="Legend">
    <w:name w:val="Legend"/>
    <w:basedOn w:val="Table"/>
    <w:link w:val="LegendChar"/>
    <w:rsid w:val="00CE1CBC"/>
    <w:pPr>
      <w:tabs>
        <w:tab w:val="clear" w:pos="-720"/>
        <w:tab w:val="clear" w:pos="0"/>
        <w:tab w:val="clear" w:pos="720"/>
        <w:tab w:val="clear" w:pos="1440"/>
        <w:tab w:val="clear" w:pos="2160"/>
        <w:tab w:val="clear" w:pos="2880"/>
        <w:tab w:val="clear" w:pos="3600"/>
        <w:tab w:val="clear" w:pos="4320"/>
      </w:tabs>
      <w:autoSpaceDE/>
      <w:autoSpaceDN/>
      <w:adjustRightInd/>
      <w:spacing w:before="40" w:after="20"/>
      <w:ind w:left="0" w:firstLine="0"/>
    </w:pPr>
    <w:rPr>
      <w:rFonts w:ascii="Arial" w:eastAsia="MS Mincho" w:hAnsi="Arial"/>
      <w:b w:val="0"/>
      <w:bCs w:val="0"/>
    </w:rPr>
  </w:style>
  <w:style w:type="character" w:customStyle="1" w:styleId="ReferenceChar">
    <w:name w:val="Reference Char"/>
    <w:link w:val="Reference"/>
    <w:rsid w:val="00CE1CBC"/>
    <w:rPr>
      <w:rFonts w:ascii="Times New Roman" w:eastAsia="MS Mincho" w:hAnsi="Times New Roman" w:cs="Times New Roman"/>
      <w:sz w:val="24"/>
      <w:szCs w:val="20"/>
      <w:lang w:val="en-US" w:eastAsia="zh-CN"/>
    </w:rPr>
  </w:style>
  <w:style w:type="character" w:customStyle="1" w:styleId="LegendChar">
    <w:name w:val="Legend Char"/>
    <w:link w:val="Legend"/>
    <w:rsid w:val="00CE1CBC"/>
    <w:rPr>
      <w:rFonts w:ascii="Arial" w:eastAsia="MS Mincho" w:hAnsi="Arial" w:cs="Arial"/>
      <w:sz w:val="20"/>
      <w:szCs w:val="24"/>
      <w:lang w:val="en-US" w:eastAsia="zh-CN"/>
    </w:rPr>
  </w:style>
  <w:style w:type="character" w:styleId="Emphasis">
    <w:name w:val="Emphasis"/>
    <w:basedOn w:val="DefaultParagraphFont"/>
    <w:uiPriority w:val="20"/>
    <w:qFormat/>
    <w:rsid w:val="00002902"/>
    <w:rPr>
      <w:i/>
      <w:iCs/>
    </w:rPr>
  </w:style>
  <w:style w:type="character" w:customStyle="1" w:styleId="Mention1">
    <w:name w:val="Mention1"/>
    <w:basedOn w:val="DefaultParagraphFont"/>
    <w:uiPriority w:val="99"/>
    <w:unhideWhenUsed/>
    <w:rsid w:val="006D58A1"/>
    <w:rPr>
      <w:color w:val="2B579A"/>
      <w:shd w:val="clear" w:color="auto" w:fill="E6E6E6"/>
    </w:rPr>
  </w:style>
  <w:style w:type="paragraph" w:styleId="Revision">
    <w:name w:val="Revision"/>
    <w:hidden/>
    <w:uiPriority w:val="99"/>
    <w:semiHidden/>
    <w:rsid w:val="005522FE"/>
    <w:pPr>
      <w:spacing w:after="0" w:line="240" w:lineRule="auto"/>
    </w:pPr>
    <w:rPr>
      <w:rFonts w:ascii="Times New Roman" w:hAnsi="Times New Roman"/>
      <w:sz w:val="24"/>
    </w:rPr>
  </w:style>
  <w:style w:type="table" w:customStyle="1" w:styleId="TableGrid2">
    <w:name w:val="Table Grid2"/>
    <w:basedOn w:val="TableNormal"/>
    <w:uiPriority w:val="59"/>
    <w:rsid w:val="00240754"/>
    <w:pPr>
      <w:spacing w:after="0" w:line="240" w:lineRule="auto"/>
    </w:pPr>
    <w:rPr>
      <w:rFonts w:ascii="Calibri" w:eastAsia="Cambria" w:hAnsi="Calibri"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5021">
      <w:bodyDiv w:val="1"/>
      <w:marLeft w:val="0"/>
      <w:marRight w:val="0"/>
      <w:marTop w:val="0"/>
      <w:marBottom w:val="0"/>
      <w:divBdr>
        <w:top w:val="none" w:sz="0" w:space="0" w:color="auto"/>
        <w:left w:val="none" w:sz="0" w:space="0" w:color="auto"/>
        <w:bottom w:val="none" w:sz="0" w:space="0" w:color="auto"/>
        <w:right w:val="none" w:sz="0" w:space="0" w:color="auto"/>
      </w:divBdr>
    </w:div>
    <w:div w:id="729117343">
      <w:bodyDiv w:val="1"/>
      <w:marLeft w:val="0"/>
      <w:marRight w:val="0"/>
      <w:marTop w:val="0"/>
      <w:marBottom w:val="0"/>
      <w:divBdr>
        <w:top w:val="none" w:sz="0" w:space="0" w:color="auto"/>
        <w:left w:val="none" w:sz="0" w:space="0" w:color="auto"/>
        <w:bottom w:val="none" w:sz="0" w:space="0" w:color="auto"/>
        <w:right w:val="none" w:sz="0" w:space="0" w:color="auto"/>
      </w:divBdr>
    </w:div>
    <w:div w:id="8179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ovartis.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uju1\OneDrive%20-%20Novartis%20Pharma%20AG\Downloads\pi-template-new-forma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71894740A1B24DBB6877B1E954B497" ma:contentTypeVersion="6" ma:contentTypeDescription="Create a new document." ma:contentTypeScope="" ma:versionID="8331e2c5a3fad46c8400e7365dd63831">
  <xsd:schema xmlns:xsd="http://www.w3.org/2001/XMLSchema" xmlns:xs="http://www.w3.org/2001/XMLSchema" xmlns:p="http://schemas.microsoft.com/office/2006/metadata/properties" xmlns:ns2="3eb69b20-6de8-417a-91e1-662627b5360e" xmlns:ns3="7067a6aa-eb34-420f-b493-9360b6c71f9a" targetNamespace="http://schemas.microsoft.com/office/2006/metadata/properties" ma:root="true" ma:fieldsID="9758e9467248435c2087b04ef1ba530d" ns2:_="" ns3:_="">
    <xsd:import namespace="3eb69b20-6de8-417a-91e1-662627b5360e"/>
    <xsd:import namespace="7067a6aa-eb34-420f-b493-9360b6c71f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69b20-6de8-417a-91e1-662627b53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7a6aa-eb34-420f-b493-9360b6c71f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D4AD9-0AB9-44BA-BA73-D191DB59C4F9}">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3eb69b20-6de8-417a-91e1-662627b5360e"/>
    <ds:schemaRef ds:uri="http://purl.org/dc/elements/1.1/"/>
    <ds:schemaRef ds:uri="http://www.w3.org/XML/1998/namespace"/>
    <ds:schemaRef ds:uri="7067a6aa-eb34-420f-b493-9360b6c71f9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01D4E00-D38F-46CD-A729-EA974DC4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69b20-6de8-417a-91e1-662627b5360e"/>
    <ds:schemaRef ds:uri="7067a6aa-eb34-420f-b493-9360b6c71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5D3BA-E008-4E64-BC85-0CEC73D1B4CF}">
  <ds:schemaRefs>
    <ds:schemaRef ds:uri="http://schemas.openxmlformats.org/officeDocument/2006/bibliography"/>
  </ds:schemaRefs>
</ds:datastoreItem>
</file>

<file path=customXml/itemProps4.xml><?xml version="1.0" encoding="utf-8"?>
<ds:datastoreItem xmlns:ds="http://schemas.openxmlformats.org/officeDocument/2006/customXml" ds:itemID="{0BA2B666-6131-4B37-8F04-5E9293AE8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 (2).dotx</Template>
  <TotalTime>5</TotalTime>
  <Pages>38</Pages>
  <Words>11870</Words>
  <Characters>67662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Jakavi</dc:title>
  <dc:creator/>
  <cp:lastModifiedBy>PITKIN, Brendan</cp:lastModifiedBy>
  <cp:revision>5</cp:revision>
  <cp:lastPrinted>2022-01-30T23:27:00Z</cp:lastPrinted>
  <dcterms:created xsi:type="dcterms:W3CDTF">2022-01-30T23:27:00Z</dcterms:created>
  <dcterms:modified xsi:type="dcterms:W3CDTF">2023-05-15T05:54:00Z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2020-08-24T01:22:30.7219173Z</vt:lpwstr>
  </property>
  <property fmtid="{D5CDD505-2E9C-101B-9397-08002B2CF9AE}" pid="5" name="MSIP_Label_4929bff8-5b33-42aa-95d2-28f72e792cb0_Name">
    <vt:lpwstr>Business Use Only</vt:lpwstr>
  </property>
  <property fmtid="{D5CDD505-2E9C-101B-9397-08002B2CF9AE}" pid="6" name="MSIP_Label_4929bff8-5b33-42aa-95d2-28f72e792cb0_ActionId">
    <vt:lpwstr>278602ce-dad0-472d-9bdc-5784ac0c527f</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y fmtid="{D5CDD505-2E9C-101B-9397-08002B2CF9AE}" pid="9" name="ContentTypeId">
    <vt:lpwstr>0x010100C971894740A1B24DBB6877B1E954B497</vt:lpwstr>
  </property>
</Properties>
</file>