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410780">
        <w:trPr>
          <w:trHeight w:val="1558"/>
        </w:trPr>
        <w:tc>
          <w:tcPr>
            <w:tcW w:w="8720" w:type="dxa"/>
          </w:tcPr>
          <w:p w14:paraId="2538A211" w14:textId="78619A1A" w:rsidR="00F02AEC" w:rsidRPr="00215D48" w:rsidRDefault="00346EC2" w:rsidP="007452E8">
            <w:pPr>
              <w:pStyle w:val="Title"/>
            </w:pPr>
            <w:r w:rsidRPr="00346EC2">
              <w:t xml:space="preserve">Australian Public Assessment Report for </w:t>
            </w:r>
            <w:r w:rsidR="00387C88" w:rsidRPr="00387C88">
              <w:t>Filpegla</w:t>
            </w:r>
          </w:p>
        </w:tc>
      </w:tr>
      <w:tr w:rsidR="00F02AEC" w:rsidRPr="00215D48" w14:paraId="318A40A3" w14:textId="77777777" w:rsidTr="00410780">
        <w:trPr>
          <w:trHeight w:val="995"/>
        </w:trPr>
        <w:tc>
          <w:tcPr>
            <w:tcW w:w="8720" w:type="dxa"/>
          </w:tcPr>
          <w:p w14:paraId="1AA7C701" w14:textId="1FC73A1E" w:rsidR="00F02AEC" w:rsidRPr="00215D48" w:rsidRDefault="00346EC2" w:rsidP="007452E8">
            <w:pPr>
              <w:pStyle w:val="Subtitle"/>
              <w:ind w:left="0"/>
            </w:pPr>
            <w:r w:rsidRPr="00346EC2">
              <w:t>Active ingredien</w:t>
            </w:r>
            <w:r w:rsidR="00387C88">
              <w:t>t</w:t>
            </w:r>
            <w:r w:rsidRPr="00346EC2">
              <w:t>:</w:t>
            </w:r>
            <w:r w:rsidR="00387C88">
              <w:t xml:space="preserve"> P</w:t>
            </w:r>
            <w:r w:rsidR="00387C88" w:rsidRPr="00387C88">
              <w:t>egfilgrastim</w:t>
            </w:r>
          </w:p>
        </w:tc>
      </w:tr>
      <w:tr w:rsidR="00346EC2" w:rsidRPr="00215D48" w14:paraId="362CCAE4" w14:textId="77777777" w:rsidTr="00410780">
        <w:trPr>
          <w:trHeight w:val="1916"/>
        </w:trPr>
        <w:tc>
          <w:tcPr>
            <w:tcW w:w="8720" w:type="dxa"/>
          </w:tcPr>
          <w:p w14:paraId="709C45C0" w14:textId="2BF2DDAF" w:rsidR="00346EC2" w:rsidRPr="00215D48" w:rsidRDefault="00346EC2" w:rsidP="007452E8">
            <w:pPr>
              <w:pStyle w:val="Subtitle"/>
              <w:ind w:left="0"/>
            </w:pPr>
            <w:r w:rsidRPr="00346EC2">
              <w:t>Sponsor:</w:t>
            </w:r>
            <w:r w:rsidR="00387C88">
              <w:t xml:space="preserve"> </w:t>
            </w:r>
            <w:r w:rsidR="00387C88" w:rsidRPr="00387C88">
              <w:t>Cipla Australia Pty Ltd</w:t>
            </w:r>
          </w:p>
        </w:tc>
      </w:tr>
      <w:tr w:rsidR="00F02AEC" w:rsidRPr="00215D48" w14:paraId="37F2AA1F" w14:textId="77777777" w:rsidTr="00410780">
        <w:tc>
          <w:tcPr>
            <w:tcW w:w="8720" w:type="dxa"/>
          </w:tcPr>
          <w:p w14:paraId="1FDE8DCD" w14:textId="390D481F" w:rsidR="00F02AEC" w:rsidRPr="00215D48" w:rsidRDefault="0075290A" w:rsidP="00410780">
            <w:pPr>
              <w:pStyle w:val="Date"/>
              <w:spacing w:before="0"/>
            </w:pPr>
            <w:r>
              <w:t xml:space="preserve">May </w:t>
            </w:r>
            <w:r w:rsidR="00387C88">
              <w:t>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661B413F"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0F15B4">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3EA2F883"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2B48AF">
      <w:pPr>
        <w:pStyle w:val="LegalSubheading"/>
        <w:spacing w:before="3000"/>
      </w:pPr>
      <w:r w:rsidRPr="00BA0DFC">
        <w:t>Copyright</w:t>
      </w:r>
    </w:p>
    <w:p w14:paraId="170A8A5D" w14:textId="0D247F47"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6E02AE76" w14:textId="77DED056" w:rsidR="00410780"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35296208" w:history="1">
            <w:r w:rsidR="00410780" w:rsidRPr="008B103F">
              <w:rPr>
                <w:rStyle w:val="Hyperlink"/>
                <w:noProof/>
              </w:rPr>
              <w:t>List of abbreviations</w:t>
            </w:r>
            <w:r w:rsidR="00410780">
              <w:rPr>
                <w:noProof/>
                <w:webHidden/>
              </w:rPr>
              <w:tab/>
            </w:r>
            <w:r w:rsidR="00410780">
              <w:rPr>
                <w:noProof/>
                <w:webHidden/>
              </w:rPr>
              <w:fldChar w:fldCharType="begin"/>
            </w:r>
            <w:r w:rsidR="00410780">
              <w:rPr>
                <w:noProof/>
                <w:webHidden/>
              </w:rPr>
              <w:instrText xml:space="preserve"> PAGEREF _Toc135296208 \h </w:instrText>
            </w:r>
            <w:r w:rsidR="00410780">
              <w:rPr>
                <w:noProof/>
                <w:webHidden/>
              </w:rPr>
            </w:r>
            <w:r w:rsidR="00410780">
              <w:rPr>
                <w:noProof/>
                <w:webHidden/>
              </w:rPr>
              <w:fldChar w:fldCharType="separate"/>
            </w:r>
            <w:r w:rsidR="00C171EF">
              <w:rPr>
                <w:noProof/>
                <w:webHidden/>
              </w:rPr>
              <w:t>4</w:t>
            </w:r>
            <w:r w:rsidR="00410780">
              <w:rPr>
                <w:noProof/>
                <w:webHidden/>
              </w:rPr>
              <w:fldChar w:fldCharType="end"/>
            </w:r>
          </w:hyperlink>
        </w:p>
        <w:p w14:paraId="77EBE3F1" w14:textId="623FBB39" w:rsidR="00410780" w:rsidRDefault="00C171EF">
          <w:pPr>
            <w:pStyle w:val="TOC1"/>
            <w:rPr>
              <w:rFonts w:asciiTheme="minorHAnsi" w:eastAsiaTheme="minorEastAsia" w:hAnsiTheme="minorHAnsi" w:cstheme="minorBidi"/>
              <w:b w:val="0"/>
              <w:noProof/>
              <w:color w:val="auto"/>
              <w:sz w:val="22"/>
              <w:szCs w:val="22"/>
              <w:lang w:eastAsia="en-AU"/>
            </w:rPr>
          </w:pPr>
          <w:hyperlink w:anchor="_Toc135296209" w:history="1">
            <w:r w:rsidR="00410780" w:rsidRPr="008B103F">
              <w:rPr>
                <w:rStyle w:val="Hyperlink"/>
                <w:noProof/>
              </w:rPr>
              <w:t>Product submission</w:t>
            </w:r>
            <w:r w:rsidR="00410780">
              <w:rPr>
                <w:noProof/>
                <w:webHidden/>
              </w:rPr>
              <w:tab/>
            </w:r>
            <w:r w:rsidR="00410780">
              <w:rPr>
                <w:noProof/>
                <w:webHidden/>
              </w:rPr>
              <w:fldChar w:fldCharType="begin"/>
            </w:r>
            <w:r w:rsidR="00410780">
              <w:rPr>
                <w:noProof/>
                <w:webHidden/>
              </w:rPr>
              <w:instrText xml:space="preserve"> PAGEREF _Toc135296209 \h </w:instrText>
            </w:r>
            <w:r w:rsidR="00410780">
              <w:rPr>
                <w:noProof/>
                <w:webHidden/>
              </w:rPr>
            </w:r>
            <w:r w:rsidR="00410780">
              <w:rPr>
                <w:noProof/>
                <w:webHidden/>
              </w:rPr>
              <w:fldChar w:fldCharType="separate"/>
            </w:r>
            <w:r>
              <w:rPr>
                <w:noProof/>
                <w:webHidden/>
              </w:rPr>
              <w:t>5</w:t>
            </w:r>
            <w:r w:rsidR="00410780">
              <w:rPr>
                <w:noProof/>
                <w:webHidden/>
              </w:rPr>
              <w:fldChar w:fldCharType="end"/>
            </w:r>
          </w:hyperlink>
        </w:p>
        <w:p w14:paraId="2F949727" w14:textId="712B249E" w:rsidR="00410780" w:rsidRDefault="00C171EF">
          <w:pPr>
            <w:pStyle w:val="TOC2"/>
            <w:rPr>
              <w:rFonts w:asciiTheme="minorHAnsi" w:eastAsiaTheme="minorEastAsia" w:hAnsiTheme="minorHAnsi" w:cstheme="minorBidi"/>
              <w:b w:val="0"/>
              <w:noProof/>
              <w:color w:val="auto"/>
              <w:sz w:val="22"/>
              <w:szCs w:val="22"/>
              <w:lang w:eastAsia="en-AU"/>
            </w:rPr>
          </w:pPr>
          <w:hyperlink w:anchor="_Toc135296210" w:history="1">
            <w:r w:rsidR="00410780" w:rsidRPr="008B103F">
              <w:rPr>
                <w:rStyle w:val="Hyperlink"/>
                <w:noProof/>
                <w:lang w:eastAsia="en-AU"/>
              </w:rPr>
              <w:t>Submission details</w:t>
            </w:r>
            <w:r w:rsidR="00410780">
              <w:rPr>
                <w:noProof/>
                <w:webHidden/>
              </w:rPr>
              <w:tab/>
            </w:r>
            <w:r w:rsidR="00410780">
              <w:rPr>
                <w:noProof/>
                <w:webHidden/>
              </w:rPr>
              <w:fldChar w:fldCharType="begin"/>
            </w:r>
            <w:r w:rsidR="00410780">
              <w:rPr>
                <w:noProof/>
                <w:webHidden/>
              </w:rPr>
              <w:instrText xml:space="preserve"> PAGEREF _Toc135296210 \h </w:instrText>
            </w:r>
            <w:r w:rsidR="00410780">
              <w:rPr>
                <w:noProof/>
                <w:webHidden/>
              </w:rPr>
            </w:r>
            <w:r w:rsidR="00410780">
              <w:rPr>
                <w:noProof/>
                <w:webHidden/>
              </w:rPr>
              <w:fldChar w:fldCharType="separate"/>
            </w:r>
            <w:r>
              <w:rPr>
                <w:noProof/>
                <w:webHidden/>
              </w:rPr>
              <w:t>5</w:t>
            </w:r>
            <w:r w:rsidR="00410780">
              <w:rPr>
                <w:noProof/>
                <w:webHidden/>
              </w:rPr>
              <w:fldChar w:fldCharType="end"/>
            </w:r>
          </w:hyperlink>
        </w:p>
        <w:p w14:paraId="72777DB8" w14:textId="3822F9CE" w:rsidR="00410780" w:rsidRDefault="00C171EF">
          <w:pPr>
            <w:pStyle w:val="TOC2"/>
            <w:rPr>
              <w:rFonts w:asciiTheme="minorHAnsi" w:eastAsiaTheme="minorEastAsia" w:hAnsiTheme="minorHAnsi" w:cstheme="minorBidi"/>
              <w:b w:val="0"/>
              <w:noProof/>
              <w:color w:val="auto"/>
              <w:sz w:val="22"/>
              <w:szCs w:val="22"/>
              <w:lang w:eastAsia="en-AU"/>
            </w:rPr>
          </w:pPr>
          <w:hyperlink w:anchor="_Toc135296211" w:history="1">
            <w:r w:rsidR="00410780" w:rsidRPr="008B103F">
              <w:rPr>
                <w:rStyle w:val="Hyperlink"/>
                <w:noProof/>
              </w:rPr>
              <w:t>Product background</w:t>
            </w:r>
            <w:r w:rsidR="00410780">
              <w:rPr>
                <w:noProof/>
                <w:webHidden/>
              </w:rPr>
              <w:tab/>
            </w:r>
            <w:r w:rsidR="00410780">
              <w:rPr>
                <w:noProof/>
                <w:webHidden/>
              </w:rPr>
              <w:fldChar w:fldCharType="begin"/>
            </w:r>
            <w:r w:rsidR="00410780">
              <w:rPr>
                <w:noProof/>
                <w:webHidden/>
              </w:rPr>
              <w:instrText xml:space="preserve"> PAGEREF _Toc135296211 \h </w:instrText>
            </w:r>
            <w:r w:rsidR="00410780">
              <w:rPr>
                <w:noProof/>
                <w:webHidden/>
              </w:rPr>
            </w:r>
            <w:r w:rsidR="00410780">
              <w:rPr>
                <w:noProof/>
                <w:webHidden/>
              </w:rPr>
              <w:fldChar w:fldCharType="separate"/>
            </w:r>
            <w:r>
              <w:rPr>
                <w:noProof/>
                <w:webHidden/>
              </w:rPr>
              <w:t>6</w:t>
            </w:r>
            <w:r w:rsidR="00410780">
              <w:rPr>
                <w:noProof/>
                <w:webHidden/>
              </w:rPr>
              <w:fldChar w:fldCharType="end"/>
            </w:r>
          </w:hyperlink>
        </w:p>
        <w:p w14:paraId="6D1EF1C7" w14:textId="3D157684" w:rsidR="00410780" w:rsidRDefault="00C171EF">
          <w:pPr>
            <w:pStyle w:val="TOC3"/>
            <w:rPr>
              <w:rFonts w:asciiTheme="minorHAnsi" w:eastAsiaTheme="minorEastAsia" w:hAnsiTheme="minorHAnsi" w:cstheme="minorBidi"/>
              <w:b w:val="0"/>
              <w:noProof/>
              <w:color w:val="auto"/>
              <w:szCs w:val="22"/>
              <w:lang w:eastAsia="en-AU"/>
            </w:rPr>
          </w:pPr>
          <w:hyperlink w:anchor="_Toc135296212" w:history="1">
            <w:r w:rsidR="00410780" w:rsidRPr="008B103F">
              <w:rPr>
                <w:rStyle w:val="Hyperlink"/>
                <w:noProof/>
              </w:rPr>
              <w:t>Condition</w:t>
            </w:r>
            <w:r w:rsidR="00410780">
              <w:rPr>
                <w:noProof/>
                <w:webHidden/>
              </w:rPr>
              <w:tab/>
            </w:r>
            <w:r w:rsidR="00410780">
              <w:rPr>
                <w:noProof/>
                <w:webHidden/>
              </w:rPr>
              <w:fldChar w:fldCharType="begin"/>
            </w:r>
            <w:r w:rsidR="00410780">
              <w:rPr>
                <w:noProof/>
                <w:webHidden/>
              </w:rPr>
              <w:instrText xml:space="preserve"> PAGEREF _Toc135296212 \h </w:instrText>
            </w:r>
            <w:r w:rsidR="00410780">
              <w:rPr>
                <w:noProof/>
                <w:webHidden/>
              </w:rPr>
            </w:r>
            <w:r w:rsidR="00410780">
              <w:rPr>
                <w:noProof/>
                <w:webHidden/>
              </w:rPr>
              <w:fldChar w:fldCharType="separate"/>
            </w:r>
            <w:r>
              <w:rPr>
                <w:noProof/>
                <w:webHidden/>
              </w:rPr>
              <w:t>6</w:t>
            </w:r>
            <w:r w:rsidR="00410780">
              <w:rPr>
                <w:noProof/>
                <w:webHidden/>
              </w:rPr>
              <w:fldChar w:fldCharType="end"/>
            </w:r>
          </w:hyperlink>
        </w:p>
        <w:p w14:paraId="572E5BE6" w14:textId="4AA11058" w:rsidR="00410780" w:rsidRDefault="00C171EF">
          <w:pPr>
            <w:pStyle w:val="TOC3"/>
            <w:rPr>
              <w:rFonts w:asciiTheme="minorHAnsi" w:eastAsiaTheme="minorEastAsia" w:hAnsiTheme="minorHAnsi" w:cstheme="minorBidi"/>
              <w:b w:val="0"/>
              <w:noProof/>
              <w:color w:val="auto"/>
              <w:szCs w:val="22"/>
              <w:lang w:eastAsia="en-AU"/>
            </w:rPr>
          </w:pPr>
          <w:hyperlink w:anchor="_Toc135296213" w:history="1">
            <w:r w:rsidR="00410780" w:rsidRPr="008B103F">
              <w:rPr>
                <w:rStyle w:val="Hyperlink"/>
                <w:noProof/>
              </w:rPr>
              <w:t>Current treatment options</w:t>
            </w:r>
            <w:r w:rsidR="00410780">
              <w:rPr>
                <w:noProof/>
                <w:webHidden/>
              </w:rPr>
              <w:tab/>
            </w:r>
            <w:r w:rsidR="00410780">
              <w:rPr>
                <w:noProof/>
                <w:webHidden/>
              </w:rPr>
              <w:fldChar w:fldCharType="begin"/>
            </w:r>
            <w:r w:rsidR="00410780">
              <w:rPr>
                <w:noProof/>
                <w:webHidden/>
              </w:rPr>
              <w:instrText xml:space="preserve"> PAGEREF _Toc135296213 \h </w:instrText>
            </w:r>
            <w:r w:rsidR="00410780">
              <w:rPr>
                <w:noProof/>
                <w:webHidden/>
              </w:rPr>
            </w:r>
            <w:r w:rsidR="00410780">
              <w:rPr>
                <w:noProof/>
                <w:webHidden/>
              </w:rPr>
              <w:fldChar w:fldCharType="separate"/>
            </w:r>
            <w:r>
              <w:rPr>
                <w:noProof/>
                <w:webHidden/>
              </w:rPr>
              <w:t>7</w:t>
            </w:r>
            <w:r w:rsidR="00410780">
              <w:rPr>
                <w:noProof/>
                <w:webHidden/>
              </w:rPr>
              <w:fldChar w:fldCharType="end"/>
            </w:r>
          </w:hyperlink>
        </w:p>
        <w:p w14:paraId="28886318" w14:textId="6B87D443" w:rsidR="00410780" w:rsidRDefault="00C171EF">
          <w:pPr>
            <w:pStyle w:val="TOC2"/>
            <w:rPr>
              <w:rFonts w:asciiTheme="minorHAnsi" w:eastAsiaTheme="minorEastAsia" w:hAnsiTheme="minorHAnsi" w:cstheme="minorBidi"/>
              <w:b w:val="0"/>
              <w:noProof/>
              <w:color w:val="auto"/>
              <w:sz w:val="22"/>
              <w:szCs w:val="22"/>
              <w:lang w:eastAsia="en-AU"/>
            </w:rPr>
          </w:pPr>
          <w:hyperlink w:anchor="_Toc135296214" w:history="1">
            <w:r w:rsidR="00410780" w:rsidRPr="008B103F">
              <w:rPr>
                <w:rStyle w:val="Hyperlink"/>
                <w:noProof/>
              </w:rPr>
              <w:t>Regulatory status</w:t>
            </w:r>
            <w:r w:rsidR="00410780">
              <w:rPr>
                <w:noProof/>
                <w:webHidden/>
              </w:rPr>
              <w:tab/>
            </w:r>
            <w:r w:rsidR="00410780">
              <w:rPr>
                <w:noProof/>
                <w:webHidden/>
              </w:rPr>
              <w:fldChar w:fldCharType="begin"/>
            </w:r>
            <w:r w:rsidR="00410780">
              <w:rPr>
                <w:noProof/>
                <w:webHidden/>
              </w:rPr>
              <w:instrText xml:space="preserve"> PAGEREF _Toc135296214 \h </w:instrText>
            </w:r>
            <w:r w:rsidR="00410780">
              <w:rPr>
                <w:noProof/>
                <w:webHidden/>
              </w:rPr>
            </w:r>
            <w:r w:rsidR="00410780">
              <w:rPr>
                <w:noProof/>
                <w:webHidden/>
              </w:rPr>
              <w:fldChar w:fldCharType="separate"/>
            </w:r>
            <w:r>
              <w:rPr>
                <w:noProof/>
                <w:webHidden/>
              </w:rPr>
              <w:t>7</w:t>
            </w:r>
            <w:r w:rsidR="00410780">
              <w:rPr>
                <w:noProof/>
                <w:webHidden/>
              </w:rPr>
              <w:fldChar w:fldCharType="end"/>
            </w:r>
          </w:hyperlink>
        </w:p>
        <w:p w14:paraId="134E4FB6" w14:textId="0EE0C61E" w:rsidR="00410780" w:rsidRDefault="00C171EF">
          <w:pPr>
            <w:pStyle w:val="TOC2"/>
            <w:rPr>
              <w:rFonts w:asciiTheme="minorHAnsi" w:eastAsiaTheme="minorEastAsia" w:hAnsiTheme="minorHAnsi" w:cstheme="minorBidi"/>
              <w:b w:val="0"/>
              <w:noProof/>
              <w:color w:val="auto"/>
              <w:sz w:val="22"/>
              <w:szCs w:val="22"/>
              <w:lang w:eastAsia="en-AU"/>
            </w:rPr>
          </w:pPr>
          <w:hyperlink w:anchor="_Toc135296215" w:history="1">
            <w:r w:rsidR="00410780" w:rsidRPr="008B103F">
              <w:rPr>
                <w:rStyle w:val="Hyperlink"/>
                <w:noProof/>
              </w:rPr>
              <w:t>Product Information</w:t>
            </w:r>
            <w:r w:rsidR="00410780">
              <w:rPr>
                <w:noProof/>
                <w:webHidden/>
              </w:rPr>
              <w:tab/>
            </w:r>
            <w:r w:rsidR="00410780">
              <w:rPr>
                <w:noProof/>
                <w:webHidden/>
              </w:rPr>
              <w:fldChar w:fldCharType="begin"/>
            </w:r>
            <w:r w:rsidR="00410780">
              <w:rPr>
                <w:noProof/>
                <w:webHidden/>
              </w:rPr>
              <w:instrText xml:space="preserve"> PAGEREF _Toc135296215 \h </w:instrText>
            </w:r>
            <w:r w:rsidR="00410780">
              <w:rPr>
                <w:noProof/>
                <w:webHidden/>
              </w:rPr>
            </w:r>
            <w:r w:rsidR="00410780">
              <w:rPr>
                <w:noProof/>
                <w:webHidden/>
              </w:rPr>
              <w:fldChar w:fldCharType="separate"/>
            </w:r>
            <w:r>
              <w:rPr>
                <w:noProof/>
                <w:webHidden/>
              </w:rPr>
              <w:t>8</w:t>
            </w:r>
            <w:r w:rsidR="00410780">
              <w:rPr>
                <w:noProof/>
                <w:webHidden/>
              </w:rPr>
              <w:fldChar w:fldCharType="end"/>
            </w:r>
          </w:hyperlink>
        </w:p>
        <w:p w14:paraId="3E54B13D" w14:textId="2D7C6F7A" w:rsidR="00410780" w:rsidRDefault="00C171EF">
          <w:pPr>
            <w:pStyle w:val="TOC1"/>
            <w:rPr>
              <w:rFonts w:asciiTheme="minorHAnsi" w:eastAsiaTheme="minorEastAsia" w:hAnsiTheme="minorHAnsi" w:cstheme="minorBidi"/>
              <w:b w:val="0"/>
              <w:noProof/>
              <w:color w:val="auto"/>
              <w:sz w:val="22"/>
              <w:szCs w:val="22"/>
              <w:lang w:eastAsia="en-AU"/>
            </w:rPr>
          </w:pPr>
          <w:hyperlink w:anchor="_Toc135296216" w:history="1">
            <w:r w:rsidR="00410780" w:rsidRPr="008B103F">
              <w:rPr>
                <w:rStyle w:val="Hyperlink"/>
                <w:noProof/>
              </w:rPr>
              <w:t>Registration timeline</w:t>
            </w:r>
            <w:r w:rsidR="00410780">
              <w:rPr>
                <w:noProof/>
                <w:webHidden/>
              </w:rPr>
              <w:tab/>
            </w:r>
            <w:r w:rsidR="00410780">
              <w:rPr>
                <w:noProof/>
                <w:webHidden/>
              </w:rPr>
              <w:fldChar w:fldCharType="begin"/>
            </w:r>
            <w:r w:rsidR="00410780">
              <w:rPr>
                <w:noProof/>
                <w:webHidden/>
              </w:rPr>
              <w:instrText xml:space="preserve"> PAGEREF _Toc135296216 \h </w:instrText>
            </w:r>
            <w:r w:rsidR="00410780">
              <w:rPr>
                <w:noProof/>
                <w:webHidden/>
              </w:rPr>
            </w:r>
            <w:r w:rsidR="00410780">
              <w:rPr>
                <w:noProof/>
                <w:webHidden/>
              </w:rPr>
              <w:fldChar w:fldCharType="separate"/>
            </w:r>
            <w:r>
              <w:rPr>
                <w:noProof/>
                <w:webHidden/>
              </w:rPr>
              <w:t>8</w:t>
            </w:r>
            <w:r w:rsidR="00410780">
              <w:rPr>
                <w:noProof/>
                <w:webHidden/>
              </w:rPr>
              <w:fldChar w:fldCharType="end"/>
            </w:r>
          </w:hyperlink>
        </w:p>
        <w:p w14:paraId="52204CDF" w14:textId="593F161A" w:rsidR="00410780" w:rsidRDefault="00C171EF">
          <w:pPr>
            <w:pStyle w:val="TOC1"/>
            <w:rPr>
              <w:rFonts w:asciiTheme="minorHAnsi" w:eastAsiaTheme="minorEastAsia" w:hAnsiTheme="minorHAnsi" w:cstheme="minorBidi"/>
              <w:b w:val="0"/>
              <w:noProof/>
              <w:color w:val="auto"/>
              <w:sz w:val="22"/>
              <w:szCs w:val="22"/>
              <w:lang w:eastAsia="en-AU"/>
            </w:rPr>
          </w:pPr>
          <w:hyperlink w:anchor="_Toc135296217" w:history="1">
            <w:r w:rsidR="00410780" w:rsidRPr="008B103F">
              <w:rPr>
                <w:rStyle w:val="Hyperlink"/>
                <w:noProof/>
              </w:rPr>
              <w:t>Submission overview and risk/benefit assessment</w:t>
            </w:r>
            <w:r w:rsidR="00410780">
              <w:rPr>
                <w:noProof/>
                <w:webHidden/>
              </w:rPr>
              <w:tab/>
            </w:r>
            <w:r w:rsidR="00410780">
              <w:rPr>
                <w:noProof/>
                <w:webHidden/>
              </w:rPr>
              <w:fldChar w:fldCharType="begin"/>
            </w:r>
            <w:r w:rsidR="00410780">
              <w:rPr>
                <w:noProof/>
                <w:webHidden/>
              </w:rPr>
              <w:instrText xml:space="preserve"> PAGEREF _Toc135296217 \h </w:instrText>
            </w:r>
            <w:r w:rsidR="00410780">
              <w:rPr>
                <w:noProof/>
                <w:webHidden/>
              </w:rPr>
            </w:r>
            <w:r w:rsidR="00410780">
              <w:rPr>
                <w:noProof/>
                <w:webHidden/>
              </w:rPr>
              <w:fldChar w:fldCharType="separate"/>
            </w:r>
            <w:r>
              <w:rPr>
                <w:noProof/>
                <w:webHidden/>
              </w:rPr>
              <w:t>9</w:t>
            </w:r>
            <w:r w:rsidR="00410780">
              <w:rPr>
                <w:noProof/>
                <w:webHidden/>
              </w:rPr>
              <w:fldChar w:fldCharType="end"/>
            </w:r>
          </w:hyperlink>
        </w:p>
        <w:p w14:paraId="3C31ED70" w14:textId="69FFAE62" w:rsidR="00410780" w:rsidRDefault="00C171EF">
          <w:pPr>
            <w:pStyle w:val="TOC2"/>
            <w:rPr>
              <w:rFonts w:asciiTheme="minorHAnsi" w:eastAsiaTheme="minorEastAsia" w:hAnsiTheme="minorHAnsi" w:cstheme="minorBidi"/>
              <w:b w:val="0"/>
              <w:noProof/>
              <w:color w:val="auto"/>
              <w:sz w:val="22"/>
              <w:szCs w:val="22"/>
              <w:lang w:eastAsia="en-AU"/>
            </w:rPr>
          </w:pPr>
          <w:hyperlink w:anchor="_Toc135296218" w:history="1">
            <w:r w:rsidR="00410780" w:rsidRPr="008B103F">
              <w:rPr>
                <w:rStyle w:val="Hyperlink"/>
                <w:noProof/>
              </w:rPr>
              <w:t>Quality</w:t>
            </w:r>
            <w:r w:rsidR="00410780">
              <w:rPr>
                <w:noProof/>
                <w:webHidden/>
              </w:rPr>
              <w:tab/>
            </w:r>
            <w:r w:rsidR="00410780">
              <w:rPr>
                <w:noProof/>
                <w:webHidden/>
              </w:rPr>
              <w:fldChar w:fldCharType="begin"/>
            </w:r>
            <w:r w:rsidR="00410780">
              <w:rPr>
                <w:noProof/>
                <w:webHidden/>
              </w:rPr>
              <w:instrText xml:space="preserve"> PAGEREF _Toc135296218 \h </w:instrText>
            </w:r>
            <w:r w:rsidR="00410780">
              <w:rPr>
                <w:noProof/>
                <w:webHidden/>
              </w:rPr>
            </w:r>
            <w:r w:rsidR="00410780">
              <w:rPr>
                <w:noProof/>
                <w:webHidden/>
              </w:rPr>
              <w:fldChar w:fldCharType="separate"/>
            </w:r>
            <w:r>
              <w:rPr>
                <w:noProof/>
                <w:webHidden/>
              </w:rPr>
              <w:t>10</w:t>
            </w:r>
            <w:r w:rsidR="00410780">
              <w:rPr>
                <w:noProof/>
                <w:webHidden/>
              </w:rPr>
              <w:fldChar w:fldCharType="end"/>
            </w:r>
          </w:hyperlink>
        </w:p>
        <w:p w14:paraId="626EC723" w14:textId="5889E565" w:rsidR="00410780" w:rsidRDefault="00C171EF">
          <w:pPr>
            <w:pStyle w:val="TOC3"/>
            <w:rPr>
              <w:rFonts w:asciiTheme="minorHAnsi" w:eastAsiaTheme="minorEastAsia" w:hAnsiTheme="minorHAnsi" w:cstheme="minorBidi"/>
              <w:b w:val="0"/>
              <w:noProof/>
              <w:color w:val="auto"/>
              <w:szCs w:val="22"/>
              <w:lang w:eastAsia="en-AU"/>
            </w:rPr>
          </w:pPr>
          <w:hyperlink w:anchor="_Toc135296219" w:history="1">
            <w:r w:rsidR="00410780" w:rsidRPr="008B103F">
              <w:rPr>
                <w:rStyle w:val="Hyperlink"/>
                <w:noProof/>
              </w:rPr>
              <w:t>Biosimilarity</w:t>
            </w:r>
            <w:r w:rsidR="00410780">
              <w:rPr>
                <w:noProof/>
                <w:webHidden/>
              </w:rPr>
              <w:tab/>
            </w:r>
            <w:r w:rsidR="00410780">
              <w:rPr>
                <w:noProof/>
                <w:webHidden/>
              </w:rPr>
              <w:fldChar w:fldCharType="begin"/>
            </w:r>
            <w:r w:rsidR="00410780">
              <w:rPr>
                <w:noProof/>
                <w:webHidden/>
              </w:rPr>
              <w:instrText xml:space="preserve"> PAGEREF _Toc135296219 \h </w:instrText>
            </w:r>
            <w:r w:rsidR="00410780">
              <w:rPr>
                <w:noProof/>
                <w:webHidden/>
              </w:rPr>
            </w:r>
            <w:r w:rsidR="00410780">
              <w:rPr>
                <w:noProof/>
                <w:webHidden/>
              </w:rPr>
              <w:fldChar w:fldCharType="separate"/>
            </w:r>
            <w:r>
              <w:rPr>
                <w:noProof/>
                <w:webHidden/>
              </w:rPr>
              <w:t>10</w:t>
            </w:r>
            <w:r w:rsidR="00410780">
              <w:rPr>
                <w:noProof/>
                <w:webHidden/>
              </w:rPr>
              <w:fldChar w:fldCharType="end"/>
            </w:r>
          </w:hyperlink>
        </w:p>
        <w:p w14:paraId="4EDA87AB" w14:textId="25418288" w:rsidR="00410780" w:rsidRDefault="00C171EF">
          <w:pPr>
            <w:pStyle w:val="TOC3"/>
            <w:rPr>
              <w:rFonts w:asciiTheme="minorHAnsi" w:eastAsiaTheme="minorEastAsia" w:hAnsiTheme="minorHAnsi" w:cstheme="minorBidi"/>
              <w:b w:val="0"/>
              <w:noProof/>
              <w:color w:val="auto"/>
              <w:szCs w:val="22"/>
              <w:lang w:eastAsia="en-AU"/>
            </w:rPr>
          </w:pPr>
          <w:hyperlink w:anchor="_Toc135296220" w:history="1">
            <w:r w:rsidR="00410780" w:rsidRPr="008B103F">
              <w:rPr>
                <w:rStyle w:val="Hyperlink"/>
                <w:noProof/>
              </w:rPr>
              <w:t>Microbiology and sterility</w:t>
            </w:r>
            <w:r w:rsidR="00410780">
              <w:rPr>
                <w:noProof/>
                <w:webHidden/>
              </w:rPr>
              <w:tab/>
            </w:r>
            <w:r w:rsidR="00410780">
              <w:rPr>
                <w:noProof/>
                <w:webHidden/>
              </w:rPr>
              <w:fldChar w:fldCharType="begin"/>
            </w:r>
            <w:r w:rsidR="00410780">
              <w:rPr>
                <w:noProof/>
                <w:webHidden/>
              </w:rPr>
              <w:instrText xml:space="preserve"> PAGEREF _Toc135296220 \h </w:instrText>
            </w:r>
            <w:r w:rsidR="00410780">
              <w:rPr>
                <w:noProof/>
                <w:webHidden/>
              </w:rPr>
            </w:r>
            <w:r w:rsidR="00410780">
              <w:rPr>
                <w:noProof/>
                <w:webHidden/>
              </w:rPr>
              <w:fldChar w:fldCharType="separate"/>
            </w:r>
            <w:r>
              <w:rPr>
                <w:noProof/>
                <w:webHidden/>
              </w:rPr>
              <w:t>11</w:t>
            </w:r>
            <w:r w:rsidR="00410780">
              <w:rPr>
                <w:noProof/>
                <w:webHidden/>
              </w:rPr>
              <w:fldChar w:fldCharType="end"/>
            </w:r>
          </w:hyperlink>
        </w:p>
        <w:p w14:paraId="309391ED" w14:textId="2349E694" w:rsidR="00410780" w:rsidRDefault="00C171EF">
          <w:pPr>
            <w:pStyle w:val="TOC3"/>
            <w:rPr>
              <w:rFonts w:asciiTheme="minorHAnsi" w:eastAsiaTheme="minorEastAsia" w:hAnsiTheme="minorHAnsi" w:cstheme="minorBidi"/>
              <w:b w:val="0"/>
              <w:noProof/>
              <w:color w:val="auto"/>
              <w:szCs w:val="22"/>
              <w:lang w:eastAsia="en-AU"/>
            </w:rPr>
          </w:pPr>
          <w:hyperlink w:anchor="_Toc135296221" w:history="1">
            <w:r w:rsidR="00410780" w:rsidRPr="008B103F">
              <w:rPr>
                <w:rStyle w:val="Hyperlink"/>
                <w:noProof/>
              </w:rPr>
              <w:t>Conclusions</w:t>
            </w:r>
            <w:r w:rsidR="00410780">
              <w:rPr>
                <w:noProof/>
                <w:webHidden/>
              </w:rPr>
              <w:tab/>
            </w:r>
            <w:r w:rsidR="00410780">
              <w:rPr>
                <w:noProof/>
                <w:webHidden/>
              </w:rPr>
              <w:fldChar w:fldCharType="begin"/>
            </w:r>
            <w:r w:rsidR="00410780">
              <w:rPr>
                <w:noProof/>
                <w:webHidden/>
              </w:rPr>
              <w:instrText xml:space="preserve"> PAGEREF _Toc135296221 \h </w:instrText>
            </w:r>
            <w:r w:rsidR="00410780">
              <w:rPr>
                <w:noProof/>
                <w:webHidden/>
              </w:rPr>
            </w:r>
            <w:r w:rsidR="00410780">
              <w:rPr>
                <w:noProof/>
                <w:webHidden/>
              </w:rPr>
              <w:fldChar w:fldCharType="separate"/>
            </w:r>
            <w:r>
              <w:rPr>
                <w:noProof/>
                <w:webHidden/>
              </w:rPr>
              <w:t>11</w:t>
            </w:r>
            <w:r w:rsidR="00410780">
              <w:rPr>
                <w:noProof/>
                <w:webHidden/>
              </w:rPr>
              <w:fldChar w:fldCharType="end"/>
            </w:r>
          </w:hyperlink>
        </w:p>
        <w:p w14:paraId="2851ECAB" w14:textId="68C000A6" w:rsidR="00410780" w:rsidRDefault="00C171EF">
          <w:pPr>
            <w:pStyle w:val="TOC2"/>
            <w:rPr>
              <w:rFonts w:asciiTheme="minorHAnsi" w:eastAsiaTheme="minorEastAsia" w:hAnsiTheme="minorHAnsi" w:cstheme="minorBidi"/>
              <w:b w:val="0"/>
              <w:noProof/>
              <w:color w:val="auto"/>
              <w:sz w:val="22"/>
              <w:szCs w:val="22"/>
              <w:lang w:eastAsia="en-AU"/>
            </w:rPr>
          </w:pPr>
          <w:hyperlink w:anchor="_Toc135296222" w:history="1">
            <w:r w:rsidR="00410780" w:rsidRPr="008B103F">
              <w:rPr>
                <w:rStyle w:val="Hyperlink"/>
                <w:noProof/>
              </w:rPr>
              <w:t>Nonclinical</w:t>
            </w:r>
            <w:r w:rsidR="00410780">
              <w:rPr>
                <w:noProof/>
                <w:webHidden/>
              </w:rPr>
              <w:tab/>
            </w:r>
            <w:r w:rsidR="00410780">
              <w:rPr>
                <w:noProof/>
                <w:webHidden/>
              </w:rPr>
              <w:fldChar w:fldCharType="begin"/>
            </w:r>
            <w:r w:rsidR="00410780">
              <w:rPr>
                <w:noProof/>
                <w:webHidden/>
              </w:rPr>
              <w:instrText xml:space="preserve"> PAGEREF _Toc135296222 \h </w:instrText>
            </w:r>
            <w:r w:rsidR="00410780">
              <w:rPr>
                <w:noProof/>
                <w:webHidden/>
              </w:rPr>
            </w:r>
            <w:r w:rsidR="00410780">
              <w:rPr>
                <w:noProof/>
                <w:webHidden/>
              </w:rPr>
              <w:fldChar w:fldCharType="separate"/>
            </w:r>
            <w:r>
              <w:rPr>
                <w:noProof/>
                <w:webHidden/>
              </w:rPr>
              <w:t>11</w:t>
            </w:r>
            <w:r w:rsidR="00410780">
              <w:rPr>
                <w:noProof/>
                <w:webHidden/>
              </w:rPr>
              <w:fldChar w:fldCharType="end"/>
            </w:r>
          </w:hyperlink>
        </w:p>
        <w:p w14:paraId="69F11F1B" w14:textId="34500EA6" w:rsidR="00410780" w:rsidRDefault="00C171EF">
          <w:pPr>
            <w:pStyle w:val="TOC2"/>
            <w:rPr>
              <w:rFonts w:asciiTheme="minorHAnsi" w:eastAsiaTheme="minorEastAsia" w:hAnsiTheme="minorHAnsi" w:cstheme="minorBidi"/>
              <w:b w:val="0"/>
              <w:noProof/>
              <w:color w:val="auto"/>
              <w:sz w:val="22"/>
              <w:szCs w:val="22"/>
              <w:lang w:eastAsia="en-AU"/>
            </w:rPr>
          </w:pPr>
          <w:hyperlink w:anchor="_Toc135296223" w:history="1">
            <w:r w:rsidR="00410780" w:rsidRPr="008B103F">
              <w:rPr>
                <w:rStyle w:val="Hyperlink"/>
                <w:noProof/>
              </w:rPr>
              <w:t>Clinical</w:t>
            </w:r>
            <w:r w:rsidR="00410780">
              <w:rPr>
                <w:noProof/>
                <w:webHidden/>
              </w:rPr>
              <w:tab/>
            </w:r>
            <w:r w:rsidR="00410780">
              <w:rPr>
                <w:noProof/>
                <w:webHidden/>
              </w:rPr>
              <w:fldChar w:fldCharType="begin"/>
            </w:r>
            <w:r w:rsidR="00410780">
              <w:rPr>
                <w:noProof/>
                <w:webHidden/>
              </w:rPr>
              <w:instrText xml:space="preserve"> PAGEREF _Toc135296223 \h </w:instrText>
            </w:r>
            <w:r w:rsidR="00410780">
              <w:rPr>
                <w:noProof/>
                <w:webHidden/>
              </w:rPr>
            </w:r>
            <w:r w:rsidR="00410780">
              <w:rPr>
                <w:noProof/>
                <w:webHidden/>
              </w:rPr>
              <w:fldChar w:fldCharType="separate"/>
            </w:r>
            <w:r>
              <w:rPr>
                <w:noProof/>
                <w:webHidden/>
              </w:rPr>
              <w:t>12</w:t>
            </w:r>
            <w:r w:rsidR="00410780">
              <w:rPr>
                <w:noProof/>
                <w:webHidden/>
              </w:rPr>
              <w:fldChar w:fldCharType="end"/>
            </w:r>
          </w:hyperlink>
        </w:p>
        <w:p w14:paraId="6243377B" w14:textId="51B4C9DB" w:rsidR="00410780" w:rsidRDefault="00C171EF">
          <w:pPr>
            <w:pStyle w:val="TOC3"/>
            <w:rPr>
              <w:rFonts w:asciiTheme="minorHAnsi" w:eastAsiaTheme="minorEastAsia" w:hAnsiTheme="minorHAnsi" w:cstheme="minorBidi"/>
              <w:b w:val="0"/>
              <w:noProof/>
              <w:color w:val="auto"/>
              <w:szCs w:val="22"/>
              <w:lang w:eastAsia="en-AU"/>
            </w:rPr>
          </w:pPr>
          <w:hyperlink w:anchor="_Toc135296224" w:history="1">
            <w:r w:rsidR="00410780" w:rsidRPr="008B103F">
              <w:rPr>
                <w:rStyle w:val="Hyperlink"/>
                <w:noProof/>
              </w:rPr>
              <w:t>Summary of clinical studies</w:t>
            </w:r>
            <w:r w:rsidR="00410780">
              <w:rPr>
                <w:noProof/>
                <w:webHidden/>
              </w:rPr>
              <w:tab/>
            </w:r>
            <w:r w:rsidR="00410780">
              <w:rPr>
                <w:noProof/>
                <w:webHidden/>
              </w:rPr>
              <w:fldChar w:fldCharType="begin"/>
            </w:r>
            <w:r w:rsidR="00410780">
              <w:rPr>
                <w:noProof/>
                <w:webHidden/>
              </w:rPr>
              <w:instrText xml:space="preserve"> PAGEREF _Toc135296224 \h </w:instrText>
            </w:r>
            <w:r w:rsidR="00410780">
              <w:rPr>
                <w:noProof/>
                <w:webHidden/>
              </w:rPr>
            </w:r>
            <w:r w:rsidR="00410780">
              <w:rPr>
                <w:noProof/>
                <w:webHidden/>
              </w:rPr>
              <w:fldChar w:fldCharType="separate"/>
            </w:r>
            <w:r>
              <w:rPr>
                <w:noProof/>
                <w:webHidden/>
              </w:rPr>
              <w:t>12</w:t>
            </w:r>
            <w:r w:rsidR="00410780">
              <w:rPr>
                <w:noProof/>
                <w:webHidden/>
              </w:rPr>
              <w:fldChar w:fldCharType="end"/>
            </w:r>
          </w:hyperlink>
        </w:p>
        <w:p w14:paraId="47B4605F" w14:textId="2644F80B" w:rsidR="00410780" w:rsidRDefault="00C171EF">
          <w:pPr>
            <w:pStyle w:val="TOC3"/>
            <w:rPr>
              <w:rFonts w:asciiTheme="minorHAnsi" w:eastAsiaTheme="minorEastAsia" w:hAnsiTheme="minorHAnsi" w:cstheme="minorBidi"/>
              <w:b w:val="0"/>
              <w:noProof/>
              <w:color w:val="auto"/>
              <w:szCs w:val="22"/>
              <w:lang w:eastAsia="en-AU"/>
            </w:rPr>
          </w:pPr>
          <w:hyperlink w:anchor="_Toc135296225" w:history="1">
            <w:r w:rsidR="00410780" w:rsidRPr="008B103F">
              <w:rPr>
                <w:rStyle w:val="Hyperlink"/>
                <w:noProof/>
              </w:rPr>
              <w:t>Pharmacokinetics and Pharmacodynamics</w:t>
            </w:r>
            <w:r w:rsidR="00410780">
              <w:rPr>
                <w:noProof/>
                <w:webHidden/>
              </w:rPr>
              <w:tab/>
            </w:r>
            <w:r w:rsidR="00410780">
              <w:rPr>
                <w:noProof/>
                <w:webHidden/>
              </w:rPr>
              <w:fldChar w:fldCharType="begin"/>
            </w:r>
            <w:r w:rsidR="00410780">
              <w:rPr>
                <w:noProof/>
                <w:webHidden/>
              </w:rPr>
              <w:instrText xml:space="preserve"> PAGEREF _Toc135296225 \h </w:instrText>
            </w:r>
            <w:r w:rsidR="00410780">
              <w:rPr>
                <w:noProof/>
                <w:webHidden/>
              </w:rPr>
            </w:r>
            <w:r w:rsidR="00410780">
              <w:rPr>
                <w:noProof/>
                <w:webHidden/>
              </w:rPr>
              <w:fldChar w:fldCharType="separate"/>
            </w:r>
            <w:r>
              <w:rPr>
                <w:noProof/>
                <w:webHidden/>
              </w:rPr>
              <w:t>12</w:t>
            </w:r>
            <w:r w:rsidR="00410780">
              <w:rPr>
                <w:noProof/>
                <w:webHidden/>
              </w:rPr>
              <w:fldChar w:fldCharType="end"/>
            </w:r>
          </w:hyperlink>
        </w:p>
        <w:p w14:paraId="6DE1EB8F" w14:textId="7AC7EE39" w:rsidR="00410780" w:rsidRDefault="00C171EF">
          <w:pPr>
            <w:pStyle w:val="TOC3"/>
            <w:rPr>
              <w:rFonts w:asciiTheme="minorHAnsi" w:eastAsiaTheme="minorEastAsia" w:hAnsiTheme="minorHAnsi" w:cstheme="minorBidi"/>
              <w:b w:val="0"/>
              <w:noProof/>
              <w:color w:val="auto"/>
              <w:szCs w:val="22"/>
              <w:lang w:eastAsia="en-AU"/>
            </w:rPr>
          </w:pPr>
          <w:hyperlink w:anchor="_Toc135296226" w:history="1">
            <w:r w:rsidR="00410780" w:rsidRPr="008B103F">
              <w:rPr>
                <w:rStyle w:val="Hyperlink"/>
                <w:noProof/>
              </w:rPr>
              <w:t>Efficacy</w:t>
            </w:r>
            <w:r w:rsidR="00410780">
              <w:rPr>
                <w:noProof/>
                <w:webHidden/>
              </w:rPr>
              <w:tab/>
            </w:r>
            <w:r w:rsidR="00410780">
              <w:rPr>
                <w:noProof/>
                <w:webHidden/>
              </w:rPr>
              <w:fldChar w:fldCharType="begin"/>
            </w:r>
            <w:r w:rsidR="00410780">
              <w:rPr>
                <w:noProof/>
                <w:webHidden/>
              </w:rPr>
              <w:instrText xml:space="preserve"> PAGEREF _Toc135296226 \h </w:instrText>
            </w:r>
            <w:r w:rsidR="00410780">
              <w:rPr>
                <w:noProof/>
                <w:webHidden/>
              </w:rPr>
            </w:r>
            <w:r w:rsidR="00410780">
              <w:rPr>
                <w:noProof/>
                <w:webHidden/>
              </w:rPr>
              <w:fldChar w:fldCharType="separate"/>
            </w:r>
            <w:r>
              <w:rPr>
                <w:noProof/>
                <w:webHidden/>
              </w:rPr>
              <w:t>19</w:t>
            </w:r>
            <w:r w:rsidR="00410780">
              <w:rPr>
                <w:noProof/>
                <w:webHidden/>
              </w:rPr>
              <w:fldChar w:fldCharType="end"/>
            </w:r>
          </w:hyperlink>
        </w:p>
        <w:p w14:paraId="0F16BEFE" w14:textId="66CFE937" w:rsidR="00410780" w:rsidRDefault="00C171EF">
          <w:pPr>
            <w:pStyle w:val="TOC3"/>
            <w:rPr>
              <w:rFonts w:asciiTheme="minorHAnsi" w:eastAsiaTheme="minorEastAsia" w:hAnsiTheme="minorHAnsi" w:cstheme="minorBidi"/>
              <w:b w:val="0"/>
              <w:noProof/>
              <w:color w:val="auto"/>
              <w:szCs w:val="22"/>
              <w:lang w:eastAsia="en-AU"/>
            </w:rPr>
          </w:pPr>
          <w:hyperlink w:anchor="_Toc135296227" w:history="1">
            <w:r w:rsidR="00410780" w:rsidRPr="008B103F">
              <w:rPr>
                <w:rStyle w:val="Hyperlink"/>
                <w:noProof/>
              </w:rPr>
              <w:t>Safety</w:t>
            </w:r>
            <w:r w:rsidR="00410780">
              <w:rPr>
                <w:noProof/>
                <w:webHidden/>
              </w:rPr>
              <w:tab/>
            </w:r>
            <w:r w:rsidR="00410780">
              <w:rPr>
                <w:noProof/>
                <w:webHidden/>
              </w:rPr>
              <w:fldChar w:fldCharType="begin"/>
            </w:r>
            <w:r w:rsidR="00410780">
              <w:rPr>
                <w:noProof/>
                <w:webHidden/>
              </w:rPr>
              <w:instrText xml:space="preserve"> PAGEREF _Toc135296227 \h </w:instrText>
            </w:r>
            <w:r w:rsidR="00410780">
              <w:rPr>
                <w:noProof/>
                <w:webHidden/>
              </w:rPr>
            </w:r>
            <w:r w:rsidR="00410780">
              <w:rPr>
                <w:noProof/>
                <w:webHidden/>
              </w:rPr>
              <w:fldChar w:fldCharType="separate"/>
            </w:r>
            <w:r>
              <w:rPr>
                <w:noProof/>
                <w:webHidden/>
              </w:rPr>
              <w:t>23</w:t>
            </w:r>
            <w:r w:rsidR="00410780">
              <w:rPr>
                <w:noProof/>
                <w:webHidden/>
              </w:rPr>
              <w:fldChar w:fldCharType="end"/>
            </w:r>
          </w:hyperlink>
        </w:p>
        <w:p w14:paraId="76A9DB6E" w14:textId="5135BE1B" w:rsidR="00410780" w:rsidRDefault="00C171EF">
          <w:pPr>
            <w:pStyle w:val="TOC2"/>
            <w:rPr>
              <w:rFonts w:asciiTheme="minorHAnsi" w:eastAsiaTheme="minorEastAsia" w:hAnsiTheme="minorHAnsi" w:cstheme="minorBidi"/>
              <w:b w:val="0"/>
              <w:noProof/>
              <w:color w:val="auto"/>
              <w:sz w:val="22"/>
              <w:szCs w:val="22"/>
              <w:lang w:eastAsia="en-AU"/>
            </w:rPr>
          </w:pPr>
          <w:hyperlink w:anchor="_Toc135296228" w:history="1">
            <w:r w:rsidR="00410780" w:rsidRPr="008B103F">
              <w:rPr>
                <w:rStyle w:val="Hyperlink"/>
                <w:noProof/>
                <w:lang w:eastAsia="en-AU"/>
              </w:rPr>
              <w:t>Risk management plan</w:t>
            </w:r>
            <w:r w:rsidR="00410780">
              <w:rPr>
                <w:noProof/>
                <w:webHidden/>
              </w:rPr>
              <w:tab/>
            </w:r>
            <w:r w:rsidR="00410780">
              <w:rPr>
                <w:noProof/>
                <w:webHidden/>
              </w:rPr>
              <w:fldChar w:fldCharType="begin"/>
            </w:r>
            <w:r w:rsidR="00410780">
              <w:rPr>
                <w:noProof/>
                <w:webHidden/>
              </w:rPr>
              <w:instrText xml:space="preserve"> PAGEREF _Toc135296228 \h </w:instrText>
            </w:r>
            <w:r w:rsidR="00410780">
              <w:rPr>
                <w:noProof/>
                <w:webHidden/>
              </w:rPr>
            </w:r>
            <w:r w:rsidR="00410780">
              <w:rPr>
                <w:noProof/>
                <w:webHidden/>
              </w:rPr>
              <w:fldChar w:fldCharType="separate"/>
            </w:r>
            <w:r>
              <w:rPr>
                <w:noProof/>
                <w:webHidden/>
              </w:rPr>
              <w:t>27</w:t>
            </w:r>
            <w:r w:rsidR="00410780">
              <w:rPr>
                <w:noProof/>
                <w:webHidden/>
              </w:rPr>
              <w:fldChar w:fldCharType="end"/>
            </w:r>
          </w:hyperlink>
        </w:p>
        <w:p w14:paraId="6D53FDE6" w14:textId="73D2BAE4" w:rsidR="00410780" w:rsidRDefault="00C171EF">
          <w:pPr>
            <w:pStyle w:val="TOC2"/>
            <w:rPr>
              <w:rFonts w:asciiTheme="minorHAnsi" w:eastAsiaTheme="minorEastAsia" w:hAnsiTheme="minorHAnsi" w:cstheme="minorBidi"/>
              <w:b w:val="0"/>
              <w:noProof/>
              <w:color w:val="auto"/>
              <w:sz w:val="22"/>
              <w:szCs w:val="22"/>
              <w:lang w:eastAsia="en-AU"/>
            </w:rPr>
          </w:pPr>
          <w:hyperlink w:anchor="_Toc135296229" w:history="1">
            <w:r w:rsidR="00410780" w:rsidRPr="008B103F">
              <w:rPr>
                <w:rStyle w:val="Hyperlink"/>
                <w:noProof/>
              </w:rPr>
              <w:t>Risk-benefit analysis</w:t>
            </w:r>
            <w:r w:rsidR="00410780">
              <w:rPr>
                <w:noProof/>
                <w:webHidden/>
              </w:rPr>
              <w:tab/>
            </w:r>
            <w:r w:rsidR="00410780">
              <w:rPr>
                <w:noProof/>
                <w:webHidden/>
              </w:rPr>
              <w:fldChar w:fldCharType="begin"/>
            </w:r>
            <w:r w:rsidR="00410780">
              <w:rPr>
                <w:noProof/>
                <w:webHidden/>
              </w:rPr>
              <w:instrText xml:space="preserve"> PAGEREF _Toc135296229 \h </w:instrText>
            </w:r>
            <w:r w:rsidR="00410780">
              <w:rPr>
                <w:noProof/>
                <w:webHidden/>
              </w:rPr>
            </w:r>
            <w:r w:rsidR="00410780">
              <w:rPr>
                <w:noProof/>
                <w:webHidden/>
              </w:rPr>
              <w:fldChar w:fldCharType="separate"/>
            </w:r>
            <w:r>
              <w:rPr>
                <w:noProof/>
                <w:webHidden/>
              </w:rPr>
              <w:t>28</w:t>
            </w:r>
            <w:r w:rsidR="00410780">
              <w:rPr>
                <w:noProof/>
                <w:webHidden/>
              </w:rPr>
              <w:fldChar w:fldCharType="end"/>
            </w:r>
          </w:hyperlink>
        </w:p>
        <w:p w14:paraId="4A4052F8" w14:textId="39235069" w:rsidR="00410780" w:rsidRDefault="00C171EF">
          <w:pPr>
            <w:pStyle w:val="TOC3"/>
            <w:rPr>
              <w:rFonts w:asciiTheme="minorHAnsi" w:eastAsiaTheme="minorEastAsia" w:hAnsiTheme="minorHAnsi" w:cstheme="minorBidi"/>
              <w:b w:val="0"/>
              <w:noProof/>
              <w:color w:val="auto"/>
              <w:szCs w:val="22"/>
              <w:lang w:eastAsia="en-AU"/>
            </w:rPr>
          </w:pPr>
          <w:hyperlink w:anchor="_Toc135296230" w:history="1">
            <w:r w:rsidR="00410780" w:rsidRPr="008B103F">
              <w:rPr>
                <w:rStyle w:val="Hyperlink"/>
                <w:noProof/>
              </w:rPr>
              <w:t>Delegate’s considerations</w:t>
            </w:r>
            <w:r w:rsidR="00410780">
              <w:rPr>
                <w:noProof/>
                <w:webHidden/>
              </w:rPr>
              <w:tab/>
            </w:r>
            <w:r w:rsidR="00410780">
              <w:rPr>
                <w:noProof/>
                <w:webHidden/>
              </w:rPr>
              <w:fldChar w:fldCharType="begin"/>
            </w:r>
            <w:r w:rsidR="00410780">
              <w:rPr>
                <w:noProof/>
                <w:webHidden/>
              </w:rPr>
              <w:instrText xml:space="preserve"> PAGEREF _Toc135296230 \h </w:instrText>
            </w:r>
            <w:r w:rsidR="00410780">
              <w:rPr>
                <w:noProof/>
                <w:webHidden/>
              </w:rPr>
            </w:r>
            <w:r w:rsidR="00410780">
              <w:rPr>
                <w:noProof/>
                <w:webHidden/>
              </w:rPr>
              <w:fldChar w:fldCharType="separate"/>
            </w:r>
            <w:r>
              <w:rPr>
                <w:noProof/>
                <w:webHidden/>
              </w:rPr>
              <w:t>28</w:t>
            </w:r>
            <w:r w:rsidR="00410780">
              <w:rPr>
                <w:noProof/>
                <w:webHidden/>
              </w:rPr>
              <w:fldChar w:fldCharType="end"/>
            </w:r>
          </w:hyperlink>
        </w:p>
        <w:p w14:paraId="20BBDC06" w14:textId="27562018" w:rsidR="00410780" w:rsidRDefault="00C171EF">
          <w:pPr>
            <w:pStyle w:val="TOC3"/>
            <w:rPr>
              <w:rFonts w:asciiTheme="minorHAnsi" w:eastAsiaTheme="minorEastAsia" w:hAnsiTheme="minorHAnsi" w:cstheme="minorBidi"/>
              <w:b w:val="0"/>
              <w:noProof/>
              <w:color w:val="auto"/>
              <w:szCs w:val="22"/>
              <w:lang w:eastAsia="en-AU"/>
            </w:rPr>
          </w:pPr>
          <w:hyperlink w:anchor="_Toc135296231" w:history="1">
            <w:r w:rsidR="00410780" w:rsidRPr="008B103F">
              <w:rPr>
                <w:rStyle w:val="Hyperlink"/>
                <w:noProof/>
              </w:rPr>
              <w:t>Proposed action</w:t>
            </w:r>
            <w:r w:rsidR="00410780">
              <w:rPr>
                <w:noProof/>
                <w:webHidden/>
              </w:rPr>
              <w:tab/>
            </w:r>
            <w:r w:rsidR="00410780">
              <w:rPr>
                <w:noProof/>
                <w:webHidden/>
              </w:rPr>
              <w:fldChar w:fldCharType="begin"/>
            </w:r>
            <w:r w:rsidR="00410780">
              <w:rPr>
                <w:noProof/>
                <w:webHidden/>
              </w:rPr>
              <w:instrText xml:space="preserve"> PAGEREF _Toc135296231 \h </w:instrText>
            </w:r>
            <w:r w:rsidR="00410780">
              <w:rPr>
                <w:noProof/>
                <w:webHidden/>
              </w:rPr>
            </w:r>
            <w:r w:rsidR="00410780">
              <w:rPr>
                <w:noProof/>
                <w:webHidden/>
              </w:rPr>
              <w:fldChar w:fldCharType="separate"/>
            </w:r>
            <w:r>
              <w:rPr>
                <w:noProof/>
                <w:webHidden/>
              </w:rPr>
              <w:t>30</w:t>
            </w:r>
            <w:r w:rsidR="00410780">
              <w:rPr>
                <w:noProof/>
                <w:webHidden/>
              </w:rPr>
              <w:fldChar w:fldCharType="end"/>
            </w:r>
          </w:hyperlink>
        </w:p>
        <w:p w14:paraId="61F4832E" w14:textId="75B09AE5" w:rsidR="00410780" w:rsidRDefault="00C171EF">
          <w:pPr>
            <w:pStyle w:val="TOC3"/>
            <w:rPr>
              <w:rFonts w:asciiTheme="minorHAnsi" w:eastAsiaTheme="minorEastAsia" w:hAnsiTheme="minorHAnsi" w:cstheme="minorBidi"/>
              <w:b w:val="0"/>
              <w:noProof/>
              <w:color w:val="auto"/>
              <w:szCs w:val="22"/>
              <w:lang w:eastAsia="en-AU"/>
            </w:rPr>
          </w:pPr>
          <w:hyperlink w:anchor="_Toc135296232" w:history="1">
            <w:r w:rsidR="00410780" w:rsidRPr="008B103F">
              <w:rPr>
                <w:rStyle w:val="Hyperlink"/>
                <w:noProof/>
              </w:rPr>
              <w:t>Advisory Committee considerations</w:t>
            </w:r>
            <w:r w:rsidR="00410780">
              <w:rPr>
                <w:noProof/>
                <w:webHidden/>
              </w:rPr>
              <w:tab/>
            </w:r>
            <w:r w:rsidR="00410780">
              <w:rPr>
                <w:noProof/>
                <w:webHidden/>
              </w:rPr>
              <w:fldChar w:fldCharType="begin"/>
            </w:r>
            <w:r w:rsidR="00410780">
              <w:rPr>
                <w:noProof/>
                <w:webHidden/>
              </w:rPr>
              <w:instrText xml:space="preserve"> PAGEREF _Toc135296232 \h </w:instrText>
            </w:r>
            <w:r w:rsidR="00410780">
              <w:rPr>
                <w:noProof/>
                <w:webHidden/>
              </w:rPr>
            </w:r>
            <w:r w:rsidR="00410780">
              <w:rPr>
                <w:noProof/>
                <w:webHidden/>
              </w:rPr>
              <w:fldChar w:fldCharType="separate"/>
            </w:r>
            <w:r>
              <w:rPr>
                <w:noProof/>
                <w:webHidden/>
              </w:rPr>
              <w:t>30</w:t>
            </w:r>
            <w:r w:rsidR="00410780">
              <w:rPr>
                <w:noProof/>
                <w:webHidden/>
              </w:rPr>
              <w:fldChar w:fldCharType="end"/>
            </w:r>
          </w:hyperlink>
        </w:p>
        <w:p w14:paraId="7C5973F8" w14:textId="7D5D3EDF" w:rsidR="00410780" w:rsidRDefault="00C171EF">
          <w:pPr>
            <w:pStyle w:val="TOC1"/>
            <w:rPr>
              <w:rFonts w:asciiTheme="minorHAnsi" w:eastAsiaTheme="minorEastAsia" w:hAnsiTheme="minorHAnsi" w:cstheme="minorBidi"/>
              <w:b w:val="0"/>
              <w:noProof/>
              <w:color w:val="auto"/>
              <w:sz w:val="22"/>
              <w:szCs w:val="22"/>
              <w:lang w:eastAsia="en-AU"/>
            </w:rPr>
          </w:pPr>
          <w:hyperlink w:anchor="_Toc135296233" w:history="1">
            <w:r w:rsidR="00410780" w:rsidRPr="008B103F">
              <w:rPr>
                <w:rStyle w:val="Hyperlink"/>
                <w:noProof/>
              </w:rPr>
              <w:t>Outcome</w:t>
            </w:r>
            <w:r w:rsidR="00410780">
              <w:rPr>
                <w:noProof/>
                <w:webHidden/>
              </w:rPr>
              <w:tab/>
            </w:r>
            <w:r w:rsidR="00410780">
              <w:rPr>
                <w:noProof/>
                <w:webHidden/>
              </w:rPr>
              <w:fldChar w:fldCharType="begin"/>
            </w:r>
            <w:r w:rsidR="00410780">
              <w:rPr>
                <w:noProof/>
                <w:webHidden/>
              </w:rPr>
              <w:instrText xml:space="preserve"> PAGEREF _Toc135296233 \h </w:instrText>
            </w:r>
            <w:r w:rsidR="00410780">
              <w:rPr>
                <w:noProof/>
                <w:webHidden/>
              </w:rPr>
            </w:r>
            <w:r w:rsidR="00410780">
              <w:rPr>
                <w:noProof/>
                <w:webHidden/>
              </w:rPr>
              <w:fldChar w:fldCharType="separate"/>
            </w:r>
            <w:r>
              <w:rPr>
                <w:noProof/>
                <w:webHidden/>
              </w:rPr>
              <w:t>30</w:t>
            </w:r>
            <w:r w:rsidR="00410780">
              <w:rPr>
                <w:noProof/>
                <w:webHidden/>
              </w:rPr>
              <w:fldChar w:fldCharType="end"/>
            </w:r>
          </w:hyperlink>
        </w:p>
        <w:p w14:paraId="0EC2DF64" w14:textId="13CB287B" w:rsidR="00410780" w:rsidRDefault="00C171EF">
          <w:pPr>
            <w:pStyle w:val="TOC2"/>
            <w:rPr>
              <w:rFonts w:asciiTheme="minorHAnsi" w:eastAsiaTheme="minorEastAsia" w:hAnsiTheme="minorHAnsi" w:cstheme="minorBidi"/>
              <w:b w:val="0"/>
              <w:noProof/>
              <w:color w:val="auto"/>
              <w:sz w:val="22"/>
              <w:szCs w:val="22"/>
              <w:lang w:eastAsia="en-AU"/>
            </w:rPr>
          </w:pPr>
          <w:hyperlink w:anchor="_Toc135296234" w:history="1">
            <w:r w:rsidR="00410780" w:rsidRPr="008B103F">
              <w:rPr>
                <w:rStyle w:val="Hyperlink"/>
                <w:noProof/>
              </w:rPr>
              <w:t>Specific conditions of registration applying to these goods</w:t>
            </w:r>
            <w:r w:rsidR="00410780">
              <w:rPr>
                <w:noProof/>
                <w:webHidden/>
              </w:rPr>
              <w:tab/>
            </w:r>
            <w:r w:rsidR="00410780">
              <w:rPr>
                <w:noProof/>
                <w:webHidden/>
              </w:rPr>
              <w:fldChar w:fldCharType="begin"/>
            </w:r>
            <w:r w:rsidR="00410780">
              <w:rPr>
                <w:noProof/>
                <w:webHidden/>
              </w:rPr>
              <w:instrText xml:space="preserve"> PAGEREF _Toc135296234 \h </w:instrText>
            </w:r>
            <w:r w:rsidR="00410780">
              <w:rPr>
                <w:noProof/>
                <w:webHidden/>
              </w:rPr>
            </w:r>
            <w:r w:rsidR="00410780">
              <w:rPr>
                <w:noProof/>
                <w:webHidden/>
              </w:rPr>
              <w:fldChar w:fldCharType="separate"/>
            </w:r>
            <w:r>
              <w:rPr>
                <w:noProof/>
                <w:webHidden/>
              </w:rPr>
              <w:t>31</w:t>
            </w:r>
            <w:r w:rsidR="00410780">
              <w:rPr>
                <w:noProof/>
                <w:webHidden/>
              </w:rPr>
              <w:fldChar w:fldCharType="end"/>
            </w:r>
          </w:hyperlink>
        </w:p>
        <w:p w14:paraId="6500C130" w14:textId="5D94ED48" w:rsidR="00410780" w:rsidRDefault="00C171EF">
          <w:pPr>
            <w:pStyle w:val="TOC1"/>
            <w:rPr>
              <w:rFonts w:asciiTheme="minorHAnsi" w:eastAsiaTheme="minorEastAsia" w:hAnsiTheme="minorHAnsi" w:cstheme="minorBidi"/>
              <w:b w:val="0"/>
              <w:noProof/>
              <w:color w:val="auto"/>
              <w:sz w:val="22"/>
              <w:szCs w:val="22"/>
              <w:lang w:eastAsia="en-AU"/>
            </w:rPr>
          </w:pPr>
          <w:hyperlink w:anchor="_Toc135296235" w:history="1">
            <w:r w:rsidR="00410780" w:rsidRPr="008B103F">
              <w:rPr>
                <w:rStyle w:val="Hyperlink"/>
                <w:noProof/>
              </w:rPr>
              <w:t>Attachment 1. Product Information</w:t>
            </w:r>
            <w:r w:rsidR="00410780">
              <w:rPr>
                <w:noProof/>
                <w:webHidden/>
              </w:rPr>
              <w:tab/>
            </w:r>
            <w:r w:rsidR="00410780">
              <w:rPr>
                <w:noProof/>
                <w:webHidden/>
              </w:rPr>
              <w:fldChar w:fldCharType="begin"/>
            </w:r>
            <w:r w:rsidR="00410780">
              <w:rPr>
                <w:noProof/>
                <w:webHidden/>
              </w:rPr>
              <w:instrText xml:space="preserve"> PAGEREF _Toc135296235 \h </w:instrText>
            </w:r>
            <w:r w:rsidR="00410780">
              <w:rPr>
                <w:noProof/>
                <w:webHidden/>
              </w:rPr>
            </w:r>
            <w:r w:rsidR="00410780">
              <w:rPr>
                <w:noProof/>
                <w:webHidden/>
              </w:rPr>
              <w:fldChar w:fldCharType="separate"/>
            </w:r>
            <w:r>
              <w:rPr>
                <w:noProof/>
                <w:webHidden/>
              </w:rPr>
              <w:t>31</w:t>
            </w:r>
            <w:r w:rsidR="00410780">
              <w:rPr>
                <w:noProof/>
                <w:webHidden/>
              </w:rPr>
              <w:fldChar w:fldCharType="end"/>
            </w:r>
          </w:hyperlink>
        </w:p>
        <w:p w14:paraId="77659F2D" w14:textId="690041AD"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135296208"/>
      <w:bookmarkStart w:id="3" w:name="_Toc323739589"/>
      <w:bookmarkStart w:id="4" w:name="_Toc356305216"/>
      <w:r>
        <w:lastRenderedPageBreak/>
        <w:t>List of abbreviations</w:t>
      </w:r>
      <w:bookmarkEnd w:id="0"/>
      <w:bookmarkEnd w:id="1"/>
      <w:bookmarkEnd w:id="2"/>
    </w:p>
    <w:p w14:paraId="58578454" w14:textId="2932D040" w:rsidR="00324B33" w:rsidRDefault="00324B33" w:rsidP="00324B33">
      <w:pPr>
        <w:rPr>
          <w:i/>
          <w:color w:val="007099"/>
        </w:rPr>
      </w:pPr>
    </w:p>
    <w:tbl>
      <w:tblPr>
        <w:tblStyle w:val="TableTGAblue2023"/>
        <w:tblW w:w="9430" w:type="dxa"/>
        <w:tblLook w:val="04A0" w:firstRow="1" w:lastRow="0" w:firstColumn="1" w:lastColumn="0" w:noHBand="0" w:noVBand="1"/>
      </w:tblPr>
      <w:tblGrid>
        <w:gridCol w:w="2263"/>
        <w:gridCol w:w="7167"/>
      </w:tblGrid>
      <w:tr w:rsidR="00707353" w:rsidRPr="003D71A1" w14:paraId="57D1220E" w14:textId="77777777" w:rsidTr="00C36D6A">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263" w:type="dxa"/>
          </w:tcPr>
          <w:p w14:paraId="02A2D551" w14:textId="77777777" w:rsidR="00707353" w:rsidRPr="0036173A" w:rsidRDefault="00707353" w:rsidP="00C36D6A">
            <w:pPr>
              <w:rPr>
                <w:szCs w:val="22"/>
              </w:rPr>
            </w:pPr>
            <w:r w:rsidRPr="0036173A">
              <w:rPr>
                <w:szCs w:val="22"/>
              </w:rPr>
              <w:t>Abbreviation</w:t>
            </w:r>
          </w:p>
        </w:tc>
        <w:tc>
          <w:tcPr>
            <w:tcW w:w="7167" w:type="dxa"/>
          </w:tcPr>
          <w:p w14:paraId="3BDE3CD9" w14:textId="77777777" w:rsidR="00707353" w:rsidRPr="0036173A" w:rsidRDefault="00707353" w:rsidP="00C36D6A">
            <w:pPr>
              <w:cnfStyle w:val="100000000000" w:firstRow="1" w:lastRow="0" w:firstColumn="0" w:lastColumn="0" w:oddVBand="0" w:evenVBand="0" w:oddHBand="0" w:evenHBand="0" w:firstRowFirstColumn="0" w:firstRowLastColumn="0" w:lastRowFirstColumn="0" w:lastRowLastColumn="0"/>
              <w:rPr>
                <w:szCs w:val="22"/>
              </w:rPr>
            </w:pPr>
            <w:r w:rsidRPr="0036173A">
              <w:rPr>
                <w:szCs w:val="22"/>
              </w:rPr>
              <w:t>Meaning</w:t>
            </w:r>
          </w:p>
        </w:tc>
      </w:tr>
      <w:tr w:rsidR="00707353" w:rsidRPr="003D71A1" w14:paraId="75866612"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D146009" w14:textId="77777777" w:rsidR="00707353" w:rsidRPr="002C2A46" w:rsidRDefault="00707353" w:rsidP="00C36D6A">
            <w:pPr>
              <w:rPr>
                <w:szCs w:val="22"/>
              </w:rPr>
            </w:pPr>
            <w:r w:rsidRPr="002C2A46">
              <w:rPr>
                <w:szCs w:val="22"/>
              </w:rPr>
              <w:t>ACM</w:t>
            </w:r>
          </w:p>
        </w:tc>
        <w:tc>
          <w:tcPr>
            <w:tcW w:w="7167" w:type="dxa"/>
          </w:tcPr>
          <w:p w14:paraId="61B4F0CA"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rPr>
                <w:szCs w:val="22"/>
              </w:rPr>
            </w:pPr>
            <w:r w:rsidRPr="002C2A46">
              <w:rPr>
                <w:szCs w:val="22"/>
              </w:rPr>
              <w:t>Advisory Committee on Medicines</w:t>
            </w:r>
          </w:p>
        </w:tc>
      </w:tr>
      <w:tr w:rsidR="00707353" w:rsidRPr="003D71A1" w14:paraId="759ABD6D"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006C7EF" w14:textId="77777777" w:rsidR="00707353" w:rsidRPr="002C2A46" w:rsidRDefault="00707353" w:rsidP="00C36D6A">
            <w:r w:rsidRPr="002C2A46">
              <w:t>ADA</w:t>
            </w:r>
          </w:p>
        </w:tc>
        <w:tc>
          <w:tcPr>
            <w:tcW w:w="7167" w:type="dxa"/>
          </w:tcPr>
          <w:p w14:paraId="5F30FE5A" w14:textId="68448F66"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pPr>
            <w:r w:rsidRPr="002C2A46">
              <w:t>Anti</w:t>
            </w:r>
            <w:r w:rsidR="0075290A">
              <w:t>-</w:t>
            </w:r>
            <w:r w:rsidRPr="002C2A46">
              <w:t>drug antibodies</w:t>
            </w:r>
          </w:p>
        </w:tc>
      </w:tr>
      <w:tr w:rsidR="00707353" w:rsidRPr="003D71A1" w14:paraId="0548BB2A"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C61ECAB" w14:textId="77777777" w:rsidR="00707353" w:rsidRPr="002C2A46" w:rsidRDefault="00707353" w:rsidP="00C36D6A">
            <w:r w:rsidRPr="002C2A46">
              <w:t>ALT</w:t>
            </w:r>
          </w:p>
        </w:tc>
        <w:tc>
          <w:tcPr>
            <w:tcW w:w="7167" w:type="dxa"/>
          </w:tcPr>
          <w:p w14:paraId="63C12F84"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pPr>
            <w:r w:rsidRPr="002C2A46">
              <w:t>Alanine aminotransferase</w:t>
            </w:r>
          </w:p>
        </w:tc>
      </w:tr>
      <w:tr w:rsidR="00707353" w:rsidRPr="003D71A1" w14:paraId="5D7EFCCC"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240F66D" w14:textId="77777777" w:rsidR="00707353" w:rsidRPr="002C2A46" w:rsidRDefault="00707353" w:rsidP="00C36D6A">
            <w:r w:rsidRPr="002C2A46">
              <w:t>ANC</w:t>
            </w:r>
          </w:p>
        </w:tc>
        <w:tc>
          <w:tcPr>
            <w:tcW w:w="7167" w:type="dxa"/>
          </w:tcPr>
          <w:p w14:paraId="213A87F8"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pPr>
            <w:r w:rsidRPr="002C2A46">
              <w:t>Absolute neutrophil count</w:t>
            </w:r>
          </w:p>
        </w:tc>
      </w:tr>
      <w:tr w:rsidR="00707353" w:rsidRPr="003D71A1" w14:paraId="522C6D46"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BB517CA" w14:textId="77777777" w:rsidR="00707353" w:rsidRPr="002C2A46" w:rsidRDefault="00707353" w:rsidP="00C36D6A">
            <w:r w:rsidRPr="002C2A46">
              <w:t>ANCOVA</w:t>
            </w:r>
          </w:p>
        </w:tc>
        <w:tc>
          <w:tcPr>
            <w:tcW w:w="7167" w:type="dxa"/>
          </w:tcPr>
          <w:p w14:paraId="1D5E9FFD"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pPr>
            <w:r w:rsidRPr="002C2A46">
              <w:t>Analysis of covariance</w:t>
            </w:r>
          </w:p>
        </w:tc>
      </w:tr>
      <w:tr w:rsidR="00707353" w:rsidRPr="003D71A1" w14:paraId="69375868"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D68F165" w14:textId="77777777" w:rsidR="00707353" w:rsidRPr="002C2A46" w:rsidRDefault="00707353" w:rsidP="00C36D6A">
            <w:r w:rsidRPr="002C2A46">
              <w:t>ANOVA</w:t>
            </w:r>
          </w:p>
        </w:tc>
        <w:tc>
          <w:tcPr>
            <w:tcW w:w="7167" w:type="dxa"/>
          </w:tcPr>
          <w:p w14:paraId="0E0176CD"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pPr>
            <w:r w:rsidRPr="002C2A46">
              <w:t>Analysis of variance</w:t>
            </w:r>
          </w:p>
        </w:tc>
      </w:tr>
      <w:tr w:rsidR="00707353" w:rsidRPr="003D71A1" w14:paraId="69D8FC7A"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B4787FE" w14:textId="77777777" w:rsidR="00707353" w:rsidRPr="002C2A46" w:rsidRDefault="00707353" w:rsidP="00C36D6A">
            <w:r w:rsidRPr="002C2A46">
              <w:t>AST</w:t>
            </w:r>
          </w:p>
        </w:tc>
        <w:tc>
          <w:tcPr>
            <w:tcW w:w="7167" w:type="dxa"/>
          </w:tcPr>
          <w:p w14:paraId="5238D890"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pPr>
            <w:r w:rsidRPr="002C2A46">
              <w:t>Aspartate aminotransferase</w:t>
            </w:r>
          </w:p>
        </w:tc>
      </w:tr>
      <w:tr w:rsidR="00707353" w:rsidRPr="003D71A1" w14:paraId="38328EC9"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45AD14D" w14:textId="77777777" w:rsidR="00707353" w:rsidRPr="002C2A46" w:rsidRDefault="00707353" w:rsidP="00C36D6A">
            <w:r w:rsidRPr="002C2A46">
              <w:t>AUEC</w:t>
            </w:r>
          </w:p>
        </w:tc>
        <w:tc>
          <w:tcPr>
            <w:tcW w:w="7167" w:type="dxa"/>
          </w:tcPr>
          <w:p w14:paraId="6B1C4FE9"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pPr>
            <w:r w:rsidRPr="002C2A46">
              <w:t>Area under the effect curve</w:t>
            </w:r>
          </w:p>
        </w:tc>
      </w:tr>
      <w:tr w:rsidR="00707353" w:rsidRPr="003D71A1" w14:paraId="05F8B3DE"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69C99A7" w14:textId="77777777" w:rsidR="00707353" w:rsidRPr="002C2A46" w:rsidRDefault="00707353" w:rsidP="00C36D6A">
            <w:r w:rsidRPr="002C2A46">
              <w:t>AUC</w:t>
            </w:r>
            <w:r w:rsidRPr="002C2A46">
              <w:rPr>
                <w:vertAlign w:val="subscript"/>
              </w:rPr>
              <w:t>0-inf</w:t>
            </w:r>
          </w:p>
        </w:tc>
        <w:tc>
          <w:tcPr>
            <w:tcW w:w="7167" w:type="dxa"/>
          </w:tcPr>
          <w:p w14:paraId="40BF4CF9"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pPr>
            <w:r w:rsidRPr="002C2A46">
              <w:t>Area under the concentration time curve from time zero to infinity</w:t>
            </w:r>
          </w:p>
        </w:tc>
      </w:tr>
      <w:tr w:rsidR="00707353" w:rsidRPr="003D71A1" w14:paraId="24436935"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1190319" w14:textId="77777777" w:rsidR="00707353" w:rsidRPr="002C2A46" w:rsidRDefault="00707353" w:rsidP="00C36D6A">
            <w:r w:rsidRPr="002C2A46">
              <w:t>AUC</w:t>
            </w:r>
            <w:r w:rsidRPr="002C2A46">
              <w:rPr>
                <w:vertAlign w:val="subscript"/>
              </w:rPr>
              <w:t>0-last</w:t>
            </w:r>
          </w:p>
        </w:tc>
        <w:tc>
          <w:tcPr>
            <w:tcW w:w="7167" w:type="dxa"/>
          </w:tcPr>
          <w:p w14:paraId="27989972"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pPr>
            <w:r w:rsidRPr="002C2A46">
              <w:t>Area under the concentration time curve from time zero to time of last quantifiable concentration</w:t>
            </w:r>
          </w:p>
        </w:tc>
      </w:tr>
      <w:tr w:rsidR="00707353" w:rsidRPr="003D71A1" w14:paraId="31C77FAC"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927D1F9" w14:textId="77777777" w:rsidR="00707353" w:rsidRPr="002C2A46" w:rsidRDefault="00707353" w:rsidP="00C36D6A">
            <w:r w:rsidRPr="002C2A46">
              <w:t>CI</w:t>
            </w:r>
          </w:p>
        </w:tc>
        <w:tc>
          <w:tcPr>
            <w:tcW w:w="7167" w:type="dxa"/>
          </w:tcPr>
          <w:p w14:paraId="17AF0E62"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pPr>
            <w:r w:rsidRPr="002C2A46">
              <w:t>Confidence interval</w:t>
            </w:r>
          </w:p>
        </w:tc>
      </w:tr>
      <w:tr w:rsidR="00707353" w:rsidRPr="003D71A1" w14:paraId="0361CAD7"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D79BA8E" w14:textId="77777777" w:rsidR="00707353" w:rsidRPr="002C2A46" w:rsidRDefault="00707353" w:rsidP="00C36D6A">
            <w:r w:rsidRPr="002C2A46">
              <w:t>C</w:t>
            </w:r>
            <w:r w:rsidRPr="002C2A46">
              <w:rPr>
                <w:vertAlign w:val="subscript"/>
              </w:rPr>
              <w:t>max</w:t>
            </w:r>
          </w:p>
        </w:tc>
        <w:tc>
          <w:tcPr>
            <w:tcW w:w="7167" w:type="dxa"/>
          </w:tcPr>
          <w:p w14:paraId="51F6C7F4"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pPr>
            <w:r w:rsidRPr="002C2A46">
              <w:t>Maximum concentration</w:t>
            </w:r>
          </w:p>
        </w:tc>
      </w:tr>
      <w:tr w:rsidR="00707353" w:rsidRPr="003D71A1" w14:paraId="413428CB"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9AF3C7F" w14:textId="77777777" w:rsidR="00707353" w:rsidRPr="002C2A46" w:rsidRDefault="00707353" w:rsidP="00C36D6A">
            <w:pPr>
              <w:rPr>
                <w:szCs w:val="22"/>
              </w:rPr>
            </w:pPr>
            <w:r w:rsidRPr="002C2A46">
              <w:rPr>
                <w:szCs w:val="22"/>
              </w:rPr>
              <w:t>CMI</w:t>
            </w:r>
          </w:p>
        </w:tc>
        <w:tc>
          <w:tcPr>
            <w:tcW w:w="7167" w:type="dxa"/>
          </w:tcPr>
          <w:p w14:paraId="32B0BC4A"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rPr>
                <w:szCs w:val="22"/>
              </w:rPr>
            </w:pPr>
            <w:r w:rsidRPr="002C2A46">
              <w:rPr>
                <w:szCs w:val="22"/>
              </w:rPr>
              <w:t>Consumer Medicines Information</w:t>
            </w:r>
          </w:p>
        </w:tc>
      </w:tr>
      <w:tr w:rsidR="00707353" w:rsidRPr="003D71A1" w14:paraId="36D29D47"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90DB949" w14:textId="77777777" w:rsidR="00707353" w:rsidRPr="002C2A46" w:rsidRDefault="00707353" w:rsidP="00C36D6A">
            <w:pPr>
              <w:rPr>
                <w:szCs w:val="22"/>
              </w:rPr>
            </w:pPr>
            <w:r w:rsidRPr="002C2A46">
              <w:rPr>
                <w:szCs w:val="22"/>
              </w:rPr>
              <w:t>DSN</w:t>
            </w:r>
          </w:p>
        </w:tc>
        <w:tc>
          <w:tcPr>
            <w:tcW w:w="7167" w:type="dxa"/>
          </w:tcPr>
          <w:p w14:paraId="6E89C835"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rPr>
                <w:szCs w:val="22"/>
              </w:rPr>
            </w:pPr>
            <w:r w:rsidRPr="002C2A46">
              <w:rPr>
                <w:szCs w:val="22"/>
              </w:rPr>
              <w:t>Duration of severe neutropenia</w:t>
            </w:r>
          </w:p>
        </w:tc>
      </w:tr>
      <w:tr w:rsidR="00707353" w:rsidRPr="003D71A1" w14:paraId="6C5D7101"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8E888BB" w14:textId="77777777" w:rsidR="00707353" w:rsidRPr="002C2A46" w:rsidRDefault="00707353" w:rsidP="00C36D6A">
            <w:r w:rsidRPr="002C2A46">
              <w:t>EMA</w:t>
            </w:r>
          </w:p>
        </w:tc>
        <w:tc>
          <w:tcPr>
            <w:tcW w:w="7167" w:type="dxa"/>
          </w:tcPr>
          <w:p w14:paraId="1BD242E8"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pPr>
            <w:r w:rsidRPr="002C2A46">
              <w:t>European Medicines Agency</w:t>
            </w:r>
          </w:p>
        </w:tc>
      </w:tr>
      <w:tr w:rsidR="00707353" w:rsidRPr="003D71A1" w14:paraId="2ECAE25D"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7C53271" w14:textId="77777777" w:rsidR="00707353" w:rsidRPr="002C2A46" w:rsidRDefault="00707353" w:rsidP="00C36D6A">
            <w:r w:rsidRPr="002C2A46">
              <w:t>E</w:t>
            </w:r>
            <w:r w:rsidRPr="002C2A46">
              <w:rPr>
                <w:vertAlign w:val="subscript"/>
              </w:rPr>
              <w:t>max</w:t>
            </w:r>
          </w:p>
        </w:tc>
        <w:tc>
          <w:tcPr>
            <w:tcW w:w="7167" w:type="dxa"/>
          </w:tcPr>
          <w:p w14:paraId="432CF54A"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pPr>
            <w:r w:rsidRPr="002C2A46">
              <w:t>Maximum observed effect</w:t>
            </w:r>
          </w:p>
        </w:tc>
      </w:tr>
      <w:tr w:rsidR="00707353" w:rsidRPr="003D71A1" w14:paraId="105B42A6"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85AD264" w14:textId="77777777" w:rsidR="00707353" w:rsidRPr="002C2A46" w:rsidRDefault="00707353" w:rsidP="00C36D6A">
            <w:r w:rsidRPr="002C2A46">
              <w:t>EU</w:t>
            </w:r>
          </w:p>
        </w:tc>
        <w:tc>
          <w:tcPr>
            <w:tcW w:w="7167" w:type="dxa"/>
          </w:tcPr>
          <w:p w14:paraId="0F46208C"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pPr>
            <w:r w:rsidRPr="002C2A46">
              <w:t>European Union</w:t>
            </w:r>
          </w:p>
        </w:tc>
      </w:tr>
      <w:tr w:rsidR="00707353" w:rsidRPr="003D71A1" w14:paraId="138A13A7"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8189F17" w14:textId="77777777" w:rsidR="00707353" w:rsidRPr="002C2A46" w:rsidRDefault="00707353" w:rsidP="00C36D6A">
            <w:r w:rsidRPr="002C2A46">
              <w:t>G-CSF</w:t>
            </w:r>
          </w:p>
        </w:tc>
        <w:tc>
          <w:tcPr>
            <w:tcW w:w="7167" w:type="dxa"/>
          </w:tcPr>
          <w:p w14:paraId="039C0575"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pPr>
            <w:r w:rsidRPr="002C2A46">
              <w:t>Granulocyte colony-stimulating factor</w:t>
            </w:r>
          </w:p>
        </w:tc>
      </w:tr>
      <w:tr w:rsidR="00707353" w:rsidRPr="003D71A1" w14:paraId="2E6C768D"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3209F59" w14:textId="77777777" w:rsidR="00707353" w:rsidRPr="002C2A46" w:rsidRDefault="00707353" w:rsidP="00C36D6A">
            <w:r w:rsidRPr="002C2A46">
              <w:t>IMP</w:t>
            </w:r>
          </w:p>
        </w:tc>
        <w:tc>
          <w:tcPr>
            <w:tcW w:w="7167" w:type="dxa"/>
          </w:tcPr>
          <w:p w14:paraId="058DDD39"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pPr>
            <w:r w:rsidRPr="002C2A46">
              <w:t>Investigational medicinal product</w:t>
            </w:r>
          </w:p>
        </w:tc>
      </w:tr>
      <w:tr w:rsidR="00707353" w:rsidRPr="003D71A1" w14:paraId="4B780A81"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20CC476" w14:textId="77777777" w:rsidR="00707353" w:rsidRPr="002C2A46" w:rsidRDefault="00707353" w:rsidP="00C36D6A">
            <w:r w:rsidRPr="002C2A46">
              <w:t>PEG</w:t>
            </w:r>
          </w:p>
        </w:tc>
        <w:tc>
          <w:tcPr>
            <w:tcW w:w="7167" w:type="dxa"/>
          </w:tcPr>
          <w:p w14:paraId="0ED9900D"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pPr>
            <w:r w:rsidRPr="002C2A46">
              <w:t>Polyethylene glycol</w:t>
            </w:r>
          </w:p>
        </w:tc>
      </w:tr>
      <w:tr w:rsidR="00707353" w:rsidRPr="003D71A1" w14:paraId="55AEC98C"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737D127" w14:textId="77777777" w:rsidR="00707353" w:rsidRPr="002C2A46" w:rsidRDefault="00707353" w:rsidP="00C36D6A">
            <w:pPr>
              <w:rPr>
                <w:szCs w:val="22"/>
              </w:rPr>
            </w:pPr>
            <w:r w:rsidRPr="002C2A46">
              <w:rPr>
                <w:szCs w:val="22"/>
              </w:rPr>
              <w:t>PI</w:t>
            </w:r>
          </w:p>
        </w:tc>
        <w:tc>
          <w:tcPr>
            <w:tcW w:w="7167" w:type="dxa"/>
          </w:tcPr>
          <w:p w14:paraId="135F9A4A"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rPr>
                <w:szCs w:val="22"/>
              </w:rPr>
            </w:pPr>
            <w:r w:rsidRPr="002C2A46">
              <w:rPr>
                <w:szCs w:val="22"/>
              </w:rPr>
              <w:t>Product Information</w:t>
            </w:r>
          </w:p>
        </w:tc>
      </w:tr>
      <w:tr w:rsidR="00707353" w:rsidRPr="003D71A1" w14:paraId="5A09ED15"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D76D055" w14:textId="77777777" w:rsidR="00707353" w:rsidRPr="002C2A46" w:rsidRDefault="00707353" w:rsidP="00C36D6A">
            <w:pPr>
              <w:rPr>
                <w:szCs w:val="22"/>
              </w:rPr>
            </w:pPr>
            <w:r w:rsidRPr="002C2A46">
              <w:rPr>
                <w:szCs w:val="22"/>
              </w:rPr>
              <w:t>RMP</w:t>
            </w:r>
          </w:p>
        </w:tc>
        <w:tc>
          <w:tcPr>
            <w:tcW w:w="7167" w:type="dxa"/>
          </w:tcPr>
          <w:p w14:paraId="422329DD"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rPr>
                <w:szCs w:val="22"/>
              </w:rPr>
            </w:pPr>
            <w:r w:rsidRPr="002C2A46">
              <w:rPr>
                <w:szCs w:val="22"/>
              </w:rPr>
              <w:t>Risk management plan</w:t>
            </w:r>
          </w:p>
        </w:tc>
      </w:tr>
      <w:tr w:rsidR="00707353" w:rsidRPr="003D71A1" w14:paraId="4CFE486A"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9D92AC0" w14:textId="77777777" w:rsidR="00707353" w:rsidRPr="002C2A46" w:rsidRDefault="00707353" w:rsidP="00C36D6A">
            <w:pPr>
              <w:rPr>
                <w:szCs w:val="22"/>
              </w:rPr>
            </w:pPr>
            <w:r w:rsidRPr="002C2A46">
              <w:rPr>
                <w:szCs w:val="22"/>
              </w:rPr>
              <w:t>TGA</w:t>
            </w:r>
          </w:p>
        </w:tc>
        <w:tc>
          <w:tcPr>
            <w:tcW w:w="7167" w:type="dxa"/>
          </w:tcPr>
          <w:p w14:paraId="2B49E5B6"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rPr>
                <w:szCs w:val="22"/>
              </w:rPr>
            </w:pPr>
            <w:r w:rsidRPr="002C2A46">
              <w:rPr>
                <w:szCs w:val="22"/>
              </w:rPr>
              <w:t>Therapeutic Goods Administration</w:t>
            </w:r>
          </w:p>
        </w:tc>
      </w:tr>
      <w:tr w:rsidR="00707353" w:rsidRPr="003D71A1" w14:paraId="44578145"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22CE76B" w14:textId="77777777" w:rsidR="00707353" w:rsidRPr="002C2A46" w:rsidRDefault="00707353" w:rsidP="00C36D6A">
            <w:r w:rsidRPr="002C2A46">
              <w:t>PD</w:t>
            </w:r>
          </w:p>
        </w:tc>
        <w:tc>
          <w:tcPr>
            <w:tcW w:w="7167" w:type="dxa"/>
          </w:tcPr>
          <w:p w14:paraId="1FB6D6B4"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pPr>
            <w:r w:rsidRPr="002C2A46">
              <w:t>Pharmacodynamic(s)</w:t>
            </w:r>
          </w:p>
        </w:tc>
      </w:tr>
      <w:tr w:rsidR="00707353" w:rsidRPr="003D71A1" w14:paraId="4E7B6E90"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C0711A6" w14:textId="77777777" w:rsidR="00707353" w:rsidRPr="002C2A46" w:rsidRDefault="00707353" w:rsidP="00C36D6A">
            <w:r w:rsidRPr="002C2A46">
              <w:t>PK</w:t>
            </w:r>
          </w:p>
        </w:tc>
        <w:tc>
          <w:tcPr>
            <w:tcW w:w="7167" w:type="dxa"/>
          </w:tcPr>
          <w:p w14:paraId="663D087C"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pPr>
            <w:r w:rsidRPr="002C2A46">
              <w:t>Pharmacokinetic(s)</w:t>
            </w:r>
          </w:p>
        </w:tc>
      </w:tr>
      <w:tr w:rsidR="00707353" w:rsidRPr="003D71A1" w14:paraId="0DC34630" w14:textId="77777777" w:rsidTr="00C36D6A">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04D6B44" w14:textId="77777777" w:rsidR="00707353" w:rsidRPr="002C2A46" w:rsidRDefault="00707353" w:rsidP="00C36D6A">
            <w:pPr>
              <w:rPr>
                <w:szCs w:val="22"/>
              </w:rPr>
            </w:pPr>
            <w:r w:rsidRPr="002C2A46">
              <w:rPr>
                <w:szCs w:val="22"/>
              </w:rPr>
              <w:t>PSUR</w:t>
            </w:r>
          </w:p>
        </w:tc>
        <w:tc>
          <w:tcPr>
            <w:tcW w:w="7167" w:type="dxa"/>
          </w:tcPr>
          <w:p w14:paraId="6519118D" w14:textId="77777777" w:rsidR="00707353" w:rsidRPr="002C2A46" w:rsidRDefault="00707353" w:rsidP="00C36D6A">
            <w:pPr>
              <w:cnfStyle w:val="000000000000" w:firstRow="0" w:lastRow="0" w:firstColumn="0" w:lastColumn="0" w:oddVBand="0" w:evenVBand="0" w:oddHBand="0" w:evenHBand="0" w:firstRowFirstColumn="0" w:firstRowLastColumn="0" w:lastRowFirstColumn="0" w:lastRowLastColumn="0"/>
              <w:rPr>
                <w:szCs w:val="22"/>
              </w:rPr>
            </w:pPr>
            <w:r w:rsidRPr="002C2A46">
              <w:rPr>
                <w:szCs w:val="22"/>
              </w:rPr>
              <w:t>Periodic safety update report</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35296209"/>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35296210"/>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3D1E62" w14:paraId="77D11C95" w14:textId="77777777" w:rsidTr="00F865A7">
        <w:tc>
          <w:tcPr>
            <w:tcW w:w="1577" w:type="pct"/>
          </w:tcPr>
          <w:p w14:paraId="10E57D62" w14:textId="77777777" w:rsidR="00324B33" w:rsidRPr="0036173A" w:rsidRDefault="00324B33" w:rsidP="007452E8">
            <w:pPr>
              <w:rPr>
                <w:i/>
                <w:szCs w:val="22"/>
              </w:rPr>
            </w:pPr>
            <w:r w:rsidRPr="0036173A">
              <w:rPr>
                <w:i/>
                <w:szCs w:val="22"/>
              </w:rPr>
              <w:t>Type of submission:</w:t>
            </w:r>
          </w:p>
        </w:tc>
        <w:tc>
          <w:tcPr>
            <w:tcW w:w="3423" w:type="pct"/>
          </w:tcPr>
          <w:p w14:paraId="4F07C303" w14:textId="1A5988A4" w:rsidR="00324B33" w:rsidRPr="0036173A" w:rsidRDefault="00324B33" w:rsidP="007452E8">
            <w:pPr>
              <w:rPr>
                <w:szCs w:val="22"/>
              </w:rPr>
            </w:pPr>
            <w:r w:rsidRPr="0036173A">
              <w:rPr>
                <w:szCs w:val="22"/>
              </w:rPr>
              <w:t xml:space="preserve">New </w:t>
            </w:r>
            <w:r w:rsidR="00387C88" w:rsidRPr="0036173A">
              <w:rPr>
                <w:szCs w:val="22"/>
              </w:rPr>
              <w:t>biosimilar medicine</w:t>
            </w:r>
          </w:p>
        </w:tc>
      </w:tr>
      <w:tr w:rsidR="00324B33" w:rsidRPr="003D1E62" w14:paraId="13482B61" w14:textId="77777777" w:rsidTr="00F865A7">
        <w:tc>
          <w:tcPr>
            <w:tcW w:w="1577" w:type="pct"/>
          </w:tcPr>
          <w:p w14:paraId="2C427FCF" w14:textId="72C0509B" w:rsidR="00324B33" w:rsidRPr="0036173A" w:rsidRDefault="00324B33" w:rsidP="007452E8">
            <w:pPr>
              <w:rPr>
                <w:i/>
                <w:szCs w:val="22"/>
              </w:rPr>
            </w:pPr>
            <w:r w:rsidRPr="0036173A">
              <w:rPr>
                <w:i/>
                <w:szCs w:val="22"/>
              </w:rPr>
              <w:t>Product name:</w:t>
            </w:r>
          </w:p>
        </w:tc>
        <w:tc>
          <w:tcPr>
            <w:tcW w:w="3423" w:type="pct"/>
          </w:tcPr>
          <w:p w14:paraId="0E2DEF76" w14:textId="3DE4A658" w:rsidR="00324B33" w:rsidRPr="0036173A" w:rsidRDefault="00387C88" w:rsidP="007452E8">
            <w:pPr>
              <w:rPr>
                <w:szCs w:val="22"/>
              </w:rPr>
            </w:pPr>
            <w:r w:rsidRPr="0036173A">
              <w:rPr>
                <w:szCs w:val="22"/>
              </w:rPr>
              <w:t>Filpegla</w:t>
            </w:r>
          </w:p>
        </w:tc>
      </w:tr>
      <w:tr w:rsidR="00324B33" w:rsidRPr="003D1E62" w14:paraId="01255B5B" w14:textId="77777777" w:rsidTr="00F865A7">
        <w:tc>
          <w:tcPr>
            <w:tcW w:w="1577" w:type="pct"/>
          </w:tcPr>
          <w:p w14:paraId="52B4F3D7" w14:textId="3ABDA2FE" w:rsidR="00324B33" w:rsidRPr="0036173A" w:rsidRDefault="00324B33" w:rsidP="007452E8">
            <w:pPr>
              <w:rPr>
                <w:i/>
                <w:szCs w:val="22"/>
              </w:rPr>
            </w:pPr>
            <w:r w:rsidRPr="0036173A">
              <w:rPr>
                <w:i/>
                <w:szCs w:val="22"/>
              </w:rPr>
              <w:t>Active ingredient:</w:t>
            </w:r>
          </w:p>
        </w:tc>
        <w:tc>
          <w:tcPr>
            <w:tcW w:w="3423" w:type="pct"/>
          </w:tcPr>
          <w:p w14:paraId="02FB6383" w14:textId="2A6C7E5A" w:rsidR="00324B33" w:rsidRPr="0036173A" w:rsidRDefault="00387C88" w:rsidP="007452E8">
            <w:pPr>
              <w:rPr>
                <w:szCs w:val="22"/>
              </w:rPr>
            </w:pPr>
            <w:r w:rsidRPr="0036173A">
              <w:rPr>
                <w:szCs w:val="22"/>
              </w:rPr>
              <w:t>Pegfilgrastim</w:t>
            </w:r>
          </w:p>
        </w:tc>
      </w:tr>
      <w:tr w:rsidR="00324B33" w:rsidRPr="003D1E62" w14:paraId="219A281B" w14:textId="77777777" w:rsidTr="00F865A7">
        <w:tc>
          <w:tcPr>
            <w:tcW w:w="1577" w:type="pct"/>
          </w:tcPr>
          <w:p w14:paraId="112E5F78" w14:textId="77777777" w:rsidR="00324B33" w:rsidRPr="0036173A" w:rsidRDefault="00324B33" w:rsidP="007452E8">
            <w:pPr>
              <w:rPr>
                <w:i/>
                <w:szCs w:val="22"/>
              </w:rPr>
            </w:pPr>
            <w:r w:rsidRPr="0036173A">
              <w:rPr>
                <w:i/>
                <w:szCs w:val="22"/>
              </w:rPr>
              <w:t>Decision:</w:t>
            </w:r>
          </w:p>
        </w:tc>
        <w:tc>
          <w:tcPr>
            <w:tcW w:w="3423" w:type="pct"/>
          </w:tcPr>
          <w:p w14:paraId="3B114BEA" w14:textId="7BD1965A" w:rsidR="00324B33" w:rsidRPr="0036173A" w:rsidRDefault="00324B33" w:rsidP="007452E8">
            <w:pPr>
              <w:rPr>
                <w:szCs w:val="22"/>
              </w:rPr>
            </w:pPr>
            <w:r w:rsidRPr="0036173A">
              <w:rPr>
                <w:szCs w:val="22"/>
              </w:rPr>
              <w:t>Approved</w:t>
            </w:r>
          </w:p>
        </w:tc>
      </w:tr>
      <w:tr w:rsidR="00AE1947" w:rsidRPr="003D1E62" w14:paraId="32B72632" w14:textId="77777777" w:rsidTr="00F865A7">
        <w:tc>
          <w:tcPr>
            <w:tcW w:w="1577" w:type="pct"/>
          </w:tcPr>
          <w:p w14:paraId="332A5CD5" w14:textId="7FFB06F5" w:rsidR="00AE1947" w:rsidRPr="0036173A" w:rsidRDefault="00AE1947" w:rsidP="00387C88">
            <w:pPr>
              <w:rPr>
                <w:i/>
                <w:szCs w:val="22"/>
              </w:rPr>
            </w:pPr>
            <w:r w:rsidRPr="0036173A">
              <w:rPr>
                <w:i/>
                <w:szCs w:val="22"/>
              </w:rPr>
              <w:t>Date of decision:</w:t>
            </w:r>
          </w:p>
        </w:tc>
        <w:tc>
          <w:tcPr>
            <w:tcW w:w="3423" w:type="pct"/>
          </w:tcPr>
          <w:p w14:paraId="7B381CD6" w14:textId="409847B3" w:rsidR="00AE1947" w:rsidRPr="0036173A" w:rsidRDefault="00387C88" w:rsidP="00C36D6A">
            <w:pPr>
              <w:rPr>
                <w:szCs w:val="22"/>
              </w:rPr>
            </w:pPr>
            <w:r w:rsidRPr="0036173A">
              <w:rPr>
                <w:szCs w:val="22"/>
              </w:rPr>
              <w:t>1 August 2022</w:t>
            </w:r>
          </w:p>
        </w:tc>
      </w:tr>
      <w:tr w:rsidR="00324B33" w:rsidRPr="003D1E62" w14:paraId="60A25F5A" w14:textId="77777777" w:rsidTr="00F865A7">
        <w:tc>
          <w:tcPr>
            <w:tcW w:w="1577" w:type="pct"/>
          </w:tcPr>
          <w:p w14:paraId="5C5E4CBA" w14:textId="77777777" w:rsidR="00324B33" w:rsidRPr="0036173A" w:rsidRDefault="00324B33" w:rsidP="007452E8">
            <w:pPr>
              <w:rPr>
                <w:i/>
                <w:szCs w:val="22"/>
              </w:rPr>
            </w:pPr>
            <w:r w:rsidRPr="0036173A">
              <w:rPr>
                <w:i/>
                <w:szCs w:val="22"/>
              </w:rPr>
              <w:t>Date of entry onto ARTG:</w:t>
            </w:r>
          </w:p>
        </w:tc>
        <w:tc>
          <w:tcPr>
            <w:tcW w:w="3423" w:type="pct"/>
          </w:tcPr>
          <w:p w14:paraId="28B270E9" w14:textId="148CB10F" w:rsidR="00324B33" w:rsidRPr="0036173A" w:rsidRDefault="00387C88" w:rsidP="007452E8">
            <w:pPr>
              <w:rPr>
                <w:szCs w:val="22"/>
              </w:rPr>
            </w:pPr>
            <w:r w:rsidRPr="0036173A">
              <w:rPr>
                <w:szCs w:val="22"/>
              </w:rPr>
              <w:t>19 August 2022</w:t>
            </w:r>
          </w:p>
        </w:tc>
      </w:tr>
      <w:tr w:rsidR="00324B33" w:rsidRPr="003D1E62" w14:paraId="547E08D7" w14:textId="77777777" w:rsidTr="00F865A7">
        <w:tc>
          <w:tcPr>
            <w:tcW w:w="1577" w:type="pct"/>
          </w:tcPr>
          <w:p w14:paraId="5030EF30" w14:textId="1F1BF2EF" w:rsidR="00324B33" w:rsidRPr="0036173A" w:rsidRDefault="00324B33" w:rsidP="007452E8">
            <w:pPr>
              <w:rPr>
                <w:i/>
                <w:szCs w:val="22"/>
              </w:rPr>
            </w:pPr>
            <w:r w:rsidRPr="0036173A">
              <w:rPr>
                <w:i/>
                <w:szCs w:val="22"/>
              </w:rPr>
              <w:t>ARTG number:</w:t>
            </w:r>
          </w:p>
        </w:tc>
        <w:tc>
          <w:tcPr>
            <w:tcW w:w="3423" w:type="pct"/>
          </w:tcPr>
          <w:p w14:paraId="0054E912" w14:textId="6C19F054" w:rsidR="00324B33" w:rsidRPr="0036173A" w:rsidRDefault="00387C88" w:rsidP="007452E8">
            <w:pPr>
              <w:rPr>
                <w:szCs w:val="22"/>
              </w:rPr>
            </w:pPr>
            <w:r w:rsidRPr="0036173A">
              <w:rPr>
                <w:szCs w:val="22"/>
              </w:rPr>
              <w:t>366760</w:t>
            </w:r>
          </w:p>
        </w:tc>
      </w:tr>
      <w:tr w:rsidR="00324B33" w:rsidRPr="003D1E62" w14:paraId="7618393F" w14:textId="77777777" w:rsidTr="00F865A7">
        <w:tc>
          <w:tcPr>
            <w:tcW w:w="1577" w:type="pct"/>
          </w:tcPr>
          <w:p w14:paraId="6C24CEB6" w14:textId="0E257EBA" w:rsidR="00E47E0C" w:rsidRPr="0036173A" w:rsidRDefault="00324B33" w:rsidP="007452E8">
            <w:pPr>
              <w:rPr>
                <w:rStyle w:val="Hyperlink"/>
                <w:i/>
                <w:szCs w:val="22"/>
              </w:rPr>
            </w:pPr>
            <w:r w:rsidRPr="0036173A">
              <w:rPr>
                <w:rFonts w:ascii="Wingdings 3" w:hAnsi="Wingdings 3"/>
                <w:szCs w:val="22"/>
                <w:lang w:eastAsia="en-AU"/>
              </w:rPr>
              <w:t></w:t>
            </w:r>
            <w:hyperlink r:id="rId15" w:history="1">
              <w:r w:rsidRPr="0036173A">
                <w:rPr>
                  <w:rStyle w:val="Hyperlink"/>
                  <w:i/>
                  <w:szCs w:val="22"/>
                </w:rPr>
                <w:t>Black Triangle Scheme</w:t>
              </w:r>
            </w:hyperlink>
          </w:p>
          <w:p w14:paraId="02260DE2" w14:textId="1FC334AE" w:rsidR="00324B33" w:rsidRPr="0036173A" w:rsidRDefault="00E47E0C" w:rsidP="007452E8">
            <w:pPr>
              <w:rPr>
                <w:i/>
                <w:szCs w:val="22"/>
              </w:rPr>
            </w:pPr>
            <w:r w:rsidRPr="0036173A">
              <w:rPr>
                <w:i/>
                <w:szCs w:val="22"/>
              </w:rPr>
              <w:t xml:space="preserve">for </w:t>
            </w:r>
            <w:r w:rsidR="007B04DE" w:rsidRPr="0036173A">
              <w:rPr>
                <w:i/>
                <w:szCs w:val="22"/>
              </w:rPr>
              <w:t>the current</w:t>
            </w:r>
            <w:r w:rsidRPr="0036173A">
              <w:rPr>
                <w:i/>
                <w:szCs w:val="22"/>
              </w:rPr>
              <w:t xml:space="preserve"> submission</w:t>
            </w:r>
            <w:r w:rsidR="00324B33" w:rsidRPr="0036173A">
              <w:rPr>
                <w:i/>
                <w:szCs w:val="22"/>
              </w:rPr>
              <w:t>:</w:t>
            </w:r>
          </w:p>
        </w:tc>
        <w:tc>
          <w:tcPr>
            <w:tcW w:w="3423" w:type="pct"/>
          </w:tcPr>
          <w:p w14:paraId="6FF3C6A2" w14:textId="05AE2277" w:rsidR="00324B33" w:rsidRPr="0036173A" w:rsidRDefault="00324B33" w:rsidP="007452E8">
            <w:pPr>
              <w:rPr>
                <w:szCs w:val="22"/>
              </w:rPr>
            </w:pPr>
            <w:r w:rsidRPr="0036173A">
              <w:rPr>
                <w:szCs w:val="22"/>
              </w:rPr>
              <w:t>No</w:t>
            </w:r>
          </w:p>
        </w:tc>
      </w:tr>
      <w:tr w:rsidR="00324B33" w:rsidRPr="003D1E62" w14:paraId="179E09FE" w14:textId="77777777" w:rsidTr="00F865A7">
        <w:tc>
          <w:tcPr>
            <w:tcW w:w="1577" w:type="pct"/>
          </w:tcPr>
          <w:p w14:paraId="1A592498" w14:textId="77777777" w:rsidR="00324B33" w:rsidRPr="0036173A" w:rsidRDefault="00324B33" w:rsidP="007452E8">
            <w:pPr>
              <w:rPr>
                <w:i/>
                <w:szCs w:val="22"/>
              </w:rPr>
            </w:pPr>
            <w:r w:rsidRPr="0036173A">
              <w:rPr>
                <w:i/>
                <w:szCs w:val="22"/>
              </w:rPr>
              <w:t>Sponsor’s name and address:</w:t>
            </w:r>
          </w:p>
        </w:tc>
        <w:tc>
          <w:tcPr>
            <w:tcW w:w="3423" w:type="pct"/>
          </w:tcPr>
          <w:p w14:paraId="6FFE93E0" w14:textId="77777777" w:rsidR="00324B33" w:rsidRPr="0036173A" w:rsidRDefault="00387C88" w:rsidP="007452E8">
            <w:pPr>
              <w:rPr>
                <w:szCs w:val="22"/>
              </w:rPr>
            </w:pPr>
            <w:r w:rsidRPr="0036173A">
              <w:rPr>
                <w:szCs w:val="22"/>
              </w:rPr>
              <w:t>Cipla Australia Pty Ltd</w:t>
            </w:r>
          </w:p>
          <w:p w14:paraId="2ED7B8EA" w14:textId="7A424376" w:rsidR="00387C88" w:rsidRPr="0036173A" w:rsidRDefault="00387C88" w:rsidP="00387C88">
            <w:pPr>
              <w:rPr>
                <w:szCs w:val="22"/>
              </w:rPr>
            </w:pPr>
            <w:r w:rsidRPr="0036173A">
              <w:rPr>
                <w:szCs w:val="22"/>
              </w:rPr>
              <w:t>Level 1/132-136 Albert Road,</w:t>
            </w:r>
          </w:p>
          <w:p w14:paraId="68DD94B0" w14:textId="0F0475FF" w:rsidR="00387C88" w:rsidRPr="0036173A" w:rsidRDefault="00387C88" w:rsidP="00387C88">
            <w:pPr>
              <w:rPr>
                <w:szCs w:val="22"/>
              </w:rPr>
            </w:pPr>
            <w:r w:rsidRPr="0036173A">
              <w:rPr>
                <w:szCs w:val="22"/>
              </w:rPr>
              <w:t>South Melbourne</w:t>
            </w:r>
            <w:r w:rsidR="00707353">
              <w:rPr>
                <w:szCs w:val="22"/>
              </w:rPr>
              <w:t>,</w:t>
            </w:r>
            <w:r w:rsidRPr="0036173A">
              <w:rPr>
                <w:szCs w:val="22"/>
              </w:rPr>
              <w:t xml:space="preserve"> VIC</w:t>
            </w:r>
            <w:r w:rsidR="00707353">
              <w:rPr>
                <w:szCs w:val="22"/>
              </w:rPr>
              <w:t>,</w:t>
            </w:r>
            <w:r w:rsidRPr="0036173A">
              <w:rPr>
                <w:szCs w:val="22"/>
              </w:rPr>
              <w:t xml:space="preserve"> 3205</w:t>
            </w:r>
          </w:p>
        </w:tc>
      </w:tr>
      <w:tr w:rsidR="00324B33" w:rsidRPr="003D1E62" w14:paraId="5322B989" w14:textId="77777777" w:rsidTr="00F865A7">
        <w:tc>
          <w:tcPr>
            <w:tcW w:w="1577" w:type="pct"/>
          </w:tcPr>
          <w:p w14:paraId="24F217E3" w14:textId="56F87E5F" w:rsidR="00324B33" w:rsidRPr="0036173A" w:rsidRDefault="00324B33" w:rsidP="007452E8">
            <w:pPr>
              <w:rPr>
                <w:i/>
                <w:szCs w:val="22"/>
              </w:rPr>
            </w:pPr>
            <w:r w:rsidRPr="0036173A">
              <w:rPr>
                <w:i/>
                <w:szCs w:val="22"/>
              </w:rPr>
              <w:t>Dose form:</w:t>
            </w:r>
          </w:p>
        </w:tc>
        <w:tc>
          <w:tcPr>
            <w:tcW w:w="3423" w:type="pct"/>
          </w:tcPr>
          <w:p w14:paraId="768B254C" w14:textId="10850C6A" w:rsidR="00324B33" w:rsidRPr="0036173A" w:rsidRDefault="00387C88" w:rsidP="007452E8">
            <w:pPr>
              <w:rPr>
                <w:szCs w:val="22"/>
              </w:rPr>
            </w:pPr>
            <w:r w:rsidRPr="0036173A">
              <w:rPr>
                <w:szCs w:val="22"/>
              </w:rPr>
              <w:t>Solution for injection</w:t>
            </w:r>
          </w:p>
        </w:tc>
      </w:tr>
      <w:tr w:rsidR="00324B33" w:rsidRPr="003D1E62" w14:paraId="115243E6" w14:textId="77777777" w:rsidTr="00F865A7">
        <w:tc>
          <w:tcPr>
            <w:tcW w:w="1577" w:type="pct"/>
          </w:tcPr>
          <w:p w14:paraId="7634B062" w14:textId="568CF0BC" w:rsidR="00324B33" w:rsidRPr="0036173A" w:rsidRDefault="00324B33" w:rsidP="007452E8">
            <w:pPr>
              <w:rPr>
                <w:i/>
                <w:szCs w:val="22"/>
              </w:rPr>
            </w:pPr>
            <w:r w:rsidRPr="0036173A">
              <w:rPr>
                <w:i/>
                <w:szCs w:val="22"/>
              </w:rPr>
              <w:t>Strength:</w:t>
            </w:r>
          </w:p>
        </w:tc>
        <w:tc>
          <w:tcPr>
            <w:tcW w:w="3423" w:type="pct"/>
          </w:tcPr>
          <w:p w14:paraId="5E5F83DB" w14:textId="7DD7C6CF" w:rsidR="00324B33" w:rsidRPr="0036173A" w:rsidRDefault="00387C88" w:rsidP="007452E8">
            <w:pPr>
              <w:rPr>
                <w:szCs w:val="22"/>
              </w:rPr>
            </w:pPr>
            <w:r w:rsidRPr="0036173A">
              <w:rPr>
                <w:szCs w:val="22"/>
              </w:rPr>
              <w:t>6 mg/0.6 mL</w:t>
            </w:r>
          </w:p>
        </w:tc>
      </w:tr>
      <w:tr w:rsidR="00324B33" w:rsidRPr="003D1E62" w14:paraId="34B07BA6" w14:textId="77777777" w:rsidTr="00F865A7">
        <w:tc>
          <w:tcPr>
            <w:tcW w:w="1577" w:type="pct"/>
          </w:tcPr>
          <w:p w14:paraId="1C039224" w14:textId="4F42BC5E" w:rsidR="00324B33" w:rsidRPr="0036173A" w:rsidRDefault="00324B33" w:rsidP="007452E8">
            <w:pPr>
              <w:rPr>
                <w:i/>
                <w:szCs w:val="22"/>
              </w:rPr>
            </w:pPr>
            <w:r w:rsidRPr="0036173A">
              <w:rPr>
                <w:i/>
                <w:szCs w:val="22"/>
              </w:rPr>
              <w:t>Container:</w:t>
            </w:r>
          </w:p>
        </w:tc>
        <w:tc>
          <w:tcPr>
            <w:tcW w:w="3423" w:type="pct"/>
          </w:tcPr>
          <w:p w14:paraId="500A42C6" w14:textId="48328B05" w:rsidR="00324B33" w:rsidRPr="0036173A" w:rsidRDefault="00387C88" w:rsidP="007452E8">
            <w:pPr>
              <w:rPr>
                <w:szCs w:val="22"/>
              </w:rPr>
            </w:pPr>
            <w:r w:rsidRPr="0036173A">
              <w:rPr>
                <w:szCs w:val="22"/>
              </w:rPr>
              <w:t>Syringe</w:t>
            </w:r>
          </w:p>
        </w:tc>
      </w:tr>
      <w:tr w:rsidR="00324B33" w:rsidRPr="003D1E62" w14:paraId="176B6773" w14:textId="77777777" w:rsidTr="00F865A7">
        <w:tc>
          <w:tcPr>
            <w:tcW w:w="1577" w:type="pct"/>
          </w:tcPr>
          <w:p w14:paraId="71846159" w14:textId="4CBDBC5B" w:rsidR="00324B33" w:rsidRPr="0036173A" w:rsidRDefault="00324B33" w:rsidP="007452E8">
            <w:pPr>
              <w:rPr>
                <w:i/>
                <w:szCs w:val="22"/>
              </w:rPr>
            </w:pPr>
            <w:r w:rsidRPr="0036173A">
              <w:rPr>
                <w:i/>
                <w:szCs w:val="22"/>
              </w:rPr>
              <w:t>Pack size:</w:t>
            </w:r>
          </w:p>
        </w:tc>
        <w:tc>
          <w:tcPr>
            <w:tcW w:w="3423" w:type="pct"/>
          </w:tcPr>
          <w:p w14:paraId="7E978F8F" w14:textId="75E0EFEA" w:rsidR="00324B33" w:rsidRPr="0036173A" w:rsidRDefault="00387C88" w:rsidP="007452E8">
            <w:pPr>
              <w:rPr>
                <w:szCs w:val="22"/>
              </w:rPr>
            </w:pPr>
            <w:r w:rsidRPr="0036173A">
              <w:rPr>
                <w:szCs w:val="22"/>
              </w:rPr>
              <w:t>One</w:t>
            </w:r>
          </w:p>
        </w:tc>
      </w:tr>
      <w:tr w:rsidR="00324B33" w:rsidRPr="003D1E62" w14:paraId="19A2544A" w14:textId="77777777" w:rsidTr="00F865A7">
        <w:tc>
          <w:tcPr>
            <w:tcW w:w="1577" w:type="pct"/>
          </w:tcPr>
          <w:p w14:paraId="0E6C5C0E" w14:textId="7DB3FC66" w:rsidR="00324B33" w:rsidRPr="0036173A" w:rsidRDefault="00324B33" w:rsidP="007452E8">
            <w:pPr>
              <w:rPr>
                <w:i/>
                <w:szCs w:val="22"/>
              </w:rPr>
            </w:pPr>
            <w:r w:rsidRPr="0036173A">
              <w:rPr>
                <w:i/>
                <w:szCs w:val="22"/>
              </w:rPr>
              <w:t>Approved therapeutic use</w:t>
            </w:r>
            <w:r w:rsidR="00E47E0C" w:rsidRPr="0036173A">
              <w:rPr>
                <w:i/>
                <w:szCs w:val="22"/>
              </w:rPr>
              <w:t xml:space="preserve"> </w:t>
            </w:r>
            <w:r w:rsidR="007B04DE" w:rsidRPr="0036173A">
              <w:rPr>
                <w:i/>
                <w:szCs w:val="22"/>
              </w:rPr>
              <w:t>for the current</w:t>
            </w:r>
            <w:r w:rsidR="00E47E0C" w:rsidRPr="0036173A">
              <w:rPr>
                <w:i/>
                <w:szCs w:val="22"/>
              </w:rPr>
              <w:t xml:space="preserve"> submission</w:t>
            </w:r>
            <w:r w:rsidRPr="0036173A">
              <w:rPr>
                <w:i/>
                <w:szCs w:val="22"/>
              </w:rPr>
              <w:t>:</w:t>
            </w:r>
          </w:p>
        </w:tc>
        <w:tc>
          <w:tcPr>
            <w:tcW w:w="3423" w:type="pct"/>
          </w:tcPr>
          <w:p w14:paraId="6E143E2E" w14:textId="6C2F82B7" w:rsidR="00324B33" w:rsidRPr="0036173A" w:rsidRDefault="00387C88" w:rsidP="00387C88">
            <w:pPr>
              <w:rPr>
                <w:szCs w:val="22"/>
              </w:rPr>
            </w:pPr>
            <w:r w:rsidRPr="0036173A">
              <w:rPr>
                <w:i/>
                <w:iCs/>
                <w:szCs w:val="22"/>
              </w:rPr>
              <w:t>Filpegla is indicated for the treatment of cancer patients following chemotherapy, to decrease the duration of severe neutropenia and so reduce the incidence of infection, as manifested by febrile neutropenia</w:t>
            </w:r>
            <w:r w:rsidRPr="0036173A">
              <w:rPr>
                <w:szCs w:val="22"/>
              </w:rPr>
              <w:t>.</w:t>
            </w:r>
          </w:p>
        </w:tc>
      </w:tr>
      <w:tr w:rsidR="00324B33" w:rsidRPr="003D1E62" w14:paraId="5AFDEED3" w14:textId="77777777" w:rsidTr="00F865A7">
        <w:tc>
          <w:tcPr>
            <w:tcW w:w="1577" w:type="pct"/>
          </w:tcPr>
          <w:p w14:paraId="03884BD1" w14:textId="3F54C5FB" w:rsidR="00324B33" w:rsidRPr="0036173A" w:rsidRDefault="00324B33" w:rsidP="007452E8">
            <w:pPr>
              <w:rPr>
                <w:i/>
                <w:szCs w:val="22"/>
              </w:rPr>
            </w:pPr>
            <w:r w:rsidRPr="0036173A">
              <w:rPr>
                <w:i/>
                <w:szCs w:val="22"/>
              </w:rPr>
              <w:t>Route of administration:</w:t>
            </w:r>
          </w:p>
        </w:tc>
        <w:tc>
          <w:tcPr>
            <w:tcW w:w="3423" w:type="pct"/>
          </w:tcPr>
          <w:p w14:paraId="1ED1357E" w14:textId="3E8BA732" w:rsidR="00324B33" w:rsidRPr="0036173A" w:rsidRDefault="00387C88" w:rsidP="007452E8">
            <w:pPr>
              <w:rPr>
                <w:szCs w:val="22"/>
              </w:rPr>
            </w:pPr>
            <w:r w:rsidRPr="0036173A">
              <w:rPr>
                <w:szCs w:val="22"/>
              </w:rPr>
              <w:t>Subcutaneous</w:t>
            </w:r>
          </w:p>
        </w:tc>
      </w:tr>
      <w:tr w:rsidR="00324B33" w:rsidRPr="003D1E62" w14:paraId="70D7E9FA" w14:textId="77777777" w:rsidTr="00F865A7">
        <w:tc>
          <w:tcPr>
            <w:tcW w:w="1577" w:type="pct"/>
          </w:tcPr>
          <w:p w14:paraId="5ABFFC80" w14:textId="77777777" w:rsidR="00324B33" w:rsidRPr="0036173A" w:rsidRDefault="00324B33" w:rsidP="007452E8">
            <w:pPr>
              <w:rPr>
                <w:i/>
                <w:szCs w:val="22"/>
              </w:rPr>
            </w:pPr>
            <w:r w:rsidRPr="0036173A">
              <w:rPr>
                <w:i/>
                <w:szCs w:val="22"/>
              </w:rPr>
              <w:t>Dosage:</w:t>
            </w:r>
          </w:p>
        </w:tc>
        <w:tc>
          <w:tcPr>
            <w:tcW w:w="3423" w:type="pct"/>
          </w:tcPr>
          <w:p w14:paraId="1246B144" w14:textId="61518826" w:rsidR="00324B33" w:rsidRPr="0036173A" w:rsidRDefault="00387C88" w:rsidP="007452E8">
            <w:pPr>
              <w:rPr>
                <w:szCs w:val="22"/>
              </w:rPr>
            </w:pPr>
            <w:r w:rsidRPr="0036173A">
              <w:rPr>
                <w:szCs w:val="22"/>
              </w:rPr>
              <w:t>The recommended dosage of Filpegla is a single subcutaneous injection of 6 mg administered once per chemotherapy cycle. Filpegla should be administered approximately 24 hours after the administration of cytotoxic chemotherapy. In clinical studies, pegfilgrastim has been safely administered 14 days before chemotherapy (see Section 4.4 Special warnings and precautions for use).</w:t>
            </w:r>
          </w:p>
          <w:p w14:paraId="3D0B2D5C" w14:textId="77777777" w:rsidR="00324B33" w:rsidRPr="0036173A" w:rsidRDefault="00324B33" w:rsidP="007452E8">
            <w:pPr>
              <w:rPr>
                <w:szCs w:val="22"/>
              </w:rPr>
            </w:pPr>
            <w:r w:rsidRPr="0036173A">
              <w:rPr>
                <w:szCs w:val="22"/>
              </w:rPr>
              <w:t>For further information regarding dosage, refer to the Product Information.</w:t>
            </w:r>
          </w:p>
        </w:tc>
      </w:tr>
      <w:tr w:rsidR="00324B33" w:rsidRPr="003D1E62" w14:paraId="24DC408E" w14:textId="77777777" w:rsidTr="00F865A7">
        <w:tc>
          <w:tcPr>
            <w:tcW w:w="1577" w:type="pct"/>
          </w:tcPr>
          <w:p w14:paraId="26380792" w14:textId="77777777" w:rsidR="00324B33" w:rsidRPr="0036173A" w:rsidRDefault="00324B33" w:rsidP="007452E8">
            <w:pPr>
              <w:rPr>
                <w:i/>
                <w:szCs w:val="22"/>
              </w:rPr>
            </w:pPr>
            <w:r w:rsidRPr="0036173A">
              <w:rPr>
                <w:i/>
                <w:szCs w:val="22"/>
              </w:rPr>
              <w:t>Pregnancy category:</w:t>
            </w:r>
          </w:p>
        </w:tc>
        <w:tc>
          <w:tcPr>
            <w:tcW w:w="3423" w:type="pct"/>
          </w:tcPr>
          <w:p w14:paraId="20F6F063" w14:textId="77777777" w:rsidR="00387C88" w:rsidRPr="0036173A" w:rsidRDefault="00387C88" w:rsidP="007452E8">
            <w:pPr>
              <w:rPr>
                <w:szCs w:val="22"/>
              </w:rPr>
            </w:pPr>
            <w:r w:rsidRPr="0036173A">
              <w:rPr>
                <w:szCs w:val="22"/>
              </w:rPr>
              <w:t>B3</w:t>
            </w:r>
          </w:p>
          <w:p w14:paraId="300B3E59" w14:textId="59F2DC06" w:rsidR="00387C88" w:rsidRPr="0036173A" w:rsidRDefault="00387C88" w:rsidP="00387C88">
            <w:pPr>
              <w:rPr>
                <w:szCs w:val="22"/>
              </w:rPr>
            </w:pPr>
            <w:r w:rsidRPr="0036173A">
              <w:rPr>
                <w:szCs w:val="22"/>
              </w:rPr>
              <w:t xml:space="preserve">Drugs which have been taken by only a limited number of pregnant women and women of childbearing age, without an increase in the frequency of malformation or other direct or indirect harmful effects on the human </w:t>
            </w:r>
            <w:proofErr w:type="spellStart"/>
            <w:r w:rsidRPr="0036173A">
              <w:rPr>
                <w:szCs w:val="22"/>
              </w:rPr>
              <w:t>fetus</w:t>
            </w:r>
            <w:proofErr w:type="spellEnd"/>
            <w:r w:rsidRPr="0036173A">
              <w:rPr>
                <w:szCs w:val="22"/>
              </w:rPr>
              <w:t xml:space="preserve"> having been observed.</w:t>
            </w:r>
          </w:p>
          <w:p w14:paraId="4E87274F" w14:textId="1BAD060D" w:rsidR="00324B33" w:rsidRPr="0036173A" w:rsidRDefault="00387C88" w:rsidP="00387C88">
            <w:pPr>
              <w:rPr>
                <w:szCs w:val="22"/>
              </w:rPr>
            </w:pPr>
            <w:r w:rsidRPr="0036173A">
              <w:rPr>
                <w:szCs w:val="22"/>
              </w:rPr>
              <w:lastRenderedPageBreak/>
              <w:t xml:space="preserve">Studies in animals have shown evidence of an increased occurrence of </w:t>
            </w:r>
            <w:proofErr w:type="spellStart"/>
            <w:r w:rsidRPr="0036173A">
              <w:rPr>
                <w:szCs w:val="22"/>
              </w:rPr>
              <w:t>fetal</w:t>
            </w:r>
            <w:proofErr w:type="spellEnd"/>
            <w:r w:rsidRPr="0036173A">
              <w:rPr>
                <w:szCs w:val="22"/>
              </w:rPr>
              <w:t xml:space="preserve"> damage, the significance of which is considered uncertain in humans.</w:t>
            </w:r>
          </w:p>
          <w:p w14:paraId="5E2AA3D6" w14:textId="49EFE685" w:rsidR="00324B33" w:rsidRPr="0036173A" w:rsidRDefault="00324B33" w:rsidP="00387C88">
            <w:pPr>
              <w:rPr>
                <w:szCs w:val="22"/>
              </w:rPr>
            </w:pPr>
            <w:r w:rsidRPr="0036173A">
              <w:rPr>
                <w:szCs w:val="22"/>
              </w:rP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77777777" w:rsidR="00324B33" w:rsidRDefault="00324B33" w:rsidP="00324B33">
      <w:pPr>
        <w:pStyle w:val="Heading3"/>
      </w:pPr>
      <w:bookmarkStart w:id="11" w:name="_Toc247691503"/>
      <w:bookmarkStart w:id="12" w:name="_Toc314842484"/>
      <w:bookmarkStart w:id="13" w:name="_Toc103679290"/>
      <w:bookmarkStart w:id="14" w:name="_Toc135296211"/>
      <w:r>
        <w:lastRenderedPageBreak/>
        <w:t>Product background</w:t>
      </w:r>
      <w:bookmarkEnd w:id="11"/>
      <w:bookmarkEnd w:id="12"/>
      <w:bookmarkEnd w:id="13"/>
      <w:bookmarkEnd w:id="14"/>
    </w:p>
    <w:p w14:paraId="56B27CF2" w14:textId="00F1CD62" w:rsidR="00324B33" w:rsidRPr="0036173A" w:rsidRDefault="00324B33" w:rsidP="00324B33">
      <w:pPr>
        <w:rPr>
          <w:szCs w:val="22"/>
        </w:rPr>
      </w:pPr>
      <w:r w:rsidRPr="0036173A">
        <w:rPr>
          <w:szCs w:val="22"/>
        </w:rPr>
        <w:t xml:space="preserve">This AusPAR describes the submission by </w:t>
      </w:r>
      <w:r w:rsidR="00387C88" w:rsidRPr="0036173A">
        <w:rPr>
          <w:szCs w:val="22"/>
        </w:rPr>
        <w:t xml:space="preserve">Cipla Australia Pty Ltd </w:t>
      </w:r>
      <w:r w:rsidRPr="0036173A">
        <w:rPr>
          <w:szCs w:val="22"/>
        </w:rPr>
        <w:t xml:space="preserve">(the sponsor) to register </w:t>
      </w:r>
      <w:r w:rsidR="00387C88" w:rsidRPr="0036173A">
        <w:rPr>
          <w:szCs w:val="22"/>
        </w:rPr>
        <w:t>Filpegla (pegfilgrastim</w:t>
      </w:r>
      <w:r w:rsidRPr="0036173A">
        <w:rPr>
          <w:szCs w:val="22"/>
        </w:rPr>
        <w:t xml:space="preserve">) </w:t>
      </w:r>
      <w:r w:rsidR="00387C88" w:rsidRPr="0036173A">
        <w:rPr>
          <w:szCs w:val="22"/>
        </w:rPr>
        <w:t xml:space="preserve">6 mg/0.6 mL, solution for subcutaneous injection, syringe </w:t>
      </w:r>
      <w:r w:rsidRPr="0036173A">
        <w:rPr>
          <w:szCs w:val="22"/>
        </w:rPr>
        <w:t>for the following proposed indication:</w:t>
      </w:r>
      <w:r w:rsidR="00D63760" w:rsidRPr="0036173A">
        <w:rPr>
          <w:rStyle w:val="FootnoteReference"/>
          <w:szCs w:val="22"/>
        </w:rPr>
        <w:footnoteReference w:id="1"/>
      </w:r>
    </w:p>
    <w:p w14:paraId="5760E2D2" w14:textId="0948CF8B" w:rsidR="00387C88" w:rsidRPr="0036173A" w:rsidRDefault="00387C88" w:rsidP="00387C88">
      <w:pPr>
        <w:ind w:left="720"/>
        <w:rPr>
          <w:i/>
          <w:iCs/>
          <w:szCs w:val="22"/>
        </w:rPr>
      </w:pPr>
      <w:r w:rsidRPr="0036173A">
        <w:rPr>
          <w:i/>
          <w:iCs/>
          <w:szCs w:val="22"/>
        </w:rPr>
        <w:t>Filpegla is indicated for the treatment of cancer patients following chemotherapy, to decrease the duration of severe neutropenia and so reduce the incidence of infection, as manifested by febrile neutropenia.</w:t>
      </w:r>
    </w:p>
    <w:p w14:paraId="71C1CA90" w14:textId="25FEE08E" w:rsidR="0036173A" w:rsidRPr="001D1C05" w:rsidRDefault="0036173A" w:rsidP="001D1C05">
      <w:pPr>
        <w:pStyle w:val="Heading4"/>
      </w:pPr>
      <w:bookmarkStart w:id="15" w:name="_Toc135296212"/>
      <w:r w:rsidRPr="001D1C05">
        <w:t>Condition</w:t>
      </w:r>
      <w:bookmarkEnd w:id="15"/>
    </w:p>
    <w:p w14:paraId="6AF8592F" w14:textId="7E34414E" w:rsidR="00852598" w:rsidRDefault="00852598" w:rsidP="00852598">
      <w:pPr>
        <w:rPr>
          <w:szCs w:val="22"/>
        </w:rPr>
      </w:pPr>
      <w:r>
        <w:rPr>
          <w:szCs w:val="22"/>
        </w:rPr>
        <w:t>Neutropenia is a condition marked by a</w:t>
      </w:r>
      <w:r w:rsidRPr="0036173A">
        <w:rPr>
          <w:szCs w:val="22"/>
        </w:rPr>
        <w:t xml:space="preserve"> reduction in </w:t>
      </w:r>
      <w:r>
        <w:rPr>
          <w:szCs w:val="22"/>
        </w:rPr>
        <w:t xml:space="preserve">the number of </w:t>
      </w:r>
      <w:r w:rsidRPr="0036173A">
        <w:rPr>
          <w:szCs w:val="22"/>
        </w:rPr>
        <w:t>neutrophil</w:t>
      </w:r>
      <w:r>
        <w:rPr>
          <w:szCs w:val="22"/>
        </w:rPr>
        <w:t xml:space="preserve">s in the blood. </w:t>
      </w:r>
      <w:r w:rsidR="001E008B" w:rsidRPr="001E008B">
        <w:rPr>
          <w:szCs w:val="22"/>
        </w:rPr>
        <w:t>Causes</w:t>
      </w:r>
      <w:r w:rsidR="001E008B">
        <w:rPr>
          <w:szCs w:val="22"/>
        </w:rPr>
        <w:t xml:space="preserve"> of neutropenia</w:t>
      </w:r>
      <w:r w:rsidR="001E008B" w:rsidRPr="001E008B">
        <w:rPr>
          <w:szCs w:val="22"/>
        </w:rPr>
        <w:t xml:space="preserve"> can be congenital or acquired</w:t>
      </w:r>
      <w:r w:rsidR="00421C28">
        <w:rPr>
          <w:szCs w:val="22"/>
        </w:rPr>
        <w:t>,</w:t>
      </w:r>
      <w:r w:rsidR="001E008B">
        <w:rPr>
          <w:szCs w:val="22"/>
        </w:rPr>
        <w:t xml:space="preserve"> w</w:t>
      </w:r>
      <w:r w:rsidR="00950DA6">
        <w:rPr>
          <w:szCs w:val="22"/>
        </w:rPr>
        <w:t xml:space="preserve">ith </w:t>
      </w:r>
      <w:r w:rsidR="00421C28">
        <w:rPr>
          <w:szCs w:val="22"/>
        </w:rPr>
        <w:t xml:space="preserve">the underlying mechanisms </w:t>
      </w:r>
      <w:r w:rsidR="00950DA6">
        <w:rPr>
          <w:szCs w:val="22"/>
        </w:rPr>
        <w:t xml:space="preserve">resulting in neutropenia </w:t>
      </w:r>
      <w:r w:rsidR="001E008B">
        <w:rPr>
          <w:szCs w:val="22"/>
        </w:rPr>
        <w:t>des</w:t>
      </w:r>
      <w:r w:rsidR="00950DA6">
        <w:rPr>
          <w:szCs w:val="22"/>
        </w:rPr>
        <w:t xml:space="preserve">cribed in terms </w:t>
      </w:r>
      <w:r w:rsidR="001E008B">
        <w:rPr>
          <w:szCs w:val="22"/>
        </w:rPr>
        <w:t>decreased production, accelerated utilisation,</w:t>
      </w:r>
      <w:r w:rsidR="001E008B" w:rsidRPr="001E008B">
        <w:rPr>
          <w:szCs w:val="22"/>
        </w:rPr>
        <w:t xml:space="preserve"> increased destruction, or change in location of neutrophils, or any combination of these processes.</w:t>
      </w:r>
    </w:p>
    <w:p w14:paraId="39B25516" w14:textId="3B311D3D" w:rsidR="00852598" w:rsidRDefault="00852598" w:rsidP="00852598">
      <w:pPr>
        <w:rPr>
          <w:szCs w:val="22"/>
        </w:rPr>
      </w:pPr>
      <w:r w:rsidRPr="00852598">
        <w:rPr>
          <w:szCs w:val="22"/>
        </w:rPr>
        <w:t>Drug-induced neutropenia</w:t>
      </w:r>
      <w:r w:rsidR="001E008B">
        <w:rPr>
          <w:szCs w:val="22"/>
        </w:rPr>
        <w:t xml:space="preserve"> </w:t>
      </w:r>
      <w:r w:rsidR="00950DA6">
        <w:rPr>
          <w:szCs w:val="22"/>
        </w:rPr>
        <w:t>is the second most common cause</w:t>
      </w:r>
      <w:r w:rsidR="001E008B">
        <w:rPr>
          <w:szCs w:val="22"/>
        </w:rPr>
        <w:t xml:space="preserve"> after infection.</w:t>
      </w:r>
      <w:r w:rsidR="001E008B">
        <w:rPr>
          <w:rStyle w:val="FootnoteReference"/>
          <w:szCs w:val="22"/>
        </w:rPr>
        <w:footnoteReference w:id="2"/>
      </w:r>
      <w:r w:rsidR="001E008B">
        <w:rPr>
          <w:szCs w:val="22"/>
        </w:rPr>
        <w:t xml:space="preserve"> </w:t>
      </w:r>
      <w:r w:rsidRPr="00852598">
        <w:rPr>
          <w:szCs w:val="22"/>
        </w:rPr>
        <w:t>Certain medications can caus</w:t>
      </w:r>
      <w:r w:rsidR="001E008B">
        <w:rPr>
          <w:szCs w:val="22"/>
        </w:rPr>
        <w:t xml:space="preserve">e neutropenia as a side effect </w:t>
      </w:r>
      <w:r w:rsidRPr="00852598">
        <w:rPr>
          <w:szCs w:val="22"/>
        </w:rPr>
        <w:t>include chemotherapy drugs, which target rapidly dividing cells incl</w:t>
      </w:r>
      <w:r w:rsidR="001E008B">
        <w:rPr>
          <w:szCs w:val="22"/>
        </w:rPr>
        <w:t xml:space="preserve">uding </w:t>
      </w:r>
      <w:r w:rsidR="00F8682C">
        <w:rPr>
          <w:szCs w:val="22"/>
        </w:rPr>
        <w:t xml:space="preserve">and suppressing </w:t>
      </w:r>
      <w:r w:rsidR="001E008B">
        <w:rPr>
          <w:szCs w:val="22"/>
        </w:rPr>
        <w:t>those in the bone marrow.</w:t>
      </w:r>
    </w:p>
    <w:p w14:paraId="4C0E877B" w14:textId="35BA599A" w:rsidR="00F8682C" w:rsidRPr="00F8682C" w:rsidRDefault="001E008B" w:rsidP="00F8682C">
      <w:pPr>
        <w:rPr>
          <w:szCs w:val="22"/>
        </w:rPr>
      </w:pPr>
      <w:r>
        <w:rPr>
          <w:szCs w:val="22"/>
        </w:rPr>
        <w:t xml:space="preserve">Consequences of neutropenia </w:t>
      </w:r>
      <w:r w:rsidR="00F8682C">
        <w:rPr>
          <w:szCs w:val="22"/>
        </w:rPr>
        <w:t xml:space="preserve">following chemotherapy include increased vulnerability to infection and increased risk of hospitalisation. </w:t>
      </w:r>
      <w:r w:rsidR="00F8682C" w:rsidRPr="00F8682C">
        <w:rPr>
          <w:szCs w:val="22"/>
        </w:rPr>
        <w:t xml:space="preserve">Febrile neutropenia </w:t>
      </w:r>
      <w:r w:rsidR="00F8682C">
        <w:rPr>
          <w:szCs w:val="22"/>
        </w:rPr>
        <w:t>is a</w:t>
      </w:r>
      <w:r w:rsidR="00F8682C" w:rsidRPr="00F8682C">
        <w:rPr>
          <w:szCs w:val="22"/>
        </w:rPr>
        <w:t xml:space="preserve"> significant concern</w:t>
      </w:r>
      <w:r w:rsidR="00F8682C">
        <w:rPr>
          <w:szCs w:val="22"/>
        </w:rPr>
        <w:t xml:space="preserve"> and refers to the development of a fever in an individual with severe neutropenia. As </w:t>
      </w:r>
      <w:r w:rsidR="00F8682C" w:rsidRPr="00F8682C">
        <w:rPr>
          <w:szCs w:val="22"/>
        </w:rPr>
        <w:t xml:space="preserve">individuals with low neutrophil counts are more susceptible to infections, even a minor infection </w:t>
      </w:r>
      <w:r w:rsidR="00421C28">
        <w:rPr>
          <w:szCs w:val="22"/>
        </w:rPr>
        <w:t xml:space="preserve">has the potential to </w:t>
      </w:r>
      <w:r w:rsidR="00F8682C" w:rsidRPr="00F8682C">
        <w:rPr>
          <w:szCs w:val="22"/>
        </w:rPr>
        <w:t>quickly become severe in the absence of a robust immune response</w:t>
      </w:r>
      <w:r w:rsidR="00F8682C">
        <w:rPr>
          <w:szCs w:val="22"/>
        </w:rPr>
        <w:t xml:space="preserve">, thus febrile neutropenia </w:t>
      </w:r>
      <w:proofErr w:type="gramStart"/>
      <w:r w:rsidR="00F8682C">
        <w:rPr>
          <w:szCs w:val="22"/>
        </w:rPr>
        <w:t>is considered to be</w:t>
      </w:r>
      <w:proofErr w:type="gramEnd"/>
      <w:r w:rsidR="00F8682C">
        <w:rPr>
          <w:szCs w:val="22"/>
        </w:rPr>
        <w:t xml:space="preserve"> a medical emergency</w:t>
      </w:r>
      <w:r w:rsidR="00950DA6">
        <w:rPr>
          <w:szCs w:val="22"/>
        </w:rPr>
        <w:t>.</w:t>
      </w:r>
    </w:p>
    <w:p w14:paraId="299B18D5" w14:textId="6320FFF0" w:rsidR="0036173A" w:rsidRDefault="00421C28" w:rsidP="0036173A">
      <w:pPr>
        <w:rPr>
          <w:szCs w:val="22"/>
        </w:rPr>
      </w:pPr>
      <w:r>
        <w:rPr>
          <w:szCs w:val="22"/>
        </w:rPr>
        <w:t>I</w:t>
      </w:r>
      <w:r w:rsidR="00950DA6">
        <w:rPr>
          <w:szCs w:val="22"/>
        </w:rPr>
        <w:t>n patients with cancer receiving chemotherapy</w:t>
      </w:r>
      <w:r>
        <w:rPr>
          <w:szCs w:val="22"/>
        </w:rPr>
        <w:t xml:space="preserve"> neutropenia</w:t>
      </w:r>
      <w:r w:rsidR="00950DA6">
        <w:rPr>
          <w:szCs w:val="22"/>
        </w:rPr>
        <w:t xml:space="preserve"> can also necessitate </w:t>
      </w:r>
      <w:r>
        <w:rPr>
          <w:szCs w:val="22"/>
        </w:rPr>
        <w:t>dose reductions</w:t>
      </w:r>
      <w:r w:rsidR="00950DA6">
        <w:rPr>
          <w:szCs w:val="22"/>
        </w:rPr>
        <w:t>, and/or delays to receiving planned chemotherapy treatment.</w:t>
      </w:r>
      <w:r>
        <w:rPr>
          <w:szCs w:val="22"/>
        </w:rPr>
        <w:t xml:space="preserve"> </w:t>
      </w:r>
      <w:r w:rsidR="0036173A" w:rsidRPr="0036173A">
        <w:rPr>
          <w:szCs w:val="22"/>
        </w:rPr>
        <w:t>Severe neutropenia increases the mortality risk both in the short</w:t>
      </w:r>
      <w:r w:rsidR="0036173A">
        <w:rPr>
          <w:szCs w:val="22"/>
        </w:rPr>
        <w:t xml:space="preserve"> </w:t>
      </w:r>
      <w:r w:rsidR="0036173A" w:rsidRPr="0036173A">
        <w:rPr>
          <w:szCs w:val="22"/>
        </w:rPr>
        <w:t>term (from infections) and long</w:t>
      </w:r>
      <w:r w:rsidR="0036173A">
        <w:rPr>
          <w:szCs w:val="22"/>
        </w:rPr>
        <w:t xml:space="preserve"> </w:t>
      </w:r>
      <w:r w:rsidR="0036173A" w:rsidRPr="0036173A">
        <w:rPr>
          <w:szCs w:val="22"/>
        </w:rPr>
        <w:t>term (from insufficient dose intensity of chemotherapy).</w:t>
      </w:r>
      <w:r>
        <w:rPr>
          <w:rStyle w:val="FootnoteReference"/>
          <w:szCs w:val="22"/>
        </w:rPr>
        <w:footnoteReference w:id="3"/>
      </w:r>
    </w:p>
    <w:p w14:paraId="23687C54" w14:textId="77777777" w:rsidR="0036173A" w:rsidRPr="001D1C05" w:rsidRDefault="0036173A" w:rsidP="001D1C05">
      <w:pPr>
        <w:pStyle w:val="Heading4"/>
      </w:pPr>
      <w:bookmarkStart w:id="16" w:name="_Toc135296213"/>
      <w:r w:rsidRPr="001D1C05">
        <w:lastRenderedPageBreak/>
        <w:t>Current treatment options</w:t>
      </w:r>
      <w:bookmarkEnd w:id="16"/>
    </w:p>
    <w:p w14:paraId="7A765AEF" w14:textId="21462E33" w:rsidR="0036173A" w:rsidRPr="0036173A" w:rsidRDefault="0036173A" w:rsidP="0036173A">
      <w:pPr>
        <w:rPr>
          <w:szCs w:val="22"/>
        </w:rPr>
      </w:pPr>
      <w:r w:rsidRPr="0036173A">
        <w:rPr>
          <w:szCs w:val="22"/>
        </w:rPr>
        <w:t xml:space="preserve">Pegfilgrastim is a conjugate of recombinant human granulocyte colony-stimulating factor </w:t>
      </w:r>
      <w:r w:rsidRPr="00707353">
        <w:rPr>
          <w:szCs w:val="22"/>
        </w:rPr>
        <w:t>(G</w:t>
      </w:r>
      <w:r w:rsidRPr="00707353">
        <w:rPr>
          <w:szCs w:val="22"/>
        </w:rPr>
        <w:noBreakHyphen/>
        <w:t>CSF)</w:t>
      </w:r>
      <w:r w:rsidRPr="0036173A">
        <w:rPr>
          <w:szCs w:val="22"/>
        </w:rPr>
        <w:t xml:space="preserve"> and polyethylene glycol, with the polyethylene glycol moiety providing a longer half</w:t>
      </w:r>
      <w:r w:rsidR="00F463A7">
        <w:rPr>
          <w:szCs w:val="22"/>
        </w:rPr>
        <w:t>-</w:t>
      </w:r>
      <w:r w:rsidRPr="0036173A">
        <w:rPr>
          <w:szCs w:val="22"/>
        </w:rPr>
        <w:t xml:space="preserve">life than the endogenous molecule. Following binding to </w:t>
      </w:r>
      <w:r w:rsidR="003F47F3">
        <w:rPr>
          <w:szCs w:val="22"/>
        </w:rPr>
        <w:t xml:space="preserve">the </w:t>
      </w:r>
      <w:r w:rsidRPr="0036173A">
        <w:rPr>
          <w:szCs w:val="22"/>
        </w:rPr>
        <w:t>G-CSF receptor, pegfilgrastim activates several downstream signalling pathways, increasing proliferation and differentiation of granulocyte progenitor cells</w:t>
      </w:r>
      <w:r w:rsidR="003F47F3">
        <w:rPr>
          <w:szCs w:val="22"/>
        </w:rPr>
        <w:t xml:space="preserve"> leading</w:t>
      </w:r>
      <w:r w:rsidRPr="0036173A">
        <w:rPr>
          <w:szCs w:val="22"/>
        </w:rPr>
        <w:t xml:space="preserve"> to </w:t>
      </w:r>
      <w:r w:rsidR="003F47F3">
        <w:rPr>
          <w:szCs w:val="22"/>
        </w:rPr>
        <w:t xml:space="preserve">the development of </w:t>
      </w:r>
      <w:r w:rsidRPr="0036173A">
        <w:rPr>
          <w:szCs w:val="22"/>
        </w:rPr>
        <w:t>mature neutrophils.</w:t>
      </w:r>
    </w:p>
    <w:p w14:paraId="3DF97E6E" w14:textId="21E6835E" w:rsidR="0036173A" w:rsidRPr="0036173A" w:rsidRDefault="0036173A" w:rsidP="0036173A">
      <w:pPr>
        <w:rPr>
          <w:highlight w:val="yellow"/>
        </w:rPr>
      </w:pPr>
      <w:r w:rsidRPr="0036173A">
        <w:rPr>
          <w:szCs w:val="22"/>
        </w:rPr>
        <w:t>Pegfilgrastim was marketed initially under the trade name of Neulasta and first approved in Australia in 2002;</w:t>
      </w:r>
      <w:bookmarkStart w:id="17" w:name="_Ref132873574"/>
      <w:r>
        <w:rPr>
          <w:rStyle w:val="FootnoteReference"/>
          <w:szCs w:val="22"/>
        </w:rPr>
        <w:footnoteReference w:id="4"/>
      </w:r>
      <w:bookmarkEnd w:id="17"/>
      <w:r w:rsidRPr="0036173A">
        <w:rPr>
          <w:szCs w:val="22"/>
        </w:rPr>
        <w:t xml:space="preserve"> other biosimilar pegfilgrastim products are registered in Australia, </w:t>
      </w:r>
      <w:r>
        <w:rPr>
          <w:szCs w:val="22"/>
        </w:rPr>
        <w:t>for example,</w:t>
      </w:r>
      <w:r w:rsidRPr="0036173A">
        <w:rPr>
          <w:szCs w:val="22"/>
        </w:rPr>
        <w:t xml:space="preserve"> </w:t>
      </w:r>
      <w:proofErr w:type="spellStart"/>
      <w:r w:rsidRPr="0036173A">
        <w:rPr>
          <w:szCs w:val="22"/>
        </w:rPr>
        <w:t>R</w:t>
      </w:r>
      <w:r>
        <w:rPr>
          <w:szCs w:val="22"/>
        </w:rPr>
        <w:t>istempa</w:t>
      </w:r>
      <w:proofErr w:type="spellEnd"/>
      <w:r>
        <w:rPr>
          <w:szCs w:val="22"/>
        </w:rPr>
        <w:t>,</w:t>
      </w:r>
      <w:r>
        <w:rPr>
          <w:rStyle w:val="FootnoteReference"/>
          <w:szCs w:val="22"/>
        </w:rPr>
        <w:footnoteReference w:id="5"/>
      </w:r>
      <w:r w:rsidRPr="0036173A">
        <w:rPr>
          <w:szCs w:val="22"/>
        </w:rPr>
        <w:t xml:space="preserve"> </w:t>
      </w:r>
      <w:proofErr w:type="spellStart"/>
      <w:r w:rsidRPr="0036173A">
        <w:rPr>
          <w:szCs w:val="22"/>
        </w:rPr>
        <w:t>Z</w:t>
      </w:r>
      <w:r>
        <w:rPr>
          <w:szCs w:val="22"/>
        </w:rPr>
        <w:t>iextenzo</w:t>
      </w:r>
      <w:proofErr w:type="spellEnd"/>
      <w:r w:rsidRPr="0036173A">
        <w:rPr>
          <w:szCs w:val="22"/>
        </w:rPr>
        <w:t>,</w:t>
      </w:r>
      <w:r>
        <w:rPr>
          <w:rStyle w:val="FootnoteReference"/>
          <w:szCs w:val="22"/>
        </w:rPr>
        <w:footnoteReference w:id="6"/>
      </w:r>
      <w:r w:rsidRPr="0036173A">
        <w:rPr>
          <w:szCs w:val="22"/>
        </w:rPr>
        <w:t xml:space="preserve"> </w:t>
      </w:r>
      <w:bookmarkStart w:id="18" w:name="_Hlk132796513"/>
      <w:proofErr w:type="spellStart"/>
      <w:r w:rsidRPr="0036173A">
        <w:rPr>
          <w:szCs w:val="22"/>
        </w:rPr>
        <w:t>T</w:t>
      </w:r>
      <w:r>
        <w:rPr>
          <w:szCs w:val="22"/>
        </w:rPr>
        <w:t>ezmota</w:t>
      </w:r>
      <w:bookmarkEnd w:id="18"/>
      <w:proofErr w:type="spellEnd"/>
      <w:r w:rsidRPr="0036173A">
        <w:rPr>
          <w:szCs w:val="22"/>
        </w:rPr>
        <w:t>,</w:t>
      </w:r>
      <w:r>
        <w:rPr>
          <w:rStyle w:val="FootnoteReference"/>
          <w:szCs w:val="22"/>
        </w:rPr>
        <w:footnoteReference w:id="7"/>
      </w:r>
      <w:r w:rsidRPr="0036173A">
        <w:rPr>
          <w:szCs w:val="22"/>
        </w:rPr>
        <w:t xml:space="preserve"> </w:t>
      </w:r>
      <w:bookmarkStart w:id="19" w:name="_Hlk132796567"/>
      <w:proofErr w:type="spellStart"/>
      <w:r w:rsidRPr="0036173A">
        <w:rPr>
          <w:szCs w:val="22"/>
        </w:rPr>
        <w:t>N</w:t>
      </w:r>
      <w:r>
        <w:rPr>
          <w:szCs w:val="22"/>
        </w:rPr>
        <w:t>eutropeg</w:t>
      </w:r>
      <w:bookmarkEnd w:id="19"/>
      <w:proofErr w:type="spellEnd"/>
      <w:r w:rsidRPr="0036173A">
        <w:rPr>
          <w:szCs w:val="22"/>
        </w:rPr>
        <w:t>,</w:t>
      </w:r>
      <w:r>
        <w:rPr>
          <w:rStyle w:val="FootnoteReference"/>
          <w:szCs w:val="22"/>
        </w:rPr>
        <w:footnoteReference w:id="8"/>
      </w:r>
      <w:r w:rsidRPr="0036173A">
        <w:rPr>
          <w:szCs w:val="22"/>
        </w:rPr>
        <w:t xml:space="preserve"> </w:t>
      </w:r>
      <w:proofErr w:type="spellStart"/>
      <w:r w:rsidRPr="0036173A">
        <w:rPr>
          <w:szCs w:val="22"/>
        </w:rPr>
        <w:t>F</w:t>
      </w:r>
      <w:r>
        <w:rPr>
          <w:szCs w:val="22"/>
        </w:rPr>
        <w:t>ulphila</w:t>
      </w:r>
      <w:proofErr w:type="spellEnd"/>
      <w:r>
        <w:rPr>
          <w:szCs w:val="22"/>
        </w:rPr>
        <w:t>,</w:t>
      </w:r>
      <w:r>
        <w:rPr>
          <w:rStyle w:val="FootnoteReference"/>
          <w:szCs w:val="22"/>
        </w:rPr>
        <w:footnoteReference w:id="9"/>
      </w:r>
      <w:r w:rsidRPr="0036173A">
        <w:rPr>
          <w:szCs w:val="22"/>
        </w:rPr>
        <w:t xml:space="preserve"> and </w:t>
      </w:r>
      <w:proofErr w:type="spellStart"/>
      <w:r w:rsidRPr="0036173A">
        <w:rPr>
          <w:szCs w:val="22"/>
        </w:rPr>
        <w:t>P</w:t>
      </w:r>
      <w:r>
        <w:rPr>
          <w:szCs w:val="22"/>
        </w:rPr>
        <w:t>elgraz</w:t>
      </w:r>
      <w:proofErr w:type="spellEnd"/>
      <w:r>
        <w:rPr>
          <w:szCs w:val="22"/>
        </w:rPr>
        <w:t>.</w:t>
      </w:r>
      <w:r>
        <w:rPr>
          <w:rStyle w:val="FootnoteReference"/>
          <w:szCs w:val="22"/>
        </w:rPr>
        <w:footnoteReference w:id="10"/>
      </w:r>
    </w:p>
    <w:p w14:paraId="0D615854" w14:textId="77777777" w:rsidR="00324B33" w:rsidRPr="003F31A2" w:rsidRDefault="00324B33" w:rsidP="00324B33">
      <w:pPr>
        <w:pStyle w:val="Heading3"/>
      </w:pPr>
      <w:bookmarkStart w:id="20" w:name="_Toc314842485"/>
      <w:bookmarkStart w:id="21" w:name="_Toc247691504"/>
      <w:bookmarkStart w:id="22" w:name="_Toc103679291"/>
      <w:bookmarkStart w:id="23" w:name="_Toc135296214"/>
      <w:r>
        <w:t>Regulatory status</w:t>
      </w:r>
      <w:bookmarkEnd w:id="20"/>
      <w:bookmarkEnd w:id="21"/>
      <w:bookmarkEnd w:id="22"/>
      <w:bookmarkEnd w:id="23"/>
    </w:p>
    <w:p w14:paraId="4B37C551" w14:textId="0CBDCE54" w:rsidR="001D1C05" w:rsidRDefault="00324B33" w:rsidP="001D1C05">
      <w:pPr>
        <w:rPr>
          <w:szCs w:val="22"/>
        </w:rPr>
      </w:pPr>
      <w:r w:rsidRPr="0036173A">
        <w:rPr>
          <w:szCs w:val="22"/>
        </w:rPr>
        <w:t xml:space="preserve">This product is considered a </w:t>
      </w:r>
      <w:r w:rsidR="008C754C" w:rsidRPr="0036173A">
        <w:rPr>
          <w:szCs w:val="22"/>
        </w:rPr>
        <w:t xml:space="preserve">new </w:t>
      </w:r>
      <w:r w:rsidRPr="0036173A">
        <w:rPr>
          <w:szCs w:val="22"/>
        </w:rPr>
        <w:t>biosimilar medicine for Australian regulatory purposes.</w:t>
      </w:r>
    </w:p>
    <w:p w14:paraId="6F405DB5" w14:textId="4850A756" w:rsidR="001D1C05" w:rsidRDefault="001D1C05" w:rsidP="001D1C05">
      <w:pPr>
        <w:rPr>
          <w:szCs w:val="22"/>
        </w:rPr>
      </w:pPr>
      <w:r w:rsidRPr="001D1C05">
        <w:rPr>
          <w:szCs w:val="22"/>
        </w:rPr>
        <w:t xml:space="preserve">The product proposed </w:t>
      </w:r>
      <w:r w:rsidRPr="00707353">
        <w:rPr>
          <w:szCs w:val="22"/>
        </w:rPr>
        <w:t>for registration is USV pegfilgrastim</w:t>
      </w:r>
      <w:r w:rsidRPr="001D1C05">
        <w:rPr>
          <w:szCs w:val="22"/>
        </w:rPr>
        <w:t xml:space="preserve"> (Filpegla), a new biosimilar to innovator product Neulasta pegfilgrastim.</w:t>
      </w:r>
      <w:r>
        <w:rPr>
          <w:szCs w:val="22"/>
        </w:rPr>
        <w:fldChar w:fldCharType="begin"/>
      </w:r>
      <w:r>
        <w:rPr>
          <w:szCs w:val="22"/>
        </w:rPr>
        <w:instrText xml:space="preserve"> NOTEREF _Ref132873574 \f \h </w:instrText>
      </w:r>
      <w:r>
        <w:rPr>
          <w:szCs w:val="22"/>
        </w:rPr>
      </w:r>
      <w:r>
        <w:rPr>
          <w:szCs w:val="22"/>
        </w:rPr>
        <w:fldChar w:fldCharType="separate"/>
      </w:r>
      <w:r w:rsidR="00410780" w:rsidRPr="00410780">
        <w:rPr>
          <w:rStyle w:val="FootnoteReference"/>
        </w:rPr>
        <w:t>4</w:t>
      </w:r>
      <w:r>
        <w:rPr>
          <w:szCs w:val="22"/>
        </w:rPr>
        <w:fldChar w:fldCharType="end"/>
      </w:r>
      <w:r w:rsidRPr="001D1C05">
        <w:rPr>
          <w:szCs w:val="22"/>
        </w:rPr>
        <w:t xml:space="preserve"> The proposed indication</w:t>
      </w:r>
      <w:r>
        <w:rPr>
          <w:szCs w:val="22"/>
        </w:rPr>
        <w:t xml:space="preserve"> is </w:t>
      </w:r>
      <w:r w:rsidRPr="001D1C05">
        <w:rPr>
          <w:szCs w:val="22"/>
        </w:rPr>
        <w:t>identical to that approved in Australia for Neulasta</w:t>
      </w:r>
      <w:r>
        <w:rPr>
          <w:szCs w:val="22"/>
        </w:rPr>
        <w:t>.</w:t>
      </w:r>
    </w:p>
    <w:p w14:paraId="2F00EB6A" w14:textId="65884042" w:rsidR="001D1C05" w:rsidRDefault="001D1C05" w:rsidP="001D1C05">
      <w:pPr>
        <w:rPr>
          <w:szCs w:val="22"/>
        </w:rPr>
      </w:pPr>
      <w:r w:rsidRPr="001D1C05">
        <w:rPr>
          <w:szCs w:val="22"/>
        </w:rPr>
        <w:t>The dose, dose form and route of administration of Filpegla in this submission are identical to that currently approved in Australia for the reference product, Neulasta.</w:t>
      </w:r>
    </w:p>
    <w:p w14:paraId="62CAF75B" w14:textId="53AE28FB" w:rsidR="00707353" w:rsidRDefault="00324B33" w:rsidP="00707353">
      <w:pPr>
        <w:rPr>
          <w:szCs w:val="22"/>
        </w:rPr>
      </w:pPr>
      <w:r w:rsidRPr="0036173A">
        <w:rPr>
          <w:szCs w:val="22"/>
        </w:rPr>
        <w:t xml:space="preserve">At the time the TGA considered this submission, a similar submission had been approved in </w:t>
      </w:r>
      <w:r w:rsidR="0036173A">
        <w:rPr>
          <w:szCs w:val="22"/>
        </w:rPr>
        <w:t xml:space="preserve">the </w:t>
      </w:r>
      <w:r w:rsidR="00707353">
        <w:rPr>
          <w:szCs w:val="22"/>
        </w:rPr>
        <w:t>European Union (</w:t>
      </w:r>
      <w:r w:rsidR="001D1C05">
        <w:rPr>
          <w:szCs w:val="22"/>
        </w:rPr>
        <w:t>EU</w:t>
      </w:r>
      <w:r w:rsidR="00707353">
        <w:rPr>
          <w:szCs w:val="22"/>
        </w:rPr>
        <w:t>)</w:t>
      </w:r>
      <w:r w:rsidRPr="0036173A">
        <w:rPr>
          <w:szCs w:val="22"/>
        </w:rPr>
        <w:t xml:space="preserve"> on </w:t>
      </w:r>
      <w:r w:rsidR="0036173A">
        <w:rPr>
          <w:szCs w:val="22"/>
        </w:rPr>
        <w:t>20 June 2019</w:t>
      </w:r>
      <w:r w:rsidRPr="0036173A">
        <w:rPr>
          <w:szCs w:val="22"/>
        </w:rPr>
        <w:t>.</w:t>
      </w:r>
    </w:p>
    <w:p w14:paraId="441B1D9E" w14:textId="3DB20006" w:rsidR="00707353" w:rsidRPr="001D1C05" w:rsidRDefault="00707353" w:rsidP="00707353">
      <w:pPr>
        <w:rPr>
          <w:szCs w:val="22"/>
        </w:rPr>
      </w:pPr>
      <w:r w:rsidRPr="001D1C05">
        <w:rPr>
          <w:szCs w:val="22"/>
        </w:rPr>
        <w:t xml:space="preserve">This product is referred to </w:t>
      </w:r>
      <w:r w:rsidR="003F47F3">
        <w:rPr>
          <w:szCs w:val="22"/>
        </w:rPr>
        <w:t>by the product name</w:t>
      </w:r>
      <w:r w:rsidRPr="00707353">
        <w:rPr>
          <w:szCs w:val="22"/>
        </w:rPr>
        <w:t xml:space="preserve"> </w:t>
      </w:r>
      <w:proofErr w:type="spellStart"/>
      <w:r w:rsidRPr="00707353">
        <w:rPr>
          <w:szCs w:val="22"/>
        </w:rPr>
        <w:t>Grasustek</w:t>
      </w:r>
      <w:proofErr w:type="spellEnd"/>
      <w:r w:rsidRPr="00707353">
        <w:rPr>
          <w:szCs w:val="22"/>
        </w:rPr>
        <w:t xml:space="preserve"> in the EU. </w:t>
      </w:r>
      <w:r w:rsidR="003F47F3">
        <w:rPr>
          <w:szCs w:val="22"/>
        </w:rPr>
        <w:t>The c</w:t>
      </w:r>
      <w:r w:rsidRPr="00707353">
        <w:rPr>
          <w:szCs w:val="22"/>
        </w:rPr>
        <w:t>linical</w:t>
      </w:r>
      <w:r w:rsidRPr="001D1C05">
        <w:rPr>
          <w:szCs w:val="22"/>
        </w:rPr>
        <w:t xml:space="preserve"> development </w:t>
      </w:r>
      <w:r w:rsidR="003F47F3">
        <w:rPr>
          <w:szCs w:val="22"/>
        </w:rPr>
        <w:t>has been</w:t>
      </w:r>
      <w:r w:rsidR="003F47F3" w:rsidRPr="001D1C05">
        <w:rPr>
          <w:szCs w:val="22"/>
        </w:rPr>
        <w:t xml:space="preserve"> </w:t>
      </w:r>
      <w:r w:rsidRPr="001D1C05">
        <w:rPr>
          <w:szCs w:val="22"/>
        </w:rPr>
        <w:t>stated to be in accordance with European Medicines Agency (EMA) guidelines</w:t>
      </w:r>
      <w:r>
        <w:rPr>
          <w:szCs w:val="22"/>
        </w:rPr>
        <w:t>,</w:t>
      </w:r>
      <w:r w:rsidRPr="001D1C05">
        <w:rPr>
          <w:szCs w:val="22"/>
        </w:rPr>
        <w:t xml:space="preserve"> </w:t>
      </w:r>
      <w:r>
        <w:rPr>
          <w:szCs w:val="22"/>
        </w:rPr>
        <w:t>s</w:t>
      </w:r>
      <w:r w:rsidRPr="001D1C05">
        <w:rPr>
          <w:szCs w:val="22"/>
        </w:rPr>
        <w:t xml:space="preserve">cientific </w:t>
      </w:r>
      <w:r>
        <w:rPr>
          <w:szCs w:val="22"/>
        </w:rPr>
        <w:t>a</w:t>
      </w:r>
      <w:r w:rsidRPr="001D1C05">
        <w:rPr>
          <w:szCs w:val="22"/>
        </w:rPr>
        <w:t>dvice received from the EMA, and the known characteristics of Neulasta/pegfilgrastim/filgrastim.</w:t>
      </w:r>
    </w:p>
    <w:p w14:paraId="1B9AB90D" w14:textId="7DC641EB" w:rsidR="00324B33" w:rsidRPr="0036173A" w:rsidRDefault="00324B33" w:rsidP="00324B33">
      <w:pPr>
        <w:rPr>
          <w:szCs w:val="22"/>
        </w:rPr>
      </w:pPr>
      <w:r w:rsidRPr="0036173A">
        <w:rPr>
          <w:szCs w:val="22"/>
        </w:rPr>
        <w:t xml:space="preserve">The following table summarises </w:t>
      </w:r>
      <w:r w:rsidR="003F47F3">
        <w:rPr>
          <w:szCs w:val="22"/>
        </w:rPr>
        <w:t>the</w:t>
      </w:r>
      <w:r w:rsidR="003F47F3" w:rsidRPr="0036173A">
        <w:rPr>
          <w:szCs w:val="22"/>
        </w:rPr>
        <w:t xml:space="preserve"> </w:t>
      </w:r>
      <w:r w:rsidRPr="0036173A">
        <w:rPr>
          <w:szCs w:val="22"/>
        </w:rPr>
        <w:t>submission</w:t>
      </w:r>
      <w:r w:rsidR="003F47F3">
        <w:rPr>
          <w:szCs w:val="22"/>
        </w:rPr>
        <w:t xml:space="preserve"> to the EMA</w:t>
      </w:r>
      <w:r w:rsidRPr="0036173A">
        <w:rPr>
          <w:szCs w:val="22"/>
        </w:rPr>
        <w:t xml:space="preserve"> and provides the indication</w:t>
      </w:r>
      <w:r w:rsidR="003F47F3">
        <w:rPr>
          <w:szCs w:val="22"/>
        </w:rPr>
        <w:t xml:space="preserve"> approved in the EU.</w:t>
      </w:r>
    </w:p>
    <w:p w14:paraId="19B9E0AC" w14:textId="33632CCE" w:rsidR="00324B33" w:rsidRDefault="00324B33" w:rsidP="00324B33">
      <w:pPr>
        <w:pStyle w:val="TableTitle0"/>
      </w:pPr>
      <w:bookmarkStart w:id="24" w:name="_Ref99705479"/>
      <w:r>
        <w:lastRenderedPageBreak/>
        <w:t xml:space="preserve">Table </w:t>
      </w:r>
      <w:r w:rsidR="00C171EF">
        <w:fldChar w:fldCharType="begin"/>
      </w:r>
      <w:r w:rsidR="00C171EF">
        <w:instrText xml:space="preserve"> SEQ Table \* ARABIC </w:instrText>
      </w:r>
      <w:r w:rsidR="00C171EF">
        <w:fldChar w:fldCharType="separate"/>
      </w:r>
      <w:r w:rsidR="00410780">
        <w:rPr>
          <w:noProof/>
        </w:rPr>
        <w:t>1</w:t>
      </w:r>
      <w:r w:rsidR="00C171EF">
        <w:rPr>
          <w:noProof/>
        </w:rPr>
        <w:fldChar w:fldCharType="end"/>
      </w:r>
      <w:bookmarkEnd w:id="24"/>
      <w:r>
        <w:t>: International regulatory status</w:t>
      </w:r>
    </w:p>
    <w:tbl>
      <w:tblPr>
        <w:tblStyle w:val="TableTGAblue2023"/>
        <w:tblW w:w="0" w:type="auto"/>
        <w:tblLook w:val="04A0" w:firstRow="1" w:lastRow="0" w:firstColumn="1" w:lastColumn="0" w:noHBand="0" w:noVBand="1"/>
      </w:tblPr>
      <w:tblGrid>
        <w:gridCol w:w="2385"/>
        <w:gridCol w:w="2225"/>
        <w:gridCol w:w="1764"/>
        <w:gridCol w:w="2686"/>
      </w:tblGrid>
      <w:tr w:rsidR="00324B33" w14:paraId="405E5D78" w14:textId="16839333" w:rsidTr="00707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tcBorders>
              <w:bottom w:val="single" w:sz="4" w:space="0" w:color="263287"/>
            </w:tcBorders>
          </w:tcPr>
          <w:p w14:paraId="185B099B" w14:textId="7A4C0E6C" w:rsidR="00324B33" w:rsidRDefault="00324B33" w:rsidP="00324B33">
            <w:r>
              <w:t>Region</w:t>
            </w:r>
          </w:p>
        </w:tc>
        <w:tc>
          <w:tcPr>
            <w:tcW w:w="2225" w:type="dxa"/>
            <w:tcBorders>
              <w:bottom w:val="single" w:sz="4" w:space="0" w:color="263287"/>
            </w:tcBorders>
          </w:tcPr>
          <w:p w14:paraId="778C35C7" w14:textId="52D23C85" w:rsidR="00324B33" w:rsidRDefault="00324B33" w:rsidP="00324B33">
            <w:pPr>
              <w:cnfStyle w:val="100000000000" w:firstRow="1" w:lastRow="0" w:firstColumn="0" w:lastColumn="0" w:oddVBand="0" w:evenVBand="0" w:oddHBand="0" w:evenHBand="0" w:firstRowFirstColumn="0" w:firstRowLastColumn="0" w:lastRowFirstColumn="0" w:lastRowLastColumn="0"/>
            </w:pPr>
            <w:r>
              <w:t>Submission date</w:t>
            </w:r>
          </w:p>
        </w:tc>
        <w:tc>
          <w:tcPr>
            <w:tcW w:w="1764" w:type="dxa"/>
            <w:tcBorders>
              <w:bottom w:val="single" w:sz="4" w:space="0" w:color="263287"/>
            </w:tcBorders>
          </w:tcPr>
          <w:p w14:paraId="58F81584" w14:textId="66689ABF" w:rsidR="00324B33" w:rsidRDefault="00324B33" w:rsidP="00324B33">
            <w:pPr>
              <w:cnfStyle w:val="100000000000" w:firstRow="1" w:lastRow="0" w:firstColumn="0" w:lastColumn="0" w:oddVBand="0" w:evenVBand="0" w:oddHBand="0" w:evenHBand="0" w:firstRowFirstColumn="0" w:firstRowLastColumn="0" w:lastRowFirstColumn="0" w:lastRowLastColumn="0"/>
            </w:pPr>
            <w:r>
              <w:t>Status</w:t>
            </w:r>
          </w:p>
        </w:tc>
        <w:tc>
          <w:tcPr>
            <w:tcW w:w="2686" w:type="dxa"/>
          </w:tcPr>
          <w:p w14:paraId="50B2D435" w14:textId="560588D2" w:rsidR="00324B33" w:rsidRDefault="00324B33" w:rsidP="00324B33">
            <w:pPr>
              <w:cnfStyle w:val="100000000000" w:firstRow="1" w:lastRow="0" w:firstColumn="0" w:lastColumn="0" w:oddVBand="0" w:evenVBand="0" w:oddHBand="0" w:evenHBand="0" w:firstRowFirstColumn="0" w:firstRowLastColumn="0" w:lastRowFirstColumn="0" w:lastRowLastColumn="0"/>
            </w:pPr>
            <w:r>
              <w:t>Approved indications</w:t>
            </w:r>
          </w:p>
        </w:tc>
      </w:tr>
      <w:tr w:rsidR="00324B33" w14:paraId="38D24E86" w14:textId="77777777" w:rsidTr="00707353">
        <w:tc>
          <w:tcPr>
            <w:cnfStyle w:val="001000000000" w:firstRow="0" w:lastRow="0" w:firstColumn="1" w:lastColumn="0" w:oddVBand="0" w:evenVBand="0" w:oddHBand="0" w:evenHBand="0" w:firstRowFirstColumn="0" w:firstRowLastColumn="0" w:lastRowFirstColumn="0" w:lastRowLastColumn="0"/>
            <w:tcW w:w="2385" w:type="dxa"/>
            <w:tcBorders>
              <w:bottom w:val="single" w:sz="4" w:space="0" w:color="auto"/>
            </w:tcBorders>
          </w:tcPr>
          <w:p w14:paraId="4C540DE5" w14:textId="787C5CC4" w:rsidR="00324B33" w:rsidRPr="0036173A" w:rsidRDefault="0036173A" w:rsidP="00324B33">
            <w:pPr>
              <w:rPr>
                <w:szCs w:val="24"/>
              </w:rPr>
            </w:pPr>
            <w:r>
              <w:rPr>
                <w:szCs w:val="24"/>
              </w:rPr>
              <w:t>European Union (EU)</w:t>
            </w:r>
          </w:p>
        </w:tc>
        <w:tc>
          <w:tcPr>
            <w:tcW w:w="2225" w:type="dxa"/>
            <w:tcBorders>
              <w:bottom w:val="single" w:sz="4" w:space="0" w:color="auto"/>
            </w:tcBorders>
          </w:tcPr>
          <w:p w14:paraId="4FA5DDA9" w14:textId="6B778981" w:rsidR="00324B33" w:rsidRPr="0036173A" w:rsidRDefault="0036173A" w:rsidP="00324B33">
            <w:pPr>
              <w:cnfStyle w:val="000000000000" w:firstRow="0" w:lastRow="0" w:firstColumn="0" w:lastColumn="0" w:oddVBand="0" w:evenVBand="0" w:oddHBand="0" w:evenHBand="0" w:firstRowFirstColumn="0" w:firstRowLastColumn="0" w:lastRowFirstColumn="0" w:lastRowLastColumn="0"/>
              <w:rPr>
                <w:szCs w:val="24"/>
              </w:rPr>
            </w:pPr>
            <w:r>
              <w:rPr>
                <w:szCs w:val="24"/>
              </w:rPr>
              <w:t>6 November 2017</w:t>
            </w:r>
          </w:p>
        </w:tc>
        <w:tc>
          <w:tcPr>
            <w:tcW w:w="1764" w:type="dxa"/>
            <w:tcBorders>
              <w:bottom w:val="single" w:sz="4" w:space="0" w:color="auto"/>
            </w:tcBorders>
          </w:tcPr>
          <w:p w14:paraId="29358393" w14:textId="444603BE" w:rsidR="00324B33" w:rsidRPr="0036173A" w:rsidRDefault="00324B33" w:rsidP="00324B33">
            <w:pPr>
              <w:cnfStyle w:val="000000000000" w:firstRow="0" w:lastRow="0" w:firstColumn="0" w:lastColumn="0" w:oddVBand="0" w:evenVBand="0" w:oddHBand="0" w:evenHBand="0" w:firstRowFirstColumn="0" w:firstRowLastColumn="0" w:lastRowFirstColumn="0" w:lastRowLastColumn="0"/>
              <w:rPr>
                <w:szCs w:val="24"/>
              </w:rPr>
            </w:pPr>
            <w:r w:rsidRPr="0036173A">
              <w:rPr>
                <w:szCs w:val="24"/>
              </w:rPr>
              <w:t xml:space="preserve">Approved on </w:t>
            </w:r>
            <w:r w:rsidR="0036173A">
              <w:rPr>
                <w:szCs w:val="24"/>
              </w:rPr>
              <w:t>20 June 2019</w:t>
            </w:r>
          </w:p>
        </w:tc>
        <w:tc>
          <w:tcPr>
            <w:tcW w:w="2686" w:type="dxa"/>
          </w:tcPr>
          <w:p w14:paraId="05055674" w14:textId="552F2D13" w:rsidR="00324B33" w:rsidRPr="00707353" w:rsidRDefault="0036173A" w:rsidP="0036173A">
            <w:pPr>
              <w:cnfStyle w:val="000000000000" w:firstRow="0" w:lastRow="0" w:firstColumn="0" w:lastColumn="0" w:oddVBand="0" w:evenVBand="0" w:oddHBand="0" w:evenHBand="0" w:firstRowFirstColumn="0" w:firstRowLastColumn="0" w:lastRowFirstColumn="0" w:lastRowLastColumn="0"/>
              <w:rPr>
                <w:i/>
                <w:iCs/>
                <w:szCs w:val="24"/>
              </w:rPr>
            </w:pPr>
            <w:r w:rsidRPr="00707353">
              <w:rPr>
                <w:i/>
                <w:iCs/>
                <w:szCs w:val="24"/>
              </w:rPr>
              <w:t>Reduction in the duration of neutropenia and the incidence of febrile neutropenia in adult patients treated with cytotoxic chemotherapy for malignancy (</w:t>
            </w:r>
            <w:proofErr w:type="gramStart"/>
            <w:r w:rsidRPr="00707353">
              <w:rPr>
                <w:i/>
                <w:iCs/>
                <w:szCs w:val="24"/>
              </w:rPr>
              <w:t>with the exception of</w:t>
            </w:r>
            <w:proofErr w:type="gramEnd"/>
            <w:r w:rsidRPr="00707353">
              <w:rPr>
                <w:i/>
                <w:iCs/>
                <w:szCs w:val="24"/>
              </w:rPr>
              <w:t xml:space="preserve"> chronic myeloid leukaemia and myelodysplastic syndromes).</w:t>
            </w:r>
          </w:p>
        </w:tc>
      </w:tr>
    </w:tbl>
    <w:p w14:paraId="0D024FE8" w14:textId="6642BD1C" w:rsidR="0036173A" w:rsidRPr="0036173A" w:rsidRDefault="0036173A" w:rsidP="0036173A">
      <w:pPr>
        <w:spacing w:before="120" w:line="240" w:lineRule="auto"/>
        <w:rPr>
          <w:szCs w:val="22"/>
        </w:rPr>
      </w:pPr>
      <w:r w:rsidRPr="0036173A">
        <w:rPr>
          <w:szCs w:val="22"/>
        </w:rPr>
        <w:t xml:space="preserve">The </w:t>
      </w:r>
      <w:r w:rsidR="00707353">
        <w:rPr>
          <w:szCs w:val="22"/>
        </w:rPr>
        <w:t>s</w:t>
      </w:r>
      <w:r w:rsidRPr="0036173A">
        <w:rPr>
          <w:szCs w:val="22"/>
        </w:rPr>
        <w:t xml:space="preserve">ponsor states that there are no differences between </w:t>
      </w:r>
      <w:proofErr w:type="spellStart"/>
      <w:r w:rsidRPr="0036173A">
        <w:rPr>
          <w:szCs w:val="22"/>
        </w:rPr>
        <w:t>Grasustek</w:t>
      </w:r>
      <w:proofErr w:type="spellEnd"/>
      <w:r>
        <w:rPr>
          <w:szCs w:val="22"/>
        </w:rPr>
        <w:t xml:space="preserve"> (</w:t>
      </w:r>
      <w:r w:rsidRPr="0036173A">
        <w:rPr>
          <w:szCs w:val="22"/>
        </w:rPr>
        <w:t xml:space="preserve">USV </w:t>
      </w:r>
      <w:proofErr w:type="spellStart"/>
      <w:r>
        <w:rPr>
          <w:szCs w:val="22"/>
        </w:rPr>
        <w:t>p</w:t>
      </w:r>
      <w:r w:rsidRPr="0036173A">
        <w:rPr>
          <w:szCs w:val="22"/>
        </w:rPr>
        <w:t>egfilgrastim</w:t>
      </w:r>
      <w:proofErr w:type="spellEnd"/>
      <w:r w:rsidR="00707353">
        <w:rPr>
          <w:szCs w:val="22"/>
        </w:rPr>
        <w:t xml:space="preserve"> </w:t>
      </w:r>
      <w:r>
        <w:rPr>
          <w:szCs w:val="22"/>
        </w:rPr>
        <w:t xml:space="preserve">approved in the EU) </w:t>
      </w:r>
      <w:r w:rsidRPr="0036173A">
        <w:rPr>
          <w:szCs w:val="22"/>
        </w:rPr>
        <w:t xml:space="preserve">and Filpegla in formula or manufacturing, and that USV </w:t>
      </w:r>
      <w:r>
        <w:rPr>
          <w:szCs w:val="22"/>
        </w:rPr>
        <w:t>p</w:t>
      </w:r>
      <w:r w:rsidRPr="0036173A">
        <w:rPr>
          <w:szCs w:val="22"/>
        </w:rPr>
        <w:t>egfilgrastim has not been the subject of a withdrawn or rejected application elsewhere.</w:t>
      </w:r>
    </w:p>
    <w:p w14:paraId="064CCADF" w14:textId="77777777" w:rsidR="00324B33" w:rsidRDefault="00324B33" w:rsidP="00324B33">
      <w:pPr>
        <w:pStyle w:val="Heading3"/>
      </w:pPr>
      <w:bookmarkStart w:id="25" w:name="_Toc103679292"/>
      <w:bookmarkStart w:id="26" w:name="_Toc135296215"/>
      <w:r>
        <w:t>Product Information</w:t>
      </w:r>
      <w:bookmarkEnd w:id="25"/>
      <w:bookmarkEnd w:id="26"/>
    </w:p>
    <w:p w14:paraId="4B0F7D57" w14:textId="04F268C5" w:rsidR="00324B33" w:rsidRPr="0036173A" w:rsidRDefault="00324B33" w:rsidP="00324B33">
      <w:pPr>
        <w:rPr>
          <w:szCs w:val="22"/>
        </w:rPr>
      </w:pPr>
      <w:bookmarkStart w:id="27" w:name="_Toc504480011"/>
      <w:r w:rsidRPr="0036173A">
        <w:rPr>
          <w:szCs w:val="22"/>
        </w:rPr>
        <w:t xml:space="preserve">The </w:t>
      </w:r>
      <w:hyperlink r:id="rId16" w:history="1">
        <w:r w:rsidRPr="0036173A">
          <w:rPr>
            <w:rStyle w:val="Hyperlink"/>
            <w:szCs w:val="22"/>
          </w:rPr>
          <w:t>Product Information</w:t>
        </w:r>
      </w:hyperlink>
      <w:r w:rsidRPr="0036173A">
        <w:rPr>
          <w:szCs w:val="22"/>
        </w:rPr>
        <w:t xml:space="preserve"> (</w:t>
      </w:r>
      <w:hyperlink r:id="rId17" w:history="1">
        <w:r w:rsidRPr="0036173A">
          <w:rPr>
            <w:rStyle w:val="Hyperlink"/>
            <w:szCs w:val="22"/>
          </w:rPr>
          <w:t>PI</w:t>
        </w:r>
      </w:hyperlink>
      <w:r w:rsidRPr="0036173A">
        <w:rPr>
          <w:szCs w:val="22"/>
        </w:rPr>
        <w:t>) approved with the submission which is described in this AusPAR can be found as Attachment 1. For the most recent PI</w:t>
      </w:r>
      <w:r w:rsidR="00A93DC6" w:rsidRPr="0036173A">
        <w:rPr>
          <w:szCs w:val="22"/>
        </w:rPr>
        <w:t xml:space="preserve"> and </w:t>
      </w:r>
      <w:hyperlink r:id="rId18" w:history="1">
        <w:r w:rsidR="00A93DC6" w:rsidRPr="0036173A">
          <w:rPr>
            <w:rStyle w:val="Hyperlink"/>
            <w:szCs w:val="22"/>
          </w:rPr>
          <w:t>Consumer Medicines Information</w:t>
        </w:r>
      </w:hyperlink>
      <w:r w:rsidR="00A93DC6" w:rsidRPr="0036173A">
        <w:rPr>
          <w:szCs w:val="22"/>
        </w:rPr>
        <w:t xml:space="preserve"> (CMI)</w:t>
      </w:r>
      <w:r w:rsidRPr="0036173A">
        <w:rPr>
          <w:szCs w:val="22"/>
        </w:rPr>
        <w:t xml:space="preserve">, please refer to the TGA </w:t>
      </w:r>
      <w:hyperlink r:id="rId19" w:history="1">
        <w:r w:rsidRPr="0036173A">
          <w:rPr>
            <w:rStyle w:val="Hyperlink"/>
            <w:szCs w:val="22"/>
          </w:rPr>
          <w:t>PI/CMI search facility.</w:t>
        </w:r>
      </w:hyperlink>
    </w:p>
    <w:p w14:paraId="6D92589C" w14:textId="77777777" w:rsidR="00324B33" w:rsidRDefault="00324B33" w:rsidP="00324B33">
      <w:pPr>
        <w:pStyle w:val="Heading2"/>
      </w:pPr>
      <w:bookmarkStart w:id="28" w:name="_Toc103679293"/>
      <w:bookmarkStart w:id="29" w:name="_Toc135296216"/>
      <w:r>
        <w:t>Registration timeline</w:t>
      </w:r>
      <w:bookmarkEnd w:id="27"/>
      <w:bookmarkEnd w:id="28"/>
      <w:bookmarkEnd w:id="29"/>
    </w:p>
    <w:p w14:paraId="225E3D87" w14:textId="1F3070CE" w:rsidR="00324B33" w:rsidRPr="0036173A" w:rsidRDefault="00324B33" w:rsidP="00324B33">
      <w:pPr>
        <w:rPr>
          <w:szCs w:val="22"/>
        </w:rPr>
      </w:pPr>
      <w:r w:rsidRPr="0036173A">
        <w:rPr>
          <w:szCs w:val="22"/>
        </w:rPr>
        <w:t>The following table captures the key steps and dates for this submission.</w:t>
      </w:r>
    </w:p>
    <w:p w14:paraId="63B066E0" w14:textId="62AA08D5" w:rsidR="003F47F3" w:rsidRPr="0036173A" w:rsidRDefault="00477C4E" w:rsidP="00324B33">
      <w:pPr>
        <w:rPr>
          <w:szCs w:val="22"/>
        </w:rPr>
      </w:pPr>
      <w:r w:rsidRPr="0036173A">
        <w:rPr>
          <w:szCs w:val="22"/>
        </w:rPr>
        <w:t xml:space="preserve">This submission was evaluated under the </w:t>
      </w:r>
      <w:hyperlink r:id="rId20" w:history="1">
        <w:r w:rsidRPr="0036173A">
          <w:rPr>
            <w:rStyle w:val="Hyperlink"/>
            <w:szCs w:val="22"/>
          </w:rPr>
          <w:t>standard prescription medicines registration process</w:t>
        </w:r>
      </w:hyperlink>
      <w:r w:rsidRPr="0036173A">
        <w:rPr>
          <w:szCs w:val="22"/>
        </w:rPr>
        <w:t>.</w:t>
      </w:r>
    </w:p>
    <w:p w14:paraId="44628C5F" w14:textId="73C2140D" w:rsidR="00324B33" w:rsidRDefault="00324B33" w:rsidP="0013528C">
      <w:pPr>
        <w:pStyle w:val="TableTitle0"/>
      </w:pPr>
      <w:r w:rsidRPr="001D1C05">
        <w:t xml:space="preserve">Table </w:t>
      </w:r>
      <w:r w:rsidR="00C171EF">
        <w:fldChar w:fldCharType="begin"/>
      </w:r>
      <w:r w:rsidR="00C171EF">
        <w:instrText xml:space="preserve"> SEQ Table \* ARABIC </w:instrText>
      </w:r>
      <w:r w:rsidR="00C171EF">
        <w:fldChar w:fldCharType="separate"/>
      </w:r>
      <w:r w:rsidR="00410780">
        <w:rPr>
          <w:noProof/>
        </w:rPr>
        <w:t>2</w:t>
      </w:r>
      <w:r w:rsidR="00C171EF">
        <w:rPr>
          <w:noProof/>
        </w:rPr>
        <w:fldChar w:fldCharType="end"/>
      </w:r>
      <w:r w:rsidRPr="001D1C05">
        <w:t>:</w:t>
      </w:r>
      <w:r w:rsidRPr="006A58A8">
        <w:t xml:space="preserve"> Timeline for Submission </w:t>
      </w:r>
      <w:r w:rsidR="0036173A" w:rsidRPr="0036173A">
        <w:t>PM-2021-00464-1-6</w:t>
      </w:r>
    </w:p>
    <w:tbl>
      <w:tblPr>
        <w:tblStyle w:val="TableTGAblue2023"/>
        <w:tblW w:w="8642" w:type="dxa"/>
        <w:tblLook w:val="04A0" w:firstRow="1" w:lastRow="0" w:firstColumn="1" w:lastColumn="0" w:noHBand="0" w:noVBand="1"/>
      </w:tblPr>
      <w:tblGrid>
        <w:gridCol w:w="5215"/>
        <w:gridCol w:w="3427"/>
      </w:tblGrid>
      <w:tr w:rsidR="00324B33" w:rsidRPr="003D71A1" w14:paraId="6C59BE9C" w14:textId="77777777" w:rsidTr="004107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16D80E78" w14:textId="3EC0CCAF" w:rsidR="00324B33" w:rsidRPr="0036173A" w:rsidRDefault="00324B33" w:rsidP="00324B33">
            <w:pPr>
              <w:rPr>
                <w:szCs w:val="22"/>
              </w:rPr>
            </w:pPr>
            <w:r w:rsidRPr="0036173A">
              <w:rPr>
                <w:szCs w:val="22"/>
              </w:rPr>
              <w:t>Description</w:t>
            </w:r>
          </w:p>
        </w:tc>
        <w:tc>
          <w:tcPr>
            <w:tcW w:w="3427" w:type="dxa"/>
          </w:tcPr>
          <w:p w14:paraId="79AFDC4B" w14:textId="05792035" w:rsidR="00324B33" w:rsidRPr="0036173A"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36173A">
              <w:rPr>
                <w:szCs w:val="22"/>
              </w:rPr>
              <w:t>Date</w:t>
            </w:r>
          </w:p>
        </w:tc>
      </w:tr>
      <w:tr w:rsidR="00324B33" w:rsidRPr="003D71A1" w14:paraId="23610C53" w14:textId="77777777" w:rsidTr="00410780">
        <w:tc>
          <w:tcPr>
            <w:cnfStyle w:val="001000000000" w:firstRow="0" w:lastRow="0" w:firstColumn="1" w:lastColumn="0" w:oddVBand="0" w:evenVBand="0" w:oddHBand="0" w:evenHBand="0" w:firstRowFirstColumn="0" w:firstRowLastColumn="0" w:lastRowFirstColumn="0" w:lastRowLastColumn="0"/>
            <w:tcW w:w="5215" w:type="dxa"/>
          </w:tcPr>
          <w:p w14:paraId="759D2A12" w14:textId="0D705F83" w:rsidR="00324B33" w:rsidRPr="0036173A" w:rsidRDefault="00324B33" w:rsidP="00324B33">
            <w:pPr>
              <w:rPr>
                <w:szCs w:val="22"/>
              </w:rPr>
            </w:pPr>
            <w:r w:rsidRPr="0036173A">
              <w:rPr>
                <w:szCs w:val="22"/>
              </w:rPr>
              <w:t>Submission dossier accepted and first round evaluation commenced</w:t>
            </w:r>
          </w:p>
        </w:tc>
        <w:tc>
          <w:tcPr>
            <w:tcW w:w="3427" w:type="dxa"/>
          </w:tcPr>
          <w:p w14:paraId="2963D9D8" w14:textId="34765517" w:rsidR="00324B33" w:rsidRPr="0036173A" w:rsidRDefault="0036173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June 2021</w:t>
            </w:r>
          </w:p>
        </w:tc>
      </w:tr>
      <w:tr w:rsidR="00324B33" w:rsidRPr="003D71A1" w14:paraId="53437815" w14:textId="77777777" w:rsidTr="00410780">
        <w:tc>
          <w:tcPr>
            <w:cnfStyle w:val="001000000000" w:firstRow="0" w:lastRow="0" w:firstColumn="1" w:lastColumn="0" w:oddVBand="0" w:evenVBand="0" w:oddHBand="0" w:evenHBand="0" w:firstRowFirstColumn="0" w:firstRowLastColumn="0" w:lastRowFirstColumn="0" w:lastRowLastColumn="0"/>
            <w:tcW w:w="5215" w:type="dxa"/>
          </w:tcPr>
          <w:p w14:paraId="4C037D4E" w14:textId="2B0CE255" w:rsidR="00324B33" w:rsidRPr="0036173A" w:rsidRDefault="00324B33" w:rsidP="00324B33">
            <w:pPr>
              <w:rPr>
                <w:szCs w:val="22"/>
              </w:rPr>
            </w:pPr>
            <w:r w:rsidRPr="0036173A">
              <w:rPr>
                <w:szCs w:val="22"/>
              </w:rPr>
              <w:t>First round evaluation completed</w:t>
            </w:r>
          </w:p>
        </w:tc>
        <w:tc>
          <w:tcPr>
            <w:tcW w:w="3427" w:type="dxa"/>
          </w:tcPr>
          <w:p w14:paraId="3CEAFAAB" w14:textId="6D97E9E4" w:rsidR="00324B33" w:rsidRPr="0036173A" w:rsidRDefault="0036173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November 2021</w:t>
            </w:r>
          </w:p>
        </w:tc>
      </w:tr>
      <w:tr w:rsidR="00324B33" w:rsidRPr="003D71A1" w14:paraId="60DA57CC" w14:textId="77777777" w:rsidTr="00410780">
        <w:tc>
          <w:tcPr>
            <w:cnfStyle w:val="001000000000" w:firstRow="0" w:lastRow="0" w:firstColumn="1" w:lastColumn="0" w:oddVBand="0" w:evenVBand="0" w:oddHBand="0" w:evenHBand="0" w:firstRowFirstColumn="0" w:firstRowLastColumn="0" w:lastRowFirstColumn="0" w:lastRowLastColumn="0"/>
            <w:tcW w:w="5215" w:type="dxa"/>
          </w:tcPr>
          <w:p w14:paraId="02EA1147" w14:textId="2853A422" w:rsidR="00324B33" w:rsidRPr="0036173A" w:rsidRDefault="00324B33" w:rsidP="00324B33">
            <w:pPr>
              <w:rPr>
                <w:szCs w:val="22"/>
              </w:rPr>
            </w:pPr>
            <w:r w:rsidRPr="0036173A">
              <w:rPr>
                <w:szCs w:val="22"/>
              </w:rPr>
              <w:t>Sponsor provides responses on questions raised in first round evaluation</w:t>
            </w:r>
          </w:p>
        </w:tc>
        <w:tc>
          <w:tcPr>
            <w:tcW w:w="3427" w:type="dxa"/>
          </w:tcPr>
          <w:p w14:paraId="68A577C1" w14:textId="7E5BCD5B" w:rsidR="00324B33" w:rsidRPr="0036173A" w:rsidRDefault="0036173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23 December 2021</w:t>
            </w:r>
          </w:p>
        </w:tc>
      </w:tr>
      <w:tr w:rsidR="00324B33" w:rsidRPr="003D71A1" w14:paraId="767E33A4" w14:textId="77777777" w:rsidTr="00410780">
        <w:tc>
          <w:tcPr>
            <w:cnfStyle w:val="001000000000" w:firstRow="0" w:lastRow="0" w:firstColumn="1" w:lastColumn="0" w:oddVBand="0" w:evenVBand="0" w:oddHBand="0" w:evenHBand="0" w:firstRowFirstColumn="0" w:firstRowLastColumn="0" w:lastRowFirstColumn="0" w:lastRowLastColumn="0"/>
            <w:tcW w:w="5215" w:type="dxa"/>
          </w:tcPr>
          <w:p w14:paraId="4AFC5B50" w14:textId="2BCC6A3E" w:rsidR="00324B33" w:rsidRPr="0036173A" w:rsidRDefault="00324B33" w:rsidP="00324B33">
            <w:pPr>
              <w:rPr>
                <w:szCs w:val="22"/>
              </w:rPr>
            </w:pPr>
            <w:r w:rsidRPr="0036173A">
              <w:rPr>
                <w:szCs w:val="22"/>
              </w:rPr>
              <w:t>Second round evaluation completed</w:t>
            </w:r>
          </w:p>
        </w:tc>
        <w:tc>
          <w:tcPr>
            <w:tcW w:w="3427" w:type="dxa"/>
          </w:tcPr>
          <w:p w14:paraId="4E47DF62" w14:textId="669379C5" w:rsidR="00324B33" w:rsidRPr="0036173A" w:rsidRDefault="0036173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 February 2022</w:t>
            </w:r>
          </w:p>
        </w:tc>
      </w:tr>
      <w:tr w:rsidR="00324B33" w:rsidRPr="003D71A1" w14:paraId="302FCB45" w14:textId="77777777" w:rsidTr="00410780">
        <w:tc>
          <w:tcPr>
            <w:cnfStyle w:val="001000000000" w:firstRow="0" w:lastRow="0" w:firstColumn="1" w:lastColumn="0" w:oddVBand="0" w:evenVBand="0" w:oddHBand="0" w:evenHBand="0" w:firstRowFirstColumn="0" w:firstRowLastColumn="0" w:lastRowFirstColumn="0" w:lastRowLastColumn="0"/>
            <w:tcW w:w="5215" w:type="dxa"/>
          </w:tcPr>
          <w:p w14:paraId="716E9DC1" w14:textId="5A70876E" w:rsidR="00324B33" w:rsidRPr="0036173A" w:rsidRDefault="00324B33" w:rsidP="00324B33">
            <w:pPr>
              <w:rPr>
                <w:szCs w:val="22"/>
              </w:rPr>
            </w:pPr>
            <w:r w:rsidRPr="0036173A">
              <w:rPr>
                <w:color w:val="auto"/>
                <w:szCs w:val="22"/>
              </w:rPr>
              <w:t>Delegate’s Overall benefit-risk assessment and request for Advisory Committee advice</w:t>
            </w:r>
          </w:p>
        </w:tc>
        <w:tc>
          <w:tcPr>
            <w:tcW w:w="3427" w:type="dxa"/>
          </w:tcPr>
          <w:p w14:paraId="3BA6EF79" w14:textId="31AF7523" w:rsidR="00324B33" w:rsidRPr="0036173A" w:rsidRDefault="0036173A" w:rsidP="00324B33">
            <w:pPr>
              <w:cnfStyle w:val="000000000000" w:firstRow="0" w:lastRow="0" w:firstColumn="0" w:lastColumn="0" w:oddVBand="0" w:evenVBand="0" w:oddHBand="0" w:evenHBand="0" w:firstRowFirstColumn="0" w:firstRowLastColumn="0" w:lastRowFirstColumn="0" w:lastRowLastColumn="0"/>
              <w:rPr>
                <w:szCs w:val="22"/>
              </w:rPr>
            </w:pPr>
            <w:r w:rsidRPr="0036173A">
              <w:rPr>
                <w:szCs w:val="22"/>
              </w:rPr>
              <w:t>28 Feb 2022</w:t>
            </w:r>
          </w:p>
        </w:tc>
      </w:tr>
      <w:tr w:rsidR="00324B33" w:rsidRPr="003D71A1" w14:paraId="5832EBC8" w14:textId="77777777" w:rsidTr="00410780">
        <w:tc>
          <w:tcPr>
            <w:cnfStyle w:val="001000000000" w:firstRow="0" w:lastRow="0" w:firstColumn="1" w:lastColumn="0" w:oddVBand="0" w:evenVBand="0" w:oddHBand="0" w:evenHBand="0" w:firstRowFirstColumn="0" w:firstRowLastColumn="0" w:lastRowFirstColumn="0" w:lastRowLastColumn="0"/>
            <w:tcW w:w="5215" w:type="dxa"/>
          </w:tcPr>
          <w:p w14:paraId="720592DE" w14:textId="1F72CD22" w:rsidR="00324B33" w:rsidRPr="0036173A" w:rsidRDefault="00324B33" w:rsidP="00324B33">
            <w:pPr>
              <w:rPr>
                <w:szCs w:val="22"/>
              </w:rPr>
            </w:pPr>
            <w:r w:rsidRPr="0036173A">
              <w:rPr>
                <w:szCs w:val="22"/>
              </w:rPr>
              <w:t>Sponsor’s pre-Advisory Committee response</w:t>
            </w:r>
          </w:p>
        </w:tc>
        <w:tc>
          <w:tcPr>
            <w:tcW w:w="3427" w:type="dxa"/>
          </w:tcPr>
          <w:p w14:paraId="5AE04841" w14:textId="31EA4DF0" w:rsidR="00324B33" w:rsidRPr="0036173A" w:rsidRDefault="0036173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24 March 2022</w:t>
            </w:r>
          </w:p>
        </w:tc>
      </w:tr>
      <w:tr w:rsidR="00324B33" w:rsidRPr="003D71A1" w14:paraId="5754F7AC" w14:textId="77777777" w:rsidTr="00410780">
        <w:tc>
          <w:tcPr>
            <w:cnfStyle w:val="001000000000" w:firstRow="0" w:lastRow="0" w:firstColumn="1" w:lastColumn="0" w:oddVBand="0" w:evenVBand="0" w:oddHBand="0" w:evenHBand="0" w:firstRowFirstColumn="0" w:firstRowLastColumn="0" w:lastRowFirstColumn="0" w:lastRowLastColumn="0"/>
            <w:tcW w:w="5215" w:type="dxa"/>
          </w:tcPr>
          <w:p w14:paraId="789DE187" w14:textId="123446EE" w:rsidR="00324B33" w:rsidRPr="0036173A" w:rsidRDefault="00324B33" w:rsidP="00324B33">
            <w:pPr>
              <w:rPr>
                <w:szCs w:val="22"/>
              </w:rPr>
            </w:pPr>
            <w:r w:rsidRPr="0036173A">
              <w:rPr>
                <w:szCs w:val="22"/>
              </w:rPr>
              <w:t>Advisory Committee meeting</w:t>
            </w:r>
          </w:p>
        </w:tc>
        <w:tc>
          <w:tcPr>
            <w:tcW w:w="3427" w:type="dxa"/>
          </w:tcPr>
          <w:p w14:paraId="5BE1EDE7" w14:textId="5B117430" w:rsidR="00324B33" w:rsidRPr="0036173A" w:rsidRDefault="0036173A" w:rsidP="00324B33">
            <w:pPr>
              <w:cnfStyle w:val="000000000000" w:firstRow="0" w:lastRow="0" w:firstColumn="0" w:lastColumn="0" w:oddVBand="0" w:evenVBand="0" w:oddHBand="0" w:evenHBand="0" w:firstRowFirstColumn="0" w:firstRowLastColumn="0" w:lastRowFirstColumn="0" w:lastRowLastColumn="0"/>
              <w:rPr>
                <w:szCs w:val="22"/>
              </w:rPr>
            </w:pPr>
            <w:r w:rsidRPr="0036173A">
              <w:rPr>
                <w:szCs w:val="22"/>
              </w:rPr>
              <w:t>1 April 2022</w:t>
            </w:r>
          </w:p>
        </w:tc>
      </w:tr>
      <w:tr w:rsidR="00324B33" w:rsidRPr="003D71A1" w14:paraId="6E5D32FE" w14:textId="77777777" w:rsidTr="00410780">
        <w:tc>
          <w:tcPr>
            <w:cnfStyle w:val="001000000000" w:firstRow="0" w:lastRow="0" w:firstColumn="1" w:lastColumn="0" w:oddVBand="0" w:evenVBand="0" w:oddHBand="0" w:evenHBand="0" w:firstRowFirstColumn="0" w:firstRowLastColumn="0" w:lastRowFirstColumn="0" w:lastRowLastColumn="0"/>
            <w:tcW w:w="5215" w:type="dxa"/>
          </w:tcPr>
          <w:p w14:paraId="4E95C44C" w14:textId="7A91C710" w:rsidR="00324B33" w:rsidRPr="0036173A" w:rsidRDefault="00324B33" w:rsidP="00324B33">
            <w:pPr>
              <w:rPr>
                <w:szCs w:val="22"/>
              </w:rPr>
            </w:pPr>
            <w:r w:rsidRPr="0036173A">
              <w:rPr>
                <w:szCs w:val="22"/>
              </w:rPr>
              <w:t>Registration decision (Outcome)</w:t>
            </w:r>
          </w:p>
        </w:tc>
        <w:tc>
          <w:tcPr>
            <w:tcW w:w="3427" w:type="dxa"/>
          </w:tcPr>
          <w:p w14:paraId="62987ABD" w14:textId="4868B2A1" w:rsidR="00324B33" w:rsidRPr="0036173A" w:rsidRDefault="0036173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August 2022</w:t>
            </w:r>
          </w:p>
        </w:tc>
      </w:tr>
      <w:tr w:rsidR="00324B33" w:rsidRPr="003D71A1" w14:paraId="6DDCDDA4" w14:textId="77777777" w:rsidTr="00410780">
        <w:tc>
          <w:tcPr>
            <w:cnfStyle w:val="001000000000" w:firstRow="0" w:lastRow="0" w:firstColumn="1" w:lastColumn="0" w:oddVBand="0" w:evenVBand="0" w:oddHBand="0" w:evenHBand="0" w:firstRowFirstColumn="0" w:firstRowLastColumn="0" w:lastRowFirstColumn="0" w:lastRowLastColumn="0"/>
            <w:tcW w:w="5215" w:type="dxa"/>
          </w:tcPr>
          <w:p w14:paraId="192FD19D" w14:textId="458EB044" w:rsidR="00324B33" w:rsidRPr="0036173A" w:rsidRDefault="00324B33" w:rsidP="00324B33">
            <w:pPr>
              <w:rPr>
                <w:szCs w:val="22"/>
              </w:rPr>
            </w:pPr>
            <w:r w:rsidRPr="0036173A">
              <w:rPr>
                <w:szCs w:val="22"/>
              </w:rPr>
              <w:t>Completion of administrative activities and registration on the ARTG</w:t>
            </w:r>
          </w:p>
        </w:tc>
        <w:tc>
          <w:tcPr>
            <w:tcW w:w="3427" w:type="dxa"/>
          </w:tcPr>
          <w:p w14:paraId="5A8923FD" w14:textId="504C70F9" w:rsidR="00324B33" w:rsidRPr="0036173A" w:rsidRDefault="0036173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19 August 2022</w:t>
            </w:r>
          </w:p>
        </w:tc>
      </w:tr>
      <w:tr w:rsidR="00324B33" w:rsidRPr="003D71A1" w14:paraId="56D922E2" w14:textId="77777777" w:rsidTr="00410780">
        <w:tc>
          <w:tcPr>
            <w:cnfStyle w:val="001000000000" w:firstRow="0" w:lastRow="0" w:firstColumn="1" w:lastColumn="0" w:oddVBand="0" w:evenVBand="0" w:oddHBand="0" w:evenHBand="0" w:firstRowFirstColumn="0" w:firstRowLastColumn="0" w:lastRowFirstColumn="0" w:lastRowLastColumn="0"/>
            <w:tcW w:w="5215" w:type="dxa"/>
          </w:tcPr>
          <w:p w14:paraId="787FD8DD" w14:textId="0E0CF97F" w:rsidR="00324B33" w:rsidRPr="0036173A" w:rsidRDefault="00324B33" w:rsidP="00324B33">
            <w:pPr>
              <w:rPr>
                <w:szCs w:val="22"/>
              </w:rPr>
            </w:pPr>
            <w:r w:rsidRPr="0036173A">
              <w:rPr>
                <w:szCs w:val="22"/>
              </w:rPr>
              <w:lastRenderedPageBreak/>
              <w:t>Number of working days from submission dossier acceptance to registration decision*</w:t>
            </w:r>
          </w:p>
        </w:tc>
        <w:tc>
          <w:tcPr>
            <w:tcW w:w="3427" w:type="dxa"/>
          </w:tcPr>
          <w:p w14:paraId="5BAF9FA1" w14:textId="6C7A4C29" w:rsidR="00324B33" w:rsidRPr="0036173A" w:rsidRDefault="0036173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194</w:t>
            </w:r>
          </w:p>
        </w:tc>
      </w:tr>
    </w:tbl>
    <w:p w14:paraId="7B02554C" w14:textId="77777777" w:rsidR="00433318" w:rsidRPr="001D1C05" w:rsidRDefault="00433318" w:rsidP="00707353">
      <w:pPr>
        <w:pStyle w:val="Tabledescription"/>
      </w:pPr>
      <w:r>
        <w:t>*</w:t>
      </w:r>
      <w:r w:rsidRPr="001D1C05">
        <w:t>Statutory timeframe for standard submissions is 255 working days</w:t>
      </w:r>
    </w:p>
    <w:p w14:paraId="220925F1" w14:textId="77777777" w:rsidR="00C22214" w:rsidRPr="00792A32" w:rsidRDefault="00C22214" w:rsidP="00C22214">
      <w:pPr>
        <w:pStyle w:val="Heading2"/>
      </w:pPr>
      <w:bookmarkStart w:id="30" w:name="_Toc196046504"/>
      <w:bookmarkStart w:id="31" w:name="_Toc247691527"/>
      <w:bookmarkStart w:id="32" w:name="_Toc314842510"/>
      <w:bookmarkStart w:id="33" w:name="_Toc103679294"/>
      <w:bookmarkStart w:id="34" w:name="_Toc135296217"/>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0"/>
      <w:bookmarkEnd w:id="31"/>
      <w:bookmarkEnd w:id="32"/>
      <w:bookmarkEnd w:id="33"/>
      <w:bookmarkEnd w:id="34"/>
    </w:p>
    <w:p w14:paraId="540151FC" w14:textId="77777777" w:rsidR="00C22214" w:rsidRDefault="00C22214" w:rsidP="00C22214">
      <w:pPr>
        <w:pStyle w:val="Instructions"/>
        <w:rPr>
          <w:i w:val="0"/>
          <w:color w:val="auto"/>
        </w:rPr>
      </w:pPr>
      <w:bookmarkStart w:id="35" w:name="_Toc247691528"/>
      <w:bookmarkStart w:id="36" w:name="_Toc314842511"/>
      <w:r w:rsidRPr="005A79F5">
        <w:rPr>
          <w:i w:val="0"/>
          <w:color w:val="auto"/>
        </w:rPr>
        <w:t>A summary of the TGA’s assessment for this submission is provided below</w:t>
      </w:r>
      <w:r>
        <w:rPr>
          <w:i w:val="0"/>
          <w:color w:val="auto"/>
        </w:rPr>
        <w:t>.</w:t>
      </w:r>
    </w:p>
    <w:p w14:paraId="3EA1C0D0" w14:textId="77777777" w:rsidR="001D1C05" w:rsidRDefault="007072A1" w:rsidP="00966EF1">
      <w:pPr>
        <w:rPr>
          <w:szCs w:val="22"/>
        </w:rPr>
      </w:pPr>
      <w:r w:rsidRPr="001D1C05">
        <w:rPr>
          <w:szCs w:val="22"/>
        </w:rPr>
        <w:t>Relevant guidelines or guidance documents referred to by the Delegate are listed below:</w:t>
      </w:r>
    </w:p>
    <w:p w14:paraId="3E7A737B" w14:textId="77882E74" w:rsidR="001D1C05" w:rsidRPr="001D1C05" w:rsidRDefault="001D1C05" w:rsidP="001D1C05">
      <w:pPr>
        <w:pStyle w:val="ListBullet"/>
        <w:rPr>
          <w:szCs w:val="22"/>
        </w:rPr>
      </w:pPr>
      <w:r w:rsidRPr="001D1C05">
        <w:rPr>
          <w:szCs w:val="22"/>
        </w:rPr>
        <w:t xml:space="preserve">TGA: </w:t>
      </w:r>
      <w:hyperlink r:id="rId21" w:history="1">
        <w:r w:rsidRPr="001D1C05">
          <w:rPr>
            <w:rStyle w:val="Hyperlink"/>
            <w:szCs w:val="22"/>
          </w:rPr>
          <w:t>Guideline on biosimilar medicines regulation by Australian Government Department of Health</w:t>
        </w:r>
      </w:hyperlink>
      <w:r w:rsidRPr="001D1C05">
        <w:rPr>
          <w:szCs w:val="22"/>
        </w:rPr>
        <w:t>, Version 2.2.</w:t>
      </w:r>
    </w:p>
    <w:p w14:paraId="7AACFDFC" w14:textId="77777777" w:rsidR="001D1C05" w:rsidRPr="001D1C05" w:rsidRDefault="001D1C05" w:rsidP="001D1C05">
      <w:pPr>
        <w:pStyle w:val="ListBullet"/>
        <w:numPr>
          <w:ilvl w:val="0"/>
          <w:numId w:val="0"/>
        </w:numPr>
        <w:ind w:left="360"/>
        <w:rPr>
          <w:szCs w:val="22"/>
        </w:rPr>
      </w:pPr>
      <w:r w:rsidRPr="001D1C05">
        <w:rPr>
          <w:szCs w:val="22"/>
        </w:rPr>
        <w:t>Last updated April 2018</w:t>
      </w:r>
    </w:p>
    <w:p w14:paraId="5D42D954" w14:textId="3E6B2289" w:rsidR="001D1C05" w:rsidRPr="001D1C05" w:rsidRDefault="001D1C05" w:rsidP="001D1C05">
      <w:pPr>
        <w:pStyle w:val="ListBullet"/>
        <w:rPr>
          <w:szCs w:val="22"/>
        </w:rPr>
      </w:pPr>
      <w:r w:rsidRPr="001D1C05">
        <w:rPr>
          <w:szCs w:val="22"/>
        </w:rPr>
        <w:t xml:space="preserve">TGA: </w:t>
      </w:r>
      <w:hyperlink r:id="rId22" w:history="1">
        <w:r w:rsidRPr="001D1C05">
          <w:rPr>
            <w:rStyle w:val="Hyperlink"/>
            <w:szCs w:val="22"/>
          </w:rPr>
          <w:t>Guidance on Biopharmaceutic studies: Section 15.6 choice of the reference product for bioequivalence of generic medicines; The conditions for bioequivalence studies using an overseas reference product</w:t>
        </w:r>
      </w:hyperlink>
      <w:r w:rsidRPr="001D1C05">
        <w:rPr>
          <w:szCs w:val="22"/>
        </w:rPr>
        <w:t>.</w:t>
      </w:r>
    </w:p>
    <w:p w14:paraId="6898414E" w14:textId="77777777" w:rsidR="001D1C05" w:rsidRPr="001D1C05" w:rsidRDefault="001D1C05" w:rsidP="001D1C05">
      <w:pPr>
        <w:pStyle w:val="ListBullet"/>
        <w:numPr>
          <w:ilvl w:val="0"/>
          <w:numId w:val="0"/>
        </w:numPr>
        <w:ind w:left="360"/>
        <w:rPr>
          <w:szCs w:val="22"/>
        </w:rPr>
      </w:pPr>
      <w:r w:rsidRPr="001D1C05">
        <w:rPr>
          <w:szCs w:val="22"/>
        </w:rPr>
        <w:t>Guideline on Biopharmaceutic studies by Australian government department of health. Version 1.2. Last updated: December 2019</w:t>
      </w:r>
    </w:p>
    <w:p w14:paraId="30F235CB" w14:textId="2F18A821" w:rsidR="001D1C05" w:rsidRPr="001D1C05" w:rsidRDefault="001D1C05" w:rsidP="001D1C05">
      <w:pPr>
        <w:pStyle w:val="ListBullet"/>
        <w:rPr>
          <w:szCs w:val="22"/>
        </w:rPr>
      </w:pPr>
      <w:r w:rsidRPr="001D1C05">
        <w:rPr>
          <w:szCs w:val="22"/>
        </w:rPr>
        <w:t xml:space="preserve">European Medicines Agency (EMA): </w:t>
      </w:r>
      <w:hyperlink r:id="rId23" w:history="1">
        <w:r w:rsidRPr="001D1C05">
          <w:rPr>
            <w:rStyle w:val="Hyperlink"/>
            <w:szCs w:val="22"/>
          </w:rPr>
          <w:t>Guideline on similar biological medicinal products</w:t>
        </w:r>
      </w:hyperlink>
      <w:r w:rsidRPr="001D1C05">
        <w:rPr>
          <w:szCs w:val="22"/>
        </w:rPr>
        <w:t>. (CHMP/437/04 Rev. 1).</w:t>
      </w:r>
    </w:p>
    <w:p w14:paraId="57067919" w14:textId="77777777" w:rsidR="001D1C05" w:rsidRPr="001D1C05" w:rsidRDefault="001D1C05" w:rsidP="001D1C05">
      <w:pPr>
        <w:pStyle w:val="ListBullet"/>
        <w:numPr>
          <w:ilvl w:val="0"/>
          <w:numId w:val="0"/>
        </w:numPr>
        <w:ind w:left="360"/>
        <w:rPr>
          <w:szCs w:val="22"/>
        </w:rPr>
      </w:pPr>
      <w:r w:rsidRPr="001D1C05">
        <w:rPr>
          <w:szCs w:val="22"/>
        </w:rPr>
        <w:t>TGA-adopted, effective date: 25 May 2015.</w:t>
      </w:r>
    </w:p>
    <w:p w14:paraId="0C1A82FF" w14:textId="5FF6C2F8" w:rsidR="001D1C05" w:rsidRPr="001D1C05" w:rsidRDefault="001D1C05" w:rsidP="001D1C05">
      <w:pPr>
        <w:pStyle w:val="ListBullet"/>
        <w:rPr>
          <w:szCs w:val="22"/>
        </w:rPr>
      </w:pPr>
      <w:r w:rsidRPr="001D1C05">
        <w:rPr>
          <w:szCs w:val="22"/>
        </w:rPr>
        <w:t xml:space="preserve">EMA: </w:t>
      </w:r>
      <w:hyperlink r:id="rId24" w:history="1">
        <w:r w:rsidRPr="001D1C05">
          <w:rPr>
            <w:rStyle w:val="Hyperlink"/>
            <w:szCs w:val="22"/>
          </w:rPr>
          <w:t>Guideline on similar biological medicinal products containing biotechnology-derived proteins as active substance: non-clinical and clinical issues</w:t>
        </w:r>
      </w:hyperlink>
      <w:r w:rsidRPr="001D1C05">
        <w:rPr>
          <w:szCs w:val="22"/>
        </w:rPr>
        <w:t xml:space="preserve"> (EMEA/CHMP/BMWP/42832/2005 Rev. 1).</w:t>
      </w:r>
    </w:p>
    <w:p w14:paraId="702030B3" w14:textId="77777777" w:rsidR="001D1C05" w:rsidRPr="001D1C05" w:rsidRDefault="001D1C05" w:rsidP="001D1C05">
      <w:pPr>
        <w:pStyle w:val="ListBullet"/>
        <w:numPr>
          <w:ilvl w:val="0"/>
          <w:numId w:val="0"/>
        </w:numPr>
        <w:ind w:left="360"/>
        <w:rPr>
          <w:szCs w:val="22"/>
        </w:rPr>
      </w:pPr>
      <w:r w:rsidRPr="001D1C05">
        <w:rPr>
          <w:szCs w:val="22"/>
        </w:rPr>
        <w:t>TGA-adopted, effective date: 1 July 2015.</w:t>
      </w:r>
    </w:p>
    <w:p w14:paraId="227BE955" w14:textId="0AEF688B" w:rsidR="008057BB" w:rsidRDefault="001D1C05" w:rsidP="001D1C05">
      <w:pPr>
        <w:pStyle w:val="ListBullet"/>
        <w:rPr>
          <w:szCs w:val="22"/>
        </w:rPr>
      </w:pPr>
      <w:r w:rsidRPr="001D1C05">
        <w:rPr>
          <w:szCs w:val="22"/>
        </w:rPr>
        <w:t xml:space="preserve">EMA: </w:t>
      </w:r>
      <w:hyperlink r:id="rId25" w:history="1">
        <w:r w:rsidRPr="001D1C05">
          <w:rPr>
            <w:rStyle w:val="Hyperlink"/>
            <w:szCs w:val="22"/>
          </w:rPr>
          <w:t>Annex to guideline on similar biological medicinal products containing biotechnology-derived proteins as active substance: Non-clinical and clinical</w:t>
        </w:r>
        <w:r w:rsidR="00CA664A">
          <w:rPr>
            <w:rStyle w:val="Hyperlink"/>
            <w:szCs w:val="22"/>
          </w:rPr>
          <w:t xml:space="preserve"> </w:t>
        </w:r>
        <w:r w:rsidRPr="001D1C05">
          <w:rPr>
            <w:rStyle w:val="Hyperlink"/>
            <w:szCs w:val="22"/>
          </w:rPr>
          <w:t>issues</w:t>
        </w:r>
      </w:hyperlink>
      <w:r w:rsidR="008057BB">
        <w:rPr>
          <w:szCs w:val="22"/>
        </w:rPr>
        <w:t xml:space="preserve"> </w:t>
      </w:r>
    </w:p>
    <w:p w14:paraId="38C9ECED" w14:textId="184695E3" w:rsidR="001D1C05" w:rsidRPr="001D1C05" w:rsidRDefault="008057BB" w:rsidP="00410780">
      <w:pPr>
        <w:pStyle w:val="ListBullet"/>
        <w:numPr>
          <w:ilvl w:val="0"/>
          <w:numId w:val="0"/>
        </w:numPr>
        <w:ind w:left="360"/>
        <w:rPr>
          <w:szCs w:val="22"/>
        </w:rPr>
      </w:pPr>
      <w:r w:rsidRPr="00410780">
        <w:rPr>
          <w:i/>
        </w:rPr>
        <w:t>Guidance on similar medicinal products containing recombinant granulocyte-colony stimulating f</w:t>
      </w:r>
      <w:r w:rsidR="00755133" w:rsidRPr="00410780">
        <w:rPr>
          <w:i/>
        </w:rPr>
        <w:t>actor</w:t>
      </w:r>
      <w:r w:rsidR="00755133">
        <w:t xml:space="preserve">. </w:t>
      </w:r>
      <w:r w:rsidR="001D1C05" w:rsidRPr="001D1C05">
        <w:rPr>
          <w:szCs w:val="22"/>
        </w:rPr>
        <w:t>(EMEA/CHMP/BMWP/31329/2005).</w:t>
      </w:r>
    </w:p>
    <w:p w14:paraId="3593155E" w14:textId="77777777" w:rsidR="001D1C05" w:rsidRPr="001D1C05" w:rsidRDefault="001D1C05" w:rsidP="001D1C05">
      <w:pPr>
        <w:pStyle w:val="ListBullet"/>
        <w:numPr>
          <w:ilvl w:val="0"/>
          <w:numId w:val="0"/>
        </w:numPr>
        <w:ind w:left="360"/>
        <w:rPr>
          <w:szCs w:val="22"/>
        </w:rPr>
      </w:pPr>
      <w:r w:rsidRPr="001D1C05">
        <w:rPr>
          <w:szCs w:val="22"/>
        </w:rPr>
        <w:t>TGA</w:t>
      </w:r>
      <w:r w:rsidRPr="001D1C05">
        <w:rPr>
          <w:szCs w:val="22"/>
        </w:rPr>
        <w:noBreakHyphen/>
        <w:t>adopted, effective date: 29 September 2006.</w:t>
      </w:r>
    </w:p>
    <w:p w14:paraId="4E5946E6" w14:textId="2C4D50EE" w:rsidR="001D1C05" w:rsidRPr="001D1C05" w:rsidRDefault="001D1C05" w:rsidP="001D1C05">
      <w:pPr>
        <w:pStyle w:val="ListBullet"/>
        <w:rPr>
          <w:szCs w:val="22"/>
        </w:rPr>
      </w:pPr>
      <w:r w:rsidRPr="001D1C05">
        <w:rPr>
          <w:szCs w:val="22"/>
        </w:rPr>
        <w:t xml:space="preserve">EMA: </w:t>
      </w:r>
      <w:hyperlink r:id="rId26" w:history="1">
        <w:r w:rsidRPr="001D1C05">
          <w:rPr>
            <w:rStyle w:val="Hyperlink"/>
            <w:szCs w:val="22"/>
          </w:rPr>
          <w:t>Guideline on immunogenicity assessment of biotechnology-derived therapeutic proteins</w:t>
        </w:r>
      </w:hyperlink>
      <w:r w:rsidRPr="001D1C05">
        <w:rPr>
          <w:szCs w:val="22"/>
        </w:rPr>
        <w:t xml:space="preserve"> (EMEA/CHMP/BMWP/14327/2006).</w:t>
      </w:r>
    </w:p>
    <w:p w14:paraId="5201C743" w14:textId="77777777" w:rsidR="001D1C05" w:rsidRPr="001D1C05" w:rsidRDefault="001D1C05" w:rsidP="001D1C05">
      <w:pPr>
        <w:pStyle w:val="ListBullet"/>
        <w:numPr>
          <w:ilvl w:val="0"/>
          <w:numId w:val="0"/>
        </w:numPr>
        <w:ind w:left="360"/>
        <w:rPr>
          <w:szCs w:val="22"/>
        </w:rPr>
      </w:pPr>
      <w:r w:rsidRPr="001D1C05">
        <w:rPr>
          <w:szCs w:val="22"/>
        </w:rPr>
        <w:t>TGA-adopted, effective date: 22 June 2009</w:t>
      </w:r>
    </w:p>
    <w:p w14:paraId="3513ACDE" w14:textId="2D26811F" w:rsidR="001D1C05" w:rsidRPr="001D1C05" w:rsidRDefault="001D1C05" w:rsidP="001D1C05">
      <w:pPr>
        <w:pStyle w:val="ListBullet"/>
        <w:rPr>
          <w:szCs w:val="22"/>
        </w:rPr>
      </w:pPr>
      <w:bookmarkStart w:id="37" w:name="_Hlk132874293"/>
      <w:r w:rsidRPr="001D1C05">
        <w:rPr>
          <w:szCs w:val="22"/>
        </w:rPr>
        <w:t xml:space="preserve">EMA: </w:t>
      </w:r>
      <w:hyperlink r:id="rId27" w:history="1">
        <w:r w:rsidRPr="001D1C05">
          <w:rPr>
            <w:rStyle w:val="Hyperlink"/>
            <w:szCs w:val="22"/>
          </w:rPr>
          <w:t>Guideline on Comparability of Biotechnology-Derived Medicinal Products after a change in the Manufacturing Process - Non-Clinical and Clinical Issues</w:t>
        </w:r>
      </w:hyperlink>
      <w:r w:rsidRPr="001D1C05">
        <w:rPr>
          <w:szCs w:val="22"/>
        </w:rPr>
        <w:t xml:space="preserve"> (EMEA/CHMP/BMWP/101695/2006)</w:t>
      </w:r>
    </w:p>
    <w:p w14:paraId="5A2A9701" w14:textId="10F114C1" w:rsidR="001D1C05" w:rsidRDefault="001D1C05" w:rsidP="001D1C05">
      <w:pPr>
        <w:pStyle w:val="ListBullet"/>
        <w:numPr>
          <w:ilvl w:val="0"/>
          <w:numId w:val="0"/>
        </w:numPr>
        <w:ind w:left="360"/>
        <w:rPr>
          <w:szCs w:val="22"/>
        </w:rPr>
      </w:pPr>
      <w:r w:rsidRPr="001D1C05">
        <w:rPr>
          <w:szCs w:val="22"/>
        </w:rPr>
        <w:t>TGA-adopted, effective date: 12 May 2005</w:t>
      </w:r>
      <w:bookmarkEnd w:id="37"/>
    </w:p>
    <w:p w14:paraId="0BB5F25A" w14:textId="4655412D" w:rsidR="008057BB" w:rsidRPr="001D1C05" w:rsidRDefault="008057BB" w:rsidP="00410780">
      <w:pPr>
        <w:pStyle w:val="ListBullet"/>
      </w:pPr>
      <w:r>
        <w:t xml:space="preserve">EMA: </w:t>
      </w:r>
      <w:r w:rsidRPr="008057BB">
        <w:t>Guidance on similar medicinal products containing recombinant granulocyte-colony stimulating factor. EMEA/CHMP/BMWP/31329/2005</w:t>
      </w:r>
    </w:p>
    <w:p w14:paraId="37F5A1C0" w14:textId="77777777" w:rsidR="00C22214" w:rsidRDefault="00C22214" w:rsidP="00C22214">
      <w:pPr>
        <w:pStyle w:val="Heading3"/>
      </w:pPr>
      <w:bookmarkStart w:id="38" w:name="_Toc103679295"/>
      <w:bookmarkStart w:id="39" w:name="_Toc135296218"/>
      <w:r>
        <w:lastRenderedPageBreak/>
        <w:t>Quality</w:t>
      </w:r>
      <w:bookmarkEnd w:id="35"/>
      <w:bookmarkEnd w:id="36"/>
      <w:bookmarkEnd w:id="38"/>
      <w:bookmarkEnd w:id="39"/>
    </w:p>
    <w:p w14:paraId="48B49F63" w14:textId="445ABF60" w:rsidR="001D1C05" w:rsidRDefault="001D1C05" w:rsidP="001D1C05">
      <w:pPr>
        <w:rPr>
          <w:szCs w:val="22"/>
        </w:rPr>
      </w:pPr>
      <w:r w:rsidRPr="001D1C05">
        <w:rPr>
          <w:szCs w:val="22"/>
        </w:rPr>
        <w:t xml:space="preserve">Pegfilgrastim is </w:t>
      </w:r>
      <w:r>
        <w:rPr>
          <w:szCs w:val="22"/>
        </w:rPr>
        <w:t xml:space="preserve">a </w:t>
      </w:r>
      <w:r w:rsidRPr="001D1C05">
        <w:rPr>
          <w:szCs w:val="22"/>
        </w:rPr>
        <w:t xml:space="preserve">N-terminally </w:t>
      </w:r>
      <w:r>
        <w:rPr>
          <w:szCs w:val="22"/>
        </w:rPr>
        <w:t>p</w:t>
      </w:r>
      <w:r w:rsidRPr="001D1C05">
        <w:rPr>
          <w:szCs w:val="22"/>
        </w:rPr>
        <w:t xml:space="preserve">egylated form of the recombinant human granulocyte colony stimulating factor (G-CSF) or Filgrastim. Filgrastim is expressed in </w:t>
      </w:r>
      <w:r w:rsidRPr="00707353">
        <w:rPr>
          <w:i/>
          <w:iCs/>
          <w:szCs w:val="22"/>
        </w:rPr>
        <w:t>E. coli</w:t>
      </w:r>
      <w:r w:rsidR="003F47F3">
        <w:rPr>
          <w:i/>
          <w:iCs/>
          <w:szCs w:val="22"/>
        </w:rPr>
        <w:t xml:space="preserve"> </w:t>
      </w:r>
      <w:r w:rsidR="003F47F3">
        <w:rPr>
          <w:iCs/>
          <w:szCs w:val="22"/>
        </w:rPr>
        <w:t>cells</w:t>
      </w:r>
      <w:r w:rsidRPr="001D1C05">
        <w:rPr>
          <w:szCs w:val="22"/>
        </w:rPr>
        <w:t>. Pegfilgrastim is produced by covalent attachment of a polyethylene gl</w:t>
      </w:r>
      <w:r w:rsidRPr="00707353">
        <w:rPr>
          <w:szCs w:val="22"/>
        </w:rPr>
        <w:t>ycol (PEG)</w:t>
      </w:r>
      <w:r w:rsidRPr="001D1C05">
        <w:rPr>
          <w:szCs w:val="22"/>
        </w:rPr>
        <w:t xml:space="preserve"> molecule to the amino terminal of the Filgrastim protein.</w:t>
      </w:r>
    </w:p>
    <w:p w14:paraId="04B7A704" w14:textId="66F0DDA9" w:rsidR="001D1C05" w:rsidRDefault="001D1C05" w:rsidP="001D1C05">
      <w:pPr>
        <w:rPr>
          <w:szCs w:val="22"/>
        </w:rPr>
      </w:pPr>
      <w:r w:rsidRPr="001D1C05">
        <w:rPr>
          <w:szCs w:val="22"/>
        </w:rPr>
        <w:t xml:space="preserve">Filgrastim consists of 175 amino acids and has a molecular weight of </w:t>
      </w:r>
      <w:r>
        <w:rPr>
          <w:szCs w:val="22"/>
        </w:rPr>
        <w:t>approximately</w:t>
      </w:r>
      <w:r w:rsidRPr="001D1C05">
        <w:rPr>
          <w:szCs w:val="22"/>
        </w:rPr>
        <w:t xml:space="preserve"> 18.8 </w:t>
      </w:r>
      <w:proofErr w:type="spellStart"/>
      <w:r w:rsidRPr="001D1C05">
        <w:rPr>
          <w:szCs w:val="22"/>
        </w:rPr>
        <w:t>kDa</w:t>
      </w:r>
      <w:proofErr w:type="spellEnd"/>
      <w:r w:rsidRPr="001D1C05">
        <w:rPr>
          <w:szCs w:val="22"/>
        </w:rPr>
        <w:t xml:space="preserve">. The protein has two intramolecular </w:t>
      </w:r>
      <w:proofErr w:type="spellStart"/>
      <w:r w:rsidRPr="001D1C05">
        <w:rPr>
          <w:szCs w:val="22"/>
        </w:rPr>
        <w:t>disulfide</w:t>
      </w:r>
      <w:proofErr w:type="spellEnd"/>
      <w:r w:rsidRPr="001D1C05">
        <w:rPr>
          <w:szCs w:val="22"/>
        </w:rPr>
        <w:t xml:space="preserve"> bridges which form </w:t>
      </w:r>
      <w:r>
        <w:rPr>
          <w:szCs w:val="22"/>
        </w:rPr>
        <w:t>two</w:t>
      </w:r>
      <w:r w:rsidRPr="001D1C05">
        <w:rPr>
          <w:szCs w:val="22"/>
        </w:rPr>
        <w:t xml:space="preserve"> small loop structures that maintain the biologically active conformation of granulocyte colony stimulating factor.</w:t>
      </w:r>
    </w:p>
    <w:p w14:paraId="4A4094AC" w14:textId="49C6FE19" w:rsidR="001D1C05" w:rsidRPr="001D1C05" w:rsidRDefault="001D1C05" w:rsidP="00755B89">
      <w:pPr>
        <w:pStyle w:val="TableTitle0"/>
      </w:pPr>
      <w:r w:rsidRPr="001D1C05">
        <w:t xml:space="preserve">Figure </w:t>
      </w:r>
      <w:r w:rsidR="00C171EF">
        <w:fldChar w:fldCharType="begin"/>
      </w:r>
      <w:r w:rsidR="00C171EF">
        <w:instrText xml:space="preserve"> SEQ Figure \* ARABIC </w:instrText>
      </w:r>
      <w:r w:rsidR="00C171EF">
        <w:fldChar w:fldCharType="separate"/>
      </w:r>
      <w:r w:rsidR="00410780">
        <w:rPr>
          <w:noProof/>
        </w:rPr>
        <w:t>1</w:t>
      </w:r>
      <w:r w:rsidR="00C171EF">
        <w:rPr>
          <w:noProof/>
        </w:rPr>
        <w:fldChar w:fldCharType="end"/>
      </w:r>
      <w:r w:rsidRPr="001D1C05">
        <w:t>: Structur</w:t>
      </w:r>
      <w:r>
        <w:t>al representation</w:t>
      </w:r>
      <w:r w:rsidRPr="001D1C05">
        <w:t xml:space="preserve"> of pegfilgrastim</w:t>
      </w:r>
    </w:p>
    <w:p w14:paraId="19D8F728" w14:textId="612DBEAD" w:rsidR="001D1C05" w:rsidRDefault="001D1C05" w:rsidP="001D1C05">
      <w:r>
        <w:rPr>
          <w:noProof/>
          <w:lang w:val="en-GB" w:eastAsia="en-GB"/>
        </w:rPr>
        <w:drawing>
          <wp:inline distT="0" distB="0" distL="0" distR="0" wp14:anchorId="3BCE8D12" wp14:editId="6A620473">
            <wp:extent cx="3294920" cy="2590800"/>
            <wp:effectExtent l="0" t="0" r="1270" b="0"/>
            <wp:docPr id="1" name="Picture 1" descr="Structural representation of pegfilgras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ructural representation of pegfilgrastim"/>
                    <pic:cNvPicPr/>
                  </pic:nvPicPr>
                  <pic:blipFill rotWithShape="1">
                    <a:blip r:embed="rId28"/>
                    <a:srcRect t="11963"/>
                    <a:stretch/>
                  </pic:blipFill>
                  <pic:spPr bwMode="auto">
                    <a:xfrm>
                      <a:off x="0" y="0"/>
                      <a:ext cx="3321571" cy="2611756"/>
                    </a:xfrm>
                    <a:prstGeom prst="rect">
                      <a:avLst/>
                    </a:prstGeom>
                    <a:ln>
                      <a:noFill/>
                    </a:ln>
                    <a:extLst>
                      <a:ext uri="{53640926-AAD7-44D8-BBD7-CCE9431645EC}">
                        <a14:shadowObscured xmlns:a14="http://schemas.microsoft.com/office/drawing/2010/main"/>
                      </a:ext>
                    </a:extLst>
                  </pic:spPr>
                </pic:pic>
              </a:graphicData>
            </a:graphic>
          </wp:inline>
        </w:drawing>
      </w:r>
    </w:p>
    <w:p w14:paraId="32F8E8B6" w14:textId="36195889" w:rsidR="001D1C05" w:rsidRPr="001D1C05" w:rsidRDefault="001D1C05" w:rsidP="00707353">
      <w:pPr>
        <w:pStyle w:val="Tabledescription"/>
      </w:pPr>
      <w:r>
        <w:t>Source: G. Molineux, 2004.</w:t>
      </w:r>
      <w:r>
        <w:rPr>
          <w:rStyle w:val="FootnoteReference"/>
        </w:rPr>
        <w:footnoteReference w:id="11"/>
      </w:r>
    </w:p>
    <w:p w14:paraId="6AF02AA4" w14:textId="0F3939FD" w:rsidR="001D1C05" w:rsidRPr="001D1C05" w:rsidRDefault="001D1C05" w:rsidP="001D1C05">
      <w:pPr>
        <w:spacing w:before="120" w:line="240" w:lineRule="auto"/>
        <w:rPr>
          <w:szCs w:val="22"/>
        </w:rPr>
      </w:pPr>
      <w:r w:rsidRPr="001D1C05">
        <w:rPr>
          <w:szCs w:val="22"/>
        </w:rPr>
        <w:t xml:space="preserve">Based upon stability data submitted by the </w:t>
      </w:r>
      <w:r>
        <w:rPr>
          <w:szCs w:val="22"/>
        </w:rPr>
        <w:t>s</w:t>
      </w:r>
      <w:r w:rsidRPr="001D1C05">
        <w:rPr>
          <w:szCs w:val="22"/>
        </w:rPr>
        <w:t>ponsor, the recommended shelf life and storage conditions</w:t>
      </w:r>
      <w:r>
        <w:rPr>
          <w:szCs w:val="22"/>
        </w:rPr>
        <w:t xml:space="preserve"> of Filpegla is </w:t>
      </w:r>
      <w:r w:rsidRPr="001D1C05">
        <w:rPr>
          <w:szCs w:val="22"/>
        </w:rPr>
        <w:t>36 months stored at 2</w:t>
      </w:r>
      <w:r>
        <w:rPr>
          <w:szCs w:val="22"/>
        </w:rPr>
        <w:t xml:space="preserve"> to </w:t>
      </w:r>
      <w:r w:rsidRPr="001D1C05">
        <w:rPr>
          <w:szCs w:val="22"/>
        </w:rPr>
        <w:t>8</w:t>
      </w:r>
      <w:r>
        <w:rPr>
          <w:szCs w:val="22"/>
        </w:rPr>
        <w:t> °</w:t>
      </w:r>
      <w:r w:rsidRPr="001D1C05">
        <w:rPr>
          <w:szCs w:val="22"/>
        </w:rPr>
        <w:t>C.</w:t>
      </w:r>
    </w:p>
    <w:p w14:paraId="78DEF5B3" w14:textId="49A746D7" w:rsidR="001D1C05" w:rsidRDefault="001D1C05" w:rsidP="001D1C05">
      <w:pPr>
        <w:pStyle w:val="Heading4"/>
      </w:pPr>
      <w:bookmarkStart w:id="40" w:name="_Toc135296219"/>
      <w:r>
        <w:t>Biosimilarity</w:t>
      </w:r>
      <w:bookmarkEnd w:id="40"/>
    </w:p>
    <w:p w14:paraId="71CFFA20" w14:textId="4056EC39" w:rsidR="001D1C05" w:rsidRDefault="001D1C05" w:rsidP="001D1C05">
      <w:r>
        <w:t xml:space="preserve">During the development of </w:t>
      </w:r>
      <w:proofErr w:type="spellStart"/>
      <w:r>
        <w:t>Filpegla</w:t>
      </w:r>
      <w:proofErr w:type="spellEnd"/>
      <w:r>
        <w:t>, Neulasta;</w:t>
      </w:r>
      <w:r>
        <w:fldChar w:fldCharType="begin"/>
      </w:r>
      <w:r>
        <w:instrText xml:space="preserve"> NOTEREF _Ref132873574 \f \h </w:instrText>
      </w:r>
      <w:r>
        <w:fldChar w:fldCharType="separate"/>
      </w:r>
      <w:r w:rsidR="00410780" w:rsidRPr="00410780">
        <w:rPr>
          <w:rStyle w:val="FootnoteReference"/>
        </w:rPr>
        <w:t>4</w:t>
      </w:r>
      <w:r>
        <w:fldChar w:fldCharType="end"/>
      </w:r>
      <w:r>
        <w:t xml:space="preserve"> was used as the main reference product to demonstrate biosimilarity in terms of quality and </w:t>
      </w:r>
      <w:r w:rsidR="003835E2">
        <w:t xml:space="preserve">via a </w:t>
      </w:r>
      <w:r>
        <w:t>nonclinical comparability exercise</w:t>
      </w:r>
      <w:r w:rsidR="008057BB">
        <w:t xml:space="preserve">. In accordance with </w:t>
      </w:r>
      <w:proofErr w:type="gramStart"/>
      <w:r w:rsidR="008057BB">
        <w:t>guidance;</w:t>
      </w:r>
      <w:bookmarkStart w:id="41" w:name="_Ref135140344"/>
      <w:proofErr w:type="gramEnd"/>
      <w:r w:rsidR="008057BB">
        <w:rPr>
          <w:rStyle w:val="FootnoteReference"/>
        </w:rPr>
        <w:footnoteReference w:id="12"/>
      </w:r>
      <w:bookmarkEnd w:id="41"/>
      <w:r w:rsidR="008057BB">
        <w:t xml:space="preserve"> a</w:t>
      </w:r>
      <w:r>
        <w:t>n additional bridging comparability study was performed between EU</w:t>
      </w:r>
      <w:r w:rsidR="003835E2">
        <w:noBreakHyphen/>
        <w:t>sourced</w:t>
      </w:r>
      <w:r>
        <w:t xml:space="preserve"> and Australian</w:t>
      </w:r>
      <w:r w:rsidR="003835E2">
        <w:noBreakHyphen/>
        <w:t>sourced</w:t>
      </w:r>
      <w:r>
        <w:t xml:space="preserve"> Neulasta to </w:t>
      </w:r>
      <w:r w:rsidR="003835E2">
        <w:t xml:space="preserve">demonstrate </w:t>
      </w:r>
      <w:r>
        <w:t>EU</w:t>
      </w:r>
      <w:r w:rsidR="003835E2">
        <w:noBreakHyphen/>
        <w:t>sourced</w:t>
      </w:r>
      <w:r>
        <w:t xml:space="preserve"> Neulasta as </w:t>
      </w:r>
      <w:r w:rsidR="003835E2">
        <w:t xml:space="preserve">being </w:t>
      </w:r>
      <w:r>
        <w:t xml:space="preserve">representative of the Australian registered product (Neulasta). Overall, Filpegla in terms of physicochemical characteristics and biological activity is </w:t>
      </w:r>
      <w:proofErr w:type="gramStart"/>
      <w:r>
        <w:t>similar to</w:t>
      </w:r>
      <w:proofErr w:type="gramEnd"/>
      <w:r>
        <w:t xml:space="preserve"> EU</w:t>
      </w:r>
      <w:r w:rsidR="003835E2">
        <w:noBreakHyphen/>
        <w:t>sourced</w:t>
      </w:r>
      <w:r>
        <w:t xml:space="preserve"> Neulasta and Australian</w:t>
      </w:r>
      <w:r w:rsidR="003835E2">
        <w:noBreakHyphen/>
        <w:t>sourced</w:t>
      </w:r>
      <w:r>
        <w:t xml:space="preserve"> Neulasta.</w:t>
      </w:r>
    </w:p>
    <w:p w14:paraId="52BBA47F" w14:textId="288627E8" w:rsidR="001D1C05" w:rsidRPr="00707353" w:rsidRDefault="001D1C05" w:rsidP="00707353">
      <w:r w:rsidRPr="00707353">
        <w:t xml:space="preserve">Extensive characterisation studies involving comparison of primary, </w:t>
      </w:r>
      <w:proofErr w:type="gramStart"/>
      <w:r w:rsidRPr="00707353">
        <w:t>secondary</w:t>
      </w:r>
      <w:proofErr w:type="gramEnd"/>
      <w:r w:rsidRPr="00707353">
        <w:t xml:space="preserve"> and tertiary structures, physicochemical properties and biological activities showed that Filpegla and Neulasta are generally similar.</w:t>
      </w:r>
    </w:p>
    <w:p w14:paraId="31558E7B" w14:textId="4EF59BB6" w:rsidR="001D1C05" w:rsidRDefault="001D1C05" w:rsidP="00707353">
      <w:r w:rsidRPr="00707353">
        <w:t xml:space="preserve">Overall, the sponsor has demonstrated that Filpegla is comparable to Neulasta in terms of structure, species, </w:t>
      </w:r>
      <w:proofErr w:type="gramStart"/>
      <w:r w:rsidRPr="00707353">
        <w:t>function</w:t>
      </w:r>
      <w:proofErr w:type="gramEnd"/>
      <w:r w:rsidRPr="00707353">
        <w:t xml:space="preserve"> and degradation profile (that is, physicochemically and biologically</w:t>
      </w:r>
      <w:r>
        <w:t>).</w:t>
      </w:r>
    </w:p>
    <w:p w14:paraId="268A0606" w14:textId="1E2E3620" w:rsidR="001D1C05" w:rsidRDefault="001D1C05" w:rsidP="001D1C05">
      <w:pPr>
        <w:pStyle w:val="Heading4"/>
      </w:pPr>
      <w:bookmarkStart w:id="42" w:name="_Toc135296220"/>
      <w:r>
        <w:lastRenderedPageBreak/>
        <w:t>Microbiology and sterility</w:t>
      </w:r>
      <w:bookmarkEnd w:id="42"/>
    </w:p>
    <w:p w14:paraId="3F637F71" w14:textId="1648D0BE" w:rsidR="001D1C05" w:rsidRDefault="001D1C05" w:rsidP="001D1C05">
      <w:r>
        <w:t>From a microbiological perspective, there are no objections for the application to register Filpegla pegfilgrastim 6 mg/0.6 m</w:t>
      </w:r>
      <w:r w:rsidR="003835E2">
        <w:t>L</w:t>
      </w:r>
      <w:r>
        <w:t xml:space="preserve"> solution for injection.</w:t>
      </w:r>
    </w:p>
    <w:p w14:paraId="143226C0" w14:textId="265DA279" w:rsidR="003835E2" w:rsidRDefault="003835E2" w:rsidP="00410780">
      <w:pPr>
        <w:pStyle w:val="Heading4"/>
      </w:pPr>
      <w:bookmarkStart w:id="43" w:name="_Toc135296221"/>
      <w:r>
        <w:t>Conclusions</w:t>
      </w:r>
      <w:bookmarkEnd w:id="43"/>
    </w:p>
    <w:p w14:paraId="0F9A2B8D" w14:textId="77777777" w:rsidR="00410780" w:rsidRDefault="003835E2">
      <w:pPr>
        <w:rPr>
          <w:szCs w:val="22"/>
        </w:rPr>
      </w:pPr>
      <w:r>
        <w:rPr>
          <w:szCs w:val="22"/>
        </w:rPr>
        <w:t xml:space="preserve">All outstanding quality issues have been resolved prior to approval. From </w:t>
      </w:r>
      <w:r w:rsidRPr="001D1C05">
        <w:rPr>
          <w:szCs w:val="22"/>
        </w:rPr>
        <w:t>a quality and manufacturing perspective</w:t>
      </w:r>
      <w:r>
        <w:rPr>
          <w:szCs w:val="22"/>
        </w:rPr>
        <w:t xml:space="preserve"> </w:t>
      </w:r>
      <w:r w:rsidRPr="001D1C05">
        <w:rPr>
          <w:szCs w:val="22"/>
        </w:rPr>
        <w:t>there are</w:t>
      </w:r>
      <w:r>
        <w:rPr>
          <w:szCs w:val="22"/>
        </w:rPr>
        <w:t xml:space="preserve"> no</w:t>
      </w:r>
      <w:r w:rsidRPr="001D1C05">
        <w:rPr>
          <w:szCs w:val="22"/>
        </w:rPr>
        <w:t xml:space="preserve"> objections to the approval of F</w:t>
      </w:r>
      <w:r>
        <w:rPr>
          <w:szCs w:val="22"/>
        </w:rPr>
        <w:t>ilpegla</w:t>
      </w:r>
      <w:r w:rsidRPr="001D1C05">
        <w:rPr>
          <w:szCs w:val="22"/>
        </w:rPr>
        <w:t>.</w:t>
      </w:r>
    </w:p>
    <w:p w14:paraId="712ECB14" w14:textId="0A3ADF6E" w:rsidR="003835E2" w:rsidRPr="003835E2" w:rsidRDefault="003835E2">
      <w:r>
        <w:t>The following quality-related conditions of registration were proposed.</w:t>
      </w:r>
    </w:p>
    <w:p w14:paraId="6BF95F1D" w14:textId="77777777" w:rsidR="003835E2" w:rsidRPr="001D1C05" w:rsidRDefault="003835E2" w:rsidP="00410780">
      <w:pPr>
        <w:pStyle w:val="Heading5"/>
        <w:rPr>
          <w:rFonts w:cs="Arial"/>
          <w:sz w:val="32"/>
          <w:szCs w:val="28"/>
        </w:rPr>
      </w:pPr>
      <w:bookmarkStart w:id="44" w:name="_Toc314842512"/>
      <w:bookmarkStart w:id="45" w:name="_Toc103679296"/>
      <w:r w:rsidRPr="001D1C05">
        <w:rPr>
          <w:rFonts w:cs="Arial"/>
          <w:szCs w:val="28"/>
        </w:rPr>
        <w:t>Quality-related proposed conditions of registration</w:t>
      </w:r>
    </w:p>
    <w:p w14:paraId="58C2DB5D" w14:textId="77777777" w:rsidR="003835E2" w:rsidRPr="001D1C05" w:rsidRDefault="003835E2" w:rsidP="003835E2">
      <w:pPr>
        <w:pStyle w:val="Numberbullet0"/>
      </w:pPr>
      <w:r w:rsidRPr="001D1C05">
        <w:t>Laboratory testing &amp; compliance with Certified Product Details (CPD)</w:t>
      </w:r>
    </w:p>
    <w:p w14:paraId="46665421" w14:textId="749269F2" w:rsidR="003835E2" w:rsidRPr="001D1C05" w:rsidRDefault="003835E2" w:rsidP="00AC43B6">
      <w:pPr>
        <w:pStyle w:val="Numberbullet2"/>
        <w:numPr>
          <w:ilvl w:val="1"/>
          <w:numId w:val="20"/>
        </w:numPr>
      </w:pPr>
      <w:r w:rsidRPr="001D1C05">
        <w:t xml:space="preserve">All batches of </w:t>
      </w:r>
      <w:proofErr w:type="spellStart"/>
      <w:r w:rsidRPr="001D1C05">
        <w:t>F</w:t>
      </w:r>
      <w:r>
        <w:t>ilpegla</w:t>
      </w:r>
      <w:proofErr w:type="spellEnd"/>
      <w:r w:rsidRPr="001D1C05">
        <w:t xml:space="preserve"> supplied in Australia must comply with the product details and specifications approved during evaluation and detailed in the Certified Product Details (CPD).</w:t>
      </w:r>
    </w:p>
    <w:p w14:paraId="5EB64B8E" w14:textId="7A44C9F8" w:rsidR="003835E2" w:rsidRPr="001D1C05" w:rsidRDefault="003835E2" w:rsidP="00AC43B6">
      <w:pPr>
        <w:pStyle w:val="Numberbullet2"/>
        <w:numPr>
          <w:ilvl w:val="1"/>
          <w:numId w:val="20"/>
        </w:numPr>
      </w:pPr>
      <w:r w:rsidRPr="001D1C05">
        <w:t xml:space="preserve">When requested by the TGA, the Sponsor should be prepared to provide product samples, specified reference materials and documentary evidence to enable the TGA to conduct laboratory testing on the Product. Outcomes of laboratory testing are published biannually in the TGA Database of Laboratory Testing Results </w:t>
      </w:r>
      <w:hyperlink r:id="rId29" w:history="1">
        <w:r w:rsidRPr="00D50972">
          <w:rPr>
            <w:rStyle w:val="Hyperlink"/>
            <w:szCs w:val="22"/>
          </w:rPr>
          <w:t>http://www.tga.gov.au/ws-labs-index</w:t>
        </w:r>
      </w:hyperlink>
      <w:r>
        <w:t xml:space="preserve"> </w:t>
      </w:r>
      <w:r w:rsidRPr="001D1C05">
        <w:t>and periodically in testing reports on the TGA website.</w:t>
      </w:r>
    </w:p>
    <w:p w14:paraId="127D7110" w14:textId="77777777" w:rsidR="003835E2" w:rsidRPr="001D1C05" w:rsidRDefault="003835E2" w:rsidP="003835E2">
      <w:pPr>
        <w:pStyle w:val="Numberbullet0"/>
      </w:pPr>
      <w:r w:rsidRPr="001D1C05">
        <w:t>Certified Product Details</w:t>
      </w:r>
    </w:p>
    <w:p w14:paraId="71672A8E" w14:textId="6551147A" w:rsidR="003835E2" w:rsidRDefault="003835E2" w:rsidP="003835E2">
      <w:pPr>
        <w:ind w:left="360"/>
        <w:rPr>
          <w:szCs w:val="22"/>
        </w:rPr>
      </w:pPr>
      <w:r w:rsidRPr="001D1C05">
        <w:rPr>
          <w:szCs w:val="22"/>
        </w:rPr>
        <w:t xml:space="preserve">The Certified Product Details (CPD), as described in Guidance 7: Certified Product Details of the Australian Regulatory Guidelines for Prescription Medicines (ARGPM) </w:t>
      </w:r>
      <w:hyperlink r:id="rId30" w:history="1">
        <w:r w:rsidRPr="00D50972">
          <w:rPr>
            <w:rStyle w:val="Hyperlink"/>
            <w:szCs w:val="22"/>
          </w:rPr>
          <w:t>http://www.tga.gov.au/industry/pm-argpm-guidance-7.htm</w:t>
        </w:r>
      </w:hyperlink>
      <w:r>
        <w:rPr>
          <w:szCs w:val="22"/>
        </w:rPr>
        <w:t>,</w:t>
      </w:r>
      <w:r w:rsidRPr="001D1C05">
        <w:rPr>
          <w:szCs w:val="22"/>
        </w:rPr>
        <w:t xml:space="preserve">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2BE90AAE" w14:textId="77777777" w:rsidR="00C22214" w:rsidRDefault="00C22214" w:rsidP="00C22214">
      <w:pPr>
        <w:pStyle w:val="Heading3"/>
      </w:pPr>
      <w:bookmarkStart w:id="46" w:name="_Toc135296222"/>
      <w:r>
        <w:t>Nonclinical</w:t>
      </w:r>
      <w:bookmarkEnd w:id="44"/>
      <w:bookmarkEnd w:id="45"/>
      <w:bookmarkEnd w:id="46"/>
    </w:p>
    <w:p w14:paraId="13247068" w14:textId="68E6840C" w:rsidR="001D1C05" w:rsidRDefault="001D1C05" w:rsidP="001D1C05">
      <w:r w:rsidRPr="001D1C05">
        <w:t>The nonclinical dossier contained comparative studies on pharmacology, pharmacokinetics and repeat</w:t>
      </w:r>
      <w:r>
        <w:t xml:space="preserve"> </w:t>
      </w:r>
      <w:r w:rsidRPr="001D1C05">
        <w:t>dose toxicity. The scope of the nonclinical program is adequate under the relevant EU and TGA guidelines</w:t>
      </w:r>
      <w:r w:rsidR="003835E2">
        <w:t>.</w:t>
      </w:r>
      <w:r w:rsidR="008057BB" w:rsidRPr="00410780">
        <w:rPr>
          <w:rStyle w:val="FootnoteReference"/>
        </w:rPr>
        <w:fldChar w:fldCharType="begin"/>
      </w:r>
      <w:r w:rsidR="008057BB" w:rsidRPr="00410780">
        <w:rPr>
          <w:rStyle w:val="FootnoteReference"/>
        </w:rPr>
        <w:instrText xml:space="preserve"> NOTEREF _Ref135140344 \h  \* MERGEFORMAT </w:instrText>
      </w:r>
      <w:r w:rsidR="008057BB" w:rsidRPr="00410780">
        <w:rPr>
          <w:rStyle w:val="FootnoteReference"/>
        </w:rPr>
      </w:r>
      <w:r w:rsidR="008057BB" w:rsidRPr="00410780">
        <w:rPr>
          <w:rStyle w:val="FootnoteReference"/>
        </w:rPr>
        <w:fldChar w:fldCharType="separate"/>
      </w:r>
      <w:r w:rsidR="00410780">
        <w:rPr>
          <w:rStyle w:val="FootnoteReference"/>
        </w:rPr>
        <w:t>12</w:t>
      </w:r>
      <w:r w:rsidR="008057BB" w:rsidRPr="00410780">
        <w:rPr>
          <w:rStyle w:val="FootnoteReference"/>
        </w:rPr>
        <w:fldChar w:fldCharType="end"/>
      </w:r>
      <w:r w:rsidR="008057BB" w:rsidRPr="00410780">
        <w:rPr>
          <w:vertAlign w:val="superscript"/>
        </w:rPr>
        <w:t>,</w:t>
      </w:r>
      <w:bookmarkStart w:id="47" w:name="_Ref135142372"/>
      <w:r w:rsidRPr="008057BB">
        <w:rPr>
          <w:rStyle w:val="FootnoteReference"/>
        </w:rPr>
        <w:footnoteReference w:id="13"/>
      </w:r>
      <w:bookmarkEnd w:id="47"/>
      <w:r w:rsidR="008057BB" w:rsidRPr="00410780">
        <w:rPr>
          <w:vertAlign w:val="superscript"/>
        </w:rPr>
        <w:t>,</w:t>
      </w:r>
      <w:bookmarkStart w:id="48" w:name="_Ref135140924"/>
      <w:r w:rsidR="003835E2" w:rsidRPr="008057BB">
        <w:rPr>
          <w:rStyle w:val="FootnoteReference"/>
        </w:rPr>
        <w:footnoteReference w:id="14"/>
      </w:r>
      <w:bookmarkEnd w:id="48"/>
      <w:r w:rsidRPr="00410780">
        <w:rPr>
          <w:vertAlign w:val="superscript"/>
        </w:rPr>
        <w:t xml:space="preserve"> </w:t>
      </w:r>
      <w:r w:rsidRPr="001D1C05">
        <w:t>These studies were conducted using EU</w:t>
      </w:r>
      <w:r w:rsidR="003835E2">
        <w:t>-</w:t>
      </w:r>
      <w:r w:rsidRPr="001D1C05">
        <w:t>sourced N</w:t>
      </w:r>
      <w:r>
        <w:t>eulasta</w:t>
      </w:r>
      <w:r w:rsidRPr="001D1C05">
        <w:t xml:space="preserve"> as the reference product. No data were provided in </w:t>
      </w:r>
      <w:r>
        <w:t>the nonclinical dossier</w:t>
      </w:r>
      <w:r w:rsidRPr="001D1C05">
        <w:t xml:space="preserve"> to verify the comparability of the EU</w:t>
      </w:r>
      <w:r w:rsidR="003835E2">
        <w:noBreakHyphen/>
      </w:r>
      <w:r w:rsidRPr="001D1C05">
        <w:t>sourced and Australian</w:t>
      </w:r>
      <w:r w:rsidR="003835E2">
        <w:noBreakHyphen/>
      </w:r>
      <w:r w:rsidRPr="001D1C05">
        <w:t>sourced N</w:t>
      </w:r>
      <w:r>
        <w:t>eulasta</w:t>
      </w:r>
      <w:r w:rsidRPr="001D1C05">
        <w:t>.</w:t>
      </w:r>
    </w:p>
    <w:p w14:paraId="4923CF83" w14:textId="27B842F5" w:rsidR="001D1C05" w:rsidRDefault="001D1C05" w:rsidP="001D1C05">
      <w:r>
        <w:t xml:space="preserve">No meaningful differences between </w:t>
      </w:r>
      <w:proofErr w:type="spellStart"/>
      <w:r>
        <w:t>Filpegla</w:t>
      </w:r>
      <w:proofErr w:type="spellEnd"/>
      <w:r>
        <w:t xml:space="preserve"> and Neulasta;</w:t>
      </w:r>
      <w:r>
        <w:fldChar w:fldCharType="begin"/>
      </w:r>
      <w:r>
        <w:instrText xml:space="preserve"> NOTEREF _Ref132873574 \f \h </w:instrText>
      </w:r>
      <w:r>
        <w:fldChar w:fldCharType="separate"/>
      </w:r>
      <w:r w:rsidR="00410780" w:rsidRPr="00410780">
        <w:rPr>
          <w:rStyle w:val="FootnoteReference"/>
        </w:rPr>
        <w:t>4</w:t>
      </w:r>
      <w:r>
        <w:fldChar w:fldCharType="end"/>
      </w:r>
      <w:r>
        <w:t xml:space="preserve"> were observed in the comparative pharmacology, pharmacokinetic and toxicity studies, supporting biosimilarity.</w:t>
      </w:r>
    </w:p>
    <w:p w14:paraId="7DDCAEF3" w14:textId="64E13049" w:rsidR="001D1C05" w:rsidRDefault="001D1C05" w:rsidP="001D1C05">
      <w:r>
        <w:t xml:space="preserve">No injection site reactions were observed in pharmacology, </w:t>
      </w:r>
      <w:proofErr w:type="gramStart"/>
      <w:r>
        <w:t>toxicity</w:t>
      </w:r>
      <w:proofErr w:type="gramEnd"/>
      <w:r>
        <w:t xml:space="preserve"> and local tolerance studies.</w:t>
      </w:r>
    </w:p>
    <w:p w14:paraId="7E78B3D7" w14:textId="2754A5F5" w:rsidR="001D1C05" w:rsidRPr="001D1C05" w:rsidRDefault="001D1C05" w:rsidP="001D1C05">
      <w:r>
        <w:lastRenderedPageBreak/>
        <w:t>The ability of the nonclinical studies to support comparability to Australian Neulasta depend</w:t>
      </w:r>
      <w:r w:rsidR="003835E2">
        <w:t>ed</w:t>
      </w:r>
      <w:r>
        <w:t xml:space="preserve"> on the conclusion of the quality evaluator regarding the identity of Neulasta products across jurisdictions. Provided that EU</w:t>
      </w:r>
      <w:r w:rsidR="003835E2">
        <w:noBreakHyphen/>
      </w:r>
      <w:r>
        <w:t xml:space="preserve">sourced Neulasta </w:t>
      </w:r>
      <w:proofErr w:type="gramStart"/>
      <w:r>
        <w:t>is considered to be</w:t>
      </w:r>
      <w:proofErr w:type="gramEnd"/>
      <w:r>
        <w:t xml:space="preserve"> identical or highly comparable to the Australian product, there are no nonclinical objections to the registration of Filpegla.</w:t>
      </w:r>
    </w:p>
    <w:p w14:paraId="35B580A5" w14:textId="69B9BE44" w:rsidR="00C22214" w:rsidRDefault="00C22214" w:rsidP="008804CF">
      <w:pPr>
        <w:pStyle w:val="Heading3"/>
      </w:pPr>
      <w:bookmarkStart w:id="49" w:name="_Toc247691530"/>
      <w:bookmarkStart w:id="50" w:name="_Toc314842513"/>
      <w:bookmarkStart w:id="51" w:name="_Toc103679297"/>
      <w:bookmarkStart w:id="52" w:name="_Toc135296223"/>
      <w:r>
        <w:t>Clinical</w:t>
      </w:r>
      <w:bookmarkEnd w:id="49"/>
      <w:bookmarkEnd w:id="50"/>
      <w:bookmarkEnd w:id="51"/>
      <w:bookmarkEnd w:id="52"/>
    </w:p>
    <w:p w14:paraId="32B0DEDA" w14:textId="77777777" w:rsidR="00C22214" w:rsidRPr="00433318" w:rsidRDefault="00C22214" w:rsidP="00433318">
      <w:pPr>
        <w:pStyle w:val="Heading4"/>
      </w:pPr>
      <w:bookmarkStart w:id="53" w:name="_Toc98931928"/>
      <w:bookmarkStart w:id="54" w:name="_Toc135296224"/>
      <w:r>
        <w:t>Summary of clinical studies</w:t>
      </w:r>
      <w:bookmarkEnd w:id="53"/>
      <w:bookmarkEnd w:id="54"/>
    </w:p>
    <w:p w14:paraId="46622364" w14:textId="2C728F95" w:rsidR="00C22214" w:rsidRDefault="00C22214" w:rsidP="00C22214">
      <w:r>
        <w:t>The clinical dossier consisted of</w:t>
      </w:r>
      <w:r w:rsidR="007357B9">
        <w:t>:</w:t>
      </w:r>
      <w:r>
        <w:t xml:space="preserve"> </w:t>
      </w:r>
    </w:p>
    <w:p w14:paraId="3DF49722" w14:textId="50461D3F" w:rsidR="00C22214" w:rsidRDefault="001D1C05" w:rsidP="00C22214">
      <w:pPr>
        <w:pStyle w:val="ListBullet"/>
      </w:pPr>
      <w:r>
        <w:t xml:space="preserve">Two </w:t>
      </w:r>
      <w:r w:rsidR="00C22214">
        <w:t>Phase I studies</w:t>
      </w:r>
      <w:r w:rsidR="003835E2">
        <w:t>:</w:t>
      </w:r>
    </w:p>
    <w:p w14:paraId="3193902B" w14:textId="756F764D" w:rsidR="001D1C05" w:rsidRDefault="00707353" w:rsidP="001D1C05">
      <w:pPr>
        <w:pStyle w:val="ListBullet2"/>
      </w:pPr>
      <w:r>
        <w:t xml:space="preserve">Study </w:t>
      </w:r>
      <w:r w:rsidR="001D1C05">
        <w:t>PEGF/USV/P1/001, a pharmacokinetic/ pharmacodyna</w:t>
      </w:r>
      <w:r w:rsidR="001D1C05" w:rsidRPr="00707353">
        <w:t>mic (PK/PD)</w:t>
      </w:r>
      <w:r w:rsidR="001D1C05">
        <w:t xml:space="preserve"> crossover study comparing USV pegfilgrastim with EMA</w:t>
      </w:r>
      <w:r w:rsidR="003835E2">
        <w:t>-</w:t>
      </w:r>
      <w:r w:rsidR="001D1C05">
        <w:t>approved Neulasta single injection 6 mg in 156 healthy subjects</w:t>
      </w:r>
    </w:p>
    <w:p w14:paraId="1136219C" w14:textId="1ABBC381" w:rsidR="001D1C05" w:rsidRDefault="00707353" w:rsidP="001D1C05">
      <w:pPr>
        <w:pStyle w:val="ListBullet2"/>
      </w:pPr>
      <w:r>
        <w:t xml:space="preserve">Study </w:t>
      </w:r>
      <w:r w:rsidR="001D1C05">
        <w:t>PEGF/USV/P1/003, a PK/PD crossover study of USV pegfilgrastim with Neulasta single injection 2 mg in healthy male subjects</w:t>
      </w:r>
    </w:p>
    <w:p w14:paraId="6B56CB17" w14:textId="2FB0101E" w:rsidR="00C22214" w:rsidRDefault="001D1C05" w:rsidP="00C22214">
      <w:pPr>
        <w:pStyle w:val="ListBullet"/>
      </w:pPr>
      <w:r>
        <w:t xml:space="preserve">One </w:t>
      </w:r>
      <w:r w:rsidR="00C22214">
        <w:t>Phase II</w:t>
      </w:r>
      <w:r>
        <w:t>I</w:t>
      </w:r>
      <w:r w:rsidR="00C22214">
        <w:t xml:space="preserve"> </w:t>
      </w:r>
      <w:r>
        <w:t xml:space="preserve">randomised </w:t>
      </w:r>
      <w:r w:rsidR="00C22214">
        <w:t>stud</w:t>
      </w:r>
      <w:r>
        <w:t>y</w:t>
      </w:r>
      <w:r w:rsidR="003835E2">
        <w:t>:</w:t>
      </w:r>
    </w:p>
    <w:p w14:paraId="198BBD4E" w14:textId="405787AE" w:rsidR="001D1C05" w:rsidRDefault="00707353" w:rsidP="001D1C05">
      <w:pPr>
        <w:pStyle w:val="ListBullet2"/>
      </w:pPr>
      <w:r>
        <w:t xml:space="preserve">Study </w:t>
      </w:r>
      <w:r w:rsidR="001D1C05" w:rsidRPr="001D1C05">
        <w:t xml:space="preserve">PEGF/USV/P3/003, a </w:t>
      </w:r>
      <w:r w:rsidR="001D1C05">
        <w:t>P</w:t>
      </w:r>
      <w:r w:rsidR="001D1C05" w:rsidRPr="001D1C05">
        <w:t>hase III, randomised active</w:t>
      </w:r>
      <w:r w:rsidR="001D1C05">
        <w:t xml:space="preserve"> </w:t>
      </w:r>
      <w:r w:rsidR="001D1C05" w:rsidRPr="001D1C05">
        <w:t>controlled, parallel group study comparing the efficacy and safety of USV pegfilgrastim with Neulasta in female patients with breast cancer.</w:t>
      </w:r>
    </w:p>
    <w:p w14:paraId="189A8A79" w14:textId="29529AF4" w:rsidR="001D1C05" w:rsidRDefault="001D1C05" w:rsidP="001D1C05">
      <w:pPr>
        <w:pStyle w:val="Heading4"/>
      </w:pPr>
      <w:bookmarkStart w:id="55" w:name="_Toc135296225"/>
      <w:r w:rsidRPr="001D1C05">
        <w:t>Pharmacokinetics and Pharmacodynamics</w:t>
      </w:r>
      <w:bookmarkEnd w:id="55"/>
    </w:p>
    <w:p w14:paraId="4F1F86A5" w14:textId="488510BC" w:rsidR="001D1C05" w:rsidRDefault="001D1C05" w:rsidP="001D1C05">
      <w:r>
        <w:t xml:space="preserve">In line with TGA-adopted </w:t>
      </w:r>
      <w:r w:rsidR="003835E2">
        <w:t>g</w:t>
      </w:r>
      <w:r>
        <w:t>uidance for recombinant G-CSF</w:t>
      </w:r>
      <w:r w:rsidR="003835E2">
        <w:t>;</w:t>
      </w:r>
      <w:r w:rsidR="00755133" w:rsidRPr="00410780">
        <w:rPr>
          <w:vertAlign w:val="superscript"/>
        </w:rPr>
        <w:fldChar w:fldCharType="begin"/>
      </w:r>
      <w:r w:rsidR="00755133" w:rsidRPr="00410780">
        <w:rPr>
          <w:vertAlign w:val="superscript"/>
        </w:rPr>
        <w:instrText xml:space="preserve"> NOTEREF _Ref135140924 \h </w:instrText>
      </w:r>
      <w:r w:rsidR="00755133">
        <w:rPr>
          <w:vertAlign w:val="superscript"/>
        </w:rPr>
        <w:instrText xml:space="preserve"> \* MERGEFORMAT </w:instrText>
      </w:r>
      <w:r w:rsidR="00755133" w:rsidRPr="00410780">
        <w:rPr>
          <w:vertAlign w:val="superscript"/>
        </w:rPr>
      </w:r>
      <w:r w:rsidR="00755133" w:rsidRPr="00410780">
        <w:rPr>
          <w:vertAlign w:val="superscript"/>
        </w:rPr>
        <w:fldChar w:fldCharType="separate"/>
      </w:r>
      <w:r w:rsidR="00410780">
        <w:rPr>
          <w:vertAlign w:val="superscript"/>
        </w:rPr>
        <w:t>14</w:t>
      </w:r>
      <w:r w:rsidR="00755133" w:rsidRPr="00410780">
        <w:rPr>
          <w:vertAlign w:val="superscript"/>
        </w:rPr>
        <w:fldChar w:fldCharType="end"/>
      </w:r>
      <w:r>
        <w:t xml:space="preserve"> pharmacokinetic (PK) and pharmacodynamic (PD) characteristics of Filpegla were compared with </w:t>
      </w:r>
      <w:r w:rsidR="00707353">
        <w:t xml:space="preserve">a </w:t>
      </w:r>
      <w:r>
        <w:t>reference medicinal product in single dose crossover studies.</w:t>
      </w:r>
    </w:p>
    <w:p w14:paraId="610F57E8" w14:textId="707FAA35" w:rsidR="001D1C05" w:rsidRDefault="001D1C05" w:rsidP="001D1C05">
      <w:r>
        <w:t>Two Phase I studies in healthy adults were submitted for evaluation, Study PEGF/USV/P1/001 (main study) and Study PEGF/USV/P1/003 (PK parameters were not compared formally in this study). The objectives were to demonstrate comparability to the reference pegfilgrastim product Neulasta with respect to PK and PD variables and safety.</w:t>
      </w:r>
    </w:p>
    <w:p w14:paraId="14E83701" w14:textId="7C64DD11" w:rsidR="001D1C05" w:rsidRDefault="001D1C05" w:rsidP="001D1C05">
      <w:pPr>
        <w:pStyle w:val="Heading5"/>
      </w:pPr>
      <w:r>
        <w:t xml:space="preserve">Study </w:t>
      </w:r>
      <w:r w:rsidRPr="001D1C05">
        <w:t>PEGF/USV/P1/001</w:t>
      </w:r>
    </w:p>
    <w:p w14:paraId="25483E7B" w14:textId="179A7D1D" w:rsidR="001D1C05" w:rsidRDefault="001D1C05" w:rsidP="001D1C05">
      <w:r w:rsidRPr="001D1C05">
        <w:t>Study PEGF/USV/P1/001 was a randomised, double</w:t>
      </w:r>
      <w:r>
        <w:t xml:space="preserve"> </w:t>
      </w:r>
      <w:r w:rsidRPr="001D1C05">
        <w:t xml:space="preserve">blind, two </w:t>
      </w:r>
      <w:proofErr w:type="gramStart"/>
      <w:r w:rsidRPr="001D1C05">
        <w:t>treatment</w:t>
      </w:r>
      <w:proofErr w:type="gramEnd"/>
      <w:r w:rsidRPr="001D1C05">
        <w:t>, two period, two sequence crossover study</w:t>
      </w:r>
      <w:r>
        <w:t>.</w:t>
      </w:r>
    </w:p>
    <w:p w14:paraId="1CBE89C5" w14:textId="167EB2F1" w:rsidR="001D1C05" w:rsidRDefault="001D1C05" w:rsidP="001D1C05">
      <w:pPr>
        <w:pStyle w:val="Heading6"/>
      </w:pPr>
      <w:r>
        <w:t>Study objectives</w:t>
      </w:r>
    </w:p>
    <w:p w14:paraId="143877F3" w14:textId="238927F0" w:rsidR="001D1C05" w:rsidRDefault="001D1C05" w:rsidP="001D1C05">
      <w:pPr>
        <w:pStyle w:val="ListBullet"/>
      </w:pPr>
      <w:r>
        <w:t>Primary objectives</w:t>
      </w:r>
    </w:p>
    <w:p w14:paraId="322A7CA5" w14:textId="7A93533C" w:rsidR="001D1C05" w:rsidRDefault="001D1C05" w:rsidP="001D1C05">
      <w:pPr>
        <w:pStyle w:val="ListBullet2"/>
      </w:pPr>
      <w:r>
        <w:t>To compare the PD of USV pegfilgrastim and Neulasta following a single subcutaneous dose of 6 mg</w:t>
      </w:r>
    </w:p>
    <w:p w14:paraId="5A27B924" w14:textId="25B6D70E" w:rsidR="001D1C05" w:rsidRDefault="001D1C05" w:rsidP="001D1C05">
      <w:pPr>
        <w:pStyle w:val="ListBullet2"/>
      </w:pPr>
      <w:r>
        <w:t>To compare the PK of USV pegfilgrastim and Neulasta following a single subcutaneous dose of 6 mg</w:t>
      </w:r>
    </w:p>
    <w:p w14:paraId="02091EFE" w14:textId="2AC33ECC" w:rsidR="001D1C05" w:rsidRDefault="001D1C05" w:rsidP="001D1C05">
      <w:pPr>
        <w:pStyle w:val="ListBullet"/>
      </w:pPr>
      <w:r>
        <w:t>Secondary objectives</w:t>
      </w:r>
    </w:p>
    <w:p w14:paraId="1F4CEA62" w14:textId="27645656" w:rsidR="001D1C05" w:rsidRDefault="001D1C05" w:rsidP="001D1C05">
      <w:pPr>
        <w:pStyle w:val="ListBullet2"/>
      </w:pPr>
      <w:r w:rsidRPr="001D1C05">
        <w:t xml:space="preserve">To provide additional safety and local tolerance information for USV </w:t>
      </w:r>
      <w:r>
        <w:t>p</w:t>
      </w:r>
      <w:r w:rsidRPr="001D1C05">
        <w:t>egfilgrastim and Neulasta</w:t>
      </w:r>
    </w:p>
    <w:p w14:paraId="44C48B2E" w14:textId="29545B04" w:rsidR="001D1C05" w:rsidRDefault="001D1C05" w:rsidP="001D1C05">
      <w:pPr>
        <w:pStyle w:val="Heading6"/>
      </w:pPr>
      <w:r>
        <w:lastRenderedPageBreak/>
        <w:t>Primary endpoints</w:t>
      </w:r>
    </w:p>
    <w:p w14:paraId="24346645" w14:textId="7288C55C" w:rsidR="001D1C05" w:rsidRDefault="001D1C05" w:rsidP="001D1C05">
      <w:pPr>
        <w:pStyle w:val="ListBullet"/>
      </w:pPr>
      <w:r>
        <w:t>Pharmacokinetics</w:t>
      </w:r>
    </w:p>
    <w:p w14:paraId="04085F80" w14:textId="043D8A63" w:rsidR="001D1C05" w:rsidRPr="00707353" w:rsidRDefault="00755133" w:rsidP="001D1C05">
      <w:pPr>
        <w:pStyle w:val="ListBullet2"/>
      </w:pPr>
      <w:r>
        <w:t>Exposure/a</w:t>
      </w:r>
      <w:r w:rsidR="001D1C05" w:rsidRPr="001D1C05">
        <w:t xml:space="preserve">rea under the concentration time curve from time zero to time of last quantifiable </w:t>
      </w:r>
      <w:r w:rsidR="001D1C05" w:rsidRPr="00707353">
        <w:t>concentration (AUC</w:t>
      </w:r>
      <w:r w:rsidR="001D1C05" w:rsidRPr="00707353">
        <w:rPr>
          <w:vertAlign w:val="subscript"/>
        </w:rPr>
        <w:t>0-last</w:t>
      </w:r>
      <w:r w:rsidR="001D1C05" w:rsidRPr="00707353">
        <w:t>) and maximum concentration (C</w:t>
      </w:r>
      <w:r w:rsidR="001D1C05" w:rsidRPr="00707353">
        <w:rPr>
          <w:vertAlign w:val="subscript"/>
        </w:rPr>
        <w:t>max</w:t>
      </w:r>
      <w:r w:rsidR="001D1C05" w:rsidRPr="00707353">
        <w:t>)</w:t>
      </w:r>
    </w:p>
    <w:p w14:paraId="6C715105" w14:textId="3D534994" w:rsidR="001D1C05" w:rsidRPr="00707353" w:rsidRDefault="001D1C05" w:rsidP="001D1C05">
      <w:pPr>
        <w:pStyle w:val="ListBullet"/>
      </w:pPr>
      <w:r w:rsidRPr="00707353">
        <w:t>Pharmacodynamics</w:t>
      </w:r>
    </w:p>
    <w:p w14:paraId="3F3A9512" w14:textId="221AFFF4" w:rsidR="001D1C05" w:rsidRPr="00707353" w:rsidRDefault="001D1C05" w:rsidP="001D1C05">
      <w:pPr>
        <w:pStyle w:val="ListBullet2"/>
      </w:pPr>
      <w:r w:rsidRPr="00707353">
        <w:t>Absolute neutrophil count (ANC)</w:t>
      </w:r>
    </w:p>
    <w:p w14:paraId="00D9F881" w14:textId="4E1CE89F" w:rsidR="001D1C05" w:rsidRDefault="001D1C05" w:rsidP="001D1C05">
      <w:pPr>
        <w:pStyle w:val="Heading6"/>
      </w:pPr>
      <w:r>
        <w:t>Participants</w:t>
      </w:r>
    </w:p>
    <w:p w14:paraId="4614FC45" w14:textId="3EA0E666" w:rsidR="001D1C05" w:rsidRDefault="001D1C05" w:rsidP="001D1C05">
      <w:r>
        <w:t xml:space="preserve">A total </w:t>
      </w:r>
      <w:r w:rsidRPr="001D1C05">
        <w:t xml:space="preserve">156 healthy male and female subjects randomised (78 subjects to sequence AB: USV </w:t>
      </w:r>
      <w:r>
        <w:t>p</w:t>
      </w:r>
      <w:r w:rsidRPr="001D1C05">
        <w:t>egfilgrastim followed by EU</w:t>
      </w:r>
      <w:r w:rsidR="00755133">
        <w:t>-sourced</w:t>
      </w:r>
      <w:r>
        <w:t xml:space="preserve"> </w:t>
      </w:r>
      <w:r w:rsidRPr="001D1C05">
        <w:t>Neulasta and 78 subjects to sequence BA: EU</w:t>
      </w:r>
      <w:r w:rsidR="00755133">
        <w:t>-sourced</w:t>
      </w:r>
      <w:r>
        <w:t xml:space="preserve"> </w:t>
      </w:r>
      <w:r w:rsidRPr="001D1C05">
        <w:t xml:space="preserve">Neulasta followed by USV </w:t>
      </w:r>
      <w:r>
        <w:t>p</w:t>
      </w:r>
      <w:r w:rsidRPr="001D1C05">
        <w:t>egfilgrastim)</w:t>
      </w:r>
      <w:r>
        <w:t>.</w:t>
      </w:r>
    </w:p>
    <w:p w14:paraId="00C7D712" w14:textId="59929FF2" w:rsidR="001D1C05" w:rsidRDefault="001D1C05" w:rsidP="001D1C05">
      <w:pPr>
        <w:pStyle w:val="Heading6"/>
      </w:pPr>
      <w:r>
        <w:t>Key inclusion criteria</w:t>
      </w:r>
    </w:p>
    <w:p w14:paraId="2C130006" w14:textId="2E00F1BF" w:rsidR="001D1C05" w:rsidRDefault="001D1C05" w:rsidP="001D1C05">
      <w:pPr>
        <w:pStyle w:val="ListBullet"/>
      </w:pPr>
      <w:r>
        <w:t>Healthy male subjects or non-pregnant/non-lactating healthy female subject</w:t>
      </w:r>
      <w:r w:rsidR="00707353">
        <w:t>s</w:t>
      </w:r>
    </w:p>
    <w:p w14:paraId="6FF4B500" w14:textId="77777777" w:rsidR="001D1C05" w:rsidRDefault="001D1C05" w:rsidP="001D1C05">
      <w:pPr>
        <w:pStyle w:val="ListBullet"/>
      </w:pPr>
      <w:r>
        <w:t>Aged between 18 and 55 years</w:t>
      </w:r>
    </w:p>
    <w:p w14:paraId="19D0C480" w14:textId="779F18BF" w:rsidR="001D1C05" w:rsidRDefault="00755133" w:rsidP="001D1C05">
      <w:pPr>
        <w:pStyle w:val="ListBullet"/>
      </w:pPr>
      <w:r>
        <w:t>Body mass index (</w:t>
      </w:r>
      <w:r w:rsidR="001D1C05">
        <w:t>BMI</w:t>
      </w:r>
      <w:r>
        <w:t>)</w:t>
      </w:r>
      <w:r w:rsidR="001D1C05">
        <w:t xml:space="preserve"> between 18 and 32 kg/m</w:t>
      </w:r>
      <w:r w:rsidR="001D1C05" w:rsidRPr="00707353">
        <w:rPr>
          <w:vertAlign w:val="superscript"/>
        </w:rPr>
        <w:t>2</w:t>
      </w:r>
    </w:p>
    <w:p w14:paraId="690EF7E7" w14:textId="33009905" w:rsidR="001D1C05" w:rsidRDefault="001D1C05" w:rsidP="001D1C05">
      <w:pPr>
        <w:pStyle w:val="ListBullet"/>
      </w:pPr>
      <w:r>
        <w:t>Body weight above 55 kg</w:t>
      </w:r>
    </w:p>
    <w:p w14:paraId="19C97E95" w14:textId="4996B96D" w:rsidR="001D1C05" w:rsidRDefault="001D1C05" w:rsidP="001D1C05">
      <w:pPr>
        <w:pStyle w:val="Heading6"/>
      </w:pPr>
      <w:r>
        <w:t>Key exclusion criteria</w:t>
      </w:r>
    </w:p>
    <w:p w14:paraId="6C4725F3" w14:textId="7E4BC778" w:rsidR="001D1C05" w:rsidRDefault="001D1C05" w:rsidP="001D1C05">
      <w:pPr>
        <w:pStyle w:val="ListBullet"/>
      </w:pPr>
      <w:r>
        <w:t xml:space="preserve">Hypersensitivity to any of </w:t>
      </w:r>
      <w:r w:rsidRPr="00707353">
        <w:t>investigational medicinal products (IMPs) or</w:t>
      </w:r>
      <w:r>
        <w:t xml:space="preserve"> their constituents</w:t>
      </w:r>
    </w:p>
    <w:p w14:paraId="0087CAB3" w14:textId="77777777" w:rsidR="001D1C05" w:rsidRDefault="001D1C05" w:rsidP="001D1C05">
      <w:pPr>
        <w:pStyle w:val="ListBullet"/>
      </w:pPr>
      <w:r>
        <w:t xml:space="preserve">Prior exposure to filgrastim, </w:t>
      </w:r>
      <w:proofErr w:type="spellStart"/>
      <w:r>
        <w:t>pegfilgrastim</w:t>
      </w:r>
      <w:proofErr w:type="spellEnd"/>
      <w:r>
        <w:t xml:space="preserve"> or </w:t>
      </w:r>
      <w:proofErr w:type="spellStart"/>
      <w:r>
        <w:t>lenograstim</w:t>
      </w:r>
      <w:proofErr w:type="spellEnd"/>
    </w:p>
    <w:p w14:paraId="7477EC65" w14:textId="13513F6F" w:rsidR="001D1C05" w:rsidRDefault="001D1C05" w:rsidP="001D1C05">
      <w:pPr>
        <w:pStyle w:val="ListBullet"/>
      </w:pPr>
      <w:r>
        <w:t>Contraindication to paracetamol and non-steroidal anti-inflammatory drugs</w:t>
      </w:r>
    </w:p>
    <w:p w14:paraId="37B4E7D0" w14:textId="4C4830BC" w:rsidR="001D1C05" w:rsidRDefault="001D1C05" w:rsidP="001D1C05">
      <w:pPr>
        <w:pStyle w:val="ListBullet"/>
      </w:pPr>
      <w:r w:rsidRPr="001D1C05">
        <w:t>Absolute neutrophil count</w:t>
      </w:r>
      <w:r>
        <w:t xml:space="preserve"> outside the reference range of 2.0 to 7.5 x 10</w:t>
      </w:r>
      <w:r w:rsidRPr="001D1C05">
        <w:rPr>
          <w:vertAlign w:val="superscript"/>
        </w:rPr>
        <w:t>9</w:t>
      </w:r>
      <w:r>
        <w:t>/L</w:t>
      </w:r>
    </w:p>
    <w:p w14:paraId="36545993" w14:textId="0C6F23B4" w:rsidR="001D1C05" w:rsidRDefault="001D1C05" w:rsidP="001D1C05">
      <w:pPr>
        <w:pStyle w:val="ListBullet"/>
      </w:pPr>
      <w:r>
        <w:t>Platelet count outside the limits of reference range of 150 to 400 x 10</w:t>
      </w:r>
      <w:r w:rsidRPr="001D1C05">
        <w:rPr>
          <w:vertAlign w:val="superscript"/>
        </w:rPr>
        <w:t>9</w:t>
      </w:r>
      <w:r>
        <w:t>/L</w:t>
      </w:r>
    </w:p>
    <w:p w14:paraId="1EB96E95" w14:textId="220C3C81" w:rsidR="001D1C05" w:rsidRDefault="001D1C05" w:rsidP="001D1C05">
      <w:pPr>
        <w:pStyle w:val="Heading6"/>
      </w:pPr>
      <w:r>
        <w:t>Study drugs</w:t>
      </w:r>
    </w:p>
    <w:p w14:paraId="3FFE3EF4" w14:textId="47F29E8E" w:rsidR="001D1C05" w:rsidRDefault="001D1C05" w:rsidP="001D1C05">
      <w:pPr>
        <w:pStyle w:val="ListBullet"/>
      </w:pPr>
      <w:r>
        <w:t>Test product: USV pegfilgrastim, single 6 mg/0.6mL subcutaneous injection</w:t>
      </w:r>
    </w:p>
    <w:p w14:paraId="17C1EE29" w14:textId="02EF7068" w:rsidR="001D1C05" w:rsidRDefault="001D1C05" w:rsidP="001D1C05">
      <w:pPr>
        <w:pStyle w:val="ListBullet"/>
      </w:pPr>
      <w:r>
        <w:t>Reference product: EU</w:t>
      </w:r>
      <w:r w:rsidR="00755133">
        <w:t>-sourced</w:t>
      </w:r>
      <w:r>
        <w:t xml:space="preserve"> Neulasta, single 6 mg subcutaneous injection</w:t>
      </w:r>
    </w:p>
    <w:p w14:paraId="4A79F276" w14:textId="08828AF8" w:rsidR="001D1C05" w:rsidRDefault="001D1C05" w:rsidP="001D1C05">
      <w:r>
        <w:t>There was a washout period of at least 28 days between Period 1 and Period 2</w:t>
      </w:r>
      <w:r w:rsidR="00707353">
        <w:t>.</w:t>
      </w:r>
    </w:p>
    <w:p w14:paraId="1D8B2F79" w14:textId="27100115" w:rsidR="001D1C05" w:rsidRDefault="001D1C05" w:rsidP="001D1C05">
      <w:pPr>
        <w:pStyle w:val="Heading6"/>
      </w:pPr>
      <w:r>
        <w:t>Statistical analysis</w:t>
      </w:r>
    </w:p>
    <w:p w14:paraId="7769B7F0" w14:textId="4822BAA9" w:rsidR="001D1C05" w:rsidRDefault="001D1C05" w:rsidP="001D1C05">
      <w:pPr>
        <w:pStyle w:val="ListBullet"/>
      </w:pPr>
      <w:r>
        <w:t>Pharmacokinetic equivalence: the 90% confidence in</w:t>
      </w:r>
      <w:r w:rsidRPr="00707353">
        <w:t>terval (CI)</w:t>
      </w:r>
      <w:r>
        <w:t xml:space="preserve"> for the ratio of adjusted geometric means of AUC</w:t>
      </w:r>
      <w:r w:rsidRPr="001D1C05">
        <w:rPr>
          <w:vertAlign w:val="subscript"/>
        </w:rPr>
        <w:t>0-last</w:t>
      </w:r>
      <w:r>
        <w:t xml:space="preserve"> for USV pegfilgrastim to EU</w:t>
      </w:r>
      <w:r w:rsidR="00755133">
        <w:t>-sourced</w:t>
      </w:r>
      <w:r>
        <w:t xml:space="preserve"> Neulasta should be within 80% to 125%</w:t>
      </w:r>
    </w:p>
    <w:p w14:paraId="2C065367" w14:textId="0C32C5B0" w:rsidR="001D1C05" w:rsidRDefault="001D1C05" w:rsidP="001D1C05">
      <w:pPr>
        <w:pStyle w:val="ListBullet"/>
      </w:pPr>
      <w:r>
        <w:t xml:space="preserve">Pharmacodynamic equivalence: the 95% CI for the ratio of adjusted geometric means of </w:t>
      </w:r>
      <w:r w:rsidR="00755133">
        <w:t>absolute neutrophil count (</w:t>
      </w:r>
      <w:r>
        <w:t>ANC</w:t>
      </w:r>
      <w:r w:rsidR="00755133">
        <w:t>)</w:t>
      </w:r>
      <w:r>
        <w:t xml:space="preserve"> for USV pegfilgrastim to EU</w:t>
      </w:r>
      <w:r w:rsidR="00755133">
        <w:t>-sourced</w:t>
      </w:r>
      <w:r>
        <w:t xml:space="preserve"> Neulasta should be within 90% and 111.11%</w:t>
      </w:r>
      <w:r w:rsidR="00755133">
        <w:t>.</w:t>
      </w:r>
    </w:p>
    <w:p w14:paraId="68ED8C6F" w14:textId="4C19DBBD" w:rsidR="001D1C05" w:rsidRDefault="001D1C05" w:rsidP="001D1C05">
      <w:r>
        <w:t xml:space="preserve">The two study periods (for either treatment sequence AB or BA) were separated by a washout interval period of at least 28 days. During each period, the test or reference product was administered on the morning of </w:t>
      </w:r>
      <w:proofErr w:type="spellStart"/>
      <w:r>
        <w:t>Day</w:t>
      </w:r>
      <w:proofErr w:type="spellEnd"/>
      <w:r>
        <w:t xml:space="preserve"> 1 after a light breakfast; PD</w:t>
      </w:r>
      <w:r w:rsidR="00707353">
        <w:t xml:space="preserve">, </w:t>
      </w:r>
      <w:r>
        <w:t>PK</w:t>
      </w:r>
      <w:r w:rsidR="00707353">
        <w:t xml:space="preserve"> and </w:t>
      </w:r>
      <w:r>
        <w:t>safety assessments were performed on Days 8, 10 and 14; a final safety assessment on Day 29 (+/-3 days) of Period 2 was also performed.</w:t>
      </w:r>
    </w:p>
    <w:p w14:paraId="4D0931D6" w14:textId="0F524F7A" w:rsidR="001D1C05" w:rsidRDefault="001D1C05" w:rsidP="001D1C05">
      <w:r>
        <w:lastRenderedPageBreak/>
        <w:t xml:space="preserve">The overall estimation of 132 evaluable subjects assumed an 80% power to demonstrate bioequivalence (90% CI of 80% to 125%) and a true ratio of 1.05 using an intra-subject variability of 60%, allowing for a potential dropout of 15% to yield a randomisation number of 156 subjects into a </w:t>
      </w:r>
      <w:r w:rsidR="00707353">
        <w:t>two</w:t>
      </w:r>
      <w:r>
        <w:t>-way crossover design study.</w:t>
      </w:r>
    </w:p>
    <w:p w14:paraId="532DCE85" w14:textId="2041A976" w:rsidR="001D1C05" w:rsidRDefault="001D1C05" w:rsidP="001D1C05">
      <w:pPr>
        <w:pStyle w:val="Heading6"/>
      </w:pPr>
      <w:r>
        <w:t>Pharmacokinetics</w:t>
      </w:r>
    </w:p>
    <w:p w14:paraId="21688F4A" w14:textId="4AFC097D" w:rsidR="001D1C05" w:rsidRDefault="001D1C05" w:rsidP="001D1C05">
      <w:r>
        <w:t>The primary PK endpoint was AUC</w:t>
      </w:r>
      <w:r w:rsidRPr="001D1C05">
        <w:rPr>
          <w:vertAlign w:val="subscript"/>
        </w:rPr>
        <w:t>0-last</w:t>
      </w:r>
      <w:r>
        <w:t>. Pharmacokinetic parameters AUC</w:t>
      </w:r>
      <w:r w:rsidRPr="001D1C05">
        <w:rPr>
          <w:vertAlign w:val="subscript"/>
        </w:rPr>
        <w:t>0-last</w:t>
      </w:r>
      <w:r>
        <w:t>, a</w:t>
      </w:r>
      <w:r w:rsidRPr="001D1C05">
        <w:t xml:space="preserve">rea under the concentration time curve from time zero to infinity </w:t>
      </w:r>
      <w:r>
        <w:t>(AUC</w:t>
      </w:r>
      <w:r w:rsidRPr="001D1C05">
        <w:rPr>
          <w:vertAlign w:val="subscript"/>
        </w:rPr>
        <w:t>0-inf</w:t>
      </w:r>
      <w:r>
        <w:t>) and C</w:t>
      </w:r>
      <w:r w:rsidRPr="001D1C05">
        <w:rPr>
          <w:vertAlign w:val="subscript"/>
        </w:rPr>
        <w:t>max</w:t>
      </w:r>
      <w:r>
        <w:t xml:space="preserve"> for pegfilgrastim were analysed using analysis of </w:t>
      </w:r>
      <w:r w:rsidRPr="00707353">
        <w:t>variance (ANOVA) techniques</w:t>
      </w:r>
      <w:r>
        <w:t xml:space="preserve"> for a crossover design, including terms for treatment, period, </w:t>
      </w:r>
      <w:proofErr w:type="gramStart"/>
      <w:r>
        <w:t>sequence</w:t>
      </w:r>
      <w:proofErr w:type="gramEnd"/>
      <w:r>
        <w:t xml:space="preserve"> and subject within sequence. A 90% CI for the ratio of the adjusted geometric means for test (USV pegfilgrastim; Treatment A) and reference (Neulasta; Treatment B) products </w:t>
      </w:r>
      <w:r w:rsidR="0075290A">
        <w:t xml:space="preserve">were </w:t>
      </w:r>
      <w:r>
        <w:t>calculated. The 90% CI for the ratio of adjusted geometric means of AUC</w:t>
      </w:r>
      <w:r w:rsidRPr="001D1C05">
        <w:rPr>
          <w:vertAlign w:val="subscript"/>
        </w:rPr>
        <w:t>0-last</w:t>
      </w:r>
      <w:r>
        <w:t xml:space="preserve"> for USV pegfilgrastim versus EU</w:t>
      </w:r>
      <w:r w:rsidR="00755133">
        <w:t>-sourced</w:t>
      </w:r>
      <w:r>
        <w:t xml:space="preserve"> Neulasta should be within 80% to 125%.</w:t>
      </w:r>
    </w:p>
    <w:p w14:paraId="78246221" w14:textId="3AB5A042" w:rsidR="001D1C05" w:rsidRDefault="001D1C05" w:rsidP="001D1C05">
      <w:pPr>
        <w:pStyle w:val="TableTitle0"/>
      </w:pPr>
      <w:r>
        <w:t xml:space="preserve">Table </w:t>
      </w:r>
      <w:r w:rsidR="00C171EF">
        <w:fldChar w:fldCharType="begin"/>
      </w:r>
      <w:r w:rsidR="00C171EF">
        <w:instrText xml:space="preserve"> SEQ Table \* ARABIC </w:instrText>
      </w:r>
      <w:r w:rsidR="00C171EF">
        <w:fldChar w:fldCharType="separate"/>
      </w:r>
      <w:r w:rsidR="00410780">
        <w:rPr>
          <w:noProof/>
        </w:rPr>
        <w:t>3</w:t>
      </w:r>
      <w:r w:rsidR="00C171EF">
        <w:rPr>
          <w:noProof/>
        </w:rPr>
        <w:fldChar w:fldCharType="end"/>
      </w:r>
      <w:r>
        <w:t xml:space="preserve">: </w:t>
      </w:r>
      <w:r w:rsidR="00755133" w:rsidRPr="001D1C05">
        <w:t xml:space="preserve">Study PEGF/USV/P1/001 </w:t>
      </w:r>
      <w:r>
        <w:t>Adjusted geometric mean estimates (geometric coefficient of variation) of key pharmacokinetic parameters for USV pegfilgrastim and Neulasta</w:t>
      </w:r>
    </w:p>
    <w:p w14:paraId="1843C6BB" w14:textId="53BB693B" w:rsidR="001D1C05" w:rsidRDefault="001D1C05" w:rsidP="001D1C05">
      <w:r>
        <w:rPr>
          <w:noProof/>
          <w:lang w:val="en-GB" w:eastAsia="en-GB"/>
        </w:rPr>
        <w:drawing>
          <wp:inline distT="0" distB="0" distL="0" distR="0" wp14:anchorId="20569254" wp14:editId="534E5813">
            <wp:extent cx="5037455" cy="2133600"/>
            <wp:effectExtent l="0" t="0" r="0" b="0"/>
            <wp:docPr id="2" name="Picture 2" descr="Adjusted geometric mean estimates (geometric coefficient of variation) of key pharmacokinetic parameters for USV pegfilgrastim and Neul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djusted geometric mean estimates (geometric coefficient of variation) of key pharmacokinetic parameters for USV pegfilgrastim and Neulasta"/>
                    <pic:cNvPicPr>
                      <a:picLocks noChangeAspect="1" noChangeArrowheads="1"/>
                    </pic:cNvPicPr>
                  </pic:nvPicPr>
                  <pic:blipFill rotWithShape="1">
                    <a:blip r:embed="rId31">
                      <a:extLst>
                        <a:ext uri="{28A0092B-C50C-407E-A947-70E740481C1C}">
                          <a14:useLocalDpi xmlns:a14="http://schemas.microsoft.com/office/drawing/2010/main" val="0"/>
                        </a:ext>
                      </a:extLst>
                    </a:blip>
                    <a:srcRect l="1122" t="22794" r="1" b="3290"/>
                    <a:stretch/>
                  </pic:blipFill>
                  <pic:spPr bwMode="auto">
                    <a:xfrm>
                      <a:off x="0" y="0"/>
                      <a:ext cx="5040250" cy="2134784"/>
                    </a:xfrm>
                    <a:prstGeom prst="rect">
                      <a:avLst/>
                    </a:prstGeom>
                    <a:noFill/>
                    <a:ln>
                      <a:noFill/>
                    </a:ln>
                    <a:extLst>
                      <a:ext uri="{53640926-AAD7-44D8-BBD7-CCE9431645EC}">
                        <a14:shadowObscured xmlns:a14="http://schemas.microsoft.com/office/drawing/2010/main"/>
                      </a:ext>
                    </a:extLst>
                  </pic:spPr>
                </pic:pic>
              </a:graphicData>
            </a:graphic>
          </wp:inline>
        </w:drawing>
      </w:r>
    </w:p>
    <w:p w14:paraId="2F135928" w14:textId="77777777" w:rsidR="001D1C05" w:rsidRDefault="001D1C05" w:rsidP="001D1C05">
      <w:pPr>
        <w:pStyle w:val="Tabledescription"/>
      </w:pPr>
      <w:r>
        <w:t xml:space="preserve">Abbreviations: SC = subcutaneous, </w:t>
      </w:r>
      <w:proofErr w:type="spellStart"/>
      <w:r>
        <w:t>T</w:t>
      </w:r>
      <w:r w:rsidRPr="001D1C05">
        <w:rPr>
          <w:vertAlign w:val="subscript"/>
        </w:rPr>
        <w:t>lag</w:t>
      </w:r>
      <w:proofErr w:type="spellEnd"/>
      <w:r>
        <w:rPr>
          <w:vertAlign w:val="subscript"/>
        </w:rPr>
        <w:t xml:space="preserve"> </w:t>
      </w:r>
      <w:r>
        <w:t xml:space="preserve">= time prior to the time at which pegfilgrastim was first detected, </w:t>
      </w:r>
      <w:proofErr w:type="spellStart"/>
      <w:r>
        <w:t>T</w:t>
      </w:r>
      <w:r w:rsidRPr="001D1C05">
        <w:rPr>
          <w:vertAlign w:val="subscript"/>
        </w:rPr>
        <w:t>max</w:t>
      </w:r>
      <w:proofErr w:type="spellEnd"/>
      <w:r>
        <w:t xml:space="preserve"> = time to reach maximum concentration, C</w:t>
      </w:r>
      <w:r w:rsidRPr="001D1C05">
        <w:rPr>
          <w:vertAlign w:val="subscript"/>
        </w:rPr>
        <w:t>max</w:t>
      </w:r>
      <w:r>
        <w:t xml:space="preserve"> = maximum concentration, AUC</w:t>
      </w:r>
      <w:r w:rsidRPr="001D1C05">
        <w:rPr>
          <w:vertAlign w:val="subscript"/>
        </w:rPr>
        <w:t>0-last</w:t>
      </w:r>
      <w:r>
        <w:rPr>
          <w:vertAlign w:val="subscript"/>
        </w:rPr>
        <w:t xml:space="preserve"> </w:t>
      </w:r>
      <w:r>
        <w:t>= a</w:t>
      </w:r>
      <w:r w:rsidRPr="001D1C05">
        <w:t>rea under the concentration time curve from time zero to time of last quantifiable</w:t>
      </w:r>
      <w:r>
        <w:t xml:space="preserve"> </w:t>
      </w:r>
      <w:r w:rsidRPr="001D1C05">
        <w:t>concentration</w:t>
      </w:r>
      <w:r>
        <w:t>, AUC</w:t>
      </w:r>
      <w:r w:rsidRPr="001D1C05">
        <w:rPr>
          <w:vertAlign w:val="subscript"/>
        </w:rPr>
        <w:t>0-inf</w:t>
      </w:r>
      <w:r>
        <w:rPr>
          <w:vertAlign w:val="subscript"/>
        </w:rPr>
        <w:t xml:space="preserve"> </w:t>
      </w:r>
      <w:r>
        <w:t>= a</w:t>
      </w:r>
      <w:r w:rsidRPr="001D1C05">
        <w:t>rea under the concentration time curve from time zero to infinity</w:t>
      </w:r>
      <w:r>
        <w:t>, AUC = a</w:t>
      </w:r>
      <w:r w:rsidRPr="001D1C05">
        <w:t>rea under the concentration-time curve</w:t>
      </w:r>
      <w:r>
        <w:t>, T</w:t>
      </w:r>
      <w:r w:rsidRPr="001D1C05">
        <w:rPr>
          <w:vertAlign w:val="subscript"/>
        </w:rPr>
        <w:t>1/2</w:t>
      </w:r>
      <w:r>
        <w:t xml:space="preserve"> = </w:t>
      </w:r>
      <w:proofErr w:type="spellStart"/>
      <w:r>
        <w:t>half life</w:t>
      </w:r>
      <w:proofErr w:type="spellEnd"/>
      <w:r>
        <w:t>.</w:t>
      </w:r>
    </w:p>
    <w:p w14:paraId="17C38D48" w14:textId="77777777" w:rsidR="001D1C05" w:rsidRPr="001D1C05" w:rsidRDefault="001D1C05" w:rsidP="001D1C05">
      <w:pPr>
        <w:pStyle w:val="Tabledescription"/>
      </w:pPr>
      <w:r>
        <w:t>a: median (range)</w:t>
      </w:r>
    </w:p>
    <w:p w14:paraId="2B98E29C" w14:textId="72DD6A73" w:rsidR="001D1C05" w:rsidRDefault="001D1C05" w:rsidP="001D1C05">
      <w:pPr>
        <w:pStyle w:val="TableTitle0"/>
      </w:pPr>
      <w:r>
        <w:t xml:space="preserve">Table </w:t>
      </w:r>
      <w:r w:rsidR="00C171EF">
        <w:fldChar w:fldCharType="begin"/>
      </w:r>
      <w:r w:rsidR="00C171EF">
        <w:instrText xml:space="preserve"> SEQ Table \* ARABIC </w:instrText>
      </w:r>
      <w:r w:rsidR="00C171EF">
        <w:fldChar w:fldCharType="separate"/>
      </w:r>
      <w:r w:rsidR="00410780">
        <w:rPr>
          <w:noProof/>
        </w:rPr>
        <w:t>4</w:t>
      </w:r>
      <w:r w:rsidR="00C171EF">
        <w:rPr>
          <w:noProof/>
        </w:rPr>
        <w:fldChar w:fldCharType="end"/>
      </w:r>
      <w:r>
        <w:t xml:space="preserve">: </w:t>
      </w:r>
      <w:r w:rsidR="00755133" w:rsidRPr="001D1C05">
        <w:t xml:space="preserve">Study PEGF/USV/P1/001 </w:t>
      </w:r>
      <w:r>
        <w:t>Statistical analysis of key pharmacokinetic parameters for USV pegfilgrastim and Neulasta</w:t>
      </w:r>
    </w:p>
    <w:p w14:paraId="25EC0149" w14:textId="7688EB02" w:rsidR="001D1C05" w:rsidRDefault="001D1C05" w:rsidP="001D1C05">
      <w:pPr>
        <w:pStyle w:val="TableTitle0"/>
      </w:pPr>
      <w:r>
        <w:rPr>
          <w:noProof/>
          <w:lang w:val="en-GB" w:eastAsia="en-GB"/>
        </w:rPr>
        <w:drawing>
          <wp:inline distT="0" distB="0" distL="0" distR="0" wp14:anchorId="7A5A9EF2" wp14:editId="6DFFD1CA">
            <wp:extent cx="5028565" cy="1819055"/>
            <wp:effectExtent l="0" t="0" r="635" b="0"/>
            <wp:docPr id="3" name="Picture 3" descr="Statistical analysis of key pharmacokinetic parameters for USV pegfilgrastim and Neul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atistical analysis of key pharmacokinetic parameters for USV pegfilgrastim and Neulasta"/>
                    <pic:cNvPicPr>
                      <a:picLocks noChangeAspect="1" noChangeArrowheads="1"/>
                    </pic:cNvPicPr>
                  </pic:nvPicPr>
                  <pic:blipFill rotWithShape="1">
                    <a:blip r:embed="rId32">
                      <a:extLst>
                        <a:ext uri="{28A0092B-C50C-407E-A947-70E740481C1C}">
                          <a14:useLocalDpi xmlns:a14="http://schemas.microsoft.com/office/drawing/2010/main" val="0"/>
                        </a:ext>
                      </a:extLst>
                    </a:blip>
                    <a:srcRect l="1676" t="18322" b="675"/>
                    <a:stretch/>
                  </pic:blipFill>
                  <pic:spPr bwMode="auto">
                    <a:xfrm>
                      <a:off x="0" y="0"/>
                      <a:ext cx="5034256" cy="1821114"/>
                    </a:xfrm>
                    <a:prstGeom prst="rect">
                      <a:avLst/>
                    </a:prstGeom>
                    <a:noFill/>
                    <a:ln>
                      <a:noFill/>
                    </a:ln>
                    <a:extLst>
                      <a:ext uri="{53640926-AAD7-44D8-BBD7-CCE9431645EC}">
                        <a14:shadowObscured xmlns:a14="http://schemas.microsoft.com/office/drawing/2010/main"/>
                      </a:ext>
                    </a:extLst>
                  </pic:spPr>
                </pic:pic>
              </a:graphicData>
            </a:graphic>
          </wp:inline>
        </w:drawing>
      </w:r>
    </w:p>
    <w:p w14:paraId="7DD2E2DB" w14:textId="1B8AC13F" w:rsidR="001D1C05" w:rsidRDefault="001D1C05" w:rsidP="001D1C05">
      <w:pPr>
        <w:pStyle w:val="Tabledescription"/>
      </w:pPr>
      <w:r>
        <w:t>Abbreviations: C</w:t>
      </w:r>
      <w:r w:rsidRPr="001D1C05">
        <w:rPr>
          <w:vertAlign w:val="subscript"/>
        </w:rPr>
        <w:t>max</w:t>
      </w:r>
      <w:r>
        <w:t xml:space="preserve"> = maximum concentration, AUC</w:t>
      </w:r>
      <w:r w:rsidRPr="001D1C05">
        <w:rPr>
          <w:vertAlign w:val="subscript"/>
        </w:rPr>
        <w:t>0-last</w:t>
      </w:r>
      <w:r>
        <w:rPr>
          <w:vertAlign w:val="subscript"/>
        </w:rPr>
        <w:t xml:space="preserve"> </w:t>
      </w:r>
      <w:r>
        <w:t>= a</w:t>
      </w:r>
      <w:r w:rsidRPr="001D1C05">
        <w:t>rea under the concentration time curve from time zero to time of last quantifiable</w:t>
      </w:r>
      <w:r>
        <w:t xml:space="preserve"> </w:t>
      </w:r>
      <w:r w:rsidRPr="001D1C05">
        <w:t>concentration</w:t>
      </w:r>
      <w:r>
        <w:t>, AUC</w:t>
      </w:r>
      <w:r w:rsidRPr="001D1C05">
        <w:rPr>
          <w:vertAlign w:val="subscript"/>
        </w:rPr>
        <w:t>0-inf</w:t>
      </w:r>
      <w:r>
        <w:rPr>
          <w:vertAlign w:val="subscript"/>
        </w:rPr>
        <w:t xml:space="preserve"> </w:t>
      </w:r>
      <w:r>
        <w:t>= a</w:t>
      </w:r>
      <w:r w:rsidRPr="001D1C05">
        <w:t>rea under the concentration time curve from time zero to infinity</w:t>
      </w:r>
      <w:r>
        <w:t>, CI = confidence interval</w:t>
      </w:r>
    </w:p>
    <w:p w14:paraId="18F3221C" w14:textId="201FC4F0" w:rsidR="001D1C05" w:rsidRDefault="001D1C05" w:rsidP="001D1C05">
      <w:pPr>
        <w:pStyle w:val="Tabledescription"/>
      </w:pPr>
      <w:r>
        <w:t>a: Adjusted geometric mean from analysis of variance model</w:t>
      </w:r>
    </w:p>
    <w:p w14:paraId="42705E71" w14:textId="30CCCA14" w:rsidR="001D1C05" w:rsidRDefault="001D1C05" w:rsidP="001D1C05">
      <w:pPr>
        <w:pStyle w:val="Tabledescription"/>
      </w:pPr>
      <w:r>
        <w:lastRenderedPageBreak/>
        <w:t>b: Ratio of adjusted geometric means defined as USV pegfilgrastim versus Neulasta</w:t>
      </w:r>
    </w:p>
    <w:p w14:paraId="7DAC9260" w14:textId="35244AD8" w:rsidR="001D1C05" w:rsidRDefault="001D1C05" w:rsidP="001D1C05">
      <w:pPr>
        <w:pStyle w:val="Tabledescription"/>
      </w:pPr>
      <w:r>
        <w:t>c: Confidence interval for ration of adjusted geometric means comparability was to be established if the 90% CI for primary PK endpoint AUC</w:t>
      </w:r>
      <w:r w:rsidRPr="001D1C05">
        <w:rPr>
          <w:vertAlign w:val="subscript"/>
        </w:rPr>
        <w:t xml:space="preserve">0-last </w:t>
      </w:r>
      <w:r>
        <w:t>was entirely within the range of 80% to 125%</w:t>
      </w:r>
    </w:p>
    <w:p w14:paraId="0B6CA9C8" w14:textId="317B96FE" w:rsidR="001D1C05" w:rsidRDefault="001D1C05" w:rsidP="001D1C05">
      <w:r>
        <w:t>A total of 142 of the 156 subjects had evaluable data for both test and reference products and were included in the PK dataset. High intra- and inter-subject variability was observed.</w:t>
      </w:r>
    </w:p>
    <w:p w14:paraId="62BA1DA5" w14:textId="0A44528B" w:rsidR="001D1C05" w:rsidRDefault="001D1C05" w:rsidP="001D1C05">
      <w:r>
        <w:t>Mean PK profiles for USV pegfilgrastim and the reference product were similar:</w:t>
      </w:r>
    </w:p>
    <w:p w14:paraId="1910216E" w14:textId="07DDA9C1" w:rsidR="001D1C05" w:rsidRDefault="001D1C05" w:rsidP="001D1C05">
      <w:pPr>
        <w:pStyle w:val="ListBullet"/>
      </w:pPr>
      <w:r>
        <w:t xml:space="preserve">Median </w:t>
      </w:r>
      <w:r w:rsidRPr="001D1C05">
        <w:t>time to reach maximum concentration</w:t>
      </w:r>
      <w:r>
        <w:t xml:space="preserve"> was 16 hours for both products.</w:t>
      </w:r>
    </w:p>
    <w:p w14:paraId="1ADF2E50" w14:textId="57C0EBCA" w:rsidR="001D1C05" w:rsidRDefault="001D1C05" w:rsidP="001D1C05">
      <w:pPr>
        <w:pStyle w:val="ListBullet"/>
      </w:pPr>
      <w:proofErr w:type="spellStart"/>
      <w:r>
        <w:t>Half life</w:t>
      </w:r>
      <w:proofErr w:type="spellEnd"/>
      <w:r w:rsidRPr="001D1C05">
        <w:rPr>
          <w:vertAlign w:val="subscript"/>
        </w:rPr>
        <w:t xml:space="preserve"> </w:t>
      </w:r>
      <w:r>
        <w:t>(h) estimates, based on data from a limited number of subjects, were 41.8 hours for USV pegfilgrastim and 45.3 hours for Neulasta.</w:t>
      </w:r>
    </w:p>
    <w:p w14:paraId="7F00731F" w14:textId="12510556" w:rsidR="001D1C05" w:rsidRDefault="001D1C05" w:rsidP="001D1C05">
      <w:pPr>
        <w:pStyle w:val="ListBullet"/>
      </w:pPr>
      <w:r>
        <w:t>Geometric mean estimates for C</w:t>
      </w:r>
      <w:r w:rsidRPr="001D1C05">
        <w:rPr>
          <w:vertAlign w:val="subscript"/>
        </w:rPr>
        <w:t>max</w:t>
      </w:r>
      <w:r>
        <w:t xml:space="preserve"> and AUC</w:t>
      </w:r>
      <w:r w:rsidRPr="001D1C05">
        <w:rPr>
          <w:vertAlign w:val="subscript"/>
        </w:rPr>
        <w:t xml:space="preserve">0-last </w:t>
      </w:r>
      <w:r>
        <w:t>were similar for both treatments.</w:t>
      </w:r>
    </w:p>
    <w:p w14:paraId="4F4D7814" w14:textId="1A94939B" w:rsidR="001D1C05" w:rsidRDefault="001D1C05" w:rsidP="001D1C05">
      <w:r>
        <w:t>Based on the primary PK endpoint AUC</w:t>
      </w:r>
      <w:r w:rsidRPr="001D1C05">
        <w:rPr>
          <w:vertAlign w:val="subscript"/>
        </w:rPr>
        <w:t>0-last</w:t>
      </w:r>
      <w:r>
        <w:t>, the ratio of adjusted geometric mean for USV pegfilgrastim/Neulasta was 101.7 (90% CI 92.86, 111.38), meeting the pre-specified criteria to demonstrate that treatments were comparable.</w:t>
      </w:r>
    </w:p>
    <w:p w14:paraId="6A046F01" w14:textId="1A04F35B" w:rsidR="001D1C05" w:rsidRDefault="001D1C05" w:rsidP="001D1C05">
      <w:r>
        <w:t xml:space="preserve">The 90% CI for geometric mean for the secondary PK endpoints </w:t>
      </w:r>
      <w:r w:rsidRPr="001D1C05">
        <w:t xml:space="preserve">area under the concentration time curve from time zero to </w:t>
      </w:r>
      <w:r w:rsidRPr="00707353">
        <w:t>infinity (AUC</w:t>
      </w:r>
      <w:r w:rsidRPr="00707353">
        <w:rPr>
          <w:vertAlign w:val="subscript"/>
        </w:rPr>
        <w:t>0-inf</w:t>
      </w:r>
      <w:r w:rsidRPr="00707353">
        <w:t>)</w:t>
      </w:r>
      <w:r w:rsidRPr="001D1C05">
        <w:rPr>
          <w:vertAlign w:val="subscript"/>
        </w:rPr>
        <w:t xml:space="preserve"> </w:t>
      </w:r>
      <w:r>
        <w:t>and C</w:t>
      </w:r>
      <w:r w:rsidRPr="001D1C05">
        <w:rPr>
          <w:vertAlign w:val="subscript"/>
        </w:rPr>
        <w:t>max</w:t>
      </w:r>
      <w:r>
        <w:t xml:space="preserve"> were also </w:t>
      </w:r>
      <w:proofErr w:type="gramStart"/>
      <w:r>
        <w:t>similar</w:t>
      </w:r>
      <w:proofErr w:type="gramEnd"/>
      <w:r>
        <w:t xml:space="preserve"> and both contained 100%.</w:t>
      </w:r>
    </w:p>
    <w:p w14:paraId="4C57FE19" w14:textId="4204CBB7" w:rsidR="001D1C05" w:rsidRDefault="001D1C05" w:rsidP="001D1C05">
      <w:r>
        <w:t>A period effect with ANOVA in this study was noted; given there is no sequence effect and that the PK parameters and concentration-time curves for individual subjects are widely variable, the clinical evaluat</w:t>
      </w:r>
      <w:r w:rsidR="00755133">
        <w:t>ion</w:t>
      </w:r>
      <w:r>
        <w:t xml:space="preserve"> concluded that this observation is unlikely to have any clinical significance on the biosimilarity profile of USV </w:t>
      </w:r>
      <w:r w:rsidR="00EA1893">
        <w:t>p</w:t>
      </w:r>
      <w:r>
        <w:t>egfilgrastim, and that the finding is potentially related to individual variation in ANC stimulation due to the target mediated clearance of pegfilgrastim.</w:t>
      </w:r>
    </w:p>
    <w:p w14:paraId="7445A44F" w14:textId="7174058A" w:rsidR="00EA1893" w:rsidRDefault="00EA1893" w:rsidP="00EA1893">
      <w:pPr>
        <w:pStyle w:val="Heading6"/>
      </w:pPr>
      <w:r>
        <w:t>Pharmacodynamics</w:t>
      </w:r>
    </w:p>
    <w:p w14:paraId="0B057DD7" w14:textId="586B45F9" w:rsidR="00EA1893" w:rsidRDefault="00EA1893" w:rsidP="00EA1893">
      <w:r w:rsidRPr="00EA1893">
        <w:t xml:space="preserve">Primary </w:t>
      </w:r>
      <w:r w:rsidR="00D6720A">
        <w:t>pharmacodynamic (</w:t>
      </w:r>
      <w:r w:rsidRPr="00EA1893">
        <w:t>PD</w:t>
      </w:r>
      <w:r w:rsidR="00D6720A">
        <w:t>)</w:t>
      </w:r>
      <w:r w:rsidRPr="00EA1893">
        <w:t xml:space="preserve"> endpoint: absolute neutrophil count was used as an efficacy marker, as per EU guidance documents;</w:t>
      </w:r>
      <w:r w:rsidR="00D6720A" w:rsidRPr="00410780">
        <w:rPr>
          <w:vertAlign w:val="superscript"/>
        </w:rPr>
        <w:fldChar w:fldCharType="begin"/>
      </w:r>
      <w:r w:rsidR="00D6720A" w:rsidRPr="00410780">
        <w:rPr>
          <w:vertAlign w:val="superscript"/>
        </w:rPr>
        <w:instrText xml:space="preserve"> NOTEREF _Ref135142372 \h </w:instrText>
      </w:r>
      <w:r w:rsidR="00D6720A">
        <w:rPr>
          <w:vertAlign w:val="superscript"/>
        </w:rPr>
        <w:instrText xml:space="preserve"> \* MERGEFORMAT </w:instrText>
      </w:r>
      <w:r w:rsidR="00D6720A" w:rsidRPr="00410780">
        <w:rPr>
          <w:vertAlign w:val="superscript"/>
        </w:rPr>
      </w:r>
      <w:r w:rsidR="00D6720A" w:rsidRPr="00410780">
        <w:rPr>
          <w:vertAlign w:val="superscript"/>
        </w:rPr>
        <w:fldChar w:fldCharType="separate"/>
      </w:r>
      <w:r w:rsidR="00410780">
        <w:rPr>
          <w:vertAlign w:val="superscript"/>
        </w:rPr>
        <w:t>13</w:t>
      </w:r>
      <w:r w:rsidR="00D6720A" w:rsidRPr="00410780">
        <w:rPr>
          <w:vertAlign w:val="superscript"/>
        </w:rPr>
        <w:fldChar w:fldCharType="end"/>
      </w:r>
      <w:r w:rsidR="00D6720A" w:rsidRPr="00410780">
        <w:rPr>
          <w:vertAlign w:val="superscript"/>
        </w:rPr>
        <w:t>,</w:t>
      </w:r>
      <w:r w:rsidR="00D6720A" w:rsidRPr="00410780">
        <w:rPr>
          <w:vertAlign w:val="superscript"/>
        </w:rPr>
        <w:fldChar w:fldCharType="begin"/>
      </w:r>
      <w:r w:rsidR="00D6720A" w:rsidRPr="00410780">
        <w:rPr>
          <w:vertAlign w:val="superscript"/>
        </w:rPr>
        <w:instrText xml:space="preserve"> NOTEREF _Ref135140924 \h </w:instrText>
      </w:r>
      <w:r w:rsidR="00D6720A">
        <w:rPr>
          <w:vertAlign w:val="superscript"/>
        </w:rPr>
        <w:instrText xml:space="preserve"> \* MERGEFORMAT </w:instrText>
      </w:r>
      <w:r w:rsidR="00D6720A" w:rsidRPr="00410780">
        <w:rPr>
          <w:vertAlign w:val="superscript"/>
        </w:rPr>
      </w:r>
      <w:r w:rsidR="00D6720A" w:rsidRPr="00410780">
        <w:rPr>
          <w:vertAlign w:val="superscript"/>
        </w:rPr>
        <w:fldChar w:fldCharType="separate"/>
      </w:r>
      <w:r w:rsidR="00410780">
        <w:rPr>
          <w:vertAlign w:val="superscript"/>
        </w:rPr>
        <w:t>14</w:t>
      </w:r>
      <w:r w:rsidR="00D6720A" w:rsidRPr="00410780">
        <w:rPr>
          <w:vertAlign w:val="superscript"/>
        </w:rPr>
        <w:fldChar w:fldCharType="end"/>
      </w:r>
      <w:r w:rsidRPr="00EA1893">
        <w:t xml:space="preserve"> CD34+ cell count (an indicator of peripheral blood progenitor cell mobilisation) was a secondary endpoint.</w:t>
      </w:r>
    </w:p>
    <w:p w14:paraId="25BBE3A9" w14:textId="6EA53068" w:rsidR="00EA1893" w:rsidRDefault="00EA1893" w:rsidP="00EA1893">
      <w:r w:rsidRPr="00EA1893">
        <w:t>The results are shown in the following tables:</w:t>
      </w:r>
    </w:p>
    <w:p w14:paraId="523EEAEF" w14:textId="4E7AA960" w:rsidR="00EA1893" w:rsidRDefault="00EA1893" w:rsidP="00EA1893">
      <w:pPr>
        <w:pStyle w:val="TableTitle0"/>
      </w:pPr>
      <w:r>
        <w:t xml:space="preserve">Table </w:t>
      </w:r>
      <w:r w:rsidR="00C171EF">
        <w:fldChar w:fldCharType="begin"/>
      </w:r>
      <w:r w:rsidR="00C171EF">
        <w:instrText xml:space="preserve"> SEQ Table \* ARABIC </w:instrText>
      </w:r>
      <w:r w:rsidR="00C171EF">
        <w:fldChar w:fldCharType="separate"/>
      </w:r>
      <w:r w:rsidR="00410780">
        <w:rPr>
          <w:noProof/>
        </w:rPr>
        <w:t>5</w:t>
      </w:r>
      <w:r w:rsidR="00C171EF">
        <w:rPr>
          <w:noProof/>
        </w:rPr>
        <w:fldChar w:fldCharType="end"/>
      </w:r>
      <w:r>
        <w:t xml:space="preserve">: </w:t>
      </w:r>
      <w:r w:rsidR="00D6720A">
        <w:t xml:space="preserve">Study PEGF/USV/P1/001 </w:t>
      </w:r>
      <w:r>
        <w:t>Geometric mean estimates (geometric coefficient of variation) of key pharmacodynamic parameters for absolute neutrophil count</w:t>
      </w:r>
    </w:p>
    <w:p w14:paraId="3C9944BC" w14:textId="7FCBE004" w:rsidR="00EA1893" w:rsidRDefault="00EA1893" w:rsidP="00EA1893">
      <w:r>
        <w:rPr>
          <w:noProof/>
          <w:lang w:val="en-GB" w:eastAsia="en-GB"/>
        </w:rPr>
        <w:drawing>
          <wp:inline distT="0" distB="0" distL="0" distR="0" wp14:anchorId="4A95285B" wp14:editId="3071606C">
            <wp:extent cx="5142230" cy="1038125"/>
            <wp:effectExtent l="0" t="0" r="1270" b="0"/>
            <wp:docPr id="4" name="Picture 4" descr="Geometric mean estimates (geometric coefficient of variation) of key pharmacodynamic parameters for absolute neutrophil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eometric mean estimates (geometric coefficient of variation) of key pharmacodynamic parameters for absolute neutrophil count"/>
                    <pic:cNvPicPr>
                      <a:picLocks noChangeAspect="1" noChangeArrowheads="1"/>
                    </pic:cNvPicPr>
                  </pic:nvPicPr>
                  <pic:blipFill rotWithShape="1">
                    <a:blip r:embed="rId33">
                      <a:extLst>
                        <a:ext uri="{28A0092B-C50C-407E-A947-70E740481C1C}">
                          <a14:useLocalDpi xmlns:a14="http://schemas.microsoft.com/office/drawing/2010/main" val="0"/>
                        </a:ext>
                      </a:extLst>
                    </a:blip>
                    <a:srcRect l="918" t="29862" b="1225"/>
                    <a:stretch/>
                  </pic:blipFill>
                  <pic:spPr bwMode="auto">
                    <a:xfrm>
                      <a:off x="0" y="0"/>
                      <a:ext cx="5150070" cy="1039708"/>
                    </a:xfrm>
                    <a:prstGeom prst="rect">
                      <a:avLst/>
                    </a:prstGeom>
                    <a:noFill/>
                    <a:ln>
                      <a:noFill/>
                    </a:ln>
                    <a:extLst>
                      <a:ext uri="{53640926-AAD7-44D8-BBD7-CCE9431645EC}">
                        <a14:shadowObscured xmlns:a14="http://schemas.microsoft.com/office/drawing/2010/main"/>
                      </a:ext>
                    </a:extLst>
                  </pic:spPr>
                </pic:pic>
              </a:graphicData>
            </a:graphic>
          </wp:inline>
        </w:drawing>
      </w:r>
    </w:p>
    <w:p w14:paraId="4B5DF77B" w14:textId="090D3143" w:rsidR="00EA1893" w:rsidRDefault="00EA1893" w:rsidP="00EA1893">
      <w:pPr>
        <w:pStyle w:val="Tabledescription"/>
      </w:pPr>
      <w:r>
        <w:t xml:space="preserve">Abbreviations: SC = subcutaneous, </w:t>
      </w:r>
      <w:proofErr w:type="spellStart"/>
      <w:r>
        <w:t>T</w:t>
      </w:r>
      <w:r w:rsidRPr="00EA1893">
        <w:rPr>
          <w:vertAlign w:val="subscript"/>
        </w:rPr>
        <w:t>max</w:t>
      </w:r>
      <w:proofErr w:type="spellEnd"/>
      <w:r>
        <w:t xml:space="preserve"> = </w:t>
      </w:r>
      <w:r w:rsidRPr="00EA1893">
        <w:t>time to reach maximum concentration</w:t>
      </w:r>
      <w:r>
        <w:t>, E</w:t>
      </w:r>
      <w:r w:rsidRPr="00EA1893">
        <w:rPr>
          <w:vertAlign w:val="subscript"/>
        </w:rPr>
        <w:t>max</w:t>
      </w:r>
      <w:r>
        <w:t xml:space="preserve"> = maximum observed effect, AUEC = area under the effect curve</w:t>
      </w:r>
    </w:p>
    <w:p w14:paraId="5A278904" w14:textId="1F93EE44" w:rsidR="00EA1893" w:rsidRPr="00EA1893" w:rsidRDefault="00EA1893" w:rsidP="00EA1893">
      <w:pPr>
        <w:pStyle w:val="Tabledescription"/>
      </w:pPr>
      <w:r>
        <w:t>a: median (range)</w:t>
      </w:r>
    </w:p>
    <w:p w14:paraId="327899BD" w14:textId="46376B91" w:rsidR="00EA1893" w:rsidRDefault="00EA1893" w:rsidP="00EA1893">
      <w:pPr>
        <w:pStyle w:val="TableTitle0"/>
      </w:pPr>
      <w:r>
        <w:lastRenderedPageBreak/>
        <w:t xml:space="preserve">Table </w:t>
      </w:r>
      <w:r w:rsidR="00C171EF">
        <w:fldChar w:fldCharType="begin"/>
      </w:r>
      <w:r w:rsidR="00C171EF">
        <w:instrText xml:space="preserve"> SEQ Table \* ARABIC </w:instrText>
      </w:r>
      <w:r w:rsidR="00C171EF">
        <w:fldChar w:fldCharType="separate"/>
      </w:r>
      <w:r w:rsidR="00410780">
        <w:rPr>
          <w:noProof/>
        </w:rPr>
        <w:t>6</w:t>
      </w:r>
      <w:r w:rsidR="00C171EF">
        <w:rPr>
          <w:noProof/>
        </w:rPr>
        <w:fldChar w:fldCharType="end"/>
      </w:r>
      <w:r>
        <w:t xml:space="preserve">: </w:t>
      </w:r>
      <w:r w:rsidR="00D6720A">
        <w:t xml:space="preserve">Study PEGF/USV/P1/001 </w:t>
      </w:r>
      <w:r w:rsidRPr="00EA1893">
        <w:t>Geometric mean estimates (geometric coefficient of variation) of key pharmacodynamic parameters for</w:t>
      </w:r>
      <w:r>
        <w:t xml:space="preserve"> CD34+ counts</w:t>
      </w:r>
    </w:p>
    <w:p w14:paraId="02615228" w14:textId="72F85C10" w:rsidR="00EA1893" w:rsidRDefault="00EA1893" w:rsidP="00EA1893">
      <w:r>
        <w:rPr>
          <w:noProof/>
          <w:lang w:val="en-GB" w:eastAsia="en-GB"/>
        </w:rPr>
        <w:drawing>
          <wp:inline distT="0" distB="0" distL="0" distR="0" wp14:anchorId="14A75B46" wp14:editId="5482CD7C">
            <wp:extent cx="5139055" cy="1371600"/>
            <wp:effectExtent l="0" t="0" r="4445" b="0"/>
            <wp:docPr id="9" name="Picture 9" descr="Geometric mean estimates (geometric coefficient of variation) of key pharmacodynamic parameters for CD34+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eometric mean estimates (geometric coefficient of variation) of key pharmacodynamic parameters for CD34+ counts"/>
                    <pic:cNvPicPr>
                      <a:picLocks noChangeAspect="1" noChangeArrowheads="1"/>
                    </pic:cNvPicPr>
                  </pic:nvPicPr>
                  <pic:blipFill rotWithShape="1">
                    <a:blip r:embed="rId34">
                      <a:extLst>
                        <a:ext uri="{28A0092B-C50C-407E-A947-70E740481C1C}">
                          <a14:useLocalDpi xmlns:a14="http://schemas.microsoft.com/office/drawing/2010/main" val="0"/>
                        </a:ext>
                      </a:extLst>
                    </a:blip>
                    <a:srcRect t="22503" b="1053"/>
                    <a:stretch/>
                  </pic:blipFill>
                  <pic:spPr bwMode="auto">
                    <a:xfrm>
                      <a:off x="0" y="0"/>
                      <a:ext cx="5147126" cy="1373754"/>
                    </a:xfrm>
                    <a:prstGeom prst="rect">
                      <a:avLst/>
                    </a:prstGeom>
                    <a:noFill/>
                    <a:ln>
                      <a:noFill/>
                    </a:ln>
                    <a:extLst>
                      <a:ext uri="{53640926-AAD7-44D8-BBD7-CCE9431645EC}">
                        <a14:shadowObscured xmlns:a14="http://schemas.microsoft.com/office/drawing/2010/main"/>
                      </a:ext>
                    </a:extLst>
                  </pic:spPr>
                </pic:pic>
              </a:graphicData>
            </a:graphic>
          </wp:inline>
        </w:drawing>
      </w:r>
    </w:p>
    <w:p w14:paraId="4D42DADB" w14:textId="60CD4B5E" w:rsidR="00EA1893" w:rsidRDefault="00EA1893" w:rsidP="00EA1893">
      <w:pPr>
        <w:pStyle w:val="Tabledescription"/>
      </w:pPr>
      <w:r>
        <w:t xml:space="preserve">Abbreviations: SC = subcutaneous, </w:t>
      </w:r>
      <w:proofErr w:type="spellStart"/>
      <w:r>
        <w:t>T</w:t>
      </w:r>
      <w:r w:rsidRPr="00EA1893">
        <w:rPr>
          <w:vertAlign w:val="subscript"/>
        </w:rPr>
        <w:t>max</w:t>
      </w:r>
      <w:proofErr w:type="spellEnd"/>
      <w:r>
        <w:t xml:space="preserve"> = </w:t>
      </w:r>
      <w:r w:rsidRPr="00EA1893">
        <w:t>time to reach maximum concentration</w:t>
      </w:r>
      <w:r>
        <w:t>, E</w:t>
      </w:r>
      <w:r w:rsidRPr="00EA1893">
        <w:rPr>
          <w:vertAlign w:val="subscript"/>
        </w:rPr>
        <w:t>max</w:t>
      </w:r>
      <w:r>
        <w:t xml:space="preserve"> = maximum observed effect, AUEC = area under the effect curve</w:t>
      </w:r>
    </w:p>
    <w:p w14:paraId="3ED13BCD" w14:textId="3827DFB1" w:rsidR="00EA1893" w:rsidRDefault="00EA1893" w:rsidP="00EA1893">
      <w:pPr>
        <w:pStyle w:val="Tabledescription"/>
      </w:pPr>
      <w:r>
        <w:t>a: median (range)</w:t>
      </w:r>
    </w:p>
    <w:p w14:paraId="45F9884E" w14:textId="624233ED" w:rsidR="00EA1893" w:rsidRDefault="00EA1893" w:rsidP="00EA1893">
      <w:pPr>
        <w:pStyle w:val="TableTitle0"/>
      </w:pPr>
      <w:r>
        <w:t xml:space="preserve">Table </w:t>
      </w:r>
      <w:r w:rsidR="00C171EF">
        <w:fldChar w:fldCharType="begin"/>
      </w:r>
      <w:r w:rsidR="00C171EF">
        <w:instrText xml:space="preserve"> SEQ Table \* ARABIC </w:instrText>
      </w:r>
      <w:r w:rsidR="00C171EF">
        <w:fldChar w:fldCharType="separate"/>
      </w:r>
      <w:r w:rsidR="00410780">
        <w:rPr>
          <w:noProof/>
        </w:rPr>
        <w:t>7</w:t>
      </w:r>
      <w:r w:rsidR="00C171EF">
        <w:rPr>
          <w:noProof/>
        </w:rPr>
        <w:fldChar w:fldCharType="end"/>
      </w:r>
      <w:r>
        <w:t>:</w:t>
      </w:r>
      <w:r w:rsidR="00E67397">
        <w:t xml:space="preserve"> </w:t>
      </w:r>
      <w:r w:rsidR="00410780">
        <w:t xml:space="preserve">Study PEGF/USV/P1/001 </w:t>
      </w:r>
      <w:r w:rsidR="00E67397">
        <w:t>Assessment of comparability of pharmacodynamic parameters for absolute neutrophil counts and CD34+ viable counts</w:t>
      </w:r>
    </w:p>
    <w:p w14:paraId="69123EBC" w14:textId="6894312F" w:rsidR="00EA1893" w:rsidRDefault="00EA1893" w:rsidP="00AC43B6">
      <w:r>
        <w:rPr>
          <w:noProof/>
          <w:lang w:val="en-GB" w:eastAsia="en-GB"/>
        </w:rPr>
        <w:drawing>
          <wp:inline distT="0" distB="0" distL="0" distR="0" wp14:anchorId="3D60CFEF" wp14:editId="518143A0">
            <wp:extent cx="4816475" cy="1266825"/>
            <wp:effectExtent l="0" t="0" r="3175" b="9525"/>
            <wp:docPr id="6" name="Picture 6" descr="Assessment of comparability of pharmacodynamic parameters for absolute neutrophil counts and CD34+ viable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ssessment of comparability of pharmacodynamic parameters for absolute neutrophil counts and CD34+ viable counts"/>
                    <pic:cNvPicPr>
                      <a:picLocks noChangeAspect="1" noChangeArrowheads="1"/>
                    </pic:cNvPicPr>
                  </pic:nvPicPr>
                  <pic:blipFill rotWithShape="1">
                    <a:blip r:embed="rId35">
                      <a:extLst>
                        <a:ext uri="{28A0092B-C50C-407E-A947-70E740481C1C}">
                          <a14:useLocalDpi xmlns:a14="http://schemas.microsoft.com/office/drawing/2010/main" val="0"/>
                        </a:ext>
                      </a:extLst>
                    </a:blip>
                    <a:srcRect t="25018" b="1038"/>
                    <a:stretch/>
                  </pic:blipFill>
                  <pic:spPr bwMode="auto">
                    <a:xfrm>
                      <a:off x="0" y="0"/>
                      <a:ext cx="4816475" cy="1266825"/>
                    </a:xfrm>
                    <a:prstGeom prst="rect">
                      <a:avLst/>
                    </a:prstGeom>
                    <a:noFill/>
                    <a:ln>
                      <a:noFill/>
                    </a:ln>
                    <a:extLst>
                      <a:ext uri="{53640926-AAD7-44D8-BBD7-CCE9431645EC}">
                        <a14:shadowObscured xmlns:a14="http://schemas.microsoft.com/office/drawing/2010/main"/>
                      </a:ext>
                    </a:extLst>
                  </pic:spPr>
                </pic:pic>
              </a:graphicData>
            </a:graphic>
          </wp:inline>
        </w:drawing>
      </w:r>
    </w:p>
    <w:p w14:paraId="79C8CA11" w14:textId="516004D4" w:rsidR="00E67397" w:rsidRDefault="00E67397" w:rsidP="00E67397">
      <w:pPr>
        <w:pStyle w:val="Tabledescription"/>
      </w:pPr>
      <w:r>
        <w:t>Abbreviations: E</w:t>
      </w:r>
      <w:r w:rsidRPr="00EA1893">
        <w:rPr>
          <w:vertAlign w:val="subscript"/>
        </w:rPr>
        <w:t>max</w:t>
      </w:r>
      <w:r>
        <w:t xml:space="preserve"> = maximum observed effect, AUEC = area under the effect curve</w:t>
      </w:r>
    </w:p>
    <w:p w14:paraId="4307298B" w14:textId="2711AC32" w:rsidR="00E67397" w:rsidRDefault="00E67397" w:rsidP="00E67397">
      <w:pPr>
        <w:pStyle w:val="Tabledescription"/>
      </w:pPr>
      <w:r>
        <w:t>a: Adjusted geometric mean from analysis of covariance model</w:t>
      </w:r>
    </w:p>
    <w:p w14:paraId="04D18879" w14:textId="56D77861" w:rsidR="00E67397" w:rsidRDefault="00E67397" w:rsidP="00E67397">
      <w:pPr>
        <w:pStyle w:val="Tabledescription"/>
      </w:pPr>
      <w:r>
        <w:t>b: Ratio of adjusted geometric means defined as USV pegfilgrastim/Neulasta</w:t>
      </w:r>
    </w:p>
    <w:p w14:paraId="756D4EAA" w14:textId="5942B339" w:rsidR="00E67397" w:rsidRDefault="00E67397" w:rsidP="00E67397">
      <w:pPr>
        <w:pStyle w:val="Tabledescription"/>
      </w:pPr>
      <w:r>
        <w:t>c: Confidence interval for the ratio of adjusted geometric means comparability was to be established if the confidence interval for the primary pharmacodynamic endpoint AUEC for ANC was entirely within the range (90%, 111.11%)</w:t>
      </w:r>
    </w:p>
    <w:p w14:paraId="182FB9C9" w14:textId="6EE27822" w:rsidR="00EA1893" w:rsidRDefault="00E67397" w:rsidP="00E67397">
      <w:pPr>
        <w:pStyle w:val="Tabledescription"/>
      </w:pPr>
      <w:r>
        <w:t>ANCOVA model estimates of intra-subject variability (CV%): ANC AUEC, 9.54%, ANC Emax, 12.4%; CD34+ Emax, 21.4%, CD34+ Emax, 28.9%</w:t>
      </w:r>
    </w:p>
    <w:p w14:paraId="771223EF" w14:textId="3A850E78" w:rsidR="00E67397" w:rsidRDefault="00E67397" w:rsidP="00707353">
      <w:r w:rsidRPr="00485F52">
        <w:rPr>
          <w:lang w:eastAsia="ja-JP"/>
        </w:rPr>
        <w:t>P</w:t>
      </w:r>
      <w:r>
        <w:rPr>
          <w:lang w:eastAsia="ja-JP"/>
        </w:rPr>
        <w:t>harmacodynamic</w:t>
      </w:r>
      <w:r w:rsidRPr="00485F52">
        <w:rPr>
          <w:lang w:eastAsia="ja-JP"/>
        </w:rPr>
        <w:t xml:space="preserve"> parameters</w:t>
      </w:r>
      <w:r>
        <w:rPr>
          <w:lang w:eastAsia="ja-JP"/>
        </w:rPr>
        <w:t xml:space="preserve"> </w:t>
      </w:r>
      <w:r>
        <w:t>area under the effect curve</w:t>
      </w:r>
      <w:r w:rsidRPr="00485F52">
        <w:rPr>
          <w:lang w:eastAsia="ja-JP"/>
        </w:rPr>
        <w:t xml:space="preserve"> </w:t>
      </w:r>
      <w:r w:rsidRPr="00707353">
        <w:rPr>
          <w:lang w:eastAsia="ja-JP"/>
        </w:rPr>
        <w:t xml:space="preserve">(AUEC) and </w:t>
      </w:r>
      <w:r w:rsidRPr="00707353">
        <w:t>maximum observed effect</w:t>
      </w:r>
      <w:r w:rsidRPr="00707353">
        <w:rPr>
          <w:lang w:eastAsia="ja-JP"/>
        </w:rPr>
        <w:t xml:space="preserve"> (E</w:t>
      </w:r>
      <w:r w:rsidRPr="00707353">
        <w:rPr>
          <w:vertAlign w:val="subscript"/>
          <w:lang w:eastAsia="ja-JP"/>
        </w:rPr>
        <w:t>max</w:t>
      </w:r>
      <w:r w:rsidRPr="00707353">
        <w:rPr>
          <w:lang w:eastAsia="ja-JP"/>
        </w:rPr>
        <w:t>) for ANC</w:t>
      </w:r>
      <w:r w:rsidRPr="00485F52">
        <w:rPr>
          <w:lang w:eastAsia="ja-JP"/>
        </w:rPr>
        <w:t xml:space="preserve"> and CD34+ viable counts were analysed using </w:t>
      </w:r>
      <w:r>
        <w:rPr>
          <w:lang w:eastAsia="ja-JP"/>
        </w:rPr>
        <w:t>a</w:t>
      </w:r>
      <w:r w:rsidRPr="00E67397">
        <w:rPr>
          <w:lang w:eastAsia="ja-JP"/>
        </w:rPr>
        <w:t xml:space="preserve">nalysis of covariance </w:t>
      </w:r>
      <w:r w:rsidRPr="00707353">
        <w:rPr>
          <w:lang w:eastAsia="ja-JP"/>
        </w:rPr>
        <w:t>(ANCOVA) techniques</w:t>
      </w:r>
      <w:r w:rsidRPr="00485F52">
        <w:rPr>
          <w:lang w:eastAsia="ja-JP"/>
        </w:rPr>
        <w:t xml:space="preserve"> for a crossover design, including terms for treatment, period, </w:t>
      </w:r>
      <w:proofErr w:type="gramStart"/>
      <w:r w:rsidRPr="00485F52">
        <w:rPr>
          <w:lang w:eastAsia="ja-JP"/>
        </w:rPr>
        <w:t>sequence</w:t>
      </w:r>
      <w:proofErr w:type="gramEnd"/>
      <w:r w:rsidRPr="00485F52">
        <w:rPr>
          <w:lang w:eastAsia="ja-JP"/>
        </w:rPr>
        <w:t xml:space="preserve"> and subject within sequence</w:t>
      </w:r>
      <w:r>
        <w:t>.</w:t>
      </w:r>
    </w:p>
    <w:p w14:paraId="0DF984A8" w14:textId="155D6F56" w:rsidR="00E67397" w:rsidRPr="00E67397" w:rsidRDefault="00E67397" w:rsidP="00E67397">
      <w:r w:rsidRPr="00E67397">
        <w:t>The adjusted geometric mean estimate for AUEC following each treatment was similar. The 95% CI for the ratio of adjusted geometric means of AUEC (ANC) for USV pegfilgrastim versus EU</w:t>
      </w:r>
      <w:r w:rsidR="00410780">
        <w:noBreakHyphen/>
      </w:r>
      <w:r w:rsidR="00D6720A">
        <w:t>sou</w:t>
      </w:r>
      <w:r w:rsidR="00410780">
        <w:t>r</w:t>
      </w:r>
      <w:r w:rsidR="00D6720A">
        <w:t>ced</w:t>
      </w:r>
      <w:r w:rsidRPr="00E67397">
        <w:t> Neulasta was 97.46</w:t>
      </w:r>
      <w:r w:rsidR="00707353">
        <w:t xml:space="preserve"> and </w:t>
      </w:r>
      <w:r w:rsidRPr="00E67397">
        <w:t>101.91, falling within the pre-specified 90% and 111.11% acceptance limit, demonstrating comparability between USV pegfilgrastim and the reference product for the PD endpoint. CD34+ response also supports comparability.</w:t>
      </w:r>
    </w:p>
    <w:p w14:paraId="012795CF" w14:textId="0AFDDD87" w:rsidR="00E67397" w:rsidRDefault="00E67397" w:rsidP="00E67397">
      <w:pPr>
        <w:pStyle w:val="Heading5"/>
        <w:rPr>
          <w:rFonts w:asciiTheme="minorHAnsi" w:hAnsiTheme="minorHAnsi"/>
        </w:rPr>
      </w:pPr>
      <w:r>
        <w:t xml:space="preserve">Study </w:t>
      </w:r>
      <w:r>
        <w:rPr>
          <w:rFonts w:asciiTheme="minorHAnsi" w:hAnsiTheme="minorHAnsi"/>
        </w:rPr>
        <w:t>PEGF/USV/P1/003</w:t>
      </w:r>
    </w:p>
    <w:p w14:paraId="482836B2" w14:textId="52AADD98" w:rsidR="00E67397" w:rsidRDefault="00E67397" w:rsidP="00E67397">
      <w:r w:rsidRPr="00E67397">
        <w:t xml:space="preserve">As advised by the EMA, the </w:t>
      </w:r>
      <w:r>
        <w:t>s</w:t>
      </w:r>
      <w:r w:rsidRPr="00E67397">
        <w:t>ponsor performed a similar study at lower dose lying on the steep part of the dose</w:t>
      </w:r>
      <w:r>
        <w:t xml:space="preserve"> </w:t>
      </w:r>
      <w:r w:rsidRPr="00E67397">
        <w:t>response curve.</w:t>
      </w:r>
      <w:r>
        <w:t xml:space="preserve"> Study</w:t>
      </w:r>
      <w:r w:rsidRPr="00E67397">
        <w:t xml:space="preserve"> PEGF/USV/P1/003 compared single 2</w:t>
      </w:r>
      <w:r>
        <w:t> </w:t>
      </w:r>
      <w:r w:rsidRPr="00E67397">
        <w:t xml:space="preserve">mg </w:t>
      </w:r>
      <w:r>
        <w:t>subcutaneous</w:t>
      </w:r>
      <w:r w:rsidRPr="00E67397">
        <w:t xml:space="preserve"> doses of USV pegfilgrastim and Neulasta in a two-way crossover two</w:t>
      </w:r>
      <w:r>
        <w:t xml:space="preserve"> </w:t>
      </w:r>
      <w:r w:rsidRPr="00E67397">
        <w:t>period PD/PK study in 64 healthy males aged 18</w:t>
      </w:r>
      <w:r>
        <w:t xml:space="preserve"> to </w:t>
      </w:r>
      <w:r w:rsidRPr="00E67397">
        <w:t>55 years. The primary objective was to compare the PD (E</w:t>
      </w:r>
      <w:r w:rsidRPr="00E67397">
        <w:rPr>
          <w:vertAlign w:val="subscript"/>
        </w:rPr>
        <w:t>max</w:t>
      </w:r>
      <w:r w:rsidRPr="00E67397">
        <w:t xml:space="preserve"> and AUEC for </w:t>
      </w:r>
      <w:r w:rsidR="00D6720A">
        <w:t>absolute neutrophil count (</w:t>
      </w:r>
      <w:r w:rsidRPr="00E67397">
        <w:t>ANC)</w:t>
      </w:r>
      <w:r w:rsidR="00D6720A">
        <w:t>)</w:t>
      </w:r>
      <w:r w:rsidRPr="00E67397">
        <w:t xml:space="preserve"> of USV </w:t>
      </w:r>
      <w:r>
        <w:t>p</w:t>
      </w:r>
      <w:r w:rsidRPr="00E67397">
        <w:t>egfilgrastim and EU</w:t>
      </w:r>
      <w:r w:rsidR="00D6720A">
        <w:t>-sourced</w:t>
      </w:r>
      <w:r>
        <w:t> </w:t>
      </w:r>
      <w:r w:rsidRPr="00E67397">
        <w:t>Neulasta following a single 2</w:t>
      </w:r>
      <w:r>
        <w:t> </w:t>
      </w:r>
      <w:r w:rsidRPr="00E67397">
        <w:t xml:space="preserve">mg </w:t>
      </w:r>
      <w:r>
        <w:t xml:space="preserve">subcutaneous </w:t>
      </w:r>
      <w:r w:rsidRPr="00E67397">
        <w:t>dose</w:t>
      </w:r>
      <w:r>
        <w:t>.</w:t>
      </w:r>
      <w:r w:rsidRPr="00E67397">
        <w:t xml:space="preserve"> </w:t>
      </w:r>
      <w:r>
        <w:t>S</w:t>
      </w:r>
      <w:r w:rsidRPr="00E67397">
        <w:t xml:space="preserve">econdary objectives were to compare PK parameters (no formal statistical analysis was performed for the PK data) and to provide additional safety </w:t>
      </w:r>
      <w:r w:rsidRPr="00E67397">
        <w:lastRenderedPageBreak/>
        <w:t xml:space="preserve">information. The study design and methodology were generally as for </w:t>
      </w:r>
      <w:r>
        <w:t>S</w:t>
      </w:r>
      <w:r w:rsidRPr="00E67397">
        <w:t>tudy PEGF/USV/P1/001</w:t>
      </w:r>
      <w:r w:rsidR="00D6720A">
        <w:t xml:space="preserve"> (described above)</w:t>
      </w:r>
      <w:r>
        <w:t>.</w:t>
      </w:r>
    </w:p>
    <w:p w14:paraId="3A1C0671" w14:textId="4D8D2824" w:rsidR="00E67397" w:rsidRPr="00E67397" w:rsidRDefault="00E67397" w:rsidP="00E67397">
      <w:pPr>
        <w:pStyle w:val="TableTitle0"/>
      </w:pPr>
      <w:r w:rsidRPr="00E67397">
        <w:t xml:space="preserve">Figure </w:t>
      </w:r>
      <w:r w:rsidR="00C171EF">
        <w:fldChar w:fldCharType="begin"/>
      </w:r>
      <w:r w:rsidR="00C171EF">
        <w:instrText xml:space="preserve"> SEQ Figure \* ARABIC </w:instrText>
      </w:r>
      <w:r w:rsidR="00C171EF">
        <w:fldChar w:fldCharType="separate"/>
      </w:r>
      <w:r w:rsidR="00410780">
        <w:rPr>
          <w:noProof/>
        </w:rPr>
        <w:t>2</w:t>
      </w:r>
      <w:r w:rsidR="00C171EF">
        <w:rPr>
          <w:noProof/>
        </w:rPr>
        <w:fldChar w:fldCharType="end"/>
      </w:r>
      <w:r w:rsidRPr="00E67397">
        <w:t xml:space="preserve">: </w:t>
      </w:r>
      <w:r w:rsidR="00D6720A">
        <w:t>Study</w:t>
      </w:r>
      <w:r w:rsidR="00D6720A" w:rsidRPr="00E67397">
        <w:t xml:space="preserve"> PEGF/USV/P1/003 </w:t>
      </w:r>
      <w:r w:rsidRPr="00E67397">
        <w:t xml:space="preserve">Arithmetic mean serum </w:t>
      </w:r>
      <w:r w:rsidR="001B2848" w:rsidRPr="001D1C05">
        <w:t>polyethylene glycol</w:t>
      </w:r>
      <w:r w:rsidRPr="00E67397">
        <w:t xml:space="preserve"> </w:t>
      </w:r>
      <w:r w:rsidR="001B2848" w:rsidRPr="0036173A">
        <w:t xml:space="preserve">granulocyte colony-stimulating factor </w:t>
      </w:r>
      <w:r w:rsidRPr="00E67397">
        <w:t>concentrations for USV pegfilgrastim (Treatment</w:t>
      </w:r>
      <w:r w:rsidR="00D6720A">
        <w:t> </w:t>
      </w:r>
      <w:r w:rsidRPr="00E67397">
        <w:t>A) and Neulasta (Treatment B) presented on a linear/linear scale</w:t>
      </w:r>
    </w:p>
    <w:p w14:paraId="1A7E1402" w14:textId="66E77700" w:rsidR="00E67397" w:rsidRDefault="00E67397" w:rsidP="00E67397">
      <w:r>
        <w:rPr>
          <w:noProof/>
          <w:lang w:val="en-GB" w:eastAsia="en-GB"/>
        </w:rPr>
        <w:drawing>
          <wp:inline distT="0" distB="0" distL="0" distR="0" wp14:anchorId="72B53DFC" wp14:editId="25236DFD">
            <wp:extent cx="5759450" cy="2302510"/>
            <wp:effectExtent l="0" t="0" r="0" b="2540"/>
            <wp:docPr id="15" name="Picture 15" descr="Study PEGF/USV/P1/003 Arithmetic mean serum polyethylene glycol granulocyte colony-stimulating factor concentrations for USV pegfilgrastim (Treatment A) and Neulasta (Treatment B) presented on a linear/linea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udy PEGF/USV/P1/003 Arithmetic mean serum polyethylene glycol granulocyte colony-stimulating factor concentrations for USV pegfilgrastim (Treatment A) and Neulasta (Treatment B) presented on a linear/linear scale"/>
                    <pic:cNvPicPr/>
                  </pic:nvPicPr>
                  <pic:blipFill>
                    <a:blip r:embed="rId36"/>
                    <a:stretch>
                      <a:fillRect/>
                    </a:stretch>
                  </pic:blipFill>
                  <pic:spPr>
                    <a:xfrm>
                      <a:off x="0" y="0"/>
                      <a:ext cx="5759450" cy="2302510"/>
                    </a:xfrm>
                    <a:prstGeom prst="rect">
                      <a:avLst/>
                    </a:prstGeom>
                  </pic:spPr>
                </pic:pic>
              </a:graphicData>
            </a:graphic>
          </wp:inline>
        </w:drawing>
      </w:r>
    </w:p>
    <w:p w14:paraId="58CD33EF" w14:textId="2CC41F2E" w:rsidR="00E67397" w:rsidRDefault="00E67397" w:rsidP="00E67397">
      <w:pPr>
        <w:pStyle w:val="Tabledescription"/>
      </w:pPr>
      <w:r>
        <w:t>Treatment A: 2 mg (0.2 mL) USV pegfilgrastim solution for subcutaneous injection into the abdomen</w:t>
      </w:r>
    </w:p>
    <w:p w14:paraId="7AECFF4D" w14:textId="39A12244" w:rsidR="00E67397" w:rsidRDefault="00E67397" w:rsidP="00E67397">
      <w:pPr>
        <w:pStyle w:val="Tabledescription"/>
      </w:pPr>
      <w:r>
        <w:t xml:space="preserve">Treatment B: 2 mg (0.2 mL) </w:t>
      </w:r>
      <w:r w:rsidR="00D6720A">
        <w:t xml:space="preserve">EU-sourced </w:t>
      </w:r>
      <w:r>
        <w:t>Neulasta solution for subcutaneous injection into the abdomen</w:t>
      </w:r>
    </w:p>
    <w:p w14:paraId="358C5ACF" w14:textId="5DB8DAA1" w:rsidR="00E67397" w:rsidRDefault="00E67397" w:rsidP="00E67397">
      <w:pPr>
        <w:pStyle w:val="TableTitle0"/>
      </w:pPr>
      <w:r>
        <w:t xml:space="preserve">Table </w:t>
      </w:r>
      <w:r w:rsidR="00C171EF">
        <w:fldChar w:fldCharType="begin"/>
      </w:r>
      <w:r w:rsidR="00C171EF">
        <w:instrText xml:space="preserve"> SEQ Table \* ARABIC </w:instrText>
      </w:r>
      <w:r w:rsidR="00C171EF">
        <w:fldChar w:fldCharType="separate"/>
      </w:r>
      <w:r w:rsidR="00410780">
        <w:rPr>
          <w:noProof/>
        </w:rPr>
        <w:t>8</w:t>
      </w:r>
      <w:r w:rsidR="00C171EF">
        <w:rPr>
          <w:noProof/>
        </w:rPr>
        <w:fldChar w:fldCharType="end"/>
      </w:r>
      <w:r>
        <w:t xml:space="preserve">: </w:t>
      </w:r>
      <w:r w:rsidR="00D6720A">
        <w:t>Study</w:t>
      </w:r>
      <w:r w:rsidR="00D6720A" w:rsidRPr="00E67397">
        <w:t xml:space="preserve"> PEGF/USV/P1/003 </w:t>
      </w:r>
      <w:r>
        <w:t xml:space="preserve">Geometric mean ratio (geometric coefficient of variation) </w:t>
      </w:r>
      <w:r w:rsidR="001B2848" w:rsidRPr="001D1C05">
        <w:t>polyethylene glycol</w:t>
      </w:r>
      <w:r>
        <w:t xml:space="preserve"> </w:t>
      </w:r>
      <w:r w:rsidR="001B2848" w:rsidRPr="001B2848">
        <w:t xml:space="preserve">granulocyte colony-stimulating factor </w:t>
      </w:r>
      <w:r>
        <w:t>pharmacokinetic parameters for USV pegfilgrastim (Treatment A) and Neulasta (Treatment B)</w:t>
      </w:r>
    </w:p>
    <w:p w14:paraId="344B4929" w14:textId="211D2420" w:rsidR="00E67397" w:rsidRDefault="00E67397" w:rsidP="00AC43B6">
      <w:r>
        <w:rPr>
          <w:noProof/>
          <w:lang w:val="en-GB" w:eastAsia="en-GB"/>
        </w:rPr>
        <w:drawing>
          <wp:inline distT="0" distB="0" distL="0" distR="0" wp14:anchorId="57AEB457" wp14:editId="78293234">
            <wp:extent cx="4718685" cy="2636520"/>
            <wp:effectExtent l="0" t="0" r="5715" b="0"/>
            <wp:docPr id="16" name="Picture 16" descr="Study PEGF/USV/P1/003 Geometric mean ratio (geometric coefficient of variation) polyethylene glycol granulocyte colony-stimulating factor pharmacokinetic parameters for USV pegfilgrastim (Treatment A) and Neulasta (Treatmen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udy PEGF/USV/P1/003 Geometric mean ratio (geometric coefficient of variation) polyethylene glycol granulocyte colony-stimulating factor pharmacokinetic parameters for USV pegfilgrastim (Treatment A) and Neulasta (Treatment B)"/>
                    <pic:cNvPicPr>
                      <a:picLocks noChangeAspect="1" noChangeArrowheads="1"/>
                    </pic:cNvPicPr>
                  </pic:nvPicPr>
                  <pic:blipFill rotWithShape="1">
                    <a:blip r:embed="rId37">
                      <a:extLst>
                        <a:ext uri="{28A0092B-C50C-407E-A947-70E740481C1C}">
                          <a14:useLocalDpi xmlns:a14="http://schemas.microsoft.com/office/drawing/2010/main" val="0"/>
                        </a:ext>
                      </a:extLst>
                    </a:blip>
                    <a:srcRect t="12626"/>
                    <a:stretch/>
                  </pic:blipFill>
                  <pic:spPr bwMode="auto">
                    <a:xfrm>
                      <a:off x="0" y="0"/>
                      <a:ext cx="4718685" cy="2636520"/>
                    </a:xfrm>
                    <a:prstGeom prst="rect">
                      <a:avLst/>
                    </a:prstGeom>
                    <a:noFill/>
                    <a:ln>
                      <a:noFill/>
                    </a:ln>
                    <a:extLst>
                      <a:ext uri="{53640926-AAD7-44D8-BBD7-CCE9431645EC}">
                        <a14:shadowObscured xmlns:a14="http://schemas.microsoft.com/office/drawing/2010/main"/>
                      </a:ext>
                    </a:extLst>
                  </pic:spPr>
                </pic:pic>
              </a:graphicData>
            </a:graphic>
          </wp:inline>
        </w:drawing>
      </w:r>
    </w:p>
    <w:p w14:paraId="75FF933F" w14:textId="69BC03CC" w:rsidR="00E67397" w:rsidRDefault="00E67397" w:rsidP="00E67397">
      <w:pPr>
        <w:pStyle w:val="Tabledescription"/>
      </w:pPr>
      <w:r w:rsidRPr="00E67397">
        <w:t xml:space="preserve">Abbreviations: </w:t>
      </w:r>
      <w:proofErr w:type="spellStart"/>
      <w:r w:rsidRPr="00E67397">
        <w:t>T</w:t>
      </w:r>
      <w:r w:rsidRPr="001B2848">
        <w:rPr>
          <w:vertAlign w:val="subscript"/>
        </w:rPr>
        <w:t>lag</w:t>
      </w:r>
      <w:proofErr w:type="spellEnd"/>
      <w:r w:rsidRPr="00E67397">
        <w:t xml:space="preserve"> = time prior to the time at which pegfilgrastim was first detected, </w:t>
      </w:r>
      <w:proofErr w:type="spellStart"/>
      <w:r w:rsidRPr="00E67397">
        <w:t>T</w:t>
      </w:r>
      <w:r w:rsidRPr="001B2848">
        <w:rPr>
          <w:vertAlign w:val="subscript"/>
        </w:rPr>
        <w:t>max</w:t>
      </w:r>
      <w:proofErr w:type="spellEnd"/>
      <w:r w:rsidRPr="00E67397">
        <w:t xml:space="preserve"> = time to reach maximum concentration, Cmax = maximum concentration, AUC</w:t>
      </w:r>
      <w:r w:rsidRPr="001B2848">
        <w:rPr>
          <w:vertAlign w:val="subscript"/>
        </w:rPr>
        <w:t xml:space="preserve">0-last </w:t>
      </w:r>
      <w:r w:rsidRPr="00E67397">
        <w:t>= area under the concentration time curve from time zero to time of last quantifiable concentration, AUC</w:t>
      </w:r>
      <w:r w:rsidRPr="001B2848">
        <w:rPr>
          <w:vertAlign w:val="subscript"/>
        </w:rPr>
        <w:t xml:space="preserve">0-inf </w:t>
      </w:r>
      <w:r w:rsidRPr="00E67397">
        <w:t>= area under the concentration time curve from time zero to infinity, AUC = area under the concentration-time curve, T</w:t>
      </w:r>
      <w:r w:rsidRPr="001B2848">
        <w:rPr>
          <w:vertAlign w:val="subscript"/>
        </w:rPr>
        <w:t>1/2</w:t>
      </w:r>
      <w:r w:rsidRPr="00E67397">
        <w:t xml:space="preserve"> = </w:t>
      </w:r>
      <w:proofErr w:type="spellStart"/>
      <w:r w:rsidRPr="00E67397">
        <w:t>half life</w:t>
      </w:r>
      <w:proofErr w:type="spellEnd"/>
      <w:r>
        <w:t>, NC = not calculated</w:t>
      </w:r>
      <w:r w:rsidRPr="00E67397">
        <w:t>.</w:t>
      </w:r>
    </w:p>
    <w:p w14:paraId="6CEA912F" w14:textId="4573EF0C" w:rsidR="00E67397" w:rsidRDefault="00E67397" w:rsidP="00E67397">
      <w:pPr>
        <w:pStyle w:val="Tabledescription"/>
      </w:pPr>
      <w:r>
        <w:t>a: median (range)</w:t>
      </w:r>
    </w:p>
    <w:p w14:paraId="0BA676F4" w14:textId="388D2559" w:rsidR="00E67397" w:rsidRDefault="00E67397" w:rsidP="00E67397">
      <w:pPr>
        <w:pStyle w:val="Tabledescription"/>
        <w:rPr>
          <w:vertAlign w:val="subscript"/>
        </w:rPr>
      </w:pPr>
      <w:r>
        <w:t>b: within subject ratio of AUC</w:t>
      </w:r>
      <w:r w:rsidRPr="00E67397">
        <w:rPr>
          <w:vertAlign w:val="subscript"/>
        </w:rPr>
        <w:t>0-inf</w:t>
      </w:r>
      <w:r>
        <w:t>, AUC</w:t>
      </w:r>
      <w:r w:rsidRPr="00E67397">
        <w:rPr>
          <w:vertAlign w:val="subscript"/>
        </w:rPr>
        <w:t xml:space="preserve">0-last </w:t>
      </w:r>
      <w:r>
        <w:t xml:space="preserve">and </w:t>
      </w:r>
      <w:r w:rsidRPr="00E67397">
        <w:rPr>
          <w:vertAlign w:val="subscript"/>
        </w:rPr>
        <w:t>Cmax</w:t>
      </w:r>
    </w:p>
    <w:p w14:paraId="1B95C728" w14:textId="51F9ABAE" w:rsidR="00E67397" w:rsidRDefault="00E67397" w:rsidP="00E67397">
      <w:r>
        <w:t>Very high inter-subject and intra-subject variability was noted by the clinical evaluator.</w:t>
      </w:r>
    </w:p>
    <w:p w14:paraId="5C06065F" w14:textId="2A112C3C" w:rsidR="00E67397" w:rsidRDefault="00E67397" w:rsidP="00E67397">
      <w:r>
        <w:t xml:space="preserve">Two subjects had below the limit of quantification for almost all values for USV pegfilgrastim concentrations; the clinical evaluator noted that the administration of a low volume of </w:t>
      </w:r>
      <w:r>
        <w:lastRenderedPageBreak/>
        <w:t>subcutaneous injection may be a possible source for variability resulting in low serum pegfilgrastim concentrations.</w:t>
      </w:r>
    </w:p>
    <w:p w14:paraId="19DEA140" w14:textId="28C95935" w:rsidR="00E67397" w:rsidRDefault="00E67397" w:rsidP="00E67397">
      <w:r>
        <w:t>For C</w:t>
      </w:r>
      <w:r w:rsidRPr="00E67397">
        <w:rPr>
          <w:vertAlign w:val="subscript"/>
        </w:rPr>
        <w:t>max</w:t>
      </w:r>
      <w:r>
        <w:t xml:space="preserve"> and AUC</w:t>
      </w:r>
      <w:r w:rsidRPr="00E67397">
        <w:rPr>
          <w:vertAlign w:val="subscript"/>
        </w:rPr>
        <w:t>0-inf</w:t>
      </w:r>
      <w:r w:rsidRPr="00E67397">
        <w:t xml:space="preserve"> </w:t>
      </w:r>
      <w:r>
        <w:t>geometric mean, obtained from data for a limited number of subjects, relative bioavailability values for USV pegfilgrastim compared to Neulasta were 99.306% and 107.068%, respectively.</w:t>
      </w:r>
    </w:p>
    <w:p w14:paraId="4F701D05" w14:textId="5D628311" w:rsidR="001B2848" w:rsidRDefault="001B2848" w:rsidP="001B2848">
      <w:pPr>
        <w:pStyle w:val="TableTitle0"/>
      </w:pPr>
      <w:r>
        <w:t xml:space="preserve">Table </w:t>
      </w:r>
      <w:r w:rsidR="00C171EF">
        <w:fldChar w:fldCharType="begin"/>
      </w:r>
      <w:r w:rsidR="00C171EF">
        <w:instrText xml:space="preserve"> SEQ Table \* ARABIC </w:instrText>
      </w:r>
      <w:r w:rsidR="00C171EF">
        <w:fldChar w:fldCharType="separate"/>
      </w:r>
      <w:r w:rsidR="00410780">
        <w:rPr>
          <w:noProof/>
        </w:rPr>
        <w:t>9</w:t>
      </w:r>
      <w:r w:rsidR="00C171EF">
        <w:rPr>
          <w:noProof/>
        </w:rPr>
        <w:fldChar w:fldCharType="end"/>
      </w:r>
      <w:r>
        <w:t xml:space="preserve">: </w:t>
      </w:r>
      <w:r w:rsidR="00D6720A">
        <w:t>Study</w:t>
      </w:r>
      <w:r w:rsidR="00D6720A" w:rsidRPr="00E67397">
        <w:t xml:space="preserve"> PEGF/USV/P1/003 </w:t>
      </w:r>
      <w:r>
        <w:t>Geometric mean estimates (geometric coefficient of variation) whole blood absolute neutrophil count pharmacodynamic parameters for USV pegfilgrastim (Treatment A) and Neulasta (Treatment B)</w:t>
      </w:r>
    </w:p>
    <w:p w14:paraId="38327389" w14:textId="6DC5AC22" w:rsidR="00E67397" w:rsidRDefault="001B2848" w:rsidP="00E67397">
      <w:r>
        <w:rPr>
          <w:noProof/>
          <w:lang w:val="en-GB" w:eastAsia="en-GB"/>
        </w:rPr>
        <w:drawing>
          <wp:inline distT="0" distB="0" distL="0" distR="0" wp14:anchorId="3D71B9B9" wp14:editId="1670B096">
            <wp:extent cx="4866005" cy="2000250"/>
            <wp:effectExtent l="0" t="0" r="0" b="0"/>
            <wp:docPr id="17" name="Picture 17" descr="Study PEGF/USV/P1/003 Geometric mean estimates (geometric coefficient of variation) whole blood absolute neutrophil count pharmacodynamic parameters for USV pegfilgrastim (Treatment A) and Neulasta (Treatmen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udy PEGF/USV/P1/003 Geometric mean estimates (geometric coefficient of variation) whole blood absolute neutrophil count pharmacodynamic parameters for USV pegfilgrastim (Treatment A) and Neulasta (Treatment B)"/>
                    <pic:cNvPicPr>
                      <a:picLocks noChangeAspect="1" noChangeArrowheads="1"/>
                    </pic:cNvPicPr>
                  </pic:nvPicPr>
                  <pic:blipFill rotWithShape="1">
                    <a:blip r:embed="rId38">
                      <a:extLst>
                        <a:ext uri="{28A0092B-C50C-407E-A947-70E740481C1C}">
                          <a14:useLocalDpi xmlns:a14="http://schemas.microsoft.com/office/drawing/2010/main" val="0"/>
                        </a:ext>
                      </a:extLst>
                    </a:blip>
                    <a:srcRect l="1731" t="23496" r="-1" b="592"/>
                    <a:stretch/>
                  </pic:blipFill>
                  <pic:spPr bwMode="auto">
                    <a:xfrm>
                      <a:off x="0" y="0"/>
                      <a:ext cx="4876113" cy="2004405"/>
                    </a:xfrm>
                    <a:prstGeom prst="rect">
                      <a:avLst/>
                    </a:prstGeom>
                    <a:noFill/>
                    <a:ln>
                      <a:noFill/>
                    </a:ln>
                    <a:extLst>
                      <a:ext uri="{53640926-AAD7-44D8-BBD7-CCE9431645EC}">
                        <a14:shadowObscured xmlns:a14="http://schemas.microsoft.com/office/drawing/2010/main"/>
                      </a:ext>
                    </a:extLst>
                  </pic:spPr>
                </pic:pic>
              </a:graphicData>
            </a:graphic>
          </wp:inline>
        </w:drawing>
      </w:r>
    </w:p>
    <w:p w14:paraId="6086CA99" w14:textId="0C9728AF" w:rsidR="001B2848" w:rsidRDefault="001B2848" w:rsidP="001B2848">
      <w:pPr>
        <w:pStyle w:val="Tabledescription"/>
      </w:pPr>
      <w:r w:rsidRPr="00E67397">
        <w:t xml:space="preserve">Abbreviations: </w:t>
      </w:r>
      <w:proofErr w:type="spellStart"/>
      <w:r w:rsidRPr="00E67397">
        <w:t>T</w:t>
      </w:r>
      <w:r w:rsidRPr="001B2848">
        <w:rPr>
          <w:vertAlign w:val="subscript"/>
        </w:rPr>
        <w:t>max</w:t>
      </w:r>
      <w:proofErr w:type="spellEnd"/>
      <w:r w:rsidRPr="001B2848">
        <w:rPr>
          <w:vertAlign w:val="subscript"/>
        </w:rPr>
        <w:t xml:space="preserve"> </w:t>
      </w:r>
      <w:r w:rsidRPr="00E67397">
        <w:t xml:space="preserve">= time to reach maximum concentration, </w:t>
      </w:r>
      <w:r>
        <w:t>E</w:t>
      </w:r>
      <w:r w:rsidRPr="00E67397">
        <w:t xml:space="preserve">max = </w:t>
      </w:r>
      <w:r>
        <w:t>maximum observed effect</w:t>
      </w:r>
      <w:r w:rsidRPr="00E67397">
        <w:t>,</w:t>
      </w:r>
      <w:r w:rsidRPr="001B2848">
        <w:t xml:space="preserve"> AUEC = area under the effect curve</w:t>
      </w:r>
      <w:r>
        <w:t>,</w:t>
      </w:r>
      <w:r w:rsidRPr="00E67397">
        <w:t xml:space="preserve"> </w:t>
      </w:r>
      <w:r>
        <w:t>NA = not applicable.</w:t>
      </w:r>
    </w:p>
    <w:p w14:paraId="2E172959" w14:textId="77777777" w:rsidR="001B2848" w:rsidRDefault="001B2848" w:rsidP="001B2848">
      <w:pPr>
        <w:pStyle w:val="Tabledescription"/>
      </w:pPr>
      <w:r>
        <w:t>a: median (range)</w:t>
      </w:r>
    </w:p>
    <w:p w14:paraId="499A0609" w14:textId="49924F60" w:rsidR="001B2848" w:rsidRDefault="001B2848" w:rsidP="001B2848">
      <w:pPr>
        <w:pStyle w:val="Tabledescription"/>
        <w:rPr>
          <w:vertAlign w:val="subscript"/>
        </w:rPr>
      </w:pPr>
      <w:r>
        <w:t>b: within subject ratio of E</w:t>
      </w:r>
      <w:r w:rsidRPr="001B2848">
        <w:rPr>
          <w:vertAlign w:val="subscript"/>
        </w:rPr>
        <w:t xml:space="preserve">max </w:t>
      </w:r>
      <w:r>
        <w:t>or AUEC</w:t>
      </w:r>
    </w:p>
    <w:p w14:paraId="53697DDA" w14:textId="3289F93C" w:rsidR="001B2848" w:rsidRDefault="001B2848" w:rsidP="001B2848">
      <w:pPr>
        <w:pStyle w:val="TableTitle0"/>
      </w:pPr>
      <w:r>
        <w:t xml:space="preserve">Table </w:t>
      </w:r>
      <w:r w:rsidR="00C171EF">
        <w:fldChar w:fldCharType="begin"/>
      </w:r>
      <w:r w:rsidR="00C171EF">
        <w:instrText xml:space="preserve"> SEQ Table \* ARABIC </w:instrText>
      </w:r>
      <w:r w:rsidR="00C171EF">
        <w:fldChar w:fldCharType="separate"/>
      </w:r>
      <w:r w:rsidR="00410780">
        <w:rPr>
          <w:noProof/>
        </w:rPr>
        <w:t>10</w:t>
      </w:r>
      <w:r w:rsidR="00C171EF">
        <w:rPr>
          <w:noProof/>
        </w:rPr>
        <w:fldChar w:fldCharType="end"/>
      </w:r>
      <w:r>
        <w:t xml:space="preserve">: </w:t>
      </w:r>
      <w:r w:rsidR="00D6720A">
        <w:t>Study</w:t>
      </w:r>
      <w:r w:rsidR="00D6720A" w:rsidRPr="00E67397">
        <w:t xml:space="preserve"> PEGF/USV/P1/003 </w:t>
      </w:r>
      <w:r>
        <w:t xml:space="preserve">Assessment of comparability for primary pharmacodynamic endpoints </w:t>
      </w:r>
      <w:r w:rsidRPr="001B2848">
        <w:t>maximum observed effect</w:t>
      </w:r>
      <w:r>
        <w:t xml:space="preserve"> and </w:t>
      </w:r>
      <w:r w:rsidRPr="001B2848">
        <w:t>area under the effect curve</w:t>
      </w:r>
      <w:r>
        <w:t xml:space="preserve"> for absolute neutrophil count</w:t>
      </w:r>
    </w:p>
    <w:p w14:paraId="566AEA25" w14:textId="7B258F24" w:rsidR="001B2848" w:rsidRDefault="001B2848" w:rsidP="001B2848">
      <w:pPr>
        <w:pStyle w:val="TableTitle0"/>
      </w:pPr>
      <w:r>
        <w:rPr>
          <w:noProof/>
          <w:lang w:val="en-GB" w:eastAsia="en-GB"/>
        </w:rPr>
        <w:drawing>
          <wp:inline distT="0" distB="0" distL="0" distR="0" wp14:anchorId="0D0D2916" wp14:editId="6AFEB7C8">
            <wp:extent cx="5178154" cy="1802130"/>
            <wp:effectExtent l="0" t="0" r="3810" b="7620"/>
            <wp:docPr id="10" name="Picture 10" descr="Study PEGF/USV/P1/003 Assessment of comparability for primary pharmacodynamic endpoints maximum observed effect and area under the effect curve for absolute neutrophil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udy PEGF/USV/P1/003 Assessment of comparability for primary pharmacodynamic endpoints maximum observed effect and area under the effect curve for absolute neutrophil count"/>
                    <pic:cNvPicPr/>
                  </pic:nvPicPr>
                  <pic:blipFill rotWithShape="1">
                    <a:blip r:embed="rId39"/>
                    <a:srcRect t="17810"/>
                    <a:stretch/>
                  </pic:blipFill>
                  <pic:spPr bwMode="auto">
                    <a:xfrm>
                      <a:off x="0" y="0"/>
                      <a:ext cx="5178832" cy="1802366"/>
                    </a:xfrm>
                    <a:prstGeom prst="rect">
                      <a:avLst/>
                    </a:prstGeom>
                    <a:ln>
                      <a:noFill/>
                    </a:ln>
                    <a:extLst>
                      <a:ext uri="{53640926-AAD7-44D8-BBD7-CCE9431645EC}">
                        <a14:shadowObscured xmlns:a14="http://schemas.microsoft.com/office/drawing/2010/main"/>
                      </a:ext>
                    </a:extLst>
                  </pic:spPr>
                </pic:pic>
              </a:graphicData>
            </a:graphic>
          </wp:inline>
        </w:drawing>
      </w:r>
    </w:p>
    <w:p w14:paraId="6AF141CD" w14:textId="18E9C36A" w:rsidR="001B2848" w:rsidRDefault="001B2848" w:rsidP="001B2848">
      <w:pPr>
        <w:pStyle w:val="Tabledescription"/>
      </w:pPr>
      <w:r w:rsidRPr="001B2848">
        <w:t>Abbreviations: E</w:t>
      </w:r>
      <w:r w:rsidRPr="001B2848">
        <w:rPr>
          <w:vertAlign w:val="subscript"/>
        </w:rPr>
        <w:t>max</w:t>
      </w:r>
      <w:r w:rsidRPr="001B2848">
        <w:t xml:space="preserve"> = maximum observed effect, AUEC = area under the effect curve</w:t>
      </w:r>
    </w:p>
    <w:p w14:paraId="0602EE06" w14:textId="77777777" w:rsidR="001B2848" w:rsidRDefault="001B2848" w:rsidP="001B2848">
      <w:pPr>
        <w:pStyle w:val="Tabledescription"/>
      </w:pPr>
      <w:r>
        <w:t xml:space="preserve">Results obtained from ANCOVA model of natural log transformed PD parameters including terms for treatment, sequence, </w:t>
      </w:r>
      <w:proofErr w:type="gramStart"/>
      <w:r>
        <w:t>period</w:t>
      </w:r>
      <w:proofErr w:type="gramEnd"/>
      <w:r>
        <w:t xml:space="preserve"> and subject within sequence fitted as fixed effects and baseline fitted as a covariate.</w:t>
      </w:r>
    </w:p>
    <w:p w14:paraId="3658F24B" w14:textId="3AEF9F86" w:rsidR="001B2848" w:rsidRDefault="001B2848" w:rsidP="001B2848">
      <w:pPr>
        <w:pStyle w:val="Tabledescription"/>
      </w:pPr>
      <w:r>
        <w:t>a: Ratio of adjusted geometric means for USV pegfilgrastim/Neulasta</w:t>
      </w:r>
    </w:p>
    <w:p w14:paraId="233CB0DB" w14:textId="279EDC40" w:rsidR="001B2848" w:rsidRDefault="001B2848" w:rsidP="001B2848">
      <w:pPr>
        <w:pStyle w:val="Tabledescription"/>
      </w:pPr>
      <w:r>
        <w:t>b: CI = confidence interval for ratio of adjusted geometric means</w:t>
      </w:r>
    </w:p>
    <w:p w14:paraId="09E512A7" w14:textId="4D35A345" w:rsidR="001B2848" w:rsidRDefault="001B2848" w:rsidP="001B2848">
      <w:pPr>
        <w:pStyle w:val="Tabledescription"/>
      </w:pPr>
      <w:r>
        <w:t>c P-value for ratio of adjusted geometric means using a two 1-sided test</w:t>
      </w:r>
    </w:p>
    <w:p w14:paraId="5AFA8901" w14:textId="415952AA" w:rsidR="001B2848" w:rsidRDefault="001B2848" w:rsidP="001B2848">
      <w:pPr>
        <w:pStyle w:val="Tabledescription"/>
      </w:pPr>
      <w:r>
        <w:t xml:space="preserve">d </w:t>
      </w:r>
      <w:proofErr w:type="spellStart"/>
      <w:r>
        <w:t>CVw</w:t>
      </w:r>
      <w:proofErr w:type="spellEnd"/>
      <w:r>
        <w:t xml:space="preserve"> = Intra-subject variability. Equivalence is concluded if CI is entirely within the range (80%, 125%)</w:t>
      </w:r>
    </w:p>
    <w:p w14:paraId="1852531B" w14:textId="2B041A24" w:rsidR="001B2848" w:rsidRDefault="001B2848" w:rsidP="001B2848">
      <w:r>
        <w:t>A total of 60 of the 64 subjects had evaluable data for both test and reference products and were included in the PD analysis dataset.</w:t>
      </w:r>
    </w:p>
    <w:p w14:paraId="1AC50F23" w14:textId="225CAD12" w:rsidR="001B2848" w:rsidRDefault="001B2848" w:rsidP="001B2848">
      <w:r>
        <w:lastRenderedPageBreak/>
        <w:t>For the primary endpoints, ANC E</w:t>
      </w:r>
      <w:r w:rsidRPr="001B2848">
        <w:rPr>
          <w:vertAlign w:val="subscript"/>
        </w:rPr>
        <w:t>max</w:t>
      </w:r>
      <w:r>
        <w:t xml:space="preserve"> and AUEC, the 95% CI for the ratio of the adjusted geometric means for USV pegfilgrastim versus </w:t>
      </w:r>
      <w:r w:rsidR="00D6720A">
        <w:t xml:space="preserve">EU-sourced </w:t>
      </w:r>
      <w:r>
        <w:t>Neulasta were contained within the acceptance limits of 80% and 125%.</w:t>
      </w:r>
      <w:r w:rsidR="00707353">
        <w:t xml:space="preserve"> </w:t>
      </w:r>
      <w:r>
        <w:t>CD34+ cell counts also support comparability.</w:t>
      </w:r>
    </w:p>
    <w:p w14:paraId="47F1EF7C" w14:textId="31048C95" w:rsidR="001B2848" w:rsidRDefault="001B2848" w:rsidP="001B2848">
      <w:pPr>
        <w:pStyle w:val="Heading5"/>
      </w:pPr>
      <w:r>
        <w:t>Summary of pharmacokinetics and pharmacodynamics</w:t>
      </w:r>
    </w:p>
    <w:p w14:paraId="277D33F3" w14:textId="6E417CC8" w:rsidR="001B2848" w:rsidRDefault="001B2848" w:rsidP="001B2848">
      <w:r>
        <w:t xml:space="preserve">The PK and PD profiles of Filpegla and Neulasta have been compared in two trials of healthy volunteers using the same study design at the 6 mg therapeutic dose and a sub-therapeutic 2 mg dose; the 6 mg dose </w:t>
      </w:r>
      <w:proofErr w:type="gramStart"/>
      <w:r>
        <w:t>is considered to be</w:t>
      </w:r>
      <w:proofErr w:type="gramEnd"/>
      <w:r>
        <w:t xml:space="preserve"> sufficiently sensitive for both PK and PD comparison as it lies on the steep part of the dose concentration and dose response curves.</w:t>
      </w:r>
    </w:p>
    <w:p w14:paraId="093ECB32" w14:textId="207C9B6F" w:rsidR="001B2848" w:rsidRDefault="001B2848" w:rsidP="001B2848">
      <w:r>
        <w:t>The pivotal Study PEGF/USV/P1/001 demonstrated PK comparability of the 6 mg dose, with the 90% CI of the geometric mean ratio for AUC</w:t>
      </w:r>
      <w:r w:rsidRPr="001B2848">
        <w:rPr>
          <w:vertAlign w:val="subscript"/>
        </w:rPr>
        <w:t xml:space="preserve">0-last </w:t>
      </w:r>
      <w:r>
        <w:t>(90% CI: 92.86, 111.38), AUC</w:t>
      </w:r>
      <w:r w:rsidRPr="001B2848">
        <w:rPr>
          <w:vertAlign w:val="subscript"/>
        </w:rPr>
        <w:t>0-inf</w:t>
      </w:r>
      <w:r w:rsidRPr="00707353">
        <w:t xml:space="preserve"> </w:t>
      </w:r>
      <w:r>
        <w:t>and C</w:t>
      </w:r>
      <w:r w:rsidRPr="001B2848">
        <w:rPr>
          <w:vertAlign w:val="subscript"/>
        </w:rPr>
        <w:t>max</w:t>
      </w:r>
      <w:r>
        <w:t xml:space="preserve"> all contained within the pre-specified and standard bioequivalence range of 80% to 125%. The second Study PEGF/USV/P1/001 was not powered to establish PK equivalence.</w:t>
      </w:r>
    </w:p>
    <w:p w14:paraId="4905EF71" w14:textId="5D878EFF" w:rsidR="001B2848" w:rsidRDefault="001B2848" w:rsidP="001B2848">
      <w:r>
        <w:t>Analysis of PD parameters (AUEC and E</w:t>
      </w:r>
      <w:r w:rsidRPr="001B2848">
        <w:rPr>
          <w:vertAlign w:val="subscript"/>
        </w:rPr>
        <w:t>max</w:t>
      </w:r>
      <w:r>
        <w:t xml:space="preserve"> for ANC, and CD34+ cell count) showed that the 95% CI for the ratio of geometric means for Filpegla</w:t>
      </w:r>
      <w:r w:rsidR="00707353">
        <w:t xml:space="preserve"> and </w:t>
      </w:r>
      <w:r>
        <w:t>Neulasta all fall within the pre-specified bioequivalence limit of 90% and 111.11% in the pivotal study and 80% to 125% in the supportive study.</w:t>
      </w:r>
    </w:p>
    <w:p w14:paraId="7768EA27" w14:textId="1691FC7C" w:rsidR="001B2848" w:rsidRDefault="001B2848" w:rsidP="001B2848">
      <w:r>
        <w:t>The PK and PD profile of Filpegla and Neulasta are therefore considered comparable.</w:t>
      </w:r>
    </w:p>
    <w:p w14:paraId="0BC08FDA" w14:textId="77777777" w:rsidR="001B2848" w:rsidRPr="00D55648" w:rsidRDefault="001B2848" w:rsidP="001B2848">
      <w:pPr>
        <w:pStyle w:val="Heading4"/>
      </w:pPr>
      <w:bookmarkStart w:id="56" w:name="_Toc135296226"/>
      <w:r w:rsidRPr="00D55648">
        <w:t>Efficacy</w:t>
      </w:r>
      <w:bookmarkEnd w:id="56"/>
    </w:p>
    <w:p w14:paraId="755B5677" w14:textId="2863AB4C" w:rsidR="001B2848" w:rsidRPr="001858D9" w:rsidRDefault="001B2848" w:rsidP="001B2848">
      <w:pPr>
        <w:pStyle w:val="Heading5"/>
      </w:pPr>
      <w:r>
        <w:t>Study PEGF/USV/P3/003</w:t>
      </w:r>
    </w:p>
    <w:p w14:paraId="4C10FCE1" w14:textId="64A9F3B7" w:rsidR="001B2848" w:rsidRDefault="001B2848" w:rsidP="001B2848">
      <w:pPr>
        <w:rPr>
          <w:lang w:eastAsia="ja-JP"/>
        </w:rPr>
      </w:pPr>
      <w:r w:rsidRPr="002A2DBC">
        <w:rPr>
          <w:lang w:eastAsia="ja-JP"/>
        </w:rPr>
        <w:t>Study PEGF/USV/P3/003 was a Phase III randomised, assessor blinded, active controlled, parallel group study of efficacy and safety of USV pegfilgrastim versus EU</w:t>
      </w:r>
      <w:r w:rsidR="00D6720A">
        <w:rPr>
          <w:lang w:eastAsia="ja-JP"/>
        </w:rPr>
        <w:t>-sourced</w:t>
      </w:r>
      <w:r w:rsidRPr="002A2DBC">
        <w:rPr>
          <w:lang w:eastAsia="ja-JP"/>
        </w:rPr>
        <w:t xml:space="preserve"> Neulasta in patients with stage </w:t>
      </w:r>
      <w:proofErr w:type="spellStart"/>
      <w:r w:rsidRPr="002A2DBC">
        <w:rPr>
          <w:lang w:eastAsia="ja-JP"/>
        </w:rPr>
        <w:t>IIa</w:t>
      </w:r>
      <w:proofErr w:type="spellEnd"/>
      <w:r w:rsidRPr="002A2DBC">
        <w:rPr>
          <w:lang w:eastAsia="ja-JP"/>
        </w:rPr>
        <w:t>, IIb or IIIa breast cancer eligible for</w:t>
      </w:r>
      <w:r>
        <w:rPr>
          <w:lang w:eastAsia="ja-JP"/>
        </w:rPr>
        <w:t xml:space="preserve"> adjuvant </w:t>
      </w:r>
      <w:r w:rsidRPr="002A2DBC">
        <w:rPr>
          <w:lang w:eastAsia="ja-JP"/>
        </w:rPr>
        <w:t>TAC</w:t>
      </w:r>
      <w:r>
        <w:rPr>
          <w:lang w:eastAsia="ja-JP"/>
        </w:rPr>
        <w:t xml:space="preserve"> chemotherapy.</w:t>
      </w:r>
      <w:bookmarkStart w:id="57" w:name="_Ref133236867"/>
      <w:r w:rsidR="002A2DBC">
        <w:rPr>
          <w:rStyle w:val="FootnoteReference"/>
          <w:lang w:eastAsia="ja-JP"/>
        </w:rPr>
        <w:footnoteReference w:id="15"/>
      </w:r>
      <w:bookmarkEnd w:id="57"/>
      <w:r>
        <w:rPr>
          <w:lang w:eastAsia="ja-JP"/>
        </w:rPr>
        <w:t xml:space="preserve"> The primary objective was to demonstrate comparability </w:t>
      </w:r>
      <w:r w:rsidRPr="00447B36">
        <w:rPr>
          <w:lang w:eastAsia="ja-JP"/>
        </w:rPr>
        <w:t>in therapeutic eff</w:t>
      </w:r>
      <w:r>
        <w:rPr>
          <w:lang w:eastAsia="ja-JP"/>
        </w:rPr>
        <w:t xml:space="preserve">icacy of USV </w:t>
      </w:r>
      <w:r w:rsidR="002A2DBC">
        <w:rPr>
          <w:lang w:eastAsia="ja-JP"/>
        </w:rPr>
        <w:t>p</w:t>
      </w:r>
      <w:r>
        <w:rPr>
          <w:lang w:eastAsia="ja-JP"/>
        </w:rPr>
        <w:t>egfilgrastim and EU</w:t>
      </w:r>
      <w:r w:rsidR="00D6720A">
        <w:rPr>
          <w:lang w:eastAsia="ja-JP"/>
        </w:rPr>
        <w:t>-sourced</w:t>
      </w:r>
      <w:r w:rsidR="002A2DBC">
        <w:rPr>
          <w:lang w:eastAsia="ja-JP"/>
        </w:rPr>
        <w:t> </w:t>
      </w:r>
      <w:r>
        <w:rPr>
          <w:lang w:eastAsia="ja-JP"/>
        </w:rPr>
        <w:t xml:space="preserve">Neulasta </w:t>
      </w:r>
      <w:r w:rsidRPr="00447B36">
        <w:rPr>
          <w:lang w:eastAsia="ja-JP"/>
        </w:rPr>
        <w:t>(reference product) during the first chemotherapy cycle</w:t>
      </w:r>
      <w:r>
        <w:rPr>
          <w:lang w:eastAsia="ja-JP"/>
        </w:rPr>
        <w:t xml:space="preserve">. </w:t>
      </w:r>
      <w:r>
        <w:t>The primary efficacy endpoint was the duration of severe neutrope</w:t>
      </w:r>
      <w:r w:rsidRPr="00707353">
        <w:t>nia (DSN)</w:t>
      </w:r>
      <w:r>
        <w:t xml:space="preserve"> as defined by </w:t>
      </w:r>
      <w:r w:rsidR="00D6720A">
        <w:t>an absolute neutrophil count (</w:t>
      </w:r>
      <w:r>
        <w:t>ANC</w:t>
      </w:r>
      <w:r w:rsidR="00D6720A">
        <w:t>)</w:t>
      </w:r>
      <w:r>
        <w:t xml:space="preserve"> below 0.5</w:t>
      </w:r>
      <w:r w:rsidR="002A2DBC">
        <w:t xml:space="preserve"> </w:t>
      </w:r>
      <w:r>
        <w:t>x</w:t>
      </w:r>
      <w:r w:rsidR="002A2DBC">
        <w:t xml:space="preserve"> </w:t>
      </w:r>
      <w:r>
        <w:t>10</w:t>
      </w:r>
      <w:r w:rsidRPr="007C42B7">
        <w:rPr>
          <w:vertAlign w:val="superscript"/>
        </w:rPr>
        <w:t>9</w:t>
      </w:r>
      <w:r>
        <w:t>/L, during Cycle 1 of treatment.</w:t>
      </w:r>
    </w:p>
    <w:p w14:paraId="2CA200AE" w14:textId="667F7D20" w:rsidR="001B2848" w:rsidRDefault="001B2848" w:rsidP="001B2848">
      <w:pPr>
        <w:rPr>
          <w:lang w:eastAsia="ja-JP"/>
        </w:rPr>
      </w:pPr>
      <w:r>
        <w:rPr>
          <w:lang w:eastAsia="ja-JP"/>
        </w:rPr>
        <w:t>S</w:t>
      </w:r>
      <w:r w:rsidRPr="00D13509">
        <w:rPr>
          <w:lang w:eastAsia="ja-JP"/>
        </w:rPr>
        <w:t>econdary objective</w:t>
      </w:r>
      <w:r>
        <w:rPr>
          <w:lang w:eastAsia="ja-JP"/>
        </w:rPr>
        <w:t>s</w:t>
      </w:r>
      <w:r w:rsidRPr="00D13509">
        <w:rPr>
          <w:lang w:eastAsia="ja-JP"/>
        </w:rPr>
        <w:t xml:space="preserve"> w</w:t>
      </w:r>
      <w:r>
        <w:rPr>
          <w:lang w:eastAsia="ja-JP"/>
        </w:rPr>
        <w:t>ere</w:t>
      </w:r>
      <w:r w:rsidRPr="00D13509">
        <w:rPr>
          <w:lang w:eastAsia="ja-JP"/>
        </w:rPr>
        <w:t xml:space="preserve"> further compar</w:t>
      </w:r>
      <w:r>
        <w:rPr>
          <w:lang w:eastAsia="ja-JP"/>
        </w:rPr>
        <w:t>isons</w:t>
      </w:r>
      <w:r w:rsidRPr="00D13509">
        <w:rPr>
          <w:lang w:eastAsia="ja-JP"/>
        </w:rPr>
        <w:t xml:space="preserve"> </w:t>
      </w:r>
      <w:r>
        <w:rPr>
          <w:lang w:eastAsia="ja-JP"/>
        </w:rPr>
        <w:t xml:space="preserve">of </w:t>
      </w:r>
      <w:r w:rsidRPr="00D13509">
        <w:rPr>
          <w:lang w:eastAsia="ja-JP"/>
        </w:rPr>
        <w:t>efficacy, safety, and immunogenicity</w:t>
      </w:r>
      <w:r>
        <w:rPr>
          <w:lang w:eastAsia="ja-JP"/>
        </w:rPr>
        <w:t>.</w:t>
      </w:r>
    </w:p>
    <w:p w14:paraId="6BCBAC84" w14:textId="77777777" w:rsidR="002A2DBC" w:rsidRDefault="002A2DBC" w:rsidP="002A2DBC">
      <w:pPr>
        <w:pStyle w:val="Heading6"/>
        <w:rPr>
          <w:lang w:eastAsia="ja-JP"/>
        </w:rPr>
      </w:pPr>
      <w:r>
        <w:rPr>
          <w:lang w:eastAsia="ja-JP"/>
        </w:rPr>
        <w:t>Study objectives</w:t>
      </w:r>
    </w:p>
    <w:p w14:paraId="6F934971" w14:textId="249DB1CD" w:rsidR="002A2DBC" w:rsidRDefault="002A2DBC" w:rsidP="002A2DBC">
      <w:pPr>
        <w:pStyle w:val="ListBullet"/>
        <w:rPr>
          <w:lang w:eastAsia="ja-JP"/>
        </w:rPr>
      </w:pPr>
      <w:r>
        <w:rPr>
          <w:lang w:eastAsia="ja-JP"/>
        </w:rPr>
        <w:t>Primary objectives</w:t>
      </w:r>
    </w:p>
    <w:p w14:paraId="00757156" w14:textId="2B65B339" w:rsidR="002A2DBC" w:rsidRDefault="002A2DBC" w:rsidP="002A2DBC">
      <w:pPr>
        <w:pStyle w:val="ListBullet2"/>
        <w:rPr>
          <w:lang w:eastAsia="ja-JP"/>
        </w:rPr>
      </w:pPr>
      <w:r>
        <w:rPr>
          <w:lang w:eastAsia="ja-JP"/>
        </w:rPr>
        <w:t xml:space="preserve">To assess the efficacy of USV pegfilgrastim compared to Neulasta with respect to the mean DSN defined as the mean number of days with Grade 4 </w:t>
      </w:r>
      <w:proofErr w:type="gramStart"/>
      <w:r>
        <w:rPr>
          <w:lang w:eastAsia="ja-JP"/>
        </w:rPr>
        <w:t>neutropenia</w:t>
      </w:r>
      <w:r w:rsidR="00707353">
        <w:rPr>
          <w:lang w:eastAsia="ja-JP"/>
        </w:rPr>
        <w:t>;</w:t>
      </w:r>
      <w:proofErr w:type="gramEnd"/>
      <w:r w:rsidR="00707353">
        <w:rPr>
          <w:rStyle w:val="FootnoteReference"/>
          <w:lang w:eastAsia="ja-JP"/>
        </w:rPr>
        <w:footnoteReference w:id="16"/>
      </w:r>
      <w:r>
        <w:rPr>
          <w:lang w:eastAsia="ja-JP"/>
        </w:rPr>
        <w:t xml:space="preserve"> (ANC less than 0.5 x 10</w:t>
      </w:r>
      <w:r w:rsidRPr="002A2DBC">
        <w:rPr>
          <w:vertAlign w:val="superscript"/>
          <w:lang w:eastAsia="ja-JP"/>
        </w:rPr>
        <w:t>9</w:t>
      </w:r>
      <w:r>
        <w:rPr>
          <w:lang w:eastAsia="ja-JP"/>
        </w:rPr>
        <w:t>/L) during Cycle 1 of chemotherapy treatment.</w:t>
      </w:r>
    </w:p>
    <w:p w14:paraId="34899854" w14:textId="7CBD33EC" w:rsidR="002A2DBC" w:rsidRDefault="002A2DBC" w:rsidP="002A2DBC">
      <w:pPr>
        <w:pStyle w:val="ListBullet"/>
        <w:rPr>
          <w:lang w:eastAsia="ja-JP"/>
        </w:rPr>
      </w:pPr>
      <w:r>
        <w:rPr>
          <w:lang w:eastAsia="ja-JP"/>
        </w:rPr>
        <w:t>Secondary objective</w:t>
      </w:r>
    </w:p>
    <w:p w14:paraId="1DA5AF2D" w14:textId="0D2FB7C7" w:rsidR="002A2DBC" w:rsidRDefault="002A2DBC" w:rsidP="002A2DBC">
      <w:pPr>
        <w:pStyle w:val="ListBullet2"/>
        <w:rPr>
          <w:lang w:eastAsia="ja-JP"/>
        </w:rPr>
      </w:pPr>
      <w:r>
        <w:rPr>
          <w:lang w:eastAsia="ja-JP"/>
        </w:rPr>
        <w:t xml:space="preserve">To further compare USV pegfilgrastim and Neulasta with respect to efficacy, </w:t>
      </w:r>
      <w:proofErr w:type="gramStart"/>
      <w:r>
        <w:rPr>
          <w:lang w:eastAsia="ja-JP"/>
        </w:rPr>
        <w:t>safety</w:t>
      </w:r>
      <w:proofErr w:type="gramEnd"/>
      <w:r>
        <w:rPr>
          <w:lang w:eastAsia="ja-JP"/>
        </w:rPr>
        <w:t xml:space="preserve"> and immunogenicity.</w:t>
      </w:r>
    </w:p>
    <w:p w14:paraId="03067333" w14:textId="548072CB" w:rsidR="002A2DBC" w:rsidRDefault="002A2DBC" w:rsidP="002A2DBC">
      <w:pPr>
        <w:pStyle w:val="Heading6"/>
        <w:rPr>
          <w:lang w:eastAsia="ja-JP"/>
        </w:rPr>
      </w:pPr>
      <w:r>
        <w:rPr>
          <w:lang w:eastAsia="ja-JP"/>
        </w:rPr>
        <w:t>Study design and duration</w:t>
      </w:r>
    </w:p>
    <w:p w14:paraId="783E1C76" w14:textId="43F02B50" w:rsidR="002A2DBC" w:rsidRDefault="002A2DBC" w:rsidP="002A2DBC">
      <w:pPr>
        <w:rPr>
          <w:lang w:eastAsia="ja-JP"/>
        </w:rPr>
      </w:pPr>
      <w:r>
        <w:rPr>
          <w:lang w:eastAsia="ja-JP"/>
        </w:rPr>
        <w:t>Randomised, assessor blinded, active controlled, parallel group Phase III study.</w:t>
      </w:r>
    </w:p>
    <w:p w14:paraId="01D6CB87" w14:textId="489D2952" w:rsidR="002A2DBC" w:rsidRDefault="002A2DBC" w:rsidP="002A2DBC">
      <w:pPr>
        <w:pStyle w:val="ListBullet"/>
        <w:rPr>
          <w:lang w:eastAsia="ja-JP"/>
        </w:rPr>
      </w:pPr>
      <w:r>
        <w:rPr>
          <w:lang w:eastAsia="ja-JP"/>
        </w:rPr>
        <w:lastRenderedPageBreak/>
        <w:t>254 women (18 years of age or older) eligible for TAC chemotherapy as adjuvant treatment for breast cancer</w:t>
      </w:r>
    </w:p>
    <w:p w14:paraId="284A9E16" w14:textId="2FCFC4F5" w:rsidR="002A2DBC" w:rsidRDefault="002A2DBC" w:rsidP="002A2DBC">
      <w:pPr>
        <w:pStyle w:val="ListBullet"/>
        <w:rPr>
          <w:lang w:eastAsia="ja-JP"/>
        </w:rPr>
      </w:pPr>
      <w:r>
        <w:rPr>
          <w:lang w:eastAsia="ja-JP"/>
        </w:rPr>
        <w:t>Randomised 2:1 to USV pegfilgrastim (n = 172) or EU Neulasta (n = 82)</w:t>
      </w:r>
    </w:p>
    <w:p w14:paraId="519F73A2" w14:textId="2BC5B560" w:rsidR="002A2DBC" w:rsidRDefault="002A2DBC" w:rsidP="002A2DBC">
      <w:pPr>
        <w:pStyle w:val="ListBullet"/>
        <w:rPr>
          <w:lang w:eastAsia="ja-JP"/>
        </w:rPr>
      </w:pPr>
      <w:r>
        <w:rPr>
          <w:lang w:eastAsia="ja-JP"/>
        </w:rPr>
        <w:t>Treatment period is up to 18 weeks (6 cycles of TAC)</w:t>
      </w:r>
    </w:p>
    <w:p w14:paraId="6D23DCD3" w14:textId="6EBAB66F" w:rsidR="002A2DBC" w:rsidRDefault="002A2DBC" w:rsidP="002A2DBC">
      <w:pPr>
        <w:pStyle w:val="ListBullet"/>
        <w:rPr>
          <w:lang w:eastAsia="ja-JP"/>
        </w:rPr>
      </w:pPr>
      <w:r>
        <w:rPr>
          <w:lang w:eastAsia="ja-JP"/>
        </w:rPr>
        <w:t xml:space="preserve">Safety follow up period is six months after last administration of </w:t>
      </w:r>
      <w:r w:rsidRPr="00707353">
        <w:rPr>
          <w:lang w:eastAsia="ja-JP"/>
        </w:rPr>
        <w:t>IMP</w:t>
      </w:r>
    </w:p>
    <w:p w14:paraId="6AD15047" w14:textId="7B01A1EF" w:rsidR="002A2DBC" w:rsidRDefault="002A2DBC" w:rsidP="002A2DBC">
      <w:pPr>
        <w:pStyle w:val="Heading6"/>
        <w:rPr>
          <w:lang w:eastAsia="ja-JP"/>
        </w:rPr>
      </w:pPr>
      <w:r>
        <w:rPr>
          <w:lang w:eastAsia="ja-JP"/>
        </w:rPr>
        <w:t>Primary endpoints</w:t>
      </w:r>
    </w:p>
    <w:p w14:paraId="654029C6" w14:textId="220B3342" w:rsidR="002A2DBC" w:rsidRDefault="002A2DBC" w:rsidP="002A2DBC">
      <w:pPr>
        <w:pStyle w:val="ListBullet"/>
        <w:rPr>
          <w:lang w:eastAsia="ja-JP"/>
        </w:rPr>
      </w:pPr>
      <w:r>
        <w:rPr>
          <w:lang w:eastAsia="ja-JP"/>
        </w:rPr>
        <w:t>Primary efficacy endpoint</w:t>
      </w:r>
    </w:p>
    <w:p w14:paraId="698F7C86" w14:textId="5AF82540" w:rsidR="002A2DBC" w:rsidRDefault="002A2DBC" w:rsidP="002A2DBC">
      <w:pPr>
        <w:pStyle w:val="ListBullet2"/>
        <w:rPr>
          <w:lang w:eastAsia="ja-JP"/>
        </w:rPr>
      </w:pPr>
      <w:r>
        <w:rPr>
          <w:lang w:eastAsia="ja-JP"/>
        </w:rPr>
        <w:t>Mean DSN during Cycle 1</w:t>
      </w:r>
    </w:p>
    <w:p w14:paraId="40A91A97" w14:textId="6B2C0F7C" w:rsidR="002A2DBC" w:rsidRDefault="002A2DBC" w:rsidP="002A2DBC">
      <w:pPr>
        <w:pStyle w:val="ListBullet"/>
        <w:rPr>
          <w:lang w:eastAsia="ja-JP"/>
        </w:rPr>
      </w:pPr>
      <w:r>
        <w:rPr>
          <w:lang w:eastAsia="ja-JP"/>
        </w:rPr>
        <w:t>Secondary efficacy endpoints</w:t>
      </w:r>
    </w:p>
    <w:p w14:paraId="326DDAA3" w14:textId="390FAFF6" w:rsidR="002A2DBC" w:rsidRDefault="002A2DBC" w:rsidP="002A2DBC">
      <w:pPr>
        <w:pStyle w:val="ListBullet2"/>
        <w:rPr>
          <w:lang w:eastAsia="ja-JP"/>
        </w:rPr>
      </w:pPr>
      <w:r>
        <w:rPr>
          <w:lang w:eastAsia="ja-JP"/>
        </w:rPr>
        <w:t>Mean DSN during Cycles 2 to 6; depth of ANC nadir in Cycles 1 to 6; number or proportion of subjects with febrile neutropenia; time to neutrophil recovery, number/proportion of subjects hospitalised; number/proportion of subjects with documented infections; use of intravenous antibiotics.</w:t>
      </w:r>
    </w:p>
    <w:p w14:paraId="3B697981" w14:textId="13A36BB8" w:rsidR="002A2DBC" w:rsidRDefault="002A2DBC" w:rsidP="002A2DBC">
      <w:pPr>
        <w:pStyle w:val="ListBullet"/>
        <w:rPr>
          <w:lang w:eastAsia="ja-JP"/>
        </w:rPr>
      </w:pPr>
      <w:r>
        <w:rPr>
          <w:lang w:eastAsia="ja-JP"/>
        </w:rPr>
        <w:t>Safety endpoints</w:t>
      </w:r>
    </w:p>
    <w:p w14:paraId="58671EFB" w14:textId="4DE55708" w:rsidR="002A2DBC" w:rsidRDefault="002A2DBC" w:rsidP="002A2DBC">
      <w:pPr>
        <w:pStyle w:val="ListBullet2"/>
        <w:rPr>
          <w:lang w:eastAsia="ja-JP"/>
        </w:rPr>
      </w:pPr>
      <w:r>
        <w:rPr>
          <w:lang w:eastAsia="ja-JP"/>
        </w:rPr>
        <w:t>Probability of occurrence and severity of the most common adverse events associated with pegfilgrastim treatment and other adverse events (including mortality during treatment for any cause); injection site tolerability; systemic tolerance; immunogenicity assessments.</w:t>
      </w:r>
    </w:p>
    <w:p w14:paraId="4004BE5D" w14:textId="52C32CE5" w:rsidR="002A2DBC" w:rsidRDefault="002A2DBC" w:rsidP="002A2DBC">
      <w:pPr>
        <w:pStyle w:val="Heading6"/>
        <w:rPr>
          <w:lang w:eastAsia="ja-JP"/>
        </w:rPr>
      </w:pPr>
      <w:r>
        <w:rPr>
          <w:lang w:eastAsia="ja-JP"/>
        </w:rPr>
        <w:t>Key inclusion criteria</w:t>
      </w:r>
    </w:p>
    <w:p w14:paraId="071C6A37" w14:textId="41179039" w:rsidR="002A2DBC" w:rsidRDefault="002A2DBC" w:rsidP="002A2DBC">
      <w:pPr>
        <w:pStyle w:val="ListBullet"/>
        <w:rPr>
          <w:lang w:eastAsia="ja-JP"/>
        </w:rPr>
      </w:pPr>
      <w:r>
        <w:rPr>
          <w:lang w:eastAsia="ja-JP"/>
        </w:rPr>
        <w:t>Women 18 years of age or older</w:t>
      </w:r>
    </w:p>
    <w:p w14:paraId="68236A17" w14:textId="249E3E69" w:rsidR="002A2DBC" w:rsidRDefault="002A2DBC" w:rsidP="002A2DBC">
      <w:pPr>
        <w:pStyle w:val="ListBullet"/>
        <w:rPr>
          <w:lang w:eastAsia="ja-JP"/>
        </w:rPr>
      </w:pPr>
      <w:r>
        <w:rPr>
          <w:lang w:eastAsia="ja-JP"/>
        </w:rPr>
        <w:t>Body weight between 40 and 120 kg</w:t>
      </w:r>
    </w:p>
    <w:p w14:paraId="31A9D158" w14:textId="77777777" w:rsidR="002A2DBC" w:rsidRDefault="002A2DBC" w:rsidP="002A2DBC">
      <w:pPr>
        <w:pStyle w:val="ListBullet"/>
        <w:rPr>
          <w:lang w:eastAsia="ja-JP"/>
        </w:rPr>
      </w:pPr>
      <w:r>
        <w:rPr>
          <w:lang w:eastAsia="ja-JP"/>
        </w:rPr>
        <w:t>Chemotherapy naïve</w:t>
      </w:r>
    </w:p>
    <w:p w14:paraId="1A3DBB8B" w14:textId="76B05DA0" w:rsidR="002A2DBC" w:rsidRDefault="002A2DBC" w:rsidP="002A2DBC">
      <w:pPr>
        <w:pStyle w:val="ListBullet"/>
        <w:rPr>
          <w:lang w:eastAsia="ja-JP"/>
        </w:rPr>
      </w:pPr>
      <w:r>
        <w:rPr>
          <w:lang w:eastAsia="ja-JP"/>
        </w:rPr>
        <w:t xml:space="preserve">Histologically proven breast cancer (stage </w:t>
      </w:r>
      <w:proofErr w:type="spellStart"/>
      <w:r>
        <w:rPr>
          <w:lang w:eastAsia="ja-JP"/>
        </w:rPr>
        <w:t>IIa</w:t>
      </w:r>
      <w:proofErr w:type="spellEnd"/>
      <w:r>
        <w:rPr>
          <w:lang w:eastAsia="ja-JP"/>
        </w:rPr>
        <w:t>, IIb, or IIIa) eligible for six cycles of adjuvant TAC chemotherapy</w:t>
      </w:r>
    </w:p>
    <w:p w14:paraId="39F491CB" w14:textId="7689EA6A" w:rsidR="002A2DBC" w:rsidRDefault="002A2DBC" w:rsidP="002A2DBC">
      <w:pPr>
        <w:pStyle w:val="Heading6"/>
        <w:rPr>
          <w:lang w:eastAsia="ja-JP"/>
        </w:rPr>
      </w:pPr>
      <w:r>
        <w:rPr>
          <w:lang w:eastAsia="ja-JP"/>
        </w:rPr>
        <w:t>Key exclusion criteria</w:t>
      </w:r>
    </w:p>
    <w:p w14:paraId="4D507B18" w14:textId="6704B083" w:rsidR="002A2DBC" w:rsidRDefault="002A2DBC" w:rsidP="002A2DBC">
      <w:pPr>
        <w:pStyle w:val="ListBullet"/>
        <w:rPr>
          <w:lang w:eastAsia="ja-JP"/>
        </w:rPr>
      </w:pPr>
      <w:r>
        <w:rPr>
          <w:lang w:eastAsia="ja-JP"/>
        </w:rPr>
        <w:t>Presence of distant metastasis</w:t>
      </w:r>
    </w:p>
    <w:p w14:paraId="238F1905" w14:textId="77777777" w:rsidR="002A2DBC" w:rsidRDefault="002A2DBC" w:rsidP="002A2DBC">
      <w:pPr>
        <w:pStyle w:val="ListBullet"/>
        <w:rPr>
          <w:lang w:eastAsia="ja-JP"/>
        </w:rPr>
      </w:pPr>
      <w:r>
        <w:rPr>
          <w:lang w:eastAsia="ja-JP"/>
        </w:rPr>
        <w:t>Severe chronic neutropenia</w:t>
      </w:r>
    </w:p>
    <w:p w14:paraId="43BF8B5D" w14:textId="497E187E" w:rsidR="002A2DBC" w:rsidRDefault="002A2DBC" w:rsidP="002A2DBC">
      <w:pPr>
        <w:pStyle w:val="ListBullet"/>
        <w:rPr>
          <w:lang w:eastAsia="ja-JP"/>
        </w:rPr>
      </w:pPr>
      <w:r>
        <w:rPr>
          <w:lang w:eastAsia="ja-JP"/>
        </w:rPr>
        <w:t xml:space="preserve">History of </w:t>
      </w:r>
      <w:r w:rsidRPr="002A2DBC">
        <w:rPr>
          <w:lang w:eastAsia="ja-JP"/>
        </w:rPr>
        <w:t>chronic myeloid leukaemia</w:t>
      </w:r>
      <w:r>
        <w:rPr>
          <w:lang w:eastAsia="ja-JP"/>
        </w:rPr>
        <w:t xml:space="preserve">, myelodysplastic </w:t>
      </w:r>
      <w:proofErr w:type="gramStart"/>
      <w:r>
        <w:rPr>
          <w:lang w:eastAsia="ja-JP"/>
        </w:rPr>
        <w:t>syndrome</w:t>
      </w:r>
      <w:proofErr w:type="gramEnd"/>
      <w:r>
        <w:rPr>
          <w:lang w:eastAsia="ja-JP"/>
        </w:rPr>
        <w:t xml:space="preserve"> or sickle cell disease</w:t>
      </w:r>
    </w:p>
    <w:p w14:paraId="5FEE77B3" w14:textId="77777777" w:rsidR="002A2DBC" w:rsidRDefault="002A2DBC" w:rsidP="002A2DBC">
      <w:pPr>
        <w:pStyle w:val="Heading6"/>
        <w:rPr>
          <w:lang w:eastAsia="ja-JP"/>
        </w:rPr>
      </w:pPr>
      <w:r>
        <w:rPr>
          <w:lang w:eastAsia="ja-JP"/>
        </w:rPr>
        <w:t>Study treatment</w:t>
      </w:r>
    </w:p>
    <w:p w14:paraId="2652519E" w14:textId="526BA4FD" w:rsidR="002A2DBC" w:rsidRDefault="002A2DBC" w:rsidP="002A2DBC">
      <w:pPr>
        <w:pStyle w:val="ListBullet"/>
        <w:rPr>
          <w:lang w:eastAsia="ja-JP"/>
        </w:rPr>
      </w:pPr>
      <w:r>
        <w:rPr>
          <w:lang w:eastAsia="ja-JP"/>
        </w:rPr>
        <w:t>Test product: USV pegfilgrastim, 6 mg subcutaneous injection</w:t>
      </w:r>
    </w:p>
    <w:p w14:paraId="083519B4" w14:textId="06A56085" w:rsidR="002A2DBC" w:rsidRDefault="002A2DBC" w:rsidP="002A2DBC">
      <w:pPr>
        <w:pStyle w:val="ListBullet"/>
        <w:ind w:left="357" w:hanging="357"/>
        <w:rPr>
          <w:lang w:eastAsia="ja-JP"/>
        </w:rPr>
      </w:pPr>
      <w:r>
        <w:rPr>
          <w:lang w:eastAsia="ja-JP"/>
        </w:rPr>
        <w:t>Reference product: EU</w:t>
      </w:r>
      <w:r w:rsidR="00D6720A">
        <w:rPr>
          <w:lang w:eastAsia="ja-JP"/>
        </w:rPr>
        <w:t>-sourced</w:t>
      </w:r>
      <w:r>
        <w:rPr>
          <w:lang w:eastAsia="ja-JP"/>
        </w:rPr>
        <w:t xml:space="preserve"> Neulasta, 6 mg subcutaneous </w:t>
      </w:r>
      <w:r w:rsidR="00D6720A">
        <w:rPr>
          <w:lang w:eastAsia="ja-JP"/>
        </w:rPr>
        <w:t>injection</w:t>
      </w:r>
    </w:p>
    <w:p w14:paraId="4E140871" w14:textId="6FA6FC97" w:rsidR="001B2848" w:rsidRPr="002A2DBC" w:rsidRDefault="001B2848" w:rsidP="002A2DBC">
      <w:r w:rsidRPr="002A2DBC">
        <w:t xml:space="preserve">The choice of study design, population, inclusion and exclusion criteria, and study treatments including adjuvant TAC regimen, premedication and antibiotics </w:t>
      </w:r>
      <w:proofErr w:type="gramStart"/>
      <w:r w:rsidRPr="002A2DBC">
        <w:t>is considered to be</w:t>
      </w:r>
      <w:proofErr w:type="gramEnd"/>
      <w:r w:rsidRPr="002A2DBC">
        <w:t xml:space="preserve"> appropriate.</w:t>
      </w:r>
      <w:r w:rsidR="00707353">
        <w:t xml:space="preserve"> </w:t>
      </w:r>
      <w:r w:rsidRPr="002A2DBC">
        <w:t xml:space="preserve">The choice of efficacy endpoint and equivalence margin (of 1 day) is acceptable, as per </w:t>
      </w:r>
      <w:r w:rsidR="002A2A09">
        <w:t xml:space="preserve">EMA </w:t>
      </w:r>
      <w:r w:rsidR="00707353">
        <w:t>Committee for Medicinal Products for Human Use (CHMP)</w:t>
      </w:r>
      <w:r w:rsidRPr="002A2DBC">
        <w:t xml:space="preserve"> guidance.</w:t>
      </w:r>
    </w:p>
    <w:p w14:paraId="7194B5C2" w14:textId="00806C25" w:rsidR="001B2848" w:rsidRPr="002A2DBC" w:rsidRDefault="001B2848" w:rsidP="002A2DBC">
      <w:r w:rsidRPr="002A2DBC">
        <w:t xml:space="preserve">Subjects were randomised 2:1 to receive USV </w:t>
      </w:r>
      <w:r w:rsidR="002A2DBC" w:rsidRPr="002A2DBC">
        <w:t>p</w:t>
      </w:r>
      <w:r w:rsidRPr="002A2DBC">
        <w:t>egfilgrastim or the reference product (EU</w:t>
      </w:r>
      <w:r w:rsidR="00410780">
        <w:noBreakHyphen/>
      </w:r>
      <w:r w:rsidR="002A2A09">
        <w:t>sourced</w:t>
      </w:r>
      <w:r w:rsidR="002A2DBC" w:rsidRPr="002A2DBC">
        <w:t> </w:t>
      </w:r>
      <w:r w:rsidRPr="002A2DBC">
        <w:t xml:space="preserve">Neulasta) and received up to </w:t>
      </w:r>
      <w:r w:rsidR="002A2DBC" w:rsidRPr="002A2DBC">
        <w:t>six</w:t>
      </w:r>
      <w:r w:rsidRPr="002A2DBC">
        <w:t xml:space="preserve"> cycles of adjuvant TAC chemotherapy (docetaxel, </w:t>
      </w:r>
      <w:proofErr w:type="gramStart"/>
      <w:r w:rsidRPr="002A2DBC">
        <w:lastRenderedPageBreak/>
        <w:t>doxorubicin</w:t>
      </w:r>
      <w:proofErr w:type="gramEnd"/>
      <w:r w:rsidRPr="002A2DBC">
        <w:t xml:space="preserve"> and cyclophosphamide), which were administered at standard </w:t>
      </w:r>
      <w:r w:rsidR="002A2DBC">
        <w:t>three</w:t>
      </w:r>
      <w:r w:rsidRPr="002A2DBC">
        <w:t xml:space="preserve"> weekly intervals.</w:t>
      </w:r>
    </w:p>
    <w:p w14:paraId="710DC417" w14:textId="4ED3CF70" w:rsidR="001B2848" w:rsidRPr="002A2DBC" w:rsidRDefault="002A2DBC" w:rsidP="002A2DBC">
      <w:r>
        <w:t>A s</w:t>
      </w:r>
      <w:r w:rsidR="001B2848" w:rsidRPr="002A2DBC">
        <w:t>ingle subcutaneous injection of 6</w:t>
      </w:r>
      <w:r>
        <w:t> </w:t>
      </w:r>
      <w:r w:rsidR="001B2848" w:rsidRPr="002A2DBC">
        <w:t xml:space="preserve">mg USV </w:t>
      </w:r>
      <w:r>
        <w:t>p</w:t>
      </w:r>
      <w:r w:rsidR="001B2848" w:rsidRPr="002A2DBC">
        <w:t>egfilgrastim (IMP) or EU</w:t>
      </w:r>
      <w:r w:rsidR="002A2A09">
        <w:t>-sourced</w:t>
      </w:r>
      <w:r>
        <w:t> </w:t>
      </w:r>
      <w:r w:rsidR="001B2848" w:rsidRPr="002A2DBC">
        <w:t>Neulasta, as per randomisation, was administered to each subject once on Day 2 of each chemotherapy cycle</w:t>
      </w:r>
      <w:r>
        <w:t>.</w:t>
      </w:r>
    </w:p>
    <w:p w14:paraId="0A960D2F" w14:textId="64541EF9" w:rsidR="001B2848" w:rsidRPr="002A2DBC" w:rsidRDefault="00707353" w:rsidP="002A2DBC">
      <w:r>
        <w:t>A s</w:t>
      </w:r>
      <w:r w:rsidR="001B2848" w:rsidRPr="002A2DBC">
        <w:t>ample size</w:t>
      </w:r>
      <w:r w:rsidR="002A2DBC">
        <w:t xml:space="preserve"> of </w:t>
      </w:r>
      <w:r w:rsidR="001B2848" w:rsidRPr="002A2DBC">
        <w:t xml:space="preserve">216 evaluable subjects (144 in USV </w:t>
      </w:r>
      <w:r w:rsidR="002A2DBC">
        <w:t>p</w:t>
      </w:r>
      <w:r w:rsidR="001B2848" w:rsidRPr="002A2DBC">
        <w:t>egfilgrastim arm, 72 in Neulasta arm) w</w:t>
      </w:r>
      <w:r>
        <w:t>as</w:t>
      </w:r>
      <w:r w:rsidR="001B2848" w:rsidRPr="002A2DBC">
        <w:t xml:space="preserve"> considered sufficient to achieve a 90% power at a 2.5% level of significance to reject both one</w:t>
      </w:r>
      <w:r w:rsidR="002A2DBC">
        <w:noBreakHyphen/>
      </w:r>
      <w:r w:rsidR="001B2848" w:rsidRPr="002A2DBC">
        <w:t xml:space="preserve">sided null hypotheses, </w:t>
      </w:r>
      <w:r w:rsidR="002A2DBC">
        <w:t>that is,</w:t>
      </w:r>
      <w:r w:rsidR="001B2848" w:rsidRPr="002A2DBC">
        <w:t xml:space="preserve"> the null hypothesis that the ratio of means was </w:t>
      </w:r>
      <w:r w:rsidR="002A2DBC">
        <w:t xml:space="preserve">less than </w:t>
      </w:r>
      <w:r w:rsidR="001B2848" w:rsidRPr="002A2DBC">
        <w:t>0.65</w:t>
      </w:r>
      <w:r w:rsidR="002A2DBC">
        <w:t> </w:t>
      </w:r>
      <w:r w:rsidR="001B2848" w:rsidRPr="002A2DBC">
        <w:t xml:space="preserve">day, and the null hypothesis that the ratio of means </w:t>
      </w:r>
      <w:r w:rsidR="002A2DBC">
        <w:t xml:space="preserve">greater than </w:t>
      </w:r>
      <w:r w:rsidR="001B2848" w:rsidRPr="002A2DBC">
        <w:t xml:space="preserve">1.55 day. Equivalence was to be concluded if the 95% CI of the ratio of means was entirely contained in the interval </w:t>
      </w:r>
      <w:r w:rsidR="002A2DBC">
        <w:t>(</w:t>
      </w:r>
      <w:r w:rsidR="001B2848" w:rsidRPr="002A2DBC">
        <w:t>0.65, 1.55</w:t>
      </w:r>
      <w:r w:rsidR="002A2DBC">
        <w:t>)</w:t>
      </w:r>
      <w:r w:rsidR="001B2848" w:rsidRPr="002A2DBC">
        <w:t>. The upper limit of that acceptance range corresponded to a 1</w:t>
      </w:r>
      <w:r w:rsidR="002A2DBC">
        <w:t xml:space="preserve"> </w:t>
      </w:r>
      <w:r w:rsidR="001B2848" w:rsidRPr="002A2DBC">
        <w:t>day difference on the additive scale, assuming a reference mean of 1.8 days. The lower limit was calculated to be symmetrical around 1 on a multiplicative scale.</w:t>
      </w:r>
    </w:p>
    <w:p w14:paraId="39846D96" w14:textId="7F1234E7" w:rsidR="001B2848" w:rsidRDefault="002A2DBC" w:rsidP="002A2DBC">
      <w:r>
        <w:t>B</w:t>
      </w:r>
      <w:r w:rsidR="001B2848" w:rsidRPr="002A2DBC">
        <w:t xml:space="preserve">oth treatment arms </w:t>
      </w:r>
      <w:proofErr w:type="gramStart"/>
      <w:r w:rsidR="001B2848" w:rsidRPr="002A2DBC">
        <w:t>are considered to be</w:t>
      </w:r>
      <w:proofErr w:type="gramEnd"/>
      <w:r w:rsidR="001B2848" w:rsidRPr="002A2DBC">
        <w:t xml:space="preserve"> balanced with respect to patient demographics and tumour stage. During all cycles of TAC, exposure to pegfilgrastim was high</w:t>
      </w:r>
      <w:r>
        <w:t>.</w:t>
      </w:r>
    </w:p>
    <w:p w14:paraId="78846B6A" w14:textId="55A4DD4A" w:rsidR="002A2DBC" w:rsidRPr="002A2DBC" w:rsidRDefault="002A2DBC" w:rsidP="002A2DBC">
      <w:pPr>
        <w:pStyle w:val="TableTitle0"/>
      </w:pPr>
      <w:r>
        <w:t xml:space="preserve">Table </w:t>
      </w:r>
      <w:r w:rsidR="00C171EF">
        <w:fldChar w:fldCharType="begin"/>
      </w:r>
      <w:r w:rsidR="00C171EF">
        <w:instrText xml:space="preserve"> SEQ Table \* ARABIC </w:instrText>
      </w:r>
      <w:r w:rsidR="00C171EF">
        <w:fldChar w:fldCharType="separate"/>
      </w:r>
      <w:r w:rsidR="00410780">
        <w:rPr>
          <w:noProof/>
        </w:rPr>
        <w:t>11</w:t>
      </w:r>
      <w:r w:rsidR="00C171EF">
        <w:rPr>
          <w:noProof/>
        </w:rPr>
        <w:fldChar w:fldCharType="end"/>
      </w:r>
      <w:r>
        <w:t xml:space="preserve">: </w:t>
      </w:r>
      <w:r w:rsidR="002A2A09" w:rsidRPr="002A2DBC">
        <w:rPr>
          <w:lang w:eastAsia="ja-JP"/>
        </w:rPr>
        <w:t xml:space="preserve">Study PEGF/USV/P3/003 </w:t>
      </w:r>
      <w:r>
        <w:t>Drug exposure summary</w:t>
      </w:r>
    </w:p>
    <w:p w14:paraId="286CDF19" w14:textId="5BB52230" w:rsidR="001B2848" w:rsidRDefault="002A2DBC" w:rsidP="001B2848">
      <w:pPr>
        <w:rPr>
          <w:lang w:eastAsia="ja-JP"/>
        </w:rPr>
      </w:pPr>
      <w:r>
        <w:rPr>
          <w:noProof/>
          <w:lang w:val="en-GB" w:eastAsia="en-GB"/>
        </w:rPr>
        <w:drawing>
          <wp:inline distT="0" distB="0" distL="0" distR="0" wp14:anchorId="4EED79E2" wp14:editId="5EAB6C3D">
            <wp:extent cx="5614035" cy="1476286"/>
            <wp:effectExtent l="0" t="0" r="5715" b="0"/>
            <wp:docPr id="5" name="Picture 5" descr="Study PEGF/USV/P3/003 Drug exposur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udy PEGF/USV/P3/003 Drug exposure summary"/>
                    <pic:cNvPicPr/>
                  </pic:nvPicPr>
                  <pic:blipFill rotWithShape="1">
                    <a:blip r:embed="rId40"/>
                    <a:srcRect l="674"/>
                    <a:stretch/>
                  </pic:blipFill>
                  <pic:spPr bwMode="auto">
                    <a:xfrm>
                      <a:off x="0" y="0"/>
                      <a:ext cx="5615630" cy="1476705"/>
                    </a:xfrm>
                    <a:prstGeom prst="rect">
                      <a:avLst/>
                    </a:prstGeom>
                    <a:ln>
                      <a:noFill/>
                    </a:ln>
                    <a:extLst>
                      <a:ext uri="{53640926-AAD7-44D8-BBD7-CCE9431645EC}">
                        <a14:shadowObscured xmlns:a14="http://schemas.microsoft.com/office/drawing/2010/main"/>
                      </a:ext>
                    </a:extLst>
                  </pic:spPr>
                </pic:pic>
              </a:graphicData>
            </a:graphic>
          </wp:inline>
        </w:drawing>
      </w:r>
    </w:p>
    <w:p w14:paraId="61BB0E62" w14:textId="399A071A" w:rsidR="001B2848" w:rsidRDefault="001B2848" w:rsidP="002A2DBC">
      <w:pPr>
        <w:pStyle w:val="Heading6"/>
        <w:rPr>
          <w:lang w:eastAsia="ja-JP"/>
        </w:rPr>
      </w:pPr>
      <w:r w:rsidRPr="00DF7FA3">
        <w:rPr>
          <w:lang w:eastAsia="ja-JP"/>
        </w:rPr>
        <w:t xml:space="preserve">Efficacy results </w:t>
      </w:r>
      <w:r w:rsidR="002A2DBC">
        <w:rPr>
          <w:lang w:eastAsia="ja-JP"/>
        </w:rPr>
        <w:t xml:space="preserve">for </w:t>
      </w:r>
      <w:r w:rsidR="002A2A09">
        <w:rPr>
          <w:lang w:eastAsia="ja-JP"/>
        </w:rPr>
        <w:t xml:space="preserve">the </w:t>
      </w:r>
      <w:r w:rsidR="002A2DBC">
        <w:rPr>
          <w:lang w:eastAsia="ja-JP"/>
        </w:rPr>
        <w:t>p</w:t>
      </w:r>
      <w:r w:rsidRPr="00DF7FA3">
        <w:rPr>
          <w:lang w:eastAsia="ja-JP"/>
        </w:rPr>
        <w:t>rimary endpoint</w:t>
      </w:r>
    </w:p>
    <w:p w14:paraId="6023BFCF" w14:textId="41D54CA3" w:rsidR="001B2848" w:rsidRDefault="001B2848" w:rsidP="001B2848">
      <w:r w:rsidRPr="003863AD">
        <w:t xml:space="preserve">For </w:t>
      </w:r>
      <w:r w:rsidR="002A2DBC">
        <w:t>the full analysis set</w:t>
      </w:r>
      <w:r w:rsidRPr="003863AD">
        <w:t>, the mean</w:t>
      </w:r>
      <w:r w:rsidR="002A2DBC">
        <w:t xml:space="preserve"> standard deviation</w:t>
      </w:r>
      <w:r w:rsidRPr="003863AD">
        <w:t xml:space="preserve"> DSN in Cycle 1 in the USV </w:t>
      </w:r>
      <w:r w:rsidR="002A2DBC">
        <w:t>p</w:t>
      </w:r>
      <w:r w:rsidRPr="003863AD">
        <w:t>egfilgrastim treatment arm was 1.58 (±1.207) days and in the Neulasta treatment arm it was 1.65 (±1.231)</w:t>
      </w:r>
      <w:r w:rsidR="002A2DBC">
        <w:t>.</w:t>
      </w:r>
    </w:p>
    <w:p w14:paraId="2C6E333B" w14:textId="5D8B75FF" w:rsidR="002A2DBC" w:rsidRDefault="002A2DBC" w:rsidP="002A2DBC">
      <w:pPr>
        <w:pStyle w:val="TableTitle0"/>
      </w:pPr>
      <w:r>
        <w:t xml:space="preserve">Table </w:t>
      </w:r>
      <w:r w:rsidR="00C171EF">
        <w:fldChar w:fldCharType="begin"/>
      </w:r>
      <w:r w:rsidR="00C171EF">
        <w:instrText xml:space="preserve"> SEQ Table \* ARABIC </w:instrText>
      </w:r>
      <w:r w:rsidR="00C171EF">
        <w:fldChar w:fldCharType="separate"/>
      </w:r>
      <w:r w:rsidR="00410780">
        <w:rPr>
          <w:noProof/>
        </w:rPr>
        <w:t>12</w:t>
      </w:r>
      <w:r w:rsidR="00C171EF">
        <w:rPr>
          <w:noProof/>
        </w:rPr>
        <w:fldChar w:fldCharType="end"/>
      </w:r>
      <w:r>
        <w:t xml:space="preserve">: </w:t>
      </w:r>
      <w:r w:rsidR="002A2A09" w:rsidRPr="002A2DBC">
        <w:rPr>
          <w:lang w:eastAsia="ja-JP"/>
        </w:rPr>
        <w:t xml:space="preserve">Study PEGF/USV/P3/003 </w:t>
      </w:r>
      <w:r>
        <w:t>Descriptive statistics of duration of severe neutropenia in Cycle 1</w:t>
      </w:r>
    </w:p>
    <w:p w14:paraId="5FA4DA5D" w14:textId="5D834741" w:rsidR="001B2848" w:rsidRDefault="001B2848" w:rsidP="001B2848">
      <w:r>
        <w:rPr>
          <w:noProof/>
          <w:lang w:val="en-GB" w:eastAsia="en-GB"/>
        </w:rPr>
        <w:drawing>
          <wp:inline distT="0" distB="0" distL="0" distR="0" wp14:anchorId="1F73EF98" wp14:editId="433B669B">
            <wp:extent cx="5200650" cy="1026940"/>
            <wp:effectExtent l="0" t="0" r="0" b="1905"/>
            <wp:docPr id="33" name="Picture 33" descr="Study PEGF/USV/P3/003 Descriptive statistics of duration of severe neutropenia in Cyc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tudy PEGF/USV/P3/003 Descriptive statistics of duration of severe neutropenia in Cycle 1"/>
                    <pic:cNvPicPr/>
                  </pic:nvPicPr>
                  <pic:blipFill>
                    <a:blip r:embed="rId41"/>
                    <a:stretch>
                      <a:fillRect/>
                    </a:stretch>
                  </pic:blipFill>
                  <pic:spPr>
                    <a:xfrm>
                      <a:off x="0" y="0"/>
                      <a:ext cx="5245672" cy="1035830"/>
                    </a:xfrm>
                    <a:prstGeom prst="rect">
                      <a:avLst/>
                    </a:prstGeom>
                  </pic:spPr>
                </pic:pic>
              </a:graphicData>
            </a:graphic>
          </wp:inline>
        </w:drawing>
      </w:r>
    </w:p>
    <w:p w14:paraId="10516202" w14:textId="0D833BD0" w:rsidR="002A2DBC" w:rsidRDefault="002A2DBC" w:rsidP="002A2DBC">
      <w:pPr>
        <w:pStyle w:val="Tabledescription"/>
      </w:pPr>
      <w:r>
        <w:t>Abbreviations: SD = standard deviation, EU = European Union</w:t>
      </w:r>
    </w:p>
    <w:p w14:paraId="5259F867" w14:textId="68DA6D39" w:rsidR="001B2848" w:rsidRDefault="001B2848" w:rsidP="002A2DBC">
      <w:r w:rsidRPr="002A2DBC">
        <w:t xml:space="preserve">The following table </w:t>
      </w:r>
      <w:r w:rsidR="002A2DBC">
        <w:t>(</w:t>
      </w:r>
      <w:r w:rsidR="002A2DBC">
        <w:fldChar w:fldCharType="begin"/>
      </w:r>
      <w:r w:rsidR="002A2DBC">
        <w:instrText xml:space="preserve"> REF _Ref132985257 \h </w:instrText>
      </w:r>
      <w:r w:rsidR="002A2DBC">
        <w:fldChar w:fldCharType="separate"/>
      </w:r>
      <w:r w:rsidR="00410780">
        <w:t xml:space="preserve">Table </w:t>
      </w:r>
      <w:r w:rsidR="00410780">
        <w:rPr>
          <w:noProof/>
        </w:rPr>
        <w:t>13</w:t>
      </w:r>
      <w:r w:rsidR="002A2DBC">
        <w:fldChar w:fldCharType="end"/>
      </w:r>
      <w:r w:rsidR="002A2DBC">
        <w:t xml:space="preserve">) </w:t>
      </w:r>
      <w:r w:rsidRPr="002A2DBC">
        <w:t>shows the least</w:t>
      </w:r>
      <w:r w:rsidR="002A2DBC">
        <w:t xml:space="preserve"> </w:t>
      </w:r>
      <w:r w:rsidRPr="002A2DBC">
        <w:t xml:space="preserve">square mean (95% CI) of Cycle 1 DSN in the two treatment arms and their ratio estimated within a negative binomial model accounting for treatment, applying a log link, for both </w:t>
      </w:r>
      <w:r w:rsidR="002A2DBC">
        <w:t>the full analysis set</w:t>
      </w:r>
      <w:r w:rsidRPr="002A2DBC">
        <w:t xml:space="preserve"> and </w:t>
      </w:r>
      <w:r w:rsidR="002A2DBC">
        <w:t>the per-protocol</w:t>
      </w:r>
      <w:r w:rsidRPr="002A2DBC">
        <w:t xml:space="preserve"> analysis set.</w:t>
      </w:r>
    </w:p>
    <w:p w14:paraId="15A1247B" w14:textId="48AB340D" w:rsidR="002A2DBC" w:rsidRPr="002A2DBC" w:rsidRDefault="002A2DBC" w:rsidP="002A2DBC">
      <w:pPr>
        <w:pStyle w:val="TableTitle0"/>
      </w:pPr>
      <w:bookmarkStart w:id="58" w:name="_Ref132985257"/>
      <w:r>
        <w:t xml:space="preserve">Table </w:t>
      </w:r>
      <w:r w:rsidR="00C171EF">
        <w:fldChar w:fldCharType="begin"/>
      </w:r>
      <w:r w:rsidR="00C171EF">
        <w:instrText xml:space="preserve"> SEQ Table \* ARABIC </w:instrText>
      </w:r>
      <w:r w:rsidR="00C171EF">
        <w:fldChar w:fldCharType="separate"/>
      </w:r>
      <w:r w:rsidR="00410780">
        <w:rPr>
          <w:noProof/>
        </w:rPr>
        <w:t>13</w:t>
      </w:r>
      <w:r w:rsidR="00C171EF">
        <w:rPr>
          <w:noProof/>
        </w:rPr>
        <w:fldChar w:fldCharType="end"/>
      </w:r>
      <w:bookmarkEnd w:id="58"/>
      <w:r>
        <w:t xml:space="preserve">: </w:t>
      </w:r>
      <w:r w:rsidR="002A2A09" w:rsidRPr="002A2DBC">
        <w:rPr>
          <w:lang w:eastAsia="ja-JP"/>
        </w:rPr>
        <w:t xml:space="preserve">Study PEGF/USV/P3/003 </w:t>
      </w:r>
      <w:r>
        <w:t>Duration of severe neutropenia in Cycle 1</w:t>
      </w:r>
    </w:p>
    <w:p w14:paraId="609B605B" w14:textId="07E3CD23" w:rsidR="001B2848" w:rsidRDefault="001B2848" w:rsidP="001B2848">
      <w:pPr>
        <w:rPr>
          <w:rFonts w:asciiTheme="minorHAnsi" w:hAnsiTheme="minorHAnsi"/>
        </w:rPr>
      </w:pPr>
      <w:r>
        <w:rPr>
          <w:noProof/>
          <w:lang w:val="en-GB" w:eastAsia="en-GB"/>
        </w:rPr>
        <w:drawing>
          <wp:inline distT="0" distB="0" distL="0" distR="0" wp14:anchorId="58F0712F" wp14:editId="662B67F5">
            <wp:extent cx="4613275" cy="689546"/>
            <wp:effectExtent l="0" t="0" r="0" b="0"/>
            <wp:docPr id="18" name="Picture 18" descr="Study PEGF/USV/P3/003 Duration of severe neutropenia in Cyc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udy PEGF/USV/P3/003 Duration of severe neutropenia in Cycle 1"/>
                    <pic:cNvPicPr/>
                  </pic:nvPicPr>
                  <pic:blipFill rotWithShape="1">
                    <a:blip r:embed="rId42"/>
                    <a:srcRect l="2023" t="44901"/>
                    <a:stretch/>
                  </pic:blipFill>
                  <pic:spPr bwMode="auto">
                    <a:xfrm>
                      <a:off x="0" y="0"/>
                      <a:ext cx="4672892" cy="698457"/>
                    </a:xfrm>
                    <a:prstGeom prst="rect">
                      <a:avLst/>
                    </a:prstGeom>
                    <a:ln>
                      <a:noFill/>
                    </a:ln>
                    <a:extLst>
                      <a:ext uri="{53640926-AAD7-44D8-BBD7-CCE9431645EC}">
                        <a14:shadowObscured xmlns:a14="http://schemas.microsoft.com/office/drawing/2010/main"/>
                      </a:ext>
                    </a:extLst>
                  </pic:spPr>
                </pic:pic>
              </a:graphicData>
            </a:graphic>
          </wp:inline>
        </w:drawing>
      </w:r>
    </w:p>
    <w:p w14:paraId="00F66BB9" w14:textId="137E401A" w:rsidR="002A2DBC" w:rsidRDefault="002A2DBC" w:rsidP="002A2DBC">
      <w:pPr>
        <w:pStyle w:val="Tabledescription"/>
      </w:pPr>
      <w:r>
        <w:t>Abbreviations: LS = least square, EU = European Union, CI = confidence interval</w:t>
      </w:r>
    </w:p>
    <w:p w14:paraId="49416678" w14:textId="4B98740C" w:rsidR="002A2DBC" w:rsidRDefault="002A2DBC" w:rsidP="002A2DBC">
      <w:pPr>
        <w:pStyle w:val="Tabledescription"/>
      </w:pPr>
      <w:r>
        <w:lastRenderedPageBreak/>
        <w:t>Least square means (95% Cl) of treatment arms and their ratio, estimated within a generali</w:t>
      </w:r>
      <w:r w:rsidR="00707353">
        <w:t>s</w:t>
      </w:r>
      <w:r>
        <w:t>ed linear model accounting for the treatment effect assuming a negative binomial distribution (full analysis set)</w:t>
      </w:r>
    </w:p>
    <w:p w14:paraId="43CC7433" w14:textId="0F864DD4" w:rsidR="001B2848" w:rsidRPr="002A2DBC" w:rsidRDefault="001B2848" w:rsidP="002A2DBC">
      <w:r w:rsidRPr="008169ED">
        <w:t xml:space="preserve">Equivalence was concluded if the 95% CI of the ratio of means was entirely contained in the interval </w:t>
      </w:r>
      <w:r w:rsidR="002A2DBC" w:rsidRPr="008169ED">
        <w:t>(</w:t>
      </w:r>
      <w:r w:rsidRPr="008169ED">
        <w:t>0.65, 1.55</w:t>
      </w:r>
      <w:r w:rsidR="002A2DBC" w:rsidRPr="008169ED">
        <w:t>)</w:t>
      </w:r>
      <w:r w:rsidRPr="008169ED">
        <w:t>. The upper limit of this acceptance range was established to correspond to a 1</w:t>
      </w:r>
      <w:r w:rsidR="002A2DBC" w:rsidRPr="008169ED">
        <w:t xml:space="preserve"> </w:t>
      </w:r>
      <w:r w:rsidRPr="008169ED">
        <w:t>day difference on the additive scale, assuming a reference mean of 1.8 days</w:t>
      </w:r>
      <w:r w:rsidRPr="002A2DBC">
        <w:t>.</w:t>
      </w:r>
    </w:p>
    <w:p w14:paraId="3703EF75" w14:textId="2FF3E8FB" w:rsidR="001B2848" w:rsidRPr="002A2DBC" w:rsidRDefault="001B2848" w:rsidP="002A2DBC">
      <w:r w:rsidRPr="002A2DBC">
        <w:t xml:space="preserve">For </w:t>
      </w:r>
      <w:r w:rsidR="002A2DBC" w:rsidRPr="002A2DBC">
        <w:t>the full analysis set</w:t>
      </w:r>
      <w:r w:rsidRPr="002A2DBC">
        <w:t xml:space="preserve">, the </w:t>
      </w:r>
      <w:r w:rsidR="002A2DBC" w:rsidRPr="002A2DBC">
        <w:t>least square</w:t>
      </w:r>
      <w:r w:rsidRPr="002A2DBC">
        <w:t xml:space="preserve"> mean ratio of USV </w:t>
      </w:r>
      <w:r w:rsidR="002A2DBC" w:rsidRPr="002A2DBC">
        <w:t>p</w:t>
      </w:r>
      <w:r w:rsidRPr="002A2DBC">
        <w:t>egfilgrastim and Neulasta treatment arms was 0.96; the 95% CI (0.78 to 1.18) was within the pre-specified equivalence limits.</w:t>
      </w:r>
    </w:p>
    <w:p w14:paraId="2D062B27" w14:textId="3F6C5B02" w:rsidR="001B2848" w:rsidRPr="002A2DBC" w:rsidRDefault="001B2848" w:rsidP="002A2DBC">
      <w:r w:rsidRPr="002A2DBC">
        <w:t xml:space="preserve">For </w:t>
      </w:r>
      <w:r w:rsidR="002A2DBC">
        <w:t xml:space="preserve">the pre-protocol </w:t>
      </w:r>
      <w:r w:rsidRPr="002A2DBC">
        <w:t xml:space="preserve">population, the </w:t>
      </w:r>
      <w:r w:rsidR="002A2DBC">
        <w:t>least square</w:t>
      </w:r>
      <w:r w:rsidRPr="002A2DBC">
        <w:t xml:space="preserve"> ratio of USV </w:t>
      </w:r>
      <w:r w:rsidR="002A2DBC">
        <w:t>p</w:t>
      </w:r>
      <w:r w:rsidRPr="002A2DBC">
        <w:t>egfilgrastim and Neulasta treatment arms was 0.93 and the 95% CI (0.76 to 1.16) was within the pre-specified equivalence limits.</w:t>
      </w:r>
    </w:p>
    <w:p w14:paraId="60B2543A" w14:textId="4F769551" w:rsidR="001B2848" w:rsidRPr="002A2DBC" w:rsidRDefault="002A2DBC" w:rsidP="002A2DBC">
      <w:pPr>
        <w:pStyle w:val="Heading6"/>
      </w:pPr>
      <w:r>
        <w:rPr>
          <w:lang w:eastAsia="ja-JP"/>
        </w:rPr>
        <w:t>Efficacy results for other outcomes</w:t>
      </w:r>
    </w:p>
    <w:p w14:paraId="67F66ABE" w14:textId="5C207158" w:rsidR="001B2848" w:rsidRPr="002A2DBC" w:rsidRDefault="002A2DBC" w:rsidP="002A2DBC">
      <w:pPr>
        <w:pStyle w:val="ListBullet"/>
      </w:pPr>
      <w:r>
        <w:t xml:space="preserve">Least square mean </w:t>
      </w:r>
      <w:r w:rsidR="001B2848" w:rsidRPr="002A2DBC">
        <w:t>DSN during Cycles 2 to 6 ranged from 0.96 to 1.12,</w:t>
      </w:r>
      <w:r w:rsidRPr="002A2DBC">
        <w:t xml:space="preserve"> </w:t>
      </w:r>
      <w:r w:rsidR="001B2848" w:rsidRPr="002A2DBC">
        <w:t>ratios (95% CI) USV pegfilgrastim to Neulasta ranged from 0.88 (0.64</w:t>
      </w:r>
      <w:r>
        <w:t xml:space="preserve"> to </w:t>
      </w:r>
      <w:r w:rsidR="001B2848" w:rsidRPr="002A2DBC">
        <w:t xml:space="preserve">1.20) in </w:t>
      </w:r>
      <w:r>
        <w:t>C</w:t>
      </w:r>
      <w:r w:rsidR="001B2848" w:rsidRPr="002A2DBC">
        <w:t>ycle 3 to 1.05 (0.74</w:t>
      </w:r>
      <w:r>
        <w:t xml:space="preserve"> to </w:t>
      </w:r>
      <w:r w:rsidR="001B2848" w:rsidRPr="002A2DBC">
        <w:t xml:space="preserve">1.50) in </w:t>
      </w:r>
      <w:r>
        <w:t>C</w:t>
      </w:r>
      <w:r w:rsidR="001B2848" w:rsidRPr="002A2DBC">
        <w:t>ycle 4.</w:t>
      </w:r>
    </w:p>
    <w:p w14:paraId="7369D95B" w14:textId="56D9E12F" w:rsidR="001B2848" w:rsidRDefault="001B2848" w:rsidP="002A2DBC">
      <w:pPr>
        <w:pStyle w:val="ListBullet"/>
        <w:rPr>
          <w:lang w:eastAsia="ja-JP"/>
        </w:rPr>
      </w:pPr>
      <w:r>
        <w:t xml:space="preserve">Mean </w:t>
      </w:r>
      <w:r w:rsidR="002A2DBC">
        <w:t>d</w:t>
      </w:r>
      <w:r>
        <w:t xml:space="preserve">epth of ANC nadir in </w:t>
      </w:r>
      <w:r w:rsidR="002A2DBC">
        <w:t>C</w:t>
      </w:r>
      <w:r>
        <w:t>ycle 1 was 0.510 x 10</w:t>
      </w:r>
      <w:r>
        <w:rPr>
          <w:vertAlign w:val="superscript"/>
        </w:rPr>
        <w:t>9</w:t>
      </w:r>
      <w:r>
        <w:t>/L for USV pegfilgrastim v</w:t>
      </w:r>
      <w:r w:rsidR="002A2DBC">
        <w:t>ersus</w:t>
      </w:r>
      <w:r>
        <w:t xml:space="preserve"> 0.470</w:t>
      </w:r>
      <w:r w:rsidR="002A2DBC">
        <w:t> </w:t>
      </w:r>
      <w:r>
        <w:t>x</w:t>
      </w:r>
      <w:r w:rsidR="002A2DBC">
        <w:t> </w:t>
      </w:r>
      <w:r>
        <w:t>10</w:t>
      </w:r>
      <w:r>
        <w:rPr>
          <w:vertAlign w:val="superscript"/>
        </w:rPr>
        <w:t>9</w:t>
      </w:r>
      <w:r>
        <w:t>/L for EU</w:t>
      </w:r>
      <w:r w:rsidR="002A2DBC">
        <w:t> </w:t>
      </w:r>
      <w:r>
        <w:t>Neulasta</w:t>
      </w:r>
      <w:r w:rsidR="002A2DBC">
        <w:t>.</w:t>
      </w:r>
    </w:p>
    <w:p w14:paraId="3EC46C33" w14:textId="1BBBB7FD" w:rsidR="001B2848" w:rsidRDefault="001B2848" w:rsidP="002A2DBC">
      <w:pPr>
        <w:pStyle w:val="ListBullet"/>
        <w:rPr>
          <w:lang w:eastAsia="ja-JP"/>
        </w:rPr>
      </w:pPr>
      <w:r>
        <w:t xml:space="preserve">The overall proportion of patients with febrile neutropenia in </w:t>
      </w:r>
      <w:r w:rsidR="002A2DBC">
        <w:t>C</w:t>
      </w:r>
      <w:r>
        <w:t>ycles 1</w:t>
      </w:r>
      <w:r w:rsidR="002A2DBC">
        <w:t xml:space="preserve"> to </w:t>
      </w:r>
      <w:r>
        <w:t xml:space="preserve">6 was higher in the USV pegfilgrastim arm (5.4%) than in the Neulasta arm (2.4%), as was the case for </w:t>
      </w:r>
      <w:r w:rsidR="002A2DBC">
        <w:t>C</w:t>
      </w:r>
      <w:r>
        <w:t xml:space="preserve">ycle 1 (3.6% in the USV pegfilgrastim arm versus 1.2% in the Neulasta arm). These observed incidences of </w:t>
      </w:r>
      <w:r w:rsidR="002A2DBC" w:rsidRPr="002A2DBC">
        <w:t xml:space="preserve">febrile neutropenia </w:t>
      </w:r>
      <w:r>
        <w:t>are not significantly higher than that described in the literature.</w:t>
      </w:r>
    </w:p>
    <w:p w14:paraId="1077A8FC" w14:textId="34BEAEA5" w:rsidR="001B2848" w:rsidRDefault="001B2848" w:rsidP="002A2DBC">
      <w:pPr>
        <w:pStyle w:val="ListBullet"/>
        <w:rPr>
          <w:lang w:eastAsia="ja-JP"/>
        </w:rPr>
      </w:pPr>
      <w:r>
        <w:rPr>
          <w:lang w:eastAsia="ja-JP"/>
        </w:rPr>
        <w:t>D</w:t>
      </w:r>
      <w:r w:rsidRPr="00FD4386">
        <w:rPr>
          <w:lang w:eastAsia="ja-JP"/>
        </w:rPr>
        <w:t>uring Cycle 1 all 248 subjects had ANC recovery before the start of Cycle</w:t>
      </w:r>
      <w:r>
        <w:rPr>
          <w:lang w:eastAsia="ja-JP"/>
        </w:rPr>
        <w:t xml:space="preserve"> 2; </w:t>
      </w:r>
      <w:r w:rsidRPr="00FD4386">
        <w:rPr>
          <w:lang w:eastAsia="ja-JP"/>
        </w:rPr>
        <w:t xml:space="preserve">in </w:t>
      </w:r>
      <w:r w:rsidRPr="00FD4386">
        <w:t xml:space="preserve">USV </w:t>
      </w:r>
      <w:r w:rsidR="002A2DBC">
        <w:t>p</w:t>
      </w:r>
      <w:r w:rsidRPr="00FD4386">
        <w:t>egfilgrastim treatment arm mean time to recovery was 7.5 (± 4.63) days and in Neulasta treatment arm it was 8.0 (± 5.18) days</w:t>
      </w:r>
      <w:r w:rsidR="002A2DBC">
        <w:t>.</w:t>
      </w:r>
    </w:p>
    <w:p w14:paraId="599A97D3" w14:textId="5B3FAAA9" w:rsidR="001B2848" w:rsidRDefault="001B2848" w:rsidP="002A2DBC">
      <w:r w:rsidRPr="002A2DBC">
        <w:t xml:space="preserve">The following table </w:t>
      </w:r>
      <w:r w:rsidR="002A2DBC">
        <w:t>(</w:t>
      </w:r>
      <w:r w:rsidR="002A2DBC">
        <w:fldChar w:fldCharType="begin"/>
      </w:r>
      <w:r w:rsidR="002A2DBC">
        <w:instrText xml:space="preserve"> REF _Ref132986657 \h </w:instrText>
      </w:r>
      <w:r w:rsidR="002A2DBC">
        <w:fldChar w:fldCharType="separate"/>
      </w:r>
      <w:r w:rsidR="00410780">
        <w:t xml:space="preserve">Table </w:t>
      </w:r>
      <w:r w:rsidR="00410780">
        <w:rPr>
          <w:noProof/>
        </w:rPr>
        <w:t>14</w:t>
      </w:r>
      <w:r w:rsidR="002A2DBC">
        <w:fldChar w:fldCharType="end"/>
      </w:r>
      <w:r w:rsidR="002A2DBC">
        <w:t xml:space="preserve">) </w:t>
      </w:r>
      <w:r w:rsidRPr="002A2DBC">
        <w:t>shows the number and proportion of subjects hospitalised, duration of hospitalisations, and time in</w:t>
      </w:r>
      <w:r w:rsidR="002A2DBC">
        <w:t xml:space="preserve"> the intensive care unit</w:t>
      </w:r>
      <w:r w:rsidRPr="002A2DBC">
        <w:t>, likely reflecting the reported febrile neutropenia rate</w:t>
      </w:r>
      <w:r w:rsidR="002A2DBC">
        <w:t>.</w:t>
      </w:r>
    </w:p>
    <w:p w14:paraId="490BDAB2" w14:textId="392367B9" w:rsidR="002A2DBC" w:rsidRPr="002A2DBC" w:rsidRDefault="002A2DBC" w:rsidP="002A2DBC">
      <w:pPr>
        <w:pStyle w:val="TableTitle0"/>
      </w:pPr>
      <w:bookmarkStart w:id="59" w:name="_Ref132986657"/>
      <w:r>
        <w:t xml:space="preserve">Table </w:t>
      </w:r>
      <w:r w:rsidR="00C171EF">
        <w:fldChar w:fldCharType="begin"/>
      </w:r>
      <w:r w:rsidR="00C171EF">
        <w:instrText xml:space="preserve"> SEQ Table \* ARABIC </w:instrText>
      </w:r>
      <w:r w:rsidR="00C171EF">
        <w:fldChar w:fldCharType="separate"/>
      </w:r>
      <w:r w:rsidR="00410780">
        <w:rPr>
          <w:noProof/>
        </w:rPr>
        <w:t>14</w:t>
      </w:r>
      <w:r w:rsidR="00C171EF">
        <w:rPr>
          <w:noProof/>
        </w:rPr>
        <w:fldChar w:fldCharType="end"/>
      </w:r>
      <w:bookmarkEnd w:id="59"/>
      <w:r>
        <w:t xml:space="preserve">: </w:t>
      </w:r>
      <w:r w:rsidR="002A2A09" w:rsidRPr="002A2DBC">
        <w:rPr>
          <w:lang w:eastAsia="ja-JP"/>
        </w:rPr>
        <w:t xml:space="preserve">Study PEGF/USV/P3/003 </w:t>
      </w:r>
      <w:r>
        <w:t>Descriptive studies of hospitalisation and intensive care unit stay due to neutropenia complications</w:t>
      </w:r>
    </w:p>
    <w:p w14:paraId="1ABF500C" w14:textId="775CB1A0" w:rsidR="001B2848" w:rsidRDefault="002A2DBC" w:rsidP="002A2DBC">
      <w:r>
        <w:rPr>
          <w:noProof/>
          <w:lang w:val="en-GB" w:eastAsia="en-GB"/>
        </w:rPr>
        <w:drawing>
          <wp:inline distT="0" distB="0" distL="0" distR="0" wp14:anchorId="5C547735" wp14:editId="0C640900">
            <wp:extent cx="5675753" cy="2952750"/>
            <wp:effectExtent l="0" t="0" r="1270" b="0"/>
            <wp:docPr id="7" name="Picture 7" descr="Study PEGF/USV/P3/003 Descriptive studies of hospitalisation and intensive care unit stay due to neutropenia com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udy PEGF/USV/P3/003 Descriptive studies of hospitalisation and intensive care unit stay due to neutropenia complications"/>
                    <pic:cNvPicPr/>
                  </pic:nvPicPr>
                  <pic:blipFill rotWithShape="1">
                    <a:blip r:embed="rId43"/>
                    <a:srcRect b="620"/>
                    <a:stretch/>
                  </pic:blipFill>
                  <pic:spPr bwMode="auto">
                    <a:xfrm>
                      <a:off x="0" y="0"/>
                      <a:ext cx="5679086" cy="2954484"/>
                    </a:xfrm>
                    <a:prstGeom prst="rect">
                      <a:avLst/>
                    </a:prstGeom>
                    <a:ln>
                      <a:noFill/>
                    </a:ln>
                    <a:extLst>
                      <a:ext uri="{53640926-AAD7-44D8-BBD7-CCE9431645EC}">
                        <a14:shadowObscured xmlns:a14="http://schemas.microsoft.com/office/drawing/2010/main"/>
                      </a:ext>
                    </a:extLst>
                  </pic:spPr>
                </pic:pic>
              </a:graphicData>
            </a:graphic>
          </wp:inline>
        </w:drawing>
      </w:r>
    </w:p>
    <w:p w14:paraId="3A172DED" w14:textId="058B5AFB" w:rsidR="002A2DBC" w:rsidRDefault="002A2DBC" w:rsidP="002A2DBC">
      <w:pPr>
        <w:pStyle w:val="Tabledescription"/>
      </w:pPr>
      <w:r>
        <w:lastRenderedPageBreak/>
        <w:t>Abbreviations: EU = European Union, ICU = intensive care unit, CI = confidence interval, NA = not applicable, SD</w:t>
      </w:r>
      <w:r w:rsidR="008169ED">
        <w:t> </w:t>
      </w:r>
      <w:r>
        <w:t>= standard deviation.</w:t>
      </w:r>
    </w:p>
    <w:p w14:paraId="386EA065" w14:textId="6A6365B2" w:rsidR="001B2848" w:rsidRPr="002A2DBC" w:rsidRDefault="002A2DBC" w:rsidP="002A2DBC">
      <w:pPr>
        <w:pStyle w:val="ListBullet"/>
      </w:pPr>
      <w:r>
        <w:t>Ten (10)</w:t>
      </w:r>
      <w:r w:rsidR="001B2848" w:rsidRPr="002A2DBC">
        <w:t xml:space="preserve"> subjects, all from </w:t>
      </w:r>
      <w:r w:rsidR="00707353">
        <w:t xml:space="preserve">the </w:t>
      </w:r>
      <w:r w:rsidR="001B2848" w:rsidRPr="002A2DBC">
        <w:t xml:space="preserve">USV </w:t>
      </w:r>
      <w:r>
        <w:t>p</w:t>
      </w:r>
      <w:r w:rsidR="001B2848" w:rsidRPr="002A2DBC">
        <w:t>egfilgrastim treatment arm</w:t>
      </w:r>
      <w:r>
        <w:t>,</w:t>
      </w:r>
      <w:r w:rsidR="001B2848" w:rsidRPr="002A2DBC">
        <w:t xml:space="preserve"> had documented infections.</w:t>
      </w:r>
    </w:p>
    <w:p w14:paraId="070C19D6" w14:textId="7100240C" w:rsidR="001B2848" w:rsidRPr="002A2DBC" w:rsidRDefault="001B2848" w:rsidP="002A2DBC">
      <w:pPr>
        <w:pStyle w:val="ListBullet"/>
      </w:pPr>
      <w:r w:rsidRPr="002A2DBC">
        <w:t xml:space="preserve">There were 5 subjects, all from </w:t>
      </w:r>
      <w:r w:rsidR="00707353">
        <w:t xml:space="preserve">the </w:t>
      </w:r>
      <w:r w:rsidRPr="002A2DBC">
        <w:t xml:space="preserve">USV </w:t>
      </w:r>
      <w:r w:rsidR="002A2DBC">
        <w:t>p</w:t>
      </w:r>
      <w:r w:rsidRPr="002A2DBC">
        <w:t xml:space="preserve">egfilgrastim treatment arm, who required </w:t>
      </w:r>
      <w:r w:rsidR="002A2DBC">
        <w:t xml:space="preserve">intravenous </w:t>
      </w:r>
      <w:r w:rsidRPr="002A2DBC">
        <w:t>antibiotic use (3</w:t>
      </w:r>
      <w:r w:rsidR="002A2DBC">
        <w:t xml:space="preserve"> out of </w:t>
      </w:r>
      <w:r w:rsidRPr="002A2DBC">
        <w:t xml:space="preserve">5 required </w:t>
      </w:r>
      <w:r w:rsidR="002A2DBC">
        <w:t xml:space="preserve">intravenous </w:t>
      </w:r>
      <w:r w:rsidRPr="002A2DBC">
        <w:t>antibiotic therapy due to febrile neutropenia)</w:t>
      </w:r>
      <w:r w:rsidR="002A2DBC">
        <w:t>.</w:t>
      </w:r>
    </w:p>
    <w:p w14:paraId="3EF87797" w14:textId="76853D5C" w:rsidR="001B2848" w:rsidRPr="00F73D75" w:rsidRDefault="001B2848" w:rsidP="008169ED">
      <w:pPr>
        <w:pStyle w:val="Heading6"/>
      </w:pPr>
      <w:r w:rsidRPr="008169ED">
        <w:t>Summary of clinical efficacy</w:t>
      </w:r>
    </w:p>
    <w:p w14:paraId="5D10C308" w14:textId="5FF91464" w:rsidR="001B2848" w:rsidRPr="008169ED" w:rsidRDefault="001B2848" w:rsidP="008169ED">
      <w:r w:rsidRPr="008169ED">
        <w:t xml:space="preserve">The primary efficacy analysis showed the 95% CI for the mean DSN ratios for both the </w:t>
      </w:r>
      <w:r w:rsidR="008169ED" w:rsidRPr="008169ED">
        <w:t>full analysis set and the pre-protocol</w:t>
      </w:r>
      <w:r w:rsidRPr="008169ED">
        <w:t xml:space="preserve"> analysis sets were entirely contained within the pre-specified equivalence interval of 0.65 to 1.55, (</w:t>
      </w:r>
      <w:r w:rsidR="008169ED" w:rsidRPr="008169ED">
        <w:t>that is,</w:t>
      </w:r>
      <w:r w:rsidRPr="008169ED">
        <w:t xml:space="preserve"> 0.78 to 1.18 for </w:t>
      </w:r>
      <w:r w:rsidR="008169ED" w:rsidRPr="008169ED">
        <w:t>the full analysis set</w:t>
      </w:r>
      <w:r w:rsidRPr="008169ED">
        <w:t xml:space="preserve"> and 0.76 to 1.16 </w:t>
      </w:r>
      <w:r w:rsidR="008169ED" w:rsidRPr="008169ED">
        <w:t xml:space="preserve">for the pre-protocol </w:t>
      </w:r>
      <w:r w:rsidRPr="008169ED">
        <w:t>analysis set), demonstrating therapeutic equivalence of Filpegla and Neulasta.</w:t>
      </w:r>
    </w:p>
    <w:p w14:paraId="74DB402B" w14:textId="293B68A7" w:rsidR="001B2848" w:rsidRPr="00B32C57" w:rsidRDefault="001B2848" w:rsidP="001B2848">
      <w:pPr>
        <w:rPr>
          <w:lang w:eastAsia="ja-JP"/>
        </w:rPr>
      </w:pPr>
      <w:r w:rsidRPr="008169ED">
        <w:t>In terms of secondary efficacy data, the proportion of subjects with febrile neutropenia, infections, hospitalisations, and use of antibiotics was higher in the Filpegla arm than Neulasta</w:t>
      </w:r>
      <w:r w:rsidR="008169ED" w:rsidRPr="008169ED">
        <w:t>.</w:t>
      </w:r>
      <w:r w:rsidRPr="008169ED">
        <w:t xml:space="preserve"> Of </w:t>
      </w:r>
      <w:proofErr w:type="gramStart"/>
      <w:r w:rsidRPr="008169ED">
        <w:t>particular note</w:t>
      </w:r>
      <w:proofErr w:type="gramEnd"/>
      <w:r w:rsidRPr="008169ED">
        <w:t>, the incidence of febrile neutropenia in Filpegla arm was 5.4% (95% CI 2.51 to 10.04) v</w:t>
      </w:r>
      <w:r w:rsidR="008169ED" w:rsidRPr="008169ED">
        <w:t>ersus</w:t>
      </w:r>
      <w:r w:rsidRPr="008169ED">
        <w:t xml:space="preserve"> 2.4% (95% CI 0.3 to 8.53) in the Neulasta arm. Given the overall low incidence of this outcome, the unequal treatment allocation (2:1), and as the study was not powered for comparison of secondary outcomes, this finding is unlikely to preclude the determination of efficacy bioequivalence.</w:t>
      </w:r>
    </w:p>
    <w:p w14:paraId="1A399C2C" w14:textId="77777777" w:rsidR="001B2848" w:rsidRPr="008169ED" w:rsidRDefault="001B2848" w:rsidP="008169ED">
      <w:pPr>
        <w:pStyle w:val="Heading4"/>
      </w:pPr>
      <w:bookmarkStart w:id="60" w:name="_Toc135296227"/>
      <w:r w:rsidRPr="00D55648">
        <w:t>Safety</w:t>
      </w:r>
      <w:bookmarkEnd w:id="60"/>
    </w:p>
    <w:p w14:paraId="2F2902DA" w14:textId="0FD67FBE" w:rsidR="001B2848" w:rsidRPr="00707353" w:rsidRDefault="001B2848" w:rsidP="00707353">
      <w:r w:rsidRPr="00707353">
        <w:t xml:space="preserve">Safety data was provided for the three comparative studies, </w:t>
      </w:r>
      <w:r w:rsidR="00707353">
        <w:t xml:space="preserve">Study </w:t>
      </w:r>
      <w:r w:rsidRPr="00707353">
        <w:t xml:space="preserve">PEGF/USV/P1/001, </w:t>
      </w:r>
      <w:r w:rsidR="00707353">
        <w:t>Study </w:t>
      </w:r>
      <w:r w:rsidR="008169ED" w:rsidRPr="00707353">
        <w:t xml:space="preserve">PEGF/USV/P1/003 </w:t>
      </w:r>
      <w:r w:rsidRPr="00707353">
        <w:t xml:space="preserve">and </w:t>
      </w:r>
      <w:r w:rsidR="00707353">
        <w:t xml:space="preserve">Study </w:t>
      </w:r>
      <w:r w:rsidR="008169ED" w:rsidRPr="00707353">
        <w:t>PEGF/USV/P3/003</w:t>
      </w:r>
      <w:r w:rsidRPr="00707353">
        <w:t xml:space="preserve">, as shown in </w:t>
      </w:r>
      <w:r w:rsidR="008169ED" w:rsidRPr="00707353">
        <w:fldChar w:fldCharType="begin"/>
      </w:r>
      <w:r w:rsidR="008169ED" w:rsidRPr="00707353">
        <w:instrText xml:space="preserve"> REF _Ref133226533 \h </w:instrText>
      </w:r>
      <w:r w:rsidR="00707353" w:rsidRPr="00707353">
        <w:instrText xml:space="preserve"> \* MERGEFORMAT </w:instrText>
      </w:r>
      <w:r w:rsidR="008169ED" w:rsidRPr="00707353">
        <w:fldChar w:fldCharType="separate"/>
      </w:r>
      <w:r w:rsidR="00410780">
        <w:t>Table 15</w:t>
      </w:r>
      <w:r w:rsidR="008169ED" w:rsidRPr="00707353">
        <w:fldChar w:fldCharType="end"/>
      </w:r>
      <w:r w:rsidR="007830D9">
        <w:t>, below.</w:t>
      </w:r>
    </w:p>
    <w:p w14:paraId="25F0C382" w14:textId="32F19742" w:rsidR="008169ED" w:rsidRDefault="008169ED" w:rsidP="008169ED">
      <w:pPr>
        <w:pStyle w:val="TableTitle0"/>
      </w:pPr>
      <w:bookmarkStart w:id="61" w:name="_Ref133226533"/>
      <w:r>
        <w:t xml:space="preserve">Table </w:t>
      </w:r>
      <w:r w:rsidR="00C171EF">
        <w:fldChar w:fldCharType="begin"/>
      </w:r>
      <w:r w:rsidR="00C171EF">
        <w:instrText xml:space="preserve"> SEQ Table \* ARABIC </w:instrText>
      </w:r>
      <w:r w:rsidR="00C171EF">
        <w:fldChar w:fldCharType="separate"/>
      </w:r>
      <w:r w:rsidR="00410780">
        <w:rPr>
          <w:noProof/>
        </w:rPr>
        <w:t>15</w:t>
      </w:r>
      <w:r w:rsidR="00C171EF">
        <w:rPr>
          <w:noProof/>
        </w:rPr>
        <w:fldChar w:fldCharType="end"/>
      </w:r>
      <w:bookmarkEnd w:id="61"/>
      <w:r>
        <w:t xml:space="preserve">: </w:t>
      </w:r>
      <w:r w:rsidRPr="008169ED">
        <w:t>Exposure to USV pegfilgrastim and comparator Neulasta in clinical studies</w:t>
      </w:r>
      <w:r>
        <w:t xml:space="preserve"> (any dose, any duration)</w:t>
      </w:r>
    </w:p>
    <w:tbl>
      <w:tblPr>
        <w:tblStyle w:val="TableTGAblue2023"/>
        <w:tblW w:w="8978" w:type="dxa"/>
        <w:tblLayout w:type="fixed"/>
        <w:tblLook w:val="04A0" w:firstRow="1" w:lastRow="0" w:firstColumn="1" w:lastColumn="0" w:noHBand="0" w:noVBand="1"/>
      </w:tblPr>
      <w:tblGrid>
        <w:gridCol w:w="2785"/>
        <w:gridCol w:w="1530"/>
        <w:gridCol w:w="1350"/>
        <w:gridCol w:w="1620"/>
        <w:gridCol w:w="1693"/>
      </w:tblGrid>
      <w:tr w:rsidR="008169ED" w:rsidRPr="007830D9" w14:paraId="463A3505" w14:textId="77777777" w:rsidTr="00410780">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785" w:type="dxa"/>
            <w:vMerge w:val="restart"/>
          </w:tcPr>
          <w:p w14:paraId="33070713" w14:textId="77777777" w:rsidR="008169ED" w:rsidRPr="00410780" w:rsidRDefault="008169ED" w:rsidP="00410780">
            <w:pPr>
              <w:ind w:left="0"/>
            </w:pPr>
            <w:r w:rsidRPr="007830D9">
              <w:t>Study type/</w:t>
            </w:r>
            <w:r w:rsidRPr="007830D9">
              <w:br/>
              <w:t>Indication</w:t>
            </w:r>
          </w:p>
        </w:tc>
        <w:tc>
          <w:tcPr>
            <w:tcW w:w="2880" w:type="dxa"/>
            <w:gridSpan w:val="2"/>
          </w:tcPr>
          <w:p w14:paraId="2FA72817" w14:textId="77777777" w:rsidR="008169ED" w:rsidRPr="00410780" w:rsidRDefault="008169ED" w:rsidP="00410780">
            <w:pPr>
              <w:ind w:left="0"/>
              <w:cnfStyle w:val="100000000000" w:firstRow="1" w:lastRow="0" w:firstColumn="0" w:lastColumn="0" w:oddVBand="0" w:evenVBand="0" w:oddHBand="0" w:evenHBand="0" w:firstRowFirstColumn="0" w:firstRowLastColumn="0" w:lastRowFirstColumn="0" w:lastRowLastColumn="0"/>
            </w:pPr>
            <w:r w:rsidRPr="007830D9">
              <w:t>Controlled studies</w:t>
            </w:r>
          </w:p>
        </w:tc>
        <w:tc>
          <w:tcPr>
            <w:tcW w:w="1620" w:type="dxa"/>
          </w:tcPr>
          <w:p w14:paraId="01FDC2A8" w14:textId="74B9F434" w:rsidR="008169ED" w:rsidRPr="00410780" w:rsidRDefault="008169ED" w:rsidP="00410780">
            <w:pPr>
              <w:ind w:left="0"/>
              <w:cnfStyle w:val="100000000000" w:firstRow="1" w:lastRow="0" w:firstColumn="0" w:lastColumn="0" w:oddVBand="0" w:evenVBand="0" w:oddHBand="0" w:evenHBand="0" w:firstRowFirstColumn="0" w:firstRowLastColumn="0" w:lastRowFirstColumn="0" w:lastRowLastColumn="0"/>
            </w:pPr>
            <w:r w:rsidRPr="007830D9">
              <w:t>Uncontrolled</w:t>
            </w:r>
            <w:r w:rsidR="00B96ADC">
              <w:t xml:space="preserve"> </w:t>
            </w:r>
            <w:r w:rsidRPr="007830D9">
              <w:t>studies</w:t>
            </w:r>
          </w:p>
        </w:tc>
        <w:tc>
          <w:tcPr>
            <w:tcW w:w="1693" w:type="dxa"/>
            <w:vMerge w:val="restart"/>
          </w:tcPr>
          <w:p w14:paraId="7F2155B5" w14:textId="77777777" w:rsidR="008169ED" w:rsidRPr="00410780" w:rsidRDefault="008169ED" w:rsidP="00410780">
            <w:pPr>
              <w:ind w:left="0"/>
              <w:cnfStyle w:val="100000000000" w:firstRow="1" w:lastRow="0" w:firstColumn="0" w:lastColumn="0" w:oddVBand="0" w:evenVBand="0" w:oddHBand="0" w:evenHBand="0" w:firstRowFirstColumn="0" w:firstRowLastColumn="0" w:lastRowFirstColumn="0" w:lastRowLastColumn="0"/>
            </w:pPr>
            <w:r w:rsidRPr="007830D9">
              <w:t>Total</w:t>
            </w:r>
          </w:p>
          <w:p w14:paraId="3CE2072E" w14:textId="77777777" w:rsidR="008169ED" w:rsidRPr="00410780" w:rsidRDefault="008169ED" w:rsidP="00410780">
            <w:pPr>
              <w:ind w:left="0"/>
              <w:cnfStyle w:val="100000000000" w:firstRow="1" w:lastRow="0" w:firstColumn="0" w:lastColumn="0" w:oddVBand="0" w:evenVBand="0" w:oddHBand="0" w:evenHBand="0" w:firstRowFirstColumn="0" w:firstRowLastColumn="0" w:lastRowFirstColumn="0" w:lastRowLastColumn="0"/>
            </w:pPr>
            <w:r w:rsidRPr="007830D9">
              <w:t>USV pegfilgrastim</w:t>
            </w:r>
          </w:p>
        </w:tc>
      </w:tr>
      <w:tr w:rsidR="008169ED" w:rsidRPr="007830D9" w14:paraId="0C6A197A" w14:textId="77777777" w:rsidTr="00410780">
        <w:trPr>
          <w:trHeight w:val="425"/>
        </w:trPr>
        <w:tc>
          <w:tcPr>
            <w:cnfStyle w:val="001000000000" w:firstRow="0" w:lastRow="0" w:firstColumn="1" w:lastColumn="0" w:oddVBand="0" w:evenVBand="0" w:oddHBand="0" w:evenHBand="0" w:firstRowFirstColumn="0" w:firstRowLastColumn="0" w:lastRowFirstColumn="0" w:lastRowLastColumn="0"/>
            <w:tcW w:w="2785" w:type="dxa"/>
            <w:vMerge/>
          </w:tcPr>
          <w:p w14:paraId="4210DB54" w14:textId="77777777" w:rsidR="008169ED" w:rsidRPr="007830D9" w:rsidRDefault="008169ED" w:rsidP="00410780">
            <w:pPr>
              <w:ind w:left="0"/>
            </w:pPr>
          </w:p>
        </w:tc>
        <w:tc>
          <w:tcPr>
            <w:tcW w:w="1530" w:type="dxa"/>
            <w:vAlign w:val="bottom"/>
          </w:tcPr>
          <w:p w14:paraId="1BBB0F8B" w14:textId="77777777" w:rsidR="008169ED" w:rsidRPr="007830D9" w:rsidRDefault="008169ED" w:rsidP="00410780">
            <w:pPr>
              <w:ind w:left="0"/>
              <w:jc w:val="center"/>
              <w:cnfStyle w:val="000000000000" w:firstRow="0" w:lastRow="0" w:firstColumn="0" w:lastColumn="0" w:oddVBand="0" w:evenVBand="0" w:oddHBand="0" w:evenHBand="0" w:firstRowFirstColumn="0" w:firstRowLastColumn="0" w:lastRowFirstColumn="0" w:lastRowLastColumn="0"/>
            </w:pPr>
            <w:r w:rsidRPr="007830D9">
              <w:t>USV pegfilgrastim</w:t>
            </w:r>
          </w:p>
        </w:tc>
        <w:tc>
          <w:tcPr>
            <w:tcW w:w="1350" w:type="dxa"/>
            <w:vAlign w:val="bottom"/>
          </w:tcPr>
          <w:p w14:paraId="017B92B6" w14:textId="533DFE75" w:rsidR="008169ED" w:rsidRPr="007830D9" w:rsidRDefault="008169ED" w:rsidP="00410780">
            <w:pPr>
              <w:ind w:left="0"/>
              <w:jc w:val="center"/>
              <w:cnfStyle w:val="000000000000" w:firstRow="0" w:lastRow="0" w:firstColumn="0" w:lastColumn="0" w:oddVBand="0" w:evenVBand="0" w:oddHBand="0" w:evenHBand="0" w:firstRowFirstColumn="0" w:firstRowLastColumn="0" w:lastRowFirstColumn="0" w:lastRowLastColumn="0"/>
            </w:pPr>
            <w:r w:rsidRPr="007830D9">
              <w:t>Neulasta</w:t>
            </w:r>
            <w:r w:rsidR="007830D9">
              <w:t>*</w:t>
            </w:r>
          </w:p>
        </w:tc>
        <w:tc>
          <w:tcPr>
            <w:tcW w:w="1620" w:type="dxa"/>
            <w:vAlign w:val="bottom"/>
          </w:tcPr>
          <w:p w14:paraId="7CB7FC3F" w14:textId="77777777" w:rsidR="008169ED" w:rsidRPr="007830D9" w:rsidRDefault="008169ED" w:rsidP="00410780">
            <w:pPr>
              <w:ind w:left="0"/>
              <w:jc w:val="center"/>
              <w:cnfStyle w:val="000000000000" w:firstRow="0" w:lastRow="0" w:firstColumn="0" w:lastColumn="0" w:oddVBand="0" w:evenVBand="0" w:oddHBand="0" w:evenHBand="0" w:firstRowFirstColumn="0" w:firstRowLastColumn="0" w:lastRowFirstColumn="0" w:lastRowLastColumn="0"/>
            </w:pPr>
            <w:r w:rsidRPr="007830D9">
              <w:t>USV pegfilgrastim</w:t>
            </w:r>
          </w:p>
        </w:tc>
        <w:tc>
          <w:tcPr>
            <w:tcW w:w="1693" w:type="dxa"/>
            <w:vMerge/>
            <w:vAlign w:val="bottom"/>
          </w:tcPr>
          <w:p w14:paraId="3954FC91" w14:textId="77777777" w:rsidR="008169ED" w:rsidRPr="007830D9" w:rsidRDefault="008169ED" w:rsidP="00410780">
            <w:pPr>
              <w:ind w:left="0"/>
              <w:jc w:val="center"/>
              <w:cnfStyle w:val="000000000000" w:firstRow="0" w:lastRow="0" w:firstColumn="0" w:lastColumn="0" w:oddVBand="0" w:evenVBand="0" w:oddHBand="0" w:evenHBand="0" w:firstRowFirstColumn="0" w:firstRowLastColumn="0" w:lastRowFirstColumn="0" w:lastRowLastColumn="0"/>
            </w:pPr>
          </w:p>
        </w:tc>
      </w:tr>
      <w:tr w:rsidR="008169ED" w:rsidRPr="007830D9" w14:paraId="7F90E69D" w14:textId="77777777" w:rsidTr="00410780">
        <w:trPr>
          <w:trHeight w:val="399"/>
        </w:trPr>
        <w:tc>
          <w:tcPr>
            <w:cnfStyle w:val="001000000000" w:firstRow="0" w:lastRow="0" w:firstColumn="1" w:lastColumn="0" w:oddVBand="0" w:evenVBand="0" w:oddHBand="0" w:evenHBand="0" w:firstRowFirstColumn="0" w:firstRowLastColumn="0" w:lastRowFirstColumn="0" w:lastRowLastColumn="0"/>
            <w:tcW w:w="2785" w:type="dxa"/>
          </w:tcPr>
          <w:p w14:paraId="5D6005C8" w14:textId="65A41857" w:rsidR="008169ED" w:rsidRPr="007830D9" w:rsidRDefault="008169ED" w:rsidP="00410780">
            <w:pPr>
              <w:ind w:left="0"/>
            </w:pPr>
            <w:r w:rsidRPr="007830D9">
              <w:t xml:space="preserve">Clinical pharmacology </w:t>
            </w:r>
            <w:r w:rsidRPr="00CA131D">
              <w:t xml:space="preserve">Studies </w:t>
            </w:r>
            <w:r w:rsidRPr="00410780">
              <w:rPr>
                <w:szCs w:val="20"/>
              </w:rPr>
              <w:t>P1/001 and P1/003</w:t>
            </w:r>
          </w:p>
        </w:tc>
        <w:tc>
          <w:tcPr>
            <w:tcW w:w="1530" w:type="dxa"/>
            <w:vAlign w:val="bottom"/>
          </w:tcPr>
          <w:p w14:paraId="47CAA6CB" w14:textId="3684E2AB" w:rsidR="008169ED" w:rsidRPr="007830D9" w:rsidRDefault="008169ED" w:rsidP="00410780">
            <w:pPr>
              <w:ind w:left="0"/>
              <w:jc w:val="center"/>
              <w:cnfStyle w:val="000000000000" w:firstRow="0" w:lastRow="0" w:firstColumn="0" w:lastColumn="0" w:oddVBand="0" w:evenVBand="0" w:oddHBand="0" w:evenHBand="0" w:firstRowFirstColumn="0" w:firstRowLastColumn="0" w:lastRowFirstColumn="0" w:lastRowLastColumn="0"/>
            </w:pPr>
            <w:r w:rsidRPr="007830D9">
              <w:t>150</w:t>
            </w:r>
            <w:r w:rsidR="007830D9">
              <w:t xml:space="preserve"> </w:t>
            </w:r>
            <w:r w:rsidRPr="007830D9">
              <w:t>+</w:t>
            </w:r>
            <w:r w:rsidR="007830D9">
              <w:t xml:space="preserve"> </w:t>
            </w:r>
            <w:r w:rsidRPr="007830D9">
              <w:t>62</w:t>
            </w:r>
          </w:p>
        </w:tc>
        <w:tc>
          <w:tcPr>
            <w:tcW w:w="1350" w:type="dxa"/>
            <w:vAlign w:val="bottom"/>
          </w:tcPr>
          <w:p w14:paraId="446D8B1E" w14:textId="3C51316E" w:rsidR="008169ED" w:rsidRPr="007830D9" w:rsidRDefault="008169ED" w:rsidP="00410780">
            <w:pPr>
              <w:ind w:left="0"/>
              <w:jc w:val="center"/>
              <w:cnfStyle w:val="000000000000" w:firstRow="0" w:lastRow="0" w:firstColumn="0" w:lastColumn="0" w:oddVBand="0" w:evenVBand="0" w:oddHBand="0" w:evenHBand="0" w:firstRowFirstColumn="0" w:firstRowLastColumn="0" w:lastRowFirstColumn="0" w:lastRowLastColumn="0"/>
            </w:pPr>
            <w:r w:rsidRPr="007830D9">
              <w:t>149</w:t>
            </w:r>
            <w:r w:rsidR="007830D9">
              <w:t xml:space="preserve"> </w:t>
            </w:r>
            <w:r w:rsidRPr="007830D9">
              <w:t>+</w:t>
            </w:r>
            <w:r w:rsidR="007830D9">
              <w:t xml:space="preserve"> </w:t>
            </w:r>
            <w:r w:rsidRPr="007830D9">
              <w:t>62</w:t>
            </w:r>
          </w:p>
        </w:tc>
        <w:tc>
          <w:tcPr>
            <w:tcW w:w="1620" w:type="dxa"/>
            <w:vAlign w:val="bottom"/>
          </w:tcPr>
          <w:p w14:paraId="397EE1C7" w14:textId="7FA322F7" w:rsidR="008169ED" w:rsidRPr="007830D9" w:rsidRDefault="00B96ADC" w:rsidP="00410780">
            <w:pPr>
              <w:ind w:left="0"/>
              <w:jc w:val="center"/>
              <w:cnfStyle w:val="000000000000" w:firstRow="0" w:lastRow="0" w:firstColumn="0" w:lastColumn="0" w:oddVBand="0" w:evenVBand="0" w:oddHBand="0" w:evenHBand="0" w:firstRowFirstColumn="0" w:firstRowLastColumn="0" w:lastRowFirstColumn="0" w:lastRowLastColumn="0"/>
            </w:pPr>
            <w:r>
              <w:t>-</w:t>
            </w:r>
          </w:p>
        </w:tc>
        <w:tc>
          <w:tcPr>
            <w:tcW w:w="1693" w:type="dxa"/>
            <w:vAlign w:val="bottom"/>
          </w:tcPr>
          <w:p w14:paraId="53A86E00" w14:textId="77777777" w:rsidR="008169ED" w:rsidRPr="007830D9" w:rsidRDefault="008169ED" w:rsidP="00410780">
            <w:pPr>
              <w:ind w:left="0"/>
              <w:jc w:val="center"/>
              <w:cnfStyle w:val="000000000000" w:firstRow="0" w:lastRow="0" w:firstColumn="0" w:lastColumn="0" w:oddVBand="0" w:evenVBand="0" w:oddHBand="0" w:evenHBand="0" w:firstRowFirstColumn="0" w:firstRowLastColumn="0" w:lastRowFirstColumn="0" w:lastRowLastColumn="0"/>
            </w:pPr>
            <w:r w:rsidRPr="007830D9">
              <w:t>212</w:t>
            </w:r>
          </w:p>
        </w:tc>
      </w:tr>
      <w:tr w:rsidR="008169ED" w:rsidRPr="007830D9" w14:paraId="51BB3223" w14:textId="77777777" w:rsidTr="00410780">
        <w:trPr>
          <w:trHeight w:val="813"/>
        </w:trPr>
        <w:tc>
          <w:tcPr>
            <w:cnfStyle w:val="001000000000" w:firstRow="0" w:lastRow="0" w:firstColumn="1" w:lastColumn="0" w:oddVBand="0" w:evenVBand="0" w:oddHBand="0" w:evenHBand="0" w:firstRowFirstColumn="0" w:firstRowLastColumn="0" w:lastRowFirstColumn="0" w:lastRowLastColumn="0"/>
            <w:tcW w:w="2785" w:type="dxa"/>
          </w:tcPr>
          <w:p w14:paraId="74EC1576" w14:textId="30816A4C" w:rsidR="008169ED" w:rsidRPr="007830D9" w:rsidRDefault="008169ED" w:rsidP="00410780">
            <w:pPr>
              <w:ind w:left="0"/>
            </w:pPr>
            <w:r w:rsidRPr="007830D9">
              <w:t>Indication</w:t>
            </w:r>
            <w:r w:rsidR="00B96ADC">
              <w:t>:</w:t>
            </w:r>
            <w:r w:rsidRPr="007830D9">
              <w:t xml:space="preserve"> </w:t>
            </w:r>
            <w:r w:rsidRPr="00CA131D">
              <w:t xml:space="preserve">Treatment of cancer patients after chemotherapy </w:t>
            </w:r>
            <w:r w:rsidRPr="00410780">
              <w:rPr>
                <w:szCs w:val="20"/>
              </w:rPr>
              <w:t xml:space="preserve">to decrease </w:t>
            </w:r>
            <w:r w:rsidR="00B96ADC">
              <w:t>duration of severe neutropenia</w:t>
            </w:r>
          </w:p>
        </w:tc>
        <w:tc>
          <w:tcPr>
            <w:tcW w:w="1530" w:type="dxa"/>
            <w:vAlign w:val="bottom"/>
          </w:tcPr>
          <w:p w14:paraId="20003699" w14:textId="77777777" w:rsidR="008169ED" w:rsidRPr="007830D9" w:rsidRDefault="008169ED" w:rsidP="00410780">
            <w:pPr>
              <w:ind w:left="0"/>
              <w:jc w:val="center"/>
              <w:cnfStyle w:val="000000000000" w:firstRow="0" w:lastRow="0" w:firstColumn="0" w:lastColumn="0" w:oddVBand="0" w:evenVBand="0" w:oddHBand="0" w:evenHBand="0" w:firstRowFirstColumn="0" w:firstRowLastColumn="0" w:lastRowFirstColumn="0" w:lastRowLastColumn="0"/>
            </w:pPr>
          </w:p>
        </w:tc>
        <w:tc>
          <w:tcPr>
            <w:tcW w:w="1350" w:type="dxa"/>
            <w:vAlign w:val="bottom"/>
          </w:tcPr>
          <w:p w14:paraId="433B4042" w14:textId="77777777" w:rsidR="008169ED" w:rsidRPr="007830D9" w:rsidRDefault="008169ED" w:rsidP="00410780">
            <w:pPr>
              <w:ind w:left="0"/>
              <w:jc w:val="center"/>
              <w:cnfStyle w:val="000000000000" w:firstRow="0" w:lastRow="0" w:firstColumn="0" w:lastColumn="0" w:oddVBand="0" w:evenVBand="0" w:oddHBand="0" w:evenHBand="0" w:firstRowFirstColumn="0" w:firstRowLastColumn="0" w:lastRowFirstColumn="0" w:lastRowLastColumn="0"/>
            </w:pPr>
          </w:p>
        </w:tc>
        <w:tc>
          <w:tcPr>
            <w:tcW w:w="1620" w:type="dxa"/>
            <w:vAlign w:val="bottom"/>
          </w:tcPr>
          <w:p w14:paraId="531CF20D" w14:textId="6FD7B628" w:rsidR="008169ED" w:rsidRPr="007830D9" w:rsidRDefault="00B96ADC" w:rsidP="00410780">
            <w:pPr>
              <w:ind w:left="0"/>
              <w:jc w:val="center"/>
              <w:cnfStyle w:val="000000000000" w:firstRow="0" w:lastRow="0" w:firstColumn="0" w:lastColumn="0" w:oddVBand="0" w:evenVBand="0" w:oddHBand="0" w:evenHBand="0" w:firstRowFirstColumn="0" w:firstRowLastColumn="0" w:lastRowFirstColumn="0" w:lastRowLastColumn="0"/>
            </w:pPr>
            <w:r>
              <w:t>-</w:t>
            </w:r>
          </w:p>
        </w:tc>
        <w:tc>
          <w:tcPr>
            <w:tcW w:w="1693" w:type="dxa"/>
            <w:vAlign w:val="bottom"/>
          </w:tcPr>
          <w:p w14:paraId="187EC0E8" w14:textId="77777777" w:rsidR="008169ED" w:rsidRPr="007830D9" w:rsidRDefault="008169ED" w:rsidP="00410780">
            <w:pPr>
              <w:ind w:left="0"/>
              <w:jc w:val="center"/>
              <w:cnfStyle w:val="000000000000" w:firstRow="0" w:lastRow="0" w:firstColumn="0" w:lastColumn="0" w:oddVBand="0" w:evenVBand="0" w:oddHBand="0" w:evenHBand="0" w:firstRowFirstColumn="0" w:firstRowLastColumn="0" w:lastRowFirstColumn="0" w:lastRowLastColumn="0"/>
            </w:pPr>
          </w:p>
        </w:tc>
      </w:tr>
      <w:tr w:rsidR="008169ED" w:rsidRPr="007830D9" w14:paraId="49E8F53D" w14:textId="77777777" w:rsidTr="00410780">
        <w:trPr>
          <w:trHeight w:val="581"/>
        </w:trPr>
        <w:tc>
          <w:tcPr>
            <w:cnfStyle w:val="001000000000" w:firstRow="0" w:lastRow="0" w:firstColumn="1" w:lastColumn="0" w:oddVBand="0" w:evenVBand="0" w:oddHBand="0" w:evenHBand="0" w:firstRowFirstColumn="0" w:firstRowLastColumn="0" w:lastRowFirstColumn="0" w:lastRowLastColumn="0"/>
            <w:tcW w:w="2785" w:type="dxa"/>
          </w:tcPr>
          <w:p w14:paraId="157F48DA" w14:textId="77777777" w:rsidR="008169ED" w:rsidRPr="00410780" w:rsidRDefault="008169ED" w:rsidP="00410780">
            <w:r w:rsidRPr="00410780">
              <w:rPr>
                <w:rFonts w:eastAsiaTheme="minorHAnsi" w:cstheme="minorBidi"/>
                <w:szCs w:val="20"/>
                <w:lang w:eastAsia="en-US"/>
              </w:rPr>
              <w:t>Main study</w:t>
            </w:r>
          </w:p>
          <w:p w14:paraId="4F1A8865" w14:textId="6D452154" w:rsidR="008169ED" w:rsidRPr="00410780" w:rsidRDefault="008169ED" w:rsidP="00410780">
            <w:r w:rsidRPr="00410780">
              <w:rPr>
                <w:rFonts w:eastAsiaTheme="minorHAnsi" w:cstheme="minorBidi"/>
                <w:szCs w:val="20"/>
                <w:lang w:eastAsia="en-US"/>
              </w:rPr>
              <w:t>Study P3/003 breast cancer patients</w:t>
            </w:r>
          </w:p>
        </w:tc>
        <w:tc>
          <w:tcPr>
            <w:tcW w:w="1530" w:type="dxa"/>
            <w:vAlign w:val="bottom"/>
          </w:tcPr>
          <w:p w14:paraId="47EF632E" w14:textId="77777777" w:rsidR="008169ED" w:rsidRPr="007830D9" w:rsidRDefault="008169ED" w:rsidP="00410780">
            <w:pPr>
              <w:ind w:left="0"/>
              <w:jc w:val="center"/>
              <w:cnfStyle w:val="000000000000" w:firstRow="0" w:lastRow="0" w:firstColumn="0" w:lastColumn="0" w:oddVBand="0" w:evenVBand="0" w:oddHBand="0" w:evenHBand="0" w:firstRowFirstColumn="0" w:firstRowLastColumn="0" w:lastRowFirstColumn="0" w:lastRowLastColumn="0"/>
            </w:pPr>
            <w:r w:rsidRPr="007830D9">
              <w:t>166</w:t>
            </w:r>
          </w:p>
        </w:tc>
        <w:tc>
          <w:tcPr>
            <w:tcW w:w="1350" w:type="dxa"/>
            <w:vAlign w:val="bottom"/>
          </w:tcPr>
          <w:p w14:paraId="45BCC968" w14:textId="77777777" w:rsidR="008169ED" w:rsidRPr="007830D9" w:rsidRDefault="008169ED" w:rsidP="00410780">
            <w:pPr>
              <w:ind w:left="0"/>
              <w:jc w:val="center"/>
              <w:cnfStyle w:val="000000000000" w:firstRow="0" w:lastRow="0" w:firstColumn="0" w:lastColumn="0" w:oddVBand="0" w:evenVBand="0" w:oddHBand="0" w:evenHBand="0" w:firstRowFirstColumn="0" w:firstRowLastColumn="0" w:lastRowFirstColumn="0" w:lastRowLastColumn="0"/>
            </w:pPr>
            <w:r w:rsidRPr="007830D9">
              <w:t>82</w:t>
            </w:r>
          </w:p>
        </w:tc>
        <w:tc>
          <w:tcPr>
            <w:tcW w:w="1620" w:type="dxa"/>
            <w:vAlign w:val="bottom"/>
          </w:tcPr>
          <w:p w14:paraId="7687719F" w14:textId="77777777" w:rsidR="008169ED" w:rsidRPr="007830D9" w:rsidRDefault="008169ED" w:rsidP="00410780">
            <w:pPr>
              <w:ind w:left="0"/>
              <w:jc w:val="center"/>
              <w:cnfStyle w:val="000000000000" w:firstRow="0" w:lastRow="0" w:firstColumn="0" w:lastColumn="0" w:oddVBand="0" w:evenVBand="0" w:oddHBand="0" w:evenHBand="0" w:firstRowFirstColumn="0" w:firstRowLastColumn="0" w:lastRowFirstColumn="0" w:lastRowLastColumn="0"/>
            </w:pPr>
          </w:p>
        </w:tc>
        <w:tc>
          <w:tcPr>
            <w:tcW w:w="1693" w:type="dxa"/>
            <w:vAlign w:val="bottom"/>
          </w:tcPr>
          <w:p w14:paraId="451ECE9B" w14:textId="77777777" w:rsidR="008169ED" w:rsidRPr="007830D9" w:rsidRDefault="008169ED" w:rsidP="00410780">
            <w:pPr>
              <w:ind w:left="0"/>
              <w:jc w:val="center"/>
              <w:cnfStyle w:val="000000000000" w:firstRow="0" w:lastRow="0" w:firstColumn="0" w:lastColumn="0" w:oddVBand="0" w:evenVBand="0" w:oddHBand="0" w:evenHBand="0" w:firstRowFirstColumn="0" w:firstRowLastColumn="0" w:lastRowFirstColumn="0" w:lastRowLastColumn="0"/>
            </w:pPr>
            <w:r w:rsidRPr="007830D9">
              <w:t>166</w:t>
            </w:r>
          </w:p>
        </w:tc>
      </w:tr>
      <w:tr w:rsidR="008169ED" w:rsidRPr="007830D9" w14:paraId="3790BCB0" w14:textId="77777777" w:rsidTr="00410780">
        <w:trPr>
          <w:trHeight w:val="205"/>
        </w:trPr>
        <w:tc>
          <w:tcPr>
            <w:cnfStyle w:val="001000000000" w:firstRow="0" w:lastRow="0" w:firstColumn="1" w:lastColumn="0" w:oddVBand="0" w:evenVBand="0" w:oddHBand="0" w:evenHBand="0" w:firstRowFirstColumn="0" w:firstRowLastColumn="0" w:lastRowFirstColumn="0" w:lastRowLastColumn="0"/>
            <w:tcW w:w="2785" w:type="dxa"/>
          </w:tcPr>
          <w:p w14:paraId="0914F257" w14:textId="4174007C" w:rsidR="008169ED" w:rsidRPr="007830D9" w:rsidRDefault="00B96ADC" w:rsidP="00410780">
            <w:pPr>
              <w:ind w:left="0"/>
            </w:pPr>
            <w:r>
              <w:t>Total</w:t>
            </w:r>
          </w:p>
        </w:tc>
        <w:tc>
          <w:tcPr>
            <w:tcW w:w="1530" w:type="dxa"/>
            <w:vAlign w:val="bottom"/>
          </w:tcPr>
          <w:p w14:paraId="03A1AA88" w14:textId="77777777" w:rsidR="008169ED" w:rsidRPr="007830D9" w:rsidRDefault="008169ED" w:rsidP="00410780">
            <w:pPr>
              <w:ind w:left="0"/>
              <w:jc w:val="center"/>
              <w:cnfStyle w:val="000000000000" w:firstRow="0" w:lastRow="0" w:firstColumn="0" w:lastColumn="0" w:oddVBand="0" w:evenVBand="0" w:oddHBand="0" w:evenHBand="0" w:firstRowFirstColumn="0" w:firstRowLastColumn="0" w:lastRowFirstColumn="0" w:lastRowLastColumn="0"/>
            </w:pPr>
            <w:r w:rsidRPr="007830D9">
              <w:t>378</w:t>
            </w:r>
          </w:p>
        </w:tc>
        <w:tc>
          <w:tcPr>
            <w:tcW w:w="1350" w:type="dxa"/>
            <w:vAlign w:val="bottom"/>
          </w:tcPr>
          <w:p w14:paraId="6C17DC59" w14:textId="77777777" w:rsidR="008169ED" w:rsidRPr="007830D9" w:rsidRDefault="008169ED" w:rsidP="00410780">
            <w:pPr>
              <w:ind w:left="0"/>
              <w:jc w:val="center"/>
              <w:cnfStyle w:val="000000000000" w:firstRow="0" w:lastRow="0" w:firstColumn="0" w:lastColumn="0" w:oddVBand="0" w:evenVBand="0" w:oddHBand="0" w:evenHBand="0" w:firstRowFirstColumn="0" w:firstRowLastColumn="0" w:lastRowFirstColumn="0" w:lastRowLastColumn="0"/>
            </w:pPr>
            <w:r w:rsidRPr="007830D9">
              <w:t>293</w:t>
            </w:r>
          </w:p>
        </w:tc>
        <w:tc>
          <w:tcPr>
            <w:tcW w:w="1620" w:type="dxa"/>
            <w:vAlign w:val="bottom"/>
          </w:tcPr>
          <w:p w14:paraId="6A6D4455" w14:textId="1A437AE1" w:rsidR="008169ED" w:rsidRPr="007830D9" w:rsidRDefault="00B96ADC" w:rsidP="00410780">
            <w:pPr>
              <w:ind w:left="0"/>
              <w:jc w:val="center"/>
              <w:cnfStyle w:val="000000000000" w:firstRow="0" w:lastRow="0" w:firstColumn="0" w:lastColumn="0" w:oddVBand="0" w:evenVBand="0" w:oddHBand="0" w:evenHBand="0" w:firstRowFirstColumn="0" w:firstRowLastColumn="0" w:lastRowFirstColumn="0" w:lastRowLastColumn="0"/>
            </w:pPr>
            <w:r>
              <w:t>-</w:t>
            </w:r>
          </w:p>
        </w:tc>
        <w:tc>
          <w:tcPr>
            <w:tcW w:w="1693" w:type="dxa"/>
            <w:vAlign w:val="bottom"/>
          </w:tcPr>
          <w:p w14:paraId="7CE35069" w14:textId="77777777" w:rsidR="008169ED" w:rsidRPr="007830D9" w:rsidRDefault="008169ED" w:rsidP="00410780">
            <w:pPr>
              <w:ind w:left="0"/>
              <w:jc w:val="center"/>
              <w:cnfStyle w:val="000000000000" w:firstRow="0" w:lastRow="0" w:firstColumn="0" w:lastColumn="0" w:oddVBand="0" w:evenVBand="0" w:oddHBand="0" w:evenHBand="0" w:firstRowFirstColumn="0" w:firstRowLastColumn="0" w:lastRowFirstColumn="0" w:lastRowLastColumn="0"/>
            </w:pPr>
            <w:r w:rsidRPr="007830D9">
              <w:t>378</w:t>
            </w:r>
          </w:p>
        </w:tc>
      </w:tr>
    </w:tbl>
    <w:p w14:paraId="39D4EFC2" w14:textId="29CDB772" w:rsidR="008169ED" w:rsidRDefault="008169ED" w:rsidP="008169ED">
      <w:pPr>
        <w:pStyle w:val="Tabledescription"/>
      </w:pPr>
      <w:r w:rsidRPr="008169ED">
        <w:t>*</w:t>
      </w:r>
      <w:r>
        <w:t xml:space="preserve"> Control </w:t>
      </w:r>
      <w:r w:rsidR="007830D9">
        <w:t xml:space="preserve">/ </w:t>
      </w:r>
      <w:r>
        <w:t>comparator</w:t>
      </w:r>
    </w:p>
    <w:p w14:paraId="36DFDFBA" w14:textId="20F2B4C2" w:rsidR="001B2848" w:rsidRPr="008169ED" w:rsidRDefault="008169ED" w:rsidP="008169ED">
      <w:pPr>
        <w:pStyle w:val="Heading5"/>
      </w:pPr>
      <w:r>
        <w:lastRenderedPageBreak/>
        <w:t xml:space="preserve">Study </w:t>
      </w:r>
      <w:r w:rsidR="001B2848" w:rsidRPr="008169ED">
        <w:t>PEGF/USV/P1/00</w:t>
      </w:r>
      <w:r>
        <w:t>1</w:t>
      </w:r>
    </w:p>
    <w:p w14:paraId="4596B01F" w14:textId="77777777" w:rsidR="001B2848" w:rsidRPr="008169ED" w:rsidRDefault="001B2848" w:rsidP="008169ED">
      <w:r w:rsidRPr="008169ED">
        <w:t>No overall difference in safety profiles following USV pegfilgrastim and Neulasta were noted.</w:t>
      </w:r>
    </w:p>
    <w:p w14:paraId="40EF6F07" w14:textId="6D65C60F" w:rsidR="001B2848" w:rsidRPr="008169ED" w:rsidRDefault="001B2848" w:rsidP="008169ED">
      <w:r w:rsidRPr="008169ED">
        <w:t>For USV pegfilgrastim 86% (129</w:t>
      </w:r>
      <w:r w:rsidR="008169ED">
        <w:t xml:space="preserve"> out of </w:t>
      </w:r>
      <w:r w:rsidRPr="008169ED">
        <w:t xml:space="preserve">150) of subjects reported </w:t>
      </w:r>
      <w:r w:rsidR="008169ED">
        <w:t>adverse event</w:t>
      </w:r>
      <w:r w:rsidRPr="008169ED">
        <w:t>s v</w:t>
      </w:r>
      <w:r w:rsidR="008169ED">
        <w:t>ersus</w:t>
      </w:r>
      <w:r w:rsidRPr="008169ED">
        <w:t xml:space="preserve"> 82.6% (123</w:t>
      </w:r>
      <w:r w:rsidR="008169ED">
        <w:t xml:space="preserve"> out of </w:t>
      </w:r>
      <w:r w:rsidRPr="008169ED">
        <w:t xml:space="preserve">149) for Neulasta. </w:t>
      </w:r>
      <w:r w:rsidR="008169ED">
        <w:t xml:space="preserve">A total of </w:t>
      </w:r>
      <w:r w:rsidRPr="008169ED">
        <w:t xml:space="preserve">56 </w:t>
      </w:r>
      <w:r w:rsidR="008169ED">
        <w:t>adverse event</w:t>
      </w:r>
      <w:r w:rsidRPr="008169ED">
        <w:t>s were reported as moderate, by</w:t>
      </w:r>
      <w:r w:rsidR="00D226BA">
        <w:t> </w:t>
      </w:r>
      <w:r w:rsidRPr="008169ED">
        <w:t>20</w:t>
      </w:r>
      <w:r w:rsidR="008169ED">
        <w:t> </w:t>
      </w:r>
      <w:r w:rsidRPr="008169ED">
        <w:t xml:space="preserve">(13.3%) and 23 (15.4%) subjects after USV pegfilgrastim and Neulasta respectively. Back pain and headache were the most frequently reported </w:t>
      </w:r>
      <w:r w:rsidR="008169ED">
        <w:t>adverse ev</w:t>
      </w:r>
      <w:r w:rsidR="00707353">
        <w:t>e</w:t>
      </w:r>
      <w:r w:rsidR="008169ED">
        <w:t>nts</w:t>
      </w:r>
      <w:r w:rsidRPr="008169ED">
        <w:t>, followed by extremity pain and musculoskeletal pain, all of which are reported adverse reactions for pegfilgrastim.</w:t>
      </w:r>
      <w:r w:rsidR="00707353">
        <w:t xml:space="preserve"> </w:t>
      </w:r>
      <w:r w:rsidRPr="008169ED">
        <w:t xml:space="preserve">Transient increases in </w:t>
      </w:r>
      <w:r w:rsidR="008169ED">
        <w:t>a</w:t>
      </w:r>
      <w:r w:rsidR="008169ED" w:rsidRPr="008169ED">
        <w:t xml:space="preserve">lanine </w:t>
      </w:r>
      <w:r w:rsidR="008169ED" w:rsidRPr="00707353">
        <w:t>aminotransferase (</w:t>
      </w:r>
      <w:r w:rsidRPr="00707353">
        <w:t>ALT</w:t>
      </w:r>
      <w:r w:rsidR="008169ED" w:rsidRPr="00707353">
        <w:t>)</w:t>
      </w:r>
      <w:r w:rsidRPr="00707353">
        <w:t xml:space="preserve">, </w:t>
      </w:r>
      <w:r w:rsidR="008169ED" w:rsidRPr="00707353">
        <w:t>aspartate aminotransferase (</w:t>
      </w:r>
      <w:r w:rsidRPr="00707353">
        <w:t>AST</w:t>
      </w:r>
      <w:r w:rsidR="008169ED" w:rsidRPr="00707353">
        <w:t>)</w:t>
      </w:r>
      <w:r w:rsidRPr="00707353">
        <w:t xml:space="preserve">, and </w:t>
      </w:r>
      <w:r w:rsidR="00707353" w:rsidRPr="00707353">
        <w:t>a</w:t>
      </w:r>
      <w:r w:rsidR="008169ED" w:rsidRPr="00707353">
        <w:t>lkaline phosphatase</w:t>
      </w:r>
      <w:r w:rsidRPr="00707353">
        <w:t xml:space="preserve"> were observed after both treatments.</w:t>
      </w:r>
    </w:p>
    <w:p w14:paraId="3C832A3F" w14:textId="40CB29BD" w:rsidR="001B2848" w:rsidRPr="00707353" w:rsidRDefault="001B2848" w:rsidP="008169ED">
      <w:r w:rsidRPr="008169ED">
        <w:t xml:space="preserve">No </w:t>
      </w:r>
      <w:r w:rsidR="008169ED">
        <w:t>adverse events</w:t>
      </w:r>
      <w:r w:rsidRPr="008169ED">
        <w:t xml:space="preserve"> were serious or severe, and no </w:t>
      </w:r>
      <w:r w:rsidR="008169ED">
        <w:t>adverse events</w:t>
      </w:r>
      <w:r w:rsidRPr="008169ED">
        <w:t xml:space="preserve"> were reported that led to </w:t>
      </w:r>
      <w:r w:rsidRPr="00707353">
        <w:t>death.</w:t>
      </w:r>
    </w:p>
    <w:p w14:paraId="0EF89067" w14:textId="788D5C90" w:rsidR="001B2848" w:rsidRDefault="001B2848" w:rsidP="008169ED">
      <w:r w:rsidRPr="00707353">
        <w:t xml:space="preserve">Two subjects withdrew from the study following USV pegfilgrastim: one had moderate neutropenia (related to </w:t>
      </w:r>
      <w:r w:rsidR="00D226BA">
        <w:t>USV pegfilgrastim</w:t>
      </w:r>
      <w:r w:rsidRPr="00707353">
        <w:t xml:space="preserve">) 13 days post administration, and one had moderate ALT/AST elevation, possibly related to </w:t>
      </w:r>
      <w:r w:rsidR="00D226BA" w:rsidRPr="008169ED">
        <w:t>USV pegfilgrastim</w:t>
      </w:r>
      <w:r w:rsidRPr="00707353">
        <w:t xml:space="preserve">, with pancytopenia recorded. A third subject experienced a moderate </w:t>
      </w:r>
      <w:r w:rsidR="008169ED" w:rsidRPr="00707353">
        <w:t>adverse event</w:t>
      </w:r>
      <w:r w:rsidRPr="00707353">
        <w:t xml:space="preserve"> (abdominal pain that was considered possibly related to </w:t>
      </w:r>
      <w:r w:rsidR="00D226BA">
        <w:t>Neulasta</w:t>
      </w:r>
      <w:r w:rsidRPr="00707353">
        <w:t xml:space="preserve">), </w:t>
      </w:r>
      <w:r w:rsidR="008169ED" w:rsidRPr="00707353">
        <w:t>three</w:t>
      </w:r>
      <w:r w:rsidRPr="00707353">
        <w:t xml:space="preserve"> days after </w:t>
      </w:r>
      <w:r w:rsidR="00D226BA">
        <w:t xml:space="preserve">Neulasta </w:t>
      </w:r>
      <w:r w:rsidRPr="00707353">
        <w:t>administration.</w:t>
      </w:r>
    </w:p>
    <w:p w14:paraId="5320A18E" w14:textId="5D5AEB73" w:rsidR="001B2848" w:rsidRDefault="008169ED" w:rsidP="008169ED">
      <w:pPr>
        <w:pStyle w:val="Heading5"/>
      </w:pPr>
      <w:r>
        <w:t xml:space="preserve">Study </w:t>
      </w:r>
      <w:r w:rsidR="001B2848">
        <w:t>PEGF/USV/P1/003</w:t>
      </w:r>
    </w:p>
    <w:p w14:paraId="25E2A552" w14:textId="77777777" w:rsidR="001B2848" w:rsidRPr="008169ED" w:rsidRDefault="001B2848" w:rsidP="008169ED">
      <w:r w:rsidRPr="008169ED">
        <w:t>No overall difference in safety profiles following USV pegfilgrastim and Neulasta were noted.</w:t>
      </w:r>
    </w:p>
    <w:p w14:paraId="02ED0160" w14:textId="1C46E93F" w:rsidR="001B2848" w:rsidRPr="008169ED" w:rsidRDefault="001B2848" w:rsidP="008169ED">
      <w:r w:rsidRPr="008169ED">
        <w:t xml:space="preserve">The incidence and frequency of </w:t>
      </w:r>
      <w:r w:rsidR="008169ED">
        <w:t>adverse events</w:t>
      </w:r>
      <w:r w:rsidRPr="008169ED">
        <w:t xml:space="preserve"> was comparable between treatments; 56.5% (35</w:t>
      </w:r>
      <w:r w:rsidR="008169ED">
        <w:t xml:space="preserve"> out of </w:t>
      </w:r>
      <w:r w:rsidRPr="008169ED">
        <w:t xml:space="preserve">62) of subjects reported </w:t>
      </w:r>
      <w:r w:rsidR="008169ED">
        <w:t>treatment-emergent adverse events</w:t>
      </w:r>
      <w:r w:rsidRPr="008169ED">
        <w:t xml:space="preserve"> after USV pegfilgrastim v</w:t>
      </w:r>
      <w:r w:rsidR="008169ED">
        <w:t xml:space="preserve">ersus </w:t>
      </w:r>
      <w:r w:rsidRPr="008169ED">
        <w:t>59.7% (37</w:t>
      </w:r>
      <w:r w:rsidR="008169ED">
        <w:t xml:space="preserve"> out of </w:t>
      </w:r>
      <w:r w:rsidRPr="008169ED">
        <w:t xml:space="preserve">60) after Neulasta, and </w:t>
      </w:r>
      <w:proofErr w:type="gramStart"/>
      <w:r w:rsidRPr="008169ED">
        <w:t>the majority of</w:t>
      </w:r>
      <w:proofErr w:type="gramEnd"/>
      <w:r w:rsidRPr="008169ED">
        <w:t xml:space="preserve"> </w:t>
      </w:r>
      <w:r w:rsidR="008169ED">
        <w:t>adverse events</w:t>
      </w:r>
      <w:r w:rsidRPr="008169ED">
        <w:t xml:space="preserve"> were mild. Back pain was most frequently reported. No deaths or serious </w:t>
      </w:r>
      <w:r w:rsidR="008169ED">
        <w:t>adverse events</w:t>
      </w:r>
      <w:r w:rsidRPr="008169ED">
        <w:t xml:space="preserve"> were reported during the study</w:t>
      </w:r>
      <w:r w:rsidR="008169ED">
        <w:t>.</w:t>
      </w:r>
    </w:p>
    <w:p w14:paraId="595A7765" w14:textId="0F86911B" w:rsidR="001B2848" w:rsidRPr="008169ED" w:rsidRDefault="001B2848" w:rsidP="008169ED">
      <w:r w:rsidRPr="008169ED">
        <w:t xml:space="preserve">One (1.6%) subject experienced a severe </w:t>
      </w:r>
      <w:r w:rsidR="008169ED">
        <w:t>adverse event</w:t>
      </w:r>
      <w:r w:rsidRPr="008169ED">
        <w:t xml:space="preserve"> of increased ALT </w:t>
      </w:r>
      <w:r w:rsidR="008169ED">
        <w:t>six</w:t>
      </w:r>
      <w:r w:rsidRPr="008169ED">
        <w:t xml:space="preserve"> days after dosing with Neulasta in Period 1. A total of 5 (8.1%) and 3 (4.8%) subjects reported </w:t>
      </w:r>
      <w:r w:rsidR="008169ED">
        <w:t>one</w:t>
      </w:r>
      <w:r w:rsidRPr="008169ED">
        <w:t xml:space="preserve"> or more moderate </w:t>
      </w:r>
      <w:r w:rsidR="008169ED">
        <w:t>adverse events</w:t>
      </w:r>
      <w:r w:rsidRPr="008169ED">
        <w:t xml:space="preserve"> following dosing with USV </w:t>
      </w:r>
      <w:r w:rsidR="008169ED">
        <w:t>p</w:t>
      </w:r>
      <w:r w:rsidRPr="008169ED">
        <w:t>egfilgrastim and Neulasta, respectively.</w:t>
      </w:r>
    </w:p>
    <w:p w14:paraId="5A02FDA3" w14:textId="38796B29" w:rsidR="001B2848" w:rsidRDefault="001B2848" w:rsidP="001B2848">
      <w:pPr>
        <w:rPr>
          <w:rFonts w:asciiTheme="minorHAnsi" w:eastAsia="Times New Roman" w:hAnsiTheme="minorHAnsi"/>
          <w:b/>
        </w:rPr>
      </w:pPr>
      <w:r w:rsidRPr="008169ED">
        <w:t>Two subjects withdrew from study with elevated liver function tests, one after USV pegfilgrastim and one after Neulasta.</w:t>
      </w:r>
    </w:p>
    <w:p w14:paraId="3FC92FC1" w14:textId="54E3DD1C" w:rsidR="001B2848" w:rsidRPr="008169ED" w:rsidRDefault="008169ED" w:rsidP="008169ED">
      <w:pPr>
        <w:pStyle w:val="Heading5"/>
      </w:pPr>
      <w:r>
        <w:t xml:space="preserve">Study </w:t>
      </w:r>
      <w:r w:rsidR="001B2848" w:rsidRPr="008169ED">
        <w:t>PEGF/USV/P3/003</w:t>
      </w:r>
    </w:p>
    <w:p w14:paraId="2439DB47" w14:textId="2831FC16" w:rsidR="001B2848" w:rsidRPr="008169ED" w:rsidRDefault="001B2848" w:rsidP="008169ED">
      <w:r w:rsidRPr="008169ED">
        <w:t xml:space="preserve">The overall safety profile of USV </w:t>
      </w:r>
      <w:r w:rsidR="008169ED">
        <w:t>p</w:t>
      </w:r>
      <w:r w:rsidRPr="008169ED">
        <w:t xml:space="preserve">egfilgrastim was </w:t>
      </w:r>
      <w:proofErr w:type="gramStart"/>
      <w:r w:rsidRPr="008169ED">
        <w:t>similar to</w:t>
      </w:r>
      <w:proofErr w:type="gramEnd"/>
      <w:r w:rsidRPr="008169ED">
        <w:t xml:space="preserve"> EU</w:t>
      </w:r>
      <w:r w:rsidR="00D226BA">
        <w:t>-sourced</w:t>
      </w:r>
      <w:r w:rsidR="008169ED">
        <w:t> </w:t>
      </w:r>
      <w:r w:rsidRPr="008169ED">
        <w:t xml:space="preserve">Neulasta, with no notable differences reported between treatment arms for the total number of </w:t>
      </w:r>
      <w:r w:rsidR="008169ED">
        <w:t>treatment-emergent adverse events,</w:t>
      </w:r>
      <w:r w:rsidRPr="008169ED">
        <w:t xml:space="preserve"> severity, incidence and types of the most common </w:t>
      </w:r>
      <w:r w:rsidR="008169ED">
        <w:t>treatment-emergent adverse events.</w:t>
      </w:r>
    </w:p>
    <w:p w14:paraId="5035D444" w14:textId="2B34081E" w:rsidR="00D226BA" w:rsidRDefault="001B2848" w:rsidP="001B2848">
      <w:proofErr w:type="gramStart"/>
      <w:r>
        <w:t>The majority of</w:t>
      </w:r>
      <w:proofErr w:type="gramEnd"/>
      <w:r>
        <w:t xml:space="preserve"> </w:t>
      </w:r>
      <w:r w:rsidR="008169ED">
        <w:t>adverse events</w:t>
      </w:r>
      <w:r>
        <w:t xml:space="preserve"> were assessed as not related to </w:t>
      </w:r>
      <w:r w:rsidR="00D226BA" w:rsidRPr="008169ED">
        <w:t>USV pegfilgrastim</w:t>
      </w:r>
      <w:r w:rsidR="00D226BA">
        <w:t xml:space="preserve"> </w:t>
      </w:r>
      <w:r w:rsidR="00707353">
        <w:t xml:space="preserve">or </w:t>
      </w:r>
      <w:r>
        <w:t>comparator</w:t>
      </w:r>
      <w:r w:rsidR="00D226BA">
        <w:t xml:space="preserve"> (that is, Neulasta)</w:t>
      </w:r>
      <w:r w:rsidR="008169ED">
        <w:t>.</w:t>
      </w:r>
    </w:p>
    <w:p w14:paraId="6FBF234A" w14:textId="35A79F00" w:rsidR="008169ED" w:rsidRDefault="008169ED" w:rsidP="008169ED">
      <w:pPr>
        <w:pStyle w:val="TableTitle0"/>
      </w:pPr>
      <w:r>
        <w:lastRenderedPageBreak/>
        <w:t xml:space="preserve">Table </w:t>
      </w:r>
      <w:r w:rsidR="00C171EF">
        <w:fldChar w:fldCharType="begin"/>
      </w:r>
      <w:r w:rsidR="00C171EF">
        <w:instrText xml:space="preserve"> SEQ Table \* ARABI</w:instrText>
      </w:r>
      <w:r w:rsidR="00C171EF">
        <w:instrText xml:space="preserve">C </w:instrText>
      </w:r>
      <w:r w:rsidR="00C171EF">
        <w:fldChar w:fldCharType="separate"/>
      </w:r>
      <w:r w:rsidR="00410780">
        <w:rPr>
          <w:noProof/>
        </w:rPr>
        <w:t>16</w:t>
      </w:r>
      <w:r w:rsidR="00C171EF">
        <w:rPr>
          <w:noProof/>
        </w:rPr>
        <w:fldChar w:fldCharType="end"/>
      </w:r>
      <w:r>
        <w:t xml:space="preserve">: </w:t>
      </w:r>
      <w:r w:rsidR="00D226BA">
        <w:t xml:space="preserve">Study PEGF/USV/P3/003 </w:t>
      </w:r>
      <w:r>
        <w:t xml:space="preserve">Frequency table of subjects with treatment-emergent adverse events sorted by </w:t>
      </w:r>
      <w:r w:rsidR="00D226BA">
        <w:t>S</w:t>
      </w:r>
      <w:r>
        <w:t xml:space="preserve">ystem </w:t>
      </w:r>
      <w:r w:rsidR="00D226BA">
        <w:t>O</w:t>
      </w:r>
      <w:r>
        <w:t xml:space="preserve">rgan </w:t>
      </w:r>
      <w:r w:rsidR="00D226BA">
        <w:t>C</w:t>
      </w:r>
      <w:r>
        <w:t xml:space="preserve">lass, </w:t>
      </w:r>
      <w:r w:rsidR="00D226BA">
        <w:t>P</w:t>
      </w:r>
      <w:r>
        <w:t xml:space="preserve">referred </w:t>
      </w:r>
      <w:proofErr w:type="gramStart"/>
      <w:r w:rsidR="00D226BA">
        <w:t>T</w:t>
      </w:r>
      <w:r>
        <w:t>erm</w:t>
      </w:r>
      <w:proofErr w:type="gramEnd"/>
      <w:r>
        <w:t xml:space="preserve"> and relationship to </w:t>
      </w:r>
      <w:r w:rsidR="00D226BA" w:rsidRPr="008169ED">
        <w:t>USV pegfilgrastim</w:t>
      </w:r>
      <w:r>
        <w:t xml:space="preserve"> and </w:t>
      </w:r>
      <w:r w:rsidR="00D226BA">
        <w:t>EU-sourced Neulasta</w:t>
      </w:r>
    </w:p>
    <w:p w14:paraId="78FEDB0F" w14:textId="5FC83274" w:rsidR="001B2848" w:rsidRDefault="001B2848" w:rsidP="001B2848">
      <w:r>
        <w:rPr>
          <w:noProof/>
          <w:lang w:val="en-GB" w:eastAsia="en-GB"/>
        </w:rPr>
        <w:drawing>
          <wp:inline distT="0" distB="0" distL="0" distR="0" wp14:anchorId="1157BF53" wp14:editId="60FF2330">
            <wp:extent cx="5587628" cy="1429305"/>
            <wp:effectExtent l="0" t="0" r="0" b="0"/>
            <wp:docPr id="35" name="Picture 35" descr="Study PEGF/USV/P3/003 Frequency table of subjects with treatment-emergent adverse events sorted by System Organ Class, Preferred Term and relationship to USV pegfilgrastim and EU-sourced Neul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tudy PEGF/USV/P3/003 Frequency table of subjects with treatment-emergent adverse events sorted by System Organ Class, Preferred Term and relationship to USV pegfilgrastim and EU-sourced Neulasta"/>
                    <pic:cNvPicPr/>
                  </pic:nvPicPr>
                  <pic:blipFill rotWithShape="1">
                    <a:blip r:embed="rId44"/>
                    <a:srcRect l="1466"/>
                    <a:stretch/>
                  </pic:blipFill>
                  <pic:spPr bwMode="auto">
                    <a:xfrm>
                      <a:off x="0" y="0"/>
                      <a:ext cx="5676232" cy="1451970"/>
                    </a:xfrm>
                    <a:prstGeom prst="rect">
                      <a:avLst/>
                    </a:prstGeom>
                    <a:ln>
                      <a:noFill/>
                    </a:ln>
                    <a:extLst>
                      <a:ext uri="{53640926-AAD7-44D8-BBD7-CCE9431645EC}">
                        <a14:shadowObscured xmlns:a14="http://schemas.microsoft.com/office/drawing/2010/main"/>
                      </a:ext>
                    </a:extLst>
                  </pic:spPr>
                </pic:pic>
              </a:graphicData>
            </a:graphic>
          </wp:inline>
        </w:drawing>
      </w:r>
    </w:p>
    <w:p w14:paraId="66C45E7F" w14:textId="396FA9EA" w:rsidR="008169ED" w:rsidRPr="00577F9A" w:rsidRDefault="008169ED" w:rsidP="008169ED">
      <w:pPr>
        <w:pStyle w:val="Tabledescription"/>
      </w:pPr>
      <w:r>
        <w:t xml:space="preserve">Abbreviations: SOC = </w:t>
      </w:r>
      <w:r w:rsidR="00D226BA">
        <w:t>S</w:t>
      </w:r>
      <w:r>
        <w:t xml:space="preserve">ystem </w:t>
      </w:r>
      <w:r w:rsidR="00D226BA">
        <w:t>O</w:t>
      </w:r>
      <w:r>
        <w:t xml:space="preserve">rgan </w:t>
      </w:r>
      <w:r w:rsidR="00D226BA">
        <w:t>C</w:t>
      </w:r>
      <w:r>
        <w:t xml:space="preserve">lass, PT = </w:t>
      </w:r>
      <w:r w:rsidR="00D226BA">
        <w:t>P</w:t>
      </w:r>
      <w:r>
        <w:t xml:space="preserve">referred </w:t>
      </w:r>
      <w:r w:rsidR="00D226BA">
        <w:t>T</w:t>
      </w:r>
      <w:r>
        <w:t>erm, IMP = investigational medicinal product</w:t>
      </w:r>
      <w:r w:rsidR="00D226BA">
        <w:t>.</w:t>
      </w:r>
    </w:p>
    <w:p w14:paraId="04B3A117" w14:textId="32759229" w:rsidR="00D226BA" w:rsidRDefault="00D226BA" w:rsidP="008169ED">
      <w:pPr>
        <w:pStyle w:val="Tabledescription"/>
      </w:pPr>
      <w:r>
        <w:t xml:space="preserve">Investigational Medicinal Product (IMP) was </w:t>
      </w:r>
      <w:r w:rsidRPr="008169ED">
        <w:t>USV pegfilgrastim</w:t>
      </w:r>
      <w:r>
        <w:t>; *comparator was EU-sourced (EU-licensed) Neulasta.</w:t>
      </w:r>
    </w:p>
    <w:p w14:paraId="620B6C69" w14:textId="6839991B" w:rsidR="008169ED" w:rsidRDefault="008169ED" w:rsidP="008169ED">
      <w:pPr>
        <w:pStyle w:val="Tabledescription"/>
      </w:pPr>
      <w:r>
        <w:t>Each subject was counted only once in each SOC/PT category with her strongest relationship to IMP/comparator.</w:t>
      </w:r>
    </w:p>
    <w:p w14:paraId="1E446755" w14:textId="6B4AEE4E" w:rsidR="008169ED" w:rsidRDefault="008169ED" w:rsidP="008169ED">
      <w:pPr>
        <w:pStyle w:val="Tabledescription"/>
      </w:pPr>
      <w:r>
        <w:t>The denominator for percentages was the number of subjects in the safety analysis set, in the respective treatment arm.</w:t>
      </w:r>
    </w:p>
    <w:p w14:paraId="1079F8DE" w14:textId="373F0E68" w:rsidR="001B2848" w:rsidRDefault="001B2848" w:rsidP="001B2848">
      <w:pPr>
        <w:rPr>
          <w:lang w:eastAsia="ja-JP"/>
        </w:rPr>
      </w:pPr>
      <w:r w:rsidRPr="008169ED">
        <w:t xml:space="preserve">The proportion of subjects with </w:t>
      </w:r>
      <w:r w:rsidR="008169ED">
        <w:t>treatment-emergent adverse events</w:t>
      </w:r>
      <w:r w:rsidRPr="008169ED">
        <w:t xml:space="preserve"> was 52 (31.3%) subjects in the USV </w:t>
      </w:r>
      <w:r w:rsidR="008169ED">
        <w:t>p</w:t>
      </w:r>
      <w:r w:rsidRPr="008169ED">
        <w:t xml:space="preserve">egfilgrastim arm and 30 (36.6%) </w:t>
      </w:r>
      <w:r w:rsidR="00D226BA">
        <w:t xml:space="preserve">subjects </w:t>
      </w:r>
      <w:r w:rsidRPr="008169ED">
        <w:t xml:space="preserve">in </w:t>
      </w:r>
      <w:r w:rsidR="00D226BA">
        <w:t xml:space="preserve">the </w:t>
      </w:r>
      <w:r w:rsidRPr="008169ED">
        <w:t xml:space="preserve">Neulasta arm. </w:t>
      </w:r>
      <w:r w:rsidR="008169ED">
        <w:t xml:space="preserve">A total of 17 </w:t>
      </w:r>
      <w:r w:rsidRPr="008169ED">
        <w:t xml:space="preserve">serious </w:t>
      </w:r>
      <w:r w:rsidR="008169ED">
        <w:t>treatment</w:t>
      </w:r>
      <w:r w:rsidR="00707353">
        <w:noBreakHyphen/>
      </w:r>
      <w:r w:rsidR="008169ED">
        <w:t>emergent adver</w:t>
      </w:r>
      <w:r w:rsidRPr="008169ED">
        <w:t>s</w:t>
      </w:r>
      <w:r w:rsidR="008169ED">
        <w:t>e events</w:t>
      </w:r>
      <w:r w:rsidRPr="008169ED">
        <w:t xml:space="preserve"> were reported by 12 </w:t>
      </w:r>
      <w:r w:rsidR="008169ED" w:rsidRPr="008169ED">
        <w:t>subjects:</w:t>
      </w:r>
      <w:r w:rsidRPr="008169ED">
        <w:t xml:space="preserve"> </w:t>
      </w:r>
      <w:r w:rsidR="008169ED">
        <w:t>nine</w:t>
      </w:r>
      <w:r w:rsidRPr="008169ED">
        <w:t xml:space="preserve"> (5.4%) from </w:t>
      </w:r>
      <w:r w:rsidR="008169ED">
        <w:t xml:space="preserve">the </w:t>
      </w:r>
      <w:r w:rsidRPr="008169ED">
        <w:t xml:space="preserve">USV </w:t>
      </w:r>
      <w:r w:rsidR="008169ED">
        <w:t>p</w:t>
      </w:r>
      <w:r w:rsidRPr="008169ED">
        <w:t xml:space="preserve">egfilgrastim treatment arm and </w:t>
      </w:r>
      <w:r w:rsidR="008169ED">
        <w:t>three</w:t>
      </w:r>
      <w:r w:rsidRPr="008169ED">
        <w:t xml:space="preserve"> (3.7%) from </w:t>
      </w:r>
      <w:r w:rsidR="008169ED">
        <w:t xml:space="preserve">the </w:t>
      </w:r>
      <w:r w:rsidRPr="008169ED">
        <w:t>Neulasta treatment arm.</w:t>
      </w:r>
    </w:p>
    <w:p w14:paraId="324D26C1" w14:textId="27B1FE54" w:rsidR="001B2848" w:rsidRPr="008169ED" w:rsidRDefault="001B2848" w:rsidP="008169ED">
      <w:r w:rsidRPr="008169ED">
        <w:t xml:space="preserve">There were higher rates reported for some </w:t>
      </w:r>
      <w:r w:rsidR="008169ED">
        <w:t>adverse events</w:t>
      </w:r>
      <w:r w:rsidRPr="008169ED">
        <w:t xml:space="preserve"> in the USV pegfilgrastim arm:</w:t>
      </w:r>
    </w:p>
    <w:p w14:paraId="54D4863D" w14:textId="3BA77519" w:rsidR="001B2848" w:rsidRPr="008169ED" w:rsidRDefault="008169ED" w:rsidP="008169ED">
      <w:pPr>
        <w:pStyle w:val="ListBullet"/>
      </w:pPr>
      <w:r>
        <w:t>F</w:t>
      </w:r>
      <w:r w:rsidR="001B2848" w:rsidRPr="008169ED">
        <w:t xml:space="preserve">ebrile neutropenia was reported in </w:t>
      </w:r>
      <w:r>
        <w:t xml:space="preserve">six </w:t>
      </w:r>
      <w:r w:rsidR="001B2848" w:rsidRPr="008169ED">
        <w:t xml:space="preserve">(3.6%) subjects in the USV </w:t>
      </w:r>
      <w:r>
        <w:t>p</w:t>
      </w:r>
      <w:r w:rsidR="001B2848" w:rsidRPr="008169ED">
        <w:t xml:space="preserve">egfilgrastim treatment arm and </w:t>
      </w:r>
      <w:r>
        <w:t>two</w:t>
      </w:r>
      <w:r w:rsidR="001B2848" w:rsidRPr="008169ED">
        <w:t xml:space="preserve"> (2.4%) subjects in the Neulasta arm</w:t>
      </w:r>
      <w:r>
        <w:t>.</w:t>
      </w:r>
    </w:p>
    <w:p w14:paraId="782EC0FA" w14:textId="3F9BB21C" w:rsidR="001B2848" w:rsidRPr="008169ED" w:rsidRDefault="008169ED" w:rsidP="008169ED">
      <w:pPr>
        <w:pStyle w:val="ListBullet"/>
      </w:pPr>
      <w:r>
        <w:t>S</w:t>
      </w:r>
      <w:r w:rsidR="001B2848" w:rsidRPr="008169ED">
        <w:t xml:space="preserve">evere bone pain was reported in 16 (9.6%) subjects in the USV </w:t>
      </w:r>
      <w:r>
        <w:t>p</w:t>
      </w:r>
      <w:r w:rsidR="001B2848" w:rsidRPr="008169ED">
        <w:t xml:space="preserve">egfilgrastim arm, compared to </w:t>
      </w:r>
      <w:r>
        <w:t>six</w:t>
      </w:r>
      <w:r w:rsidR="001B2848" w:rsidRPr="008169ED">
        <w:t xml:space="preserve"> (7.3%) subjects in the Neulasta arm</w:t>
      </w:r>
      <w:r>
        <w:t>.</w:t>
      </w:r>
    </w:p>
    <w:p w14:paraId="34AE2976" w14:textId="22E58329" w:rsidR="001B2848" w:rsidRPr="008169ED" w:rsidRDefault="008169ED" w:rsidP="008169ED">
      <w:pPr>
        <w:pStyle w:val="ListBullet"/>
      </w:pPr>
      <w:r>
        <w:t>T</w:t>
      </w:r>
      <w:r w:rsidR="001B2848" w:rsidRPr="008169ED">
        <w:t>hrombocytopenia was reported by 25 (15.1%) of subjects in USV pegfilgrastim arm v</w:t>
      </w:r>
      <w:r>
        <w:t>ersus eight</w:t>
      </w:r>
      <w:r w:rsidR="001B2848" w:rsidRPr="008169ED">
        <w:t xml:space="preserve"> (9.8%) for Neulasta; </w:t>
      </w:r>
      <w:r w:rsidR="00F24C2F">
        <w:t xml:space="preserve">and for </w:t>
      </w:r>
      <w:r w:rsidR="001B2848" w:rsidRPr="008169ED">
        <w:t xml:space="preserve">severe </w:t>
      </w:r>
      <w:r w:rsidR="00F24C2F">
        <w:t xml:space="preserve">thrombocytopenia, </w:t>
      </w:r>
      <w:r w:rsidR="001B2848" w:rsidRPr="008169ED">
        <w:t>3.6% v</w:t>
      </w:r>
      <w:r>
        <w:t>ersus</w:t>
      </w:r>
      <w:r w:rsidR="001B2848" w:rsidRPr="008169ED">
        <w:t xml:space="preserve"> 1.2%.</w:t>
      </w:r>
    </w:p>
    <w:p w14:paraId="18796A69" w14:textId="32F03BD4" w:rsidR="001B2848" w:rsidRDefault="008169ED" w:rsidP="008169ED">
      <w:pPr>
        <w:pStyle w:val="ListBullet"/>
      </w:pPr>
      <w:r>
        <w:t>I</w:t>
      </w:r>
      <w:r w:rsidR="001B2848" w:rsidRPr="008169ED">
        <w:t xml:space="preserve">njection site reaction was reported in 22 (13.3%) subjects in the USV </w:t>
      </w:r>
      <w:r>
        <w:t>p</w:t>
      </w:r>
      <w:r w:rsidR="001B2848" w:rsidRPr="008169ED">
        <w:t>egfilgrastim treatment arm v</w:t>
      </w:r>
      <w:r>
        <w:t>ersus eight</w:t>
      </w:r>
      <w:r w:rsidR="001B2848" w:rsidRPr="008169ED">
        <w:t xml:space="preserve"> (9.8%) in the Neulasta treatment arm. Most of the reported reactions were mild and there were no severe </w:t>
      </w:r>
      <w:r>
        <w:t>injection site reactions</w:t>
      </w:r>
      <w:r w:rsidR="001B2848" w:rsidRPr="008169ED">
        <w:t xml:space="preserve">. None of the subjects discontinued the study due to an </w:t>
      </w:r>
      <w:r>
        <w:t>injection site reaction.</w:t>
      </w:r>
    </w:p>
    <w:p w14:paraId="04F4101F" w14:textId="1162E70C" w:rsidR="001B2848" w:rsidRDefault="001B2848" w:rsidP="008169ED">
      <w:r w:rsidRPr="008169ED">
        <w:t xml:space="preserve">Overall frequencies for bone pain </w:t>
      </w:r>
      <w:r w:rsidR="008169ED">
        <w:t>adverse events</w:t>
      </w:r>
      <w:r w:rsidRPr="008169ED">
        <w:t xml:space="preserve"> are shown</w:t>
      </w:r>
      <w:r w:rsidR="008169ED">
        <w:t xml:space="preserve"> in </w:t>
      </w:r>
      <w:r w:rsidR="008169ED">
        <w:rPr>
          <w:highlight w:val="yellow"/>
        </w:rPr>
        <w:fldChar w:fldCharType="begin"/>
      </w:r>
      <w:r w:rsidR="008169ED">
        <w:instrText xml:space="preserve"> REF _Ref133228508 \h </w:instrText>
      </w:r>
      <w:r w:rsidR="008169ED">
        <w:rPr>
          <w:highlight w:val="yellow"/>
        </w:rPr>
      </w:r>
      <w:r w:rsidR="008169ED">
        <w:rPr>
          <w:highlight w:val="yellow"/>
        </w:rPr>
        <w:fldChar w:fldCharType="separate"/>
      </w:r>
      <w:r w:rsidR="00410780">
        <w:t xml:space="preserve">Table </w:t>
      </w:r>
      <w:r w:rsidR="00410780">
        <w:rPr>
          <w:noProof/>
        </w:rPr>
        <w:t>17</w:t>
      </w:r>
      <w:r w:rsidR="008169ED">
        <w:rPr>
          <w:highlight w:val="yellow"/>
        </w:rPr>
        <w:fldChar w:fldCharType="end"/>
      </w:r>
      <w:r w:rsidRPr="008169ED">
        <w:t xml:space="preserve"> below:</w:t>
      </w:r>
    </w:p>
    <w:p w14:paraId="1EA36237" w14:textId="4BBCE658" w:rsidR="008169ED" w:rsidRPr="008169ED" w:rsidRDefault="008169ED" w:rsidP="008169ED">
      <w:pPr>
        <w:pStyle w:val="TableTitle0"/>
      </w:pPr>
      <w:bookmarkStart w:id="62" w:name="_Ref133228508"/>
      <w:r>
        <w:lastRenderedPageBreak/>
        <w:t xml:space="preserve">Table </w:t>
      </w:r>
      <w:r w:rsidR="00C171EF">
        <w:fldChar w:fldCharType="begin"/>
      </w:r>
      <w:r w:rsidR="00C171EF">
        <w:instrText xml:space="preserve"> SEQ Table \* ARABIC </w:instrText>
      </w:r>
      <w:r w:rsidR="00C171EF">
        <w:fldChar w:fldCharType="separate"/>
      </w:r>
      <w:r w:rsidR="00410780">
        <w:rPr>
          <w:noProof/>
        </w:rPr>
        <w:t>17</w:t>
      </w:r>
      <w:r w:rsidR="00C171EF">
        <w:rPr>
          <w:noProof/>
        </w:rPr>
        <w:fldChar w:fldCharType="end"/>
      </w:r>
      <w:bookmarkEnd w:id="62"/>
      <w:r>
        <w:t xml:space="preserve">: </w:t>
      </w:r>
      <w:r w:rsidR="00F24C2F">
        <w:t xml:space="preserve">Study PEGF/USV/P3/003 </w:t>
      </w:r>
      <w:r>
        <w:t>Frequency of investigational medicinal product and comparator related bone pains by severity and location</w:t>
      </w:r>
    </w:p>
    <w:p w14:paraId="221B1DCD" w14:textId="77777777" w:rsidR="001B2848" w:rsidRDefault="001B2848" w:rsidP="008169ED">
      <w:r w:rsidRPr="008169ED">
        <w:rPr>
          <w:noProof/>
          <w:lang w:val="en-GB" w:eastAsia="en-GB"/>
        </w:rPr>
        <w:drawing>
          <wp:inline distT="0" distB="0" distL="0" distR="0" wp14:anchorId="192674B6" wp14:editId="69D76C47">
            <wp:extent cx="5035550" cy="1990501"/>
            <wp:effectExtent l="0" t="0" r="0" b="0"/>
            <wp:docPr id="37" name="Picture 37" descr="Study PEGF/USV/P3/003 Frequency of investigational medicinal product and comparator related bone pains by severity and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tudy PEGF/USV/P3/003 Frequency of investigational medicinal product and comparator related bone pains by severity and location"/>
                    <pic:cNvPicPr/>
                  </pic:nvPicPr>
                  <pic:blipFill rotWithShape="1">
                    <a:blip r:embed="rId45"/>
                    <a:srcRect l="1122" t="2699"/>
                    <a:stretch/>
                  </pic:blipFill>
                  <pic:spPr bwMode="auto">
                    <a:xfrm>
                      <a:off x="0" y="0"/>
                      <a:ext cx="5059544" cy="1999985"/>
                    </a:xfrm>
                    <a:prstGeom prst="rect">
                      <a:avLst/>
                    </a:prstGeom>
                    <a:ln>
                      <a:noFill/>
                    </a:ln>
                    <a:extLst>
                      <a:ext uri="{53640926-AAD7-44D8-BBD7-CCE9431645EC}">
                        <a14:shadowObscured xmlns:a14="http://schemas.microsoft.com/office/drawing/2010/main"/>
                      </a:ext>
                    </a:extLst>
                  </pic:spPr>
                </pic:pic>
              </a:graphicData>
            </a:graphic>
          </wp:inline>
        </w:drawing>
      </w:r>
    </w:p>
    <w:p w14:paraId="6252EC86" w14:textId="4005CC5D" w:rsidR="008169ED" w:rsidRDefault="008169ED" w:rsidP="008169ED">
      <w:pPr>
        <w:pStyle w:val="Tabledescription"/>
      </w:pPr>
      <w:r>
        <w:t>Abbreviations: CI = confidence interval, AEs = adverse events</w:t>
      </w:r>
    </w:p>
    <w:p w14:paraId="3F293496" w14:textId="2CE82EAA" w:rsidR="008169ED" w:rsidRPr="008169ED" w:rsidRDefault="008169ED" w:rsidP="008169ED">
      <w:pPr>
        <w:pStyle w:val="Tabledescription"/>
      </w:pPr>
      <w:r w:rsidRPr="008169ED">
        <w:t>Each subject can be counted more times, for each level of intensity and each location.</w:t>
      </w:r>
    </w:p>
    <w:p w14:paraId="0552FF38" w14:textId="2AD332F0" w:rsidR="001B2848" w:rsidRPr="008169ED" w:rsidRDefault="008169ED" w:rsidP="008169ED">
      <w:pPr>
        <w:pStyle w:val="Tabledescription"/>
      </w:pPr>
      <w:r w:rsidRPr="008169ED">
        <w:t>The denominator for percentages was the number of subjects in the safety analysis set, in the respective treatment arm</w:t>
      </w:r>
      <w:r>
        <w:t>.</w:t>
      </w:r>
    </w:p>
    <w:p w14:paraId="46C9F1B0" w14:textId="76A42B06" w:rsidR="001B2848" w:rsidRPr="008169ED" w:rsidRDefault="001B2848" w:rsidP="008169ED">
      <w:r w:rsidRPr="008169ED">
        <w:t>None of the serious</w:t>
      </w:r>
      <w:r w:rsidR="008169ED">
        <w:t xml:space="preserve"> treatment-emergent adverse events</w:t>
      </w:r>
      <w:r w:rsidRPr="008169ED">
        <w:t xml:space="preserve"> reported during treatment period were assessed as related to </w:t>
      </w:r>
      <w:r w:rsidR="00F24C2F">
        <w:t xml:space="preserve">USV pegfilgrastim </w:t>
      </w:r>
      <w:r w:rsidR="008169ED">
        <w:t xml:space="preserve">or </w:t>
      </w:r>
      <w:r w:rsidR="00F24C2F">
        <w:t>comparator (EU-sourced Neulasta)</w:t>
      </w:r>
      <w:r w:rsidRPr="008169ED">
        <w:t>.</w:t>
      </w:r>
    </w:p>
    <w:p w14:paraId="4C49C820" w14:textId="25904DE4" w:rsidR="001B2848" w:rsidRPr="008169ED" w:rsidRDefault="001B2848" w:rsidP="008169ED">
      <w:r w:rsidRPr="008169ED">
        <w:t>Three subjects withdrew from</w:t>
      </w:r>
      <w:r w:rsidR="00707353">
        <w:t xml:space="preserve"> the</w:t>
      </w:r>
      <w:r w:rsidRPr="008169ED">
        <w:t xml:space="preserve"> study, all in the USV pegfilgrastim arm; </w:t>
      </w:r>
      <w:r w:rsidR="008169ED">
        <w:t>adverse events</w:t>
      </w:r>
      <w:r w:rsidRPr="008169ED">
        <w:t xml:space="preserve"> were all considered to be unrelated to study drug (one had </w:t>
      </w:r>
      <w:r w:rsidR="008169ED">
        <w:t>acute respiratory distress syndrome</w:t>
      </w:r>
      <w:r w:rsidRPr="008169ED">
        <w:t>, one had severe diarrhoea and</w:t>
      </w:r>
      <w:r w:rsidR="008169ED">
        <w:t xml:space="preserve"> one</w:t>
      </w:r>
      <w:r w:rsidRPr="008169ED">
        <w:t xml:space="preserve"> had moderate herpes zoster).</w:t>
      </w:r>
    </w:p>
    <w:p w14:paraId="458F4FA3" w14:textId="6EE552DD" w:rsidR="001B2848" w:rsidRPr="008169ED" w:rsidRDefault="001B2848" w:rsidP="008169ED">
      <w:r w:rsidRPr="008169ED">
        <w:t xml:space="preserve">In </w:t>
      </w:r>
      <w:r w:rsidR="008169ED" w:rsidRPr="008169ED">
        <w:t>the s</w:t>
      </w:r>
      <w:r w:rsidRPr="008169ED">
        <w:t xml:space="preserve">afety </w:t>
      </w:r>
      <w:r w:rsidR="008169ED" w:rsidRPr="008169ED">
        <w:t>f</w:t>
      </w:r>
      <w:r w:rsidRPr="008169ED">
        <w:t>ollow</w:t>
      </w:r>
      <w:r w:rsidR="008169ED" w:rsidRPr="008169ED">
        <w:t xml:space="preserve"> </w:t>
      </w:r>
      <w:r w:rsidRPr="008169ED">
        <w:t xml:space="preserve">up </w:t>
      </w:r>
      <w:r w:rsidR="008169ED" w:rsidRPr="008169ED">
        <w:t>p</w:t>
      </w:r>
      <w:r w:rsidRPr="008169ED">
        <w:t xml:space="preserve">eriod, </w:t>
      </w:r>
      <w:r w:rsidR="008169ED" w:rsidRPr="008169ED">
        <w:t>five treatment-emergent adverse events</w:t>
      </w:r>
      <w:r w:rsidRPr="008169ED">
        <w:t xml:space="preserve"> </w:t>
      </w:r>
      <w:r w:rsidR="008169ED" w:rsidRPr="008169ED">
        <w:t>were</w:t>
      </w:r>
      <w:r w:rsidRPr="008169ED">
        <w:t xml:space="preserve"> reported by </w:t>
      </w:r>
      <w:r w:rsidR="008169ED" w:rsidRPr="008169ED">
        <w:t>three</w:t>
      </w:r>
      <w:r w:rsidR="00F24C2F">
        <w:t> </w:t>
      </w:r>
      <w:r w:rsidRPr="008169ED">
        <w:t>subjects, all in the USV pegfilgrastim arm</w:t>
      </w:r>
      <w:r w:rsidR="008169ED" w:rsidRPr="008169ED">
        <w:t>. Three</w:t>
      </w:r>
      <w:r w:rsidRPr="008169ED">
        <w:t xml:space="preserve"> were assessed as moderate (ALT increased, AST increased, metastases to central nervous system) and </w:t>
      </w:r>
      <w:r w:rsidR="008169ED" w:rsidRPr="008169ED">
        <w:t>two</w:t>
      </w:r>
      <w:r w:rsidRPr="008169ED">
        <w:t xml:space="preserve"> as severe (peripheral T-cell lymphoma unspecified and skin disorder); none of these events were assessed as related to the </w:t>
      </w:r>
      <w:r w:rsidR="00F24C2F">
        <w:t xml:space="preserve">USV pegfilgrastim </w:t>
      </w:r>
      <w:r w:rsidRPr="008169ED">
        <w:t>treatment.</w:t>
      </w:r>
    </w:p>
    <w:p w14:paraId="25EEFC27" w14:textId="77777777" w:rsidR="001B2848" w:rsidRPr="008169ED" w:rsidRDefault="001B2848" w:rsidP="008169ED">
      <w:pPr>
        <w:pStyle w:val="Heading5"/>
      </w:pPr>
      <w:r w:rsidRPr="008169ED">
        <w:t>Summary of safety</w:t>
      </w:r>
    </w:p>
    <w:p w14:paraId="7338CCCD" w14:textId="5E9E8FBE" w:rsidR="001B2848" w:rsidRPr="008169ED" w:rsidRDefault="001B2848" w:rsidP="008169ED">
      <w:r w:rsidRPr="008169ED">
        <w:t xml:space="preserve">Overall, USV </w:t>
      </w:r>
      <w:r w:rsidR="008169ED" w:rsidRPr="008169ED">
        <w:t>p</w:t>
      </w:r>
      <w:r w:rsidRPr="008169ED">
        <w:t xml:space="preserve">egfilgrastim demonstrates a safety profile </w:t>
      </w:r>
      <w:proofErr w:type="gramStart"/>
      <w:r w:rsidRPr="008169ED">
        <w:t>similar to</w:t>
      </w:r>
      <w:proofErr w:type="gramEnd"/>
      <w:r w:rsidRPr="008169ED">
        <w:t xml:space="preserve"> th</w:t>
      </w:r>
      <w:r w:rsidR="008169ED" w:rsidRPr="008169ED">
        <w:t>e</w:t>
      </w:r>
      <w:r w:rsidRPr="008169ED">
        <w:t xml:space="preserve"> documented safety profile for commercially available EU</w:t>
      </w:r>
      <w:r w:rsidR="00F24C2F">
        <w:t>-sourced</w:t>
      </w:r>
      <w:r w:rsidRPr="008169ED">
        <w:t xml:space="preserve"> Neulasta, as outlined in the EU </w:t>
      </w:r>
      <w:r w:rsidR="008169ED" w:rsidRPr="008169ED">
        <w:t>Summary of Product Characteristics (SmPC)</w:t>
      </w:r>
      <w:r w:rsidRPr="008169ED">
        <w:t>.</w:t>
      </w:r>
      <w:r w:rsidR="00F24C2F">
        <w:rPr>
          <w:rStyle w:val="FootnoteReference"/>
        </w:rPr>
        <w:footnoteReference w:id="17"/>
      </w:r>
    </w:p>
    <w:p w14:paraId="6515D38D" w14:textId="2BE68000" w:rsidR="001B2848" w:rsidRPr="00577F9A" w:rsidRDefault="001B2848" w:rsidP="00410780">
      <w:pPr>
        <w:pStyle w:val="Heading5"/>
      </w:pPr>
      <w:r w:rsidRPr="00577F9A">
        <w:t>Immunogenicity</w:t>
      </w:r>
    </w:p>
    <w:p w14:paraId="1161A476" w14:textId="234BE048" w:rsidR="001B2848" w:rsidRPr="008169ED" w:rsidRDefault="001B2848" w:rsidP="008169ED">
      <w:r w:rsidRPr="008169ED">
        <w:t>Anti</w:t>
      </w:r>
      <w:r w:rsidR="0075290A">
        <w:t>-</w:t>
      </w:r>
      <w:r w:rsidRPr="008169ED">
        <w:t>drug an</w:t>
      </w:r>
      <w:r w:rsidRPr="00707353">
        <w:t>tibodies (ADA) were</w:t>
      </w:r>
      <w:r w:rsidRPr="008169ED">
        <w:t xml:space="preserve"> evaluated as part of immunogenicity assessment in all three comparability studies; the </w:t>
      </w:r>
      <w:r w:rsidR="008169ED" w:rsidRPr="008169ED">
        <w:t>s</w:t>
      </w:r>
      <w:r w:rsidRPr="008169ED">
        <w:t>ponsor stated that a multi-tier approach of validated screening assays, confirmatory assays, endpoint titre determination assay and neutralisation assay for pegfilgrastim antibodies was followed.</w:t>
      </w:r>
    </w:p>
    <w:p w14:paraId="69EF0D58" w14:textId="77777777" w:rsidR="001B2848" w:rsidRPr="008169ED" w:rsidRDefault="001B2848" w:rsidP="008169ED">
      <w:pPr>
        <w:pStyle w:val="ListBullet"/>
      </w:pPr>
      <w:r w:rsidRPr="008169ED">
        <w:t>In Study PEGF/USV/P1/001, all screening assay results for the presence of ADA were either negative, or if positive, were subsequently confirmed as negative in the endpoint titre assay.</w:t>
      </w:r>
    </w:p>
    <w:p w14:paraId="12DFD7F1" w14:textId="13393982" w:rsidR="001B2848" w:rsidRPr="008169ED" w:rsidRDefault="001B2848" w:rsidP="008169ED">
      <w:pPr>
        <w:pStyle w:val="ListBullet"/>
      </w:pPr>
      <w:r w:rsidRPr="008169ED">
        <w:t xml:space="preserve">In Study PEGF/USV/P1/003, three (10%) subjects randomised to Sequence AB (USV </w:t>
      </w:r>
      <w:r w:rsidR="008169ED">
        <w:t>p</w:t>
      </w:r>
      <w:r w:rsidRPr="008169ED">
        <w:t xml:space="preserve">egfilgrastim in </w:t>
      </w:r>
      <w:r w:rsidR="008169ED">
        <w:t>P</w:t>
      </w:r>
      <w:r w:rsidRPr="008169ED">
        <w:t xml:space="preserve">eriod 1 followed by Neulasta in </w:t>
      </w:r>
      <w:r w:rsidR="008169ED">
        <w:t>P</w:t>
      </w:r>
      <w:r w:rsidRPr="008169ED">
        <w:t xml:space="preserve">eriod 2) had a positive confirmatory assay result for </w:t>
      </w:r>
      <w:r w:rsidR="008169ED">
        <w:t>p</w:t>
      </w:r>
      <w:r w:rsidRPr="008169ED">
        <w:t xml:space="preserve">egfilgrastim ADA post-dose in </w:t>
      </w:r>
      <w:r w:rsidR="008169ED">
        <w:t>P</w:t>
      </w:r>
      <w:r w:rsidRPr="008169ED">
        <w:t xml:space="preserve">eriod 1. In </w:t>
      </w:r>
      <w:r w:rsidR="008169ED">
        <w:t>two</w:t>
      </w:r>
      <w:r w:rsidRPr="008169ED">
        <w:t xml:space="preserve"> of these subjects, a positive result was also observed post-dose in </w:t>
      </w:r>
      <w:r w:rsidR="008169ED">
        <w:t>P</w:t>
      </w:r>
      <w:r w:rsidRPr="008169ED">
        <w:t xml:space="preserve">eriod 2. However, for all </w:t>
      </w:r>
      <w:r w:rsidR="008169ED">
        <w:t xml:space="preserve">three </w:t>
      </w:r>
      <w:r w:rsidRPr="008169ED">
        <w:t xml:space="preserve">subjects, the neutralising </w:t>
      </w:r>
      <w:r w:rsidRPr="008169ED">
        <w:lastRenderedPageBreak/>
        <w:t xml:space="preserve">antibody assays were negative, and the positive immune response had no notable impact on their PK, </w:t>
      </w:r>
      <w:proofErr w:type="gramStart"/>
      <w:r w:rsidRPr="008169ED">
        <w:t>PD</w:t>
      </w:r>
      <w:proofErr w:type="gramEnd"/>
      <w:r w:rsidRPr="008169ED">
        <w:t xml:space="preserve"> or safety profiles.</w:t>
      </w:r>
    </w:p>
    <w:p w14:paraId="306BEC67" w14:textId="23F7C9F9" w:rsidR="001B2848" w:rsidRDefault="001B2848" w:rsidP="008169ED">
      <w:pPr>
        <w:pStyle w:val="ListBullet"/>
      </w:pPr>
      <w:r w:rsidRPr="008169ED">
        <w:t>In Study PEGF/USV/P3/003, 25 out of 951 samples screened positive for ADA (anti-</w:t>
      </w:r>
      <w:r w:rsidR="008169ED">
        <w:t>p</w:t>
      </w:r>
      <w:r w:rsidRPr="008169ED">
        <w:t xml:space="preserve">egfilgrastim antibody method); in the confirmatory assay, </w:t>
      </w:r>
      <w:r w:rsidR="008169ED">
        <w:t>two</w:t>
      </w:r>
      <w:r w:rsidRPr="008169ED">
        <w:t xml:space="preserve"> from 949 samples from randomised patients were confirmed positive. One was a pre-dose sample (and all results at C</w:t>
      </w:r>
      <w:r w:rsidR="008169ED">
        <w:t xml:space="preserve">ycle </w:t>
      </w:r>
      <w:r w:rsidRPr="008169ED">
        <w:t>4</w:t>
      </w:r>
      <w:r w:rsidR="008169ED">
        <w:t xml:space="preserve"> </w:t>
      </w:r>
      <w:r w:rsidRPr="008169ED">
        <w:t>D</w:t>
      </w:r>
      <w:r w:rsidR="008169ED">
        <w:t xml:space="preserve">ay </w:t>
      </w:r>
      <w:r w:rsidRPr="008169ED">
        <w:t xml:space="preserve">3, end of treatment visit, and </w:t>
      </w:r>
      <w:r w:rsidR="008169ED">
        <w:t>s</w:t>
      </w:r>
      <w:r w:rsidRPr="008169ED">
        <w:t xml:space="preserve">tudy </w:t>
      </w:r>
      <w:r w:rsidR="008169ED">
        <w:t>t</w:t>
      </w:r>
      <w:r w:rsidRPr="008169ED">
        <w:t xml:space="preserve">ermination </w:t>
      </w:r>
      <w:r w:rsidR="008169ED">
        <w:t>v</w:t>
      </w:r>
      <w:r w:rsidRPr="008169ED">
        <w:t>isit were negative) and was not characterised further. The other confirmed ADA positive test was at the end of treatment visit (</w:t>
      </w:r>
      <w:r w:rsidR="008169ED">
        <w:t>C</w:t>
      </w:r>
      <w:r w:rsidRPr="008169ED">
        <w:t>ycle 4), following negative test at Cycle</w:t>
      </w:r>
      <w:r w:rsidR="008169ED">
        <w:t xml:space="preserve"> </w:t>
      </w:r>
      <w:r w:rsidRPr="008169ED">
        <w:t xml:space="preserve">4 Day 3. This was also positive in the </w:t>
      </w:r>
      <w:r w:rsidR="008169ED">
        <w:t xml:space="preserve">neutralising antibody </w:t>
      </w:r>
      <w:r w:rsidRPr="008169ED">
        <w:t xml:space="preserve">assay, both showing low titres of 2 on further testing. The subject received USV pegfilgrastim in this study; the ADA was considered to have developed from </w:t>
      </w:r>
      <w:r w:rsidR="008169ED" w:rsidRPr="00707353">
        <w:t>C</w:t>
      </w:r>
      <w:r w:rsidRPr="00707353">
        <w:t xml:space="preserve">ycle 4 onwards. Of note, </w:t>
      </w:r>
      <w:r w:rsidR="00F24C2F">
        <w:t>duration of severe neutropenia</w:t>
      </w:r>
      <w:r w:rsidR="00F24C2F" w:rsidRPr="00707353">
        <w:t xml:space="preserve"> </w:t>
      </w:r>
      <w:r w:rsidRPr="00707353">
        <w:t xml:space="preserve">was </w:t>
      </w:r>
      <w:r w:rsidR="008169ED" w:rsidRPr="00707353">
        <w:t>six</w:t>
      </w:r>
      <w:r w:rsidRPr="00707353">
        <w:t xml:space="preserve"> days</w:t>
      </w:r>
      <w:r w:rsidRPr="008169ED">
        <w:t xml:space="preserve"> from </w:t>
      </w:r>
      <w:r w:rsidR="008169ED">
        <w:t>C</w:t>
      </w:r>
      <w:r w:rsidRPr="008169ED">
        <w:t xml:space="preserve">ycle 4 compared to 3 or 4 days in </w:t>
      </w:r>
      <w:r w:rsidR="008169ED">
        <w:t>C</w:t>
      </w:r>
      <w:r w:rsidRPr="008169ED">
        <w:t>ycles 1</w:t>
      </w:r>
      <w:r w:rsidR="008169ED">
        <w:t xml:space="preserve"> to </w:t>
      </w:r>
      <w:r w:rsidRPr="008169ED">
        <w:t>3</w:t>
      </w:r>
      <w:r w:rsidR="008169ED">
        <w:t>.</w:t>
      </w:r>
    </w:p>
    <w:p w14:paraId="4681B24E" w14:textId="1EE6CC53" w:rsidR="008169ED" w:rsidRPr="008169ED" w:rsidRDefault="008169ED" w:rsidP="008169ED">
      <w:pPr>
        <w:pStyle w:val="TableTitle0"/>
      </w:pPr>
      <w:r>
        <w:t xml:space="preserve">Table </w:t>
      </w:r>
      <w:r w:rsidR="00C171EF">
        <w:fldChar w:fldCharType="begin"/>
      </w:r>
      <w:r w:rsidR="00C171EF">
        <w:instrText xml:space="preserve"> SEQ Table \* ARABIC </w:instrText>
      </w:r>
      <w:r w:rsidR="00C171EF">
        <w:fldChar w:fldCharType="separate"/>
      </w:r>
      <w:r w:rsidR="00410780">
        <w:rPr>
          <w:noProof/>
        </w:rPr>
        <w:t>18</w:t>
      </w:r>
      <w:r w:rsidR="00C171EF">
        <w:rPr>
          <w:noProof/>
        </w:rPr>
        <w:fldChar w:fldCharType="end"/>
      </w:r>
      <w:r>
        <w:t xml:space="preserve">: </w:t>
      </w:r>
      <w:r w:rsidR="002D376C">
        <w:t xml:space="preserve">Study PEGF/USV/P3/003 </w:t>
      </w:r>
      <w:r>
        <w:t xml:space="preserve">Efficacy data </w:t>
      </w:r>
      <w:r w:rsidR="002D376C">
        <w:t>(absolute neutrophil count) in a single subject with</w:t>
      </w:r>
      <w:r>
        <w:t xml:space="preserve"> neutralising antibody assay positive </w:t>
      </w:r>
      <w:r w:rsidR="002D376C">
        <w:t>test</w:t>
      </w:r>
    </w:p>
    <w:p w14:paraId="3758F992" w14:textId="1F1CF474" w:rsidR="001B2848" w:rsidRDefault="001B2848" w:rsidP="001B2848">
      <w:r>
        <w:rPr>
          <w:noProof/>
          <w:lang w:val="en-GB" w:eastAsia="en-GB"/>
        </w:rPr>
        <w:drawing>
          <wp:inline distT="0" distB="0" distL="0" distR="0" wp14:anchorId="15DEA89E" wp14:editId="759D7EE6">
            <wp:extent cx="5575176" cy="2990815"/>
            <wp:effectExtent l="0" t="0" r="6985" b="635"/>
            <wp:docPr id="41" name="Picture 41" descr="Study PEGF/USV/P3/003 Efficacy data (absolute neutrophil count) in a single subject with neutralising antibody assay positiv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tudy PEGF/USV/P3/003 Efficacy data (absolute neutrophil count) in a single subject with neutralising antibody assay positive test"/>
                    <pic:cNvPicPr/>
                  </pic:nvPicPr>
                  <pic:blipFill rotWithShape="1">
                    <a:blip r:embed="rId46"/>
                    <a:srcRect l="5129" t="8510"/>
                    <a:stretch/>
                  </pic:blipFill>
                  <pic:spPr bwMode="auto">
                    <a:xfrm>
                      <a:off x="0" y="0"/>
                      <a:ext cx="5620238" cy="3014989"/>
                    </a:xfrm>
                    <a:prstGeom prst="rect">
                      <a:avLst/>
                    </a:prstGeom>
                    <a:ln>
                      <a:noFill/>
                    </a:ln>
                    <a:extLst>
                      <a:ext uri="{53640926-AAD7-44D8-BBD7-CCE9431645EC}">
                        <a14:shadowObscured xmlns:a14="http://schemas.microsoft.com/office/drawing/2010/main"/>
                      </a:ext>
                    </a:extLst>
                  </pic:spPr>
                </pic:pic>
              </a:graphicData>
            </a:graphic>
          </wp:inline>
        </w:drawing>
      </w:r>
    </w:p>
    <w:p w14:paraId="34DADC16" w14:textId="1F629D12" w:rsidR="008169ED" w:rsidRDefault="008169ED" w:rsidP="008169ED">
      <w:pPr>
        <w:pStyle w:val="Tabledescription"/>
      </w:pPr>
      <w:r>
        <w:t>Abbreviations: ANC =</w:t>
      </w:r>
      <w:r w:rsidRPr="008169ED">
        <w:t xml:space="preserve"> </w:t>
      </w:r>
      <w:r>
        <w:t>a</w:t>
      </w:r>
      <w:r w:rsidRPr="008169ED">
        <w:t xml:space="preserve">bsolute </w:t>
      </w:r>
      <w:r>
        <w:t>n</w:t>
      </w:r>
      <w:r w:rsidRPr="008169ED">
        <w:t xml:space="preserve">eutrophil </w:t>
      </w:r>
      <w:r>
        <w:t>c</w:t>
      </w:r>
      <w:r w:rsidRPr="008169ED">
        <w:t>ount</w:t>
      </w:r>
      <w:r>
        <w:t>, D4 = Day 4, DSN =</w:t>
      </w:r>
      <w:r w:rsidRPr="008169ED">
        <w:t xml:space="preserve"> </w:t>
      </w:r>
      <w:r>
        <w:t>d</w:t>
      </w:r>
      <w:r w:rsidRPr="008169ED">
        <w:t xml:space="preserve">uration of </w:t>
      </w:r>
      <w:r>
        <w:t>s</w:t>
      </w:r>
      <w:r w:rsidRPr="008169ED">
        <w:t xml:space="preserve">evere </w:t>
      </w:r>
      <w:r>
        <w:t>n</w:t>
      </w:r>
      <w:r w:rsidRPr="008169ED">
        <w:t>eutropenia</w:t>
      </w:r>
      <w:r>
        <w:t>, SN =</w:t>
      </w:r>
      <w:r w:rsidRPr="008169ED">
        <w:t xml:space="preserve"> </w:t>
      </w:r>
      <w:r>
        <w:t>s</w:t>
      </w:r>
      <w:r w:rsidRPr="008169ED">
        <w:t xml:space="preserve">evere </w:t>
      </w:r>
      <w:r>
        <w:t>n</w:t>
      </w:r>
      <w:r w:rsidRPr="008169ED">
        <w:t>eutropenia</w:t>
      </w:r>
      <w:r w:rsidR="002D376C">
        <w:t>;</w:t>
      </w:r>
      <w:r>
        <w:t xml:space="preserve"> TAC</w:t>
      </w:r>
      <w:r w:rsidR="002D376C">
        <w:t xml:space="preserve"> (</w:t>
      </w:r>
      <w:r w:rsidR="002D376C" w:rsidRPr="002D376C">
        <w:t>regimen</w:t>
      </w:r>
      <w:r w:rsidR="002D376C">
        <w:t>) =</w:t>
      </w:r>
      <w:r w:rsidR="002D376C" w:rsidRPr="002D376C">
        <w:t xml:space="preserve"> six chemotherapy cycles with docetaxel in combination with doxorubicin and cyclophosphamide</w:t>
      </w:r>
      <w:r>
        <w:t xml:space="preserve"> </w:t>
      </w:r>
    </w:p>
    <w:p w14:paraId="6B6B1AD2" w14:textId="12D95820" w:rsidR="001B2848" w:rsidRPr="008169ED" w:rsidRDefault="001B2848" w:rsidP="008169ED">
      <w:r w:rsidRPr="008169ED">
        <w:t xml:space="preserve">The </w:t>
      </w:r>
      <w:r w:rsidR="008169ED">
        <w:t>s</w:t>
      </w:r>
      <w:r w:rsidRPr="008169ED">
        <w:t xml:space="preserve">ponsor states that the neutralising antibody that developed in this subject in the Filpegla arm was transient in nature, with a low titre, and that the development of the </w:t>
      </w:r>
      <w:r w:rsidR="008169ED">
        <w:t>neutralising antibody</w:t>
      </w:r>
      <w:r w:rsidRPr="008169ED">
        <w:t xml:space="preserve"> did not cause adverse events or reduce clinical response.</w:t>
      </w:r>
      <w:r w:rsidR="008169ED">
        <w:t xml:space="preserve"> </w:t>
      </w:r>
      <w:r w:rsidRPr="008169ED">
        <w:t xml:space="preserve">At </w:t>
      </w:r>
      <w:r w:rsidR="008169ED">
        <w:t>s</w:t>
      </w:r>
      <w:r w:rsidRPr="008169ED">
        <w:t xml:space="preserve">tudy </w:t>
      </w:r>
      <w:r w:rsidR="008169ED">
        <w:t>t</w:t>
      </w:r>
      <w:r w:rsidRPr="008169ED">
        <w:t xml:space="preserve">ermination </w:t>
      </w:r>
      <w:r w:rsidR="008169ED">
        <w:t>v</w:t>
      </w:r>
      <w:r w:rsidRPr="008169ED">
        <w:t>isit, ant</w:t>
      </w:r>
      <w:r w:rsidR="00707353">
        <w:t>i</w:t>
      </w:r>
      <w:r w:rsidRPr="008169ED">
        <w:t xml:space="preserve">drug antibodies were undetectable. The </w:t>
      </w:r>
      <w:r w:rsidR="008169ED">
        <w:t xml:space="preserve">clinical study report </w:t>
      </w:r>
      <w:r w:rsidRPr="008169ED">
        <w:t>states that this isolated case was not considered significant.</w:t>
      </w:r>
    </w:p>
    <w:p w14:paraId="06F0E0C1" w14:textId="52F9F245" w:rsidR="001B2848" w:rsidRPr="008169ED" w:rsidRDefault="001B2848" w:rsidP="008169ED">
      <w:r w:rsidRPr="008169ED">
        <w:t xml:space="preserve">In this subject, the main concern relating to the development of neutralising ADAs (likely against the G-CSF moiety) during </w:t>
      </w:r>
      <w:r w:rsidR="008169ED">
        <w:t>C</w:t>
      </w:r>
      <w:r w:rsidRPr="008169ED">
        <w:t>ycle 4 is that it appears to have prolonged the duration of severe neutropenia in the last chemotherapy cycles. However, this finding occurs in the context of an overall low incidence of ADA development in the three comparability studies; the impact of this single finding is therefore unlikely to preclude a conclusion of comparable immunogenicity profile of Filpegla and Neulasta.</w:t>
      </w:r>
    </w:p>
    <w:p w14:paraId="2858B006" w14:textId="10024BE7" w:rsidR="00C22214" w:rsidRDefault="00C22214" w:rsidP="00C22214">
      <w:pPr>
        <w:pStyle w:val="Heading3"/>
        <w:rPr>
          <w:lang w:eastAsia="en-AU"/>
        </w:rPr>
      </w:pPr>
      <w:bookmarkStart w:id="63" w:name="_Toc314842514"/>
      <w:bookmarkStart w:id="64" w:name="_Toc103679298"/>
      <w:bookmarkStart w:id="65" w:name="_Toc135296228"/>
      <w:r>
        <w:rPr>
          <w:lang w:eastAsia="en-AU"/>
        </w:rPr>
        <w:t>Risk management plan</w:t>
      </w:r>
      <w:bookmarkEnd w:id="63"/>
      <w:bookmarkEnd w:id="64"/>
      <w:bookmarkEnd w:id="65"/>
    </w:p>
    <w:p w14:paraId="0908AE06" w14:textId="77777777" w:rsidR="00FA1BC9" w:rsidRDefault="00FA1BC9" w:rsidP="00FA1BC9">
      <w:bookmarkStart w:id="66" w:name="_Toc247691531"/>
      <w:bookmarkStart w:id="67" w:name="_Toc314842515"/>
      <w:bookmarkStart w:id="68" w:name="_Toc103679299"/>
      <w:r>
        <w:t>The sponsor is required to comply with</w:t>
      </w:r>
      <w:r w:rsidRPr="008964B6">
        <w:t xml:space="preserve"> product vigilance and risk minimisation requirements</w:t>
      </w:r>
      <w:r>
        <w:t>.</w:t>
      </w:r>
    </w:p>
    <w:p w14:paraId="2D08CB50" w14:textId="17396099" w:rsidR="00FA1BC9" w:rsidRDefault="00FA1BC9" w:rsidP="00FA1BC9">
      <w:r>
        <w:lastRenderedPageBreak/>
        <w:t>The TGA decided a</w:t>
      </w:r>
      <w:r w:rsidR="00707353">
        <w:t xml:space="preserve"> risk management plan</w:t>
      </w:r>
      <w:r>
        <w:t xml:space="preserve"> </w:t>
      </w:r>
      <w:r w:rsidR="00707353">
        <w:t>(</w:t>
      </w:r>
      <w:r>
        <w:t>RMP</w:t>
      </w:r>
      <w:r w:rsidR="00707353">
        <w:t>)</w:t>
      </w:r>
      <w:r>
        <w:t xml:space="preserve"> was not required (see </w:t>
      </w:r>
      <w:hyperlink r:id="rId47" w:history="1">
        <w:r w:rsidRPr="00644C51">
          <w:rPr>
            <w:rStyle w:val="Hyperlink"/>
          </w:rPr>
          <w:t>TGA’s guidance</w:t>
        </w:r>
      </w:hyperlink>
      <w:r>
        <w:t xml:space="preserve"> on ‘when an RMP is required’)</w:t>
      </w:r>
      <w:r w:rsidR="008169ED">
        <w:t>.</w:t>
      </w:r>
    </w:p>
    <w:p w14:paraId="456C7934" w14:textId="5FBD327F" w:rsidR="00FA1BC9" w:rsidRDefault="00FA1BC9" w:rsidP="00FA1BC9">
      <w:r>
        <w:t>The TGA may request an updated RMP at any stage of a product's life</w:t>
      </w:r>
      <w:r w:rsidR="008169ED">
        <w:t xml:space="preserve"> </w:t>
      </w:r>
      <w:r>
        <w:t>cycle, during both the pre</w:t>
      </w:r>
      <w:r w:rsidR="008169ED">
        <w:noBreakHyphen/>
      </w:r>
      <w:r>
        <w:t>approval and post-approval phases.</w:t>
      </w:r>
      <w:r w:rsidRPr="005D2089">
        <w:t xml:space="preserve"> </w:t>
      </w:r>
      <w:r>
        <w:t xml:space="preserve">Further information regarding the TGA’s risk management approach can be found in </w:t>
      </w:r>
      <w:hyperlink r:id="rId48" w:history="1">
        <w:r w:rsidRPr="0023444E">
          <w:rPr>
            <w:rStyle w:val="Hyperlink"/>
          </w:rPr>
          <w:t>risk management plans for medicines and biologicals</w:t>
        </w:r>
      </w:hyperlink>
      <w:r>
        <w:t xml:space="preserve"> and </w:t>
      </w:r>
      <w:hyperlink r:id="rId49" w:history="1">
        <w:r w:rsidRPr="0023444E">
          <w:rPr>
            <w:rStyle w:val="Hyperlink"/>
          </w:rPr>
          <w:t>the TGA's risk management approach</w:t>
        </w:r>
      </w:hyperlink>
      <w:r>
        <w:t xml:space="preserve">. Information on the </w:t>
      </w:r>
      <w:hyperlink r:id="rId50" w:history="1">
        <w:r w:rsidRPr="008C49C6">
          <w:rPr>
            <w:rStyle w:val="Hyperlink"/>
          </w:rPr>
          <w:t>Australia specific annex</w:t>
        </w:r>
      </w:hyperlink>
      <w:r>
        <w:t xml:space="preserve"> (</w:t>
      </w:r>
      <w:hyperlink r:id="rId51" w:history="1">
        <w:r w:rsidRPr="008C49C6">
          <w:rPr>
            <w:rStyle w:val="Hyperlink"/>
          </w:rPr>
          <w:t>ASA</w:t>
        </w:r>
      </w:hyperlink>
      <w:r>
        <w:t>) can be found on the TGA website.</w:t>
      </w:r>
    </w:p>
    <w:p w14:paraId="7E1D7D56" w14:textId="01F0FCFD" w:rsidR="008169ED" w:rsidRPr="008169ED" w:rsidRDefault="008169ED" w:rsidP="008169ED">
      <w:r w:rsidRPr="008169ED">
        <w:t xml:space="preserve">The </w:t>
      </w:r>
      <w:r>
        <w:t>c</w:t>
      </w:r>
      <w:r w:rsidRPr="008169ED">
        <w:t xml:space="preserve">linical </w:t>
      </w:r>
      <w:r>
        <w:t>e</w:t>
      </w:r>
      <w:r w:rsidRPr="008169ED">
        <w:t>valuat</w:t>
      </w:r>
      <w:r>
        <w:t>ion</w:t>
      </w:r>
      <w:r w:rsidRPr="008169ED">
        <w:t xml:space="preserve"> requested the provision of post-marketing safety update reports for USV pegfilgrastim (which was approved in the EU in 2019) by the </w:t>
      </w:r>
      <w:r>
        <w:t>s</w:t>
      </w:r>
      <w:r w:rsidRPr="008169ED">
        <w:t xml:space="preserve">ponsor, as potential clinically significant differences between biosimilars may be detected in the post-market setting. A </w:t>
      </w:r>
      <w:r w:rsidR="002D376C">
        <w:t>periodic safety update report (</w:t>
      </w:r>
      <w:r w:rsidRPr="008169ED">
        <w:t>PSUR</w:t>
      </w:r>
      <w:r w:rsidR="002D376C">
        <w:t>)</w:t>
      </w:r>
      <w:r w:rsidRPr="008169ED">
        <w:t xml:space="preserve"> is due for submission in Europe in mid-2022 as per </w:t>
      </w:r>
      <w:r>
        <w:t xml:space="preserve">European Union reference dates </w:t>
      </w:r>
      <w:r w:rsidRPr="008169ED">
        <w:t xml:space="preserve">list, which the </w:t>
      </w:r>
      <w:r>
        <w:t>s</w:t>
      </w:r>
      <w:r w:rsidRPr="008169ED">
        <w:t xml:space="preserve">ponsor has agreed to also provide to TGA by when available. The </w:t>
      </w:r>
      <w:r>
        <w:t>D</w:t>
      </w:r>
      <w:r w:rsidRPr="008169ED">
        <w:t>elegate has therefore requested an RMP evaluation and review of relevant post-marketing PSURs</w:t>
      </w:r>
      <w:r w:rsidR="002D376C">
        <w:t>.</w:t>
      </w:r>
    </w:p>
    <w:p w14:paraId="74A4F87F" w14:textId="77777777" w:rsidR="00C22214" w:rsidRDefault="00C22214" w:rsidP="00C22214">
      <w:pPr>
        <w:pStyle w:val="Heading3"/>
      </w:pPr>
      <w:bookmarkStart w:id="69" w:name="_Toc135296229"/>
      <w:r>
        <w:t>Risk-benefit analysis</w:t>
      </w:r>
      <w:bookmarkEnd w:id="66"/>
      <w:bookmarkEnd w:id="67"/>
      <w:bookmarkEnd w:id="68"/>
      <w:bookmarkEnd w:id="69"/>
    </w:p>
    <w:p w14:paraId="77DE2655" w14:textId="77777777" w:rsidR="00C22214" w:rsidRDefault="00C22214" w:rsidP="00C22214">
      <w:pPr>
        <w:pStyle w:val="Heading4"/>
      </w:pPr>
      <w:bookmarkStart w:id="70" w:name="_Toc98931932"/>
      <w:bookmarkStart w:id="71" w:name="_Toc135296230"/>
      <w:r>
        <w:t>Delegate’s considerations</w:t>
      </w:r>
      <w:bookmarkEnd w:id="70"/>
      <w:bookmarkEnd w:id="71"/>
    </w:p>
    <w:p w14:paraId="11ED033C" w14:textId="36489CAA" w:rsidR="008169ED" w:rsidRPr="008169ED" w:rsidRDefault="008169ED" w:rsidP="008169ED">
      <w:r w:rsidRPr="008169ED">
        <w:t xml:space="preserve">The comparability exercise is based on </w:t>
      </w:r>
      <w:r>
        <w:t>q</w:t>
      </w:r>
      <w:r w:rsidRPr="008169ED">
        <w:t>uality data, nonclinical evaluation</w:t>
      </w:r>
      <w:r>
        <w:t xml:space="preserve">, </w:t>
      </w:r>
      <w:r w:rsidRPr="008169ED">
        <w:t xml:space="preserve">and clinical data from two </w:t>
      </w:r>
      <w:r>
        <w:t>pharmacokinetic and pharmacodynamic (PK/PD)</w:t>
      </w:r>
      <w:r w:rsidRPr="008169ED">
        <w:t xml:space="preserve"> trials (</w:t>
      </w:r>
      <w:r>
        <w:t xml:space="preserve">Study </w:t>
      </w:r>
      <w:r w:rsidRPr="008169ED">
        <w:t xml:space="preserve">PEGF/USV/P1/001 and </w:t>
      </w:r>
      <w:r>
        <w:t xml:space="preserve">Study </w:t>
      </w:r>
      <w:r w:rsidRPr="008169ED">
        <w:t>PEGF/USV/ P1/003) in healthy volunteers, and a supportive efficacy/safety study (PEGF/USV/P3/003) in patients with breast cancer undergoing a highly myelosuppressive chemotherapy regimen.</w:t>
      </w:r>
    </w:p>
    <w:p w14:paraId="4CA1C221" w14:textId="1526178E" w:rsidR="008169ED" w:rsidRPr="008169ED" w:rsidRDefault="008169ED" w:rsidP="008169ED">
      <w:pPr>
        <w:pStyle w:val="Heading5"/>
        <w:rPr>
          <w:rStyle w:val="Heading5Char"/>
        </w:rPr>
      </w:pPr>
      <w:r w:rsidRPr="008169ED">
        <w:t>Quality</w:t>
      </w:r>
    </w:p>
    <w:p w14:paraId="050D246B" w14:textId="43938FD8" w:rsidR="008169ED" w:rsidRPr="008169ED" w:rsidRDefault="008169ED" w:rsidP="008169ED">
      <w:r>
        <w:t>All outstanding quality issues were resolved prior to approval, and there are no quality objections to the registration of Filpegla.</w:t>
      </w:r>
    </w:p>
    <w:p w14:paraId="643ADD75" w14:textId="67BFC7A1" w:rsidR="008169ED" w:rsidRPr="008169ED" w:rsidRDefault="008169ED" w:rsidP="008169ED">
      <w:pPr>
        <w:pStyle w:val="Heading5"/>
      </w:pPr>
      <w:r w:rsidRPr="008169ED">
        <w:t>Nonclinical</w:t>
      </w:r>
    </w:p>
    <w:p w14:paraId="414EC15F" w14:textId="2ECCC4EB" w:rsidR="008169ED" w:rsidRPr="008169ED" w:rsidRDefault="008169ED" w:rsidP="008169ED">
      <w:r w:rsidRPr="008169ED">
        <w:t>Results of the comparative pharmacology, pharmacokinetic and toxicology studies were considered by the nonclinical evaluator to support biosimilarity of Filpegla and EU</w:t>
      </w:r>
      <w:r w:rsidR="002D376C">
        <w:noBreakHyphen/>
        <w:t>sourced</w:t>
      </w:r>
      <w:r>
        <w:t> </w:t>
      </w:r>
      <w:r w:rsidRPr="008169ED">
        <w:t>Neulasta. The ability of nonclinical studies to support comparability to Australian</w:t>
      </w:r>
      <w:r w:rsidR="002D376C">
        <w:noBreakHyphen/>
        <w:t xml:space="preserve">sourced </w:t>
      </w:r>
      <w:r w:rsidRPr="008169ED">
        <w:t xml:space="preserve">Neulasta depends on the conclusion of the </w:t>
      </w:r>
      <w:r w:rsidR="002D376C">
        <w:t xml:space="preserve">TGA’s </w:t>
      </w:r>
      <w:r>
        <w:t>quality</w:t>
      </w:r>
      <w:r w:rsidRPr="008169ED">
        <w:t xml:space="preserve"> </w:t>
      </w:r>
      <w:r w:rsidR="002D376C">
        <w:t>evaluation</w:t>
      </w:r>
      <w:r w:rsidR="002D376C" w:rsidRPr="008169ED">
        <w:t xml:space="preserve"> </w:t>
      </w:r>
      <w:r w:rsidRPr="008169ED">
        <w:t>regarding the identity of N</w:t>
      </w:r>
      <w:r>
        <w:t>eulasta</w:t>
      </w:r>
      <w:r w:rsidRPr="008169ED">
        <w:t xml:space="preserve"> products across jurisdictions. Provided that EU</w:t>
      </w:r>
      <w:r w:rsidR="002D376C">
        <w:noBreakHyphen/>
      </w:r>
      <w:r w:rsidRPr="008169ED">
        <w:t>sourced N</w:t>
      </w:r>
      <w:r>
        <w:t>eulasta</w:t>
      </w:r>
      <w:r w:rsidRPr="008169ED">
        <w:t xml:space="preserve"> </w:t>
      </w:r>
      <w:proofErr w:type="gramStart"/>
      <w:r w:rsidRPr="008169ED">
        <w:t>is considered to be</w:t>
      </w:r>
      <w:proofErr w:type="gramEnd"/>
      <w:r w:rsidRPr="008169ED">
        <w:t xml:space="preserve"> identical or highly comparable to the Australian product, there are no nonclinical objections to the registration of F</w:t>
      </w:r>
      <w:r>
        <w:t>ilpegla.</w:t>
      </w:r>
    </w:p>
    <w:p w14:paraId="649EA8D2" w14:textId="00AB26B8" w:rsidR="008169ED" w:rsidRPr="008169ED" w:rsidRDefault="008169ED" w:rsidP="008169ED">
      <w:pPr>
        <w:pStyle w:val="Heading5"/>
      </w:pPr>
      <w:r w:rsidRPr="008169ED">
        <w:t>Clinical</w:t>
      </w:r>
    </w:p>
    <w:p w14:paraId="0C35F008" w14:textId="50F39A6C" w:rsidR="008169ED" w:rsidRPr="008169ED" w:rsidRDefault="008169ED" w:rsidP="008169ED">
      <w:r w:rsidRPr="008169ED">
        <w:t>Studies PEGF/USV/P1/001, PEGF/USV/P1/003 and PEGF/USV/P3/003 show comparable PK/PD characteristics, efficacy and safety profiles, and support comparability between Filpegla and EU</w:t>
      </w:r>
      <w:r w:rsidR="002D376C">
        <w:noBreakHyphen/>
        <w:t xml:space="preserve">sourced </w:t>
      </w:r>
      <w:r w:rsidRPr="008169ED">
        <w:t>Neulasta. Comparability between Filpegla, EU</w:t>
      </w:r>
      <w:r w:rsidR="002D376C">
        <w:noBreakHyphen/>
        <w:t xml:space="preserve">sourced </w:t>
      </w:r>
      <w:r w:rsidRPr="008169ED">
        <w:t>Neulasta and A</w:t>
      </w:r>
      <w:r>
        <w:t>ustralian</w:t>
      </w:r>
      <w:r w:rsidR="002D376C">
        <w:noBreakHyphen/>
        <w:t xml:space="preserve">sourced </w:t>
      </w:r>
      <w:r w:rsidRPr="008169ED">
        <w:t xml:space="preserve">Neulasta as per </w:t>
      </w:r>
      <w:r>
        <w:t xml:space="preserve">the </w:t>
      </w:r>
      <w:r w:rsidRPr="008169ED">
        <w:t xml:space="preserve">bridging study provided has been confirmed by the </w:t>
      </w:r>
      <w:r w:rsidR="002D376C">
        <w:t>through the TGA’s quality evaluation</w:t>
      </w:r>
      <w:r w:rsidRPr="008169ED">
        <w:t>.</w:t>
      </w:r>
    </w:p>
    <w:p w14:paraId="0C460BF8" w14:textId="0FCC3A5A" w:rsidR="008169ED" w:rsidRPr="008169ED" w:rsidRDefault="008169ED" w:rsidP="008169ED">
      <w:pPr>
        <w:pStyle w:val="Heading6"/>
      </w:pPr>
      <w:r w:rsidRPr="008169ED">
        <w:t xml:space="preserve">Filpegla </w:t>
      </w:r>
      <w:r>
        <w:t>versus</w:t>
      </w:r>
      <w:r w:rsidRPr="008169ED">
        <w:t xml:space="preserve"> EU</w:t>
      </w:r>
      <w:r w:rsidR="002D376C">
        <w:t>-sourced</w:t>
      </w:r>
      <w:r>
        <w:t> </w:t>
      </w:r>
      <w:r w:rsidRPr="008169ED">
        <w:t>Neulasta</w:t>
      </w:r>
    </w:p>
    <w:p w14:paraId="7645F13F" w14:textId="06E9253A" w:rsidR="008169ED" w:rsidRPr="008169ED" w:rsidRDefault="008169ED" w:rsidP="008169ED">
      <w:r w:rsidRPr="008169ED">
        <w:t>P</w:t>
      </w:r>
      <w:r>
        <w:t>harmacokinetic</w:t>
      </w:r>
      <w:r w:rsidRPr="008169ED">
        <w:t xml:space="preserve"> comparability is considered established based on the results of pivotal </w:t>
      </w:r>
      <w:r>
        <w:t>S</w:t>
      </w:r>
      <w:r w:rsidRPr="008169ED">
        <w:t>tudy</w:t>
      </w:r>
      <w:r>
        <w:t> </w:t>
      </w:r>
      <w:r w:rsidRPr="008169ED">
        <w:t xml:space="preserve">PEGF/USV/P1/001 which showed that the 90% CI of the geometric mean ratio for </w:t>
      </w:r>
      <w:r w:rsidRPr="008169ED">
        <w:lastRenderedPageBreak/>
        <w:t>AUC</w:t>
      </w:r>
      <w:r w:rsidRPr="008169ED">
        <w:rPr>
          <w:vertAlign w:val="subscript"/>
        </w:rPr>
        <w:t>0</w:t>
      </w:r>
      <w:r w:rsidRPr="008169ED">
        <w:rPr>
          <w:vertAlign w:val="subscript"/>
        </w:rPr>
        <w:noBreakHyphen/>
        <w:t xml:space="preserve">last </w:t>
      </w:r>
      <w:r w:rsidRPr="008169ED">
        <w:t>(90% CI: 92.86, 111.38), AUC</w:t>
      </w:r>
      <w:r w:rsidRPr="008169ED">
        <w:rPr>
          <w:vertAlign w:val="subscript"/>
        </w:rPr>
        <w:t>0-inf</w:t>
      </w:r>
      <w:r w:rsidRPr="008169ED">
        <w:t xml:space="preserve"> and C</w:t>
      </w:r>
      <w:r w:rsidRPr="008169ED">
        <w:rPr>
          <w:vertAlign w:val="subscript"/>
        </w:rPr>
        <w:t>max</w:t>
      </w:r>
      <w:r w:rsidRPr="008169ED">
        <w:t xml:space="preserve"> are all contained within the pre-specified bioequivalence range of 80</w:t>
      </w:r>
      <w:r>
        <w:t xml:space="preserve">% and </w:t>
      </w:r>
      <w:r w:rsidRPr="008169ED">
        <w:t xml:space="preserve">125%. Results of the </w:t>
      </w:r>
      <w:r>
        <w:t>S</w:t>
      </w:r>
      <w:r w:rsidRPr="008169ED">
        <w:t>tudy PEGF/USV/P1/001 w</w:t>
      </w:r>
      <w:r w:rsidR="00707353">
        <w:t>ere</w:t>
      </w:r>
      <w:r w:rsidRPr="008169ED">
        <w:t xml:space="preserve"> not powered to establish PK equivalence but support comparability.</w:t>
      </w:r>
    </w:p>
    <w:p w14:paraId="7444FB04" w14:textId="2E8EFB65" w:rsidR="008169ED" w:rsidRPr="008169ED" w:rsidRDefault="008169ED" w:rsidP="008169ED">
      <w:r w:rsidRPr="008169ED">
        <w:t>P</w:t>
      </w:r>
      <w:r>
        <w:t>harmacodynamic</w:t>
      </w:r>
      <w:r w:rsidRPr="008169ED">
        <w:t xml:space="preserve"> comparability is considered established based on results of </w:t>
      </w:r>
      <w:r>
        <w:t>S</w:t>
      </w:r>
      <w:r w:rsidRPr="008169ED">
        <w:t>tudy</w:t>
      </w:r>
      <w:r>
        <w:t> </w:t>
      </w:r>
      <w:r w:rsidRPr="008169ED">
        <w:t xml:space="preserve">PEGF/USV/P1/001 and </w:t>
      </w:r>
      <w:r>
        <w:t>S</w:t>
      </w:r>
      <w:r w:rsidRPr="008169ED">
        <w:t>tudy PEGF/USV/P1/003, in which the 95% CI for the ratio of geometric means for AUEC and E</w:t>
      </w:r>
      <w:r w:rsidRPr="008169ED">
        <w:rPr>
          <w:vertAlign w:val="subscript"/>
        </w:rPr>
        <w:t xml:space="preserve">max </w:t>
      </w:r>
      <w:r w:rsidRPr="008169ED">
        <w:t>for ANC, and CD34+ cell count all fall within the pre</w:t>
      </w:r>
      <w:r>
        <w:noBreakHyphen/>
      </w:r>
      <w:r w:rsidRPr="008169ED">
        <w:t>specified bioequivalence limit of 90% and 111.11% in the pivotal study and 80</w:t>
      </w:r>
      <w:r>
        <w:t xml:space="preserve">% and </w:t>
      </w:r>
      <w:r w:rsidRPr="008169ED">
        <w:t>125% in the supportive study.</w:t>
      </w:r>
    </w:p>
    <w:p w14:paraId="155EAF7C" w14:textId="6F517D36" w:rsidR="008169ED" w:rsidRPr="008169ED" w:rsidRDefault="008169ED" w:rsidP="008169ED">
      <w:r w:rsidRPr="008169ED">
        <w:t xml:space="preserve">The efficacy profile is also considered established, with the primary efficacy analysis showing that the 95% CI for the mean DSN ratios for both the </w:t>
      </w:r>
      <w:r>
        <w:t xml:space="preserve">full analysis set </w:t>
      </w:r>
      <w:r w:rsidRPr="008169ED">
        <w:t xml:space="preserve">and </w:t>
      </w:r>
      <w:r>
        <w:t xml:space="preserve">per-protocol </w:t>
      </w:r>
      <w:r w:rsidRPr="008169ED">
        <w:t>analysis sets were entirely contained within the pre-specified equivalence interval of 0.65 to 1.55, (</w:t>
      </w:r>
      <w:r>
        <w:t>that is,</w:t>
      </w:r>
      <w:r w:rsidRPr="008169ED">
        <w:t xml:space="preserve"> 0.78 to 1.18 for</w:t>
      </w:r>
      <w:r>
        <w:t xml:space="preserve"> the full analysis set</w:t>
      </w:r>
      <w:r w:rsidRPr="008169ED">
        <w:t xml:space="preserve">, and 0.76 to 1.16 </w:t>
      </w:r>
      <w:r>
        <w:t>for the per-protocol</w:t>
      </w:r>
      <w:r w:rsidRPr="008169ED">
        <w:t xml:space="preserve"> analysis set).</w:t>
      </w:r>
    </w:p>
    <w:p w14:paraId="6C7ED23B" w14:textId="64DD3CF8" w:rsidR="008169ED" w:rsidRPr="008169ED" w:rsidRDefault="008169ED" w:rsidP="008169ED">
      <w:r w:rsidRPr="008169ED">
        <w:t xml:space="preserve">Overall, Filpegla demonstrates a safety profile </w:t>
      </w:r>
      <w:proofErr w:type="gramStart"/>
      <w:r w:rsidRPr="008169ED">
        <w:t>similar to</w:t>
      </w:r>
      <w:proofErr w:type="gramEnd"/>
      <w:r w:rsidRPr="008169ED">
        <w:t xml:space="preserve"> the reference product (as documented in the Neulasta Product Information).</w:t>
      </w:r>
    </w:p>
    <w:p w14:paraId="58540563" w14:textId="77777777" w:rsidR="008169ED" w:rsidRPr="008169ED" w:rsidRDefault="008169ED" w:rsidP="008169ED">
      <w:pPr>
        <w:pStyle w:val="Heading6"/>
      </w:pPr>
      <w:r w:rsidRPr="008169ED">
        <w:t>Uncertainties</w:t>
      </w:r>
    </w:p>
    <w:p w14:paraId="2A5F8CCB" w14:textId="6620A49B" w:rsidR="008169ED" w:rsidRPr="008169ED" w:rsidRDefault="008169ED" w:rsidP="008169ED">
      <w:r w:rsidRPr="008169ED">
        <w:t xml:space="preserve">The incidence of several </w:t>
      </w:r>
      <w:r>
        <w:t>adverse events</w:t>
      </w:r>
      <w:r w:rsidRPr="008169ED">
        <w:t xml:space="preserve"> was higher in the Filpegla arm compared to EU</w:t>
      </w:r>
      <w:r w:rsidR="00CE387F">
        <w:noBreakHyphen/>
        <w:t>sourced</w:t>
      </w:r>
      <w:r>
        <w:t> </w:t>
      </w:r>
      <w:r w:rsidRPr="008169ED">
        <w:t xml:space="preserve">Neulasta, </w:t>
      </w:r>
      <w:r>
        <w:t>for example,</w:t>
      </w:r>
      <w:r w:rsidRPr="008169ED">
        <w:t xml:space="preserve"> febrile neutropenia, </w:t>
      </w:r>
      <w:proofErr w:type="gramStart"/>
      <w:r w:rsidRPr="008169ED">
        <w:t>infections</w:t>
      </w:r>
      <w:proofErr w:type="gramEnd"/>
      <w:r>
        <w:t xml:space="preserve"> and</w:t>
      </w:r>
      <w:r w:rsidRPr="008169ED">
        <w:t xml:space="preserve"> thrombocytopenia; however, in the context of small absolute patient numbers, this difference is unlikely to be of significance. The safety data from Study PEGF/USV/P3/003 are mainly considered to be supportive, due to the small size of </w:t>
      </w:r>
      <w:r>
        <w:t xml:space="preserve">the </w:t>
      </w:r>
      <w:r w:rsidRPr="008169ED">
        <w:t xml:space="preserve">study, and unbalanced randomisation; reported rare adverse reactions such as </w:t>
      </w:r>
      <w:r w:rsidR="00707353">
        <w:t>acute respiratory distress syndrome</w:t>
      </w:r>
      <w:r w:rsidRPr="008169ED">
        <w:t xml:space="preserve"> therefore </w:t>
      </w:r>
      <w:proofErr w:type="gramStart"/>
      <w:r w:rsidRPr="008169ED">
        <w:t>do</w:t>
      </w:r>
      <w:proofErr w:type="gramEnd"/>
      <w:r w:rsidR="00410780">
        <w:t xml:space="preserve"> </w:t>
      </w:r>
      <w:r w:rsidRPr="008169ED">
        <w:t>not preclude a determination of biosimilarity.</w:t>
      </w:r>
    </w:p>
    <w:p w14:paraId="2EA91BD1" w14:textId="02933866" w:rsidR="008169ED" w:rsidRPr="008169ED" w:rsidRDefault="008169ED" w:rsidP="008169ED">
      <w:r w:rsidRPr="008169ED">
        <w:t>In terms of immunogenicity, neutralising antidrug antibodies were detected for one patient with breast cancer who received Filpegla in Study PEGF/USV/P3/003. This subject had negative ADA results at C</w:t>
      </w:r>
      <w:r>
        <w:t xml:space="preserve">ycle </w:t>
      </w:r>
      <w:r w:rsidRPr="008169ED">
        <w:t>4</w:t>
      </w:r>
      <w:r>
        <w:t xml:space="preserve"> </w:t>
      </w:r>
      <w:r w:rsidRPr="008169ED">
        <w:t>D</w:t>
      </w:r>
      <w:r>
        <w:t xml:space="preserve">ay </w:t>
      </w:r>
      <w:r w:rsidRPr="008169ED">
        <w:t xml:space="preserve">3 pre-dose and post-dose, followed by positive low titre (titres of 2) ADA and </w:t>
      </w:r>
      <w:r>
        <w:t xml:space="preserve">neutralising antibody </w:t>
      </w:r>
      <w:r w:rsidRPr="008169ED">
        <w:t xml:space="preserve">assays at the end of treatment visit. At the study termination visit, ADAs were undetectable. The neutralising antibodies (likely against the G-CSF moiety) seem to have prolonged the duration of severe neutropenia in this patient during the last </w:t>
      </w:r>
      <w:r>
        <w:t>three</w:t>
      </w:r>
      <w:r w:rsidRPr="008169ED">
        <w:t xml:space="preserve"> chemotherapy cycles. It is noted that neutralising ADAs are infrequently reported for Neulasta or other biosimilar products.</w:t>
      </w:r>
      <w:r w:rsidR="00707353">
        <w:rPr>
          <w:rStyle w:val="FootnoteReference"/>
        </w:rPr>
        <w:footnoteReference w:id="18"/>
      </w:r>
    </w:p>
    <w:p w14:paraId="289CF320" w14:textId="40F110B9" w:rsidR="008169ED" w:rsidRPr="008169ED" w:rsidRDefault="008169ED" w:rsidP="008169ED">
      <w:r w:rsidRPr="008169ED">
        <w:t>The same</w:t>
      </w:r>
      <w:r w:rsidR="004F69F0">
        <w:t xml:space="preserve"> observation is true </w:t>
      </w:r>
      <w:r w:rsidR="00410780">
        <w:t xml:space="preserve">for </w:t>
      </w:r>
      <w:r w:rsidRPr="008169ED">
        <w:t>Neulasta</w:t>
      </w:r>
      <w:r w:rsidR="004F69F0">
        <w:t xml:space="preserve"> amongst </w:t>
      </w:r>
      <w:r w:rsidRPr="008169ED">
        <w:t>healthy subjects</w:t>
      </w:r>
      <w:r w:rsidR="004F69F0">
        <w:t xml:space="preserve"> in </w:t>
      </w:r>
      <w:r w:rsidR="00410780">
        <w:t>S</w:t>
      </w:r>
      <w:r w:rsidRPr="008169ED">
        <w:t>tudy PEGF/USV/P1/003, that is, where no confirmed ADAs developed against Neulasta versus three cases against USV pegfilgrastim.</w:t>
      </w:r>
    </w:p>
    <w:p w14:paraId="7E44EA7E" w14:textId="1FFA7EF8" w:rsidR="008169ED" w:rsidRPr="008169ED" w:rsidRDefault="008169ED" w:rsidP="008169ED">
      <w:r w:rsidRPr="008169ED">
        <w:t xml:space="preserve">The significance of the induction of anti-pegfilgrastim neutralising antibodies in one patient, at one post-dose time point, is uncertain. However, in view of the associated low </w:t>
      </w:r>
      <w:r>
        <w:t>l</w:t>
      </w:r>
      <w:r w:rsidRPr="008169ED">
        <w:t xml:space="preserve">evel of incidence of ADA development overall, this single report of the development of neutralising ADA within the context of the available immunogenicity data, whilst unexpected, is not likely to be of sufficient concern to preclude a conclusion of comparable immunogenicity profile of USV </w:t>
      </w:r>
      <w:r>
        <w:t>p</w:t>
      </w:r>
      <w:r w:rsidRPr="008169ED">
        <w:t xml:space="preserve">egfilgrastim with the reference product. The </w:t>
      </w:r>
      <w:r>
        <w:t>D</w:t>
      </w:r>
      <w:r w:rsidRPr="008169ED">
        <w:t>elegate will seek further expert opinion regarding the comparability of Filpegla with the reference product in terms of the immunogenicity profile.</w:t>
      </w:r>
    </w:p>
    <w:p w14:paraId="406541C7" w14:textId="1C4E5BF4" w:rsidR="00C22214" w:rsidRDefault="00C22214" w:rsidP="008169ED">
      <w:pPr>
        <w:pStyle w:val="Heading4"/>
      </w:pPr>
      <w:bookmarkStart w:id="72" w:name="_Toc98931933"/>
      <w:bookmarkStart w:id="73" w:name="_Toc135296231"/>
      <w:r w:rsidRPr="00D23139">
        <w:lastRenderedPageBreak/>
        <w:t>Proposed action</w:t>
      </w:r>
      <w:bookmarkEnd w:id="72"/>
      <w:bookmarkEnd w:id="73"/>
    </w:p>
    <w:p w14:paraId="2F6A8842" w14:textId="7B07F332" w:rsidR="008169ED" w:rsidRDefault="008169ED" w:rsidP="008169ED">
      <w:r>
        <w:t>Comparability assessment supports biosimilarity of Filpegla to EU</w:t>
      </w:r>
      <w:r w:rsidR="004F69F0">
        <w:t>-sourced</w:t>
      </w:r>
      <w:r>
        <w:t xml:space="preserve"> Neulasta, in terms of pharmacokinetic and pharmacodynamic characteristics, efficacy and safety profiles; further advice from </w:t>
      </w:r>
      <w:r w:rsidR="004F69F0">
        <w:t>the Advisory Committee on Medicines (</w:t>
      </w:r>
      <w:r>
        <w:t>ACM</w:t>
      </w:r>
      <w:r w:rsidR="004F69F0">
        <w:t>)</w:t>
      </w:r>
      <w:r>
        <w:t xml:space="preserve"> will be sought regarding immunogenicity comparability.</w:t>
      </w:r>
    </w:p>
    <w:p w14:paraId="24CB97D8" w14:textId="2A724254" w:rsidR="00C22214" w:rsidRDefault="008169ED" w:rsidP="00707353">
      <w:r>
        <w:t>The Delegate supports approval of the application.</w:t>
      </w:r>
    </w:p>
    <w:p w14:paraId="318CFABC" w14:textId="77777777" w:rsidR="00C22214" w:rsidRPr="00F73346" w:rsidRDefault="00C22214" w:rsidP="00C22214">
      <w:pPr>
        <w:pStyle w:val="Heading4"/>
      </w:pPr>
      <w:bookmarkStart w:id="74" w:name="_Toc98931936"/>
      <w:bookmarkStart w:id="75" w:name="_Toc135296232"/>
      <w:bookmarkStart w:id="76" w:name="_Toc247691532"/>
      <w:bookmarkStart w:id="77" w:name="_Toc314842516"/>
      <w:r w:rsidRPr="00F73346">
        <w:t>Advisory Committee considerations</w:t>
      </w:r>
      <w:bookmarkEnd w:id="74"/>
      <w:bookmarkEnd w:id="75"/>
    </w:p>
    <w:p w14:paraId="087BB9CB" w14:textId="784717E3" w:rsidR="00C22214" w:rsidRDefault="00C22214" w:rsidP="00C22214">
      <w:pPr>
        <w:rPr>
          <w:bCs/>
        </w:rPr>
      </w:pPr>
      <w:r w:rsidRPr="00456765">
        <w:rPr>
          <w:bCs/>
        </w:rPr>
        <w:t xml:space="preserve">The </w:t>
      </w:r>
      <w:hyperlink r:id="rId52" w:history="1">
        <w:r w:rsidRPr="00C65E63">
          <w:rPr>
            <w:rStyle w:val="Hyperlink"/>
            <w:szCs w:val="21"/>
          </w:rPr>
          <w:t>Advisory Committee on Medicines (ACM)</w:t>
        </w:r>
      </w:hyperlink>
      <w:r w:rsidRPr="00F73346">
        <w:rPr>
          <w:szCs w:val="21"/>
        </w:rPr>
        <w:t>,</w:t>
      </w:r>
      <w:r w:rsidRPr="00F73346">
        <w:rPr>
          <w:bCs/>
        </w:rPr>
        <w:t xml:space="preserve"> </w:t>
      </w:r>
      <w:r w:rsidRPr="00456765">
        <w:rPr>
          <w:bCs/>
        </w:rPr>
        <w:t>having considered the evaluations and the Delegate’s overview, as well as the sponsor’s response to these documents, advised the following</w:t>
      </w:r>
      <w:r>
        <w:rPr>
          <w:bCs/>
        </w:rPr>
        <w:t>.</w:t>
      </w:r>
    </w:p>
    <w:p w14:paraId="0D935CC4" w14:textId="77777777" w:rsidR="00C22214" w:rsidRPr="00F73346" w:rsidRDefault="00C22214" w:rsidP="00C22214">
      <w:pPr>
        <w:pStyle w:val="Heading5"/>
      </w:pPr>
      <w:r w:rsidRPr="00F73346">
        <w:t>Specific advice to the Delegate</w:t>
      </w:r>
    </w:p>
    <w:p w14:paraId="2CFCED9B" w14:textId="41315352" w:rsidR="00707353" w:rsidRPr="00410780" w:rsidRDefault="00707353" w:rsidP="00410780">
      <w:pPr>
        <w:pStyle w:val="Numberbullet0"/>
        <w:numPr>
          <w:ilvl w:val="0"/>
          <w:numId w:val="19"/>
        </w:numPr>
        <w:rPr>
          <w:b/>
          <w:bCs/>
          <w:i/>
          <w:iCs/>
        </w:rPr>
      </w:pPr>
      <w:r w:rsidRPr="00410780">
        <w:rPr>
          <w:b/>
          <w:bCs/>
          <w:i/>
          <w:iCs/>
        </w:rPr>
        <w:t xml:space="preserve">Does </w:t>
      </w:r>
      <w:r w:rsidR="004F69F0">
        <w:rPr>
          <w:b/>
          <w:bCs/>
          <w:i/>
          <w:iCs/>
        </w:rPr>
        <w:t xml:space="preserve">the </w:t>
      </w:r>
      <w:r w:rsidRPr="00410780">
        <w:rPr>
          <w:b/>
          <w:bCs/>
          <w:i/>
          <w:iCs/>
        </w:rPr>
        <w:t>ACM have any clinical concerns regarding the immunogenicity profile of Filpegla (when compared to Neulasta) that would preclude product registration?</w:t>
      </w:r>
    </w:p>
    <w:p w14:paraId="7E343157" w14:textId="41501635" w:rsidR="00707353" w:rsidRPr="00707353" w:rsidRDefault="00707353" w:rsidP="00707353">
      <w:r w:rsidRPr="00707353">
        <w:t>The ACM did not identify any clinical concerns regarding the immunogenicity profile of Filpegla that should preclude registration.</w:t>
      </w:r>
    </w:p>
    <w:p w14:paraId="3355E0BD" w14:textId="78DA3474" w:rsidR="00707353" w:rsidRPr="00707353" w:rsidRDefault="00707353" w:rsidP="00707353">
      <w:r w:rsidRPr="00707353">
        <w:t xml:space="preserve">From the </w:t>
      </w:r>
      <w:r w:rsidR="004F69F0">
        <w:t xml:space="preserve">submitted </w:t>
      </w:r>
      <w:r w:rsidRPr="00707353">
        <w:t>studies</w:t>
      </w:r>
      <w:r w:rsidR="004F69F0">
        <w:t>,</w:t>
      </w:r>
      <w:r w:rsidRPr="00707353">
        <w:t xml:space="preserve"> the ACM noted that the incidence of </w:t>
      </w:r>
      <w:bookmarkStart w:id="78" w:name="_Hlk133401488"/>
      <w:r w:rsidRPr="00707353">
        <w:t xml:space="preserve">antidrug antibodies </w:t>
      </w:r>
      <w:bookmarkEnd w:id="78"/>
      <w:r w:rsidRPr="00707353">
        <w:t>was low post</w:t>
      </w:r>
      <w:r w:rsidR="004F69F0">
        <w:noBreakHyphen/>
      </w:r>
      <w:r w:rsidRPr="00707353">
        <w:t xml:space="preserve">treatment in both healthy subjects and </w:t>
      </w:r>
      <w:r w:rsidR="004F69F0">
        <w:t xml:space="preserve">patients with </w:t>
      </w:r>
      <w:r w:rsidRPr="00707353">
        <w:t>breast cancer. While there was one participant where a neutrali</w:t>
      </w:r>
      <w:r>
        <w:t>s</w:t>
      </w:r>
      <w:r w:rsidRPr="00707353">
        <w:t>ing antibody was found, it was at a very low titre and was transient at chemotherapy Cycle 4 only. Based on this, the ACM was of the view that the presence of antidrug antibodies does not appear to have a clinical effect on the efficacy of Filpegla. The ACM however encouraged post-market monitoring within this space.</w:t>
      </w:r>
    </w:p>
    <w:p w14:paraId="009B73C7" w14:textId="204238A4" w:rsidR="00707353" w:rsidRPr="00707353" w:rsidRDefault="00707353" w:rsidP="00707353">
      <w:r w:rsidRPr="00707353">
        <w:t xml:space="preserve">The ACM explored the clinical significance of </w:t>
      </w:r>
      <w:r w:rsidRPr="00707353">
        <w:rPr>
          <w:i/>
          <w:iCs/>
        </w:rPr>
        <w:t>E. coli</w:t>
      </w:r>
      <w:r w:rsidRPr="00707353">
        <w:t xml:space="preserve"> infections and whether this increased the risk and impact of antidrug antibodies. The ACM </w:t>
      </w:r>
      <w:proofErr w:type="gramStart"/>
      <w:r w:rsidRPr="00707353">
        <w:t>was of the opinion that</w:t>
      </w:r>
      <w:proofErr w:type="gramEnd"/>
      <w:r w:rsidRPr="00707353">
        <w:t xml:space="preserve"> there was no clinical evidence available to support this view.</w:t>
      </w:r>
    </w:p>
    <w:p w14:paraId="66B546D9" w14:textId="0F4694C9" w:rsidR="00707353" w:rsidRPr="00707353" w:rsidRDefault="00707353" w:rsidP="00707353">
      <w:pPr>
        <w:pStyle w:val="Numberbullet0"/>
        <w:rPr>
          <w:b/>
          <w:bCs/>
          <w:i/>
          <w:iCs/>
        </w:rPr>
      </w:pPr>
      <w:r w:rsidRPr="00707353">
        <w:rPr>
          <w:b/>
          <w:bCs/>
          <w:i/>
          <w:iCs/>
        </w:rPr>
        <w:t>Do the clinical findings from the comparability studies support the registration and use of Filpegla as a pegfilgrastim biosimilar?</w:t>
      </w:r>
    </w:p>
    <w:p w14:paraId="50B5FE21" w14:textId="536BDD75" w:rsidR="00707353" w:rsidRPr="00707353" w:rsidRDefault="00707353" w:rsidP="00707353">
      <w:r w:rsidRPr="00707353">
        <w:t>The ACM explored the comparability studies and while some numerical differences within the adverse event profiles were noted, the ACM was of the view that comparability has been satisfactorily established for Filpegla as a pegfilgrastim biosimilar.</w:t>
      </w:r>
    </w:p>
    <w:p w14:paraId="5291EA2A" w14:textId="77777777" w:rsidR="00C22214" w:rsidRPr="00F73346" w:rsidRDefault="00C22214" w:rsidP="00C22214">
      <w:pPr>
        <w:pStyle w:val="Heading5"/>
      </w:pPr>
      <w:r w:rsidRPr="00F73346">
        <w:t>Conclusion</w:t>
      </w:r>
    </w:p>
    <w:p w14:paraId="343C8E67" w14:textId="77777777" w:rsidR="00707353" w:rsidRPr="00707353" w:rsidRDefault="00707353" w:rsidP="00707353">
      <w:bookmarkStart w:id="79" w:name="_Toc103679300"/>
      <w:r w:rsidRPr="00707353">
        <w:t>The ACM considered this product to have an overall positive benefit-risk profile for the indication:</w:t>
      </w:r>
    </w:p>
    <w:p w14:paraId="122FDC57" w14:textId="77777777" w:rsidR="00707353" w:rsidRPr="00141A70" w:rsidRDefault="00707353" w:rsidP="00707353">
      <w:pPr>
        <w:ind w:left="720"/>
        <w:rPr>
          <w:i/>
        </w:rPr>
      </w:pPr>
      <w:r w:rsidRPr="00141A70">
        <w:rPr>
          <w:i/>
        </w:rPr>
        <w:t>Filpegla is indicated for the treatment of cancer patients following chemotherapy, to decrease the duration of severe neutropenia and so reduce the incidence of infection, as manifested by febrile neutropenia.</w:t>
      </w:r>
    </w:p>
    <w:p w14:paraId="307F236C" w14:textId="0DEC8449" w:rsidR="00C22214" w:rsidRPr="002E238E" w:rsidRDefault="00C22214" w:rsidP="00C22214">
      <w:pPr>
        <w:pStyle w:val="Heading2"/>
      </w:pPr>
      <w:bookmarkStart w:id="80" w:name="_Toc135296233"/>
      <w:r>
        <w:t>Outcome</w:t>
      </w:r>
      <w:bookmarkEnd w:id="76"/>
      <w:bookmarkEnd w:id="77"/>
      <w:bookmarkEnd w:id="79"/>
      <w:bookmarkEnd w:id="80"/>
    </w:p>
    <w:p w14:paraId="4EF22939" w14:textId="627C9049" w:rsidR="00C22214" w:rsidRDefault="00C22214" w:rsidP="00707353">
      <w:r>
        <w:t xml:space="preserve">Based on a review of quality, safety, and efficacy, the TGA approved the registration of </w:t>
      </w:r>
      <w:r w:rsidR="00707353" w:rsidRPr="0036173A">
        <w:rPr>
          <w:szCs w:val="22"/>
        </w:rPr>
        <w:t>Filpegla (pegfilgrastim) 6 mg/0.6 mL, solution for subcutaneous injection, syringe</w:t>
      </w:r>
      <w:r>
        <w:t xml:space="preserve"> indicated for:</w:t>
      </w:r>
    </w:p>
    <w:p w14:paraId="5FB8327C" w14:textId="0EB424E9" w:rsidR="00707353" w:rsidRPr="00707353" w:rsidRDefault="00707353" w:rsidP="00707353">
      <w:pPr>
        <w:ind w:left="720"/>
        <w:rPr>
          <w:i/>
          <w:iCs/>
        </w:rPr>
      </w:pPr>
      <w:r w:rsidRPr="00707353">
        <w:rPr>
          <w:i/>
          <w:iCs/>
        </w:rPr>
        <w:lastRenderedPageBreak/>
        <w:t>Filpegla is indicated for the treatment of cancer patients following chemotherapy, to decrease the duration of severe neutropenia and so reduce the incidence of infection, as manifested by febrile neutropenia.</w:t>
      </w:r>
    </w:p>
    <w:p w14:paraId="6D25891E" w14:textId="77777777" w:rsidR="00C22214" w:rsidRPr="00D23139" w:rsidRDefault="00C22214" w:rsidP="00C22214">
      <w:pPr>
        <w:pStyle w:val="Heading3"/>
      </w:pPr>
      <w:bookmarkStart w:id="81" w:name="_Toc103679301"/>
      <w:bookmarkStart w:id="82" w:name="_Toc135296234"/>
      <w:r w:rsidRPr="00D23139">
        <w:t>Specific conditions of registration applying to these goods</w:t>
      </w:r>
      <w:bookmarkEnd w:id="81"/>
      <w:bookmarkEnd w:id="82"/>
    </w:p>
    <w:p w14:paraId="43028AC6" w14:textId="77777777" w:rsidR="00707353" w:rsidRPr="00707353" w:rsidRDefault="00707353" w:rsidP="00707353">
      <w:pPr>
        <w:pStyle w:val="ListBullet"/>
      </w:pPr>
      <w:r w:rsidRPr="00707353">
        <w:t>Laboratory testing &amp; compliance with Certified Product Details (CPD)</w:t>
      </w:r>
    </w:p>
    <w:p w14:paraId="22DAFE7B" w14:textId="2EC877F8" w:rsidR="00707353" w:rsidRPr="00707353" w:rsidRDefault="00707353" w:rsidP="00707353">
      <w:pPr>
        <w:pStyle w:val="ListBullet"/>
        <w:numPr>
          <w:ilvl w:val="0"/>
          <w:numId w:val="0"/>
        </w:numPr>
        <w:ind w:left="360"/>
      </w:pPr>
      <w:proofErr w:type="spellStart"/>
      <w:r w:rsidRPr="00707353">
        <w:t>i</w:t>
      </w:r>
      <w:proofErr w:type="spellEnd"/>
      <w:r w:rsidRPr="00707353">
        <w:t>. All batches of F</w:t>
      </w:r>
      <w:r>
        <w:t>ilpegla</w:t>
      </w:r>
      <w:r w:rsidRPr="00707353">
        <w:t xml:space="preserve"> supplied in Australia must comply with the product details</w:t>
      </w:r>
      <w:r>
        <w:t xml:space="preserve"> </w:t>
      </w:r>
      <w:r w:rsidRPr="00707353">
        <w:t>and specifications approved during evaluation and detailed in the Certified Product</w:t>
      </w:r>
      <w:r>
        <w:t xml:space="preserve"> </w:t>
      </w:r>
      <w:r w:rsidRPr="00707353">
        <w:t>Details (CPD).</w:t>
      </w:r>
    </w:p>
    <w:p w14:paraId="0D7AB92D" w14:textId="5A6C52EE" w:rsidR="00707353" w:rsidRDefault="00707353" w:rsidP="00707353">
      <w:pPr>
        <w:ind w:left="360"/>
      </w:pPr>
      <w:r w:rsidRPr="00707353">
        <w:t>ii. When requested by the TGA, the Sponsor should be prepared to provide product</w:t>
      </w:r>
      <w:r>
        <w:t xml:space="preserve"> </w:t>
      </w:r>
      <w:r w:rsidRPr="00707353">
        <w:t>samples, specified reference materials and documentary evidence to enable the TGA</w:t>
      </w:r>
      <w:r>
        <w:t xml:space="preserve"> </w:t>
      </w:r>
      <w:r w:rsidRPr="00707353">
        <w:t>to conduct laboratory testing on the Product. Outcomes of laboratory testing are</w:t>
      </w:r>
      <w:r>
        <w:t xml:space="preserve"> </w:t>
      </w:r>
      <w:r w:rsidRPr="00707353">
        <w:t>published biannually in the TGA Database of Laboratory Testing Results</w:t>
      </w:r>
      <w:r>
        <w:t xml:space="preserve"> </w:t>
      </w:r>
      <w:hyperlink r:id="rId53" w:history="1">
        <w:r w:rsidRPr="006863DF">
          <w:rPr>
            <w:rStyle w:val="Hyperlink"/>
          </w:rPr>
          <w:t>http://www.tga.gov.au/ws-labs-index</w:t>
        </w:r>
      </w:hyperlink>
      <w:r>
        <w:t xml:space="preserve"> </w:t>
      </w:r>
      <w:r w:rsidRPr="00707353">
        <w:t>and periodically in testing reports on the TGA</w:t>
      </w:r>
      <w:r>
        <w:t xml:space="preserve"> </w:t>
      </w:r>
      <w:r w:rsidRPr="00707353">
        <w:t>website.</w:t>
      </w:r>
    </w:p>
    <w:p w14:paraId="0BC8661C" w14:textId="60D56B14" w:rsidR="00707353" w:rsidRPr="00707353" w:rsidRDefault="00707353" w:rsidP="00707353">
      <w:pPr>
        <w:pStyle w:val="ListBullet"/>
      </w:pPr>
      <w:r w:rsidRPr="00707353">
        <w:t>Certified Product Details</w:t>
      </w:r>
    </w:p>
    <w:p w14:paraId="7C3DDF52" w14:textId="08B64ADB" w:rsidR="00707353" w:rsidRPr="00707353" w:rsidRDefault="00707353" w:rsidP="00707353">
      <w:pPr>
        <w:ind w:left="360"/>
      </w:pPr>
      <w:r w:rsidRPr="00707353">
        <w:t>The Certified Product Details (CPD), as described in Guidance 7: Certified Product Details</w:t>
      </w:r>
      <w:r>
        <w:t xml:space="preserve"> </w:t>
      </w:r>
      <w:r w:rsidRPr="00707353">
        <w:t>of the Australian Regulatory Guidelines for Prescription Medicines (ARGPM)</w:t>
      </w:r>
      <w:r>
        <w:t xml:space="preserve"> </w:t>
      </w:r>
      <w:hyperlink r:id="rId54" w:history="1">
        <w:r w:rsidRPr="006863DF">
          <w:rPr>
            <w:rStyle w:val="Hyperlink"/>
          </w:rPr>
          <w:t>https://www.tga.gov.au/guidance-7-certified-product-details</w:t>
        </w:r>
      </w:hyperlink>
      <w:r w:rsidRPr="00707353">
        <w:t>, in PDF format, for the</w:t>
      </w:r>
      <w:r>
        <w:t xml:space="preserve"> </w:t>
      </w:r>
      <w:r w:rsidRPr="00707353">
        <w:t>above products should be provided upon registration of these therapeutic goods. In</w:t>
      </w:r>
      <w:r>
        <w:t xml:space="preserve"> </w:t>
      </w:r>
      <w:r w:rsidRPr="00707353">
        <w:t>addition, an updated CPD should be provided when changes to finished product</w:t>
      </w:r>
      <w:r>
        <w:t xml:space="preserve"> </w:t>
      </w:r>
      <w:r w:rsidRPr="00707353">
        <w:t>specifications and test methods are approved in a Category 3 application or notified</w:t>
      </w:r>
      <w:r>
        <w:t xml:space="preserve"> </w:t>
      </w:r>
      <w:r w:rsidRPr="00707353">
        <w:t>through a self-assessable change.</w:t>
      </w:r>
    </w:p>
    <w:p w14:paraId="6435B3D2" w14:textId="62C0B4FB" w:rsidR="00707353" w:rsidRPr="00707353" w:rsidRDefault="00707353" w:rsidP="00707353">
      <w:pPr>
        <w:pStyle w:val="ListBullet"/>
      </w:pPr>
      <w:r w:rsidRPr="00707353">
        <w:t>Reports are to be provided in line with the current published list of EU reference dates</w:t>
      </w:r>
      <w:r>
        <w:t xml:space="preserve"> </w:t>
      </w:r>
      <w:r w:rsidRPr="00707353">
        <w:t>and frequency of submission of PSURs until the period covered by such reports is not</w:t>
      </w:r>
      <w:r>
        <w:t xml:space="preserve"> </w:t>
      </w:r>
      <w:r w:rsidRPr="00707353">
        <w:t>less than three years from the date of th</w:t>
      </w:r>
      <w:r>
        <w:t>e</w:t>
      </w:r>
      <w:r w:rsidRPr="00707353">
        <w:t xml:space="preserve"> approval letter.</w:t>
      </w:r>
    </w:p>
    <w:p w14:paraId="02339FEF" w14:textId="45027EFD" w:rsidR="00707353" w:rsidRDefault="00707353" w:rsidP="00707353">
      <w:pPr>
        <w:ind w:left="360"/>
      </w:pPr>
      <w:r w:rsidRPr="00707353">
        <w:t>The reports are to at least meet the requirements for PSURs as described in the</w:t>
      </w:r>
      <w:r>
        <w:t xml:space="preserve"> </w:t>
      </w:r>
      <w:r w:rsidRPr="00707353">
        <w:t>European Medicines Agency’s Guideline on good pharmacovigilance practices (GVP)</w:t>
      </w:r>
      <w:r>
        <w:t xml:space="preserve"> </w:t>
      </w:r>
      <w:r w:rsidRPr="00707353">
        <w:t>Module VII-periodic safety update report (Rev 1), Part VII.B Structures and processes.</w:t>
      </w:r>
      <w:r>
        <w:t xml:space="preserve"> </w:t>
      </w:r>
      <w:r w:rsidRPr="00707353">
        <w:t>Note that submission of a PSUR does not constitute an application to vary the</w:t>
      </w:r>
      <w:r>
        <w:t xml:space="preserve"> </w:t>
      </w:r>
      <w:r w:rsidRPr="00707353">
        <w:t>registration</w:t>
      </w:r>
      <w:r>
        <w:t xml:space="preserve">. </w:t>
      </w:r>
      <w:r w:rsidRPr="00707353">
        <w:t>The Periodic Safety Update Report (PSUR) will be submitted in 2022, when</w:t>
      </w:r>
      <w:r>
        <w:t xml:space="preserve"> </w:t>
      </w:r>
      <w:r w:rsidRPr="00707353">
        <w:t>available.</w:t>
      </w:r>
    </w:p>
    <w:p w14:paraId="0BCE9870" w14:textId="512B0055" w:rsidR="00707353" w:rsidRPr="00707353" w:rsidRDefault="00707353" w:rsidP="00707353">
      <w:pPr>
        <w:pStyle w:val="ListBullet"/>
      </w:pPr>
      <w:r>
        <w:t>For all injectable products the Product Information must be included with the product as a package insert.</w:t>
      </w:r>
    </w:p>
    <w:p w14:paraId="451DC3FC" w14:textId="77777777" w:rsidR="00C22214" w:rsidRDefault="00C22214" w:rsidP="00C22214">
      <w:pPr>
        <w:pStyle w:val="Heading2"/>
      </w:pPr>
      <w:bookmarkStart w:id="83" w:name="_Toc103679303"/>
      <w:bookmarkStart w:id="84" w:name="_Toc135296235"/>
      <w:r>
        <w:t>Attachment 1. Product Information</w:t>
      </w:r>
      <w:bookmarkEnd w:id="83"/>
      <w:bookmarkEnd w:id="84"/>
    </w:p>
    <w:p w14:paraId="53357BF3" w14:textId="54627798" w:rsidR="00C22214" w:rsidRDefault="00C22214" w:rsidP="00C22214">
      <w:pPr>
        <w:rPr>
          <w:lang w:eastAsia="ja-JP"/>
        </w:rPr>
        <w:sectPr w:rsidR="00C22214" w:rsidSect="007452E8">
          <w:headerReference w:type="default" r:id="rId55"/>
          <w:footerReference w:type="default" r:id="rId56"/>
          <w:pgSz w:w="11906" w:h="16838" w:code="9"/>
          <w:pgMar w:top="1134" w:right="1418" w:bottom="1361" w:left="1418" w:header="573" w:footer="567" w:gutter="0"/>
          <w:cols w:space="708"/>
          <w:docGrid w:linePitch="360"/>
        </w:sectPr>
      </w:pPr>
      <w:r w:rsidRPr="002B3624">
        <w:t xml:space="preserve">The </w:t>
      </w:r>
      <w:r>
        <w:t>PI</w:t>
      </w:r>
      <w:r w:rsidRPr="002B3624">
        <w:t xml:space="preserve"> for </w:t>
      </w:r>
      <w:r w:rsidR="00707353">
        <w:t>Filpegla</w:t>
      </w:r>
      <w:r>
        <w:t xml:space="preserve"> approved with the submission which is described in </w:t>
      </w:r>
      <w:r w:rsidRPr="002B3624">
        <w:t>this AusPAR is at Attachment 1.</w:t>
      </w:r>
      <w:r>
        <w:t xml:space="preserve"> </w:t>
      </w:r>
      <w:r w:rsidRPr="00940A89">
        <w:t xml:space="preserve">For the most recent </w:t>
      </w:r>
      <w:r>
        <w:t>PI,</w:t>
      </w:r>
      <w:r w:rsidRPr="00940A89">
        <w:t xml:space="preserve"> ple</w:t>
      </w:r>
      <w:r>
        <w:t xml:space="preserve">ase refer to the TGA </w:t>
      </w:r>
      <w:hyperlink r:id="rId57" w:history="1">
        <w:r w:rsidRPr="008A698E">
          <w:rPr>
            <w:rStyle w:val="Hyperlink"/>
          </w:rPr>
          <w:t>PI/CMI search facility.</w:t>
        </w:r>
      </w:hyperlink>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6007FFA9" w:rsidR="00F02AEC" w:rsidRDefault="00F02AEC">
            <w:pPr>
              <w:pStyle w:val="Address"/>
              <w:jc w:val="center"/>
              <w:rPr>
                <w:sz w:val="22"/>
                <w:szCs w:val="22"/>
              </w:rPr>
            </w:pPr>
            <w:r w:rsidRPr="00215D48">
              <w:t xml:space="preserve">Email: </w:t>
            </w:r>
            <w:hyperlink r:id="rId58" w:history="1">
              <w:r w:rsidRPr="00215D48">
                <w:rPr>
                  <w:rStyle w:val="Hyperlink"/>
                </w:rPr>
                <w:t>info@tga.gov.au</w:t>
              </w:r>
            </w:hyperlink>
            <w:r w:rsidR="00CA664A">
              <w:t xml:space="preserve"> </w:t>
            </w:r>
            <w:r w:rsidRPr="00215D48">
              <w:t xml:space="preserve">Phone: 1800 020 653 Fax: </w:t>
            </w:r>
            <w:r w:rsidRPr="00BA0DFC">
              <w:t>02 6203 1605</w:t>
            </w:r>
          </w:p>
          <w:p w14:paraId="4533D80F" w14:textId="0CB5F7FA" w:rsidR="00F02AEC" w:rsidRPr="00215D48" w:rsidRDefault="00C171EF">
            <w:pPr>
              <w:pStyle w:val="Address"/>
              <w:jc w:val="center"/>
              <w:rPr>
                <w:rStyle w:val="Hyperlink"/>
                <w:b/>
                <w:color w:val="auto"/>
                <w:sz w:val="22"/>
              </w:rPr>
            </w:pPr>
            <w:hyperlink r:id="rId59"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60"/>
      <w:footerReference w:type="first" r:id="rId61"/>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83711" w14:textId="77777777" w:rsidR="0065093B" w:rsidRDefault="0065093B" w:rsidP="00F02AEC">
      <w:pPr>
        <w:spacing w:after="0" w:line="240" w:lineRule="auto"/>
      </w:pPr>
      <w:r>
        <w:separator/>
      </w:r>
    </w:p>
  </w:endnote>
  <w:endnote w:type="continuationSeparator" w:id="0">
    <w:p w14:paraId="64C47762" w14:textId="77777777" w:rsidR="0065093B" w:rsidRDefault="0065093B"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830D9" w:rsidRPr="00257138" w14:paraId="162D69C2" w14:textId="77777777" w:rsidTr="007452E8">
      <w:trPr>
        <w:trHeight w:val="423"/>
      </w:trPr>
      <w:tc>
        <w:tcPr>
          <w:tcW w:w="4360" w:type="dxa"/>
          <w:tcBorders>
            <w:top w:val="single" w:sz="4" w:space="0" w:color="auto"/>
          </w:tcBorders>
        </w:tcPr>
        <w:p w14:paraId="32E1B782" w14:textId="77777777" w:rsidR="007830D9" w:rsidRDefault="007830D9" w:rsidP="007452E8">
          <w:pPr>
            <w:pStyle w:val="Footer"/>
          </w:pPr>
        </w:p>
        <w:p w14:paraId="1849C07C" w14:textId="77777777" w:rsidR="007830D9" w:rsidRPr="00257138" w:rsidRDefault="007830D9"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830D9" w:rsidRDefault="007830D9" w:rsidP="007452E8">
              <w:pPr>
                <w:pStyle w:val="Footer"/>
                <w:jc w:val="right"/>
              </w:pPr>
            </w:p>
            <w:p w14:paraId="5EDE6DF6" w14:textId="77777777" w:rsidR="007830D9" w:rsidRPr="00257138" w:rsidRDefault="007830D9"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C171EF">
                <w:fldChar w:fldCharType="begin"/>
              </w:r>
              <w:r w:rsidR="00C171EF">
                <w:instrText xml:space="preserve"> NUMPAGES  </w:instrText>
              </w:r>
              <w:r w:rsidR="00C171EF">
                <w:fldChar w:fldCharType="separate"/>
              </w:r>
              <w:r>
                <w:rPr>
                  <w:noProof/>
                </w:rPr>
                <w:t>2</w:t>
              </w:r>
              <w:r w:rsidR="00C171EF">
                <w:rPr>
                  <w:noProof/>
                </w:rPr>
                <w:fldChar w:fldCharType="end"/>
              </w:r>
            </w:p>
          </w:sdtContent>
        </w:sdt>
      </w:tc>
    </w:tr>
    <w:tr w:rsidR="007830D9" w:rsidRPr="00257138" w14:paraId="280F09C8" w14:textId="77777777" w:rsidTr="007452E8">
      <w:trPr>
        <w:trHeight w:val="263"/>
      </w:trPr>
      <w:tc>
        <w:tcPr>
          <w:tcW w:w="4360" w:type="dxa"/>
        </w:tcPr>
        <w:p w14:paraId="673F06D3" w14:textId="77777777" w:rsidR="007830D9" w:rsidRPr="00257138" w:rsidRDefault="007830D9" w:rsidP="007452E8">
          <w:pPr>
            <w:pStyle w:val="Footer"/>
          </w:pPr>
          <w:r w:rsidRPr="00257138">
            <w:t xml:space="preserve">V1.0 </w:t>
          </w:r>
          <w:r>
            <w:t>Month</w:t>
          </w:r>
          <w:r w:rsidRPr="00257138">
            <w:t xml:space="preserve"> 201</w:t>
          </w:r>
          <w:r>
            <w:t>2</w:t>
          </w:r>
        </w:p>
      </w:tc>
      <w:tc>
        <w:tcPr>
          <w:tcW w:w="4360" w:type="dxa"/>
        </w:tcPr>
        <w:p w14:paraId="77F5B433" w14:textId="77777777" w:rsidR="007830D9" w:rsidRPr="00257138" w:rsidRDefault="007830D9" w:rsidP="007452E8">
          <w:pPr>
            <w:pStyle w:val="Footer"/>
            <w:jc w:val="right"/>
          </w:pPr>
        </w:p>
      </w:tc>
    </w:tr>
  </w:tbl>
  <w:p w14:paraId="63F6FDDE" w14:textId="77777777" w:rsidR="007830D9" w:rsidRPr="00826007" w:rsidRDefault="007830D9"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830D9" w:rsidRDefault="007830D9"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830D9" w:rsidRPr="004A3084" w14:paraId="6266BC33" w14:textId="77777777" w:rsidTr="007452E8">
      <w:trPr>
        <w:trHeight w:val="423"/>
      </w:trPr>
      <w:tc>
        <w:tcPr>
          <w:tcW w:w="7338" w:type="dxa"/>
          <w:tcBorders>
            <w:top w:val="single" w:sz="4" w:space="0" w:color="auto"/>
          </w:tcBorders>
        </w:tcPr>
        <w:p w14:paraId="3C421323" w14:textId="557ADDB9" w:rsidR="007830D9" w:rsidRPr="004A3084" w:rsidRDefault="007830D9" w:rsidP="007452E8">
          <w:pPr>
            <w:pStyle w:val="Footer"/>
          </w:pPr>
          <w:r w:rsidRPr="00487162">
            <w:t>AusPA</w:t>
          </w:r>
          <w:r>
            <w:t xml:space="preserve">R - </w:t>
          </w:r>
          <w:r w:rsidRPr="00387C88">
            <w:t>F</w:t>
          </w:r>
          <w:r>
            <w:t>ilpegla</w:t>
          </w:r>
          <w:r w:rsidRPr="00387C88">
            <w:t xml:space="preserve"> - Pegfilgrastim - Cipla Australia Pty Ltd - PM-2021-00464-1-6</w:t>
          </w:r>
          <w:r>
            <w:br/>
          </w:r>
          <w:r w:rsidR="00410780">
            <w:t>FINAL</w:t>
          </w:r>
          <w:r w:rsidRPr="00487162">
            <w:t xml:space="preserve"> </w:t>
          </w:r>
          <w:r w:rsidR="00410780">
            <w:t>18</w:t>
          </w:r>
          <w:r>
            <w:t xml:space="preserve"> May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4C514468" w:rsidR="007830D9" w:rsidRPr="004A3084" w:rsidRDefault="007830D9" w:rsidP="007452E8">
              <w:pPr>
                <w:pStyle w:val="Footer"/>
                <w:jc w:val="right"/>
              </w:pPr>
              <w:r w:rsidRPr="004A3084">
                <w:t xml:space="preserve">Page </w:t>
              </w:r>
              <w:r>
                <w:fldChar w:fldCharType="begin"/>
              </w:r>
              <w:r>
                <w:instrText xml:space="preserve"> PAGE </w:instrText>
              </w:r>
              <w:r>
                <w:fldChar w:fldCharType="separate"/>
              </w:r>
              <w:r w:rsidR="00421C28">
                <w:rPr>
                  <w:noProof/>
                </w:rPr>
                <w:t>8</w:t>
              </w:r>
              <w:r>
                <w:rPr>
                  <w:noProof/>
                </w:rPr>
                <w:fldChar w:fldCharType="end"/>
              </w:r>
              <w:r w:rsidRPr="004A3084">
                <w:t xml:space="preserve"> of </w:t>
              </w:r>
              <w:r w:rsidR="00C171EF">
                <w:fldChar w:fldCharType="begin"/>
              </w:r>
              <w:r w:rsidR="00C171EF">
                <w:instrText xml:space="preserve"> NUMPAGES  </w:instrText>
              </w:r>
              <w:r w:rsidR="00C171EF">
                <w:fldChar w:fldCharType="separate"/>
              </w:r>
              <w:r w:rsidR="00421C28">
                <w:rPr>
                  <w:noProof/>
                </w:rPr>
                <w:t>34</w:t>
              </w:r>
              <w:r w:rsidR="00C171EF">
                <w:rPr>
                  <w:noProof/>
                </w:rPr>
                <w:fldChar w:fldCharType="end"/>
              </w:r>
            </w:p>
          </w:sdtContent>
        </w:sdt>
      </w:tc>
    </w:tr>
  </w:tbl>
  <w:p w14:paraId="1A4EDE60" w14:textId="77777777" w:rsidR="007830D9" w:rsidRPr="00826007" w:rsidRDefault="007830D9"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830D9" w:rsidRPr="008E3C43" w:rsidRDefault="007830D9"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1271D" w14:textId="77777777" w:rsidR="0065093B" w:rsidRDefault="0065093B" w:rsidP="00F02AEC">
      <w:pPr>
        <w:spacing w:after="0" w:line="240" w:lineRule="auto"/>
      </w:pPr>
      <w:r>
        <w:separator/>
      </w:r>
    </w:p>
  </w:footnote>
  <w:footnote w:type="continuationSeparator" w:id="0">
    <w:p w14:paraId="42EE0F40" w14:textId="77777777" w:rsidR="0065093B" w:rsidRDefault="0065093B" w:rsidP="00F02AEC">
      <w:pPr>
        <w:spacing w:after="0" w:line="240" w:lineRule="auto"/>
      </w:pPr>
      <w:r>
        <w:continuationSeparator/>
      </w:r>
    </w:p>
  </w:footnote>
  <w:footnote w:id="1">
    <w:p w14:paraId="68402A9B" w14:textId="60286C39" w:rsidR="007830D9" w:rsidRPr="00A93DC6" w:rsidRDefault="007830D9">
      <w:pPr>
        <w:pStyle w:val="FootnoteText"/>
        <w:rPr>
          <w:lang w:val="en-GB"/>
        </w:rPr>
      </w:pPr>
      <w:r>
        <w:rPr>
          <w:rStyle w:val="FootnoteReference"/>
        </w:rPr>
        <w:footnoteRef/>
      </w:r>
      <w:r>
        <w:t xml:space="preserve"> This is the original indication proposed by the sponsor</w:t>
      </w:r>
      <w:r>
        <w:rPr>
          <w:lang w:val="en-GB"/>
        </w:rPr>
        <w:t xml:space="preserve"> when the TGA commenced the evaluation of this submission. It </w:t>
      </w:r>
      <w:r w:rsidRPr="007452E8">
        <w:rPr>
          <w:lang w:val="en-GB"/>
        </w:rPr>
        <w:t xml:space="preserve">may </w:t>
      </w:r>
      <w:r>
        <w:rPr>
          <w:lang w:val="en-GB"/>
        </w:rPr>
        <w:t>differ</w:t>
      </w:r>
      <w:r w:rsidRPr="007452E8">
        <w:rPr>
          <w:lang w:val="en-GB"/>
        </w:rPr>
        <w:t xml:space="preserve"> to the final indication approved by th</w:t>
      </w:r>
      <w:r>
        <w:rPr>
          <w:lang w:val="en-GB"/>
        </w:rPr>
        <w:t>e TGA and registered on the Australian Register of Therapeutic Goods.</w:t>
      </w:r>
    </w:p>
  </w:footnote>
  <w:footnote w:id="2">
    <w:p w14:paraId="44B8B1A0" w14:textId="28D4D45E" w:rsidR="007830D9" w:rsidRPr="00410780" w:rsidRDefault="007830D9">
      <w:pPr>
        <w:pStyle w:val="FootnoteText"/>
        <w:rPr>
          <w:lang w:val="en-GB"/>
        </w:rPr>
      </w:pPr>
      <w:r>
        <w:rPr>
          <w:rStyle w:val="FootnoteReference"/>
        </w:rPr>
        <w:footnoteRef/>
      </w:r>
      <w:r>
        <w:t xml:space="preserve"> </w:t>
      </w:r>
      <w:r w:rsidRPr="001E008B">
        <w:t xml:space="preserve">Andres E, Federici L, Weitten T, et al. Recognition and management of drug-induced blood cytopenias: the example of drug-induced acute neutropenia and agranulocytosis. </w:t>
      </w:r>
      <w:r w:rsidRPr="00410780">
        <w:rPr>
          <w:i/>
        </w:rPr>
        <w:t xml:space="preserve">Expert Opin Drug Saf. </w:t>
      </w:r>
      <w:r w:rsidRPr="001E008B">
        <w:t>2008 Jul;7(4):481-9.</w:t>
      </w:r>
    </w:p>
  </w:footnote>
  <w:footnote w:id="3">
    <w:p w14:paraId="612A10A4" w14:textId="0246A22C" w:rsidR="00421C28" w:rsidRPr="00410780" w:rsidRDefault="00421C28">
      <w:pPr>
        <w:pStyle w:val="FootnoteText"/>
        <w:rPr>
          <w:lang w:val="en-GB"/>
        </w:rPr>
      </w:pPr>
      <w:r>
        <w:rPr>
          <w:rStyle w:val="FootnoteReference"/>
        </w:rPr>
        <w:footnoteRef/>
      </w:r>
      <w:r>
        <w:t xml:space="preserve"> </w:t>
      </w:r>
      <w:r w:rsidRPr="00421C28">
        <w:t xml:space="preserve">Georges, Q., Azoulay, E., Mokart, D. et al. Influence of neutropenia on mortality of critically ill cancer patients: results of a meta-analysis on individual data. </w:t>
      </w:r>
      <w:r w:rsidRPr="00410780">
        <w:rPr>
          <w:i/>
        </w:rPr>
        <w:t>Crit Care</w:t>
      </w:r>
      <w:r w:rsidRPr="00421C28">
        <w:t xml:space="preserve"> 22, 326 (2018).</w:t>
      </w:r>
    </w:p>
  </w:footnote>
  <w:footnote w:id="4">
    <w:p w14:paraId="3A4667D3" w14:textId="74FC14E8" w:rsidR="007830D9" w:rsidRDefault="007830D9">
      <w:pPr>
        <w:pStyle w:val="FootnoteText"/>
      </w:pPr>
      <w:r>
        <w:rPr>
          <w:rStyle w:val="FootnoteReference"/>
        </w:rPr>
        <w:footnoteRef/>
      </w:r>
      <w:r>
        <w:t xml:space="preserve"> Neulasta was first registered in Australia on 26 September 2002. ARTG number: 82873.</w:t>
      </w:r>
    </w:p>
  </w:footnote>
  <w:footnote w:id="5">
    <w:p w14:paraId="2FF7978E" w14:textId="762C6B21" w:rsidR="007830D9" w:rsidRDefault="007830D9">
      <w:pPr>
        <w:pStyle w:val="FootnoteText"/>
      </w:pPr>
      <w:r>
        <w:rPr>
          <w:rStyle w:val="FootnoteReference"/>
        </w:rPr>
        <w:footnoteRef/>
      </w:r>
      <w:r>
        <w:t xml:space="preserve"> </w:t>
      </w:r>
      <w:r w:rsidRPr="00F463A7">
        <w:t>Ristempa</w:t>
      </w:r>
      <w:r>
        <w:t xml:space="preserve"> was first registered in Australia on 30 January 2017. ARTG number: 283847.</w:t>
      </w:r>
    </w:p>
  </w:footnote>
  <w:footnote w:id="6">
    <w:p w14:paraId="0670AE23" w14:textId="4BAE8E98" w:rsidR="007830D9" w:rsidRDefault="007830D9">
      <w:pPr>
        <w:pStyle w:val="FootnoteText"/>
      </w:pPr>
      <w:r>
        <w:rPr>
          <w:rStyle w:val="FootnoteReference"/>
        </w:rPr>
        <w:footnoteRef/>
      </w:r>
      <w:r>
        <w:t xml:space="preserve"> </w:t>
      </w:r>
      <w:r w:rsidRPr="00F463A7">
        <w:t>Ziextenzo</w:t>
      </w:r>
      <w:r>
        <w:t xml:space="preserve"> was first registered in Australia on 06 September 2019. ARTG number 308367.</w:t>
      </w:r>
    </w:p>
  </w:footnote>
  <w:footnote w:id="7">
    <w:p w14:paraId="294864A7" w14:textId="215A08D6" w:rsidR="007830D9" w:rsidRDefault="007830D9">
      <w:pPr>
        <w:pStyle w:val="FootnoteText"/>
      </w:pPr>
      <w:r>
        <w:rPr>
          <w:rStyle w:val="FootnoteReference"/>
        </w:rPr>
        <w:footnoteRef/>
      </w:r>
      <w:r>
        <w:t xml:space="preserve"> </w:t>
      </w:r>
      <w:r w:rsidRPr="00F463A7">
        <w:t>Tezmota</w:t>
      </w:r>
      <w:r>
        <w:t xml:space="preserve"> was first registered in Australia on 23 March 2018. ARTG number 298402.</w:t>
      </w:r>
    </w:p>
  </w:footnote>
  <w:footnote w:id="8">
    <w:p w14:paraId="70A97164" w14:textId="2D4A7C56" w:rsidR="007830D9" w:rsidRDefault="007830D9">
      <w:pPr>
        <w:pStyle w:val="FootnoteText"/>
      </w:pPr>
      <w:r>
        <w:rPr>
          <w:rStyle w:val="FootnoteReference"/>
        </w:rPr>
        <w:footnoteRef/>
      </w:r>
      <w:r>
        <w:t xml:space="preserve"> </w:t>
      </w:r>
      <w:r w:rsidRPr="00F463A7">
        <w:t>Neutropeg</w:t>
      </w:r>
      <w:r>
        <w:t xml:space="preserve"> was first registered in Australia on 19 August 2019. ARTG number 308176.</w:t>
      </w:r>
    </w:p>
  </w:footnote>
  <w:footnote w:id="9">
    <w:p w14:paraId="34936666" w14:textId="2AD88466" w:rsidR="007830D9" w:rsidRDefault="007830D9">
      <w:pPr>
        <w:pStyle w:val="FootnoteText"/>
      </w:pPr>
      <w:r>
        <w:rPr>
          <w:rStyle w:val="FootnoteReference"/>
        </w:rPr>
        <w:footnoteRef/>
      </w:r>
      <w:r>
        <w:t xml:space="preserve"> </w:t>
      </w:r>
      <w:r w:rsidRPr="00F463A7">
        <w:t>Fulphila</w:t>
      </w:r>
      <w:r>
        <w:t xml:space="preserve"> was first registered in Australia on 17 August 2018. ARTG number 282830.</w:t>
      </w:r>
    </w:p>
  </w:footnote>
  <w:footnote w:id="10">
    <w:p w14:paraId="01EB237C" w14:textId="3AE1EF57" w:rsidR="007830D9" w:rsidRDefault="007830D9">
      <w:pPr>
        <w:pStyle w:val="FootnoteText"/>
      </w:pPr>
      <w:r>
        <w:rPr>
          <w:rStyle w:val="FootnoteReference"/>
        </w:rPr>
        <w:footnoteRef/>
      </w:r>
      <w:r>
        <w:t xml:space="preserve"> </w:t>
      </w:r>
      <w:r w:rsidRPr="00F463A7">
        <w:t>Pelgraz</w:t>
      </w:r>
      <w:r>
        <w:t xml:space="preserve"> was first registered in Australia on 19 August 2019. ARTG number 308177.</w:t>
      </w:r>
    </w:p>
  </w:footnote>
  <w:footnote w:id="11">
    <w:p w14:paraId="05665065" w14:textId="7D4BA0AC" w:rsidR="007830D9" w:rsidRPr="001D1C05" w:rsidRDefault="007830D9">
      <w:pPr>
        <w:pStyle w:val="FootnoteText"/>
      </w:pPr>
      <w:r w:rsidRPr="001D1C05">
        <w:rPr>
          <w:rStyle w:val="FootnoteReference"/>
        </w:rPr>
        <w:footnoteRef/>
      </w:r>
      <w:r w:rsidRPr="001D1C05">
        <w:t xml:space="preserve"> G. Molineux. The design and development of pegfilgrastim (PEG-rmetHuG-CSF, Neulasta), </w:t>
      </w:r>
      <w:r w:rsidRPr="001D1C05">
        <w:rPr>
          <w:i/>
          <w:iCs/>
        </w:rPr>
        <w:t>Current Pharmaceutical Design</w:t>
      </w:r>
      <w:r w:rsidRPr="001D1C05">
        <w:t>, 2004; 10: 1235-1244.</w:t>
      </w:r>
    </w:p>
  </w:footnote>
  <w:footnote w:id="12">
    <w:p w14:paraId="39A43BAA" w14:textId="72EFF1C2" w:rsidR="007830D9" w:rsidRPr="00410780" w:rsidRDefault="007830D9">
      <w:pPr>
        <w:pStyle w:val="FootnoteText"/>
        <w:rPr>
          <w:lang w:val="en-GB"/>
        </w:rPr>
      </w:pPr>
      <w:r>
        <w:rPr>
          <w:rStyle w:val="FootnoteReference"/>
        </w:rPr>
        <w:footnoteRef/>
      </w:r>
      <w:r>
        <w:t xml:space="preserve"> TGA Guidance on Biosimilar medicines regulation (April 2018). Available online at: </w:t>
      </w:r>
      <w:hyperlink r:id="rId1" w:history="1">
        <w:r w:rsidRPr="005C7AEA">
          <w:rPr>
            <w:rStyle w:val="Hyperlink"/>
          </w:rPr>
          <w:t>https://www.tga.gov.au/publication/biosimilar-medicines-regulation</w:t>
        </w:r>
      </w:hyperlink>
    </w:p>
  </w:footnote>
  <w:footnote w:id="13">
    <w:p w14:paraId="79F246BF" w14:textId="1430C464" w:rsidR="007830D9" w:rsidRDefault="007830D9">
      <w:pPr>
        <w:pStyle w:val="FootnoteText"/>
      </w:pPr>
      <w:r>
        <w:rPr>
          <w:rStyle w:val="FootnoteReference"/>
        </w:rPr>
        <w:footnoteRef/>
      </w:r>
      <w:r>
        <w:t xml:space="preserve"> EMA/EMEA (2005); </w:t>
      </w:r>
      <w:hyperlink r:id="rId2" w:history="1">
        <w:r w:rsidRPr="00755133">
          <w:rPr>
            <w:rStyle w:val="Hyperlink"/>
          </w:rPr>
          <w:t>Guideline on similar biological medicinal products containing biotechnology-derived proteins as active substance: non-clinical and clinical issues</w:t>
        </w:r>
      </w:hyperlink>
      <w:r w:rsidRPr="00755133">
        <w:t xml:space="preserve"> (EMEA/CHMP/BMWP/42832/2005 Rev. 1).</w:t>
      </w:r>
    </w:p>
  </w:footnote>
  <w:footnote w:id="14">
    <w:p w14:paraId="0EFE8D01" w14:textId="22889174" w:rsidR="007830D9" w:rsidRPr="00755133" w:rsidRDefault="007830D9" w:rsidP="00755133">
      <w:pPr>
        <w:pStyle w:val="FootnoteText"/>
      </w:pPr>
      <w:r>
        <w:rPr>
          <w:rStyle w:val="FootnoteReference"/>
        </w:rPr>
        <w:footnoteRef/>
      </w:r>
      <w:r>
        <w:t xml:space="preserve"> EMA/EMEA (2005): </w:t>
      </w:r>
      <w:hyperlink r:id="rId3" w:history="1">
        <w:r w:rsidRPr="00755133">
          <w:rPr>
            <w:rStyle w:val="Hyperlink"/>
          </w:rPr>
          <w:t>Annex to guideline on similar biological medicinal products containing biotechnology-derived proteins as active substance: Non-clinical and clinical  issues</w:t>
        </w:r>
      </w:hyperlink>
      <w:r w:rsidRPr="00755133">
        <w:t xml:space="preserve"> </w:t>
      </w:r>
    </w:p>
    <w:p w14:paraId="6E0FC4EC" w14:textId="047125B1" w:rsidR="007830D9" w:rsidRPr="00755133" w:rsidRDefault="007830D9">
      <w:pPr>
        <w:pStyle w:val="FootnoteText"/>
      </w:pPr>
      <w:r w:rsidRPr="00755133">
        <w:rPr>
          <w:i/>
        </w:rPr>
        <w:t>Guidance on similar medicinal products containing recombinant granulocyte-colony stimulating factor</w:t>
      </w:r>
      <w:r>
        <w:t xml:space="preserve"> </w:t>
      </w:r>
      <w:r w:rsidRPr="00755133">
        <w:t>(EMEA/CHMP/BMWP/31329/2005).</w:t>
      </w:r>
    </w:p>
  </w:footnote>
  <w:footnote w:id="15">
    <w:p w14:paraId="732ED892" w14:textId="55209448" w:rsidR="007830D9" w:rsidRDefault="007830D9">
      <w:pPr>
        <w:pStyle w:val="FootnoteText"/>
      </w:pPr>
      <w:r>
        <w:rPr>
          <w:rStyle w:val="FootnoteReference"/>
        </w:rPr>
        <w:footnoteRef/>
      </w:r>
      <w:r>
        <w:t xml:space="preserve"> TAC regimen: six</w:t>
      </w:r>
      <w:r w:rsidRPr="002A2DBC">
        <w:t xml:space="preserve"> chemotherapy cycles with docetaxel in combination with doxorubicin and cyclophosphamide</w:t>
      </w:r>
      <w:r>
        <w:t>.</w:t>
      </w:r>
    </w:p>
  </w:footnote>
  <w:footnote w:id="16">
    <w:p w14:paraId="779964CD" w14:textId="5A834F86" w:rsidR="007830D9" w:rsidRDefault="007830D9">
      <w:pPr>
        <w:pStyle w:val="FootnoteText"/>
      </w:pPr>
      <w:r>
        <w:rPr>
          <w:rStyle w:val="FootnoteReference"/>
        </w:rPr>
        <w:footnoteRef/>
      </w:r>
      <w:r>
        <w:t xml:space="preserve"> Grades are b</w:t>
      </w:r>
      <w:r w:rsidRPr="00D0398A">
        <w:t>ased on National Cancer Institute Common Terminology Criteria for Adverse Events (NCI CTCAE) v</w:t>
      </w:r>
      <w:r>
        <w:t> </w:t>
      </w:r>
      <w:r w:rsidRPr="00D0398A">
        <w:t>4.03.</w:t>
      </w:r>
      <w:r>
        <w:t xml:space="preserve"> available from </w:t>
      </w:r>
      <w:hyperlink r:id="rId4" w:history="1">
        <w:r>
          <w:rPr>
            <w:rStyle w:val="Hyperlink"/>
          </w:rPr>
          <w:t>Common Terminology Criteria for Adverse Events (CTCAE) (nih.gov)</w:t>
        </w:r>
      </w:hyperlink>
    </w:p>
  </w:footnote>
  <w:footnote w:id="17">
    <w:p w14:paraId="4D8DC8AF" w14:textId="3FF6CC43" w:rsidR="00F24C2F" w:rsidRPr="00410780" w:rsidRDefault="00F24C2F">
      <w:pPr>
        <w:pStyle w:val="FootnoteText"/>
        <w:rPr>
          <w:lang w:val="en-GB"/>
        </w:rPr>
      </w:pPr>
      <w:r>
        <w:rPr>
          <w:rStyle w:val="FootnoteReference"/>
        </w:rPr>
        <w:footnoteRef/>
      </w:r>
      <w:r>
        <w:t xml:space="preserve"> European Medicines Agency (EMA): Neulasta Product Information; Annex I: Summary of Product Characteristics (SmPC). Available at: </w:t>
      </w:r>
      <w:hyperlink r:id="rId5" w:history="1">
        <w:r>
          <w:rPr>
            <w:rStyle w:val="Hyperlink"/>
          </w:rPr>
          <w:t>Neulasta, INN-pegfilgrastim (europa.eu)</w:t>
        </w:r>
      </w:hyperlink>
    </w:p>
  </w:footnote>
  <w:footnote w:id="18">
    <w:p w14:paraId="17CC4E4C" w14:textId="572609C6" w:rsidR="007830D9" w:rsidRPr="00707353" w:rsidRDefault="007830D9">
      <w:pPr>
        <w:pStyle w:val="FootnoteText"/>
      </w:pPr>
      <w:r>
        <w:rPr>
          <w:rStyle w:val="FootnoteReference"/>
        </w:rPr>
        <w:footnoteRef/>
      </w:r>
      <w:r>
        <w:t xml:space="preserve"> Bellon, A. et al. </w:t>
      </w:r>
      <w:r w:rsidRPr="00707353">
        <w:t>A large multicentre, randomized, double‐blind, cross‐over study in healthy volunteers to compare pharmacokinetics, pharmacodynamics and safety of a pegfilgrastim biosimilar with its US‐ and EU‐reference biologics</w:t>
      </w:r>
      <w:r>
        <w:t xml:space="preserve">, </w:t>
      </w:r>
      <w:r>
        <w:rPr>
          <w:i/>
          <w:iCs/>
        </w:rPr>
        <w:t>British Journal of Clinical Parmacology</w:t>
      </w:r>
      <w:r>
        <w:t>, 2020; 86(6): 1139-1149.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830D9" w:rsidRPr="00CB0550" w:rsidRDefault="007830D9"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830D9" w:rsidRPr="002B29B2" w14:paraId="3E15C3BC" w14:textId="77777777" w:rsidTr="007452E8">
      <w:trPr>
        <w:trHeight w:hRule="exact" w:val="8845"/>
      </w:trPr>
      <w:tc>
        <w:tcPr>
          <w:tcW w:w="11964" w:type="dxa"/>
          <w:vAlign w:val="center"/>
        </w:tcPr>
        <w:p w14:paraId="6FDE4BFB" w14:textId="2723E64E" w:rsidR="007830D9" w:rsidRPr="002B29B2" w:rsidRDefault="00410780" w:rsidP="007452E8">
          <w:pPr>
            <w:ind w:left="-57"/>
            <w:rPr>
              <w:noProof/>
            </w:rPr>
          </w:pPr>
          <w:r w:rsidRPr="002B29B2">
            <w:rPr>
              <w:noProof/>
              <w:lang w:val="en-GB" w:eastAsia="en-GB"/>
            </w:rPr>
            <w:drawing>
              <wp:anchor distT="0" distB="0" distL="114300" distR="114300" simplePos="0" relativeHeight="251660288" behindDoc="0" locked="0" layoutInCell="0" allowOverlap="1" wp14:anchorId="14BBEAC1" wp14:editId="538BEC31">
                <wp:simplePos x="0" y="0"/>
                <wp:positionH relativeFrom="page">
                  <wp:posOffset>0</wp:posOffset>
                </wp:positionH>
                <wp:positionV relativeFrom="page">
                  <wp:posOffset>-2531745</wp:posOffset>
                </wp:positionV>
                <wp:extent cx="7663815" cy="4323080"/>
                <wp:effectExtent l="0" t="0" r="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63815" cy="4323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sdt>
            <w:sdtPr>
              <w:rPr>
                <w:noProof/>
              </w:rPr>
              <w:id w:val="1926993388"/>
              <w:showingPlcHdr/>
              <w:picture/>
            </w:sdtPr>
            <w:sdtEndPr/>
            <w:sdtContent>
              <w:r w:rsidR="007830D9" w:rsidRPr="00F71E1E">
                <w:rPr>
                  <w:noProof/>
                  <w:lang w:val="en-GB" w:eastAsia="en-GB"/>
                </w:rPr>
                <w:drawing>
                  <wp:inline distT="0" distB="0" distL="0" distR="0" wp14:anchorId="5C7F8AC9" wp14:editId="1AD22A61">
                    <wp:extent cx="7631430" cy="5523865"/>
                    <wp:effectExtent l="0" t="0" r="762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2"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20819AFF" w:rsidR="007830D9" w:rsidRDefault="007830D9" w:rsidP="007452E8">
    <w:pPr>
      <w:rPr>
        <w:noProof/>
      </w:rPr>
    </w:pPr>
    <w:r>
      <w:rPr>
        <w:noProof/>
        <w:lang w:val="en-GB" w:eastAsia="en-GB"/>
      </w:rPr>
      <w:drawing>
        <wp:anchor distT="0" distB="0" distL="114300" distR="114300" simplePos="0" relativeHeight="251661312" behindDoc="0" locked="0" layoutInCell="1" allowOverlap="1" wp14:anchorId="19C10218" wp14:editId="48BCF737">
          <wp:simplePos x="0" y="0"/>
          <wp:positionH relativeFrom="column">
            <wp:posOffset>-400050</wp:posOffset>
          </wp:positionH>
          <wp:positionV relativeFrom="paragraph">
            <wp:posOffset>-116205</wp:posOffset>
          </wp:positionV>
          <wp:extent cx="2676525" cy="621665"/>
          <wp:effectExtent l="0" t="0" r="9525" b="6985"/>
          <wp:wrapTopAndBottom/>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830D9" w:rsidRDefault="007830D9"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830D9" w:rsidRPr="00FE501F" w:rsidRDefault="007830D9"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54EE76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2983"/>
    <w:multiLevelType w:val="multilevel"/>
    <w:tmpl w:val="A3CC504C"/>
    <w:lvl w:ilvl="0">
      <w:start w:val="1"/>
      <w:numFmt w:val="decimal"/>
      <w:lvlText w:val="%1."/>
      <w:lvlJc w:val="left"/>
      <w:pPr>
        <w:ind w:left="360" w:hanging="360"/>
      </w:pPr>
      <w:rPr>
        <w:rFonts w:ascii="Arial" w:hAnsi="Arial" w:hint="default"/>
      </w:rPr>
    </w:lvl>
    <w:lvl w:ilvl="1">
      <w:start w:val="1"/>
      <w:numFmt w:val="lowerRoman"/>
      <w:lvlText w:val="%2."/>
      <w:lvlJc w:val="righ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0053F11"/>
    <w:multiLevelType w:val="multilevel"/>
    <w:tmpl w:val="2C728824"/>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374728E"/>
    <w:multiLevelType w:val="hybridMultilevel"/>
    <w:tmpl w:val="09BCF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C6326FA"/>
    <w:multiLevelType w:val="hybridMultilevel"/>
    <w:tmpl w:val="DBAAA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26857350"/>
    <w:multiLevelType w:val="hybridMultilevel"/>
    <w:tmpl w:val="203E4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937D4A"/>
    <w:multiLevelType w:val="hybridMultilevel"/>
    <w:tmpl w:val="B9AEBF84"/>
    <w:lvl w:ilvl="0" w:tplc="F42CEE70">
      <w:numFmt w:val="bullet"/>
      <w:lvlText w:val="-"/>
      <w:lvlJc w:val="left"/>
      <w:pPr>
        <w:ind w:left="720" w:hanging="360"/>
      </w:pPr>
      <w:rPr>
        <w:rFonts w:ascii="Cambria" w:eastAsia="Cambria" w:hAnsi="Cambri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0913D8"/>
    <w:multiLevelType w:val="hybridMultilevel"/>
    <w:tmpl w:val="954E5786"/>
    <w:lvl w:ilvl="0" w:tplc="182CA18A">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3E2118"/>
    <w:multiLevelType w:val="hybridMultilevel"/>
    <w:tmpl w:val="BF04A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F45B10"/>
    <w:multiLevelType w:val="hybridMultilevel"/>
    <w:tmpl w:val="71122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4"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EFD4B11"/>
    <w:multiLevelType w:val="hybridMultilevel"/>
    <w:tmpl w:val="1CE60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lvlOverride w:ilvl="0">
      <w:lvl w:ilvl="0">
        <w:start w:val="1"/>
        <w:numFmt w:val="decimal"/>
        <w:pStyle w:val="Numberbullet0"/>
        <w:lvlText w:val="%1."/>
        <w:lvlJc w:val="left"/>
        <w:pPr>
          <w:ind w:left="360" w:hanging="360"/>
        </w:pPr>
        <w:rPr>
          <w:rFonts w:ascii="Cambria" w:hAnsi="Cambria" w:hint="default"/>
        </w:rPr>
      </w:lvl>
    </w:lvlOverride>
  </w:num>
  <w:num w:numId="3">
    <w:abstractNumId w:val="4"/>
  </w:num>
  <w:num w:numId="4">
    <w:abstractNumId w:val="14"/>
  </w:num>
  <w:num w:numId="5">
    <w:abstractNumId w:val="7"/>
  </w:num>
  <w:num w:numId="6">
    <w:abstractNumId w:val="13"/>
  </w:num>
  <w:num w:numId="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9"/>
  </w:num>
  <w:num w:numId="9">
    <w:abstractNumId w:val="11"/>
  </w:num>
  <w:num w:numId="10">
    <w:abstractNumId w:val="3"/>
  </w:num>
  <w:num w:numId="11">
    <w:abstractNumId w:val="12"/>
  </w:num>
  <w:num w:numId="12">
    <w:abstractNumId w:val="8"/>
  </w:num>
  <w:num w:numId="13">
    <w:abstractNumId w:val="15"/>
  </w:num>
  <w:num w:numId="14">
    <w:abstractNumId w:val="6"/>
  </w:num>
  <w:num w:numId="15">
    <w:abstractNumId w:val="16"/>
  </w:num>
  <w:num w:numId="16">
    <w:abstractNumId w:val="10"/>
  </w:num>
  <w:num w:numId="17">
    <w:abstractNumId w:val="2"/>
  </w:num>
  <w:num w:numId="18">
    <w:abstractNumId w:val="0"/>
  </w:num>
  <w:num w:numId="19">
    <w:abstractNumId w:val="2"/>
    <w:lvlOverride w:ilvl="0">
      <w:startOverride w:val="1"/>
      <w:lvl w:ilvl="0">
        <w:start w:val="1"/>
        <w:numFmt w:val="decimal"/>
        <w:pStyle w:val="Numberbullet0"/>
        <w:lvlText w:val="%1."/>
        <w:lvlJc w:val="left"/>
        <w:pPr>
          <w:ind w:left="360" w:hanging="360"/>
        </w:pPr>
        <w:rPr>
          <w:rFonts w:ascii="Cambria" w:hAnsi="Cambria" w:hint="default"/>
        </w:rPr>
      </w:lvl>
    </w:lvlOverride>
    <w:lvlOverride w:ilvl="1">
      <w:startOverride w:val="1"/>
      <w:lvl w:ilvl="1">
        <w:start w:val="1"/>
        <w:numFmt w:val="decimal"/>
        <w:pStyle w:val="Numberbullet2"/>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77844"/>
    <w:rsid w:val="00094B81"/>
    <w:rsid w:val="000975AA"/>
    <w:rsid w:val="000D7934"/>
    <w:rsid w:val="00101FB1"/>
    <w:rsid w:val="0012473C"/>
    <w:rsid w:val="0013528C"/>
    <w:rsid w:val="00165D28"/>
    <w:rsid w:val="00175CD8"/>
    <w:rsid w:val="001B2848"/>
    <w:rsid w:val="001C1C2E"/>
    <w:rsid w:val="001D1C05"/>
    <w:rsid w:val="001E008B"/>
    <w:rsid w:val="001F4B79"/>
    <w:rsid w:val="0020369B"/>
    <w:rsid w:val="00207E9F"/>
    <w:rsid w:val="00226F39"/>
    <w:rsid w:val="00241B60"/>
    <w:rsid w:val="002A2A09"/>
    <w:rsid w:val="002A2DBC"/>
    <w:rsid w:val="002B2F9C"/>
    <w:rsid w:val="002B48AF"/>
    <w:rsid w:val="002B4996"/>
    <w:rsid w:val="002C5E29"/>
    <w:rsid w:val="002D376C"/>
    <w:rsid w:val="002D7127"/>
    <w:rsid w:val="003008D8"/>
    <w:rsid w:val="00303959"/>
    <w:rsid w:val="003104E6"/>
    <w:rsid w:val="00314430"/>
    <w:rsid w:val="00324B33"/>
    <w:rsid w:val="00346EC2"/>
    <w:rsid w:val="0035444D"/>
    <w:rsid w:val="0036173A"/>
    <w:rsid w:val="003763E4"/>
    <w:rsid w:val="003835E2"/>
    <w:rsid w:val="00387C88"/>
    <w:rsid w:val="00395140"/>
    <w:rsid w:val="003D71A1"/>
    <w:rsid w:val="003F47F3"/>
    <w:rsid w:val="00410780"/>
    <w:rsid w:val="0041688F"/>
    <w:rsid w:val="00421C28"/>
    <w:rsid w:val="0042376F"/>
    <w:rsid w:val="004246B8"/>
    <w:rsid w:val="00430DA3"/>
    <w:rsid w:val="00433318"/>
    <w:rsid w:val="00477C4E"/>
    <w:rsid w:val="00491A55"/>
    <w:rsid w:val="00497570"/>
    <w:rsid w:val="004B3081"/>
    <w:rsid w:val="004F69F0"/>
    <w:rsid w:val="00515A09"/>
    <w:rsid w:val="00535DFE"/>
    <w:rsid w:val="00555D23"/>
    <w:rsid w:val="00562F42"/>
    <w:rsid w:val="0056766D"/>
    <w:rsid w:val="0058575E"/>
    <w:rsid w:val="0058783C"/>
    <w:rsid w:val="005911AE"/>
    <w:rsid w:val="0059313A"/>
    <w:rsid w:val="005B023F"/>
    <w:rsid w:val="005D2089"/>
    <w:rsid w:val="005D7514"/>
    <w:rsid w:val="005E1A7B"/>
    <w:rsid w:val="00617A84"/>
    <w:rsid w:val="006277A1"/>
    <w:rsid w:val="006351D9"/>
    <w:rsid w:val="00637130"/>
    <w:rsid w:val="00637F0E"/>
    <w:rsid w:val="006423F2"/>
    <w:rsid w:val="0065093B"/>
    <w:rsid w:val="00692CCD"/>
    <w:rsid w:val="006A1F0B"/>
    <w:rsid w:val="006A277A"/>
    <w:rsid w:val="006D6B44"/>
    <w:rsid w:val="007072A1"/>
    <w:rsid w:val="00707353"/>
    <w:rsid w:val="00710BC5"/>
    <w:rsid w:val="0072003B"/>
    <w:rsid w:val="00733CF0"/>
    <w:rsid w:val="007357B9"/>
    <w:rsid w:val="007452E8"/>
    <w:rsid w:val="00746990"/>
    <w:rsid w:val="00750D70"/>
    <w:rsid w:val="0075290A"/>
    <w:rsid w:val="00755133"/>
    <w:rsid w:val="00755B89"/>
    <w:rsid w:val="007830D9"/>
    <w:rsid w:val="00793272"/>
    <w:rsid w:val="007B04DE"/>
    <w:rsid w:val="007C57BC"/>
    <w:rsid w:val="007D4138"/>
    <w:rsid w:val="007F0A77"/>
    <w:rsid w:val="007F50D3"/>
    <w:rsid w:val="008057BB"/>
    <w:rsid w:val="008078FF"/>
    <w:rsid w:val="008169ED"/>
    <w:rsid w:val="008329DB"/>
    <w:rsid w:val="008361C5"/>
    <w:rsid w:val="0083628F"/>
    <w:rsid w:val="00837AB9"/>
    <w:rsid w:val="00850637"/>
    <w:rsid w:val="00852598"/>
    <w:rsid w:val="00860B29"/>
    <w:rsid w:val="008804CF"/>
    <w:rsid w:val="008964B3"/>
    <w:rsid w:val="008C49C6"/>
    <w:rsid w:val="008C754C"/>
    <w:rsid w:val="008D6A54"/>
    <w:rsid w:val="0090605E"/>
    <w:rsid w:val="009108CE"/>
    <w:rsid w:val="00915A9F"/>
    <w:rsid w:val="00930D58"/>
    <w:rsid w:val="00950DA6"/>
    <w:rsid w:val="00966EF1"/>
    <w:rsid w:val="00967268"/>
    <w:rsid w:val="00996FA5"/>
    <w:rsid w:val="009E6F8C"/>
    <w:rsid w:val="00A01C56"/>
    <w:rsid w:val="00A358E7"/>
    <w:rsid w:val="00A51A2D"/>
    <w:rsid w:val="00A63D9B"/>
    <w:rsid w:val="00A93DC6"/>
    <w:rsid w:val="00AB7CBF"/>
    <w:rsid w:val="00AC43B6"/>
    <w:rsid w:val="00AE1947"/>
    <w:rsid w:val="00B46BC0"/>
    <w:rsid w:val="00B55681"/>
    <w:rsid w:val="00B967FF"/>
    <w:rsid w:val="00B96ADC"/>
    <w:rsid w:val="00BA7F7D"/>
    <w:rsid w:val="00BD07DF"/>
    <w:rsid w:val="00BF4638"/>
    <w:rsid w:val="00C07551"/>
    <w:rsid w:val="00C171EF"/>
    <w:rsid w:val="00C22214"/>
    <w:rsid w:val="00C36D6A"/>
    <w:rsid w:val="00C407AB"/>
    <w:rsid w:val="00C570FF"/>
    <w:rsid w:val="00C6574E"/>
    <w:rsid w:val="00CA131D"/>
    <w:rsid w:val="00CA664A"/>
    <w:rsid w:val="00CB0550"/>
    <w:rsid w:val="00CE387F"/>
    <w:rsid w:val="00D078BE"/>
    <w:rsid w:val="00D13F8A"/>
    <w:rsid w:val="00D226BA"/>
    <w:rsid w:val="00D62877"/>
    <w:rsid w:val="00D63760"/>
    <w:rsid w:val="00D6720A"/>
    <w:rsid w:val="00D918D5"/>
    <w:rsid w:val="00D94C8E"/>
    <w:rsid w:val="00DB1CF3"/>
    <w:rsid w:val="00DF5BFE"/>
    <w:rsid w:val="00E47E0C"/>
    <w:rsid w:val="00E51813"/>
    <w:rsid w:val="00E53D3F"/>
    <w:rsid w:val="00E67397"/>
    <w:rsid w:val="00EA1893"/>
    <w:rsid w:val="00F02AEC"/>
    <w:rsid w:val="00F157FC"/>
    <w:rsid w:val="00F24C2F"/>
    <w:rsid w:val="00F30AF3"/>
    <w:rsid w:val="00F463A7"/>
    <w:rsid w:val="00F657B4"/>
    <w:rsid w:val="00F865A7"/>
    <w:rsid w:val="00F8682C"/>
    <w:rsid w:val="00FA0754"/>
    <w:rsid w:val="00FA1BC9"/>
    <w:rsid w:val="00FA49C3"/>
    <w:rsid w:val="00FB23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C05"/>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1D1C0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99"/>
    <w:qFormat/>
    <w:rsid w:val="001D1C05"/>
    <w:pPr>
      <w:numPr>
        <w:numId w:val="1"/>
      </w:numPr>
      <w:spacing w:before="120" w:after="180" w:line="240" w:lineRule="atLeast"/>
    </w:pPr>
    <w:rPr>
      <w:rFonts w:eastAsia="Cambria" w:cs="Times New Roman"/>
    </w:rPr>
  </w:style>
  <w:style w:type="paragraph" w:styleId="ListBullet2">
    <w:name w:val="List Bullet 2"/>
    <w:basedOn w:val="Normal"/>
    <w:uiPriority w:val="99"/>
    <w:qFormat/>
    <w:rsid w:val="001D1C05"/>
    <w:pPr>
      <w:numPr>
        <w:ilvl w:val="1"/>
        <w:numId w:val="1"/>
      </w:numPr>
      <w:spacing w:before="120" w:after="180" w:line="240" w:lineRule="atLeast"/>
      <w:ind w:left="850" w:hanging="425"/>
    </w:pPr>
    <w:rPr>
      <w:rFonts w:eastAsia="Cambria" w:cs="Times New Roman"/>
    </w:rPr>
  </w:style>
  <w:style w:type="paragraph" w:styleId="ListBullet3">
    <w:name w:val="List Bullet 3"/>
    <w:basedOn w:val="Normal"/>
    <w:uiPriority w:val="99"/>
    <w:qFormat/>
    <w:rsid w:val="0056766D"/>
    <w:pPr>
      <w:numPr>
        <w:numId w:val="3"/>
      </w:numPr>
      <w:spacing w:before="120" w:after="180" w:line="240" w:lineRule="atLeast"/>
      <w:ind w:left="1276" w:hanging="425"/>
    </w:pPr>
    <w:rPr>
      <w:rFonts w:eastAsia="Cambria" w:cs="Times New Roman"/>
      <w:color w:val="333F48"/>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1D1C05"/>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17"/>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rsid w:val="001D1C05"/>
    <w:pPr>
      <w:keepLines/>
      <w:spacing w:after="0" w:line="240" w:lineRule="atLeast"/>
    </w:pPr>
    <w:rPr>
      <w:rFonts w:eastAsia="Cambria" w:cs="Times New Roman"/>
      <w:sz w:val="18"/>
    </w:rPr>
  </w:style>
  <w:style w:type="character" w:customStyle="1" w:styleId="FootnoteTextChar">
    <w:name w:val="Footnote Text Char"/>
    <w:basedOn w:val="DefaultParagraphFont"/>
    <w:link w:val="FootnoteText"/>
    <w:rsid w:val="001D1C05"/>
    <w:rPr>
      <w:rFonts w:ascii="Cambria" w:eastAsia="Cambria" w:hAnsi="Cambria" w:cs="Times New Roman"/>
      <w:sz w:val="18"/>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Tabledescription">
    <w:name w:val="Table description"/>
    <w:basedOn w:val="Normal"/>
    <w:next w:val="Normal"/>
    <w:rsid w:val="001D1C05"/>
    <w:pPr>
      <w:spacing w:before="120" w:line="180" w:lineRule="atLeast"/>
    </w:pPr>
    <w:rPr>
      <w:rFonts w:eastAsia="Cambria" w:cs="Times New Roman"/>
      <w:sz w:val="19"/>
    </w:rPr>
  </w:style>
  <w:style w:type="paragraph" w:customStyle="1" w:styleId="Tabletitle">
    <w:name w:val="Table title"/>
    <w:basedOn w:val="Normal"/>
    <w:next w:val="Normal"/>
    <w:rsid w:val="00F02AEC"/>
    <w:pPr>
      <w:keepNext/>
      <w:spacing w:before="120" w:after="180" w:line="240" w:lineRule="atLeast"/>
    </w:pPr>
    <w:rPr>
      <w:rFonts w:ascii="Arial" w:eastAsia="Cambria" w:hAnsi="Arial" w:cs="Times New Roman"/>
      <w:b/>
      <w:color w:val="333F48"/>
    </w:r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0">
    <w:name w:val="Table Title"/>
    <w:basedOn w:val="Normal"/>
    <w:rsid w:val="00324B33"/>
    <w:pPr>
      <w:keepNext/>
      <w:spacing w:before="120" w:line="240" w:lineRule="atLeast"/>
    </w:pPr>
    <w:rPr>
      <w:rFonts w:eastAsia="Cambria" w:cs="Times New Roman"/>
      <w:b/>
      <w:szCs w:val="22"/>
    </w:rPr>
  </w:style>
  <w:style w:type="paragraph" w:customStyle="1" w:styleId="TableDescription0">
    <w:name w:val="Table Description"/>
    <w:basedOn w:val="Normal"/>
    <w:rsid w:val="001D1C05"/>
    <w:pPr>
      <w:spacing w:before="120" w:after="0" w:line="240" w:lineRule="auto"/>
    </w:pPr>
    <w:rPr>
      <w:rFonts w:eastAsia="Cambria" w:cs="Times New Roman"/>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customStyle="1" w:styleId="UnresolvedMention1">
    <w:name w:val="Unresolved Mention1"/>
    <w:basedOn w:val="DefaultParagraphFont"/>
    <w:uiPriority w:val="99"/>
    <w:semiHidden/>
    <w:unhideWhenUsed/>
    <w:rsid w:val="00966EF1"/>
    <w:rPr>
      <w:color w:val="605E5C"/>
      <w:shd w:val="clear" w:color="auto" w:fill="E1DFDD"/>
    </w:rPr>
  </w:style>
  <w:style w:type="paragraph" w:styleId="Caption">
    <w:name w:val="caption"/>
    <w:basedOn w:val="Normal"/>
    <w:next w:val="Normal"/>
    <w:uiPriority w:val="35"/>
    <w:unhideWhenUsed/>
    <w:qFormat/>
    <w:rsid w:val="001D1C05"/>
    <w:pPr>
      <w:spacing w:after="200" w:line="240" w:lineRule="auto"/>
    </w:pPr>
    <w:rPr>
      <w:b/>
      <w:iCs/>
      <w:szCs w:val="18"/>
    </w:rPr>
  </w:style>
  <w:style w:type="paragraph" w:customStyle="1" w:styleId="TableHeader">
    <w:name w:val="Table Header"/>
    <w:basedOn w:val="Normal"/>
    <w:rsid w:val="001D1C05"/>
    <w:pPr>
      <w:keepNext/>
      <w:keepLines/>
      <w:widowControl w:val="0"/>
      <w:spacing w:before="60" w:after="60" w:line="200" w:lineRule="exact"/>
      <w:jc w:val="center"/>
    </w:pPr>
    <w:rPr>
      <w:rFonts w:eastAsia="MS Mincho"/>
      <w:b/>
      <w:kern w:val="2"/>
      <w:sz w:val="19"/>
      <w:szCs w:val="19"/>
    </w:rPr>
  </w:style>
  <w:style w:type="paragraph" w:customStyle="1" w:styleId="Tabletextleft">
    <w:name w:val="Table text (left)"/>
    <w:basedOn w:val="Normal"/>
    <w:rsid w:val="001D1C05"/>
    <w:pPr>
      <w:spacing w:before="20" w:after="20" w:line="200" w:lineRule="atLeast"/>
      <w:ind w:left="57" w:right="57"/>
    </w:pPr>
    <w:rPr>
      <w:rFonts w:eastAsia="MS Mincho"/>
      <w:sz w:val="19"/>
      <w:szCs w:val="18"/>
      <w:lang w:val="en-GB"/>
    </w:rPr>
  </w:style>
  <w:style w:type="table" w:customStyle="1" w:styleId="TableGrid2">
    <w:name w:val="Table Grid2"/>
    <w:basedOn w:val="TableNormal"/>
    <w:next w:val="TableGrid"/>
    <w:uiPriority w:val="59"/>
    <w:rsid w:val="001D1C05"/>
    <w:pPr>
      <w:spacing w:after="0" w:line="240" w:lineRule="auto"/>
    </w:pPr>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7Char">
    <w:name w:val="Heading 7 Char"/>
    <w:basedOn w:val="DefaultParagraphFont"/>
    <w:link w:val="Heading7"/>
    <w:uiPriority w:val="9"/>
    <w:rsid w:val="001D1C05"/>
    <w:rPr>
      <w:rFonts w:asciiTheme="majorHAnsi" w:eastAsiaTheme="majorEastAsia" w:hAnsiTheme="majorHAnsi" w:cstheme="majorBidi"/>
      <w:i/>
      <w:iCs/>
      <w:color w:val="1F3763" w:themeColor="accent1" w:themeShade="7F"/>
      <w:sz w:val="22"/>
    </w:rPr>
  </w:style>
  <w:style w:type="paragraph" w:styleId="ListParagraph">
    <w:name w:val="List Paragraph"/>
    <w:basedOn w:val="Normal"/>
    <w:uiPriority w:val="34"/>
    <w:qFormat/>
    <w:rsid w:val="001B2848"/>
    <w:pPr>
      <w:adjustRightInd w:val="0"/>
      <w:snapToGrid w:val="0"/>
      <w:spacing w:before="180" w:after="180" w:line="240" w:lineRule="atLeast"/>
      <w:ind w:left="720"/>
      <w:contextualSpacing/>
    </w:pPr>
    <w:rPr>
      <w:rFonts w:eastAsia="MS Mincho" w:cs="Times New Roman"/>
      <w:lang w:eastAsia="ja-JP"/>
    </w:rPr>
  </w:style>
  <w:style w:type="table" w:styleId="GridTable6Colorful-Accent1">
    <w:name w:val="Grid Table 6 Colorful Accent 1"/>
    <w:basedOn w:val="TableNormal"/>
    <w:uiPriority w:val="51"/>
    <w:rsid w:val="001B2848"/>
    <w:pPr>
      <w:spacing w:after="0" w:line="240" w:lineRule="auto"/>
    </w:pPr>
    <w:rPr>
      <w:color w:val="2F5496" w:themeColor="accent1" w:themeShade="BF"/>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Bullet">
    <w:name w:val="Table Bullet"/>
    <w:basedOn w:val="Normal"/>
    <w:rsid w:val="008169ED"/>
    <w:pPr>
      <w:numPr>
        <w:numId w:val="15"/>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eastAsia="Times New Roman" w:cs="Times New Roman"/>
      <w:kern w:val="16"/>
      <w:sz w:val="20"/>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449056">
      <w:bodyDiv w:val="1"/>
      <w:marLeft w:val="0"/>
      <w:marRight w:val="0"/>
      <w:marTop w:val="0"/>
      <w:marBottom w:val="0"/>
      <w:divBdr>
        <w:top w:val="none" w:sz="0" w:space="0" w:color="auto"/>
        <w:left w:val="none" w:sz="0" w:space="0" w:color="auto"/>
        <w:bottom w:val="none" w:sz="0" w:space="0" w:color="auto"/>
        <w:right w:val="none" w:sz="0" w:space="0" w:color="auto"/>
      </w:divBdr>
    </w:div>
    <w:div w:id="513107385">
      <w:bodyDiv w:val="1"/>
      <w:marLeft w:val="0"/>
      <w:marRight w:val="0"/>
      <w:marTop w:val="0"/>
      <w:marBottom w:val="0"/>
      <w:divBdr>
        <w:top w:val="none" w:sz="0" w:space="0" w:color="auto"/>
        <w:left w:val="none" w:sz="0" w:space="0" w:color="auto"/>
        <w:bottom w:val="none" w:sz="0" w:space="0" w:color="auto"/>
        <w:right w:val="none" w:sz="0" w:space="0" w:color="auto"/>
      </w:divBdr>
    </w:div>
    <w:div w:id="599411489">
      <w:bodyDiv w:val="1"/>
      <w:marLeft w:val="0"/>
      <w:marRight w:val="0"/>
      <w:marTop w:val="0"/>
      <w:marBottom w:val="0"/>
      <w:divBdr>
        <w:top w:val="none" w:sz="0" w:space="0" w:color="auto"/>
        <w:left w:val="none" w:sz="0" w:space="0" w:color="auto"/>
        <w:bottom w:val="none" w:sz="0" w:space="0" w:color="auto"/>
        <w:right w:val="none" w:sz="0" w:space="0" w:color="auto"/>
      </w:divBdr>
    </w:div>
    <w:div w:id="604919863">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585185091">
      <w:bodyDiv w:val="1"/>
      <w:marLeft w:val="0"/>
      <w:marRight w:val="0"/>
      <w:marTop w:val="0"/>
      <w:marBottom w:val="0"/>
      <w:divBdr>
        <w:top w:val="none" w:sz="0" w:space="0" w:color="auto"/>
        <w:left w:val="none" w:sz="0" w:space="0" w:color="auto"/>
        <w:bottom w:val="none" w:sz="0" w:space="0" w:color="auto"/>
        <w:right w:val="none" w:sz="0" w:space="0" w:color="auto"/>
      </w:divBdr>
    </w:div>
    <w:div w:id="1921060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products/australian-register-therapeutic-goods-artg/consumer-medicines-information-cmi" TargetMode="External"/><Relationship Id="rId26" Type="http://schemas.openxmlformats.org/officeDocument/2006/relationships/hyperlink" Target="https://www.tga.gov.au/resources/resource/international-scientific-guidelines/international-scientific-guideline-guideline-immunogenicity-assessment-biotechnology-derived-therapeutic-proteins" TargetMode="External"/><Relationship Id="rId39" Type="http://schemas.openxmlformats.org/officeDocument/2006/relationships/image" Target="media/image13.png"/><Relationship Id="rId21" Type="http://schemas.openxmlformats.org/officeDocument/2006/relationships/hyperlink" Target="https://www.tga.gov.au/resources/resource/guidance/biosimilar-medicines-regulation"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yperlink" Target="https://www.tga.gov.au/resources/resource/guidance/risk-management-plans-medicines-and-biologicals/when-rmp-required" TargetMode="External"/><Relationship Id="rId50" Type="http://schemas.openxmlformats.org/officeDocument/2006/relationships/hyperlink" Target="https://www.tga.gov.au/resources/resource/guidance/risk-management-plans-medicines-and-biologicals/australia-specific-annex-eu-rmp" TargetMode="External"/><Relationship Id="rId55" Type="http://schemas.openxmlformats.org/officeDocument/2006/relationships/header" Target="header3.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ga.gov.au/products/australian-register-therapeutic-goods-artg/product-information-one" TargetMode="External"/><Relationship Id="rId20" Type="http://schemas.openxmlformats.org/officeDocument/2006/relationships/hyperlink" Target="https://www.tga.gov.au/how-we-regulate/supply-therapeutic-good-0/supply-prescription-medicine/application-process/prescription-medicines-registration-process" TargetMode="External"/><Relationship Id="rId29" Type="http://schemas.openxmlformats.org/officeDocument/2006/relationships/hyperlink" Target="http://www.tga.gov.au/ws-labs-index" TargetMode="External"/><Relationship Id="rId41" Type="http://schemas.openxmlformats.org/officeDocument/2006/relationships/image" Target="media/image15.png"/><Relationship Id="rId54" Type="http://schemas.openxmlformats.org/officeDocument/2006/relationships/hyperlink" Target="https://www.tga.gov.au/guidance-7-certified-product-detail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tga.gov.au/resources/resource/international-scientific-guidelines/international-scientific-guideline-guideline-similar-biological-medicinal-products-containing-biotechnology-derived-proteins-active-substance-non-clinical-and-clinical-issues"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yperlink" Target="http://www.tga.gov.au/ws-labs-index" TargetMode="External"/><Relationship Id="rId58" Type="http://schemas.openxmlformats.org/officeDocument/2006/relationships/hyperlink" Target="mailto:info@tga.gov.au" TargetMode="Externa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hyperlink" Target="https://www.tga.gov.au/resources/resource/international-scientific-guidelines/international-scientific-guidelines-guideline-similar-biological-medicinal-products" TargetMode="External"/><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hyperlink" Target="https://www.tga.gov.au/tgas-risk-management-approach" TargetMode="External"/><Relationship Id="rId57" Type="http://schemas.openxmlformats.org/officeDocument/2006/relationships/hyperlink" Target="https://www.tga.gov.au/picmi-search-facility" TargetMode="External"/><Relationship Id="rId61"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s://www.tga.gov.au/picmi-search-facility"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hyperlink" Target="https://www.tga.gov.au/committee/advisory-committee-medicines-acm" TargetMode="External"/><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hyperlink" Target="https://www.tga.gov.au/resources/resource/guidance/biopharmaceutic-studies/156-choice-reference-product-bioequivalence-generic-medicines" TargetMode="External"/><Relationship Id="rId27" Type="http://schemas.openxmlformats.org/officeDocument/2006/relationships/hyperlink" Target="https://www.ema.europa.eu/en/documents/scientific-guideline/guideline-comparability-biotechnology-derived-medicinal-products-after-change-manufacturing-process_en.pdf" TargetMode="External"/><Relationship Id="rId30" Type="http://schemas.openxmlformats.org/officeDocument/2006/relationships/hyperlink" Target="http://www.tga.gov.au/industry/pm-argpm-guidance-7.htm"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hyperlink" Target="https://www.tga.gov.au/publication/risk-management-plans-medicines-and-biologicals" TargetMode="External"/><Relationship Id="rId56" Type="http://schemas.openxmlformats.org/officeDocument/2006/relationships/footer" Target="footer3.xml"/><Relationship Id="rId8" Type="http://schemas.openxmlformats.org/officeDocument/2006/relationships/header" Target="header1.xml"/><Relationship Id="rId51" Type="http://schemas.openxmlformats.org/officeDocument/2006/relationships/hyperlink" Target="https://www.tga.gov.au/resources/resource/guidance/risk-management-plans-medicines-and-biologicals/australia-specific-annex-eu-rmp" TargetMode="External"/><Relationship Id="rId3"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hyperlink" Target="https://www.tga.gov.au/products/australian-register-therapeutic-goods-artg/product-information-one" TargetMode="External"/><Relationship Id="rId25" Type="http://schemas.openxmlformats.org/officeDocument/2006/relationships/hyperlink" Target="https://www.tga.gov.au/resources/resource/international-scientific-guidelines/international-scientific-guideline-annex-guideline-similar-biological-medicinal-products-containing-biotechnology-derived-proteins-active-substance-non-clinical-and-clinical-issues"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resources/resource/international-scientific-guidelines/international-scientific-guideline-annex-guideline-similar-biological-medicinal-products-containing-biotechnology-derived-proteins-active-substance-non-clinical-and-clinical-issues" TargetMode="External"/><Relationship Id="rId2" Type="http://schemas.openxmlformats.org/officeDocument/2006/relationships/hyperlink" Target="https://www.tga.gov.au/resources/resource/international-scientific-guidelines/international-scientific-guideline-guideline-similar-biological-medicinal-products-containing-biotechnology-derived-proteins-active-substance-non-clinical-and-clinical-issues" TargetMode="External"/><Relationship Id="rId1" Type="http://schemas.openxmlformats.org/officeDocument/2006/relationships/hyperlink" Target="https://www.tga.gov.au/publication/biosimilar-medicines-regulation" TargetMode="External"/><Relationship Id="rId5" Type="http://schemas.openxmlformats.org/officeDocument/2006/relationships/hyperlink" Target="https://www.ema.europa.eu/en/documents/product-information/neulasta-epar-product-information_en.pdf" TargetMode="External"/><Relationship Id="rId4" Type="http://schemas.openxmlformats.org/officeDocument/2006/relationships/hyperlink" Target="https://evs.nci.nih.gov/ftp1/CTCAE/CTCAE_4.03/CTCAE_4.03_2010-06-14_QuickReference_8.5x11.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1CCDF-60E4-4398-9C7D-7282BA688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32</Pages>
  <Words>10443</Words>
  <Characters>59527</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69831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Filpegla</dc:title>
  <dc:subject>Prescription medicine regulation</dc:subject>
  <dc:creator>Therapeutic Goods Administration</dc:creator>
  <cp:keywords/>
  <dc:description/>
  <cp:lastModifiedBy>PITKIN, Brendan</cp:lastModifiedBy>
  <cp:revision>7</cp:revision>
  <dcterms:created xsi:type="dcterms:W3CDTF">2023-05-17T23:07:00Z</dcterms:created>
  <dcterms:modified xsi:type="dcterms:W3CDTF">2023-05-22T02:19:00Z</dcterms:modified>
</cp:coreProperties>
</file>