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3D48F6B" w:rsidR="00F02AEC" w:rsidRPr="00215D48" w:rsidRDefault="00346EC2" w:rsidP="008B3CF0">
            <w:pPr>
              <w:pStyle w:val="Title"/>
            </w:pPr>
            <w:r w:rsidRPr="00346EC2">
              <w:t xml:space="preserve">Australian Public Assessment Report for </w:t>
            </w:r>
            <w:r w:rsidR="0019537C">
              <w:t>Exkivity</w:t>
            </w:r>
          </w:p>
        </w:tc>
      </w:tr>
      <w:tr w:rsidR="00F02AEC" w:rsidRPr="00215D48" w14:paraId="318A40A3" w14:textId="77777777" w:rsidTr="00346EC2">
        <w:trPr>
          <w:trHeight w:val="995"/>
        </w:trPr>
        <w:tc>
          <w:tcPr>
            <w:tcW w:w="8720" w:type="dxa"/>
          </w:tcPr>
          <w:p w14:paraId="1AA7C701" w14:textId="2D4D5CB4" w:rsidR="00F02AEC" w:rsidRPr="00215D48" w:rsidRDefault="00346EC2" w:rsidP="008B3CF0">
            <w:pPr>
              <w:pStyle w:val="Subtitle"/>
              <w:ind w:left="0"/>
            </w:pPr>
            <w:r w:rsidRPr="00346EC2">
              <w:t xml:space="preserve">Active ingredient: </w:t>
            </w:r>
            <w:r w:rsidR="0019537C">
              <w:t>M</w:t>
            </w:r>
            <w:r w:rsidR="0019537C" w:rsidRPr="0077419A">
              <w:t>obocertinib</w:t>
            </w:r>
          </w:p>
        </w:tc>
      </w:tr>
      <w:tr w:rsidR="00346EC2" w:rsidRPr="00215D48" w14:paraId="362CCAE4" w14:textId="77777777" w:rsidTr="006412C5">
        <w:trPr>
          <w:trHeight w:val="1427"/>
        </w:trPr>
        <w:tc>
          <w:tcPr>
            <w:tcW w:w="8720" w:type="dxa"/>
          </w:tcPr>
          <w:p w14:paraId="709C45C0" w14:textId="78ED1347" w:rsidR="00346EC2" w:rsidRPr="00215D48" w:rsidRDefault="00346EC2" w:rsidP="008B3CF0">
            <w:pPr>
              <w:pStyle w:val="Subtitle"/>
              <w:ind w:left="0"/>
            </w:pPr>
            <w:r w:rsidRPr="00346EC2">
              <w:t xml:space="preserve">Sponsor: </w:t>
            </w:r>
            <w:r w:rsidR="0019537C" w:rsidRPr="004A556D">
              <w:t>Takeda Pharmaceuticals</w:t>
            </w:r>
            <w:r w:rsidR="0019537C">
              <w:t xml:space="preserve"> Australia Pty Ltd</w:t>
            </w:r>
          </w:p>
        </w:tc>
      </w:tr>
      <w:tr w:rsidR="00F02AEC" w:rsidRPr="00215D48" w14:paraId="37F2AA1F" w14:textId="77777777" w:rsidTr="006412C5">
        <w:trPr>
          <w:trHeight w:val="80"/>
        </w:trPr>
        <w:tc>
          <w:tcPr>
            <w:tcW w:w="8720" w:type="dxa"/>
          </w:tcPr>
          <w:p w14:paraId="1FDE8DCD" w14:textId="3F56A196" w:rsidR="00F02AEC" w:rsidRPr="00215D48" w:rsidRDefault="00301E36" w:rsidP="008B3CF0">
            <w:pPr>
              <w:pStyle w:val="Date"/>
            </w:pPr>
            <w:r>
              <w:t>April</w:t>
            </w:r>
            <w:r w:rsidR="00F02AEC" w:rsidRPr="00215D48">
              <w:t xml:space="preserve"> </w:t>
            </w:r>
            <w:r w:rsidR="0019537C">
              <w:t>2023</w:t>
            </w:r>
          </w:p>
        </w:tc>
      </w:tr>
    </w:tbl>
    <w:p w14:paraId="73752706" w14:textId="77777777" w:rsidR="00F02AEC" w:rsidRPr="00215D48" w:rsidRDefault="00F02AEC" w:rsidP="008B3CF0">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468A8A3"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E1A2E50"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F57334">
      <w:pPr>
        <w:pStyle w:val="ListBullet"/>
        <w:ind w:left="357" w:hanging="357"/>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2D9676B2" w:rsidR="00F02AEC" w:rsidRPr="00E1198B" w:rsidRDefault="005A1F89" w:rsidP="005A1F89">
      <w:pPr>
        <w:pStyle w:val="LegalSubheading"/>
        <w:spacing w:before="3600"/>
      </w:pPr>
      <w:r>
        <w:t>C</w:t>
      </w:r>
      <w:r w:rsidR="00F02AEC" w:rsidRPr="00BA0DFC">
        <w:t>opyright</w:t>
      </w:r>
    </w:p>
    <w:p w14:paraId="170A8A5D" w14:textId="1D6F7647" w:rsidR="00175CD8" w:rsidRPr="00346EC2" w:rsidRDefault="00F02AEC" w:rsidP="00346EC2">
      <w:pPr>
        <w:pStyle w:val="LegalCopy"/>
        <w:rPr>
          <w:rFonts w:cs="Arial"/>
        </w:rPr>
      </w:pPr>
      <w:r w:rsidRPr="00215D48">
        <w:rPr>
          <w:rFonts w:cs="Arial"/>
        </w:rPr>
        <w:t>© Commonwealth of Australia 20</w:t>
      </w:r>
      <w:r>
        <w:rPr>
          <w:rFonts w:cs="Arial"/>
        </w:rPr>
        <w:t>2</w:t>
      </w:r>
      <w:r w:rsidR="00287119">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8B3CF0">
          <w:pPr>
            <w:pStyle w:val="NonTOCheading2"/>
          </w:pPr>
          <w:r w:rsidRPr="00215D48">
            <w:t>Contents</w:t>
          </w:r>
        </w:p>
        <w:p w14:paraId="78E479D4" w14:textId="6040D4C8" w:rsidR="00301E36"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2980306" w:history="1">
            <w:r w:rsidR="00301E36" w:rsidRPr="00CD70B8">
              <w:rPr>
                <w:rStyle w:val="Hyperlink"/>
                <w:noProof/>
              </w:rPr>
              <w:t>List of abbreviations</w:t>
            </w:r>
            <w:r w:rsidR="00301E36">
              <w:rPr>
                <w:noProof/>
                <w:webHidden/>
              </w:rPr>
              <w:tab/>
            </w:r>
            <w:r w:rsidR="00301E36">
              <w:rPr>
                <w:noProof/>
                <w:webHidden/>
              </w:rPr>
              <w:fldChar w:fldCharType="begin"/>
            </w:r>
            <w:r w:rsidR="00301E36">
              <w:rPr>
                <w:noProof/>
                <w:webHidden/>
              </w:rPr>
              <w:instrText xml:space="preserve"> PAGEREF _Toc132980306 \h </w:instrText>
            </w:r>
            <w:r w:rsidR="00301E36">
              <w:rPr>
                <w:noProof/>
                <w:webHidden/>
              </w:rPr>
            </w:r>
            <w:r w:rsidR="00301E36">
              <w:rPr>
                <w:noProof/>
                <w:webHidden/>
              </w:rPr>
              <w:fldChar w:fldCharType="separate"/>
            </w:r>
            <w:r w:rsidR="003F5EF5">
              <w:rPr>
                <w:noProof/>
                <w:webHidden/>
              </w:rPr>
              <w:t>4</w:t>
            </w:r>
            <w:r w:rsidR="00301E36">
              <w:rPr>
                <w:noProof/>
                <w:webHidden/>
              </w:rPr>
              <w:fldChar w:fldCharType="end"/>
            </w:r>
          </w:hyperlink>
        </w:p>
        <w:p w14:paraId="7022BB0A" w14:textId="162F649D" w:rsidR="00301E36" w:rsidRDefault="003F5EF5">
          <w:pPr>
            <w:pStyle w:val="TOC1"/>
            <w:rPr>
              <w:rFonts w:asciiTheme="minorHAnsi" w:eastAsiaTheme="minorEastAsia" w:hAnsiTheme="minorHAnsi" w:cstheme="minorBidi"/>
              <w:b w:val="0"/>
              <w:noProof/>
              <w:color w:val="auto"/>
              <w:sz w:val="22"/>
              <w:szCs w:val="22"/>
              <w:lang w:eastAsia="en-AU"/>
            </w:rPr>
          </w:pPr>
          <w:hyperlink w:anchor="_Toc132980307" w:history="1">
            <w:r w:rsidR="00301E36" w:rsidRPr="00CD70B8">
              <w:rPr>
                <w:rStyle w:val="Hyperlink"/>
                <w:noProof/>
              </w:rPr>
              <w:t>Product submission</w:t>
            </w:r>
            <w:r w:rsidR="00301E36">
              <w:rPr>
                <w:noProof/>
                <w:webHidden/>
              </w:rPr>
              <w:tab/>
            </w:r>
            <w:r w:rsidR="00301E36">
              <w:rPr>
                <w:noProof/>
                <w:webHidden/>
              </w:rPr>
              <w:fldChar w:fldCharType="begin"/>
            </w:r>
            <w:r w:rsidR="00301E36">
              <w:rPr>
                <w:noProof/>
                <w:webHidden/>
              </w:rPr>
              <w:instrText xml:space="preserve"> PAGEREF _Toc132980307 \h </w:instrText>
            </w:r>
            <w:r w:rsidR="00301E36">
              <w:rPr>
                <w:noProof/>
                <w:webHidden/>
              </w:rPr>
            </w:r>
            <w:r w:rsidR="00301E36">
              <w:rPr>
                <w:noProof/>
                <w:webHidden/>
              </w:rPr>
              <w:fldChar w:fldCharType="separate"/>
            </w:r>
            <w:r>
              <w:rPr>
                <w:noProof/>
                <w:webHidden/>
              </w:rPr>
              <w:t>6</w:t>
            </w:r>
            <w:r w:rsidR="00301E36">
              <w:rPr>
                <w:noProof/>
                <w:webHidden/>
              </w:rPr>
              <w:fldChar w:fldCharType="end"/>
            </w:r>
          </w:hyperlink>
        </w:p>
        <w:p w14:paraId="7F6E66BD" w14:textId="19C36E8C"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08" w:history="1">
            <w:r w:rsidR="00301E36" w:rsidRPr="00CD70B8">
              <w:rPr>
                <w:rStyle w:val="Hyperlink"/>
                <w:noProof/>
                <w:lang w:eastAsia="en-AU"/>
              </w:rPr>
              <w:t>Submission details</w:t>
            </w:r>
            <w:r w:rsidR="00301E36">
              <w:rPr>
                <w:noProof/>
                <w:webHidden/>
              </w:rPr>
              <w:tab/>
            </w:r>
            <w:r w:rsidR="00301E36">
              <w:rPr>
                <w:noProof/>
                <w:webHidden/>
              </w:rPr>
              <w:fldChar w:fldCharType="begin"/>
            </w:r>
            <w:r w:rsidR="00301E36">
              <w:rPr>
                <w:noProof/>
                <w:webHidden/>
              </w:rPr>
              <w:instrText xml:space="preserve"> PAGEREF _Toc132980308 \h </w:instrText>
            </w:r>
            <w:r w:rsidR="00301E36">
              <w:rPr>
                <w:noProof/>
                <w:webHidden/>
              </w:rPr>
            </w:r>
            <w:r w:rsidR="00301E36">
              <w:rPr>
                <w:noProof/>
                <w:webHidden/>
              </w:rPr>
              <w:fldChar w:fldCharType="separate"/>
            </w:r>
            <w:r>
              <w:rPr>
                <w:noProof/>
                <w:webHidden/>
              </w:rPr>
              <w:t>6</w:t>
            </w:r>
            <w:r w:rsidR="00301E36">
              <w:rPr>
                <w:noProof/>
                <w:webHidden/>
              </w:rPr>
              <w:fldChar w:fldCharType="end"/>
            </w:r>
          </w:hyperlink>
        </w:p>
        <w:p w14:paraId="49686775" w14:textId="68C6527C"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09" w:history="1">
            <w:r w:rsidR="00301E36" w:rsidRPr="00CD70B8">
              <w:rPr>
                <w:rStyle w:val="Hyperlink"/>
                <w:noProof/>
              </w:rPr>
              <w:t>Product background</w:t>
            </w:r>
            <w:r w:rsidR="00301E36">
              <w:rPr>
                <w:noProof/>
                <w:webHidden/>
              </w:rPr>
              <w:tab/>
            </w:r>
            <w:r w:rsidR="00301E36">
              <w:rPr>
                <w:noProof/>
                <w:webHidden/>
              </w:rPr>
              <w:fldChar w:fldCharType="begin"/>
            </w:r>
            <w:r w:rsidR="00301E36">
              <w:rPr>
                <w:noProof/>
                <w:webHidden/>
              </w:rPr>
              <w:instrText xml:space="preserve"> PAGEREF _Toc132980309 \h </w:instrText>
            </w:r>
            <w:r w:rsidR="00301E36">
              <w:rPr>
                <w:noProof/>
                <w:webHidden/>
              </w:rPr>
            </w:r>
            <w:r w:rsidR="00301E36">
              <w:rPr>
                <w:noProof/>
                <w:webHidden/>
              </w:rPr>
              <w:fldChar w:fldCharType="separate"/>
            </w:r>
            <w:r>
              <w:rPr>
                <w:noProof/>
                <w:webHidden/>
              </w:rPr>
              <w:t>7</w:t>
            </w:r>
            <w:r w:rsidR="00301E36">
              <w:rPr>
                <w:noProof/>
                <w:webHidden/>
              </w:rPr>
              <w:fldChar w:fldCharType="end"/>
            </w:r>
          </w:hyperlink>
        </w:p>
        <w:p w14:paraId="4555C4A7" w14:textId="74CF30F8" w:rsidR="00301E36" w:rsidRDefault="003F5EF5">
          <w:pPr>
            <w:pStyle w:val="TOC3"/>
            <w:rPr>
              <w:rFonts w:asciiTheme="minorHAnsi" w:eastAsiaTheme="minorEastAsia" w:hAnsiTheme="minorHAnsi" w:cstheme="minorBidi"/>
              <w:b w:val="0"/>
              <w:noProof/>
              <w:color w:val="auto"/>
              <w:szCs w:val="22"/>
              <w:lang w:eastAsia="en-AU"/>
            </w:rPr>
          </w:pPr>
          <w:hyperlink w:anchor="_Toc132980310" w:history="1">
            <w:r w:rsidR="00301E36" w:rsidRPr="00CD70B8">
              <w:rPr>
                <w:rStyle w:val="Hyperlink"/>
                <w:noProof/>
              </w:rPr>
              <w:t>Condition</w:t>
            </w:r>
            <w:r w:rsidR="00301E36">
              <w:rPr>
                <w:noProof/>
                <w:webHidden/>
              </w:rPr>
              <w:tab/>
            </w:r>
            <w:r w:rsidR="00301E36">
              <w:rPr>
                <w:noProof/>
                <w:webHidden/>
              </w:rPr>
              <w:fldChar w:fldCharType="begin"/>
            </w:r>
            <w:r w:rsidR="00301E36">
              <w:rPr>
                <w:noProof/>
                <w:webHidden/>
              </w:rPr>
              <w:instrText xml:space="preserve"> PAGEREF _Toc132980310 \h </w:instrText>
            </w:r>
            <w:r w:rsidR="00301E36">
              <w:rPr>
                <w:noProof/>
                <w:webHidden/>
              </w:rPr>
            </w:r>
            <w:r w:rsidR="00301E36">
              <w:rPr>
                <w:noProof/>
                <w:webHidden/>
              </w:rPr>
              <w:fldChar w:fldCharType="separate"/>
            </w:r>
            <w:r>
              <w:rPr>
                <w:noProof/>
                <w:webHidden/>
              </w:rPr>
              <w:t>7</w:t>
            </w:r>
            <w:r w:rsidR="00301E36">
              <w:rPr>
                <w:noProof/>
                <w:webHidden/>
              </w:rPr>
              <w:fldChar w:fldCharType="end"/>
            </w:r>
          </w:hyperlink>
        </w:p>
        <w:p w14:paraId="066609A5" w14:textId="0616EFA9" w:rsidR="00301E36" w:rsidRDefault="003F5EF5">
          <w:pPr>
            <w:pStyle w:val="TOC3"/>
            <w:rPr>
              <w:rFonts w:asciiTheme="minorHAnsi" w:eastAsiaTheme="minorEastAsia" w:hAnsiTheme="minorHAnsi" w:cstheme="minorBidi"/>
              <w:b w:val="0"/>
              <w:noProof/>
              <w:color w:val="auto"/>
              <w:szCs w:val="22"/>
              <w:lang w:eastAsia="en-AU"/>
            </w:rPr>
          </w:pPr>
          <w:hyperlink w:anchor="_Toc132980311" w:history="1">
            <w:r w:rsidR="00301E36" w:rsidRPr="00CD70B8">
              <w:rPr>
                <w:rStyle w:val="Hyperlink"/>
                <w:noProof/>
              </w:rPr>
              <w:t>Current treatment options</w:t>
            </w:r>
            <w:r w:rsidR="00301E36">
              <w:rPr>
                <w:noProof/>
                <w:webHidden/>
              </w:rPr>
              <w:tab/>
            </w:r>
            <w:r w:rsidR="00301E36">
              <w:rPr>
                <w:noProof/>
                <w:webHidden/>
              </w:rPr>
              <w:fldChar w:fldCharType="begin"/>
            </w:r>
            <w:r w:rsidR="00301E36">
              <w:rPr>
                <w:noProof/>
                <w:webHidden/>
              </w:rPr>
              <w:instrText xml:space="preserve"> PAGEREF _Toc132980311 \h </w:instrText>
            </w:r>
            <w:r w:rsidR="00301E36">
              <w:rPr>
                <w:noProof/>
                <w:webHidden/>
              </w:rPr>
            </w:r>
            <w:r w:rsidR="00301E36">
              <w:rPr>
                <w:noProof/>
                <w:webHidden/>
              </w:rPr>
              <w:fldChar w:fldCharType="separate"/>
            </w:r>
            <w:r>
              <w:rPr>
                <w:noProof/>
                <w:webHidden/>
              </w:rPr>
              <w:t>9</w:t>
            </w:r>
            <w:r w:rsidR="00301E36">
              <w:rPr>
                <w:noProof/>
                <w:webHidden/>
              </w:rPr>
              <w:fldChar w:fldCharType="end"/>
            </w:r>
          </w:hyperlink>
        </w:p>
        <w:p w14:paraId="138CC3A7" w14:textId="29F2012D" w:rsidR="00301E36" w:rsidRDefault="003F5EF5">
          <w:pPr>
            <w:pStyle w:val="TOC3"/>
            <w:rPr>
              <w:rFonts w:asciiTheme="minorHAnsi" w:eastAsiaTheme="minorEastAsia" w:hAnsiTheme="minorHAnsi" w:cstheme="minorBidi"/>
              <w:b w:val="0"/>
              <w:noProof/>
              <w:color w:val="auto"/>
              <w:szCs w:val="22"/>
              <w:lang w:eastAsia="en-AU"/>
            </w:rPr>
          </w:pPr>
          <w:hyperlink w:anchor="_Toc132980312" w:history="1">
            <w:r w:rsidR="00301E36" w:rsidRPr="00CD70B8">
              <w:rPr>
                <w:rStyle w:val="Hyperlink"/>
                <w:noProof/>
              </w:rPr>
              <w:t>Rationale for product development</w:t>
            </w:r>
            <w:r w:rsidR="00301E36">
              <w:rPr>
                <w:noProof/>
                <w:webHidden/>
              </w:rPr>
              <w:tab/>
            </w:r>
            <w:r w:rsidR="00301E36">
              <w:rPr>
                <w:noProof/>
                <w:webHidden/>
              </w:rPr>
              <w:fldChar w:fldCharType="begin"/>
            </w:r>
            <w:r w:rsidR="00301E36">
              <w:rPr>
                <w:noProof/>
                <w:webHidden/>
              </w:rPr>
              <w:instrText xml:space="preserve"> PAGEREF _Toc132980312 \h </w:instrText>
            </w:r>
            <w:r w:rsidR="00301E36">
              <w:rPr>
                <w:noProof/>
                <w:webHidden/>
              </w:rPr>
            </w:r>
            <w:r w:rsidR="00301E36">
              <w:rPr>
                <w:noProof/>
                <w:webHidden/>
              </w:rPr>
              <w:fldChar w:fldCharType="separate"/>
            </w:r>
            <w:r>
              <w:rPr>
                <w:noProof/>
                <w:webHidden/>
              </w:rPr>
              <w:t>13</w:t>
            </w:r>
            <w:r w:rsidR="00301E36">
              <w:rPr>
                <w:noProof/>
                <w:webHidden/>
              </w:rPr>
              <w:fldChar w:fldCharType="end"/>
            </w:r>
          </w:hyperlink>
        </w:p>
        <w:p w14:paraId="1A3AA6CD" w14:textId="3F1CB89B" w:rsidR="00301E36" w:rsidRDefault="003F5EF5">
          <w:pPr>
            <w:pStyle w:val="TOC3"/>
            <w:rPr>
              <w:rFonts w:asciiTheme="minorHAnsi" w:eastAsiaTheme="minorEastAsia" w:hAnsiTheme="minorHAnsi" w:cstheme="minorBidi"/>
              <w:b w:val="0"/>
              <w:noProof/>
              <w:color w:val="auto"/>
              <w:szCs w:val="22"/>
              <w:lang w:eastAsia="en-AU"/>
            </w:rPr>
          </w:pPr>
          <w:hyperlink w:anchor="_Toc132980313" w:history="1">
            <w:r w:rsidR="00301E36" w:rsidRPr="00CD70B8">
              <w:rPr>
                <w:rStyle w:val="Hyperlink"/>
                <w:noProof/>
              </w:rPr>
              <w:t>Mechanism of action</w:t>
            </w:r>
            <w:r w:rsidR="00301E36">
              <w:rPr>
                <w:noProof/>
                <w:webHidden/>
              </w:rPr>
              <w:tab/>
            </w:r>
            <w:r w:rsidR="00301E36">
              <w:rPr>
                <w:noProof/>
                <w:webHidden/>
              </w:rPr>
              <w:fldChar w:fldCharType="begin"/>
            </w:r>
            <w:r w:rsidR="00301E36">
              <w:rPr>
                <w:noProof/>
                <w:webHidden/>
              </w:rPr>
              <w:instrText xml:space="preserve"> PAGEREF _Toc132980313 \h </w:instrText>
            </w:r>
            <w:r w:rsidR="00301E36">
              <w:rPr>
                <w:noProof/>
                <w:webHidden/>
              </w:rPr>
            </w:r>
            <w:r w:rsidR="00301E36">
              <w:rPr>
                <w:noProof/>
                <w:webHidden/>
              </w:rPr>
              <w:fldChar w:fldCharType="separate"/>
            </w:r>
            <w:r>
              <w:rPr>
                <w:noProof/>
                <w:webHidden/>
              </w:rPr>
              <w:t>17</w:t>
            </w:r>
            <w:r w:rsidR="00301E36">
              <w:rPr>
                <w:noProof/>
                <w:webHidden/>
              </w:rPr>
              <w:fldChar w:fldCharType="end"/>
            </w:r>
          </w:hyperlink>
        </w:p>
        <w:p w14:paraId="571DC4BD" w14:textId="20FCCCE5"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14" w:history="1">
            <w:r w:rsidR="00301E36" w:rsidRPr="00CD70B8">
              <w:rPr>
                <w:rStyle w:val="Hyperlink"/>
                <w:noProof/>
              </w:rPr>
              <w:t>Regulatory status</w:t>
            </w:r>
            <w:r w:rsidR="00301E36">
              <w:rPr>
                <w:noProof/>
                <w:webHidden/>
              </w:rPr>
              <w:tab/>
            </w:r>
            <w:r w:rsidR="00301E36">
              <w:rPr>
                <w:noProof/>
                <w:webHidden/>
              </w:rPr>
              <w:fldChar w:fldCharType="begin"/>
            </w:r>
            <w:r w:rsidR="00301E36">
              <w:rPr>
                <w:noProof/>
                <w:webHidden/>
              </w:rPr>
              <w:instrText xml:space="preserve"> PAGEREF _Toc132980314 \h </w:instrText>
            </w:r>
            <w:r w:rsidR="00301E36">
              <w:rPr>
                <w:noProof/>
                <w:webHidden/>
              </w:rPr>
            </w:r>
            <w:r w:rsidR="00301E36">
              <w:rPr>
                <w:noProof/>
                <w:webHidden/>
              </w:rPr>
              <w:fldChar w:fldCharType="separate"/>
            </w:r>
            <w:r>
              <w:rPr>
                <w:noProof/>
                <w:webHidden/>
              </w:rPr>
              <w:t>17</w:t>
            </w:r>
            <w:r w:rsidR="00301E36">
              <w:rPr>
                <w:noProof/>
                <w:webHidden/>
              </w:rPr>
              <w:fldChar w:fldCharType="end"/>
            </w:r>
          </w:hyperlink>
        </w:p>
        <w:p w14:paraId="2C115E54" w14:textId="1091CE09"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15" w:history="1">
            <w:r w:rsidR="00301E36" w:rsidRPr="00CD70B8">
              <w:rPr>
                <w:rStyle w:val="Hyperlink"/>
                <w:noProof/>
              </w:rPr>
              <w:t>Product Information</w:t>
            </w:r>
            <w:r w:rsidR="00301E36">
              <w:rPr>
                <w:noProof/>
                <w:webHidden/>
              </w:rPr>
              <w:tab/>
            </w:r>
            <w:r w:rsidR="00301E36">
              <w:rPr>
                <w:noProof/>
                <w:webHidden/>
              </w:rPr>
              <w:fldChar w:fldCharType="begin"/>
            </w:r>
            <w:r w:rsidR="00301E36">
              <w:rPr>
                <w:noProof/>
                <w:webHidden/>
              </w:rPr>
              <w:instrText xml:space="preserve"> PAGEREF _Toc132980315 \h </w:instrText>
            </w:r>
            <w:r w:rsidR="00301E36">
              <w:rPr>
                <w:noProof/>
                <w:webHidden/>
              </w:rPr>
            </w:r>
            <w:r w:rsidR="00301E36">
              <w:rPr>
                <w:noProof/>
                <w:webHidden/>
              </w:rPr>
              <w:fldChar w:fldCharType="separate"/>
            </w:r>
            <w:r>
              <w:rPr>
                <w:noProof/>
                <w:webHidden/>
              </w:rPr>
              <w:t>19</w:t>
            </w:r>
            <w:r w:rsidR="00301E36">
              <w:rPr>
                <w:noProof/>
                <w:webHidden/>
              </w:rPr>
              <w:fldChar w:fldCharType="end"/>
            </w:r>
          </w:hyperlink>
        </w:p>
        <w:p w14:paraId="315C83EC" w14:textId="3C827E3F" w:rsidR="00301E36" w:rsidRDefault="003F5EF5">
          <w:pPr>
            <w:pStyle w:val="TOC1"/>
            <w:rPr>
              <w:rFonts w:asciiTheme="minorHAnsi" w:eastAsiaTheme="minorEastAsia" w:hAnsiTheme="minorHAnsi" w:cstheme="minorBidi"/>
              <w:b w:val="0"/>
              <w:noProof/>
              <w:color w:val="auto"/>
              <w:sz w:val="22"/>
              <w:szCs w:val="22"/>
              <w:lang w:eastAsia="en-AU"/>
            </w:rPr>
          </w:pPr>
          <w:hyperlink w:anchor="_Toc132980316" w:history="1">
            <w:r w:rsidR="00301E36" w:rsidRPr="00CD70B8">
              <w:rPr>
                <w:rStyle w:val="Hyperlink"/>
                <w:noProof/>
              </w:rPr>
              <w:t>Registration timeline</w:t>
            </w:r>
            <w:r w:rsidR="00301E36">
              <w:rPr>
                <w:noProof/>
                <w:webHidden/>
              </w:rPr>
              <w:tab/>
            </w:r>
            <w:r w:rsidR="00301E36">
              <w:rPr>
                <w:noProof/>
                <w:webHidden/>
              </w:rPr>
              <w:fldChar w:fldCharType="begin"/>
            </w:r>
            <w:r w:rsidR="00301E36">
              <w:rPr>
                <w:noProof/>
                <w:webHidden/>
              </w:rPr>
              <w:instrText xml:space="preserve"> PAGEREF _Toc132980316 \h </w:instrText>
            </w:r>
            <w:r w:rsidR="00301E36">
              <w:rPr>
                <w:noProof/>
                <w:webHidden/>
              </w:rPr>
            </w:r>
            <w:r w:rsidR="00301E36">
              <w:rPr>
                <w:noProof/>
                <w:webHidden/>
              </w:rPr>
              <w:fldChar w:fldCharType="separate"/>
            </w:r>
            <w:r>
              <w:rPr>
                <w:noProof/>
                <w:webHidden/>
              </w:rPr>
              <w:t>20</w:t>
            </w:r>
            <w:r w:rsidR="00301E36">
              <w:rPr>
                <w:noProof/>
                <w:webHidden/>
              </w:rPr>
              <w:fldChar w:fldCharType="end"/>
            </w:r>
          </w:hyperlink>
        </w:p>
        <w:p w14:paraId="453DD28B" w14:textId="465F63F6" w:rsidR="00301E36" w:rsidRDefault="003F5EF5">
          <w:pPr>
            <w:pStyle w:val="TOC1"/>
            <w:rPr>
              <w:rFonts w:asciiTheme="minorHAnsi" w:eastAsiaTheme="minorEastAsia" w:hAnsiTheme="minorHAnsi" w:cstheme="minorBidi"/>
              <w:b w:val="0"/>
              <w:noProof/>
              <w:color w:val="auto"/>
              <w:sz w:val="22"/>
              <w:szCs w:val="22"/>
              <w:lang w:eastAsia="en-AU"/>
            </w:rPr>
          </w:pPr>
          <w:hyperlink w:anchor="_Toc132980317" w:history="1">
            <w:r w:rsidR="00301E36" w:rsidRPr="00CD70B8">
              <w:rPr>
                <w:rStyle w:val="Hyperlink"/>
                <w:noProof/>
              </w:rPr>
              <w:t>Submission overview and risk/benefit assessment</w:t>
            </w:r>
            <w:r w:rsidR="00301E36">
              <w:rPr>
                <w:noProof/>
                <w:webHidden/>
              </w:rPr>
              <w:tab/>
            </w:r>
            <w:r w:rsidR="00301E36">
              <w:rPr>
                <w:noProof/>
                <w:webHidden/>
              </w:rPr>
              <w:fldChar w:fldCharType="begin"/>
            </w:r>
            <w:r w:rsidR="00301E36">
              <w:rPr>
                <w:noProof/>
                <w:webHidden/>
              </w:rPr>
              <w:instrText xml:space="preserve"> PAGEREF _Toc132980317 \h </w:instrText>
            </w:r>
            <w:r w:rsidR="00301E36">
              <w:rPr>
                <w:noProof/>
                <w:webHidden/>
              </w:rPr>
            </w:r>
            <w:r w:rsidR="00301E36">
              <w:rPr>
                <w:noProof/>
                <w:webHidden/>
              </w:rPr>
              <w:fldChar w:fldCharType="separate"/>
            </w:r>
            <w:r>
              <w:rPr>
                <w:noProof/>
                <w:webHidden/>
              </w:rPr>
              <w:t>20</w:t>
            </w:r>
            <w:r w:rsidR="00301E36">
              <w:rPr>
                <w:noProof/>
                <w:webHidden/>
              </w:rPr>
              <w:fldChar w:fldCharType="end"/>
            </w:r>
          </w:hyperlink>
        </w:p>
        <w:p w14:paraId="6FC30838" w14:textId="4ADB1732"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18" w:history="1">
            <w:r w:rsidR="00301E36" w:rsidRPr="00CD70B8">
              <w:rPr>
                <w:rStyle w:val="Hyperlink"/>
                <w:noProof/>
              </w:rPr>
              <w:t>Quality</w:t>
            </w:r>
            <w:r w:rsidR="00301E36">
              <w:rPr>
                <w:noProof/>
                <w:webHidden/>
              </w:rPr>
              <w:tab/>
            </w:r>
            <w:r w:rsidR="00301E36">
              <w:rPr>
                <w:noProof/>
                <w:webHidden/>
              </w:rPr>
              <w:fldChar w:fldCharType="begin"/>
            </w:r>
            <w:r w:rsidR="00301E36">
              <w:rPr>
                <w:noProof/>
                <w:webHidden/>
              </w:rPr>
              <w:instrText xml:space="preserve"> PAGEREF _Toc132980318 \h </w:instrText>
            </w:r>
            <w:r w:rsidR="00301E36">
              <w:rPr>
                <w:noProof/>
                <w:webHidden/>
              </w:rPr>
            </w:r>
            <w:r w:rsidR="00301E36">
              <w:rPr>
                <w:noProof/>
                <w:webHidden/>
              </w:rPr>
              <w:fldChar w:fldCharType="separate"/>
            </w:r>
            <w:r>
              <w:rPr>
                <w:noProof/>
                <w:webHidden/>
              </w:rPr>
              <w:t>20</w:t>
            </w:r>
            <w:r w:rsidR="00301E36">
              <w:rPr>
                <w:noProof/>
                <w:webHidden/>
              </w:rPr>
              <w:fldChar w:fldCharType="end"/>
            </w:r>
          </w:hyperlink>
        </w:p>
        <w:p w14:paraId="281F3180" w14:textId="7A391921"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19" w:history="1">
            <w:r w:rsidR="00301E36" w:rsidRPr="00CD70B8">
              <w:rPr>
                <w:rStyle w:val="Hyperlink"/>
                <w:noProof/>
              </w:rPr>
              <w:t>Nonclinical</w:t>
            </w:r>
            <w:r w:rsidR="00301E36">
              <w:rPr>
                <w:noProof/>
                <w:webHidden/>
              </w:rPr>
              <w:tab/>
            </w:r>
            <w:r w:rsidR="00301E36">
              <w:rPr>
                <w:noProof/>
                <w:webHidden/>
              </w:rPr>
              <w:fldChar w:fldCharType="begin"/>
            </w:r>
            <w:r w:rsidR="00301E36">
              <w:rPr>
                <w:noProof/>
                <w:webHidden/>
              </w:rPr>
              <w:instrText xml:space="preserve"> PAGEREF _Toc132980319 \h </w:instrText>
            </w:r>
            <w:r w:rsidR="00301E36">
              <w:rPr>
                <w:noProof/>
                <w:webHidden/>
              </w:rPr>
            </w:r>
            <w:r w:rsidR="00301E36">
              <w:rPr>
                <w:noProof/>
                <w:webHidden/>
              </w:rPr>
              <w:fldChar w:fldCharType="separate"/>
            </w:r>
            <w:r>
              <w:rPr>
                <w:noProof/>
                <w:webHidden/>
              </w:rPr>
              <w:t>21</w:t>
            </w:r>
            <w:r w:rsidR="00301E36">
              <w:rPr>
                <w:noProof/>
                <w:webHidden/>
              </w:rPr>
              <w:fldChar w:fldCharType="end"/>
            </w:r>
          </w:hyperlink>
        </w:p>
        <w:p w14:paraId="4FBAB75E" w14:textId="45C38B73"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20" w:history="1">
            <w:r w:rsidR="00301E36" w:rsidRPr="00CD70B8">
              <w:rPr>
                <w:rStyle w:val="Hyperlink"/>
                <w:noProof/>
              </w:rPr>
              <w:t>Clinical</w:t>
            </w:r>
            <w:r w:rsidR="00301E36">
              <w:rPr>
                <w:noProof/>
                <w:webHidden/>
              </w:rPr>
              <w:tab/>
            </w:r>
            <w:r w:rsidR="00301E36">
              <w:rPr>
                <w:noProof/>
                <w:webHidden/>
              </w:rPr>
              <w:fldChar w:fldCharType="begin"/>
            </w:r>
            <w:r w:rsidR="00301E36">
              <w:rPr>
                <w:noProof/>
                <w:webHidden/>
              </w:rPr>
              <w:instrText xml:space="preserve"> PAGEREF _Toc132980320 \h </w:instrText>
            </w:r>
            <w:r w:rsidR="00301E36">
              <w:rPr>
                <w:noProof/>
                <w:webHidden/>
              </w:rPr>
            </w:r>
            <w:r w:rsidR="00301E36">
              <w:rPr>
                <w:noProof/>
                <w:webHidden/>
              </w:rPr>
              <w:fldChar w:fldCharType="separate"/>
            </w:r>
            <w:r>
              <w:rPr>
                <w:noProof/>
                <w:webHidden/>
              </w:rPr>
              <w:t>23</w:t>
            </w:r>
            <w:r w:rsidR="00301E36">
              <w:rPr>
                <w:noProof/>
                <w:webHidden/>
              </w:rPr>
              <w:fldChar w:fldCharType="end"/>
            </w:r>
          </w:hyperlink>
        </w:p>
        <w:p w14:paraId="49197002" w14:textId="33EE334D" w:rsidR="00301E36" w:rsidRDefault="003F5EF5">
          <w:pPr>
            <w:pStyle w:val="TOC3"/>
            <w:rPr>
              <w:rFonts w:asciiTheme="minorHAnsi" w:eastAsiaTheme="minorEastAsia" w:hAnsiTheme="minorHAnsi" w:cstheme="minorBidi"/>
              <w:b w:val="0"/>
              <w:noProof/>
              <w:color w:val="auto"/>
              <w:szCs w:val="22"/>
              <w:lang w:eastAsia="en-AU"/>
            </w:rPr>
          </w:pPr>
          <w:hyperlink w:anchor="_Toc132980321" w:history="1">
            <w:r w:rsidR="00301E36" w:rsidRPr="00CD70B8">
              <w:rPr>
                <w:rStyle w:val="Hyperlink"/>
                <w:noProof/>
              </w:rPr>
              <w:t>Pharmacology</w:t>
            </w:r>
            <w:r w:rsidR="00301E36">
              <w:rPr>
                <w:noProof/>
                <w:webHidden/>
              </w:rPr>
              <w:tab/>
            </w:r>
            <w:r w:rsidR="00301E36">
              <w:rPr>
                <w:noProof/>
                <w:webHidden/>
              </w:rPr>
              <w:fldChar w:fldCharType="begin"/>
            </w:r>
            <w:r w:rsidR="00301E36">
              <w:rPr>
                <w:noProof/>
                <w:webHidden/>
              </w:rPr>
              <w:instrText xml:space="preserve"> PAGEREF _Toc132980321 \h </w:instrText>
            </w:r>
            <w:r w:rsidR="00301E36">
              <w:rPr>
                <w:noProof/>
                <w:webHidden/>
              </w:rPr>
            </w:r>
            <w:r w:rsidR="00301E36">
              <w:rPr>
                <w:noProof/>
                <w:webHidden/>
              </w:rPr>
              <w:fldChar w:fldCharType="separate"/>
            </w:r>
            <w:r>
              <w:rPr>
                <w:noProof/>
                <w:webHidden/>
              </w:rPr>
              <w:t>23</w:t>
            </w:r>
            <w:r w:rsidR="00301E36">
              <w:rPr>
                <w:noProof/>
                <w:webHidden/>
              </w:rPr>
              <w:fldChar w:fldCharType="end"/>
            </w:r>
          </w:hyperlink>
        </w:p>
        <w:p w14:paraId="6FEAD4EA" w14:textId="5A6B6672" w:rsidR="00301E36" w:rsidRDefault="003F5EF5">
          <w:pPr>
            <w:pStyle w:val="TOC3"/>
            <w:rPr>
              <w:rFonts w:asciiTheme="minorHAnsi" w:eastAsiaTheme="minorEastAsia" w:hAnsiTheme="minorHAnsi" w:cstheme="minorBidi"/>
              <w:b w:val="0"/>
              <w:noProof/>
              <w:color w:val="auto"/>
              <w:szCs w:val="22"/>
              <w:lang w:eastAsia="en-AU"/>
            </w:rPr>
          </w:pPr>
          <w:hyperlink w:anchor="_Toc132980322" w:history="1">
            <w:r w:rsidR="00301E36" w:rsidRPr="00CD70B8">
              <w:rPr>
                <w:rStyle w:val="Hyperlink"/>
                <w:noProof/>
              </w:rPr>
              <w:t>Efficacy</w:t>
            </w:r>
            <w:r w:rsidR="00301E36">
              <w:rPr>
                <w:noProof/>
                <w:webHidden/>
              </w:rPr>
              <w:tab/>
            </w:r>
            <w:r w:rsidR="00301E36">
              <w:rPr>
                <w:noProof/>
                <w:webHidden/>
              </w:rPr>
              <w:fldChar w:fldCharType="begin"/>
            </w:r>
            <w:r w:rsidR="00301E36">
              <w:rPr>
                <w:noProof/>
                <w:webHidden/>
              </w:rPr>
              <w:instrText xml:space="preserve"> PAGEREF _Toc132980322 \h </w:instrText>
            </w:r>
            <w:r w:rsidR="00301E36">
              <w:rPr>
                <w:noProof/>
                <w:webHidden/>
              </w:rPr>
            </w:r>
            <w:r w:rsidR="00301E36">
              <w:rPr>
                <w:noProof/>
                <w:webHidden/>
              </w:rPr>
              <w:fldChar w:fldCharType="separate"/>
            </w:r>
            <w:r>
              <w:rPr>
                <w:noProof/>
                <w:webHidden/>
              </w:rPr>
              <w:t>27</w:t>
            </w:r>
            <w:r w:rsidR="00301E36">
              <w:rPr>
                <w:noProof/>
                <w:webHidden/>
              </w:rPr>
              <w:fldChar w:fldCharType="end"/>
            </w:r>
          </w:hyperlink>
        </w:p>
        <w:p w14:paraId="1EF70D32" w14:textId="639A7231" w:rsidR="00301E36" w:rsidRDefault="003F5EF5">
          <w:pPr>
            <w:pStyle w:val="TOC3"/>
            <w:rPr>
              <w:rFonts w:asciiTheme="minorHAnsi" w:eastAsiaTheme="minorEastAsia" w:hAnsiTheme="minorHAnsi" w:cstheme="minorBidi"/>
              <w:b w:val="0"/>
              <w:noProof/>
              <w:color w:val="auto"/>
              <w:szCs w:val="22"/>
              <w:lang w:eastAsia="en-AU"/>
            </w:rPr>
          </w:pPr>
          <w:hyperlink w:anchor="_Toc132980323" w:history="1">
            <w:r w:rsidR="00301E36" w:rsidRPr="00CD70B8">
              <w:rPr>
                <w:rStyle w:val="Hyperlink"/>
                <w:noProof/>
              </w:rPr>
              <w:t>Safety</w:t>
            </w:r>
            <w:r w:rsidR="00301E36">
              <w:rPr>
                <w:noProof/>
                <w:webHidden/>
              </w:rPr>
              <w:tab/>
            </w:r>
            <w:r w:rsidR="00301E36">
              <w:rPr>
                <w:noProof/>
                <w:webHidden/>
              </w:rPr>
              <w:fldChar w:fldCharType="begin"/>
            </w:r>
            <w:r w:rsidR="00301E36">
              <w:rPr>
                <w:noProof/>
                <w:webHidden/>
              </w:rPr>
              <w:instrText xml:space="preserve"> PAGEREF _Toc132980323 \h </w:instrText>
            </w:r>
            <w:r w:rsidR="00301E36">
              <w:rPr>
                <w:noProof/>
                <w:webHidden/>
              </w:rPr>
            </w:r>
            <w:r w:rsidR="00301E36">
              <w:rPr>
                <w:noProof/>
                <w:webHidden/>
              </w:rPr>
              <w:fldChar w:fldCharType="separate"/>
            </w:r>
            <w:r>
              <w:rPr>
                <w:noProof/>
                <w:webHidden/>
              </w:rPr>
              <w:t>32</w:t>
            </w:r>
            <w:r w:rsidR="00301E36">
              <w:rPr>
                <w:noProof/>
                <w:webHidden/>
              </w:rPr>
              <w:fldChar w:fldCharType="end"/>
            </w:r>
          </w:hyperlink>
        </w:p>
        <w:p w14:paraId="06C1F821" w14:textId="45E60900"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24" w:history="1">
            <w:r w:rsidR="00301E36" w:rsidRPr="00CD70B8">
              <w:rPr>
                <w:rStyle w:val="Hyperlink"/>
                <w:noProof/>
              </w:rPr>
              <w:t>Companion diagnostic considerations</w:t>
            </w:r>
            <w:r w:rsidR="00301E36">
              <w:rPr>
                <w:noProof/>
                <w:webHidden/>
              </w:rPr>
              <w:tab/>
            </w:r>
            <w:r w:rsidR="00301E36">
              <w:rPr>
                <w:noProof/>
                <w:webHidden/>
              </w:rPr>
              <w:fldChar w:fldCharType="begin"/>
            </w:r>
            <w:r w:rsidR="00301E36">
              <w:rPr>
                <w:noProof/>
                <w:webHidden/>
              </w:rPr>
              <w:instrText xml:space="preserve"> PAGEREF _Toc132980324 \h </w:instrText>
            </w:r>
            <w:r w:rsidR="00301E36">
              <w:rPr>
                <w:noProof/>
                <w:webHidden/>
              </w:rPr>
            </w:r>
            <w:r w:rsidR="00301E36">
              <w:rPr>
                <w:noProof/>
                <w:webHidden/>
              </w:rPr>
              <w:fldChar w:fldCharType="separate"/>
            </w:r>
            <w:r>
              <w:rPr>
                <w:noProof/>
                <w:webHidden/>
              </w:rPr>
              <w:t>43</w:t>
            </w:r>
            <w:r w:rsidR="00301E36">
              <w:rPr>
                <w:noProof/>
                <w:webHidden/>
              </w:rPr>
              <w:fldChar w:fldCharType="end"/>
            </w:r>
          </w:hyperlink>
        </w:p>
        <w:p w14:paraId="5A58CFF8" w14:textId="53AD676E"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25" w:history="1">
            <w:r w:rsidR="00301E36" w:rsidRPr="00CD70B8">
              <w:rPr>
                <w:rStyle w:val="Hyperlink"/>
                <w:noProof/>
              </w:rPr>
              <w:t>Confirmatory data plan</w:t>
            </w:r>
            <w:r w:rsidR="00301E36">
              <w:rPr>
                <w:noProof/>
                <w:webHidden/>
              </w:rPr>
              <w:tab/>
            </w:r>
            <w:r w:rsidR="00301E36">
              <w:rPr>
                <w:noProof/>
                <w:webHidden/>
              </w:rPr>
              <w:fldChar w:fldCharType="begin"/>
            </w:r>
            <w:r w:rsidR="00301E36">
              <w:rPr>
                <w:noProof/>
                <w:webHidden/>
              </w:rPr>
              <w:instrText xml:space="preserve"> PAGEREF _Toc132980325 \h </w:instrText>
            </w:r>
            <w:r w:rsidR="00301E36">
              <w:rPr>
                <w:noProof/>
                <w:webHidden/>
              </w:rPr>
            </w:r>
            <w:r w:rsidR="00301E36">
              <w:rPr>
                <w:noProof/>
                <w:webHidden/>
              </w:rPr>
              <w:fldChar w:fldCharType="separate"/>
            </w:r>
            <w:r>
              <w:rPr>
                <w:noProof/>
                <w:webHidden/>
              </w:rPr>
              <w:t>43</w:t>
            </w:r>
            <w:r w:rsidR="00301E36">
              <w:rPr>
                <w:noProof/>
                <w:webHidden/>
              </w:rPr>
              <w:fldChar w:fldCharType="end"/>
            </w:r>
          </w:hyperlink>
        </w:p>
        <w:p w14:paraId="1C2F4FF6" w14:textId="472F7D88"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26" w:history="1">
            <w:r w:rsidR="00301E36" w:rsidRPr="00CD70B8">
              <w:rPr>
                <w:rStyle w:val="Hyperlink"/>
                <w:noProof/>
                <w:lang w:eastAsia="en-AU"/>
              </w:rPr>
              <w:t>Risk management plan</w:t>
            </w:r>
            <w:r w:rsidR="00301E36">
              <w:rPr>
                <w:noProof/>
                <w:webHidden/>
              </w:rPr>
              <w:tab/>
            </w:r>
            <w:r w:rsidR="00301E36">
              <w:rPr>
                <w:noProof/>
                <w:webHidden/>
              </w:rPr>
              <w:fldChar w:fldCharType="begin"/>
            </w:r>
            <w:r w:rsidR="00301E36">
              <w:rPr>
                <w:noProof/>
                <w:webHidden/>
              </w:rPr>
              <w:instrText xml:space="preserve"> PAGEREF _Toc132980326 \h </w:instrText>
            </w:r>
            <w:r w:rsidR="00301E36">
              <w:rPr>
                <w:noProof/>
                <w:webHidden/>
              </w:rPr>
            </w:r>
            <w:r w:rsidR="00301E36">
              <w:rPr>
                <w:noProof/>
                <w:webHidden/>
              </w:rPr>
              <w:fldChar w:fldCharType="separate"/>
            </w:r>
            <w:r>
              <w:rPr>
                <w:noProof/>
                <w:webHidden/>
              </w:rPr>
              <w:t>43</w:t>
            </w:r>
            <w:r w:rsidR="00301E36">
              <w:rPr>
                <w:noProof/>
                <w:webHidden/>
              </w:rPr>
              <w:fldChar w:fldCharType="end"/>
            </w:r>
          </w:hyperlink>
        </w:p>
        <w:p w14:paraId="5E1B554D" w14:textId="4A4EC1D0" w:rsidR="00301E36" w:rsidRDefault="003F5EF5">
          <w:pPr>
            <w:pStyle w:val="TOC3"/>
            <w:rPr>
              <w:rFonts w:asciiTheme="minorHAnsi" w:eastAsiaTheme="minorEastAsia" w:hAnsiTheme="minorHAnsi" w:cstheme="minorBidi"/>
              <w:b w:val="0"/>
              <w:noProof/>
              <w:color w:val="auto"/>
              <w:szCs w:val="22"/>
              <w:lang w:eastAsia="en-AU"/>
            </w:rPr>
          </w:pPr>
          <w:hyperlink w:anchor="_Toc132980327" w:history="1">
            <w:r w:rsidR="00301E36" w:rsidRPr="00CD70B8">
              <w:rPr>
                <w:rStyle w:val="Hyperlink"/>
                <w:noProof/>
              </w:rPr>
              <w:t>Proposed wording for conditions of registration</w:t>
            </w:r>
            <w:r w:rsidR="00301E36">
              <w:rPr>
                <w:noProof/>
                <w:webHidden/>
              </w:rPr>
              <w:tab/>
            </w:r>
            <w:r w:rsidR="00301E36">
              <w:rPr>
                <w:noProof/>
                <w:webHidden/>
              </w:rPr>
              <w:fldChar w:fldCharType="begin"/>
            </w:r>
            <w:r w:rsidR="00301E36">
              <w:rPr>
                <w:noProof/>
                <w:webHidden/>
              </w:rPr>
              <w:instrText xml:space="preserve"> PAGEREF _Toc132980327 \h </w:instrText>
            </w:r>
            <w:r w:rsidR="00301E36">
              <w:rPr>
                <w:noProof/>
                <w:webHidden/>
              </w:rPr>
            </w:r>
            <w:r w:rsidR="00301E36">
              <w:rPr>
                <w:noProof/>
                <w:webHidden/>
              </w:rPr>
              <w:fldChar w:fldCharType="separate"/>
            </w:r>
            <w:r>
              <w:rPr>
                <w:noProof/>
                <w:webHidden/>
              </w:rPr>
              <w:t>44</w:t>
            </w:r>
            <w:r w:rsidR="00301E36">
              <w:rPr>
                <w:noProof/>
                <w:webHidden/>
              </w:rPr>
              <w:fldChar w:fldCharType="end"/>
            </w:r>
          </w:hyperlink>
        </w:p>
        <w:p w14:paraId="59A44902" w14:textId="4960640B"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28" w:history="1">
            <w:r w:rsidR="00301E36" w:rsidRPr="00CD70B8">
              <w:rPr>
                <w:rStyle w:val="Hyperlink"/>
                <w:noProof/>
              </w:rPr>
              <w:t>Risk-benefit analysis</w:t>
            </w:r>
            <w:r w:rsidR="00301E36">
              <w:rPr>
                <w:noProof/>
                <w:webHidden/>
              </w:rPr>
              <w:tab/>
            </w:r>
            <w:r w:rsidR="00301E36">
              <w:rPr>
                <w:noProof/>
                <w:webHidden/>
              </w:rPr>
              <w:fldChar w:fldCharType="begin"/>
            </w:r>
            <w:r w:rsidR="00301E36">
              <w:rPr>
                <w:noProof/>
                <w:webHidden/>
              </w:rPr>
              <w:instrText xml:space="preserve"> PAGEREF _Toc132980328 \h </w:instrText>
            </w:r>
            <w:r w:rsidR="00301E36">
              <w:rPr>
                <w:noProof/>
                <w:webHidden/>
              </w:rPr>
            </w:r>
            <w:r w:rsidR="00301E36">
              <w:rPr>
                <w:noProof/>
                <w:webHidden/>
              </w:rPr>
              <w:fldChar w:fldCharType="separate"/>
            </w:r>
            <w:r>
              <w:rPr>
                <w:noProof/>
                <w:webHidden/>
              </w:rPr>
              <w:t>45</w:t>
            </w:r>
            <w:r w:rsidR="00301E36">
              <w:rPr>
                <w:noProof/>
                <w:webHidden/>
              </w:rPr>
              <w:fldChar w:fldCharType="end"/>
            </w:r>
          </w:hyperlink>
        </w:p>
        <w:p w14:paraId="0E91A9FF" w14:textId="58C4AF56" w:rsidR="00301E36" w:rsidRDefault="003F5EF5">
          <w:pPr>
            <w:pStyle w:val="TOC3"/>
            <w:rPr>
              <w:rFonts w:asciiTheme="minorHAnsi" w:eastAsiaTheme="minorEastAsia" w:hAnsiTheme="minorHAnsi" w:cstheme="minorBidi"/>
              <w:b w:val="0"/>
              <w:noProof/>
              <w:color w:val="auto"/>
              <w:szCs w:val="22"/>
              <w:lang w:eastAsia="en-AU"/>
            </w:rPr>
          </w:pPr>
          <w:hyperlink w:anchor="_Toc132980329" w:history="1">
            <w:r w:rsidR="00301E36" w:rsidRPr="00CD70B8">
              <w:rPr>
                <w:rStyle w:val="Hyperlink"/>
                <w:noProof/>
              </w:rPr>
              <w:t>Delegate’s considerations</w:t>
            </w:r>
            <w:r w:rsidR="00301E36">
              <w:rPr>
                <w:noProof/>
                <w:webHidden/>
              </w:rPr>
              <w:tab/>
            </w:r>
            <w:r w:rsidR="00301E36">
              <w:rPr>
                <w:noProof/>
                <w:webHidden/>
              </w:rPr>
              <w:fldChar w:fldCharType="begin"/>
            </w:r>
            <w:r w:rsidR="00301E36">
              <w:rPr>
                <w:noProof/>
                <w:webHidden/>
              </w:rPr>
              <w:instrText xml:space="preserve"> PAGEREF _Toc132980329 \h </w:instrText>
            </w:r>
            <w:r w:rsidR="00301E36">
              <w:rPr>
                <w:noProof/>
                <w:webHidden/>
              </w:rPr>
            </w:r>
            <w:r w:rsidR="00301E36">
              <w:rPr>
                <w:noProof/>
                <w:webHidden/>
              </w:rPr>
              <w:fldChar w:fldCharType="separate"/>
            </w:r>
            <w:r>
              <w:rPr>
                <w:noProof/>
                <w:webHidden/>
              </w:rPr>
              <w:t>45</w:t>
            </w:r>
            <w:r w:rsidR="00301E36">
              <w:rPr>
                <w:noProof/>
                <w:webHidden/>
              </w:rPr>
              <w:fldChar w:fldCharType="end"/>
            </w:r>
          </w:hyperlink>
        </w:p>
        <w:p w14:paraId="05334E11" w14:textId="1F055267" w:rsidR="00301E36" w:rsidRDefault="003F5EF5">
          <w:pPr>
            <w:pStyle w:val="TOC3"/>
            <w:rPr>
              <w:rFonts w:asciiTheme="minorHAnsi" w:eastAsiaTheme="minorEastAsia" w:hAnsiTheme="minorHAnsi" w:cstheme="minorBidi"/>
              <w:b w:val="0"/>
              <w:noProof/>
              <w:color w:val="auto"/>
              <w:szCs w:val="22"/>
              <w:lang w:eastAsia="en-AU"/>
            </w:rPr>
          </w:pPr>
          <w:hyperlink w:anchor="_Toc132980330" w:history="1">
            <w:r w:rsidR="00301E36" w:rsidRPr="00CD70B8">
              <w:rPr>
                <w:rStyle w:val="Hyperlink"/>
                <w:noProof/>
              </w:rPr>
              <w:t>Proposed action</w:t>
            </w:r>
            <w:r w:rsidR="00301E36">
              <w:rPr>
                <w:noProof/>
                <w:webHidden/>
              </w:rPr>
              <w:tab/>
            </w:r>
            <w:r w:rsidR="00301E36">
              <w:rPr>
                <w:noProof/>
                <w:webHidden/>
              </w:rPr>
              <w:fldChar w:fldCharType="begin"/>
            </w:r>
            <w:r w:rsidR="00301E36">
              <w:rPr>
                <w:noProof/>
                <w:webHidden/>
              </w:rPr>
              <w:instrText xml:space="preserve"> PAGEREF _Toc132980330 \h </w:instrText>
            </w:r>
            <w:r w:rsidR="00301E36">
              <w:rPr>
                <w:noProof/>
                <w:webHidden/>
              </w:rPr>
            </w:r>
            <w:r w:rsidR="00301E36">
              <w:rPr>
                <w:noProof/>
                <w:webHidden/>
              </w:rPr>
              <w:fldChar w:fldCharType="separate"/>
            </w:r>
            <w:r>
              <w:rPr>
                <w:noProof/>
                <w:webHidden/>
              </w:rPr>
              <w:t>45</w:t>
            </w:r>
            <w:r w:rsidR="00301E36">
              <w:rPr>
                <w:noProof/>
                <w:webHidden/>
              </w:rPr>
              <w:fldChar w:fldCharType="end"/>
            </w:r>
          </w:hyperlink>
        </w:p>
        <w:p w14:paraId="1C469F05" w14:textId="6308ACC9" w:rsidR="00301E36" w:rsidRDefault="003F5EF5">
          <w:pPr>
            <w:pStyle w:val="TOC3"/>
            <w:rPr>
              <w:rFonts w:asciiTheme="minorHAnsi" w:eastAsiaTheme="minorEastAsia" w:hAnsiTheme="minorHAnsi" w:cstheme="minorBidi"/>
              <w:b w:val="0"/>
              <w:noProof/>
              <w:color w:val="auto"/>
              <w:szCs w:val="22"/>
              <w:lang w:eastAsia="en-AU"/>
            </w:rPr>
          </w:pPr>
          <w:hyperlink w:anchor="_Toc132980331" w:history="1">
            <w:r w:rsidR="00301E36" w:rsidRPr="00CD70B8">
              <w:rPr>
                <w:rStyle w:val="Hyperlink"/>
                <w:noProof/>
              </w:rPr>
              <w:t>Advisory Committee considerations</w:t>
            </w:r>
            <w:r w:rsidR="00301E36">
              <w:rPr>
                <w:noProof/>
                <w:webHidden/>
              </w:rPr>
              <w:tab/>
            </w:r>
            <w:r w:rsidR="00301E36">
              <w:rPr>
                <w:noProof/>
                <w:webHidden/>
              </w:rPr>
              <w:fldChar w:fldCharType="begin"/>
            </w:r>
            <w:r w:rsidR="00301E36">
              <w:rPr>
                <w:noProof/>
                <w:webHidden/>
              </w:rPr>
              <w:instrText xml:space="preserve"> PAGEREF _Toc132980331 \h </w:instrText>
            </w:r>
            <w:r w:rsidR="00301E36">
              <w:rPr>
                <w:noProof/>
                <w:webHidden/>
              </w:rPr>
            </w:r>
            <w:r w:rsidR="00301E36">
              <w:rPr>
                <w:noProof/>
                <w:webHidden/>
              </w:rPr>
              <w:fldChar w:fldCharType="separate"/>
            </w:r>
            <w:r>
              <w:rPr>
                <w:noProof/>
                <w:webHidden/>
              </w:rPr>
              <w:t>46</w:t>
            </w:r>
            <w:r w:rsidR="00301E36">
              <w:rPr>
                <w:noProof/>
                <w:webHidden/>
              </w:rPr>
              <w:fldChar w:fldCharType="end"/>
            </w:r>
          </w:hyperlink>
        </w:p>
        <w:p w14:paraId="5C4F492C" w14:textId="41FDE81D" w:rsidR="00301E36" w:rsidRDefault="003F5EF5">
          <w:pPr>
            <w:pStyle w:val="TOC1"/>
            <w:rPr>
              <w:rFonts w:asciiTheme="minorHAnsi" w:eastAsiaTheme="minorEastAsia" w:hAnsiTheme="minorHAnsi" w:cstheme="minorBidi"/>
              <w:b w:val="0"/>
              <w:noProof/>
              <w:color w:val="auto"/>
              <w:sz w:val="22"/>
              <w:szCs w:val="22"/>
              <w:lang w:eastAsia="en-AU"/>
            </w:rPr>
          </w:pPr>
          <w:hyperlink w:anchor="_Toc132980332" w:history="1">
            <w:r w:rsidR="00301E36" w:rsidRPr="00CD70B8">
              <w:rPr>
                <w:rStyle w:val="Hyperlink"/>
                <w:noProof/>
              </w:rPr>
              <w:t>Outcome</w:t>
            </w:r>
            <w:r w:rsidR="00301E36">
              <w:rPr>
                <w:noProof/>
                <w:webHidden/>
              </w:rPr>
              <w:tab/>
            </w:r>
            <w:r w:rsidR="00301E36">
              <w:rPr>
                <w:noProof/>
                <w:webHidden/>
              </w:rPr>
              <w:fldChar w:fldCharType="begin"/>
            </w:r>
            <w:r w:rsidR="00301E36">
              <w:rPr>
                <w:noProof/>
                <w:webHidden/>
              </w:rPr>
              <w:instrText xml:space="preserve"> PAGEREF _Toc132980332 \h </w:instrText>
            </w:r>
            <w:r w:rsidR="00301E36">
              <w:rPr>
                <w:noProof/>
                <w:webHidden/>
              </w:rPr>
            </w:r>
            <w:r w:rsidR="00301E36">
              <w:rPr>
                <w:noProof/>
                <w:webHidden/>
              </w:rPr>
              <w:fldChar w:fldCharType="separate"/>
            </w:r>
            <w:r>
              <w:rPr>
                <w:noProof/>
                <w:webHidden/>
              </w:rPr>
              <w:t>46</w:t>
            </w:r>
            <w:r w:rsidR="00301E36">
              <w:rPr>
                <w:noProof/>
                <w:webHidden/>
              </w:rPr>
              <w:fldChar w:fldCharType="end"/>
            </w:r>
          </w:hyperlink>
        </w:p>
        <w:p w14:paraId="68B70C53" w14:textId="67F085B4" w:rsidR="00301E36" w:rsidRDefault="003F5EF5">
          <w:pPr>
            <w:pStyle w:val="TOC2"/>
            <w:rPr>
              <w:rFonts w:asciiTheme="minorHAnsi" w:eastAsiaTheme="minorEastAsia" w:hAnsiTheme="minorHAnsi" w:cstheme="minorBidi"/>
              <w:b w:val="0"/>
              <w:noProof/>
              <w:color w:val="auto"/>
              <w:sz w:val="22"/>
              <w:szCs w:val="22"/>
              <w:lang w:eastAsia="en-AU"/>
            </w:rPr>
          </w:pPr>
          <w:hyperlink w:anchor="_Toc132980333" w:history="1">
            <w:r w:rsidR="00301E36" w:rsidRPr="00CD70B8">
              <w:rPr>
                <w:rStyle w:val="Hyperlink"/>
                <w:noProof/>
              </w:rPr>
              <w:t>Specific conditions of registration applying to these goods</w:t>
            </w:r>
            <w:r w:rsidR="00301E36">
              <w:rPr>
                <w:noProof/>
                <w:webHidden/>
              </w:rPr>
              <w:tab/>
            </w:r>
            <w:r w:rsidR="00301E36">
              <w:rPr>
                <w:noProof/>
                <w:webHidden/>
              </w:rPr>
              <w:fldChar w:fldCharType="begin"/>
            </w:r>
            <w:r w:rsidR="00301E36">
              <w:rPr>
                <w:noProof/>
                <w:webHidden/>
              </w:rPr>
              <w:instrText xml:space="preserve"> PAGEREF _Toc132980333 \h </w:instrText>
            </w:r>
            <w:r w:rsidR="00301E36">
              <w:rPr>
                <w:noProof/>
                <w:webHidden/>
              </w:rPr>
            </w:r>
            <w:r w:rsidR="00301E36">
              <w:rPr>
                <w:noProof/>
                <w:webHidden/>
              </w:rPr>
              <w:fldChar w:fldCharType="separate"/>
            </w:r>
            <w:r>
              <w:rPr>
                <w:noProof/>
                <w:webHidden/>
              </w:rPr>
              <w:t>46</w:t>
            </w:r>
            <w:r w:rsidR="00301E36">
              <w:rPr>
                <w:noProof/>
                <w:webHidden/>
              </w:rPr>
              <w:fldChar w:fldCharType="end"/>
            </w:r>
          </w:hyperlink>
        </w:p>
        <w:p w14:paraId="5160C935" w14:textId="0DF28271" w:rsidR="00301E36" w:rsidRDefault="003F5EF5">
          <w:pPr>
            <w:pStyle w:val="TOC1"/>
            <w:rPr>
              <w:rFonts w:asciiTheme="minorHAnsi" w:eastAsiaTheme="minorEastAsia" w:hAnsiTheme="minorHAnsi" w:cstheme="minorBidi"/>
              <w:b w:val="0"/>
              <w:noProof/>
              <w:color w:val="auto"/>
              <w:sz w:val="22"/>
              <w:szCs w:val="22"/>
              <w:lang w:eastAsia="en-AU"/>
            </w:rPr>
          </w:pPr>
          <w:hyperlink w:anchor="_Toc132980334" w:history="1">
            <w:r w:rsidR="00301E36" w:rsidRPr="00CD70B8">
              <w:rPr>
                <w:rStyle w:val="Hyperlink"/>
                <w:noProof/>
              </w:rPr>
              <w:t>Attachment 1. Product Information</w:t>
            </w:r>
            <w:r w:rsidR="00301E36">
              <w:rPr>
                <w:noProof/>
                <w:webHidden/>
              </w:rPr>
              <w:tab/>
            </w:r>
            <w:r w:rsidR="00301E36">
              <w:rPr>
                <w:noProof/>
                <w:webHidden/>
              </w:rPr>
              <w:fldChar w:fldCharType="begin"/>
            </w:r>
            <w:r w:rsidR="00301E36">
              <w:rPr>
                <w:noProof/>
                <w:webHidden/>
              </w:rPr>
              <w:instrText xml:space="preserve"> PAGEREF _Toc132980334 \h </w:instrText>
            </w:r>
            <w:r w:rsidR="00301E36">
              <w:rPr>
                <w:noProof/>
                <w:webHidden/>
              </w:rPr>
            </w:r>
            <w:r w:rsidR="00301E36">
              <w:rPr>
                <w:noProof/>
                <w:webHidden/>
              </w:rPr>
              <w:fldChar w:fldCharType="separate"/>
            </w:r>
            <w:r>
              <w:rPr>
                <w:noProof/>
                <w:webHidden/>
              </w:rPr>
              <w:t>47</w:t>
            </w:r>
            <w:r w:rsidR="00301E36">
              <w:rPr>
                <w:noProof/>
                <w:webHidden/>
              </w:rPr>
              <w:fldChar w:fldCharType="end"/>
            </w:r>
          </w:hyperlink>
        </w:p>
        <w:p w14:paraId="77659F2D" w14:textId="0913D62A" w:rsidR="00F02AEC" w:rsidRPr="00215D48" w:rsidRDefault="00F02AEC" w:rsidP="008B3CF0">
          <w:r w:rsidRPr="00215D48">
            <w:fldChar w:fldCharType="end"/>
          </w:r>
        </w:p>
      </w:sdtContent>
    </w:sdt>
    <w:p w14:paraId="10987AE2" w14:textId="77777777" w:rsidR="00F02AEC" w:rsidRPr="00215D48" w:rsidRDefault="00F02AEC" w:rsidP="008B3CF0">
      <w:r w:rsidRPr="00215D48">
        <w:br w:type="page"/>
      </w:r>
    </w:p>
    <w:p w14:paraId="1E73AB93" w14:textId="77777777" w:rsidR="00324B33" w:rsidRDefault="00324B33" w:rsidP="00324B33">
      <w:pPr>
        <w:pStyle w:val="Heading2"/>
      </w:pPr>
      <w:bookmarkStart w:id="0" w:name="_Toc98931917"/>
      <w:bookmarkStart w:id="1" w:name="_Toc103679287"/>
      <w:bookmarkStart w:id="2" w:name="_Toc132980306"/>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F50933" w14:paraId="2C7CA1B1" w14:textId="77777777" w:rsidTr="008B3CF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2CCE9837" w14:textId="77777777" w:rsidR="00F50933" w:rsidRDefault="00F50933" w:rsidP="008B3CF0">
            <w:r>
              <w:t>Abbreviation</w:t>
            </w:r>
          </w:p>
        </w:tc>
        <w:tc>
          <w:tcPr>
            <w:tcW w:w="7167" w:type="dxa"/>
          </w:tcPr>
          <w:p w14:paraId="0CB23A8B" w14:textId="77777777" w:rsidR="00F50933" w:rsidRDefault="00F50933" w:rsidP="008B3CF0">
            <w:pPr>
              <w:cnfStyle w:val="100000000000" w:firstRow="1" w:lastRow="0" w:firstColumn="0" w:lastColumn="0" w:oddVBand="0" w:evenVBand="0" w:oddHBand="0" w:evenHBand="0" w:firstRowFirstColumn="0" w:firstRowLastColumn="0" w:lastRowFirstColumn="0" w:lastRowLastColumn="0"/>
            </w:pPr>
            <w:r>
              <w:t>Meaning</w:t>
            </w:r>
          </w:p>
        </w:tc>
      </w:tr>
      <w:tr w:rsidR="00F50933" w14:paraId="74D60A58"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53C9CF" w14:textId="77777777" w:rsidR="00F50933" w:rsidRDefault="00F50933" w:rsidP="008B3CF0">
            <w:r>
              <w:t>ALT</w:t>
            </w:r>
          </w:p>
        </w:tc>
        <w:tc>
          <w:tcPr>
            <w:tcW w:w="7167" w:type="dxa"/>
          </w:tcPr>
          <w:p w14:paraId="5D71E11D" w14:textId="2F9D84C0" w:rsidR="00F50933" w:rsidRDefault="00287119" w:rsidP="008B3CF0">
            <w:pPr>
              <w:cnfStyle w:val="000000000000" w:firstRow="0" w:lastRow="0" w:firstColumn="0" w:lastColumn="0" w:oddVBand="0" w:evenVBand="0" w:oddHBand="0" w:evenHBand="0" w:firstRowFirstColumn="0" w:firstRowLastColumn="0" w:lastRowFirstColumn="0" w:lastRowLastColumn="0"/>
            </w:pPr>
            <w:r>
              <w:t>Alanine a</w:t>
            </w:r>
            <w:r w:rsidR="00F50933">
              <w:t>minotransferase</w:t>
            </w:r>
          </w:p>
        </w:tc>
      </w:tr>
      <w:tr w:rsidR="00F50933" w14:paraId="30D47137"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257D8FD" w14:textId="77777777" w:rsidR="00F50933" w:rsidRDefault="00F50933" w:rsidP="008B3CF0">
            <w:r>
              <w:t>ARTG</w:t>
            </w:r>
          </w:p>
        </w:tc>
        <w:tc>
          <w:tcPr>
            <w:tcW w:w="7167" w:type="dxa"/>
          </w:tcPr>
          <w:p w14:paraId="0F2C480A"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F50933" w14:paraId="66854EF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1080CB1" w14:textId="77777777" w:rsidR="00F50933" w:rsidRDefault="00F50933" w:rsidP="008B3CF0">
            <w:r>
              <w:t>ASA</w:t>
            </w:r>
          </w:p>
        </w:tc>
        <w:tc>
          <w:tcPr>
            <w:tcW w:w="7167" w:type="dxa"/>
          </w:tcPr>
          <w:p w14:paraId="0CDBC79B"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Australia specific annex</w:t>
            </w:r>
          </w:p>
        </w:tc>
      </w:tr>
      <w:tr w:rsidR="00F50933" w14:paraId="750C1B8B"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33226A" w14:textId="77777777" w:rsidR="00F50933" w:rsidRDefault="00F50933" w:rsidP="008B3CF0">
            <w:r>
              <w:t>AST</w:t>
            </w:r>
          </w:p>
        </w:tc>
        <w:tc>
          <w:tcPr>
            <w:tcW w:w="7167" w:type="dxa"/>
          </w:tcPr>
          <w:p w14:paraId="7BBBF753"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Aspartate aminotransferase</w:t>
            </w:r>
          </w:p>
        </w:tc>
      </w:tr>
      <w:tr w:rsidR="00F50933" w14:paraId="6966F18A"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C898F04" w14:textId="0B96CA18" w:rsidR="00F50933" w:rsidRDefault="00F50933" w:rsidP="008B3CF0">
            <w:r>
              <w:t>AUC</w:t>
            </w:r>
            <w:r w:rsidR="00287119">
              <w:rPr>
                <w:vertAlign w:val="subscript"/>
              </w:rPr>
              <w:t>0-</w:t>
            </w:r>
            <w:r w:rsidRPr="000C29BF">
              <w:rPr>
                <w:vertAlign w:val="subscript"/>
              </w:rPr>
              <w:t>24</w:t>
            </w:r>
            <w:r w:rsidR="00287119">
              <w:rPr>
                <w:vertAlign w:val="subscript"/>
              </w:rPr>
              <w:t>h</w:t>
            </w:r>
          </w:p>
        </w:tc>
        <w:tc>
          <w:tcPr>
            <w:tcW w:w="7167" w:type="dxa"/>
          </w:tcPr>
          <w:p w14:paraId="74407F77" w14:textId="48FA9516" w:rsidR="00F50933" w:rsidRDefault="00F50933" w:rsidP="008B3CF0">
            <w:pPr>
              <w:cnfStyle w:val="000000000000" w:firstRow="0" w:lastRow="0" w:firstColumn="0" w:lastColumn="0" w:oddVBand="0" w:evenVBand="0" w:oddHBand="0" w:evenHBand="0" w:firstRowFirstColumn="0" w:firstRowLastColumn="0" w:lastRowFirstColumn="0" w:lastRowLastColumn="0"/>
            </w:pPr>
            <w:r>
              <w:t>Area under concentration time curve f</w:t>
            </w:r>
            <w:r w:rsidR="00287119">
              <w:t xml:space="preserve">rom time zero to </w:t>
            </w:r>
            <w:r>
              <w:t>24 hours</w:t>
            </w:r>
          </w:p>
        </w:tc>
      </w:tr>
      <w:tr w:rsidR="00F50933" w14:paraId="0D9D6502"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D4D17F8" w14:textId="77777777" w:rsidR="00F50933" w:rsidRDefault="00F50933" w:rsidP="008B3CF0">
            <w:r>
              <w:t>AUC</w:t>
            </w:r>
            <w:r w:rsidRPr="00416461">
              <w:rPr>
                <w:vertAlign w:val="subscript"/>
              </w:rPr>
              <w:t>∞</w:t>
            </w:r>
          </w:p>
        </w:tc>
        <w:tc>
          <w:tcPr>
            <w:tcW w:w="7167" w:type="dxa"/>
          </w:tcPr>
          <w:p w14:paraId="019D60F6"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Area under concentration time curve from time zero to infinity</w:t>
            </w:r>
          </w:p>
        </w:tc>
      </w:tr>
      <w:tr w:rsidR="00F50933" w14:paraId="3510EBF8"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A38B493" w14:textId="77777777" w:rsidR="00F50933" w:rsidRDefault="00F50933" w:rsidP="008B3CF0">
            <w:r>
              <w:t>AUC</w:t>
            </w:r>
            <w:r w:rsidRPr="00EC29F1">
              <w:rPr>
                <w:vertAlign w:val="subscript"/>
              </w:rPr>
              <w:t>last</w:t>
            </w:r>
          </w:p>
        </w:tc>
        <w:tc>
          <w:tcPr>
            <w:tcW w:w="7167" w:type="dxa"/>
          </w:tcPr>
          <w:p w14:paraId="1C744F3F" w14:textId="474AD98A" w:rsidR="00F50933" w:rsidRDefault="00F50933" w:rsidP="008B3CF0">
            <w:pPr>
              <w:cnfStyle w:val="000000000000" w:firstRow="0" w:lastRow="0" w:firstColumn="0" w:lastColumn="0" w:oddVBand="0" w:evenVBand="0" w:oddHBand="0" w:evenHBand="0" w:firstRowFirstColumn="0" w:firstRowLastColumn="0" w:lastRowFirstColumn="0" w:lastRowLastColumn="0"/>
            </w:pPr>
            <w:r>
              <w:t xml:space="preserve">Area under concentration time curve to </w:t>
            </w:r>
            <w:r w:rsidR="00287119">
              <w:t xml:space="preserve">the </w:t>
            </w:r>
            <w:r>
              <w:t>last measurable concentration</w:t>
            </w:r>
          </w:p>
        </w:tc>
      </w:tr>
      <w:tr w:rsidR="00F50933" w14:paraId="7063402D"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53958E4" w14:textId="77777777" w:rsidR="00F50933" w:rsidRDefault="00F50933" w:rsidP="008B3CF0">
            <w:r>
              <w:t>BCRP</w:t>
            </w:r>
          </w:p>
        </w:tc>
        <w:tc>
          <w:tcPr>
            <w:tcW w:w="7167" w:type="dxa"/>
          </w:tcPr>
          <w:p w14:paraId="64140DD3"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Breast cancer resistance protein</w:t>
            </w:r>
          </w:p>
        </w:tc>
      </w:tr>
      <w:tr w:rsidR="00F50933" w14:paraId="4014CA8C"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AA1E719" w14:textId="77777777" w:rsidR="00F50933" w:rsidRDefault="00F50933" w:rsidP="008B3CF0">
            <w:r>
              <w:t>CI</w:t>
            </w:r>
          </w:p>
        </w:tc>
        <w:tc>
          <w:tcPr>
            <w:tcW w:w="7167" w:type="dxa"/>
          </w:tcPr>
          <w:p w14:paraId="202B8187"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Confidence interval</w:t>
            </w:r>
          </w:p>
        </w:tc>
      </w:tr>
      <w:tr w:rsidR="00F50933" w14:paraId="25540A90"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AB20AB" w14:textId="77777777" w:rsidR="00F50933" w:rsidRDefault="00F50933" w:rsidP="008B3CF0">
            <w:r>
              <w:t>C</w:t>
            </w:r>
            <w:r w:rsidRPr="00416461">
              <w:rPr>
                <w:vertAlign w:val="subscript"/>
              </w:rPr>
              <w:t>max</w:t>
            </w:r>
          </w:p>
        </w:tc>
        <w:tc>
          <w:tcPr>
            <w:tcW w:w="7167" w:type="dxa"/>
          </w:tcPr>
          <w:p w14:paraId="581128B8"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Maximum concentration</w:t>
            </w:r>
          </w:p>
        </w:tc>
      </w:tr>
      <w:tr w:rsidR="00F50933" w14:paraId="4B42363A"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26097C" w14:textId="77777777" w:rsidR="00F50933" w:rsidRDefault="00F50933" w:rsidP="008B3CF0">
            <w:r>
              <w:t>CMI</w:t>
            </w:r>
          </w:p>
        </w:tc>
        <w:tc>
          <w:tcPr>
            <w:tcW w:w="7167" w:type="dxa"/>
          </w:tcPr>
          <w:p w14:paraId="6246A559"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F50933" w14:paraId="7E6A4A6F"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6272251" w14:textId="77777777" w:rsidR="00F50933" w:rsidRDefault="00F50933" w:rsidP="008B3CF0">
            <w:r>
              <w:t>cORR</w:t>
            </w:r>
          </w:p>
        </w:tc>
        <w:tc>
          <w:tcPr>
            <w:tcW w:w="7167" w:type="dxa"/>
          </w:tcPr>
          <w:p w14:paraId="665C4FB2"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Confirmed objective response</w:t>
            </w:r>
          </w:p>
        </w:tc>
      </w:tr>
      <w:tr w:rsidR="00F50933" w14:paraId="25DEF0F2"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EB67E4F" w14:textId="77777777" w:rsidR="00F50933" w:rsidRDefault="00F50933" w:rsidP="008B3CF0">
            <w:r>
              <w:t>CR</w:t>
            </w:r>
          </w:p>
        </w:tc>
        <w:tc>
          <w:tcPr>
            <w:tcW w:w="7167" w:type="dxa"/>
          </w:tcPr>
          <w:p w14:paraId="4A186B73"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Complete response</w:t>
            </w:r>
          </w:p>
        </w:tc>
      </w:tr>
      <w:tr w:rsidR="00F50933" w14:paraId="274218C1"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4CE4968" w14:textId="77777777" w:rsidR="00F50933" w:rsidRDefault="00F50933" w:rsidP="008B3CF0">
            <w:r>
              <w:t>DLP</w:t>
            </w:r>
          </w:p>
        </w:tc>
        <w:tc>
          <w:tcPr>
            <w:tcW w:w="7167" w:type="dxa"/>
          </w:tcPr>
          <w:p w14:paraId="28E2FE4A"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Data lock point</w:t>
            </w:r>
          </w:p>
        </w:tc>
      </w:tr>
      <w:tr w:rsidR="00F50933" w14:paraId="7476841B"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DBC5C9C" w14:textId="77777777" w:rsidR="00F50933" w:rsidRDefault="00F50933" w:rsidP="008B3CF0">
            <w:r>
              <w:t>DOR</w:t>
            </w:r>
          </w:p>
        </w:tc>
        <w:tc>
          <w:tcPr>
            <w:tcW w:w="7167" w:type="dxa"/>
          </w:tcPr>
          <w:p w14:paraId="2E39A4DD"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Duration of response</w:t>
            </w:r>
          </w:p>
        </w:tc>
      </w:tr>
      <w:tr w:rsidR="00F50933" w14:paraId="57745267"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1B6E724" w14:textId="77777777" w:rsidR="00F50933" w:rsidRDefault="00F50933" w:rsidP="008B3CF0">
            <w:r>
              <w:t>ECG</w:t>
            </w:r>
          </w:p>
        </w:tc>
        <w:tc>
          <w:tcPr>
            <w:tcW w:w="7167" w:type="dxa"/>
          </w:tcPr>
          <w:p w14:paraId="60CDEFC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t>Electrocardiogram</w:t>
            </w:r>
          </w:p>
        </w:tc>
      </w:tr>
      <w:tr w:rsidR="00F50933" w14:paraId="7D463AA5"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8A113C" w14:textId="77777777" w:rsidR="00F50933" w:rsidRDefault="00F50933" w:rsidP="008B3CF0">
            <w:r>
              <w:t>EGFR</w:t>
            </w:r>
          </w:p>
        </w:tc>
        <w:tc>
          <w:tcPr>
            <w:tcW w:w="7167" w:type="dxa"/>
          </w:tcPr>
          <w:p w14:paraId="5FC40023"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E</w:t>
            </w:r>
            <w:r w:rsidRPr="00D36414">
              <w:t>pidermal growth factor receptor</w:t>
            </w:r>
          </w:p>
        </w:tc>
      </w:tr>
      <w:tr w:rsidR="00F50933" w14:paraId="4D6A1281"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A44B66B" w14:textId="77777777" w:rsidR="00F50933" w:rsidRDefault="00F50933" w:rsidP="008B3CF0">
            <w:r>
              <w:t>eGFR</w:t>
            </w:r>
          </w:p>
        </w:tc>
        <w:tc>
          <w:tcPr>
            <w:tcW w:w="7167" w:type="dxa"/>
          </w:tcPr>
          <w:p w14:paraId="0916DEB2"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Estimated glomerular filtration rate</w:t>
            </w:r>
          </w:p>
        </w:tc>
      </w:tr>
      <w:tr w:rsidR="00F50933" w14:paraId="0DE72BEA"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954AF68" w14:textId="77777777" w:rsidR="00F50933" w:rsidRDefault="00F50933" w:rsidP="008B3CF0">
            <w:r w:rsidRPr="0086509D">
              <w:rPr>
                <w:i/>
                <w:iCs/>
              </w:rPr>
              <w:t>EGFRm</w:t>
            </w:r>
          </w:p>
        </w:tc>
        <w:tc>
          <w:tcPr>
            <w:tcW w:w="7167" w:type="dxa"/>
          </w:tcPr>
          <w:p w14:paraId="40DA3319"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 xml:space="preserve">Mutations of the </w:t>
            </w:r>
            <w:r w:rsidRPr="00E92E76">
              <w:rPr>
                <w:i/>
                <w:iCs/>
              </w:rPr>
              <w:t>EGFR</w:t>
            </w:r>
            <w:r>
              <w:t xml:space="preserve"> oncogene</w:t>
            </w:r>
          </w:p>
        </w:tc>
      </w:tr>
      <w:tr w:rsidR="00F50933" w14:paraId="1BD75BBB"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8C5DB6" w14:textId="77777777" w:rsidR="00F50933" w:rsidRDefault="00F50933" w:rsidP="008B3CF0">
            <w:r>
              <w:t>EU</w:t>
            </w:r>
          </w:p>
        </w:tc>
        <w:tc>
          <w:tcPr>
            <w:tcW w:w="7167" w:type="dxa"/>
          </w:tcPr>
          <w:p w14:paraId="3BF407AD"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European Union</w:t>
            </w:r>
          </w:p>
        </w:tc>
      </w:tr>
      <w:tr w:rsidR="00F50933" w14:paraId="67354F35"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FE6CD48" w14:textId="77777777" w:rsidR="00F50933" w:rsidRDefault="00F50933" w:rsidP="008B3CF0">
            <w:r>
              <w:t>ex20ins</w:t>
            </w:r>
          </w:p>
        </w:tc>
        <w:tc>
          <w:tcPr>
            <w:tcW w:w="7167" w:type="dxa"/>
          </w:tcPr>
          <w:p w14:paraId="445E0D69"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E</w:t>
            </w:r>
            <w:r w:rsidRPr="00D36414">
              <w:t>xon 20 insertion</w:t>
            </w:r>
          </w:p>
        </w:tc>
      </w:tr>
      <w:tr w:rsidR="00F50933" w14:paraId="73859721"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32C8AD6" w14:textId="77777777" w:rsidR="00F50933" w:rsidRDefault="00F50933" w:rsidP="008B3CF0">
            <w:r>
              <w:t>FDA</w:t>
            </w:r>
          </w:p>
        </w:tc>
        <w:tc>
          <w:tcPr>
            <w:tcW w:w="7167" w:type="dxa"/>
          </w:tcPr>
          <w:p w14:paraId="5ED6DA67"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Food and Drug Administration (United States)</w:t>
            </w:r>
          </w:p>
        </w:tc>
      </w:tr>
      <w:tr w:rsidR="00F50933" w14:paraId="18D29BA0"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703CB8A" w14:textId="77777777" w:rsidR="00F50933" w:rsidRDefault="00F50933" w:rsidP="008B3CF0">
            <w:r>
              <w:t>GT</w:t>
            </w:r>
          </w:p>
        </w:tc>
        <w:tc>
          <w:tcPr>
            <w:tcW w:w="7167" w:type="dxa"/>
          </w:tcPr>
          <w:p w14:paraId="17A4656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t>G</w:t>
            </w:r>
            <w:r w:rsidRPr="00AB739A">
              <w:t xml:space="preserve">rouped </w:t>
            </w:r>
            <w:r>
              <w:t>T</w:t>
            </w:r>
            <w:r w:rsidRPr="00AB739A">
              <w:t>erm</w:t>
            </w:r>
          </w:p>
        </w:tc>
      </w:tr>
      <w:tr w:rsidR="00F50933" w14:paraId="3CB5FECC"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A90AFC" w14:textId="77777777" w:rsidR="00F50933" w:rsidRDefault="00F50933" w:rsidP="008B3CF0">
            <w:r>
              <w:t>IRC</w:t>
            </w:r>
          </w:p>
        </w:tc>
        <w:tc>
          <w:tcPr>
            <w:tcW w:w="7167" w:type="dxa"/>
          </w:tcPr>
          <w:p w14:paraId="0A1758CA"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t>I</w:t>
            </w:r>
            <w:r w:rsidRPr="00795B92">
              <w:t>ndependent radiological review committee</w:t>
            </w:r>
          </w:p>
        </w:tc>
      </w:tr>
      <w:tr w:rsidR="00F50933" w14:paraId="64AD159C"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CFCA18A" w14:textId="77777777" w:rsidR="00F50933" w:rsidRDefault="00F50933" w:rsidP="008B3CF0">
            <w:r>
              <w:t>MDR</w:t>
            </w:r>
          </w:p>
        </w:tc>
        <w:tc>
          <w:tcPr>
            <w:tcW w:w="7167" w:type="dxa"/>
          </w:tcPr>
          <w:p w14:paraId="72CE054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Multidisciplinary review</w:t>
            </w:r>
          </w:p>
        </w:tc>
      </w:tr>
      <w:tr w:rsidR="00F50933" w14:paraId="2936BE3E"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F22F117" w14:textId="77777777" w:rsidR="00F50933" w:rsidRDefault="00F50933" w:rsidP="008B3CF0">
            <w:r>
              <w:t>NSCLC</w:t>
            </w:r>
          </w:p>
        </w:tc>
        <w:tc>
          <w:tcPr>
            <w:tcW w:w="7167" w:type="dxa"/>
          </w:tcPr>
          <w:p w14:paraId="5A87DD04"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N</w:t>
            </w:r>
            <w:r w:rsidRPr="00D36414">
              <w:t>on-small cell lung cancer</w:t>
            </w:r>
          </w:p>
        </w:tc>
      </w:tr>
      <w:tr w:rsidR="00F50933" w14:paraId="72EAA65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2D178E" w14:textId="77777777" w:rsidR="00F50933" w:rsidRDefault="00F50933" w:rsidP="008B3CF0">
            <w:r w:rsidRPr="00D56E29">
              <w:t>ODxT</w:t>
            </w:r>
          </w:p>
        </w:tc>
        <w:tc>
          <w:tcPr>
            <w:tcW w:w="7167" w:type="dxa"/>
          </w:tcPr>
          <w:p w14:paraId="40ED83EB"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sidRPr="00D56E29">
              <w:rPr>
                <w:lang w:eastAsia="zh-TW"/>
              </w:rPr>
              <w:t>Oncomine Dx Target Test</w:t>
            </w:r>
          </w:p>
        </w:tc>
      </w:tr>
      <w:tr w:rsidR="00F50933" w14:paraId="423DBF75"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FC1486" w14:textId="77777777" w:rsidR="00F50933" w:rsidRDefault="00F50933" w:rsidP="008B3CF0">
            <w:r>
              <w:t>ORR</w:t>
            </w:r>
          </w:p>
        </w:tc>
        <w:tc>
          <w:tcPr>
            <w:tcW w:w="7167" w:type="dxa"/>
          </w:tcPr>
          <w:p w14:paraId="17AC261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rPr>
                <w:lang w:eastAsia="zh-TW"/>
              </w:rPr>
              <w:t>Objective response rate</w:t>
            </w:r>
          </w:p>
        </w:tc>
      </w:tr>
      <w:tr w:rsidR="00F50933" w14:paraId="7B11690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5E6BE73" w14:textId="77777777" w:rsidR="00F50933" w:rsidRDefault="00F50933" w:rsidP="008B3CF0">
            <w:r>
              <w:t>PBPK</w:t>
            </w:r>
          </w:p>
        </w:tc>
        <w:tc>
          <w:tcPr>
            <w:tcW w:w="7167" w:type="dxa"/>
          </w:tcPr>
          <w:p w14:paraId="10251E8B"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Physiologically-based pharmacokinetics</w:t>
            </w:r>
          </w:p>
        </w:tc>
      </w:tr>
      <w:tr w:rsidR="00F50933" w14:paraId="51FD3C14"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5F703AA" w14:textId="77777777" w:rsidR="00F50933" w:rsidRDefault="00F50933" w:rsidP="008B3CF0">
            <w:r>
              <w:t>PD-L1</w:t>
            </w:r>
          </w:p>
        </w:tc>
        <w:tc>
          <w:tcPr>
            <w:tcW w:w="7167" w:type="dxa"/>
          </w:tcPr>
          <w:p w14:paraId="50546D98"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rsidRPr="00D36414">
              <w:t>Programmed death-ligand 1</w:t>
            </w:r>
          </w:p>
        </w:tc>
      </w:tr>
      <w:tr w:rsidR="00F50933" w14:paraId="2CE48B5F"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AF6BFA0" w14:textId="77777777" w:rsidR="00F50933" w:rsidRDefault="00F50933" w:rsidP="008B3CF0">
            <w:r>
              <w:t>PI</w:t>
            </w:r>
          </w:p>
        </w:tc>
        <w:tc>
          <w:tcPr>
            <w:tcW w:w="7167" w:type="dxa"/>
          </w:tcPr>
          <w:p w14:paraId="672260B2"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Product Information</w:t>
            </w:r>
          </w:p>
        </w:tc>
      </w:tr>
      <w:tr w:rsidR="00F50933" w14:paraId="05B527E2"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6C374E8" w14:textId="77777777" w:rsidR="00F50933" w:rsidRDefault="00F50933" w:rsidP="008B3CF0">
            <w:r>
              <w:lastRenderedPageBreak/>
              <w:t>PK</w:t>
            </w:r>
          </w:p>
        </w:tc>
        <w:tc>
          <w:tcPr>
            <w:tcW w:w="7167" w:type="dxa"/>
          </w:tcPr>
          <w:p w14:paraId="2368C75E"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Pharmacokinetic(s)</w:t>
            </w:r>
          </w:p>
        </w:tc>
      </w:tr>
      <w:tr w:rsidR="00F50933" w14:paraId="3A5026D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1C7CE90" w14:textId="77777777" w:rsidR="00F50933" w:rsidRDefault="00F50933" w:rsidP="008B3CF0">
            <w:r>
              <w:t>PPP</w:t>
            </w:r>
          </w:p>
        </w:tc>
        <w:tc>
          <w:tcPr>
            <w:tcW w:w="7167" w:type="dxa"/>
          </w:tcPr>
          <w:p w14:paraId="394C2C66"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P</w:t>
            </w:r>
            <w:r w:rsidRPr="008D1E61">
              <w:t xml:space="preserve">ooled </w:t>
            </w:r>
            <w:r>
              <w:t>p</w:t>
            </w:r>
            <w:r w:rsidRPr="008D1E61">
              <w:t xml:space="preserve">rior </w:t>
            </w:r>
            <w:r>
              <w:t>p</w:t>
            </w:r>
            <w:r w:rsidRPr="008D1E61">
              <w:t>latinum</w:t>
            </w:r>
          </w:p>
        </w:tc>
      </w:tr>
      <w:tr w:rsidR="00F50933" w14:paraId="2238F391"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FEEBB28" w14:textId="77777777" w:rsidR="00F50933" w:rsidRDefault="00F50933" w:rsidP="008B3CF0">
            <w:r>
              <w:t>PR</w:t>
            </w:r>
          </w:p>
        </w:tc>
        <w:tc>
          <w:tcPr>
            <w:tcW w:w="7167" w:type="dxa"/>
          </w:tcPr>
          <w:p w14:paraId="748EB81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Partial response</w:t>
            </w:r>
          </w:p>
        </w:tc>
      </w:tr>
      <w:tr w:rsidR="00F50933" w14:paraId="52DD80E9"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DE4D7EA" w14:textId="77777777" w:rsidR="00F50933" w:rsidRDefault="00F50933" w:rsidP="008B3CF0">
            <w:r>
              <w:t>PT</w:t>
            </w:r>
          </w:p>
        </w:tc>
        <w:tc>
          <w:tcPr>
            <w:tcW w:w="7167" w:type="dxa"/>
          </w:tcPr>
          <w:p w14:paraId="4F3C2ED5"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sidRPr="00AB739A">
              <w:t>Preferred Term</w:t>
            </w:r>
          </w:p>
        </w:tc>
      </w:tr>
      <w:tr w:rsidR="00F50933" w14:paraId="2694331B"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6A75B31" w14:textId="77777777" w:rsidR="00F50933" w:rsidRDefault="00F50933" w:rsidP="008B3CF0">
            <w:r>
              <w:t>RMP</w:t>
            </w:r>
          </w:p>
        </w:tc>
        <w:tc>
          <w:tcPr>
            <w:tcW w:w="7167" w:type="dxa"/>
          </w:tcPr>
          <w:p w14:paraId="2D621389"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Risk management plan</w:t>
            </w:r>
          </w:p>
        </w:tc>
      </w:tr>
      <w:tr w:rsidR="00F50933" w14:paraId="65D29C73"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795F76" w14:textId="77777777" w:rsidR="00F50933" w:rsidRDefault="00F50933" w:rsidP="008B3CF0">
            <w:r>
              <w:t>SAE</w:t>
            </w:r>
          </w:p>
        </w:tc>
        <w:tc>
          <w:tcPr>
            <w:tcW w:w="7167" w:type="dxa"/>
          </w:tcPr>
          <w:p w14:paraId="315004BD"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Serious adverse event</w:t>
            </w:r>
          </w:p>
        </w:tc>
      </w:tr>
      <w:tr w:rsidR="00F50933" w14:paraId="7815732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C8E727" w14:textId="77777777" w:rsidR="00F50933" w:rsidRDefault="00F50933" w:rsidP="008B3CF0">
            <w:r>
              <w:t>TEAE</w:t>
            </w:r>
          </w:p>
        </w:tc>
        <w:tc>
          <w:tcPr>
            <w:tcW w:w="7167" w:type="dxa"/>
          </w:tcPr>
          <w:p w14:paraId="4558BB47"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rPr>
                <w:lang w:eastAsia="zh-TW"/>
              </w:rPr>
            </w:pPr>
            <w:r>
              <w:t>T</w:t>
            </w:r>
            <w:r w:rsidRPr="004F76DC">
              <w:t>reatment-emergent adverse events</w:t>
            </w:r>
          </w:p>
        </w:tc>
      </w:tr>
      <w:tr w:rsidR="00F50933" w14:paraId="2BEF0C47"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9EF6945" w14:textId="77777777" w:rsidR="00F50933" w:rsidRDefault="00F50933" w:rsidP="008B3CF0">
            <w:r>
              <w:t>TGA</w:t>
            </w:r>
          </w:p>
        </w:tc>
        <w:tc>
          <w:tcPr>
            <w:tcW w:w="7167" w:type="dxa"/>
          </w:tcPr>
          <w:p w14:paraId="20A66EA2"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Therapeutic Goods Administration</w:t>
            </w:r>
          </w:p>
        </w:tc>
      </w:tr>
      <w:tr w:rsidR="00F50933" w14:paraId="310668E0"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B6C7F4" w14:textId="77777777" w:rsidR="00F50933" w:rsidRDefault="00F50933" w:rsidP="008B3CF0">
            <w:r>
              <w:t>TKI</w:t>
            </w:r>
          </w:p>
        </w:tc>
        <w:tc>
          <w:tcPr>
            <w:tcW w:w="7167" w:type="dxa"/>
          </w:tcPr>
          <w:p w14:paraId="5B218C0B"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T</w:t>
            </w:r>
            <w:r w:rsidRPr="00484415">
              <w:t>yrosine kinase inhibitors</w:t>
            </w:r>
          </w:p>
        </w:tc>
      </w:tr>
      <w:tr w:rsidR="00F50933" w14:paraId="3A4CBA10"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F21BE9" w14:textId="77777777" w:rsidR="00F50933" w:rsidRDefault="00F50933" w:rsidP="008B3CF0">
            <w:r>
              <w:t>T</w:t>
            </w:r>
            <w:r w:rsidRPr="00FD497D">
              <w:rPr>
                <w:vertAlign w:val="subscript"/>
              </w:rPr>
              <w:t>max</w:t>
            </w:r>
          </w:p>
        </w:tc>
        <w:tc>
          <w:tcPr>
            <w:tcW w:w="7167" w:type="dxa"/>
          </w:tcPr>
          <w:p w14:paraId="2C259EE0"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Time to reach maximum concentration</w:t>
            </w:r>
          </w:p>
        </w:tc>
      </w:tr>
      <w:tr w:rsidR="00F50933" w14:paraId="06587B06"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C8AC49E" w14:textId="77777777" w:rsidR="00F50933" w:rsidRDefault="00F50933" w:rsidP="008B3CF0">
            <w:r>
              <w:t>UK</w:t>
            </w:r>
          </w:p>
        </w:tc>
        <w:tc>
          <w:tcPr>
            <w:tcW w:w="7167" w:type="dxa"/>
          </w:tcPr>
          <w:p w14:paraId="62A59BD7"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United Kingdom</w:t>
            </w:r>
          </w:p>
        </w:tc>
      </w:tr>
      <w:tr w:rsidR="00F50933" w14:paraId="3CD736E4"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744896" w14:textId="77777777" w:rsidR="00F50933" w:rsidRDefault="00F50933" w:rsidP="008B3CF0">
            <w:r>
              <w:t>ULN</w:t>
            </w:r>
          </w:p>
        </w:tc>
        <w:tc>
          <w:tcPr>
            <w:tcW w:w="7167" w:type="dxa"/>
          </w:tcPr>
          <w:p w14:paraId="071146D6"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Upper limit of normal</w:t>
            </w:r>
          </w:p>
        </w:tc>
      </w:tr>
      <w:tr w:rsidR="00F50933" w14:paraId="1F2855A2" w14:textId="77777777" w:rsidTr="008B3CF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76196AE" w14:textId="77777777" w:rsidR="00F50933" w:rsidRDefault="00F50933" w:rsidP="008B3CF0">
            <w:r>
              <w:t>US(A)</w:t>
            </w:r>
          </w:p>
        </w:tc>
        <w:tc>
          <w:tcPr>
            <w:tcW w:w="7167" w:type="dxa"/>
          </w:tcPr>
          <w:p w14:paraId="65DE607C" w14:textId="77777777" w:rsidR="00F50933" w:rsidRDefault="00F50933" w:rsidP="008B3CF0">
            <w:pPr>
              <w:cnfStyle w:val="000000000000" w:firstRow="0" w:lastRow="0" w:firstColumn="0" w:lastColumn="0" w:oddVBand="0" w:evenVBand="0" w:oddHBand="0" w:evenHBand="0" w:firstRowFirstColumn="0" w:firstRowLastColumn="0" w:lastRowFirstColumn="0" w:lastRowLastColumn="0"/>
            </w:pPr>
            <w:r>
              <w:t>United States (of America)</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2980307"/>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298030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19537C" w:rsidRPr="00BD5DBD" w14:paraId="11694E62" w14:textId="77777777" w:rsidTr="008B3CF0">
        <w:tc>
          <w:tcPr>
            <w:tcW w:w="1577" w:type="pct"/>
          </w:tcPr>
          <w:p w14:paraId="0C83F7BB" w14:textId="77777777" w:rsidR="0019537C" w:rsidRPr="00BD5DBD" w:rsidRDefault="0019537C" w:rsidP="008B3CF0">
            <w:r w:rsidRPr="00BD5DBD">
              <w:t>Type of submission:</w:t>
            </w:r>
          </w:p>
        </w:tc>
        <w:tc>
          <w:tcPr>
            <w:tcW w:w="3423" w:type="pct"/>
          </w:tcPr>
          <w:p w14:paraId="3DC388F1" w14:textId="77777777" w:rsidR="0019537C" w:rsidRPr="00BD5DBD" w:rsidRDefault="0019537C" w:rsidP="008B3CF0">
            <w:r w:rsidRPr="00BD5DBD">
              <w:t xml:space="preserve">New </w:t>
            </w:r>
            <w:r>
              <w:t>chemical</w:t>
            </w:r>
            <w:r w:rsidRPr="00BD5DBD">
              <w:t xml:space="preserve"> entity</w:t>
            </w:r>
          </w:p>
        </w:tc>
      </w:tr>
      <w:tr w:rsidR="0019537C" w:rsidRPr="00BD5DBD" w14:paraId="62831A86" w14:textId="77777777" w:rsidTr="008B3CF0">
        <w:tc>
          <w:tcPr>
            <w:tcW w:w="1577" w:type="pct"/>
          </w:tcPr>
          <w:p w14:paraId="0FF0CE5C" w14:textId="77777777" w:rsidR="0019537C" w:rsidRPr="00BD5DBD" w:rsidRDefault="0019537C" w:rsidP="008B3CF0">
            <w:r w:rsidRPr="00BD5DBD">
              <w:t>Product nam</w:t>
            </w:r>
            <w:r>
              <w:t>e</w:t>
            </w:r>
            <w:r w:rsidRPr="00BD5DBD">
              <w:t>:</w:t>
            </w:r>
          </w:p>
        </w:tc>
        <w:tc>
          <w:tcPr>
            <w:tcW w:w="3423" w:type="pct"/>
          </w:tcPr>
          <w:p w14:paraId="24296136" w14:textId="77777777" w:rsidR="0019537C" w:rsidRPr="00BD5DBD" w:rsidRDefault="0019537C" w:rsidP="008B3CF0">
            <w:r>
              <w:t>Exkivity</w:t>
            </w:r>
          </w:p>
        </w:tc>
      </w:tr>
      <w:tr w:rsidR="0019537C" w:rsidRPr="00BD5DBD" w14:paraId="182C35F4" w14:textId="77777777" w:rsidTr="008B3CF0">
        <w:tc>
          <w:tcPr>
            <w:tcW w:w="1577" w:type="pct"/>
          </w:tcPr>
          <w:p w14:paraId="5A9D7293" w14:textId="77777777" w:rsidR="0019537C" w:rsidRPr="00BD5DBD" w:rsidRDefault="0019537C" w:rsidP="008B3CF0">
            <w:r w:rsidRPr="00BD5DBD">
              <w:t>Active ingredient:</w:t>
            </w:r>
          </w:p>
        </w:tc>
        <w:tc>
          <w:tcPr>
            <w:tcW w:w="3423" w:type="pct"/>
          </w:tcPr>
          <w:p w14:paraId="654160D2" w14:textId="77777777" w:rsidR="0019537C" w:rsidRPr="00BD5DBD" w:rsidRDefault="0019537C" w:rsidP="008B3CF0">
            <w:r w:rsidRPr="00AD2309">
              <w:t>Mobocertinib</w:t>
            </w:r>
          </w:p>
        </w:tc>
      </w:tr>
      <w:tr w:rsidR="0019537C" w:rsidRPr="00BD5DBD" w14:paraId="5B9AF896" w14:textId="77777777" w:rsidTr="008B3CF0">
        <w:tc>
          <w:tcPr>
            <w:tcW w:w="1577" w:type="pct"/>
          </w:tcPr>
          <w:p w14:paraId="731E8710" w14:textId="77777777" w:rsidR="0019537C" w:rsidRPr="00BD5DBD" w:rsidRDefault="0019537C" w:rsidP="008B3CF0">
            <w:r w:rsidRPr="00BD5DBD">
              <w:t>Decision:</w:t>
            </w:r>
          </w:p>
        </w:tc>
        <w:tc>
          <w:tcPr>
            <w:tcW w:w="3423" w:type="pct"/>
          </w:tcPr>
          <w:p w14:paraId="75305E34" w14:textId="77777777" w:rsidR="0019537C" w:rsidRPr="00BD5DBD" w:rsidRDefault="0019537C" w:rsidP="008B3CF0">
            <w:r w:rsidRPr="00BD5DBD">
              <w:t>Approved for provisional registration</w:t>
            </w:r>
          </w:p>
        </w:tc>
      </w:tr>
      <w:tr w:rsidR="0019537C" w:rsidRPr="00BD5DBD" w14:paraId="3B6C6F3D" w14:textId="77777777" w:rsidTr="008B3CF0">
        <w:tc>
          <w:tcPr>
            <w:tcW w:w="1577" w:type="pct"/>
          </w:tcPr>
          <w:p w14:paraId="633F6A88" w14:textId="77777777" w:rsidR="0019537C" w:rsidRPr="0077419A" w:rsidRDefault="0019537C" w:rsidP="008B3CF0">
            <w:r w:rsidRPr="00BD5DBD">
              <w:t>Date of decision:</w:t>
            </w:r>
          </w:p>
        </w:tc>
        <w:tc>
          <w:tcPr>
            <w:tcW w:w="3423" w:type="pct"/>
          </w:tcPr>
          <w:p w14:paraId="12E6CDA8" w14:textId="77777777" w:rsidR="0019537C" w:rsidRPr="00BD5DBD" w:rsidRDefault="0019537C" w:rsidP="008B3CF0">
            <w:r>
              <w:t>14 July 2022</w:t>
            </w:r>
          </w:p>
        </w:tc>
      </w:tr>
      <w:tr w:rsidR="0019537C" w:rsidRPr="00BD5DBD" w14:paraId="3FD165F1" w14:textId="77777777" w:rsidTr="008B3CF0">
        <w:tc>
          <w:tcPr>
            <w:tcW w:w="1577" w:type="pct"/>
          </w:tcPr>
          <w:p w14:paraId="49F43C65" w14:textId="77777777" w:rsidR="0019537C" w:rsidRPr="00BD5DBD" w:rsidRDefault="0019537C" w:rsidP="008B3CF0">
            <w:r w:rsidRPr="00BD5DBD">
              <w:t>Date of entry onto ARTG:</w:t>
            </w:r>
          </w:p>
        </w:tc>
        <w:tc>
          <w:tcPr>
            <w:tcW w:w="3423" w:type="pct"/>
          </w:tcPr>
          <w:p w14:paraId="39BDC23D" w14:textId="77777777" w:rsidR="0019537C" w:rsidRPr="00BD5DBD" w:rsidRDefault="0019537C" w:rsidP="008B3CF0">
            <w:r>
              <w:t>19 July 2022</w:t>
            </w:r>
            <w:r w:rsidRPr="00BD5DBD">
              <w:t xml:space="preserve"> </w:t>
            </w:r>
          </w:p>
        </w:tc>
      </w:tr>
      <w:tr w:rsidR="0019537C" w:rsidRPr="00BD5DBD" w14:paraId="082D12BD" w14:textId="77777777" w:rsidTr="008B3CF0">
        <w:tc>
          <w:tcPr>
            <w:tcW w:w="1577" w:type="pct"/>
          </w:tcPr>
          <w:p w14:paraId="5F40A8D6" w14:textId="77777777" w:rsidR="0019537C" w:rsidRPr="00BD5DBD" w:rsidRDefault="0019537C" w:rsidP="008B3CF0">
            <w:r w:rsidRPr="00BD5DBD">
              <w:t>ARTG number:</w:t>
            </w:r>
          </w:p>
        </w:tc>
        <w:tc>
          <w:tcPr>
            <w:tcW w:w="3423" w:type="pct"/>
          </w:tcPr>
          <w:p w14:paraId="4E9A1539" w14:textId="77777777" w:rsidR="0019537C" w:rsidRPr="00BD5DBD" w:rsidRDefault="0019537C" w:rsidP="008B3CF0">
            <w:r>
              <w:t>370160</w:t>
            </w:r>
          </w:p>
        </w:tc>
      </w:tr>
      <w:tr w:rsidR="0019537C" w:rsidRPr="00BD5DBD" w14:paraId="1692E727" w14:textId="77777777" w:rsidTr="008B3CF0">
        <w:tc>
          <w:tcPr>
            <w:tcW w:w="1577" w:type="pct"/>
          </w:tcPr>
          <w:p w14:paraId="443486C5" w14:textId="0F6C6F2C" w:rsidR="0019537C" w:rsidRPr="00BD5DBD" w:rsidRDefault="0019537C" w:rsidP="008B3CF0">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2E23108E" w14:textId="77777777" w:rsidR="0019537C" w:rsidRPr="00BD5DBD" w:rsidRDefault="0019537C" w:rsidP="008B3CF0">
            <w:r w:rsidRPr="00BD5DBD">
              <w:t>for the current submission:</w:t>
            </w:r>
          </w:p>
        </w:tc>
        <w:tc>
          <w:tcPr>
            <w:tcW w:w="3423" w:type="pct"/>
          </w:tcPr>
          <w:p w14:paraId="123EDB06" w14:textId="77777777" w:rsidR="0019537C" w:rsidRPr="00BD5DBD" w:rsidRDefault="0019537C" w:rsidP="008B3CF0">
            <w:r w:rsidRPr="00BD5DBD">
              <w:t>Yes</w:t>
            </w:r>
          </w:p>
          <w:p w14:paraId="10653AF1" w14:textId="77777777" w:rsidR="0019537C" w:rsidRPr="00BD5DBD" w:rsidRDefault="0019537C" w:rsidP="008B3CF0">
            <w:r w:rsidRPr="00BD5DBD">
              <w:t>As a provisionally registered product, this medicine will remain in the Black Triangle Scheme for the duration of its provisional registration</w:t>
            </w:r>
          </w:p>
        </w:tc>
      </w:tr>
      <w:tr w:rsidR="0019537C" w:rsidRPr="00BD5DBD" w14:paraId="45CBA657" w14:textId="77777777" w:rsidTr="008B3CF0">
        <w:tc>
          <w:tcPr>
            <w:tcW w:w="1577" w:type="pct"/>
          </w:tcPr>
          <w:p w14:paraId="1CBA6E1B" w14:textId="77777777" w:rsidR="0019537C" w:rsidRPr="00BD5DBD" w:rsidRDefault="0019537C" w:rsidP="008B3CF0">
            <w:r w:rsidRPr="00BD5DBD">
              <w:t>Sponsor’s name and address:</w:t>
            </w:r>
          </w:p>
        </w:tc>
        <w:tc>
          <w:tcPr>
            <w:tcW w:w="3423" w:type="pct"/>
          </w:tcPr>
          <w:p w14:paraId="371EB85B" w14:textId="77777777" w:rsidR="0019537C" w:rsidRPr="00AD2309" w:rsidRDefault="0019537C" w:rsidP="008B3CF0">
            <w:r w:rsidRPr="00AD2309">
              <w:t>Takeda Pharmaceuticals Australia Pty Ltd</w:t>
            </w:r>
          </w:p>
          <w:p w14:paraId="30935DE4" w14:textId="77777777" w:rsidR="0019537C" w:rsidRPr="00AD2309" w:rsidRDefault="0019537C" w:rsidP="008B3CF0">
            <w:r w:rsidRPr="00AD2309">
              <w:t>Level 39</w:t>
            </w:r>
            <w:r>
              <w:t xml:space="preserve">, </w:t>
            </w:r>
            <w:r w:rsidRPr="00AD2309">
              <w:t>225 George Street</w:t>
            </w:r>
          </w:p>
          <w:p w14:paraId="2085BDB6" w14:textId="77777777" w:rsidR="0019537C" w:rsidRPr="00BD5DBD" w:rsidRDefault="0019537C" w:rsidP="008B3CF0">
            <w:r w:rsidRPr="00AD2309">
              <w:t>Sydney NSW 2000</w:t>
            </w:r>
          </w:p>
        </w:tc>
      </w:tr>
      <w:tr w:rsidR="0019537C" w:rsidRPr="00BD5DBD" w14:paraId="125DD2B6" w14:textId="77777777" w:rsidTr="008B3CF0">
        <w:tc>
          <w:tcPr>
            <w:tcW w:w="1577" w:type="pct"/>
          </w:tcPr>
          <w:p w14:paraId="30B92C6D" w14:textId="77777777" w:rsidR="0019537C" w:rsidRPr="00BD5DBD" w:rsidRDefault="0019537C" w:rsidP="008B3CF0">
            <w:r w:rsidRPr="00BD5DBD">
              <w:t>Dose form:</w:t>
            </w:r>
          </w:p>
        </w:tc>
        <w:tc>
          <w:tcPr>
            <w:tcW w:w="3423" w:type="pct"/>
          </w:tcPr>
          <w:p w14:paraId="4AEA1CC0" w14:textId="77777777" w:rsidR="0019537C" w:rsidRPr="00BD5DBD" w:rsidRDefault="0019537C" w:rsidP="008B3CF0">
            <w:r>
              <w:t>Capsule</w:t>
            </w:r>
          </w:p>
        </w:tc>
      </w:tr>
      <w:tr w:rsidR="0019537C" w:rsidRPr="00BD5DBD" w14:paraId="13D6F0D1" w14:textId="77777777" w:rsidTr="008B3CF0">
        <w:tc>
          <w:tcPr>
            <w:tcW w:w="1577" w:type="pct"/>
          </w:tcPr>
          <w:p w14:paraId="3469453E" w14:textId="77777777" w:rsidR="0019537C" w:rsidRPr="00BD5DBD" w:rsidRDefault="0019537C" w:rsidP="008B3CF0">
            <w:r w:rsidRPr="00BD5DBD">
              <w:t>Strength</w:t>
            </w:r>
            <w:r>
              <w:t>:</w:t>
            </w:r>
          </w:p>
        </w:tc>
        <w:tc>
          <w:tcPr>
            <w:tcW w:w="3423" w:type="pct"/>
          </w:tcPr>
          <w:p w14:paraId="45922D0C" w14:textId="77777777" w:rsidR="0019537C" w:rsidRPr="00BD5DBD" w:rsidRDefault="0019537C" w:rsidP="008B3CF0">
            <w:r>
              <w:t>40 mg</w:t>
            </w:r>
          </w:p>
        </w:tc>
      </w:tr>
      <w:tr w:rsidR="0019537C" w:rsidRPr="00BD5DBD" w14:paraId="728CE8AA" w14:textId="77777777" w:rsidTr="008B3CF0">
        <w:tc>
          <w:tcPr>
            <w:tcW w:w="1577" w:type="pct"/>
          </w:tcPr>
          <w:p w14:paraId="37E13208" w14:textId="77777777" w:rsidR="0019537C" w:rsidRPr="00BD5DBD" w:rsidRDefault="0019537C" w:rsidP="008B3CF0">
            <w:r w:rsidRPr="00BD5DBD">
              <w:t>Container:</w:t>
            </w:r>
          </w:p>
        </w:tc>
        <w:tc>
          <w:tcPr>
            <w:tcW w:w="3423" w:type="pct"/>
          </w:tcPr>
          <w:p w14:paraId="554927E9" w14:textId="77777777" w:rsidR="0019537C" w:rsidRPr="00BD5DBD" w:rsidRDefault="0019537C" w:rsidP="008B3CF0">
            <w:r>
              <w:t>Blister pack</w:t>
            </w:r>
          </w:p>
        </w:tc>
      </w:tr>
      <w:tr w:rsidR="0019537C" w:rsidRPr="00BD5DBD" w14:paraId="351D2671" w14:textId="77777777" w:rsidTr="008B3CF0">
        <w:tc>
          <w:tcPr>
            <w:tcW w:w="1577" w:type="pct"/>
          </w:tcPr>
          <w:p w14:paraId="22C6A57D" w14:textId="77777777" w:rsidR="0019537C" w:rsidRPr="00BD5DBD" w:rsidRDefault="0019537C" w:rsidP="008B3CF0">
            <w:r w:rsidRPr="00BD5DBD">
              <w:t>Pack size:</w:t>
            </w:r>
          </w:p>
        </w:tc>
        <w:tc>
          <w:tcPr>
            <w:tcW w:w="3423" w:type="pct"/>
          </w:tcPr>
          <w:p w14:paraId="39C77D42" w14:textId="77777777" w:rsidR="0019537C" w:rsidRPr="00BD5DBD" w:rsidRDefault="0019537C" w:rsidP="008B3CF0">
            <w:r>
              <w:t>112 capsules</w:t>
            </w:r>
          </w:p>
        </w:tc>
      </w:tr>
      <w:tr w:rsidR="0019537C" w:rsidRPr="00BD5DBD" w14:paraId="713AE18E" w14:textId="77777777" w:rsidTr="008B3CF0">
        <w:tc>
          <w:tcPr>
            <w:tcW w:w="1577" w:type="pct"/>
          </w:tcPr>
          <w:p w14:paraId="3A58923F" w14:textId="77777777" w:rsidR="0019537C" w:rsidRPr="00BD5DBD" w:rsidRDefault="0019537C" w:rsidP="008B3CF0">
            <w:r w:rsidRPr="00BD5DBD">
              <w:t>Approved therapeutic use for the current submission:</w:t>
            </w:r>
          </w:p>
        </w:tc>
        <w:tc>
          <w:tcPr>
            <w:tcW w:w="3423" w:type="pct"/>
          </w:tcPr>
          <w:p w14:paraId="72EF4284" w14:textId="77777777" w:rsidR="0019537C" w:rsidRPr="001D207D" w:rsidRDefault="0019537C" w:rsidP="008B3CF0">
            <w:pPr>
              <w:rPr>
                <w:i/>
                <w:iCs/>
              </w:rPr>
            </w:pPr>
            <w:r w:rsidRPr="001D207D">
              <w:rPr>
                <w:i/>
                <w:iCs/>
              </w:rPr>
              <w:t>Exkivity has provisional approval in Australia for the treatment of patients with locally advanced or metastatic non-small cell lung cancer (NSCLC) that has an exon 20 insertion mutation of the epidermal growth factor receptor (EGFR), who have received prior platinum-based chemotherapy.</w:t>
            </w:r>
          </w:p>
          <w:p w14:paraId="5FD7B4AB" w14:textId="77777777" w:rsidR="0019537C" w:rsidRPr="00BD5DBD" w:rsidRDefault="0019537C" w:rsidP="008B3CF0">
            <w:r w:rsidRPr="001D207D">
              <w:rPr>
                <w:i/>
                <w:iCs/>
              </w:rPr>
              <w:t>The decision to approve this indication has been made on the basis of objective response rate and duration of response in a single arm study. Continued approval of this indication depends on verification and description of benefit in a confirmatory study.</w:t>
            </w:r>
          </w:p>
        </w:tc>
      </w:tr>
      <w:tr w:rsidR="0019537C" w:rsidRPr="00BD5DBD" w14:paraId="21D28AF5" w14:textId="77777777" w:rsidTr="008B3CF0">
        <w:tc>
          <w:tcPr>
            <w:tcW w:w="1577" w:type="pct"/>
          </w:tcPr>
          <w:p w14:paraId="7AEBF1D4" w14:textId="77777777" w:rsidR="0019537C" w:rsidRPr="00BD5DBD" w:rsidRDefault="0019537C" w:rsidP="008B3CF0">
            <w:r w:rsidRPr="00BD5DBD">
              <w:t>Route of administration:</w:t>
            </w:r>
          </w:p>
        </w:tc>
        <w:tc>
          <w:tcPr>
            <w:tcW w:w="3423" w:type="pct"/>
          </w:tcPr>
          <w:p w14:paraId="48A94BEC" w14:textId="77777777" w:rsidR="0019537C" w:rsidRPr="00BD5DBD" w:rsidRDefault="0019537C" w:rsidP="008B3CF0">
            <w:r>
              <w:t>Oral</w:t>
            </w:r>
          </w:p>
        </w:tc>
      </w:tr>
      <w:tr w:rsidR="0019537C" w:rsidRPr="00BD5DBD" w14:paraId="59A11613" w14:textId="77777777" w:rsidTr="008B3CF0">
        <w:tc>
          <w:tcPr>
            <w:tcW w:w="1577" w:type="pct"/>
          </w:tcPr>
          <w:p w14:paraId="252993E6" w14:textId="77777777" w:rsidR="0019537C" w:rsidRPr="00BD5DBD" w:rsidRDefault="0019537C" w:rsidP="008B3CF0">
            <w:r w:rsidRPr="00BD5DBD">
              <w:t>Dosage:</w:t>
            </w:r>
          </w:p>
        </w:tc>
        <w:tc>
          <w:tcPr>
            <w:tcW w:w="3423" w:type="pct"/>
          </w:tcPr>
          <w:p w14:paraId="6684B538" w14:textId="77777777" w:rsidR="00287119" w:rsidRDefault="0019537C" w:rsidP="008B3CF0">
            <w:r w:rsidRPr="00AD2309">
              <w:t>The recommended dosage of E</w:t>
            </w:r>
            <w:r>
              <w:t>xkivity</w:t>
            </w:r>
            <w:r w:rsidRPr="00AD2309">
              <w:t xml:space="preserve"> is 160 mg orally once daily, continued until disease progression or unacceptable toxicity.</w:t>
            </w:r>
          </w:p>
          <w:p w14:paraId="471BAF8D" w14:textId="503656F1" w:rsidR="0019537C" w:rsidRPr="00BD5DBD" w:rsidRDefault="0019537C" w:rsidP="008B3CF0">
            <w:r w:rsidRPr="00AD2309">
              <w:t>Swallow E</w:t>
            </w:r>
            <w:r>
              <w:t>xkivity</w:t>
            </w:r>
            <w:r w:rsidRPr="00AD2309">
              <w:t xml:space="preserve"> capsules whole. Do not open, chew or dissolve the contents of the capsules.</w:t>
            </w:r>
          </w:p>
          <w:p w14:paraId="0C2A9BA1" w14:textId="77777777" w:rsidR="0019537C" w:rsidRPr="00BD5DBD" w:rsidRDefault="0019537C" w:rsidP="008B3CF0">
            <w:r w:rsidRPr="00BD5DBD">
              <w:t>For further information regarding dosage, refer to the Product Information.</w:t>
            </w:r>
          </w:p>
        </w:tc>
      </w:tr>
      <w:tr w:rsidR="0019537C" w:rsidRPr="00BD5DBD" w14:paraId="0363C3C5" w14:textId="77777777" w:rsidTr="008B3CF0">
        <w:tc>
          <w:tcPr>
            <w:tcW w:w="1577" w:type="pct"/>
          </w:tcPr>
          <w:p w14:paraId="13D8C5A6" w14:textId="77777777" w:rsidR="0019537C" w:rsidRPr="00BD5DBD" w:rsidRDefault="0019537C" w:rsidP="008B3CF0">
            <w:r w:rsidRPr="00BD5DBD">
              <w:t>Pregnancy category:</w:t>
            </w:r>
          </w:p>
        </w:tc>
        <w:tc>
          <w:tcPr>
            <w:tcW w:w="3423" w:type="pct"/>
          </w:tcPr>
          <w:p w14:paraId="7E23369C" w14:textId="77777777" w:rsidR="0019537C" w:rsidRPr="00AD2309" w:rsidRDefault="0019537C" w:rsidP="008B3CF0">
            <w:r w:rsidRPr="00AD2309">
              <w:t>D</w:t>
            </w:r>
          </w:p>
          <w:p w14:paraId="27F2FF8D" w14:textId="77777777" w:rsidR="0019537C" w:rsidRDefault="0019537C" w:rsidP="008B3CF0">
            <w:r w:rsidRPr="00AD2309">
              <w:lastRenderedPageBreak/>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304287E2" w14:textId="77777777" w:rsidR="0019537C" w:rsidRPr="00BD5DBD" w:rsidRDefault="0019537C" w:rsidP="008B3CF0">
            <w:r w:rsidRPr="00BD5DB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32980309"/>
      <w:r>
        <w:lastRenderedPageBreak/>
        <w:t>Product background</w:t>
      </w:r>
      <w:bookmarkEnd w:id="11"/>
      <w:bookmarkEnd w:id="12"/>
      <w:bookmarkEnd w:id="13"/>
      <w:bookmarkEnd w:id="14"/>
    </w:p>
    <w:p w14:paraId="18025082" w14:textId="77777777" w:rsidR="0019537C" w:rsidRPr="00BD5DBD" w:rsidRDefault="0019537C" w:rsidP="0019537C">
      <w:bookmarkStart w:id="15" w:name="_Toc314842485"/>
      <w:bookmarkStart w:id="16" w:name="_Toc247691504"/>
      <w:bookmarkStart w:id="17" w:name="_Toc103679291"/>
      <w:r w:rsidRPr="00BD5DBD">
        <w:t xml:space="preserve">This AusPAR describes the submission by </w:t>
      </w:r>
      <w:r w:rsidRPr="004A556D">
        <w:t>Takeda Pharmaceuticals</w:t>
      </w:r>
      <w:r>
        <w:t xml:space="preserve"> Australia Pty Ltd</w:t>
      </w:r>
      <w:r w:rsidRPr="00BD5DBD">
        <w:t xml:space="preserve"> (the sponsor) to register </w:t>
      </w:r>
      <w:r w:rsidRPr="004A556D">
        <w:t>E</w:t>
      </w:r>
      <w:r>
        <w:t>xkivity (</w:t>
      </w:r>
      <w:r w:rsidRPr="004A556D">
        <w:t>mobocertinib</w:t>
      </w:r>
      <w:r w:rsidRPr="00BD5DBD">
        <w:t xml:space="preserve">) </w:t>
      </w:r>
      <w:r>
        <w:t>40 mg, capsule, blister pack,</w:t>
      </w:r>
      <w:r w:rsidRPr="00BD5DBD">
        <w:t xml:space="preserve"> for the following proposed indication:</w:t>
      </w:r>
      <w:r w:rsidRPr="00BD5DBD">
        <w:rPr>
          <w:rStyle w:val="FootnoteReference"/>
          <w:szCs w:val="22"/>
        </w:rPr>
        <w:footnoteReference w:id="1"/>
      </w:r>
    </w:p>
    <w:p w14:paraId="5C518FBC" w14:textId="77AF74E3" w:rsidR="0019537C" w:rsidRDefault="0019537C" w:rsidP="0019537C">
      <w:pPr>
        <w:ind w:left="720"/>
        <w:rPr>
          <w:i/>
          <w:iCs/>
        </w:rPr>
      </w:pPr>
      <w:r w:rsidRPr="0019537C">
        <w:rPr>
          <w:i/>
          <w:iCs/>
        </w:rPr>
        <w:t>Exkivity is indicated for the treatment of adult patients with epidermal growth factor receptor (EGFR) exon 20 insertion mutation-positive locally advanced or metastatic non-small cell lung cancer (NSCLC), who have received prior platinum-based chemotherapy.</w:t>
      </w:r>
    </w:p>
    <w:p w14:paraId="44E6B683" w14:textId="77777777" w:rsidR="0019537C" w:rsidRPr="00E2429D" w:rsidRDefault="0019537C" w:rsidP="0019537C">
      <w:pPr>
        <w:pStyle w:val="Heading4"/>
      </w:pPr>
      <w:bookmarkStart w:id="18" w:name="_Toc130386496"/>
      <w:bookmarkStart w:id="19" w:name="_Toc132980310"/>
      <w:r w:rsidRPr="00E2429D">
        <w:t>Condition</w:t>
      </w:r>
      <w:bookmarkEnd w:id="18"/>
      <w:bookmarkEnd w:id="19"/>
    </w:p>
    <w:p w14:paraId="61F4898B" w14:textId="7139615A" w:rsidR="0019537C" w:rsidRDefault="0019537C" w:rsidP="0019537C">
      <w:pPr>
        <w:rPr>
          <w:lang w:eastAsia="ja-JP"/>
        </w:rPr>
      </w:pPr>
      <w:r>
        <w:t xml:space="preserve">This </w:t>
      </w:r>
      <w:r w:rsidR="00287119">
        <w:t xml:space="preserve">submission </w:t>
      </w:r>
      <w:r>
        <w:t xml:space="preserve">proposes the registration of a new chemical entity for the </w:t>
      </w:r>
      <w:r w:rsidRPr="00F45037">
        <w:t>treatment of adult patients who have received prior platinum</w:t>
      </w:r>
      <w:r w:rsidR="00287119">
        <w:t>-</w:t>
      </w:r>
      <w:r w:rsidRPr="00F45037">
        <w:t xml:space="preserve">based chemotherapy </w:t>
      </w:r>
      <w:r>
        <w:t xml:space="preserve">for </w:t>
      </w:r>
      <w:r w:rsidRPr="00F45037">
        <w:t>locally advanced or metastatic non-small cell lung cancer (NSCLC)</w:t>
      </w:r>
      <w:r>
        <w:t xml:space="preserve"> </w:t>
      </w:r>
      <w:r w:rsidR="00287119">
        <w:t xml:space="preserve">with tumours </w:t>
      </w:r>
      <w:r>
        <w:t xml:space="preserve">harbouring an </w:t>
      </w:r>
      <w:r w:rsidRPr="00F45037">
        <w:t xml:space="preserve">exon 20 insertion </w:t>
      </w:r>
      <w:r>
        <w:t xml:space="preserve">(ex20ins) </w:t>
      </w:r>
      <w:r w:rsidRPr="00F45037">
        <w:t xml:space="preserve">mutation </w:t>
      </w:r>
      <w:r>
        <w:t xml:space="preserve">in the </w:t>
      </w:r>
      <w:r w:rsidRPr="00F45037">
        <w:t>epidermal growth factor receptor</w:t>
      </w:r>
      <w:r>
        <w:t xml:space="preserve"> </w:t>
      </w:r>
      <w:r w:rsidR="001D207D" w:rsidRPr="00F45037">
        <w:t>(</w:t>
      </w:r>
      <w:r w:rsidR="001D207D" w:rsidRPr="001D207D">
        <w:t>EGFR</w:t>
      </w:r>
      <w:r w:rsidR="001D207D" w:rsidRPr="00F45037">
        <w:t>)</w:t>
      </w:r>
      <w:r w:rsidR="001D207D">
        <w:t xml:space="preserve"> </w:t>
      </w:r>
      <w:r>
        <w:t>gene</w:t>
      </w:r>
      <w:r w:rsidR="001D207D">
        <w:t>.</w:t>
      </w:r>
    </w:p>
    <w:p w14:paraId="7D4D7E0C" w14:textId="4158B5EE" w:rsidR="0019537C" w:rsidRDefault="0019537C" w:rsidP="0019537C">
      <w:pPr>
        <w:rPr>
          <w:lang w:eastAsia="ja-JP"/>
        </w:rPr>
      </w:pPr>
      <w:r>
        <w:rPr>
          <w:lang w:eastAsia="ja-JP"/>
        </w:rPr>
        <w:t>Lung cancer is the most deadly</w:t>
      </w:r>
      <w:r w:rsidR="00287119">
        <w:rPr>
          <w:lang w:eastAsia="ja-JP"/>
        </w:rPr>
        <w:t xml:space="preserve"> cancer</w:t>
      </w:r>
      <w:r>
        <w:rPr>
          <w:lang w:eastAsia="ja-JP"/>
        </w:rPr>
        <w:t xml:space="preserve">, and </w:t>
      </w:r>
      <w:r w:rsidR="00287119">
        <w:rPr>
          <w:lang w:eastAsia="ja-JP"/>
        </w:rPr>
        <w:t xml:space="preserve">after breast cancer, the </w:t>
      </w:r>
      <w:r>
        <w:rPr>
          <w:lang w:eastAsia="ja-JP"/>
        </w:rPr>
        <w:t>second most common</w:t>
      </w:r>
      <w:r w:rsidR="00287119">
        <w:rPr>
          <w:lang w:eastAsia="ja-JP"/>
        </w:rPr>
        <w:t xml:space="preserve"> cancer</w:t>
      </w:r>
      <w:r>
        <w:rPr>
          <w:lang w:eastAsia="ja-JP"/>
        </w:rPr>
        <w:t xml:space="preserve"> worldwide, with an annual mortality of 1.8 million </w:t>
      </w:r>
      <w:r w:rsidR="00287119">
        <w:rPr>
          <w:lang w:eastAsia="ja-JP"/>
        </w:rPr>
        <w:t xml:space="preserve">deaths </w:t>
      </w:r>
      <w:r>
        <w:rPr>
          <w:lang w:eastAsia="ja-JP"/>
        </w:rPr>
        <w:t xml:space="preserve">(18% of global cancer deaths) and incidence of 2.2 million </w:t>
      </w:r>
      <w:r w:rsidR="00287119">
        <w:rPr>
          <w:lang w:eastAsia="ja-JP"/>
        </w:rPr>
        <w:t xml:space="preserve">cases </w:t>
      </w:r>
      <w:r>
        <w:rPr>
          <w:lang w:eastAsia="ja-JP"/>
        </w:rPr>
        <w:t>(</w:t>
      </w:r>
      <w:r w:rsidR="00287119">
        <w:rPr>
          <w:lang w:eastAsia="ja-JP"/>
        </w:rPr>
        <w:t xml:space="preserve">or </w:t>
      </w:r>
      <w:r>
        <w:rPr>
          <w:lang w:eastAsia="ja-JP"/>
        </w:rPr>
        <w:t>11% of global cancers) in 2020.</w:t>
      </w:r>
      <w:bookmarkStart w:id="20" w:name="_Ref130296473"/>
      <w:r>
        <w:rPr>
          <w:rStyle w:val="FootnoteReference"/>
          <w:lang w:eastAsia="ja-JP"/>
        </w:rPr>
        <w:footnoteReference w:id="2"/>
      </w:r>
      <w:bookmarkEnd w:id="20"/>
    </w:p>
    <w:p w14:paraId="20E9896C" w14:textId="4BB48B61" w:rsidR="0019537C" w:rsidRDefault="0019537C" w:rsidP="0019537C">
      <w:pPr>
        <w:rPr>
          <w:lang w:eastAsia="ja-JP"/>
        </w:rPr>
      </w:pPr>
      <w:r>
        <w:rPr>
          <w:lang w:eastAsia="ja-JP"/>
        </w:rPr>
        <w:t xml:space="preserve">The Australian Institute of Health and Welfare estimates that lung cancer is the most deadly and fifth most commonly diagnosed in Australia, with an estimated age-standardised mortality rate </w:t>
      </w:r>
      <w:r w:rsidR="00287119">
        <w:rPr>
          <w:lang w:eastAsia="ja-JP"/>
        </w:rPr>
        <w:t xml:space="preserve">in 2021 </w:t>
      </w:r>
      <w:r>
        <w:rPr>
          <w:lang w:eastAsia="ja-JP"/>
        </w:rPr>
        <w:t>of 26.5 per 100,000 (</w:t>
      </w:r>
      <w:r w:rsidRPr="00783FC0">
        <w:rPr>
          <w:lang w:eastAsia="ja-JP"/>
        </w:rPr>
        <w:t xml:space="preserve">8,693 </w:t>
      </w:r>
      <w:r>
        <w:rPr>
          <w:lang w:eastAsia="ja-JP"/>
        </w:rPr>
        <w:t>deaths), and an</w:t>
      </w:r>
      <w:r w:rsidRPr="00050F6E">
        <w:rPr>
          <w:lang w:eastAsia="ja-JP"/>
        </w:rPr>
        <w:t xml:space="preserve"> </w:t>
      </w:r>
      <w:r>
        <w:rPr>
          <w:lang w:eastAsia="ja-JP"/>
        </w:rPr>
        <w:t>age-standardised incidence of 42 per 100,000.</w:t>
      </w:r>
      <w:r>
        <w:rPr>
          <w:lang w:eastAsia="ja-JP"/>
        </w:rPr>
        <w:fldChar w:fldCharType="begin"/>
      </w:r>
      <w:r>
        <w:rPr>
          <w:lang w:eastAsia="ja-JP"/>
        </w:rPr>
        <w:instrText xml:space="preserve"> NOTEREF _Ref130296473 \f \h </w:instrText>
      </w:r>
      <w:r>
        <w:rPr>
          <w:lang w:eastAsia="ja-JP"/>
        </w:rPr>
      </w:r>
      <w:r>
        <w:rPr>
          <w:lang w:eastAsia="ja-JP"/>
        </w:rPr>
        <w:fldChar w:fldCharType="separate"/>
      </w:r>
      <w:r w:rsidR="00301E36" w:rsidRPr="00301E36">
        <w:rPr>
          <w:rStyle w:val="FootnoteReference"/>
        </w:rPr>
        <w:t>2</w:t>
      </w:r>
      <w:r>
        <w:rPr>
          <w:lang w:eastAsia="ja-JP"/>
        </w:rPr>
        <w:fldChar w:fldCharType="end"/>
      </w:r>
      <w:r w:rsidRPr="00167DE0">
        <w:rPr>
          <w:vertAlign w:val="superscript"/>
          <w:lang w:eastAsia="ja-JP"/>
        </w:rPr>
        <w:t>,</w:t>
      </w:r>
      <w:bookmarkStart w:id="21" w:name="_Ref130296600"/>
      <w:r>
        <w:rPr>
          <w:rStyle w:val="FootnoteReference"/>
          <w:lang w:eastAsia="ja-JP"/>
        </w:rPr>
        <w:footnoteReference w:id="3"/>
      </w:r>
      <w:bookmarkEnd w:id="21"/>
    </w:p>
    <w:p w14:paraId="3A49BFD6" w14:textId="778D4E7C" w:rsidR="0019537C" w:rsidRDefault="0019537C" w:rsidP="0019537C">
      <w:pPr>
        <w:rPr>
          <w:lang w:eastAsia="ja-JP"/>
        </w:rPr>
      </w:pPr>
      <w:r>
        <w:t>N</w:t>
      </w:r>
      <w:r w:rsidRPr="00F45037">
        <w:t>on-small cell lung cancer</w:t>
      </w:r>
      <w:r>
        <w:rPr>
          <w:lang w:eastAsia="ja-JP"/>
        </w:rPr>
        <w:t xml:space="preserve"> is the most common type of lung cancer (around 85%).</w:t>
      </w:r>
      <w:r>
        <w:rPr>
          <w:lang w:eastAsia="ja-JP"/>
        </w:rPr>
        <w:fldChar w:fldCharType="begin"/>
      </w:r>
      <w:r>
        <w:rPr>
          <w:lang w:eastAsia="ja-JP"/>
        </w:rPr>
        <w:instrText xml:space="preserve"> NOTEREF _Ref130296473 \f \h </w:instrText>
      </w:r>
      <w:r>
        <w:rPr>
          <w:lang w:eastAsia="ja-JP"/>
        </w:rPr>
      </w:r>
      <w:r>
        <w:rPr>
          <w:lang w:eastAsia="ja-JP"/>
        </w:rPr>
        <w:fldChar w:fldCharType="separate"/>
      </w:r>
      <w:r w:rsidR="00301E36" w:rsidRPr="00301E36">
        <w:rPr>
          <w:rStyle w:val="FootnoteReference"/>
        </w:rPr>
        <w:t>2</w:t>
      </w:r>
      <w:r>
        <w:rPr>
          <w:lang w:eastAsia="ja-JP"/>
        </w:rPr>
        <w:fldChar w:fldCharType="end"/>
      </w:r>
      <w:r>
        <w:rPr>
          <w:lang w:eastAsia="ja-JP"/>
        </w:rPr>
        <w:t xml:space="preserve"> </w:t>
      </w:r>
      <w:r w:rsidRPr="0056221A">
        <w:rPr>
          <w:lang w:eastAsia="ja-JP"/>
        </w:rPr>
        <w:t xml:space="preserve">The two predominant histological </w:t>
      </w:r>
      <w:r>
        <w:rPr>
          <w:lang w:eastAsia="ja-JP"/>
        </w:rPr>
        <w:t>types</w:t>
      </w:r>
      <w:r w:rsidRPr="0056221A">
        <w:rPr>
          <w:lang w:eastAsia="ja-JP"/>
        </w:rPr>
        <w:t xml:space="preserve"> </w:t>
      </w:r>
      <w:r>
        <w:rPr>
          <w:lang w:eastAsia="ja-JP"/>
        </w:rPr>
        <w:t xml:space="preserve">of NSCLC </w:t>
      </w:r>
      <w:r w:rsidRPr="0056221A">
        <w:rPr>
          <w:lang w:eastAsia="ja-JP"/>
        </w:rPr>
        <w:t>are adenocarcinoma (</w:t>
      </w:r>
      <w:r>
        <w:rPr>
          <w:lang w:eastAsia="ja-JP"/>
        </w:rPr>
        <w:t>around half</w:t>
      </w:r>
      <w:r w:rsidR="008B3CF0">
        <w:rPr>
          <w:lang w:eastAsia="ja-JP"/>
        </w:rPr>
        <w:t xml:space="preserve"> of all NSCLC</w:t>
      </w:r>
      <w:r w:rsidRPr="0056221A">
        <w:rPr>
          <w:lang w:eastAsia="ja-JP"/>
        </w:rPr>
        <w:t>) and squamous cell carcinoma (</w:t>
      </w:r>
      <w:r>
        <w:rPr>
          <w:lang w:eastAsia="ja-JP"/>
        </w:rPr>
        <w:t xml:space="preserve">around </w:t>
      </w:r>
      <w:r w:rsidRPr="0056221A">
        <w:rPr>
          <w:lang w:eastAsia="ja-JP"/>
        </w:rPr>
        <w:t>40%)</w:t>
      </w:r>
      <w:r>
        <w:rPr>
          <w:lang w:eastAsia="ja-JP"/>
        </w:rPr>
        <w:t xml:space="preserve">, while other less common types include large cell </w:t>
      </w:r>
      <w:r w:rsidRPr="000D1C64">
        <w:rPr>
          <w:lang w:eastAsia="ja-JP"/>
        </w:rPr>
        <w:t>carcinoma</w:t>
      </w:r>
      <w:r>
        <w:rPr>
          <w:lang w:eastAsia="ja-JP"/>
        </w:rPr>
        <w:t>.</w:t>
      </w:r>
      <w:bookmarkStart w:id="22" w:name="_Ref130374873"/>
      <w:r>
        <w:rPr>
          <w:rStyle w:val="FootnoteReference"/>
          <w:lang w:eastAsia="ja-JP"/>
        </w:rPr>
        <w:footnoteReference w:id="4"/>
      </w:r>
      <w:bookmarkEnd w:id="22"/>
    </w:p>
    <w:p w14:paraId="3A515926" w14:textId="048132AE" w:rsidR="0019537C" w:rsidRDefault="0019537C" w:rsidP="0019537C">
      <w:pPr>
        <w:rPr>
          <w:lang w:val="en-US"/>
        </w:rPr>
      </w:pPr>
      <w:r w:rsidRPr="000D1C64">
        <w:rPr>
          <w:lang w:eastAsia="ja-JP"/>
        </w:rPr>
        <w:lastRenderedPageBreak/>
        <w:t xml:space="preserve">The mean age of diagnosis of NSCLC in Australia is </w:t>
      </w:r>
      <w:r w:rsidR="008B3CF0">
        <w:rPr>
          <w:lang w:eastAsia="ja-JP"/>
        </w:rPr>
        <w:t xml:space="preserve">at </w:t>
      </w:r>
      <w:r w:rsidRPr="000D1C64">
        <w:rPr>
          <w:lang w:eastAsia="ja-JP"/>
        </w:rPr>
        <w:t>around 70 years</w:t>
      </w:r>
      <w:r>
        <w:rPr>
          <w:lang w:eastAsia="ja-JP"/>
        </w:rPr>
        <w:t>,</w:t>
      </w:r>
      <w:r w:rsidRPr="000D1C64">
        <w:rPr>
          <w:lang w:eastAsia="ja-JP"/>
        </w:rPr>
        <w:t xml:space="preserve"> </w:t>
      </w:r>
      <w:r>
        <w:rPr>
          <w:lang w:val="en-US"/>
        </w:rPr>
        <w:t xml:space="preserve">and almost half of patients present with </w:t>
      </w:r>
      <w:r w:rsidRPr="007705B7">
        <w:rPr>
          <w:i/>
          <w:lang w:val="en-US"/>
        </w:rPr>
        <w:t>de novo</w:t>
      </w:r>
      <w:r>
        <w:rPr>
          <w:lang w:val="en-US"/>
        </w:rPr>
        <w:t xml:space="preserve"> metastatic disease</w:t>
      </w:r>
      <w:r w:rsidR="008B3CF0">
        <w:rPr>
          <w:lang w:val="en-US"/>
        </w:rPr>
        <w:t xml:space="preserve"> (or cancer that has already spread at the time it is diagnosed)</w:t>
      </w:r>
      <w:r>
        <w:rPr>
          <w:lang w:val="en-US"/>
        </w:rPr>
        <w:t>.</w:t>
      </w:r>
      <w:r>
        <w:rPr>
          <w:rStyle w:val="FootnoteReference"/>
          <w:lang w:val="en-US"/>
        </w:rPr>
        <w:footnoteReference w:id="5"/>
      </w:r>
      <w:r>
        <w:rPr>
          <w:lang w:val="en-US"/>
        </w:rPr>
        <w:t xml:space="preserve"> Al</w:t>
      </w:r>
      <w:r w:rsidRPr="000D1C64">
        <w:rPr>
          <w:lang w:val="en-US"/>
        </w:rPr>
        <w:t>though survival has improved over past decades,</w:t>
      </w:r>
      <w:r>
        <w:rPr>
          <w:rStyle w:val="FootnoteReference"/>
          <w:lang w:val="en-US"/>
        </w:rPr>
        <w:footnoteReference w:id="6"/>
      </w:r>
      <w:r>
        <w:rPr>
          <w:lang w:val="en-US"/>
        </w:rPr>
        <w:t xml:space="preserve"> the five</w:t>
      </w:r>
      <w:r w:rsidRPr="000D1C64">
        <w:rPr>
          <w:lang w:val="en-US"/>
        </w:rPr>
        <w:t>-year relative overall survival rate remain</w:t>
      </w:r>
      <w:r>
        <w:rPr>
          <w:lang w:val="en-US"/>
        </w:rPr>
        <w:t>s</w:t>
      </w:r>
      <w:r w:rsidRPr="000D1C64">
        <w:rPr>
          <w:lang w:val="en-US"/>
        </w:rPr>
        <w:t xml:space="preserve"> very poor, at around 15%</w:t>
      </w:r>
      <w:r w:rsidR="008B3CF0">
        <w:rPr>
          <w:lang w:val="en-US"/>
        </w:rPr>
        <w:t>.</w:t>
      </w:r>
      <w:r w:rsidR="008B3CF0" w:rsidRPr="007705B7">
        <w:rPr>
          <w:vertAlign w:val="superscript"/>
          <w:lang w:val="en-US"/>
        </w:rPr>
        <w:fldChar w:fldCharType="begin"/>
      </w:r>
      <w:r w:rsidR="008B3CF0" w:rsidRPr="007705B7">
        <w:rPr>
          <w:vertAlign w:val="superscript"/>
          <w:lang w:val="en-US"/>
        </w:rPr>
        <w:instrText xml:space="preserve"> NOTEREF _Ref130374873 \f \h </w:instrText>
      </w:r>
      <w:r w:rsidR="009B5F91">
        <w:rPr>
          <w:vertAlign w:val="superscript"/>
          <w:lang w:val="en-US"/>
        </w:rPr>
        <w:instrText xml:space="preserve"> \* MERGEFORMAT </w:instrText>
      </w:r>
      <w:r w:rsidR="008B3CF0" w:rsidRPr="007705B7">
        <w:rPr>
          <w:vertAlign w:val="superscript"/>
          <w:lang w:val="en-US"/>
        </w:rPr>
      </w:r>
      <w:r w:rsidR="008B3CF0" w:rsidRPr="007705B7">
        <w:rPr>
          <w:vertAlign w:val="superscript"/>
          <w:lang w:val="en-US"/>
        </w:rPr>
        <w:fldChar w:fldCharType="separate"/>
      </w:r>
      <w:r w:rsidR="00301E36" w:rsidRPr="00301E36">
        <w:rPr>
          <w:rStyle w:val="FootnoteReference"/>
        </w:rPr>
        <w:t>4</w:t>
      </w:r>
      <w:r w:rsidR="008B3CF0" w:rsidRPr="007705B7">
        <w:rPr>
          <w:vertAlign w:val="superscript"/>
          <w:lang w:val="en-US"/>
        </w:rPr>
        <w:fldChar w:fldCharType="end"/>
      </w:r>
      <w:r w:rsidR="008B3CF0" w:rsidRPr="009B5F91">
        <w:rPr>
          <w:vertAlign w:val="superscript"/>
          <w:lang w:val="en-US"/>
        </w:rPr>
        <w:t>,</w:t>
      </w:r>
      <w:r w:rsidRPr="009B5F91">
        <w:rPr>
          <w:rStyle w:val="FootnoteReference"/>
          <w:lang w:val="en-US"/>
        </w:rPr>
        <w:footnoteReference w:id="7"/>
      </w:r>
    </w:p>
    <w:p w14:paraId="5DD5C990" w14:textId="70CAF1D2" w:rsidR="0019537C" w:rsidRDefault="008B3CF0" w:rsidP="0019537C">
      <w:r>
        <w:t xml:space="preserve">The </w:t>
      </w:r>
      <w:r w:rsidRPr="007705B7">
        <w:rPr>
          <w:i/>
        </w:rPr>
        <w:t>EGFR</w:t>
      </w:r>
      <w:r>
        <w:t xml:space="preserve"> gene codes for the epidermal growth factor receptor, a transmembrane glycoprotein that functions a receptor </w:t>
      </w:r>
      <w:r w:rsidR="00AE53DD">
        <w:t>on the surface of cells</w:t>
      </w:r>
      <w:r>
        <w:t xml:space="preserve">. </w:t>
      </w:r>
      <w:r w:rsidR="0019537C">
        <w:t xml:space="preserve">Activating mutations of the </w:t>
      </w:r>
      <w:r w:rsidR="0019537C" w:rsidRPr="00E92E76">
        <w:rPr>
          <w:i/>
          <w:iCs/>
        </w:rPr>
        <w:t>EGFR</w:t>
      </w:r>
      <w:r w:rsidR="0019537C">
        <w:t xml:space="preserve"> oncogene (</w:t>
      </w:r>
      <w:r w:rsidR="0019537C" w:rsidRPr="0086509D">
        <w:rPr>
          <w:i/>
          <w:iCs/>
        </w:rPr>
        <w:t>EGFRm</w:t>
      </w:r>
      <w:r w:rsidR="0019537C">
        <w:t>) occur in a subset of NSCLC</w:t>
      </w:r>
      <w:r w:rsidR="00AE53DD">
        <w:t xml:space="preserve"> tumours</w:t>
      </w:r>
      <w:r w:rsidR="0019537C">
        <w:t>, and are associated with</w:t>
      </w:r>
      <w:r w:rsidR="00AE53DD">
        <w:t xml:space="preserve"> tumours in patients of</w:t>
      </w:r>
      <w:r w:rsidR="0019537C">
        <w:t xml:space="preserve"> female sex, non-</w:t>
      </w:r>
      <w:r w:rsidR="0019537C" w:rsidRPr="000871A1">
        <w:t>smoker</w:t>
      </w:r>
      <w:r w:rsidR="0019537C">
        <w:t xml:space="preserve"> status, and </w:t>
      </w:r>
      <w:r w:rsidR="00AE53DD">
        <w:t xml:space="preserve">tumours with </w:t>
      </w:r>
      <w:r w:rsidR="0019537C">
        <w:t>adenocarcinoma histology.</w:t>
      </w:r>
      <w:r w:rsidR="0019537C">
        <w:rPr>
          <w:rStyle w:val="FootnoteReference"/>
        </w:rPr>
        <w:footnoteReference w:id="8"/>
      </w:r>
      <w:r w:rsidR="0019537C">
        <w:t xml:space="preserve"> There is a higher incidence of </w:t>
      </w:r>
      <w:r w:rsidR="0019537C" w:rsidRPr="0086509D">
        <w:rPr>
          <w:i/>
          <w:iCs/>
        </w:rPr>
        <w:t>EGFRm</w:t>
      </w:r>
      <w:r w:rsidR="0019537C">
        <w:t xml:space="preserve"> in Asian patient populations: the proportion of lung adenocarcinomas found to harbour an </w:t>
      </w:r>
      <w:r w:rsidR="0019537C" w:rsidRPr="0086509D">
        <w:rPr>
          <w:i/>
          <w:iCs/>
        </w:rPr>
        <w:t>EGFRm</w:t>
      </w:r>
      <w:r w:rsidR="0019537C">
        <w:t xml:space="preserve"> was 46% in Southern Asia and 30% in Northern Asia, compared to 9% in North America and 13% in Europe.</w:t>
      </w:r>
      <w:r w:rsidR="0019537C">
        <w:fldChar w:fldCharType="begin"/>
      </w:r>
      <w:r w:rsidR="0019537C">
        <w:instrText xml:space="preserve"> NOTEREF _Ref130374800 \f \h </w:instrText>
      </w:r>
      <w:r w:rsidR="0019537C">
        <w:fldChar w:fldCharType="separate"/>
      </w:r>
      <w:r w:rsidR="00301E36" w:rsidRPr="00301E36">
        <w:rPr>
          <w:rStyle w:val="FootnoteReference"/>
        </w:rPr>
        <w:t>11</w:t>
      </w:r>
      <w:r w:rsidR="0019537C">
        <w:fldChar w:fldCharType="end"/>
      </w:r>
      <w:r w:rsidR="0019537C">
        <w:t xml:space="preserve"> In squamous </w:t>
      </w:r>
      <w:r w:rsidR="00AE53DD">
        <w:t xml:space="preserve">cell </w:t>
      </w:r>
      <w:r w:rsidR="0019537C">
        <w:t xml:space="preserve">tumours, </w:t>
      </w:r>
      <w:r w:rsidR="0019537C" w:rsidRPr="0086509D">
        <w:rPr>
          <w:i/>
          <w:iCs/>
        </w:rPr>
        <w:t>EGFRm</w:t>
      </w:r>
      <w:r w:rsidR="0019537C" w:rsidRPr="00205824">
        <w:t xml:space="preserve"> are much less common</w:t>
      </w:r>
      <w:r w:rsidR="0019537C">
        <w:t xml:space="preserve"> (2%</w:t>
      </w:r>
      <w:r w:rsidR="00AE53DD">
        <w:t xml:space="preserve"> to </w:t>
      </w:r>
      <w:r w:rsidR="0019537C">
        <w:t>10%) and their clinical significance (including predictiveness of response to targeted therapy) is less clear</w:t>
      </w:r>
      <w:r w:rsidR="0019537C" w:rsidRPr="00205824">
        <w:t>.</w:t>
      </w:r>
      <w:bookmarkStart w:id="23" w:name="_Ref130375252"/>
      <w:r w:rsidR="0019537C" w:rsidRPr="00AE53DD">
        <w:rPr>
          <w:rStyle w:val="FootnoteReference"/>
        </w:rPr>
        <w:footnoteReference w:id="9"/>
      </w:r>
      <w:bookmarkEnd w:id="23"/>
      <w:r w:rsidR="0019537C" w:rsidRPr="007705B7">
        <w:rPr>
          <w:vertAlign w:val="superscript"/>
        </w:rPr>
        <w:t>,</w:t>
      </w:r>
      <w:r w:rsidR="0019537C" w:rsidRPr="00AE53DD">
        <w:rPr>
          <w:rStyle w:val="FootnoteReference"/>
        </w:rPr>
        <w:footnoteReference w:id="10"/>
      </w:r>
    </w:p>
    <w:p w14:paraId="6DA29371" w14:textId="53A3E85A" w:rsidR="0019537C" w:rsidRDefault="0019537C" w:rsidP="0019537C">
      <w:r>
        <w:t>E</w:t>
      </w:r>
      <w:r w:rsidRPr="00F45037">
        <w:t xml:space="preserve">xon 20 insertion </w:t>
      </w:r>
      <w:r>
        <w:t xml:space="preserve">mutations are a rare subset of </w:t>
      </w:r>
      <w:r w:rsidRPr="0086509D">
        <w:rPr>
          <w:i/>
          <w:iCs/>
        </w:rPr>
        <w:t>EGFRm</w:t>
      </w:r>
      <w:r>
        <w:t xml:space="preserve">. The most common, ‘classical’ </w:t>
      </w:r>
      <w:r w:rsidRPr="0086509D">
        <w:rPr>
          <w:i/>
          <w:iCs/>
        </w:rPr>
        <w:t>EGFRm</w:t>
      </w:r>
      <w:r>
        <w:t xml:space="preserve"> are in frame deletions in exon 19</w:t>
      </w:r>
      <w:r w:rsidR="00AE53DD">
        <w:t>,</w:t>
      </w:r>
      <w:r>
        <w:t xml:space="preserve"> and L858R substitutions in exon 21. In an approximate 1:1 ratio, </w:t>
      </w:r>
      <w:r w:rsidR="001D207D">
        <w:t xml:space="preserve">in frame deletions in exon 19 </w:t>
      </w:r>
      <w:r>
        <w:t xml:space="preserve">and L858R mutations comprise around 85 to 90% of </w:t>
      </w:r>
      <w:r w:rsidRPr="00F21C37">
        <w:rPr>
          <w:i/>
          <w:iCs/>
        </w:rPr>
        <w:t>EGFRm</w:t>
      </w:r>
      <w:r>
        <w:t>.</w:t>
      </w:r>
      <w:bookmarkStart w:id="24" w:name="_Ref130374800"/>
      <w:r w:rsidRPr="00AE53DD">
        <w:rPr>
          <w:rStyle w:val="FootnoteReference"/>
        </w:rPr>
        <w:footnoteReference w:id="11"/>
      </w:r>
      <w:bookmarkEnd w:id="24"/>
      <w:r w:rsidRPr="007705B7">
        <w:rPr>
          <w:vertAlign w:val="superscript"/>
        </w:rPr>
        <w:t>,</w:t>
      </w:r>
      <w:r w:rsidRPr="00AE53DD">
        <w:rPr>
          <w:rStyle w:val="FootnoteReference"/>
        </w:rPr>
        <w:footnoteReference w:id="12"/>
      </w:r>
      <w:r w:rsidRPr="007705B7">
        <w:rPr>
          <w:vertAlign w:val="superscript"/>
        </w:rPr>
        <w:t>,</w:t>
      </w:r>
      <w:r w:rsidRPr="00AE53DD">
        <w:rPr>
          <w:rStyle w:val="FootnoteReference"/>
        </w:rPr>
        <w:footnoteReference w:id="13"/>
      </w:r>
      <w:r w:rsidR="00AE53DD">
        <w:t xml:space="preserve"> </w:t>
      </w:r>
      <w:r>
        <w:t xml:space="preserve">The remainder of </w:t>
      </w:r>
      <w:r w:rsidRPr="00F21C37">
        <w:rPr>
          <w:i/>
          <w:iCs/>
        </w:rPr>
        <w:t>EGFRm</w:t>
      </w:r>
      <w:r w:rsidRPr="00205824">
        <w:t xml:space="preserve"> </w:t>
      </w:r>
      <w:r>
        <w:t>a</w:t>
      </w:r>
      <w:r w:rsidRPr="00205824">
        <w:t>re a highly</w:t>
      </w:r>
      <w:r w:rsidRPr="008D5B1C">
        <w:t xml:space="preserve"> heterogeneous group of molecular alterations </w:t>
      </w:r>
      <w:r>
        <w:t xml:space="preserve">but tend to occur </w:t>
      </w:r>
      <w:r w:rsidRPr="008D5B1C">
        <w:t>within exons 18 to 21</w:t>
      </w:r>
      <w:r>
        <w:t xml:space="preserve"> (see</w:t>
      </w:r>
      <w:bookmarkStart w:id="25" w:name="_Ref97024108"/>
      <w:r>
        <w:t xml:space="preserve"> </w:t>
      </w:r>
      <w:r>
        <w:rPr>
          <w:highlight w:val="yellow"/>
        </w:rPr>
        <w:fldChar w:fldCharType="begin"/>
      </w:r>
      <w:r>
        <w:instrText xml:space="preserve"> REF _Ref130376913 \h </w:instrText>
      </w:r>
      <w:r>
        <w:rPr>
          <w:highlight w:val="yellow"/>
        </w:rPr>
      </w:r>
      <w:r>
        <w:rPr>
          <w:highlight w:val="yellow"/>
        </w:rPr>
        <w:fldChar w:fldCharType="separate"/>
      </w:r>
      <w:r w:rsidR="00301E36" w:rsidRPr="0086509D">
        <w:t xml:space="preserve">Figure </w:t>
      </w:r>
      <w:r w:rsidR="00301E36">
        <w:rPr>
          <w:noProof/>
        </w:rPr>
        <w:t>1</w:t>
      </w:r>
      <w:r>
        <w:rPr>
          <w:highlight w:val="yellow"/>
        </w:rPr>
        <w:fldChar w:fldCharType="end"/>
      </w:r>
      <w:r>
        <w:t>)</w:t>
      </w:r>
      <w:bookmarkEnd w:id="25"/>
      <w:r>
        <w:t>.</w:t>
      </w:r>
      <w:bookmarkStart w:id="26" w:name="_Ref130375225"/>
      <w:r w:rsidRPr="00AE53DD">
        <w:rPr>
          <w:rStyle w:val="FootnoteReference"/>
        </w:rPr>
        <w:footnoteReference w:id="14"/>
      </w:r>
      <w:bookmarkEnd w:id="26"/>
      <w:r w:rsidRPr="007705B7">
        <w:rPr>
          <w:vertAlign w:val="superscript"/>
        </w:rPr>
        <w:t>,</w:t>
      </w:r>
      <w:r>
        <w:rPr>
          <w:rStyle w:val="FootnoteReference"/>
        </w:rPr>
        <w:footnoteReference w:id="15"/>
      </w:r>
      <w:r>
        <w:t xml:space="preserve"> They include ex20ins mutations (3% to 12% of identified </w:t>
      </w:r>
      <w:r w:rsidRPr="00F21C37">
        <w:rPr>
          <w:i/>
          <w:iCs/>
        </w:rPr>
        <w:t>EGFRm</w:t>
      </w:r>
      <w:r>
        <w:t>)</w:t>
      </w:r>
      <w:bookmarkStart w:id="27" w:name="_Ref130376870"/>
      <w:r w:rsidRPr="009B5F91">
        <w:rPr>
          <w:rStyle w:val="FootnoteReference"/>
        </w:rPr>
        <w:footnoteReference w:id="16"/>
      </w:r>
      <w:bookmarkEnd w:id="27"/>
      <w:r w:rsidRPr="007705B7">
        <w:rPr>
          <w:vertAlign w:val="superscript"/>
        </w:rPr>
        <w:t>,</w:t>
      </w:r>
      <w:bookmarkStart w:id="28" w:name="_Ref130375417"/>
      <w:r w:rsidRPr="009B5F91">
        <w:rPr>
          <w:rStyle w:val="FootnoteReference"/>
        </w:rPr>
        <w:footnoteReference w:id="17"/>
      </w:r>
      <w:bookmarkEnd w:id="28"/>
      <w:r w:rsidRPr="007705B7">
        <w:rPr>
          <w:vertAlign w:val="superscript"/>
        </w:rPr>
        <w:t>,</w:t>
      </w:r>
      <w:r>
        <w:rPr>
          <w:rStyle w:val="FootnoteReference"/>
        </w:rPr>
        <w:footnoteReference w:id="18"/>
      </w:r>
      <w:r>
        <w:t xml:space="preserve"> and point mutations at G719X (that is</w:t>
      </w:r>
      <w:r w:rsidRPr="008646F0">
        <w:t xml:space="preserve">, G719A, </w:t>
      </w:r>
      <w:r w:rsidRPr="008646F0">
        <w:lastRenderedPageBreak/>
        <w:t>G719C, or G719S</w:t>
      </w:r>
      <w:r>
        <w:t xml:space="preserve">; exon 18; 3 to 5% of all </w:t>
      </w:r>
      <w:r w:rsidRPr="00F21C37">
        <w:rPr>
          <w:i/>
          <w:iCs/>
        </w:rPr>
        <w:t>EGFRm</w:t>
      </w:r>
      <w:r>
        <w:t>),</w:t>
      </w:r>
      <w:r>
        <w:fldChar w:fldCharType="begin"/>
      </w:r>
      <w:r>
        <w:instrText xml:space="preserve"> NOTEREF _Ref130375225 \f \h </w:instrText>
      </w:r>
      <w:r>
        <w:fldChar w:fldCharType="separate"/>
      </w:r>
      <w:r w:rsidR="00301E36" w:rsidRPr="00301E36">
        <w:rPr>
          <w:rStyle w:val="FootnoteReference"/>
        </w:rPr>
        <w:t>14</w:t>
      </w:r>
      <w:r>
        <w:fldChar w:fldCharType="end"/>
      </w:r>
      <w:r>
        <w:t>,</w:t>
      </w:r>
      <w:r>
        <w:rPr>
          <w:rStyle w:val="FootnoteReference"/>
        </w:rPr>
        <w:footnoteReference w:id="19"/>
      </w:r>
      <w:r>
        <w:t xml:space="preserve"> at L861Q/L861R (exon 21; 2 to 3% of all </w:t>
      </w:r>
      <w:r w:rsidRPr="00F21C37">
        <w:rPr>
          <w:i/>
          <w:iCs/>
        </w:rPr>
        <w:t>EGFRm</w:t>
      </w:r>
      <w:r>
        <w:t>)</w:t>
      </w:r>
      <w:r>
        <w:fldChar w:fldCharType="begin"/>
      </w:r>
      <w:r>
        <w:instrText xml:space="preserve"> NOTEREF _Ref130375252 \f \h </w:instrText>
      </w:r>
      <w:r>
        <w:fldChar w:fldCharType="separate"/>
      </w:r>
      <w:r w:rsidR="00301E36" w:rsidRPr="00301E36">
        <w:rPr>
          <w:rStyle w:val="FootnoteReference"/>
        </w:rPr>
        <w:t>9</w:t>
      </w:r>
      <w:r>
        <w:fldChar w:fldCharType="end"/>
      </w:r>
      <w:r>
        <w:t>,</w:t>
      </w:r>
      <w:r>
        <w:rPr>
          <w:rStyle w:val="FootnoteReference"/>
        </w:rPr>
        <w:footnoteReference w:id="20"/>
      </w:r>
      <w:r>
        <w:t xml:space="preserve"> and at S768I (exon 20; 1% of all </w:t>
      </w:r>
      <w:r w:rsidRPr="00F21C37">
        <w:rPr>
          <w:i/>
          <w:iCs/>
        </w:rPr>
        <w:t>EGFRm</w:t>
      </w:r>
      <w:r>
        <w:t>)</w:t>
      </w:r>
      <w:bookmarkStart w:id="29" w:name="_Ref96960731"/>
      <w:r>
        <w:t>.</w:t>
      </w:r>
      <w:bookmarkStart w:id="30" w:name="_Ref130375454"/>
      <w:bookmarkEnd w:id="29"/>
      <w:r>
        <w:rPr>
          <w:rStyle w:val="FootnoteReference"/>
        </w:rPr>
        <w:footnoteReference w:id="21"/>
      </w:r>
      <w:bookmarkEnd w:id="30"/>
    </w:p>
    <w:p w14:paraId="10FF591B" w14:textId="4D8551CA" w:rsidR="0019537C" w:rsidRDefault="0019537C" w:rsidP="0019537C">
      <w:r w:rsidRPr="00F75F8A">
        <w:t xml:space="preserve">Unlike other </w:t>
      </w:r>
      <w:r w:rsidRPr="00F21C37">
        <w:rPr>
          <w:i/>
          <w:iCs/>
        </w:rPr>
        <w:t>EGFRm</w:t>
      </w:r>
      <w:r w:rsidRPr="00F75F8A">
        <w:t>, there does not appear to be a clear difference in frequency of ex20ins mutations in NSCSLC based on ethnicity</w:t>
      </w:r>
      <w:r>
        <w:t>.</w:t>
      </w:r>
      <w:r>
        <w:fldChar w:fldCharType="begin"/>
      </w:r>
      <w:r>
        <w:instrText xml:space="preserve"> NOTEREF _Ref130375454 \f \h </w:instrText>
      </w:r>
      <w:r>
        <w:fldChar w:fldCharType="separate"/>
      </w:r>
      <w:r w:rsidR="00301E36" w:rsidRPr="00301E36">
        <w:rPr>
          <w:rStyle w:val="FootnoteReference"/>
        </w:rPr>
        <w:t>21</w:t>
      </w:r>
      <w:r>
        <w:fldChar w:fldCharType="end"/>
      </w:r>
      <w:r>
        <w:t xml:space="preserve"> They</w:t>
      </w:r>
      <w:r w:rsidRPr="00F75F8A">
        <w:t xml:space="preserve"> otherwise show similar demographic </w:t>
      </w:r>
      <w:r>
        <w:t>associations</w:t>
      </w:r>
      <w:r w:rsidRPr="00F75F8A">
        <w:t xml:space="preserve"> to other </w:t>
      </w:r>
      <w:r w:rsidRPr="00F21C37">
        <w:rPr>
          <w:i/>
          <w:iCs/>
        </w:rPr>
        <w:t>EGFRm</w:t>
      </w:r>
      <w:r>
        <w:t xml:space="preserve">, including the extreme rarity of co-occurrence with other oncogenic drivers (such as </w:t>
      </w:r>
      <w:r w:rsidRPr="00F21C37">
        <w:rPr>
          <w:i/>
          <w:iCs/>
        </w:rPr>
        <w:t>KRAS</w:t>
      </w:r>
      <w:r>
        <w:t>).</w:t>
      </w:r>
      <w:r>
        <w:fldChar w:fldCharType="begin"/>
      </w:r>
      <w:r>
        <w:instrText xml:space="preserve"> NOTEREF _Ref130375417 \f \h </w:instrText>
      </w:r>
      <w:r>
        <w:fldChar w:fldCharType="separate"/>
      </w:r>
      <w:r w:rsidR="00301E36" w:rsidRPr="00301E36">
        <w:rPr>
          <w:rStyle w:val="FootnoteReference"/>
        </w:rPr>
        <w:t>17</w:t>
      </w:r>
      <w:r>
        <w:fldChar w:fldCharType="end"/>
      </w:r>
    </w:p>
    <w:p w14:paraId="2F0A0872" w14:textId="08D4A8C5" w:rsidR="0019537C" w:rsidRDefault="0019537C" w:rsidP="0019537C">
      <w:pPr>
        <w:pStyle w:val="FigureTitle"/>
      </w:pPr>
      <w:bookmarkStart w:id="31" w:name="_Ref130376913"/>
      <w:r w:rsidRPr="0086509D">
        <w:t xml:space="preserve">Figure </w:t>
      </w:r>
      <w:r w:rsidRPr="0086509D">
        <w:fldChar w:fldCharType="begin"/>
      </w:r>
      <w:r w:rsidRPr="0086509D">
        <w:instrText xml:space="preserve"> SEQ Figure \* ARABIC </w:instrText>
      </w:r>
      <w:r w:rsidRPr="0086509D">
        <w:fldChar w:fldCharType="separate"/>
      </w:r>
      <w:r w:rsidR="00301E36">
        <w:t>1</w:t>
      </w:r>
      <w:r w:rsidRPr="0086509D">
        <w:fldChar w:fldCharType="end"/>
      </w:r>
      <w:bookmarkEnd w:id="31"/>
      <w:r>
        <w:t xml:space="preserve">: The spectrum of described mutations in codons 18 to 21 of the </w:t>
      </w:r>
      <w:r w:rsidRPr="00F21C37">
        <w:rPr>
          <w:i/>
          <w:iCs/>
        </w:rPr>
        <w:t xml:space="preserve">EGFR </w:t>
      </w:r>
      <w:r>
        <w:t xml:space="preserve">gene (on chromosome 7), and their association with responsiveness to first generation </w:t>
      </w:r>
      <w:r w:rsidRPr="00F21C37">
        <w:rPr>
          <w:i/>
          <w:iCs/>
        </w:rPr>
        <w:t>EGFR</w:t>
      </w:r>
      <w:r>
        <w:t xml:space="preserve"> tyrosine kinase inhibitors</w:t>
      </w:r>
    </w:p>
    <w:p w14:paraId="35BA0477" w14:textId="7E0A8523" w:rsidR="0019537C" w:rsidRPr="00B6279F" w:rsidRDefault="0019537C" w:rsidP="0019537C">
      <w:r>
        <w:rPr>
          <w:noProof/>
          <w:sz w:val="19"/>
          <w:lang w:val="en-GB" w:eastAsia="en-GB"/>
        </w:rPr>
        <w:drawing>
          <wp:inline distT="0" distB="0" distL="0" distR="0" wp14:anchorId="25AAE9D6" wp14:editId="0E11E190">
            <wp:extent cx="5621573" cy="4821555"/>
            <wp:effectExtent l="0" t="0" r="0" b="0"/>
            <wp:docPr id="10" name="Picture 10" descr="Figure 1: The spectrum of described mutations in codons 18 to 21 of the EGFR gene (on chromosome 7), and their association with responsiveness to first generation EGFR tyrosine kinase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The spectrum of described mutations in codons 18 to 21 of the EGFR gene (on chromosome 7), and their association with responsiveness to first generation EGFR tyrosine kinase inhibit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2455" cy="4822312"/>
                    </a:xfrm>
                    <a:prstGeom prst="rect">
                      <a:avLst/>
                    </a:prstGeom>
                    <a:noFill/>
                    <a:ln>
                      <a:noFill/>
                    </a:ln>
                  </pic:spPr>
                </pic:pic>
              </a:graphicData>
            </a:graphic>
          </wp:inline>
        </w:drawing>
      </w:r>
    </w:p>
    <w:p w14:paraId="3C4A28FD" w14:textId="77777777" w:rsidR="0019537C" w:rsidRPr="00B64CFE" w:rsidRDefault="0019537C" w:rsidP="0019537C">
      <w:pPr>
        <w:pStyle w:val="Heading4"/>
      </w:pPr>
      <w:bookmarkStart w:id="32" w:name="_Ref97028943"/>
      <w:bookmarkStart w:id="33" w:name="_Toc130386497"/>
      <w:bookmarkStart w:id="34" w:name="_Toc132980311"/>
      <w:r w:rsidRPr="00B64CFE">
        <w:t>Current treatment options</w:t>
      </w:r>
      <w:bookmarkEnd w:id="32"/>
      <w:bookmarkEnd w:id="33"/>
      <w:bookmarkEnd w:id="34"/>
    </w:p>
    <w:p w14:paraId="04135100" w14:textId="77777777" w:rsidR="0019537C" w:rsidRDefault="0019537C" w:rsidP="0019537C">
      <w:r w:rsidRPr="005D55CE">
        <w:t xml:space="preserve">There are no therapeutic goods that are registered in Australia specifically for the treatment of patients with NSCLC whose tumours harbor </w:t>
      </w:r>
      <w:r w:rsidRPr="00F21C37">
        <w:rPr>
          <w:i/>
          <w:iCs/>
        </w:rPr>
        <w:t>EGFR</w:t>
      </w:r>
      <w:r w:rsidRPr="005D55CE">
        <w:t xml:space="preserve"> </w:t>
      </w:r>
      <w:r w:rsidRPr="00F21C37">
        <w:t>ex20ins</w:t>
      </w:r>
      <w:r w:rsidRPr="005D55CE">
        <w:t xml:space="preserve"> mutations.</w:t>
      </w:r>
    </w:p>
    <w:p w14:paraId="74170D5E" w14:textId="77777777" w:rsidR="0019537C" w:rsidRDefault="0019537C" w:rsidP="0019537C">
      <w:pPr>
        <w:pStyle w:val="Heading5"/>
      </w:pPr>
      <w:r>
        <w:lastRenderedPageBreak/>
        <w:t>First line of therapy</w:t>
      </w:r>
    </w:p>
    <w:p w14:paraId="3368BAF9" w14:textId="77777777" w:rsidR="0019537C" w:rsidRDefault="0019537C" w:rsidP="0019537C">
      <w:pPr>
        <w:rPr>
          <w:lang w:val="en-US"/>
        </w:rPr>
      </w:pPr>
      <w:r>
        <w:t xml:space="preserve">Patients with </w:t>
      </w:r>
      <w:r>
        <w:rPr>
          <w:lang w:val="en-US"/>
        </w:rPr>
        <w:t>early stage</w:t>
      </w:r>
      <w:r w:rsidRPr="0033077F">
        <w:rPr>
          <w:lang w:val="en-US"/>
        </w:rPr>
        <w:t xml:space="preserve"> </w:t>
      </w:r>
      <w:r>
        <w:rPr>
          <w:lang w:val="en-US"/>
        </w:rPr>
        <w:t>NSCLC</w:t>
      </w:r>
      <w:r w:rsidRPr="0033077F">
        <w:rPr>
          <w:lang w:val="en-US"/>
        </w:rPr>
        <w:t xml:space="preserve"> </w:t>
      </w:r>
      <w:r>
        <w:rPr>
          <w:lang w:val="en-US"/>
        </w:rPr>
        <w:t>can be</w:t>
      </w:r>
      <w:r w:rsidRPr="0033077F">
        <w:rPr>
          <w:lang w:val="en-US"/>
        </w:rPr>
        <w:t xml:space="preserve"> treated with curative intent</w:t>
      </w:r>
      <w:r>
        <w:rPr>
          <w:lang w:val="en-US"/>
        </w:rPr>
        <w:t>, however, only a small proportion of patients (30%) present with localised disease amenable to such approaches.</w:t>
      </w:r>
      <w:r>
        <w:rPr>
          <w:rStyle w:val="FootnoteReference"/>
          <w:lang w:val="en-US"/>
        </w:rPr>
        <w:footnoteReference w:id="22"/>
      </w:r>
      <w:r>
        <w:rPr>
          <w:lang w:val="en-US"/>
        </w:rPr>
        <w:t xml:space="preserve"> </w:t>
      </w:r>
      <w:r>
        <w:t>Five</w:t>
      </w:r>
      <w:r w:rsidRPr="006340A4">
        <w:t>-year recurrence rates</w:t>
      </w:r>
      <w:r>
        <w:t xml:space="preserve"> after resection</w:t>
      </w:r>
      <w:r w:rsidRPr="006340A4">
        <w:t xml:space="preserve"> are approximately 45% for Stage IB, 62% for Stage II and 76% for Stage III patients.</w:t>
      </w:r>
      <w:r>
        <w:rPr>
          <w:rStyle w:val="FootnoteReference"/>
        </w:rPr>
        <w:footnoteReference w:id="23"/>
      </w:r>
      <w:r>
        <w:rPr>
          <w:lang w:val="en-US"/>
        </w:rPr>
        <w:t xml:space="preserve"> S</w:t>
      </w:r>
      <w:r w:rsidRPr="00017AF1">
        <w:rPr>
          <w:lang w:val="en-US"/>
        </w:rPr>
        <w:t>ystemic therapy is indicated for patients with advanced</w:t>
      </w:r>
      <w:r>
        <w:rPr>
          <w:lang w:val="en-US"/>
        </w:rPr>
        <w:t xml:space="preserve"> (locally advanced or metastatic)</w:t>
      </w:r>
      <w:r w:rsidRPr="00017AF1">
        <w:rPr>
          <w:lang w:val="en-US"/>
        </w:rPr>
        <w:t xml:space="preserve"> disease, including </w:t>
      </w:r>
      <w:r>
        <w:rPr>
          <w:lang w:val="en-US"/>
        </w:rPr>
        <w:t>patients with</w:t>
      </w:r>
      <w:r w:rsidRPr="00017AF1">
        <w:rPr>
          <w:lang w:val="en-US"/>
        </w:rPr>
        <w:t xml:space="preserve"> recur</w:t>
      </w:r>
      <w:r>
        <w:rPr>
          <w:lang w:val="en-US"/>
        </w:rPr>
        <w:t>rence</w:t>
      </w:r>
      <w:r w:rsidRPr="00017AF1">
        <w:rPr>
          <w:lang w:val="en-US"/>
        </w:rPr>
        <w:t xml:space="preserve"> following initial definitive treatment.</w:t>
      </w:r>
      <w:r>
        <w:rPr>
          <w:rStyle w:val="FootnoteReference"/>
          <w:lang w:val="en-US"/>
        </w:rPr>
        <w:footnoteReference w:id="24"/>
      </w:r>
    </w:p>
    <w:p w14:paraId="5DE3B330" w14:textId="5CCD8B47" w:rsidR="0071671D" w:rsidRDefault="0019537C" w:rsidP="0019537C">
      <w:r>
        <w:t>Systemic treatment of metastatic NSCLC is guided by molecular testing.</w:t>
      </w:r>
      <w:bookmarkStart w:id="35" w:name="_Ref130382886"/>
      <w:r>
        <w:rPr>
          <w:rStyle w:val="FootnoteReference"/>
        </w:rPr>
        <w:footnoteReference w:id="25"/>
      </w:r>
      <w:bookmarkEnd w:id="35"/>
      <w:r w:rsidRPr="00E81BB4">
        <w:rPr>
          <w:vertAlign w:val="superscript"/>
        </w:rPr>
        <w:t>,</w:t>
      </w:r>
      <w:r>
        <w:rPr>
          <w:rStyle w:val="FootnoteReference"/>
        </w:rPr>
        <w:footnoteReference w:id="26"/>
      </w:r>
      <w:r>
        <w:t xml:space="preserve"> In the absence of a ‘driver’ mutation for which a targeted therapy is available (such as activating mutations in </w:t>
      </w:r>
      <w:r w:rsidRPr="002862AD">
        <w:rPr>
          <w:i/>
          <w:iCs/>
        </w:rPr>
        <w:t>EGFR</w:t>
      </w:r>
      <w:r>
        <w:t xml:space="preserve">, </w:t>
      </w:r>
      <w:r w:rsidRPr="002862AD">
        <w:rPr>
          <w:i/>
          <w:iCs/>
        </w:rPr>
        <w:t>ALK</w:t>
      </w:r>
      <w:r>
        <w:t xml:space="preserve">, </w:t>
      </w:r>
      <w:r w:rsidRPr="002862AD">
        <w:rPr>
          <w:i/>
          <w:iCs/>
        </w:rPr>
        <w:t>ROS1</w:t>
      </w:r>
      <w:r>
        <w:t xml:space="preserve"> or </w:t>
      </w:r>
      <w:r w:rsidRPr="002862AD">
        <w:rPr>
          <w:i/>
          <w:iCs/>
        </w:rPr>
        <w:t>BRAF</w:t>
      </w:r>
      <w:r w:rsidR="0071671D">
        <w:rPr>
          <w:iCs/>
        </w:rPr>
        <w:t xml:space="preserve"> genes</w:t>
      </w:r>
      <w:r>
        <w:t xml:space="preserve">), major international clinical guidelines </w:t>
      </w:r>
      <w:r w:rsidRPr="00FB0EAB">
        <w:t>recommend an anti-</w:t>
      </w:r>
      <w:r w:rsidR="001D207D">
        <w:t xml:space="preserve">programmed death ligand 1 </w:t>
      </w:r>
      <w:r w:rsidRPr="00FB0EAB">
        <w:t>(</w:t>
      </w:r>
      <w:r w:rsidR="001D207D">
        <w:t>PD-L1)</w:t>
      </w:r>
      <w:r w:rsidRPr="00FB0EAB">
        <w:t xml:space="preserve"> antibody, with or without histology</w:t>
      </w:r>
      <w:r w:rsidR="001D207D">
        <w:t xml:space="preserve"> </w:t>
      </w:r>
      <w:r w:rsidRPr="00FB0EAB">
        <w:t>directed platinum</w:t>
      </w:r>
      <w:r w:rsidR="0071671D">
        <w:t xml:space="preserve"> </w:t>
      </w:r>
      <w:r w:rsidRPr="00FB0EAB">
        <w:t>doublet chemotherapy (</w:t>
      </w:r>
      <w:r>
        <w:t>depending on</w:t>
      </w:r>
      <w:r w:rsidRPr="00FB0EAB">
        <w:t xml:space="preserve"> tumour PD-L1 expression level)</w:t>
      </w:r>
      <w:r w:rsidRPr="0071671D">
        <w:rPr>
          <w:rStyle w:val="FootnoteReference"/>
        </w:rPr>
        <w:footnoteReference w:id="27"/>
      </w:r>
      <w:r w:rsidRPr="007705B7">
        <w:rPr>
          <w:vertAlign w:val="superscript"/>
        </w:rPr>
        <w:t>,</w:t>
      </w:r>
      <w:r w:rsidRPr="0071671D">
        <w:rPr>
          <w:rStyle w:val="FootnoteReference"/>
        </w:rPr>
        <w:footnoteReference w:id="28"/>
      </w:r>
      <w:r w:rsidRPr="007705B7">
        <w:rPr>
          <w:vertAlign w:val="superscript"/>
        </w:rPr>
        <w:t>,</w:t>
      </w:r>
      <w:r w:rsidRPr="0071671D">
        <w:rPr>
          <w:rStyle w:val="FootnoteReference"/>
        </w:rPr>
        <w:footnoteReference w:id="29"/>
      </w:r>
      <w:r w:rsidRPr="007705B7">
        <w:rPr>
          <w:vertAlign w:val="superscript"/>
        </w:rPr>
        <w:t>,</w:t>
      </w:r>
      <w:r w:rsidRPr="0071671D">
        <w:rPr>
          <w:rStyle w:val="FootnoteReference"/>
        </w:rPr>
        <w:footnoteReference w:id="30"/>
      </w:r>
      <w:r w:rsidRPr="007705B7">
        <w:rPr>
          <w:vertAlign w:val="superscript"/>
        </w:rPr>
        <w:t xml:space="preserve"> </w:t>
      </w:r>
      <w:r w:rsidRPr="00FB0EAB">
        <w:t>as standard</w:t>
      </w:r>
      <w:r w:rsidR="001D207D">
        <w:t xml:space="preserve"> </w:t>
      </w:r>
      <w:r w:rsidRPr="00FB0EAB">
        <w:t>of</w:t>
      </w:r>
      <w:r w:rsidR="001D207D">
        <w:t xml:space="preserve"> </w:t>
      </w:r>
      <w:r w:rsidRPr="00FB0EAB">
        <w:t>care first</w:t>
      </w:r>
      <w:r w:rsidR="001D207D">
        <w:t xml:space="preserve"> </w:t>
      </w:r>
      <w:r w:rsidRPr="00FB0EAB">
        <w:t>line treatment</w:t>
      </w:r>
      <w:r>
        <w:t xml:space="preserve"> (</w:t>
      </w:r>
      <w:r>
        <w:fldChar w:fldCharType="begin"/>
      </w:r>
      <w:r>
        <w:instrText xml:space="preserve"> REF _Ref130461979 \h </w:instrText>
      </w:r>
      <w:r>
        <w:fldChar w:fldCharType="separate"/>
      </w:r>
      <w:r w:rsidR="00301E36" w:rsidRPr="000A1780">
        <w:t xml:space="preserve">Table </w:t>
      </w:r>
      <w:r w:rsidR="00301E36">
        <w:rPr>
          <w:noProof/>
        </w:rPr>
        <w:t>1</w:t>
      </w:r>
      <w:r>
        <w:fldChar w:fldCharType="end"/>
      </w:r>
      <w:r>
        <w:t>).</w:t>
      </w:r>
      <w:r>
        <w:rPr>
          <w:rStyle w:val="FootnoteReference"/>
        </w:rPr>
        <w:footnoteReference w:id="31"/>
      </w:r>
    </w:p>
    <w:p w14:paraId="2B15230C" w14:textId="35766C6B" w:rsidR="002B57C9" w:rsidRDefault="0019537C" w:rsidP="0019537C">
      <w:pPr>
        <w:pStyle w:val="TableTitle"/>
      </w:pPr>
      <w:bookmarkStart w:id="36" w:name="_Ref130461979"/>
      <w:r w:rsidRPr="000A1780">
        <w:lastRenderedPageBreak/>
        <w:t xml:space="preserve">Table </w:t>
      </w:r>
      <w:r w:rsidR="003F5EF5">
        <w:fldChar w:fldCharType="begin"/>
      </w:r>
      <w:r w:rsidR="003F5EF5">
        <w:instrText xml:space="preserve"> SEQ Table \* ARABIC </w:instrText>
      </w:r>
      <w:r w:rsidR="003F5EF5">
        <w:fldChar w:fldCharType="separate"/>
      </w:r>
      <w:r w:rsidR="00301E36">
        <w:rPr>
          <w:noProof/>
        </w:rPr>
        <w:t>1</w:t>
      </w:r>
      <w:r w:rsidR="003F5EF5">
        <w:rPr>
          <w:noProof/>
        </w:rPr>
        <w:fldChar w:fldCharType="end"/>
      </w:r>
      <w:bookmarkEnd w:id="36"/>
      <w:r>
        <w:t xml:space="preserve">: </w:t>
      </w:r>
      <w:r w:rsidRPr="00FB0EAB">
        <w:t>Response rates, durations and survival seen in randomised studies of current standard</w:t>
      </w:r>
      <w:r w:rsidR="001D207D">
        <w:t xml:space="preserve"> </w:t>
      </w:r>
      <w:r w:rsidRPr="00FB0EAB">
        <w:t>of</w:t>
      </w:r>
      <w:r w:rsidR="001D207D">
        <w:t xml:space="preserve"> </w:t>
      </w:r>
      <w:r w:rsidRPr="00FB0EAB">
        <w:t>care first</w:t>
      </w:r>
      <w:r w:rsidR="001D207D">
        <w:t xml:space="preserve"> </w:t>
      </w:r>
      <w:r w:rsidRPr="00FB0EAB">
        <w:t xml:space="preserve">line treatments for </w:t>
      </w:r>
      <w:r w:rsidR="0071671D">
        <w:t>n</w:t>
      </w:r>
      <w:r w:rsidR="001D207D" w:rsidRPr="00D36414">
        <w:t>on-small cell lung cancer</w:t>
      </w:r>
      <w:r w:rsidRPr="00FB0EAB">
        <w:t xml:space="preserve"> in patients without driver mutations</w:t>
      </w:r>
    </w:p>
    <w:tbl>
      <w:tblPr>
        <w:tblStyle w:val="TableTGAblue"/>
        <w:tblW w:w="0" w:type="auto"/>
        <w:tblLayout w:type="fixed"/>
        <w:tblCellMar>
          <w:left w:w="57" w:type="dxa"/>
          <w:right w:w="57" w:type="dxa"/>
        </w:tblCellMar>
        <w:tblLook w:val="04A0" w:firstRow="1" w:lastRow="0" w:firstColumn="1" w:lastColumn="0" w:noHBand="0" w:noVBand="1"/>
      </w:tblPr>
      <w:tblGrid>
        <w:gridCol w:w="1160"/>
        <w:gridCol w:w="1170"/>
        <w:gridCol w:w="1710"/>
        <w:gridCol w:w="1170"/>
        <w:gridCol w:w="1440"/>
        <w:gridCol w:w="1170"/>
        <w:gridCol w:w="1230"/>
      </w:tblGrid>
      <w:tr w:rsidR="0019537C" w:rsidRPr="0019537C" w14:paraId="6A48ED17" w14:textId="77777777" w:rsidTr="0071671D">
        <w:trPr>
          <w:cnfStyle w:val="100000000000" w:firstRow="1" w:lastRow="0" w:firstColumn="0" w:lastColumn="0" w:oddVBand="0" w:evenVBand="0" w:oddHBand="0" w:evenHBand="0" w:firstRowFirstColumn="0" w:firstRowLastColumn="0" w:lastRowFirstColumn="0" w:lastRowLastColumn="0"/>
          <w:trHeight w:val="1024"/>
        </w:trPr>
        <w:tc>
          <w:tcPr>
            <w:tcW w:w="1160" w:type="dxa"/>
            <w:vAlign w:val="bottom"/>
          </w:tcPr>
          <w:p w14:paraId="4596CB19" w14:textId="7D241419" w:rsidR="0019537C" w:rsidRPr="0019537C" w:rsidRDefault="0019537C" w:rsidP="0071671D">
            <w:pPr>
              <w:ind w:left="0" w:right="0"/>
              <w:rPr>
                <w:i/>
                <w:iCs/>
                <w:sz w:val="20"/>
                <w:szCs w:val="20"/>
              </w:rPr>
            </w:pPr>
            <w:r>
              <w:rPr>
                <w:sz w:val="20"/>
                <w:szCs w:val="20"/>
              </w:rPr>
              <w:t>P</w:t>
            </w:r>
            <w:r w:rsidRPr="0019537C">
              <w:rPr>
                <w:sz w:val="20"/>
                <w:szCs w:val="20"/>
              </w:rPr>
              <w:t>opulation</w:t>
            </w:r>
          </w:p>
        </w:tc>
        <w:tc>
          <w:tcPr>
            <w:tcW w:w="1170" w:type="dxa"/>
            <w:vAlign w:val="bottom"/>
          </w:tcPr>
          <w:p w14:paraId="44FA4903" w14:textId="77777777" w:rsidR="0019537C" w:rsidRPr="0019537C" w:rsidRDefault="0019537C" w:rsidP="0071671D">
            <w:pPr>
              <w:ind w:left="0" w:right="0"/>
              <w:rPr>
                <w:sz w:val="20"/>
                <w:szCs w:val="20"/>
              </w:rPr>
            </w:pPr>
            <w:r w:rsidRPr="0019537C">
              <w:rPr>
                <w:sz w:val="20"/>
                <w:szCs w:val="20"/>
              </w:rPr>
              <w:t>Subgroup</w:t>
            </w:r>
          </w:p>
        </w:tc>
        <w:tc>
          <w:tcPr>
            <w:tcW w:w="1710" w:type="dxa"/>
            <w:vAlign w:val="bottom"/>
          </w:tcPr>
          <w:p w14:paraId="50CFC424" w14:textId="77777777" w:rsidR="0019537C" w:rsidRPr="0019537C" w:rsidRDefault="0019537C" w:rsidP="0071671D">
            <w:pPr>
              <w:ind w:left="0" w:right="0"/>
              <w:rPr>
                <w:sz w:val="20"/>
                <w:szCs w:val="20"/>
              </w:rPr>
            </w:pPr>
            <w:r w:rsidRPr="0019537C">
              <w:rPr>
                <w:sz w:val="20"/>
                <w:szCs w:val="20"/>
              </w:rPr>
              <w:t>Treatment (n)</w:t>
            </w:r>
          </w:p>
        </w:tc>
        <w:tc>
          <w:tcPr>
            <w:tcW w:w="1170" w:type="dxa"/>
            <w:vAlign w:val="bottom"/>
          </w:tcPr>
          <w:p w14:paraId="168E9FF1" w14:textId="1013738E" w:rsidR="0019537C" w:rsidRPr="0019537C" w:rsidRDefault="0019537C" w:rsidP="0071671D">
            <w:pPr>
              <w:ind w:left="0" w:right="0"/>
              <w:rPr>
                <w:sz w:val="20"/>
                <w:szCs w:val="20"/>
              </w:rPr>
            </w:pPr>
            <w:r w:rsidRPr="0019537C">
              <w:rPr>
                <w:sz w:val="20"/>
                <w:szCs w:val="20"/>
              </w:rPr>
              <w:t>ORR</w:t>
            </w:r>
            <w:r w:rsidR="001D207D">
              <w:rPr>
                <w:b w:val="0"/>
                <w:sz w:val="20"/>
                <w:szCs w:val="20"/>
              </w:rPr>
              <w:t xml:space="preserve"> </w:t>
            </w:r>
            <w:r w:rsidRPr="0019537C">
              <w:rPr>
                <w:sz w:val="20"/>
                <w:szCs w:val="20"/>
              </w:rPr>
              <w:t>%</w:t>
            </w:r>
            <w:r w:rsidR="001D207D">
              <w:rPr>
                <w:sz w:val="20"/>
                <w:szCs w:val="20"/>
              </w:rPr>
              <w:t xml:space="preserve"> </w:t>
            </w:r>
            <w:r w:rsidRPr="0019537C">
              <w:rPr>
                <w:sz w:val="20"/>
                <w:szCs w:val="20"/>
              </w:rPr>
              <w:t>[95% CI]</w:t>
            </w:r>
          </w:p>
        </w:tc>
        <w:tc>
          <w:tcPr>
            <w:tcW w:w="1440" w:type="dxa"/>
            <w:vAlign w:val="bottom"/>
          </w:tcPr>
          <w:p w14:paraId="2C6BCC38" w14:textId="1D95A987" w:rsidR="0019537C" w:rsidRPr="001D207D" w:rsidRDefault="0019537C" w:rsidP="0071671D">
            <w:pPr>
              <w:ind w:left="0" w:right="0"/>
              <w:rPr>
                <w:b w:val="0"/>
                <w:sz w:val="20"/>
                <w:szCs w:val="20"/>
              </w:rPr>
            </w:pPr>
            <w:r w:rsidRPr="0019537C">
              <w:rPr>
                <w:sz w:val="20"/>
                <w:szCs w:val="20"/>
              </w:rPr>
              <w:t>Median DOR</w:t>
            </w:r>
            <w:r w:rsidR="001D207D">
              <w:rPr>
                <w:b w:val="0"/>
                <w:sz w:val="20"/>
                <w:szCs w:val="20"/>
              </w:rPr>
              <w:t xml:space="preserve"> </w:t>
            </w:r>
            <w:r w:rsidRPr="0019537C">
              <w:rPr>
                <w:sz w:val="20"/>
                <w:szCs w:val="20"/>
              </w:rPr>
              <w:t>months</w:t>
            </w:r>
            <w:r w:rsidR="001D207D">
              <w:rPr>
                <w:b w:val="0"/>
                <w:sz w:val="20"/>
                <w:szCs w:val="20"/>
              </w:rPr>
              <w:t xml:space="preserve"> </w:t>
            </w:r>
            <w:r w:rsidRPr="0019537C">
              <w:rPr>
                <w:sz w:val="20"/>
                <w:szCs w:val="20"/>
              </w:rPr>
              <w:t>range</w:t>
            </w:r>
          </w:p>
        </w:tc>
        <w:tc>
          <w:tcPr>
            <w:tcW w:w="1170" w:type="dxa"/>
            <w:vAlign w:val="bottom"/>
          </w:tcPr>
          <w:p w14:paraId="3E94CED1" w14:textId="2B7AC6EB" w:rsidR="0019537C" w:rsidRPr="001D207D" w:rsidRDefault="0019537C" w:rsidP="0071671D">
            <w:pPr>
              <w:ind w:left="0" w:right="0"/>
              <w:rPr>
                <w:b w:val="0"/>
                <w:sz w:val="20"/>
                <w:szCs w:val="20"/>
              </w:rPr>
            </w:pPr>
            <w:r w:rsidRPr="0019537C">
              <w:rPr>
                <w:sz w:val="20"/>
                <w:szCs w:val="20"/>
              </w:rPr>
              <w:t>Median OS months</w:t>
            </w:r>
            <w:r w:rsidR="001D207D">
              <w:rPr>
                <w:b w:val="0"/>
                <w:sz w:val="20"/>
                <w:szCs w:val="20"/>
              </w:rPr>
              <w:t xml:space="preserve"> </w:t>
            </w:r>
            <w:r w:rsidRPr="0019537C">
              <w:rPr>
                <w:sz w:val="20"/>
                <w:szCs w:val="20"/>
              </w:rPr>
              <w:t>[95% CI]</w:t>
            </w:r>
          </w:p>
        </w:tc>
        <w:tc>
          <w:tcPr>
            <w:tcW w:w="1230" w:type="dxa"/>
            <w:tcBorders>
              <w:bottom w:val="single" w:sz="4" w:space="0" w:color="auto"/>
            </w:tcBorders>
            <w:vAlign w:val="bottom"/>
          </w:tcPr>
          <w:p w14:paraId="7B00D71A" w14:textId="1BE4777D" w:rsidR="0019537C" w:rsidRPr="001D207D" w:rsidRDefault="0019537C" w:rsidP="0071671D">
            <w:pPr>
              <w:ind w:left="0" w:right="0"/>
              <w:rPr>
                <w:b w:val="0"/>
                <w:sz w:val="20"/>
                <w:szCs w:val="20"/>
              </w:rPr>
            </w:pPr>
            <w:r w:rsidRPr="0019537C">
              <w:rPr>
                <w:sz w:val="20"/>
                <w:szCs w:val="20"/>
              </w:rPr>
              <w:t>OS rate</w:t>
            </w:r>
            <w:r w:rsidR="001D207D">
              <w:rPr>
                <w:b w:val="0"/>
                <w:sz w:val="20"/>
                <w:szCs w:val="20"/>
              </w:rPr>
              <w:t xml:space="preserve"> </w:t>
            </w:r>
            <w:r w:rsidRPr="0019537C">
              <w:rPr>
                <w:sz w:val="20"/>
                <w:szCs w:val="20"/>
              </w:rPr>
              <w:t>% [95% CI]</w:t>
            </w:r>
          </w:p>
        </w:tc>
      </w:tr>
      <w:tr w:rsidR="002B57C9" w:rsidRPr="0019537C" w14:paraId="6F0ABA60" w14:textId="77777777" w:rsidTr="0071671D">
        <w:trPr>
          <w:trHeight w:val="958"/>
        </w:trPr>
        <w:tc>
          <w:tcPr>
            <w:tcW w:w="1160" w:type="dxa"/>
            <w:vMerge w:val="restart"/>
            <w:vAlign w:val="center"/>
          </w:tcPr>
          <w:p w14:paraId="0ABC73E2" w14:textId="00181330" w:rsidR="002B57C9" w:rsidRPr="0019537C" w:rsidRDefault="002B57C9" w:rsidP="0071671D">
            <w:pPr>
              <w:ind w:left="0" w:right="0"/>
              <w:rPr>
                <w:sz w:val="20"/>
                <w:szCs w:val="20"/>
              </w:rPr>
            </w:pPr>
            <w:r w:rsidRPr="0019537C">
              <w:rPr>
                <w:sz w:val="20"/>
                <w:szCs w:val="20"/>
              </w:rPr>
              <w:t>PD-L1 positive (TPS≥1%) NSCL</w:t>
            </w:r>
            <w:r>
              <w:rPr>
                <w:sz w:val="20"/>
                <w:szCs w:val="20"/>
              </w:rPr>
              <w:t>C</w:t>
            </w:r>
            <w:r w:rsidRPr="001A6EB0">
              <w:rPr>
                <w:sz w:val="20"/>
                <w:szCs w:val="20"/>
                <w:vertAlign w:val="superscript"/>
              </w:rPr>
              <w:t>1</w:t>
            </w:r>
            <w:r w:rsidR="0071671D">
              <w:rPr>
                <w:sz w:val="20"/>
                <w:szCs w:val="20"/>
                <w:vertAlign w:val="superscript"/>
              </w:rPr>
              <w:t xml:space="preserve"> </w:t>
            </w:r>
            <w:r w:rsidRPr="0019537C">
              <w:rPr>
                <w:sz w:val="20"/>
                <w:szCs w:val="20"/>
              </w:rPr>
              <w:t>(histology-agnostic)</w:t>
            </w:r>
          </w:p>
        </w:tc>
        <w:tc>
          <w:tcPr>
            <w:tcW w:w="1170" w:type="dxa"/>
            <w:vMerge w:val="restart"/>
            <w:vAlign w:val="center"/>
          </w:tcPr>
          <w:p w14:paraId="7AB6677C" w14:textId="4B62A10B" w:rsidR="002B57C9" w:rsidRPr="0019537C" w:rsidRDefault="002B57C9" w:rsidP="0071671D">
            <w:pPr>
              <w:ind w:left="0" w:right="0"/>
              <w:rPr>
                <w:sz w:val="20"/>
                <w:szCs w:val="20"/>
              </w:rPr>
            </w:pPr>
            <w:r w:rsidRPr="0019537C">
              <w:rPr>
                <w:sz w:val="20"/>
                <w:szCs w:val="20"/>
              </w:rPr>
              <w:t>PD-L1 ≥50</w:t>
            </w:r>
            <w:r>
              <w:rPr>
                <w:sz w:val="20"/>
                <w:szCs w:val="20"/>
              </w:rPr>
              <w:t>%</w:t>
            </w:r>
            <w:r w:rsidRPr="001A6EB0">
              <w:rPr>
                <w:sz w:val="20"/>
                <w:szCs w:val="20"/>
                <w:vertAlign w:val="superscript"/>
              </w:rPr>
              <w:t>5</w:t>
            </w:r>
          </w:p>
        </w:tc>
        <w:tc>
          <w:tcPr>
            <w:tcW w:w="1710" w:type="dxa"/>
          </w:tcPr>
          <w:p w14:paraId="42ACFDB4" w14:textId="0E86F4F2" w:rsidR="002B57C9" w:rsidRPr="0019537C" w:rsidRDefault="002B57C9" w:rsidP="0071671D">
            <w:pPr>
              <w:ind w:left="0" w:right="0"/>
              <w:rPr>
                <w:sz w:val="20"/>
                <w:szCs w:val="20"/>
                <w:vertAlign w:val="superscript"/>
              </w:rPr>
            </w:pPr>
            <w:r w:rsidRPr="0019537C">
              <w:rPr>
                <w:sz w:val="20"/>
                <w:szCs w:val="20"/>
              </w:rPr>
              <w:t>Pembr</w:t>
            </w:r>
            <w:r>
              <w:rPr>
                <w:sz w:val="20"/>
                <w:szCs w:val="20"/>
              </w:rPr>
              <w:t>o</w:t>
            </w:r>
            <w:r w:rsidRPr="001A6EB0">
              <w:rPr>
                <w:sz w:val="20"/>
                <w:szCs w:val="20"/>
                <w:vertAlign w:val="superscript"/>
              </w:rPr>
              <w:t>6</w:t>
            </w:r>
          </w:p>
          <w:p w14:paraId="018DAD66" w14:textId="77777777" w:rsidR="002B57C9" w:rsidRPr="0019537C" w:rsidRDefault="002B57C9" w:rsidP="0071671D">
            <w:pPr>
              <w:ind w:left="0" w:right="0"/>
              <w:rPr>
                <w:sz w:val="20"/>
                <w:szCs w:val="20"/>
              </w:rPr>
            </w:pPr>
            <w:r w:rsidRPr="0019537C">
              <w:rPr>
                <w:sz w:val="20"/>
                <w:szCs w:val="20"/>
              </w:rPr>
              <w:t>(n=299)</w:t>
            </w:r>
          </w:p>
        </w:tc>
        <w:tc>
          <w:tcPr>
            <w:tcW w:w="1170" w:type="dxa"/>
            <w:vAlign w:val="center"/>
          </w:tcPr>
          <w:p w14:paraId="29576BCA" w14:textId="77777777" w:rsidR="002B57C9" w:rsidRPr="0071671D" w:rsidRDefault="002B57C9" w:rsidP="0071671D">
            <w:pPr>
              <w:ind w:left="0" w:right="0"/>
              <w:rPr>
                <w:sz w:val="20"/>
              </w:rPr>
            </w:pPr>
            <w:r w:rsidRPr="0071671D">
              <w:rPr>
                <w:sz w:val="20"/>
              </w:rPr>
              <w:t>39.1</w:t>
            </w:r>
          </w:p>
          <w:p w14:paraId="3341CEB7" w14:textId="19CEF83B" w:rsidR="002B57C9" w:rsidRPr="0071671D" w:rsidRDefault="002B57C9" w:rsidP="0071671D">
            <w:pPr>
              <w:ind w:left="0" w:right="0"/>
              <w:rPr>
                <w:sz w:val="20"/>
              </w:rPr>
            </w:pPr>
            <w:r w:rsidRPr="0071671D">
              <w:rPr>
                <w:sz w:val="20"/>
              </w:rPr>
              <w:t>[33.6, 44.9]</w:t>
            </w:r>
          </w:p>
        </w:tc>
        <w:tc>
          <w:tcPr>
            <w:tcW w:w="1440" w:type="dxa"/>
            <w:vAlign w:val="center"/>
          </w:tcPr>
          <w:p w14:paraId="7B81EE71" w14:textId="77777777" w:rsidR="002B57C9" w:rsidRPr="0019537C" w:rsidRDefault="002B57C9" w:rsidP="0071671D">
            <w:pPr>
              <w:ind w:left="0" w:right="0"/>
              <w:rPr>
                <w:sz w:val="20"/>
                <w:szCs w:val="20"/>
              </w:rPr>
            </w:pPr>
            <w:r w:rsidRPr="0019537C">
              <w:rPr>
                <w:sz w:val="20"/>
                <w:szCs w:val="20"/>
              </w:rPr>
              <w:t>28.1</w:t>
            </w:r>
          </w:p>
          <w:p w14:paraId="7EA3FFD8" w14:textId="42A5687A" w:rsidR="002B57C9" w:rsidRPr="0019537C" w:rsidRDefault="002B57C9" w:rsidP="0071671D">
            <w:pPr>
              <w:ind w:left="0" w:right="0"/>
              <w:rPr>
                <w:sz w:val="20"/>
                <w:szCs w:val="20"/>
              </w:rPr>
            </w:pPr>
            <w:r w:rsidRPr="0019537C">
              <w:rPr>
                <w:sz w:val="20"/>
                <w:szCs w:val="20"/>
              </w:rPr>
              <w:t>2.1+ to 70.0+</w:t>
            </w:r>
          </w:p>
        </w:tc>
        <w:tc>
          <w:tcPr>
            <w:tcW w:w="1170" w:type="dxa"/>
            <w:vAlign w:val="center"/>
          </w:tcPr>
          <w:p w14:paraId="25D13D75" w14:textId="77777777" w:rsidR="002B57C9" w:rsidRPr="0019537C" w:rsidRDefault="002B57C9" w:rsidP="0071671D">
            <w:pPr>
              <w:ind w:left="0" w:right="0"/>
              <w:rPr>
                <w:sz w:val="20"/>
                <w:szCs w:val="20"/>
              </w:rPr>
            </w:pPr>
            <w:r w:rsidRPr="0019537C">
              <w:rPr>
                <w:sz w:val="20"/>
                <w:szCs w:val="20"/>
              </w:rPr>
              <w:t>20.0</w:t>
            </w:r>
          </w:p>
          <w:p w14:paraId="749B041A" w14:textId="672F8173" w:rsidR="002B57C9" w:rsidRPr="0019537C" w:rsidRDefault="002B57C9" w:rsidP="0071671D">
            <w:pPr>
              <w:ind w:left="0" w:right="0"/>
              <w:rPr>
                <w:sz w:val="20"/>
                <w:szCs w:val="20"/>
              </w:rPr>
            </w:pPr>
            <w:r w:rsidRPr="0019537C">
              <w:rPr>
                <w:sz w:val="20"/>
                <w:szCs w:val="20"/>
              </w:rPr>
              <w:t>[15.9, 24.2]</w:t>
            </w:r>
          </w:p>
        </w:tc>
        <w:tc>
          <w:tcPr>
            <w:tcW w:w="1230" w:type="dxa"/>
            <w:vAlign w:val="center"/>
          </w:tcPr>
          <w:p w14:paraId="56C1FD63" w14:textId="77777777" w:rsidR="002B57C9" w:rsidRPr="0019537C" w:rsidRDefault="002B57C9" w:rsidP="0071671D">
            <w:pPr>
              <w:ind w:left="0" w:right="0"/>
              <w:rPr>
                <w:sz w:val="20"/>
                <w:szCs w:val="20"/>
              </w:rPr>
            </w:pPr>
            <w:r w:rsidRPr="0019537C">
              <w:rPr>
                <w:sz w:val="20"/>
                <w:szCs w:val="20"/>
              </w:rPr>
              <w:t>22 (5-year)</w:t>
            </w:r>
          </w:p>
          <w:p w14:paraId="79F960FD" w14:textId="6B229009" w:rsidR="002B57C9" w:rsidRPr="0019537C" w:rsidRDefault="002B57C9" w:rsidP="0071671D">
            <w:pPr>
              <w:ind w:left="0" w:right="0"/>
              <w:rPr>
                <w:sz w:val="20"/>
                <w:szCs w:val="20"/>
              </w:rPr>
            </w:pPr>
            <w:r w:rsidRPr="0019537C">
              <w:rPr>
                <w:sz w:val="20"/>
                <w:szCs w:val="20"/>
              </w:rPr>
              <w:t>[17.3, 26.9]</w:t>
            </w:r>
          </w:p>
        </w:tc>
      </w:tr>
      <w:tr w:rsidR="002B57C9" w:rsidRPr="0019537C" w14:paraId="700547B3" w14:textId="77777777" w:rsidTr="0071671D">
        <w:trPr>
          <w:trHeight w:val="958"/>
        </w:trPr>
        <w:tc>
          <w:tcPr>
            <w:tcW w:w="1160" w:type="dxa"/>
            <w:vMerge/>
            <w:vAlign w:val="center"/>
          </w:tcPr>
          <w:p w14:paraId="6FC87D9C" w14:textId="77777777" w:rsidR="002B57C9" w:rsidRPr="0019537C" w:rsidRDefault="002B57C9" w:rsidP="0071671D">
            <w:pPr>
              <w:ind w:left="0" w:right="0"/>
              <w:rPr>
                <w:sz w:val="20"/>
                <w:szCs w:val="20"/>
              </w:rPr>
            </w:pPr>
          </w:p>
        </w:tc>
        <w:tc>
          <w:tcPr>
            <w:tcW w:w="1170" w:type="dxa"/>
            <w:vMerge/>
            <w:vAlign w:val="center"/>
          </w:tcPr>
          <w:p w14:paraId="7987B6FD" w14:textId="77777777" w:rsidR="002B57C9" w:rsidRPr="0019537C" w:rsidRDefault="002B57C9" w:rsidP="0071671D">
            <w:pPr>
              <w:ind w:left="0" w:right="0"/>
              <w:rPr>
                <w:sz w:val="20"/>
                <w:szCs w:val="20"/>
              </w:rPr>
            </w:pPr>
          </w:p>
        </w:tc>
        <w:tc>
          <w:tcPr>
            <w:tcW w:w="1710" w:type="dxa"/>
          </w:tcPr>
          <w:p w14:paraId="668408B6" w14:textId="1A5210C9" w:rsidR="002B57C9" w:rsidRPr="0019537C" w:rsidRDefault="002B57C9" w:rsidP="0071671D">
            <w:pPr>
              <w:ind w:left="0" w:right="0"/>
              <w:rPr>
                <w:sz w:val="20"/>
                <w:szCs w:val="20"/>
                <w:vertAlign w:val="superscript"/>
              </w:rPr>
            </w:pPr>
            <w:r w:rsidRPr="0019537C">
              <w:rPr>
                <w:sz w:val="20"/>
                <w:szCs w:val="20"/>
              </w:rPr>
              <w:t>Chem</w:t>
            </w:r>
            <w:r>
              <w:rPr>
                <w:sz w:val="20"/>
                <w:szCs w:val="20"/>
              </w:rPr>
              <w:t>o</w:t>
            </w:r>
            <w:r w:rsidRPr="001A6EB0">
              <w:rPr>
                <w:sz w:val="20"/>
                <w:szCs w:val="20"/>
                <w:vertAlign w:val="superscript"/>
              </w:rPr>
              <w:t>7</w:t>
            </w:r>
          </w:p>
          <w:p w14:paraId="724F113F" w14:textId="77777777" w:rsidR="002B57C9" w:rsidRPr="0019537C" w:rsidRDefault="002B57C9" w:rsidP="0071671D">
            <w:pPr>
              <w:ind w:left="0" w:right="0"/>
              <w:rPr>
                <w:sz w:val="20"/>
                <w:szCs w:val="20"/>
              </w:rPr>
            </w:pPr>
            <w:r w:rsidRPr="0019537C">
              <w:rPr>
                <w:sz w:val="20"/>
                <w:szCs w:val="20"/>
              </w:rPr>
              <w:t>(n=300)</w:t>
            </w:r>
          </w:p>
        </w:tc>
        <w:tc>
          <w:tcPr>
            <w:tcW w:w="1170" w:type="dxa"/>
            <w:vAlign w:val="center"/>
          </w:tcPr>
          <w:p w14:paraId="2BA7A2EF" w14:textId="77777777" w:rsidR="002B57C9" w:rsidRPr="0019537C" w:rsidRDefault="002B57C9" w:rsidP="0071671D">
            <w:pPr>
              <w:ind w:left="0" w:right="0"/>
              <w:rPr>
                <w:sz w:val="20"/>
                <w:szCs w:val="20"/>
              </w:rPr>
            </w:pPr>
            <w:r w:rsidRPr="0019537C">
              <w:rPr>
                <w:sz w:val="20"/>
                <w:szCs w:val="20"/>
              </w:rPr>
              <w:t>32.3</w:t>
            </w:r>
          </w:p>
          <w:p w14:paraId="5E5583A3" w14:textId="59227920" w:rsidR="002B57C9" w:rsidRPr="0019537C" w:rsidRDefault="002B57C9" w:rsidP="0071671D">
            <w:pPr>
              <w:ind w:left="0" w:right="0"/>
              <w:rPr>
                <w:sz w:val="20"/>
                <w:szCs w:val="20"/>
              </w:rPr>
            </w:pPr>
            <w:r w:rsidRPr="0019537C">
              <w:rPr>
                <w:sz w:val="20"/>
                <w:szCs w:val="20"/>
              </w:rPr>
              <w:t>[27.1, 37.9]</w:t>
            </w:r>
          </w:p>
        </w:tc>
        <w:tc>
          <w:tcPr>
            <w:tcW w:w="1440" w:type="dxa"/>
            <w:vAlign w:val="center"/>
          </w:tcPr>
          <w:p w14:paraId="29E76679" w14:textId="77777777" w:rsidR="002B57C9" w:rsidRPr="0019537C" w:rsidRDefault="002B57C9" w:rsidP="0071671D">
            <w:pPr>
              <w:ind w:left="0" w:right="0"/>
              <w:rPr>
                <w:sz w:val="20"/>
                <w:szCs w:val="20"/>
              </w:rPr>
            </w:pPr>
            <w:r w:rsidRPr="0019537C">
              <w:rPr>
                <w:sz w:val="20"/>
                <w:szCs w:val="20"/>
              </w:rPr>
              <w:t>10.8</w:t>
            </w:r>
          </w:p>
          <w:p w14:paraId="11A7F7D5" w14:textId="2D530A79" w:rsidR="002B57C9" w:rsidRPr="0019537C" w:rsidRDefault="002B57C9" w:rsidP="0071671D">
            <w:pPr>
              <w:ind w:left="0" w:right="0"/>
              <w:rPr>
                <w:sz w:val="20"/>
                <w:szCs w:val="20"/>
              </w:rPr>
            </w:pPr>
            <w:r w:rsidRPr="0019537C">
              <w:rPr>
                <w:sz w:val="20"/>
                <w:szCs w:val="20"/>
              </w:rPr>
              <w:t>1.8+ to 63.5+</w:t>
            </w:r>
          </w:p>
        </w:tc>
        <w:tc>
          <w:tcPr>
            <w:tcW w:w="1170" w:type="dxa"/>
            <w:vAlign w:val="center"/>
          </w:tcPr>
          <w:p w14:paraId="76B821E6" w14:textId="77777777" w:rsidR="002B57C9" w:rsidRPr="0019537C" w:rsidRDefault="002B57C9" w:rsidP="0071671D">
            <w:pPr>
              <w:ind w:left="0" w:right="0"/>
              <w:rPr>
                <w:sz w:val="20"/>
                <w:szCs w:val="20"/>
              </w:rPr>
            </w:pPr>
            <w:r w:rsidRPr="0019537C">
              <w:rPr>
                <w:sz w:val="20"/>
                <w:szCs w:val="20"/>
              </w:rPr>
              <w:t>12.2</w:t>
            </w:r>
          </w:p>
          <w:p w14:paraId="73DB6444" w14:textId="10F96D91" w:rsidR="002B57C9" w:rsidRPr="0019537C" w:rsidRDefault="002B57C9" w:rsidP="0071671D">
            <w:pPr>
              <w:ind w:left="0" w:right="0"/>
              <w:rPr>
                <w:sz w:val="20"/>
                <w:szCs w:val="20"/>
              </w:rPr>
            </w:pPr>
            <w:r w:rsidRPr="0019537C">
              <w:rPr>
                <w:sz w:val="20"/>
                <w:szCs w:val="20"/>
              </w:rPr>
              <w:t>[10.4, 14.6]</w:t>
            </w:r>
          </w:p>
        </w:tc>
        <w:tc>
          <w:tcPr>
            <w:tcW w:w="1230" w:type="dxa"/>
            <w:vAlign w:val="center"/>
          </w:tcPr>
          <w:p w14:paraId="531C62C3" w14:textId="77777777" w:rsidR="002B57C9" w:rsidRPr="0019537C" w:rsidRDefault="002B57C9" w:rsidP="0071671D">
            <w:pPr>
              <w:ind w:left="0" w:right="0"/>
              <w:rPr>
                <w:sz w:val="20"/>
                <w:szCs w:val="20"/>
              </w:rPr>
            </w:pPr>
            <w:r w:rsidRPr="0019537C">
              <w:rPr>
                <w:sz w:val="20"/>
                <w:szCs w:val="20"/>
              </w:rPr>
              <w:t>10 (5-year)</w:t>
            </w:r>
          </w:p>
          <w:p w14:paraId="42A28641" w14:textId="0305BF91" w:rsidR="002B57C9" w:rsidRPr="0019537C" w:rsidRDefault="002B57C9" w:rsidP="0071671D">
            <w:pPr>
              <w:ind w:left="0" w:right="0"/>
              <w:rPr>
                <w:sz w:val="20"/>
                <w:szCs w:val="20"/>
              </w:rPr>
            </w:pPr>
            <w:r w:rsidRPr="0019537C">
              <w:rPr>
                <w:sz w:val="20"/>
                <w:szCs w:val="20"/>
              </w:rPr>
              <w:t>[6.6, 13.7]</w:t>
            </w:r>
          </w:p>
        </w:tc>
      </w:tr>
      <w:tr w:rsidR="002B57C9" w:rsidRPr="0019537C" w14:paraId="2ABC469C" w14:textId="77777777" w:rsidTr="0071671D">
        <w:trPr>
          <w:trHeight w:val="723"/>
        </w:trPr>
        <w:tc>
          <w:tcPr>
            <w:tcW w:w="1160" w:type="dxa"/>
            <w:vMerge w:val="restart"/>
            <w:vAlign w:val="center"/>
          </w:tcPr>
          <w:p w14:paraId="1CAC1495" w14:textId="5AC5B0CD" w:rsidR="002B57C9" w:rsidRPr="0019537C" w:rsidRDefault="002B57C9" w:rsidP="0071671D">
            <w:pPr>
              <w:ind w:left="0" w:right="0"/>
              <w:rPr>
                <w:sz w:val="20"/>
                <w:szCs w:val="20"/>
              </w:rPr>
            </w:pPr>
            <w:r w:rsidRPr="0019537C">
              <w:rPr>
                <w:sz w:val="20"/>
                <w:szCs w:val="20"/>
              </w:rPr>
              <w:t>nsNSCLC</w:t>
            </w:r>
            <w:r w:rsidRPr="001A6EB0">
              <w:rPr>
                <w:sz w:val="20"/>
                <w:szCs w:val="20"/>
                <w:vertAlign w:val="superscript"/>
              </w:rPr>
              <w:t>2</w:t>
            </w:r>
          </w:p>
        </w:tc>
        <w:tc>
          <w:tcPr>
            <w:tcW w:w="1170" w:type="dxa"/>
            <w:vMerge w:val="restart"/>
            <w:vAlign w:val="center"/>
          </w:tcPr>
          <w:p w14:paraId="109E519A" w14:textId="77777777" w:rsidR="002B57C9" w:rsidRPr="0019537C" w:rsidRDefault="002B57C9" w:rsidP="0071671D">
            <w:pPr>
              <w:ind w:left="0" w:right="0"/>
              <w:rPr>
                <w:sz w:val="20"/>
                <w:szCs w:val="20"/>
              </w:rPr>
            </w:pPr>
            <w:r w:rsidRPr="0019537C">
              <w:rPr>
                <w:sz w:val="20"/>
                <w:szCs w:val="20"/>
              </w:rPr>
              <w:t>PD-L1 agnostic</w:t>
            </w:r>
          </w:p>
        </w:tc>
        <w:tc>
          <w:tcPr>
            <w:tcW w:w="1710" w:type="dxa"/>
          </w:tcPr>
          <w:p w14:paraId="24AD40A3" w14:textId="6B9B6AD6" w:rsidR="002B57C9" w:rsidRPr="0019537C" w:rsidRDefault="002B57C9" w:rsidP="0071671D">
            <w:pPr>
              <w:ind w:left="0" w:right="0"/>
              <w:rPr>
                <w:sz w:val="20"/>
                <w:szCs w:val="20"/>
              </w:rPr>
            </w:pPr>
            <w:r w:rsidRPr="0019537C">
              <w:rPr>
                <w:sz w:val="20"/>
                <w:szCs w:val="20"/>
              </w:rPr>
              <w:t>Pembro+chem</w:t>
            </w:r>
            <w:r>
              <w:rPr>
                <w:sz w:val="20"/>
                <w:szCs w:val="20"/>
              </w:rPr>
              <w:t>o</w:t>
            </w:r>
            <w:r w:rsidRPr="001A6EB0">
              <w:rPr>
                <w:sz w:val="20"/>
                <w:szCs w:val="20"/>
                <w:vertAlign w:val="superscript"/>
              </w:rPr>
              <w:t>8</w:t>
            </w:r>
            <w:r w:rsidRPr="0019537C">
              <w:rPr>
                <w:sz w:val="20"/>
                <w:szCs w:val="20"/>
              </w:rPr>
              <w:t xml:space="preserve"> (n=60)</w:t>
            </w:r>
          </w:p>
        </w:tc>
        <w:tc>
          <w:tcPr>
            <w:tcW w:w="1170" w:type="dxa"/>
            <w:vAlign w:val="center"/>
          </w:tcPr>
          <w:p w14:paraId="668C489F" w14:textId="77777777" w:rsidR="002B57C9" w:rsidRPr="0019537C" w:rsidRDefault="002B57C9" w:rsidP="0071671D">
            <w:pPr>
              <w:ind w:left="0" w:right="0"/>
              <w:rPr>
                <w:sz w:val="20"/>
                <w:szCs w:val="20"/>
              </w:rPr>
            </w:pPr>
            <w:r w:rsidRPr="0019537C">
              <w:rPr>
                <w:sz w:val="20"/>
                <w:szCs w:val="20"/>
              </w:rPr>
              <w:t>58</w:t>
            </w:r>
          </w:p>
          <w:p w14:paraId="25956FD4" w14:textId="2ECADB4C" w:rsidR="002B57C9" w:rsidRPr="0019537C" w:rsidRDefault="002B57C9" w:rsidP="0071671D">
            <w:pPr>
              <w:ind w:left="0" w:right="0"/>
              <w:rPr>
                <w:sz w:val="20"/>
                <w:szCs w:val="20"/>
              </w:rPr>
            </w:pPr>
            <w:r w:rsidRPr="0019537C">
              <w:rPr>
                <w:sz w:val="20"/>
                <w:szCs w:val="20"/>
              </w:rPr>
              <w:t>[45, 71]</w:t>
            </w:r>
          </w:p>
        </w:tc>
        <w:tc>
          <w:tcPr>
            <w:tcW w:w="1440" w:type="dxa"/>
            <w:vAlign w:val="center"/>
          </w:tcPr>
          <w:p w14:paraId="274552DB" w14:textId="77777777" w:rsidR="002B57C9" w:rsidRPr="0019537C" w:rsidRDefault="002B57C9" w:rsidP="0071671D">
            <w:pPr>
              <w:ind w:left="0" w:right="0"/>
              <w:rPr>
                <w:sz w:val="20"/>
                <w:szCs w:val="20"/>
              </w:rPr>
            </w:pPr>
            <w:r w:rsidRPr="0019537C">
              <w:rPr>
                <w:sz w:val="20"/>
                <w:szCs w:val="20"/>
              </w:rPr>
              <w:t>36.3</w:t>
            </w:r>
          </w:p>
          <w:p w14:paraId="70EFDDD9" w14:textId="2988704E" w:rsidR="002B57C9" w:rsidRPr="0019537C" w:rsidRDefault="002B57C9" w:rsidP="0071671D">
            <w:pPr>
              <w:ind w:left="0" w:right="0"/>
              <w:rPr>
                <w:sz w:val="20"/>
                <w:szCs w:val="20"/>
              </w:rPr>
            </w:pPr>
            <w:r w:rsidRPr="0019537C">
              <w:rPr>
                <w:sz w:val="20"/>
                <w:szCs w:val="20"/>
              </w:rPr>
              <w:t>1.4+ to 49.3+</w:t>
            </w:r>
          </w:p>
        </w:tc>
        <w:tc>
          <w:tcPr>
            <w:tcW w:w="1170" w:type="dxa"/>
            <w:vAlign w:val="center"/>
          </w:tcPr>
          <w:p w14:paraId="340709CD" w14:textId="77777777" w:rsidR="002B57C9" w:rsidRPr="0019537C" w:rsidRDefault="002B57C9" w:rsidP="0071671D">
            <w:pPr>
              <w:ind w:left="0" w:right="0"/>
              <w:rPr>
                <w:sz w:val="20"/>
                <w:szCs w:val="20"/>
              </w:rPr>
            </w:pPr>
            <w:r w:rsidRPr="0019537C">
              <w:rPr>
                <w:sz w:val="20"/>
                <w:szCs w:val="20"/>
              </w:rPr>
              <w:t>34.5</w:t>
            </w:r>
          </w:p>
          <w:p w14:paraId="3D1EB2C3" w14:textId="0D0FC1BC" w:rsidR="002B57C9" w:rsidRPr="0019537C" w:rsidRDefault="002B57C9" w:rsidP="0071671D">
            <w:pPr>
              <w:ind w:left="0" w:right="0"/>
              <w:rPr>
                <w:sz w:val="20"/>
                <w:szCs w:val="20"/>
              </w:rPr>
            </w:pPr>
            <w:r w:rsidRPr="0019537C">
              <w:rPr>
                <w:sz w:val="20"/>
                <w:szCs w:val="20"/>
              </w:rPr>
              <w:t>[24.0, NR]</w:t>
            </w:r>
          </w:p>
        </w:tc>
        <w:tc>
          <w:tcPr>
            <w:tcW w:w="1230" w:type="dxa"/>
            <w:vAlign w:val="center"/>
          </w:tcPr>
          <w:p w14:paraId="2846783E" w14:textId="77777777" w:rsidR="002B57C9" w:rsidRPr="0019537C" w:rsidRDefault="002B57C9" w:rsidP="0071671D">
            <w:pPr>
              <w:ind w:left="0" w:right="0"/>
              <w:rPr>
                <w:sz w:val="20"/>
                <w:szCs w:val="20"/>
              </w:rPr>
            </w:pPr>
            <w:r w:rsidRPr="0019537C">
              <w:rPr>
                <w:sz w:val="20"/>
                <w:szCs w:val="20"/>
              </w:rPr>
              <w:t>50 (3-year)</w:t>
            </w:r>
          </w:p>
          <w:p w14:paraId="5DBCB017" w14:textId="327FA510" w:rsidR="002B57C9" w:rsidRPr="0019537C" w:rsidRDefault="002B57C9" w:rsidP="0071671D">
            <w:pPr>
              <w:ind w:left="0" w:right="0"/>
              <w:rPr>
                <w:sz w:val="20"/>
                <w:szCs w:val="20"/>
              </w:rPr>
            </w:pPr>
            <w:r w:rsidRPr="0019537C">
              <w:rPr>
                <w:sz w:val="20"/>
                <w:szCs w:val="20"/>
              </w:rPr>
              <w:t>NS</w:t>
            </w:r>
          </w:p>
        </w:tc>
      </w:tr>
      <w:tr w:rsidR="002B57C9" w:rsidRPr="0019537C" w14:paraId="3B27821E" w14:textId="77777777" w:rsidTr="0071671D">
        <w:trPr>
          <w:trHeight w:val="723"/>
        </w:trPr>
        <w:tc>
          <w:tcPr>
            <w:tcW w:w="1160" w:type="dxa"/>
            <w:vMerge/>
            <w:vAlign w:val="center"/>
          </w:tcPr>
          <w:p w14:paraId="33051DE9" w14:textId="77777777" w:rsidR="002B57C9" w:rsidRPr="0019537C" w:rsidRDefault="002B57C9" w:rsidP="0071671D">
            <w:pPr>
              <w:ind w:left="0" w:right="0"/>
              <w:rPr>
                <w:sz w:val="20"/>
                <w:szCs w:val="20"/>
              </w:rPr>
            </w:pPr>
          </w:p>
        </w:tc>
        <w:tc>
          <w:tcPr>
            <w:tcW w:w="1170" w:type="dxa"/>
            <w:vMerge/>
            <w:vAlign w:val="center"/>
          </w:tcPr>
          <w:p w14:paraId="66594B02" w14:textId="77777777" w:rsidR="002B57C9" w:rsidRPr="0019537C" w:rsidRDefault="002B57C9" w:rsidP="0071671D">
            <w:pPr>
              <w:ind w:left="0" w:right="0"/>
              <w:rPr>
                <w:sz w:val="20"/>
                <w:szCs w:val="20"/>
              </w:rPr>
            </w:pPr>
          </w:p>
        </w:tc>
        <w:tc>
          <w:tcPr>
            <w:tcW w:w="1710" w:type="dxa"/>
          </w:tcPr>
          <w:p w14:paraId="0A9F83FD" w14:textId="7DED088B" w:rsidR="002B57C9" w:rsidRPr="0019537C" w:rsidRDefault="002B57C9" w:rsidP="0071671D">
            <w:pPr>
              <w:ind w:left="0" w:right="0"/>
              <w:rPr>
                <w:sz w:val="20"/>
                <w:szCs w:val="20"/>
                <w:vertAlign w:val="superscript"/>
              </w:rPr>
            </w:pPr>
            <w:r w:rsidRPr="0019537C">
              <w:rPr>
                <w:sz w:val="20"/>
                <w:szCs w:val="20"/>
              </w:rPr>
              <w:t>Chem</w:t>
            </w:r>
            <w:r>
              <w:rPr>
                <w:sz w:val="20"/>
                <w:szCs w:val="20"/>
              </w:rPr>
              <w:t>o</w:t>
            </w:r>
            <w:r w:rsidRPr="001A6EB0">
              <w:rPr>
                <w:sz w:val="20"/>
                <w:szCs w:val="20"/>
                <w:vertAlign w:val="superscript"/>
              </w:rPr>
              <w:t>9</w:t>
            </w:r>
          </w:p>
          <w:p w14:paraId="249748D8" w14:textId="77777777" w:rsidR="002B57C9" w:rsidRPr="0019537C" w:rsidRDefault="002B57C9" w:rsidP="0071671D">
            <w:pPr>
              <w:ind w:left="0" w:right="0"/>
              <w:rPr>
                <w:sz w:val="20"/>
                <w:szCs w:val="20"/>
              </w:rPr>
            </w:pPr>
            <w:r w:rsidRPr="0019537C">
              <w:rPr>
                <w:sz w:val="20"/>
                <w:szCs w:val="20"/>
              </w:rPr>
              <w:t>(n=63)</w:t>
            </w:r>
          </w:p>
        </w:tc>
        <w:tc>
          <w:tcPr>
            <w:tcW w:w="1170" w:type="dxa"/>
            <w:vAlign w:val="center"/>
          </w:tcPr>
          <w:p w14:paraId="1DC887CA" w14:textId="77777777" w:rsidR="002B57C9" w:rsidRPr="0019537C" w:rsidRDefault="002B57C9" w:rsidP="0071671D">
            <w:pPr>
              <w:ind w:left="0" w:right="0"/>
              <w:rPr>
                <w:sz w:val="20"/>
                <w:szCs w:val="20"/>
              </w:rPr>
            </w:pPr>
            <w:r w:rsidRPr="0019537C">
              <w:rPr>
                <w:sz w:val="20"/>
                <w:szCs w:val="20"/>
              </w:rPr>
              <w:t>33</w:t>
            </w:r>
          </w:p>
          <w:p w14:paraId="5AD24854" w14:textId="310E1E3C" w:rsidR="002B57C9" w:rsidRPr="0019537C" w:rsidRDefault="002B57C9" w:rsidP="0071671D">
            <w:pPr>
              <w:ind w:left="0" w:right="0"/>
              <w:rPr>
                <w:sz w:val="20"/>
                <w:szCs w:val="20"/>
              </w:rPr>
            </w:pPr>
            <w:r w:rsidRPr="0019537C">
              <w:rPr>
                <w:sz w:val="20"/>
                <w:szCs w:val="20"/>
              </w:rPr>
              <w:t>[22, 46]</w:t>
            </w:r>
          </w:p>
        </w:tc>
        <w:tc>
          <w:tcPr>
            <w:tcW w:w="1440" w:type="dxa"/>
            <w:vAlign w:val="center"/>
          </w:tcPr>
          <w:p w14:paraId="7D372388" w14:textId="77777777" w:rsidR="002B57C9" w:rsidRPr="0019537C" w:rsidRDefault="002B57C9" w:rsidP="0071671D">
            <w:pPr>
              <w:ind w:left="0" w:right="0"/>
              <w:rPr>
                <w:sz w:val="20"/>
                <w:szCs w:val="20"/>
              </w:rPr>
            </w:pPr>
            <w:r w:rsidRPr="0019537C">
              <w:rPr>
                <w:sz w:val="20"/>
                <w:szCs w:val="20"/>
              </w:rPr>
              <w:t>22.8</w:t>
            </w:r>
          </w:p>
          <w:p w14:paraId="502DB1C1" w14:textId="475B062D" w:rsidR="002B57C9" w:rsidRPr="0019537C" w:rsidRDefault="002B57C9" w:rsidP="0071671D">
            <w:pPr>
              <w:ind w:left="0" w:right="0"/>
              <w:rPr>
                <w:sz w:val="20"/>
                <w:szCs w:val="20"/>
              </w:rPr>
            </w:pPr>
            <w:r w:rsidRPr="0019537C">
              <w:rPr>
                <w:sz w:val="20"/>
                <w:szCs w:val="20"/>
              </w:rPr>
              <w:t>2.8+ to 47.2+</w:t>
            </w:r>
          </w:p>
        </w:tc>
        <w:tc>
          <w:tcPr>
            <w:tcW w:w="1170" w:type="dxa"/>
            <w:vAlign w:val="center"/>
          </w:tcPr>
          <w:p w14:paraId="7F1FB930" w14:textId="77777777" w:rsidR="002B57C9" w:rsidRPr="0019537C" w:rsidRDefault="002B57C9" w:rsidP="0071671D">
            <w:pPr>
              <w:ind w:left="0" w:right="0"/>
              <w:rPr>
                <w:sz w:val="20"/>
                <w:szCs w:val="20"/>
              </w:rPr>
            </w:pPr>
            <w:r w:rsidRPr="0019537C">
              <w:rPr>
                <w:sz w:val="20"/>
                <w:szCs w:val="20"/>
              </w:rPr>
              <w:t>21.1</w:t>
            </w:r>
          </w:p>
          <w:p w14:paraId="040920E5" w14:textId="7F1061D7" w:rsidR="002B57C9" w:rsidRPr="0019537C" w:rsidRDefault="002B57C9" w:rsidP="0071671D">
            <w:pPr>
              <w:ind w:left="0" w:right="0"/>
              <w:rPr>
                <w:sz w:val="20"/>
                <w:szCs w:val="20"/>
              </w:rPr>
            </w:pPr>
            <w:r w:rsidRPr="0019537C">
              <w:rPr>
                <w:sz w:val="20"/>
                <w:szCs w:val="20"/>
              </w:rPr>
              <w:t>[14.9, 35.6]</w:t>
            </w:r>
          </w:p>
        </w:tc>
        <w:tc>
          <w:tcPr>
            <w:tcW w:w="1230" w:type="dxa"/>
            <w:vAlign w:val="center"/>
          </w:tcPr>
          <w:p w14:paraId="75265A51" w14:textId="77777777" w:rsidR="002B57C9" w:rsidRPr="0019537C" w:rsidRDefault="002B57C9" w:rsidP="0071671D">
            <w:pPr>
              <w:ind w:left="0" w:right="0"/>
              <w:rPr>
                <w:sz w:val="20"/>
                <w:szCs w:val="20"/>
              </w:rPr>
            </w:pPr>
            <w:r w:rsidRPr="0019537C">
              <w:rPr>
                <w:sz w:val="20"/>
                <w:szCs w:val="20"/>
              </w:rPr>
              <w:t>37 (3-year)</w:t>
            </w:r>
          </w:p>
          <w:p w14:paraId="6D3F9441" w14:textId="5B63CCEF" w:rsidR="002B57C9" w:rsidRPr="0019537C" w:rsidRDefault="002B57C9" w:rsidP="0071671D">
            <w:pPr>
              <w:ind w:left="0" w:right="0"/>
              <w:rPr>
                <w:sz w:val="20"/>
                <w:szCs w:val="20"/>
              </w:rPr>
            </w:pPr>
            <w:r w:rsidRPr="0019537C">
              <w:rPr>
                <w:sz w:val="20"/>
                <w:szCs w:val="20"/>
              </w:rPr>
              <w:t>NS</w:t>
            </w:r>
          </w:p>
        </w:tc>
      </w:tr>
      <w:tr w:rsidR="002B57C9" w:rsidRPr="0019537C" w14:paraId="458081C6" w14:textId="77777777" w:rsidTr="0071671D">
        <w:trPr>
          <w:trHeight w:val="723"/>
        </w:trPr>
        <w:tc>
          <w:tcPr>
            <w:tcW w:w="1160" w:type="dxa"/>
            <w:vMerge w:val="restart"/>
            <w:vAlign w:val="center"/>
          </w:tcPr>
          <w:p w14:paraId="1D2D67E3" w14:textId="20E85106" w:rsidR="002B57C9" w:rsidRPr="0019537C" w:rsidRDefault="002B57C9" w:rsidP="0071671D">
            <w:pPr>
              <w:ind w:left="0" w:right="0"/>
              <w:rPr>
                <w:sz w:val="20"/>
                <w:szCs w:val="20"/>
              </w:rPr>
            </w:pPr>
            <w:bookmarkStart w:id="37" w:name="_Hlk97215921"/>
            <w:bookmarkStart w:id="38" w:name="_Hlk97215407"/>
            <w:r w:rsidRPr="0019537C">
              <w:rPr>
                <w:sz w:val="20"/>
                <w:szCs w:val="20"/>
              </w:rPr>
              <w:t>nsNSCL</w:t>
            </w:r>
            <w:r>
              <w:rPr>
                <w:sz w:val="20"/>
                <w:szCs w:val="20"/>
              </w:rPr>
              <w:t>C</w:t>
            </w:r>
            <w:r w:rsidRPr="001A6EB0">
              <w:rPr>
                <w:sz w:val="20"/>
                <w:szCs w:val="20"/>
                <w:vertAlign w:val="superscript"/>
              </w:rPr>
              <w:t>3</w:t>
            </w:r>
          </w:p>
        </w:tc>
        <w:tc>
          <w:tcPr>
            <w:tcW w:w="1170" w:type="dxa"/>
            <w:vMerge w:val="restart"/>
            <w:vAlign w:val="center"/>
          </w:tcPr>
          <w:p w14:paraId="71F736A5" w14:textId="77777777" w:rsidR="002B57C9" w:rsidRPr="0019537C" w:rsidRDefault="002B57C9" w:rsidP="0071671D">
            <w:pPr>
              <w:ind w:left="0" w:right="0"/>
              <w:rPr>
                <w:sz w:val="20"/>
                <w:szCs w:val="20"/>
              </w:rPr>
            </w:pPr>
            <w:r w:rsidRPr="0019537C">
              <w:rPr>
                <w:sz w:val="20"/>
                <w:szCs w:val="20"/>
              </w:rPr>
              <w:t>PD-L1 agnostic</w:t>
            </w:r>
          </w:p>
        </w:tc>
        <w:tc>
          <w:tcPr>
            <w:tcW w:w="1710" w:type="dxa"/>
          </w:tcPr>
          <w:p w14:paraId="33F84736" w14:textId="4B50A2CA" w:rsidR="002B57C9" w:rsidRPr="0019537C" w:rsidRDefault="002B57C9" w:rsidP="0071671D">
            <w:pPr>
              <w:ind w:left="0" w:right="0"/>
              <w:rPr>
                <w:sz w:val="20"/>
                <w:szCs w:val="20"/>
              </w:rPr>
            </w:pPr>
            <w:r w:rsidRPr="0019537C">
              <w:rPr>
                <w:sz w:val="20"/>
                <w:szCs w:val="20"/>
              </w:rPr>
              <w:t>Pembro+chem</w:t>
            </w:r>
            <w:r>
              <w:rPr>
                <w:sz w:val="20"/>
                <w:szCs w:val="20"/>
              </w:rPr>
              <w:t>o</w:t>
            </w:r>
            <w:r w:rsidRPr="001A6EB0">
              <w:rPr>
                <w:sz w:val="20"/>
                <w:szCs w:val="20"/>
                <w:vertAlign w:val="superscript"/>
              </w:rPr>
              <w:t>10</w:t>
            </w:r>
            <w:r w:rsidRPr="0019537C">
              <w:rPr>
                <w:sz w:val="20"/>
                <w:szCs w:val="20"/>
              </w:rPr>
              <w:t xml:space="preserve"> (n=410)</w:t>
            </w:r>
          </w:p>
        </w:tc>
        <w:tc>
          <w:tcPr>
            <w:tcW w:w="1170" w:type="dxa"/>
            <w:vAlign w:val="center"/>
          </w:tcPr>
          <w:p w14:paraId="2904830F" w14:textId="77777777" w:rsidR="002B57C9" w:rsidRPr="0019537C" w:rsidRDefault="002B57C9" w:rsidP="0071671D">
            <w:pPr>
              <w:ind w:left="0" w:right="0"/>
              <w:rPr>
                <w:sz w:val="20"/>
                <w:szCs w:val="20"/>
              </w:rPr>
            </w:pPr>
            <w:r w:rsidRPr="0019537C">
              <w:rPr>
                <w:sz w:val="20"/>
                <w:szCs w:val="20"/>
              </w:rPr>
              <w:t>48.3</w:t>
            </w:r>
          </w:p>
          <w:p w14:paraId="56D0B26A" w14:textId="2D2491F2" w:rsidR="002B57C9" w:rsidRPr="0019537C" w:rsidRDefault="002B57C9" w:rsidP="0071671D">
            <w:pPr>
              <w:ind w:left="0" w:right="0"/>
              <w:rPr>
                <w:sz w:val="20"/>
                <w:szCs w:val="20"/>
              </w:rPr>
            </w:pPr>
            <w:r w:rsidRPr="0019537C">
              <w:rPr>
                <w:sz w:val="20"/>
                <w:szCs w:val="20"/>
              </w:rPr>
              <w:t>[43.4, 53.2]</w:t>
            </w:r>
          </w:p>
        </w:tc>
        <w:tc>
          <w:tcPr>
            <w:tcW w:w="1440" w:type="dxa"/>
            <w:vAlign w:val="center"/>
          </w:tcPr>
          <w:p w14:paraId="02372741" w14:textId="77777777" w:rsidR="002B57C9" w:rsidRPr="0019537C" w:rsidRDefault="002B57C9" w:rsidP="0071671D">
            <w:pPr>
              <w:ind w:left="0" w:right="0"/>
              <w:rPr>
                <w:sz w:val="20"/>
                <w:szCs w:val="20"/>
              </w:rPr>
            </w:pPr>
            <w:r w:rsidRPr="0019537C">
              <w:rPr>
                <w:sz w:val="20"/>
                <w:szCs w:val="20"/>
              </w:rPr>
              <w:t>12.5</w:t>
            </w:r>
          </w:p>
          <w:p w14:paraId="1F597782" w14:textId="18E98B02" w:rsidR="002B57C9" w:rsidRPr="0019537C" w:rsidRDefault="002B57C9" w:rsidP="0071671D">
            <w:pPr>
              <w:ind w:left="0" w:right="0"/>
              <w:rPr>
                <w:sz w:val="20"/>
                <w:szCs w:val="20"/>
              </w:rPr>
            </w:pPr>
            <w:r w:rsidRPr="0019537C">
              <w:rPr>
                <w:sz w:val="20"/>
                <w:szCs w:val="20"/>
              </w:rPr>
              <w:t>1.1+ to 34.9+</w:t>
            </w:r>
          </w:p>
        </w:tc>
        <w:tc>
          <w:tcPr>
            <w:tcW w:w="1170" w:type="dxa"/>
            <w:vAlign w:val="center"/>
          </w:tcPr>
          <w:p w14:paraId="2C4094B3" w14:textId="77777777" w:rsidR="002B57C9" w:rsidRPr="0019537C" w:rsidRDefault="002B57C9" w:rsidP="0071671D">
            <w:pPr>
              <w:ind w:left="0" w:right="0"/>
              <w:rPr>
                <w:sz w:val="20"/>
                <w:szCs w:val="20"/>
              </w:rPr>
            </w:pPr>
            <w:r w:rsidRPr="0019537C">
              <w:rPr>
                <w:sz w:val="20"/>
                <w:szCs w:val="20"/>
              </w:rPr>
              <w:t>22.0</w:t>
            </w:r>
          </w:p>
          <w:p w14:paraId="464A7863" w14:textId="44957357" w:rsidR="002B57C9" w:rsidRPr="0019537C" w:rsidRDefault="002B57C9" w:rsidP="0071671D">
            <w:pPr>
              <w:ind w:left="0" w:right="0"/>
              <w:rPr>
                <w:sz w:val="20"/>
                <w:szCs w:val="20"/>
              </w:rPr>
            </w:pPr>
            <w:r w:rsidRPr="0019537C">
              <w:rPr>
                <w:sz w:val="20"/>
                <w:szCs w:val="20"/>
              </w:rPr>
              <w:t>[19.5, 24.5]</w:t>
            </w:r>
          </w:p>
        </w:tc>
        <w:tc>
          <w:tcPr>
            <w:tcW w:w="1230" w:type="dxa"/>
            <w:vAlign w:val="center"/>
          </w:tcPr>
          <w:p w14:paraId="58B01942" w14:textId="77777777" w:rsidR="002B57C9" w:rsidRPr="0019537C" w:rsidRDefault="002B57C9" w:rsidP="0071671D">
            <w:pPr>
              <w:ind w:left="0" w:right="0"/>
              <w:rPr>
                <w:sz w:val="20"/>
                <w:szCs w:val="20"/>
              </w:rPr>
            </w:pPr>
            <w:r w:rsidRPr="0019537C">
              <w:rPr>
                <w:sz w:val="20"/>
                <w:szCs w:val="20"/>
              </w:rPr>
              <w:t>46 (2 year)</w:t>
            </w:r>
          </w:p>
          <w:p w14:paraId="31F956B7" w14:textId="76C5ECF6" w:rsidR="002B57C9" w:rsidRPr="0019537C" w:rsidRDefault="002B57C9" w:rsidP="0071671D">
            <w:pPr>
              <w:ind w:left="0" w:right="0"/>
              <w:rPr>
                <w:sz w:val="20"/>
                <w:szCs w:val="20"/>
              </w:rPr>
            </w:pPr>
            <w:r w:rsidRPr="0019537C">
              <w:rPr>
                <w:sz w:val="20"/>
                <w:szCs w:val="20"/>
              </w:rPr>
              <w:t>NS</w:t>
            </w:r>
          </w:p>
        </w:tc>
      </w:tr>
      <w:bookmarkEnd w:id="37"/>
      <w:tr w:rsidR="002B57C9" w:rsidRPr="0019537C" w14:paraId="02248FB4" w14:textId="77777777" w:rsidTr="0071671D">
        <w:trPr>
          <w:trHeight w:val="723"/>
        </w:trPr>
        <w:tc>
          <w:tcPr>
            <w:tcW w:w="1160" w:type="dxa"/>
            <w:vMerge/>
            <w:vAlign w:val="center"/>
          </w:tcPr>
          <w:p w14:paraId="1BBF7B9D" w14:textId="77777777" w:rsidR="002B57C9" w:rsidRPr="0019537C" w:rsidRDefault="002B57C9" w:rsidP="0071671D">
            <w:pPr>
              <w:ind w:left="0" w:right="0"/>
              <w:rPr>
                <w:sz w:val="20"/>
                <w:szCs w:val="20"/>
              </w:rPr>
            </w:pPr>
          </w:p>
        </w:tc>
        <w:tc>
          <w:tcPr>
            <w:tcW w:w="1170" w:type="dxa"/>
            <w:vMerge/>
            <w:vAlign w:val="center"/>
          </w:tcPr>
          <w:p w14:paraId="1BF60157" w14:textId="77777777" w:rsidR="002B57C9" w:rsidRPr="0019537C" w:rsidRDefault="002B57C9" w:rsidP="0071671D">
            <w:pPr>
              <w:ind w:left="0" w:right="0"/>
              <w:rPr>
                <w:sz w:val="20"/>
                <w:szCs w:val="20"/>
              </w:rPr>
            </w:pPr>
          </w:p>
        </w:tc>
        <w:tc>
          <w:tcPr>
            <w:tcW w:w="1710" w:type="dxa"/>
          </w:tcPr>
          <w:p w14:paraId="479E2F23" w14:textId="3C8A567F" w:rsidR="002B57C9" w:rsidRPr="0019537C" w:rsidRDefault="002B57C9" w:rsidP="0071671D">
            <w:pPr>
              <w:ind w:left="0" w:right="0"/>
              <w:rPr>
                <w:sz w:val="20"/>
                <w:szCs w:val="20"/>
                <w:vertAlign w:val="superscript"/>
              </w:rPr>
            </w:pPr>
            <w:r w:rsidRPr="0019537C">
              <w:rPr>
                <w:sz w:val="20"/>
                <w:szCs w:val="20"/>
              </w:rPr>
              <w:t>Che</w:t>
            </w:r>
            <w:r>
              <w:rPr>
                <w:sz w:val="20"/>
                <w:szCs w:val="20"/>
              </w:rPr>
              <w:t>mo</w:t>
            </w:r>
            <w:r w:rsidRPr="001A6EB0">
              <w:rPr>
                <w:sz w:val="20"/>
                <w:szCs w:val="20"/>
                <w:vertAlign w:val="superscript"/>
              </w:rPr>
              <w:t>11</w:t>
            </w:r>
          </w:p>
          <w:p w14:paraId="1A8324F6" w14:textId="77777777" w:rsidR="002B57C9" w:rsidRPr="0019537C" w:rsidRDefault="002B57C9" w:rsidP="0071671D">
            <w:pPr>
              <w:ind w:left="0" w:right="0"/>
              <w:rPr>
                <w:sz w:val="20"/>
                <w:szCs w:val="20"/>
              </w:rPr>
            </w:pPr>
            <w:r w:rsidRPr="0019537C">
              <w:rPr>
                <w:sz w:val="20"/>
                <w:szCs w:val="20"/>
              </w:rPr>
              <w:t>(n=205)</w:t>
            </w:r>
          </w:p>
        </w:tc>
        <w:tc>
          <w:tcPr>
            <w:tcW w:w="1170" w:type="dxa"/>
            <w:vAlign w:val="center"/>
          </w:tcPr>
          <w:p w14:paraId="1CF78A00" w14:textId="77777777" w:rsidR="002B57C9" w:rsidRPr="0019537C" w:rsidRDefault="002B57C9" w:rsidP="0071671D">
            <w:pPr>
              <w:ind w:left="0" w:right="0"/>
              <w:rPr>
                <w:sz w:val="20"/>
                <w:szCs w:val="20"/>
              </w:rPr>
            </w:pPr>
            <w:r w:rsidRPr="0019537C">
              <w:rPr>
                <w:sz w:val="20"/>
                <w:szCs w:val="20"/>
              </w:rPr>
              <w:t>19.9</w:t>
            </w:r>
          </w:p>
          <w:p w14:paraId="342DC3A4" w14:textId="5F75F505" w:rsidR="002B57C9" w:rsidRPr="0019537C" w:rsidRDefault="002B57C9" w:rsidP="0071671D">
            <w:pPr>
              <w:ind w:left="0" w:right="0"/>
              <w:rPr>
                <w:sz w:val="20"/>
                <w:szCs w:val="20"/>
              </w:rPr>
            </w:pPr>
            <w:r w:rsidRPr="0019537C">
              <w:rPr>
                <w:sz w:val="20"/>
                <w:szCs w:val="20"/>
              </w:rPr>
              <w:t>[14.7, 26.0]</w:t>
            </w:r>
          </w:p>
        </w:tc>
        <w:tc>
          <w:tcPr>
            <w:tcW w:w="1440" w:type="dxa"/>
            <w:vAlign w:val="center"/>
          </w:tcPr>
          <w:p w14:paraId="7174DF09" w14:textId="77777777" w:rsidR="002B57C9" w:rsidRPr="0019537C" w:rsidRDefault="002B57C9" w:rsidP="0071671D">
            <w:pPr>
              <w:ind w:left="0" w:right="0"/>
              <w:rPr>
                <w:sz w:val="20"/>
                <w:szCs w:val="20"/>
              </w:rPr>
            </w:pPr>
            <w:r w:rsidRPr="0019537C">
              <w:rPr>
                <w:sz w:val="20"/>
                <w:szCs w:val="20"/>
              </w:rPr>
              <w:t>7.1</w:t>
            </w:r>
          </w:p>
          <w:p w14:paraId="5AB72EFD" w14:textId="2B9D4565" w:rsidR="002B57C9" w:rsidRPr="0019537C" w:rsidRDefault="002B57C9" w:rsidP="0071671D">
            <w:pPr>
              <w:ind w:left="0" w:right="0"/>
              <w:rPr>
                <w:sz w:val="20"/>
                <w:szCs w:val="20"/>
              </w:rPr>
            </w:pPr>
            <w:r w:rsidRPr="0019537C">
              <w:rPr>
                <w:sz w:val="20"/>
                <w:szCs w:val="20"/>
              </w:rPr>
              <w:t>2.4 to 27.8+</w:t>
            </w:r>
          </w:p>
        </w:tc>
        <w:tc>
          <w:tcPr>
            <w:tcW w:w="1170" w:type="dxa"/>
            <w:vAlign w:val="center"/>
          </w:tcPr>
          <w:p w14:paraId="74515F48" w14:textId="77777777" w:rsidR="002B57C9" w:rsidRPr="0019537C" w:rsidRDefault="002B57C9" w:rsidP="0071671D">
            <w:pPr>
              <w:ind w:left="0" w:right="0"/>
              <w:rPr>
                <w:sz w:val="20"/>
                <w:szCs w:val="20"/>
              </w:rPr>
            </w:pPr>
            <w:r w:rsidRPr="0019537C">
              <w:rPr>
                <w:sz w:val="20"/>
                <w:szCs w:val="20"/>
              </w:rPr>
              <w:t>10.6</w:t>
            </w:r>
          </w:p>
          <w:p w14:paraId="40927388" w14:textId="70C15167" w:rsidR="002B57C9" w:rsidRPr="0019537C" w:rsidRDefault="002B57C9" w:rsidP="0071671D">
            <w:pPr>
              <w:ind w:left="0" w:right="0"/>
              <w:rPr>
                <w:sz w:val="20"/>
                <w:szCs w:val="20"/>
              </w:rPr>
            </w:pPr>
            <w:r w:rsidRPr="0019537C">
              <w:rPr>
                <w:sz w:val="20"/>
                <w:szCs w:val="20"/>
              </w:rPr>
              <w:t>[8.7, 13.6]</w:t>
            </w:r>
          </w:p>
        </w:tc>
        <w:tc>
          <w:tcPr>
            <w:tcW w:w="1230" w:type="dxa"/>
            <w:vAlign w:val="center"/>
          </w:tcPr>
          <w:p w14:paraId="639DD150" w14:textId="77777777" w:rsidR="002B57C9" w:rsidRPr="0019537C" w:rsidRDefault="002B57C9" w:rsidP="0071671D">
            <w:pPr>
              <w:ind w:left="0" w:right="0"/>
              <w:rPr>
                <w:sz w:val="20"/>
                <w:szCs w:val="20"/>
              </w:rPr>
            </w:pPr>
            <w:r w:rsidRPr="0019537C">
              <w:rPr>
                <w:sz w:val="20"/>
                <w:szCs w:val="20"/>
              </w:rPr>
              <w:t>27 (2 year)</w:t>
            </w:r>
          </w:p>
          <w:p w14:paraId="4D66F728" w14:textId="3873D8E2" w:rsidR="002B57C9" w:rsidRPr="0019537C" w:rsidRDefault="002B57C9" w:rsidP="0071671D">
            <w:pPr>
              <w:ind w:left="0" w:right="0"/>
              <w:rPr>
                <w:sz w:val="20"/>
                <w:szCs w:val="20"/>
              </w:rPr>
            </w:pPr>
            <w:r w:rsidRPr="0019537C">
              <w:rPr>
                <w:sz w:val="20"/>
                <w:szCs w:val="20"/>
              </w:rPr>
              <w:t>NS</w:t>
            </w:r>
          </w:p>
        </w:tc>
      </w:tr>
      <w:tr w:rsidR="002B57C9" w:rsidRPr="0019537C" w14:paraId="73D4D48C" w14:textId="77777777" w:rsidTr="0071671D">
        <w:trPr>
          <w:trHeight w:val="938"/>
        </w:trPr>
        <w:tc>
          <w:tcPr>
            <w:tcW w:w="1160" w:type="dxa"/>
            <w:vMerge w:val="restart"/>
            <w:vAlign w:val="center"/>
          </w:tcPr>
          <w:p w14:paraId="319FFE30" w14:textId="09A9FD7D" w:rsidR="002B57C9" w:rsidRPr="0019537C" w:rsidRDefault="002B57C9" w:rsidP="0071671D">
            <w:pPr>
              <w:ind w:left="0" w:right="0"/>
              <w:rPr>
                <w:sz w:val="20"/>
                <w:szCs w:val="20"/>
              </w:rPr>
            </w:pPr>
            <w:r w:rsidRPr="0019537C">
              <w:rPr>
                <w:sz w:val="20"/>
                <w:szCs w:val="20"/>
              </w:rPr>
              <w:t>sNSC</w:t>
            </w:r>
            <w:r>
              <w:rPr>
                <w:sz w:val="20"/>
                <w:szCs w:val="20"/>
              </w:rPr>
              <w:t>LC</w:t>
            </w:r>
            <w:r w:rsidRPr="001A6EB0">
              <w:rPr>
                <w:sz w:val="20"/>
                <w:szCs w:val="20"/>
                <w:vertAlign w:val="superscript"/>
              </w:rPr>
              <w:t>4</w:t>
            </w:r>
          </w:p>
        </w:tc>
        <w:tc>
          <w:tcPr>
            <w:tcW w:w="1170" w:type="dxa"/>
            <w:vMerge w:val="restart"/>
            <w:vAlign w:val="center"/>
          </w:tcPr>
          <w:p w14:paraId="61E73FE4" w14:textId="77777777" w:rsidR="002B57C9" w:rsidRPr="0019537C" w:rsidRDefault="002B57C9" w:rsidP="0071671D">
            <w:pPr>
              <w:ind w:left="0" w:right="0"/>
              <w:rPr>
                <w:sz w:val="20"/>
                <w:szCs w:val="20"/>
              </w:rPr>
            </w:pPr>
            <w:r w:rsidRPr="0019537C">
              <w:rPr>
                <w:sz w:val="20"/>
                <w:szCs w:val="20"/>
              </w:rPr>
              <w:t>PD-L1 agnostic</w:t>
            </w:r>
          </w:p>
        </w:tc>
        <w:tc>
          <w:tcPr>
            <w:tcW w:w="1710" w:type="dxa"/>
          </w:tcPr>
          <w:p w14:paraId="7F8B0077" w14:textId="13C63F03" w:rsidR="002B57C9" w:rsidRPr="0019537C" w:rsidRDefault="002B57C9" w:rsidP="0071671D">
            <w:pPr>
              <w:ind w:left="0" w:right="0"/>
              <w:rPr>
                <w:sz w:val="20"/>
                <w:szCs w:val="20"/>
              </w:rPr>
            </w:pPr>
            <w:r w:rsidRPr="0019537C">
              <w:rPr>
                <w:sz w:val="20"/>
                <w:szCs w:val="20"/>
              </w:rPr>
              <w:t>Pembro+chem</w:t>
            </w:r>
            <w:r>
              <w:rPr>
                <w:sz w:val="20"/>
                <w:szCs w:val="20"/>
              </w:rPr>
              <w:t>o</w:t>
            </w:r>
            <w:r w:rsidRPr="001A6EB0">
              <w:rPr>
                <w:sz w:val="20"/>
                <w:szCs w:val="20"/>
                <w:vertAlign w:val="superscript"/>
              </w:rPr>
              <w:t>12</w:t>
            </w:r>
            <w:r w:rsidRPr="0019537C">
              <w:rPr>
                <w:sz w:val="20"/>
                <w:szCs w:val="20"/>
              </w:rPr>
              <w:t xml:space="preserve"> (n=278)</w:t>
            </w:r>
          </w:p>
        </w:tc>
        <w:tc>
          <w:tcPr>
            <w:tcW w:w="1170" w:type="dxa"/>
            <w:vAlign w:val="center"/>
          </w:tcPr>
          <w:p w14:paraId="7200E33E" w14:textId="77777777" w:rsidR="002B57C9" w:rsidRPr="0019537C" w:rsidRDefault="002B57C9" w:rsidP="0071671D">
            <w:pPr>
              <w:ind w:left="0" w:right="0"/>
              <w:rPr>
                <w:sz w:val="20"/>
                <w:szCs w:val="20"/>
              </w:rPr>
            </w:pPr>
            <w:r w:rsidRPr="0019537C">
              <w:rPr>
                <w:sz w:val="20"/>
                <w:szCs w:val="20"/>
              </w:rPr>
              <w:t>62.6</w:t>
            </w:r>
          </w:p>
          <w:p w14:paraId="129DD1FD" w14:textId="271AAB79" w:rsidR="002B57C9" w:rsidRPr="0019537C" w:rsidRDefault="002B57C9" w:rsidP="0071671D">
            <w:pPr>
              <w:ind w:left="0" w:right="0"/>
              <w:rPr>
                <w:sz w:val="20"/>
                <w:szCs w:val="20"/>
              </w:rPr>
            </w:pPr>
            <w:r w:rsidRPr="0019537C">
              <w:rPr>
                <w:sz w:val="20"/>
                <w:szCs w:val="20"/>
              </w:rPr>
              <w:t>[56.6, 68.3]</w:t>
            </w:r>
          </w:p>
        </w:tc>
        <w:tc>
          <w:tcPr>
            <w:tcW w:w="1440" w:type="dxa"/>
            <w:vAlign w:val="center"/>
          </w:tcPr>
          <w:p w14:paraId="4F634547" w14:textId="77777777" w:rsidR="002B57C9" w:rsidRPr="0019537C" w:rsidRDefault="002B57C9" w:rsidP="0071671D">
            <w:pPr>
              <w:ind w:left="0" w:right="0"/>
              <w:rPr>
                <w:sz w:val="20"/>
                <w:szCs w:val="20"/>
              </w:rPr>
            </w:pPr>
            <w:r w:rsidRPr="0019537C">
              <w:rPr>
                <w:sz w:val="20"/>
                <w:szCs w:val="20"/>
              </w:rPr>
              <w:t>9.0</w:t>
            </w:r>
          </w:p>
          <w:p w14:paraId="4B8D9B05" w14:textId="2E659AD9" w:rsidR="002B57C9" w:rsidRPr="0019537C" w:rsidRDefault="002B57C9" w:rsidP="0071671D">
            <w:pPr>
              <w:ind w:left="0" w:right="0"/>
              <w:rPr>
                <w:sz w:val="20"/>
                <w:szCs w:val="20"/>
              </w:rPr>
            </w:pPr>
            <w:r w:rsidRPr="0019537C">
              <w:rPr>
                <w:sz w:val="20"/>
                <w:szCs w:val="20"/>
              </w:rPr>
              <w:t>1.3+ to 45.0+</w:t>
            </w:r>
          </w:p>
        </w:tc>
        <w:tc>
          <w:tcPr>
            <w:tcW w:w="1170" w:type="dxa"/>
            <w:vAlign w:val="center"/>
          </w:tcPr>
          <w:p w14:paraId="1550E525" w14:textId="77777777" w:rsidR="002B57C9" w:rsidRPr="0019537C" w:rsidRDefault="002B57C9" w:rsidP="0071671D">
            <w:pPr>
              <w:ind w:left="0" w:right="0"/>
              <w:rPr>
                <w:sz w:val="20"/>
                <w:szCs w:val="20"/>
              </w:rPr>
            </w:pPr>
            <w:r w:rsidRPr="0019537C">
              <w:rPr>
                <w:sz w:val="20"/>
                <w:szCs w:val="20"/>
              </w:rPr>
              <w:t>17.2</w:t>
            </w:r>
          </w:p>
          <w:p w14:paraId="1280ECEE" w14:textId="5B736F3E" w:rsidR="002B57C9" w:rsidRPr="0019537C" w:rsidRDefault="002B57C9" w:rsidP="0071671D">
            <w:pPr>
              <w:ind w:left="0" w:right="0"/>
              <w:rPr>
                <w:sz w:val="20"/>
                <w:szCs w:val="20"/>
              </w:rPr>
            </w:pPr>
            <w:r w:rsidRPr="0019537C">
              <w:rPr>
                <w:sz w:val="20"/>
                <w:szCs w:val="20"/>
              </w:rPr>
              <w:t>[14.4, 19.7]</w:t>
            </w:r>
          </w:p>
        </w:tc>
        <w:tc>
          <w:tcPr>
            <w:tcW w:w="1230" w:type="dxa"/>
            <w:vAlign w:val="center"/>
          </w:tcPr>
          <w:p w14:paraId="560E3818" w14:textId="77777777" w:rsidR="002B57C9" w:rsidRPr="0019537C" w:rsidRDefault="002B57C9" w:rsidP="0071671D">
            <w:pPr>
              <w:ind w:left="0" w:right="0"/>
              <w:rPr>
                <w:sz w:val="20"/>
                <w:szCs w:val="20"/>
              </w:rPr>
            </w:pPr>
            <w:r w:rsidRPr="0019537C">
              <w:rPr>
                <w:sz w:val="20"/>
                <w:szCs w:val="20"/>
              </w:rPr>
              <w:t>30 (3-year)</w:t>
            </w:r>
          </w:p>
          <w:p w14:paraId="770E1F54" w14:textId="7A8AC995" w:rsidR="002B57C9" w:rsidRPr="0019537C" w:rsidRDefault="002B57C9" w:rsidP="0071671D">
            <w:pPr>
              <w:ind w:left="0" w:right="0"/>
              <w:rPr>
                <w:sz w:val="20"/>
                <w:szCs w:val="20"/>
              </w:rPr>
            </w:pPr>
            <w:r w:rsidRPr="0019537C">
              <w:rPr>
                <w:sz w:val="20"/>
                <w:szCs w:val="20"/>
              </w:rPr>
              <w:t>[24.5, 35.2]</w:t>
            </w:r>
          </w:p>
        </w:tc>
      </w:tr>
      <w:tr w:rsidR="002B57C9" w:rsidRPr="0019537C" w14:paraId="2DF0ACAB" w14:textId="77777777" w:rsidTr="0071671D">
        <w:trPr>
          <w:trHeight w:val="958"/>
        </w:trPr>
        <w:tc>
          <w:tcPr>
            <w:tcW w:w="1160" w:type="dxa"/>
            <w:vMerge/>
            <w:vAlign w:val="center"/>
          </w:tcPr>
          <w:p w14:paraId="1366169B" w14:textId="77777777" w:rsidR="002B57C9" w:rsidRPr="0019537C" w:rsidRDefault="002B57C9" w:rsidP="0071671D">
            <w:pPr>
              <w:ind w:left="0" w:right="0"/>
              <w:rPr>
                <w:sz w:val="20"/>
                <w:szCs w:val="20"/>
              </w:rPr>
            </w:pPr>
          </w:p>
        </w:tc>
        <w:tc>
          <w:tcPr>
            <w:tcW w:w="1170" w:type="dxa"/>
            <w:vMerge/>
            <w:vAlign w:val="center"/>
          </w:tcPr>
          <w:p w14:paraId="4E7E0389" w14:textId="77777777" w:rsidR="002B57C9" w:rsidRPr="0019537C" w:rsidRDefault="002B57C9" w:rsidP="0071671D">
            <w:pPr>
              <w:ind w:left="0" w:right="0"/>
              <w:rPr>
                <w:sz w:val="20"/>
                <w:szCs w:val="20"/>
              </w:rPr>
            </w:pPr>
          </w:p>
        </w:tc>
        <w:tc>
          <w:tcPr>
            <w:tcW w:w="1710" w:type="dxa"/>
          </w:tcPr>
          <w:p w14:paraId="535A86B2" w14:textId="659496B7" w:rsidR="002B57C9" w:rsidRPr="0019537C" w:rsidRDefault="002B57C9" w:rsidP="0071671D">
            <w:pPr>
              <w:ind w:left="0" w:right="0"/>
              <w:rPr>
                <w:sz w:val="20"/>
                <w:szCs w:val="20"/>
                <w:vertAlign w:val="superscript"/>
              </w:rPr>
            </w:pPr>
            <w:r w:rsidRPr="0019537C">
              <w:rPr>
                <w:sz w:val="20"/>
                <w:szCs w:val="20"/>
              </w:rPr>
              <w:t>Chem</w:t>
            </w:r>
            <w:r>
              <w:rPr>
                <w:sz w:val="20"/>
                <w:szCs w:val="20"/>
              </w:rPr>
              <w:t>o</w:t>
            </w:r>
            <w:r w:rsidRPr="001A6EB0">
              <w:rPr>
                <w:sz w:val="20"/>
                <w:szCs w:val="20"/>
                <w:vertAlign w:val="superscript"/>
              </w:rPr>
              <w:t>13</w:t>
            </w:r>
          </w:p>
          <w:p w14:paraId="52EE3208" w14:textId="77777777" w:rsidR="002B57C9" w:rsidRPr="0019537C" w:rsidRDefault="002B57C9" w:rsidP="0071671D">
            <w:pPr>
              <w:ind w:left="0" w:right="0"/>
              <w:rPr>
                <w:sz w:val="20"/>
                <w:szCs w:val="20"/>
              </w:rPr>
            </w:pPr>
            <w:r w:rsidRPr="0019537C">
              <w:rPr>
                <w:sz w:val="20"/>
                <w:szCs w:val="20"/>
              </w:rPr>
              <w:t>(n=281)</w:t>
            </w:r>
          </w:p>
        </w:tc>
        <w:tc>
          <w:tcPr>
            <w:tcW w:w="1170" w:type="dxa"/>
            <w:vAlign w:val="center"/>
          </w:tcPr>
          <w:p w14:paraId="4B564A4B" w14:textId="77777777" w:rsidR="002B57C9" w:rsidRPr="0019537C" w:rsidRDefault="002B57C9" w:rsidP="0071671D">
            <w:pPr>
              <w:ind w:left="0" w:right="0"/>
              <w:rPr>
                <w:sz w:val="20"/>
                <w:szCs w:val="20"/>
              </w:rPr>
            </w:pPr>
            <w:r w:rsidRPr="0019537C">
              <w:rPr>
                <w:sz w:val="20"/>
                <w:szCs w:val="20"/>
              </w:rPr>
              <w:t>38.8</w:t>
            </w:r>
          </w:p>
          <w:p w14:paraId="17022ECE" w14:textId="486CEEE5" w:rsidR="002B57C9" w:rsidRPr="0019537C" w:rsidRDefault="002B57C9" w:rsidP="0071671D">
            <w:pPr>
              <w:ind w:left="0" w:right="0"/>
              <w:rPr>
                <w:sz w:val="20"/>
                <w:szCs w:val="20"/>
              </w:rPr>
            </w:pPr>
            <w:r w:rsidRPr="0019537C">
              <w:rPr>
                <w:sz w:val="20"/>
                <w:szCs w:val="20"/>
              </w:rPr>
              <w:t>[33.1, 44.8]</w:t>
            </w:r>
          </w:p>
        </w:tc>
        <w:tc>
          <w:tcPr>
            <w:tcW w:w="1440" w:type="dxa"/>
            <w:vAlign w:val="center"/>
          </w:tcPr>
          <w:p w14:paraId="415636F5" w14:textId="77777777" w:rsidR="002B57C9" w:rsidRPr="0019537C" w:rsidRDefault="002B57C9" w:rsidP="0071671D">
            <w:pPr>
              <w:ind w:left="0" w:right="0"/>
              <w:rPr>
                <w:sz w:val="20"/>
                <w:szCs w:val="20"/>
              </w:rPr>
            </w:pPr>
            <w:r w:rsidRPr="0019537C">
              <w:rPr>
                <w:sz w:val="20"/>
                <w:szCs w:val="20"/>
              </w:rPr>
              <w:t>4.9</w:t>
            </w:r>
          </w:p>
          <w:p w14:paraId="49CA5CC4" w14:textId="23873B22" w:rsidR="002B57C9" w:rsidRPr="0019537C" w:rsidRDefault="002B57C9" w:rsidP="0071671D">
            <w:pPr>
              <w:ind w:left="0" w:right="0"/>
              <w:rPr>
                <w:sz w:val="20"/>
                <w:szCs w:val="20"/>
              </w:rPr>
            </w:pPr>
            <w:r w:rsidRPr="0019537C">
              <w:rPr>
                <w:sz w:val="20"/>
                <w:szCs w:val="20"/>
              </w:rPr>
              <w:t>1.3+ to 44.8+</w:t>
            </w:r>
          </w:p>
        </w:tc>
        <w:tc>
          <w:tcPr>
            <w:tcW w:w="1170" w:type="dxa"/>
            <w:vAlign w:val="center"/>
          </w:tcPr>
          <w:p w14:paraId="657D0150" w14:textId="77777777" w:rsidR="002B57C9" w:rsidRPr="0019537C" w:rsidRDefault="002B57C9" w:rsidP="0071671D">
            <w:pPr>
              <w:ind w:left="0" w:right="0"/>
              <w:rPr>
                <w:sz w:val="20"/>
                <w:szCs w:val="20"/>
              </w:rPr>
            </w:pPr>
            <w:r w:rsidRPr="0019537C">
              <w:rPr>
                <w:sz w:val="20"/>
                <w:szCs w:val="20"/>
              </w:rPr>
              <w:t>11.6</w:t>
            </w:r>
          </w:p>
          <w:p w14:paraId="7355B36D" w14:textId="07A8497C" w:rsidR="002B57C9" w:rsidRPr="0019537C" w:rsidRDefault="002B57C9" w:rsidP="0071671D">
            <w:pPr>
              <w:ind w:left="0" w:right="0"/>
              <w:rPr>
                <w:sz w:val="20"/>
                <w:szCs w:val="20"/>
              </w:rPr>
            </w:pPr>
            <w:r w:rsidRPr="0019537C">
              <w:rPr>
                <w:sz w:val="20"/>
                <w:szCs w:val="20"/>
              </w:rPr>
              <w:t>[10.1, 13.7]</w:t>
            </w:r>
          </w:p>
        </w:tc>
        <w:tc>
          <w:tcPr>
            <w:tcW w:w="1230" w:type="dxa"/>
            <w:vAlign w:val="center"/>
          </w:tcPr>
          <w:p w14:paraId="176FD67B" w14:textId="77777777" w:rsidR="002B57C9" w:rsidRPr="0019537C" w:rsidRDefault="002B57C9" w:rsidP="0071671D">
            <w:pPr>
              <w:ind w:left="0" w:right="0"/>
              <w:rPr>
                <w:sz w:val="20"/>
                <w:szCs w:val="20"/>
              </w:rPr>
            </w:pPr>
            <w:r w:rsidRPr="0019537C">
              <w:rPr>
                <w:sz w:val="20"/>
                <w:szCs w:val="20"/>
              </w:rPr>
              <w:t>18 (3-year)</w:t>
            </w:r>
          </w:p>
          <w:p w14:paraId="39D14FD7" w14:textId="3883DD63" w:rsidR="002B57C9" w:rsidRPr="0019537C" w:rsidRDefault="002B57C9" w:rsidP="0071671D">
            <w:pPr>
              <w:ind w:left="0" w:right="0"/>
              <w:rPr>
                <w:sz w:val="20"/>
                <w:szCs w:val="20"/>
              </w:rPr>
            </w:pPr>
            <w:r w:rsidRPr="0019537C">
              <w:rPr>
                <w:sz w:val="20"/>
                <w:szCs w:val="20"/>
              </w:rPr>
              <w:t>[13.8, 23.0]</w:t>
            </w:r>
          </w:p>
        </w:tc>
      </w:tr>
    </w:tbl>
    <w:bookmarkEnd w:id="38"/>
    <w:p w14:paraId="3D5564CF" w14:textId="77777777" w:rsidR="0019537C" w:rsidRDefault="0019537C" w:rsidP="0019537C">
      <w:pPr>
        <w:pStyle w:val="TableDescription"/>
      </w:pPr>
      <w:r>
        <w:t>CI = confidence interval; DOR = duration of response; NR = not reached; NS = not stated; nsNSCLC = non-squamous non small cell lung cancer; ORR = objective response rate; OS = overall survival; sNSCLC = squamous non small cell lung cancer; + = ongoing response</w:t>
      </w:r>
    </w:p>
    <w:p w14:paraId="1ECD0370" w14:textId="3C20718A" w:rsidR="0019537C" w:rsidRDefault="001A6EB0" w:rsidP="0019537C">
      <w:pPr>
        <w:pStyle w:val="TableDescription"/>
      </w:pPr>
      <w:bookmarkStart w:id="39" w:name="_Ref97212094"/>
      <w:r>
        <w:t>1</w:t>
      </w:r>
      <w:r w:rsidR="0071671D">
        <w:t>)</w:t>
      </w:r>
      <w:r>
        <w:t xml:space="preserve"> </w:t>
      </w:r>
      <w:r w:rsidR="0019537C">
        <w:t>Updated findings from KEYNOTE-042</w:t>
      </w:r>
      <w:bookmarkEnd w:id="39"/>
      <w:r w:rsidR="0071671D">
        <w:t>;</w:t>
      </w:r>
      <w:r>
        <w:rPr>
          <w:rStyle w:val="FootnoteReference"/>
        </w:rPr>
        <w:footnoteReference w:id="32"/>
      </w:r>
      <w:bookmarkStart w:id="40" w:name="_Ref97216516"/>
      <w:bookmarkStart w:id="41" w:name="_Ref97212259"/>
      <w:r w:rsidR="0071671D">
        <w:t xml:space="preserve"> </w:t>
      </w:r>
      <w:r>
        <w:t>2</w:t>
      </w:r>
      <w:r w:rsidR="0071671D">
        <w:t>)</w:t>
      </w:r>
      <w:r>
        <w:t xml:space="preserve"> </w:t>
      </w:r>
      <w:r w:rsidR="0019537C">
        <w:t>Updated findings from KEYNOTE-021</w:t>
      </w:r>
      <w:bookmarkEnd w:id="40"/>
      <w:r w:rsidR="0071671D">
        <w:t>;</w:t>
      </w:r>
      <w:r>
        <w:rPr>
          <w:rStyle w:val="FootnoteReference"/>
        </w:rPr>
        <w:footnoteReference w:id="33"/>
      </w:r>
      <w:bookmarkStart w:id="42" w:name="_Ref97218010"/>
      <w:r w:rsidR="0071671D">
        <w:t xml:space="preserve"> </w:t>
      </w:r>
      <w:r>
        <w:t>3</w:t>
      </w:r>
      <w:r w:rsidR="0071671D">
        <w:t>)</w:t>
      </w:r>
      <w:r>
        <w:t xml:space="preserve"> </w:t>
      </w:r>
      <w:r w:rsidR="0019537C">
        <w:t>Updated findings from KEYNOTE-189</w:t>
      </w:r>
      <w:bookmarkEnd w:id="42"/>
      <w:r w:rsidR="0071671D">
        <w:t>;</w:t>
      </w:r>
      <w:r>
        <w:rPr>
          <w:rStyle w:val="FootnoteReference"/>
        </w:rPr>
        <w:footnoteReference w:id="34"/>
      </w:r>
      <w:bookmarkStart w:id="43" w:name="_Ref97220539"/>
      <w:r w:rsidR="0071671D">
        <w:t xml:space="preserve"> </w:t>
      </w:r>
      <w:r>
        <w:t>4</w:t>
      </w:r>
      <w:r w:rsidR="0071671D">
        <w:t>)</w:t>
      </w:r>
      <w:r>
        <w:t xml:space="preserve"> </w:t>
      </w:r>
      <w:r w:rsidR="0019537C">
        <w:t>Updated findings from KEYNOTE-407</w:t>
      </w:r>
      <w:bookmarkEnd w:id="41"/>
      <w:bookmarkEnd w:id="43"/>
      <w:r w:rsidR="0071671D">
        <w:t>;</w:t>
      </w:r>
      <w:r>
        <w:rPr>
          <w:rStyle w:val="FootnoteReference"/>
        </w:rPr>
        <w:footnoteReference w:id="35"/>
      </w:r>
      <w:bookmarkStart w:id="44" w:name="_Ref97212119"/>
      <w:r w:rsidR="0071671D">
        <w:t xml:space="preserve"> </w:t>
      </w:r>
      <w:r>
        <w:t>5</w:t>
      </w:r>
      <w:r w:rsidR="0071671D">
        <w:t>)</w:t>
      </w:r>
      <w:r>
        <w:t xml:space="preserve"> </w:t>
      </w:r>
      <w:r w:rsidR="0019537C">
        <w:t>Subgroup congruent with a randomisation stratum</w:t>
      </w:r>
      <w:bookmarkStart w:id="45" w:name="_Ref97212142"/>
      <w:bookmarkEnd w:id="44"/>
      <w:r w:rsidR="0071671D">
        <w:t xml:space="preserve">; </w:t>
      </w:r>
      <w:r>
        <w:t>6</w:t>
      </w:r>
      <w:r w:rsidR="0071671D">
        <w:t>)</w:t>
      </w:r>
      <w:r>
        <w:t xml:space="preserve"> </w:t>
      </w:r>
      <w:r w:rsidR="0019537C">
        <w:t>Pembrolizumab monotherapy (200 mg every three weeks)</w:t>
      </w:r>
      <w:bookmarkStart w:id="46" w:name="_Ref97212157"/>
      <w:bookmarkEnd w:id="45"/>
      <w:r w:rsidR="0071671D">
        <w:t xml:space="preserve">; </w:t>
      </w:r>
      <w:r>
        <w:t>7</w:t>
      </w:r>
      <w:r w:rsidR="0071671D">
        <w:t>)</w:t>
      </w:r>
      <w:r>
        <w:t xml:space="preserve"> </w:t>
      </w:r>
      <w:r w:rsidR="0019537C">
        <w:t>In</w:t>
      </w:r>
      <w:r w:rsidR="0019537C" w:rsidRPr="00EA7CC6">
        <w:t xml:space="preserve">vestigator's choice of </w:t>
      </w:r>
      <w:r w:rsidR="0019537C">
        <w:t xml:space="preserve">histology-directed, </w:t>
      </w:r>
      <w:r w:rsidR="0019537C" w:rsidRPr="00EA7CC6">
        <w:t>platinum-based chemotherapy for four to six cycles</w:t>
      </w:r>
      <w:bookmarkStart w:id="47" w:name="_Ref97216195"/>
      <w:bookmarkStart w:id="48" w:name="_Hlk97218285"/>
      <w:bookmarkStart w:id="49" w:name="_Ref97212846"/>
      <w:bookmarkEnd w:id="46"/>
      <w:r w:rsidR="0071671D">
        <w:t xml:space="preserve">; </w:t>
      </w:r>
      <w:r>
        <w:t>8</w:t>
      </w:r>
      <w:r w:rsidR="0071671D">
        <w:t>)</w:t>
      </w:r>
      <w:r>
        <w:t xml:space="preserve"> </w:t>
      </w:r>
      <w:r w:rsidR="0019537C">
        <w:t>Pembrolizumab (</w:t>
      </w:r>
      <w:r w:rsidR="0019537C" w:rsidRPr="004F28A7">
        <w:t xml:space="preserve">200 mg pembrolizumab </w:t>
      </w:r>
      <w:r w:rsidR="0019537C">
        <w:lastRenderedPageBreak/>
        <w:t>every three weeks [one cycle]) in combination with chemotherapy (4 cycles of c</w:t>
      </w:r>
      <w:r w:rsidR="0019537C" w:rsidRPr="004F28A7">
        <w:t>arboplatin</w:t>
      </w:r>
      <w:r w:rsidR="0019537C">
        <w:t xml:space="preserve"> plus pemetrexed, then pemetrexed maintenance)</w:t>
      </w:r>
      <w:bookmarkStart w:id="50" w:name="_Ref97216200"/>
      <w:bookmarkEnd w:id="47"/>
      <w:bookmarkEnd w:id="48"/>
      <w:r w:rsidR="0071671D">
        <w:t xml:space="preserve">; </w:t>
      </w:r>
      <w:r>
        <w:t>9</w:t>
      </w:r>
      <w:r w:rsidR="0071671D">
        <w:t>)</w:t>
      </w:r>
      <w:r>
        <w:t xml:space="preserve"> </w:t>
      </w:r>
      <w:r w:rsidR="0019537C">
        <w:t>Chemotherapy alone (4 cycles of c</w:t>
      </w:r>
      <w:r w:rsidR="0019537C" w:rsidRPr="004F28A7">
        <w:t>arboplatin</w:t>
      </w:r>
      <w:r w:rsidR="0019537C">
        <w:t xml:space="preserve"> plus pemetrexed, then pemetrexed maintenance)</w:t>
      </w:r>
      <w:bookmarkEnd w:id="50"/>
      <w:r w:rsidR="0019537C">
        <w:t xml:space="preserve">: </w:t>
      </w:r>
      <w:r w:rsidR="0019537C" w:rsidRPr="000C0164">
        <w:t xml:space="preserve">70% </w:t>
      </w:r>
      <w:r w:rsidR="0019537C">
        <w:t>of patients in this arm subsequently received</w:t>
      </w:r>
      <w:r w:rsidR="0019537C" w:rsidRPr="000C0164">
        <w:t xml:space="preserve"> anti‒PD-(L)1 therapy</w:t>
      </w:r>
      <w:bookmarkStart w:id="51" w:name="_Ref97218390"/>
      <w:r w:rsidR="0071671D">
        <w:t xml:space="preserve">; </w:t>
      </w:r>
      <w:r>
        <w:t>10</w:t>
      </w:r>
      <w:r w:rsidR="0071671D">
        <w:t>)</w:t>
      </w:r>
      <w:r>
        <w:t xml:space="preserve"> </w:t>
      </w:r>
      <w:r w:rsidR="0019537C">
        <w:t>Pembrolizumab (</w:t>
      </w:r>
      <w:r w:rsidR="0019537C" w:rsidRPr="004F28A7">
        <w:t xml:space="preserve">200 mg pembrolizumab </w:t>
      </w:r>
      <w:r w:rsidR="0019537C">
        <w:t>every three weeks [one cycle]) in combination with chemotherapy (4 cycles of cisplatin or c</w:t>
      </w:r>
      <w:r w:rsidR="0019537C" w:rsidRPr="004F28A7">
        <w:t>arboplatin</w:t>
      </w:r>
      <w:r w:rsidR="0019537C">
        <w:t xml:space="preserve"> plus pemetrexed, then pemetrexed maintenance)</w:t>
      </w:r>
      <w:bookmarkStart w:id="52" w:name="_Ref97218395"/>
      <w:bookmarkEnd w:id="51"/>
      <w:r w:rsidR="0071671D">
        <w:t xml:space="preserve">; </w:t>
      </w:r>
      <w:r>
        <w:t>11</w:t>
      </w:r>
      <w:r w:rsidR="0071671D">
        <w:t>)</w:t>
      </w:r>
      <w:r>
        <w:t xml:space="preserve"> </w:t>
      </w:r>
      <w:r w:rsidR="0019537C">
        <w:t>Chemotherapy alone (4 cycles of cisplatin or c</w:t>
      </w:r>
      <w:r w:rsidR="0019537C" w:rsidRPr="004F28A7">
        <w:t>arboplatin</w:t>
      </w:r>
      <w:r w:rsidR="0019537C">
        <w:t xml:space="preserve"> plus pemetrexed, then pemetrexed maintenance): 56</w:t>
      </w:r>
      <w:r w:rsidR="0019537C" w:rsidRPr="000C0164">
        <w:t xml:space="preserve">% </w:t>
      </w:r>
      <w:r w:rsidR="0019537C">
        <w:t>of patients in this arm subsequently received</w:t>
      </w:r>
      <w:r w:rsidR="0019537C" w:rsidRPr="000C0164">
        <w:t xml:space="preserve"> anti‒PD-(L)1 </w:t>
      </w:r>
      <w:r w:rsidR="0019537C">
        <w:t>therapy</w:t>
      </w:r>
      <w:bookmarkStart w:id="53" w:name="_Ref97216228"/>
      <w:bookmarkEnd w:id="52"/>
      <w:r w:rsidR="0071671D">
        <w:t xml:space="preserve">; </w:t>
      </w:r>
      <w:r>
        <w:t>12</w:t>
      </w:r>
      <w:r w:rsidR="0071671D">
        <w:t>)</w:t>
      </w:r>
      <w:r>
        <w:t xml:space="preserve"> </w:t>
      </w:r>
      <w:r w:rsidR="0019537C">
        <w:t>Pembrolizumab (</w:t>
      </w:r>
      <w:r w:rsidR="0019537C" w:rsidRPr="004F28A7">
        <w:t xml:space="preserve">200 mg pembrolizumab </w:t>
      </w:r>
      <w:r w:rsidR="0019537C">
        <w:t>every three weeks [one cycle]) in combination with chemotherapy for 4 cycles (c</w:t>
      </w:r>
      <w:r w:rsidR="0019537C" w:rsidRPr="004F28A7">
        <w:t xml:space="preserve">arboplatin </w:t>
      </w:r>
      <w:r w:rsidR="0019537C">
        <w:t xml:space="preserve">plus </w:t>
      </w:r>
      <w:r w:rsidR="0019537C" w:rsidRPr="004F28A7">
        <w:t>either paclitaxel or</w:t>
      </w:r>
      <w:r w:rsidR="0019537C">
        <w:t xml:space="preserve"> nab</w:t>
      </w:r>
      <w:r w:rsidR="0019537C" w:rsidRPr="004F28A7">
        <w:t>–paclitaxel</w:t>
      </w:r>
      <w:bookmarkEnd w:id="49"/>
      <w:r w:rsidR="0019537C">
        <w:t>)</w:t>
      </w:r>
      <w:bookmarkStart w:id="54" w:name="_Ref97216231"/>
      <w:bookmarkEnd w:id="53"/>
      <w:r w:rsidR="0071671D">
        <w:t xml:space="preserve">; </w:t>
      </w:r>
      <w:r>
        <w:t>13</w:t>
      </w:r>
      <w:r w:rsidR="0071671D">
        <w:t>)</w:t>
      </w:r>
      <w:r>
        <w:t xml:space="preserve"> </w:t>
      </w:r>
      <w:r w:rsidR="0019537C">
        <w:t>Chemotherapy alone for 4 cycles (c</w:t>
      </w:r>
      <w:r w:rsidR="0019537C" w:rsidRPr="004F28A7">
        <w:t xml:space="preserve">arboplatin </w:t>
      </w:r>
      <w:r w:rsidR="0019537C">
        <w:t xml:space="preserve">plus </w:t>
      </w:r>
      <w:r w:rsidR="0019537C" w:rsidRPr="004F28A7">
        <w:t>either paclitaxel or</w:t>
      </w:r>
      <w:r w:rsidR="0019537C">
        <w:t xml:space="preserve"> nab</w:t>
      </w:r>
      <w:r w:rsidR="0019537C" w:rsidRPr="004F28A7">
        <w:t>–paclitaxel</w:t>
      </w:r>
      <w:r w:rsidR="0019537C">
        <w:t>)</w:t>
      </w:r>
      <w:bookmarkEnd w:id="54"/>
      <w:r w:rsidR="0071671D">
        <w:t>.</w:t>
      </w:r>
    </w:p>
    <w:p w14:paraId="1E0EB088" w14:textId="45307700" w:rsidR="0019537C" w:rsidRPr="00484415" w:rsidRDefault="0019537C" w:rsidP="00260384">
      <w:pPr>
        <w:spacing w:before="120"/>
      </w:pPr>
      <w:r w:rsidRPr="0019537C">
        <w:t xml:space="preserve">Choice of systemic treatment for </w:t>
      </w:r>
      <w:r w:rsidRPr="002B57C9">
        <w:rPr>
          <w:i/>
          <w:iCs/>
        </w:rPr>
        <w:t>EGFRm</w:t>
      </w:r>
      <w:r w:rsidR="0071671D">
        <w:t>-</w:t>
      </w:r>
      <w:r w:rsidRPr="0019537C">
        <w:t xml:space="preserve">positive NSCLC depends on the specific </w:t>
      </w:r>
      <w:r w:rsidRPr="002B57C9">
        <w:rPr>
          <w:i/>
          <w:iCs/>
        </w:rPr>
        <w:t>EGFRm</w:t>
      </w:r>
      <w:r w:rsidRPr="00786CB7">
        <w:rPr>
          <w:i/>
          <w:iCs/>
        </w:rPr>
        <w:t xml:space="preserve"> </w:t>
      </w:r>
      <w:r w:rsidRPr="00484415">
        <w:t>identifie</w:t>
      </w:r>
      <w:r>
        <w:t>d.</w:t>
      </w:r>
      <w:r>
        <w:fldChar w:fldCharType="begin"/>
      </w:r>
      <w:r>
        <w:instrText xml:space="preserve"> NOTEREF _Ref130382886 \f \h </w:instrText>
      </w:r>
      <w:r>
        <w:fldChar w:fldCharType="separate"/>
      </w:r>
      <w:r w:rsidR="00301E36" w:rsidRPr="00301E36">
        <w:rPr>
          <w:rStyle w:val="FootnoteReference"/>
        </w:rPr>
        <w:t>25</w:t>
      </w:r>
      <w:r>
        <w:fldChar w:fldCharType="end"/>
      </w:r>
      <w:r>
        <w:t xml:space="preserve"> </w:t>
      </w:r>
      <w:r w:rsidRPr="00484415">
        <w:t xml:space="preserve">Four anti-EGFR tyrosine kinase inhibitors (TKIs) are currently registered in Australia for the treatment of NSCLC that harbours an </w:t>
      </w:r>
      <w:r w:rsidRPr="00786CB7">
        <w:rPr>
          <w:i/>
          <w:iCs/>
        </w:rPr>
        <w:t>EGFRm</w:t>
      </w:r>
      <w:r w:rsidRPr="00484415">
        <w:t>. These include ‘first generation,’ ATP</w:t>
      </w:r>
      <w:r w:rsidR="002B57C9">
        <w:t xml:space="preserve"> </w:t>
      </w:r>
      <w:r w:rsidRPr="00484415">
        <w:t>competitive inhibitors erlotinib</w:t>
      </w:r>
      <w:r>
        <w:t>;</w:t>
      </w:r>
      <w:r>
        <w:rPr>
          <w:rStyle w:val="FootnoteReference"/>
        </w:rPr>
        <w:footnoteReference w:id="36"/>
      </w:r>
      <w:r w:rsidRPr="00484415">
        <w:t xml:space="preserve"> and gefitinib;</w:t>
      </w:r>
      <w:r>
        <w:rPr>
          <w:rStyle w:val="FootnoteReference"/>
        </w:rPr>
        <w:footnoteReference w:id="37"/>
      </w:r>
      <w:r w:rsidRPr="00484415">
        <w:t xml:space="preserve"> the ‘second generation’ covalently</w:t>
      </w:r>
      <w:r w:rsidR="002B57C9">
        <w:t xml:space="preserve"> </w:t>
      </w:r>
      <w:r w:rsidRPr="00484415">
        <w:t xml:space="preserve">binding irreversible inhibitor, </w:t>
      </w:r>
      <w:bookmarkStart w:id="55" w:name="_Hlk130385008"/>
      <w:r w:rsidRPr="00484415">
        <w:t>afatinib</w:t>
      </w:r>
      <w:bookmarkEnd w:id="55"/>
      <w:r w:rsidRPr="00484415">
        <w:t>;</w:t>
      </w:r>
      <w:r>
        <w:rPr>
          <w:rStyle w:val="FootnoteReference"/>
        </w:rPr>
        <w:footnoteReference w:id="38"/>
      </w:r>
      <w:r w:rsidRPr="00484415">
        <w:t xml:space="preserve"> and the ‘third generation’ agent, osimertinib.</w:t>
      </w:r>
      <w:r>
        <w:rPr>
          <w:rStyle w:val="FootnoteReference"/>
        </w:rPr>
        <w:footnoteReference w:id="39"/>
      </w:r>
      <w:r w:rsidRPr="00484415">
        <w:t xml:space="preserve"> The latter has activity against tumours expressing a mutation (</w:t>
      </w:r>
      <w:r w:rsidRPr="00786CB7">
        <w:rPr>
          <w:i/>
          <w:iCs/>
        </w:rPr>
        <w:t>T790</w:t>
      </w:r>
      <w:r w:rsidR="00703E86" w:rsidRPr="00786CB7">
        <w:rPr>
          <w:i/>
          <w:iCs/>
        </w:rPr>
        <w:t>m</w:t>
      </w:r>
      <w:r w:rsidRPr="00484415">
        <w:t>) that confers resistance to earlier generation TKIs.</w:t>
      </w:r>
      <w:r>
        <w:rPr>
          <w:rStyle w:val="FootnoteReference"/>
        </w:rPr>
        <w:footnoteReference w:id="40"/>
      </w:r>
      <w:r>
        <w:t xml:space="preserve"> </w:t>
      </w:r>
      <w:r w:rsidRPr="00484415">
        <w:t xml:space="preserve">There is strong evidence to support these agents in the treatment of classical </w:t>
      </w:r>
      <w:r w:rsidRPr="002B57C9">
        <w:rPr>
          <w:i/>
          <w:iCs/>
        </w:rPr>
        <w:t>EGFRm</w:t>
      </w:r>
      <w:r w:rsidRPr="00484415">
        <w:t>, as the pivotal studies predominantly, or entirely, enrolled such patients. Treatment of tumours harbouring some uncommon mutations (particularly S768I, L861Q and/or G719X mutations) is also supported, based on analyses of the more limited data that is available for these rarer groups.</w:t>
      </w:r>
      <w:r>
        <w:rPr>
          <w:rStyle w:val="FootnoteReference"/>
        </w:rPr>
        <w:footnoteReference w:id="41"/>
      </w:r>
      <w:r>
        <w:t>,</w:t>
      </w:r>
      <w:r>
        <w:rPr>
          <w:rStyle w:val="FootnoteReference"/>
        </w:rPr>
        <w:footnoteReference w:id="42"/>
      </w:r>
    </w:p>
    <w:p w14:paraId="34972673" w14:textId="3BF90223" w:rsidR="0019537C" w:rsidRPr="00484415" w:rsidRDefault="0019537C" w:rsidP="0019537C">
      <w:r w:rsidRPr="00484415">
        <w:t xml:space="preserve">By contrast, ex20ins mutations are not generally associated with sensitivity to </w:t>
      </w:r>
      <w:r w:rsidRPr="007705B7">
        <w:rPr>
          <w:iCs/>
        </w:rPr>
        <w:t>EGFR</w:t>
      </w:r>
      <w:r w:rsidRPr="00484415">
        <w:t xml:space="preserve"> TKIs </w:t>
      </w:r>
      <w:r w:rsidRPr="00A469B0">
        <w:rPr>
          <w:i/>
          <w:iCs/>
        </w:rPr>
        <w:t>in vitro</w:t>
      </w:r>
      <w:r w:rsidRPr="00484415">
        <w:t xml:space="preserve"> or </w:t>
      </w:r>
      <w:r w:rsidRPr="00A469B0">
        <w:rPr>
          <w:i/>
          <w:iCs/>
        </w:rPr>
        <w:t>in vivo</w:t>
      </w:r>
      <w:bookmarkStart w:id="56" w:name="_Ref97038434"/>
      <w:r w:rsidRPr="00484415">
        <w:t>, though there are excep</w:t>
      </w:r>
      <w:bookmarkEnd w:id="56"/>
      <w:r w:rsidRPr="00484415">
        <w:t>tions such as p.A763_Y764insFQEA (and possibly p.A763_Y764insLQEA)</w:t>
      </w:r>
      <w:r>
        <w:t>.</w:t>
      </w:r>
      <w:r w:rsidRPr="00703E86">
        <w:rPr>
          <w:rStyle w:val="FootnoteReference"/>
        </w:rPr>
        <w:footnoteReference w:id="43"/>
      </w:r>
      <w:r w:rsidRPr="007705B7">
        <w:rPr>
          <w:vertAlign w:val="superscript"/>
        </w:rPr>
        <w:t>,</w:t>
      </w:r>
      <w:r>
        <w:rPr>
          <w:rStyle w:val="FootnoteReference"/>
        </w:rPr>
        <w:footnoteReference w:id="44"/>
      </w:r>
      <w:r w:rsidRPr="00484415">
        <w:t xml:space="preserve"> Therefore, although the registered indications for erlotinib, gefitinib, afatinib and osimertinib do not explicitly exclude treatment of ex20ins-positive tumours, such treatment would not generally be undertaken and they have been generally excluded from clinical trials of drugs targeting the classical </w:t>
      </w:r>
      <w:r w:rsidRPr="002B57C9">
        <w:rPr>
          <w:i/>
          <w:iCs/>
        </w:rPr>
        <w:t>EGFRm</w:t>
      </w:r>
      <w:r w:rsidRPr="00484415">
        <w:t>. For patients with ex20ins</w:t>
      </w:r>
      <w:r w:rsidR="002B57C9">
        <w:t xml:space="preserve"> </w:t>
      </w:r>
      <w:r w:rsidRPr="00484415">
        <w:t>positive NSCLC, major clinical guidelines therefore recommend standard</w:t>
      </w:r>
      <w:r w:rsidR="002B57C9">
        <w:t xml:space="preserve"> </w:t>
      </w:r>
      <w:r w:rsidRPr="00484415">
        <w:t>of</w:t>
      </w:r>
      <w:r w:rsidR="002B57C9">
        <w:t xml:space="preserve"> </w:t>
      </w:r>
      <w:r w:rsidRPr="00484415">
        <w:t>care first</w:t>
      </w:r>
      <w:r w:rsidR="00703E86">
        <w:t>-</w:t>
      </w:r>
      <w:r w:rsidRPr="00484415">
        <w:t>line treatment for tumours without a targetable mutation, although this effectiveness of these treatments have not been specifically studied in this subpopulation</w:t>
      </w:r>
      <w:r>
        <w:t>.</w:t>
      </w:r>
      <w:r>
        <w:fldChar w:fldCharType="begin"/>
      </w:r>
      <w:r>
        <w:instrText xml:space="preserve"> NOTEREF _Ref130382886 \f \h </w:instrText>
      </w:r>
      <w:r>
        <w:fldChar w:fldCharType="separate"/>
      </w:r>
      <w:r w:rsidR="00301E36" w:rsidRPr="00301E36">
        <w:rPr>
          <w:rStyle w:val="FootnoteReference"/>
        </w:rPr>
        <w:t>25</w:t>
      </w:r>
      <w:r>
        <w:fldChar w:fldCharType="end"/>
      </w:r>
    </w:p>
    <w:p w14:paraId="6C15729D" w14:textId="77777777" w:rsidR="0019537C" w:rsidRDefault="0019537C" w:rsidP="0019537C">
      <w:pPr>
        <w:pStyle w:val="Heading5"/>
      </w:pPr>
      <w:r>
        <w:lastRenderedPageBreak/>
        <w:t>Second line of therapy</w:t>
      </w:r>
    </w:p>
    <w:p w14:paraId="0DDAE2B4" w14:textId="37405B48" w:rsidR="0019537C" w:rsidRPr="005D55CE" w:rsidRDefault="0019537C" w:rsidP="0019537C">
      <w:r>
        <w:t xml:space="preserve">For </w:t>
      </w:r>
      <w:r w:rsidRPr="005D55CE">
        <w:t>patients with ex20ins</w:t>
      </w:r>
      <w:r w:rsidR="002B57C9">
        <w:t xml:space="preserve"> </w:t>
      </w:r>
      <w:r w:rsidRPr="005D55CE">
        <w:t xml:space="preserve">positive NSCLC with progression of disease following platinum-based chemotherapy, </w:t>
      </w:r>
      <w:r>
        <w:t>treatment options in Australia reflect those cited in the United States Food and Drug Administration (FDA) multidisciplinary review (MDR) document for mobocertinib</w:t>
      </w:r>
      <w:r w:rsidRPr="005D55CE">
        <w:t>:</w:t>
      </w:r>
      <w:bookmarkStart w:id="57" w:name="_Ref130385363"/>
      <w:r>
        <w:rPr>
          <w:rStyle w:val="FootnoteReference"/>
        </w:rPr>
        <w:footnoteReference w:id="45"/>
      </w:r>
      <w:bookmarkEnd w:id="57"/>
    </w:p>
    <w:p w14:paraId="2137DC00" w14:textId="6F186650" w:rsidR="0019537C" w:rsidRDefault="0019537C" w:rsidP="0019537C">
      <w:pPr>
        <w:ind w:left="720"/>
      </w:pPr>
      <w:r>
        <w:t>‘</w:t>
      </w:r>
      <w:r w:rsidRPr="005D55CE">
        <w:t xml:space="preserve">…treatment options include chemotherapy (single agent or docetaxel in combination with ramucirumab) associated with ORRs </w:t>
      </w:r>
      <w:r w:rsidR="00877760">
        <w:t xml:space="preserve">[objective response rates] </w:t>
      </w:r>
      <w:r w:rsidRPr="005D55CE">
        <w:t xml:space="preserve">of 6-23% with median DORs </w:t>
      </w:r>
      <w:r w:rsidR="00877760">
        <w:t xml:space="preserve">[duration of responses] </w:t>
      </w:r>
      <w:r w:rsidRPr="005D55CE">
        <w:t>in the range of 4</w:t>
      </w:r>
      <w:r>
        <w:t xml:space="preserve"> </w:t>
      </w:r>
      <w:r w:rsidRPr="005D55CE">
        <w:t>-</w:t>
      </w:r>
      <w:r>
        <w:t xml:space="preserve"> </w:t>
      </w:r>
      <w:r w:rsidRPr="005D55CE">
        <w:t>9 months, or single agent anti-PD-(L)1 antibodies if not received in the first-line setting, associated with ORRs of 14-20% and median DORs in the range of 16-17 months</w:t>
      </w:r>
      <w:r>
        <w:t>.’</w:t>
      </w:r>
    </w:p>
    <w:p w14:paraId="76FF9FD9" w14:textId="0D18CE0D" w:rsidR="0019537C" w:rsidRDefault="0019537C" w:rsidP="0019537C">
      <w:r>
        <w:t>Detailed tables summarising these standard of care options, including references, are contained in Table 1 of the FDA MDR.</w:t>
      </w:r>
      <w:r>
        <w:fldChar w:fldCharType="begin"/>
      </w:r>
      <w:r>
        <w:instrText xml:space="preserve"> NOTEREF _Ref130385363 \f \h </w:instrText>
      </w:r>
      <w:r>
        <w:fldChar w:fldCharType="separate"/>
      </w:r>
      <w:r w:rsidR="00301E36" w:rsidRPr="00301E36">
        <w:rPr>
          <w:rStyle w:val="FootnoteReference"/>
        </w:rPr>
        <w:t>45</w:t>
      </w:r>
      <w:r>
        <w:fldChar w:fldCharType="end"/>
      </w:r>
    </w:p>
    <w:p w14:paraId="47A43C58" w14:textId="68BCA9A0" w:rsidR="0019537C" w:rsidRDefault="0019537C" w:rsidP="0019537C">
      <w:r>
        <w:t>For patients with ex20ins</w:t>
      </w:r>
      <w:r w:rsidR="00365723">
        <w:t xml:space="preserve"> </w:t>
      </w:r>
      <w:r>
        <w:t>positive NSCLC, the current NCCN guideline;</w:t>
      </w:r>
      <w:r>
        <w:fldChar w:fldCharType="begin"/>
      </w:r>
      <w:r>
        <w:instrText xml:space="preserve"> NOTEREF _Ref130382886 \f \h </w:instrText>
      </w:r>
      <w:r>
        <w:fldChar w:fldCharType="separate"/>
      </w:r>
      <w:r w:rsidR="00301E36" w:rsidRPr="00301E36">
        <w:rPr>
          <w:rStyle w:val="FootnoteReference"/>
        </w:rPr>
        <w:t>25</w:t>
      </w:r>
      <w:r>
        <w:fldChar w:fldCharType="end"/>
      </w:r>
      <w:r>
        <w:t xml:space="preserve"> recommends consideration of an ex20ins</w:t>
      </w:r>
      <w:r w:rsidR="00365723">
        <w:t xml:space="preserve"> </w:t>
      </w:r>
      <w:r>
        <w:t>specific molecule (amivantamab or mobocertinib) on progression, based on durable responses in early phase studies.</w:t>
      </w:r>
      <w:r>
        <w:rPr>
          <w:rStyle w:val="FootnoteReference"/>
        </w:rPr>
        <w:footnoteReference w:id="46"/>
      </w:r>
      <w:r w:rsidRPr="007705B7">
        <w:rPr>
          <w:vertAlign w:val="superscript"/>
        </w:rPr>
        <w:t>,</w:t>
      </w:r>
      <w:r>
        <w:rPr>
          <w:rStyle w:val="FootnoteReference"/>
        </w:rPr>
        <w:footnoteReference w:id="47"/>
      </w:r>
      <w:r>
        <w:t xml:space="preserve"> Neither of these agents is currently registered in Australia</w:t>
      </w:r>
      <w:r w:rsidR="00703E86">
        <w:t xml:space="preserve"> and the registration of</w:t>
      </w:r>
      <w:r>
        <w:t xml:space="preserve"> mobocertinib is the subject of the current </w:t>
      </w:r>
      <w:r w:rsidR="00703E86">
        <w:t>submission</w:t>
      </w:r>
      <w:r>
        <w:t>.</w:t>
      </w:r>
    </w:p>
    <w:p w14:paraId="02ABE732" w14:textId="70C2E87B" w:rsidR="0019537C" w:rsidRDefault="0019537C" w:rsidP="0019537C">
      <w:r>
        <w:t>The pivotal trial enrolled patients who were second</w:t>
      </w:r>
      <w:r w:rsidR="00365723">
        <w:t xml:space="preserve"> </w:t>
      </w:r>
      <w:r>
        <w:t>line or later: who had received prior platinum</w:t>
      </w:r>
      <w:r w:rsidR="00365723">
        <w:t xml:space="preserve"> </w:t>
      </w:r>
      <w:r>
        <w:t>based chemotherapy. During the course of the study, the standard of care first line non-targeted treatment for NSCLC changed from (histology directed) platinum based chemotherapy alone to platinum based chemotherapy plus immunotherapy. A considerable proportion of patients (43%) received this new first line immunotherapy/chemotherapy combination, as is the current standard of care for ex20ins mutation</w:t>
      </w:r>
      <w:r w:rsidR="00365723">
        <w:t xml:space="preserve"> </w:t>
      </w:r>
      <w:r>
        <w:t>positive NSCLC, and results in this subgroup were consistent with the primary analysis.</w:t>
      </w:r>
    </w:p>
    <w:p w14:paraId="17D119DF" w14:textId="77777777" w:rsidR="0019537C" w:rsidRPr="00D35223" w:rsidRDefault="0019537C" w:rsidP="0019537C">
      <w:pPr>
        <w:pStyle w:val="Heading4"/>
      </w:pPr>
      <w:bookmarkStart w:id="58" w:name="_Toc130386498"/>
      <w:bookmarkStart w:id="59" w:name="_Toc132980312"/>
      <w:r w:rsidRPr="00D35223">
        <w:t>Rationale for product development</w:t>
      </w:r>
      <w:bookmarkEnd w:id="58"/>
      <w:bookmarkEnd w:id="59"/>
    </w:p>
    <w:p w14:paraId="4BDA3609" w14:textId="77777777" w:rsidR="0019537C" w:rsidRDefault="0019537C" w:rsidP="0019537C">
      <w:pPr>
        <w:rPr>
          <w:vertAlign w:val="superscript"/>
        </w:rPr>
      </w:pPr>
      <w:r>
        <w:t xml:space="preserve">Structural differences </w:t>
      </w:r>
      <w:r w:rsidRPr="00CE499E">
        <w:t xml:space="preserve">between </w:t>
      </w:r>
      <w:r>
        <w:t>the mutant versions of the expressed EGFR protein underpin</w:t>
      </w:r>
      <w:r w:rsidRPr="00CE499E">
        <w:t xml:space="preserve"> their </w:t>
      </w:r>
      <w:r>
        <w:t xml:space="preserve">differing </w:t>
      </w:r>
      <w:r w:rsidRPr="00CE499E">
        <w:t>response</w:t>
      </w:r>
      <w:r>
        <w:t>s</w:t>
      </w:r>
      <w:r w:rsidRPr="00CE499E">
        <w:t xml:space="preserve"> to</w:t>
      </w:r>
      <w:r>
        <w:t xml:space="preserve"> small molecule</w:t>
      </w:r>
      <w:r w:rsidRPr="00CE499E">
        <w:t xml:space="preserve"> </w:t>
      </w:r>
      <w:r>
        <w:t>inhibitors</w:t>
      </w:r>
      <w:bookmarkStart w:id="60" w:name="_Ref97115069"/>
      <w:r>
        <w:t>.</w:t>
      </w:r>
      <w:bookmarkEnd w:id="60"/>
      <w:r>
        <w:rPr>
          <w:rStyle w:val="FootnoteReference"/>
        </w:rPr>
        <w:footnoteReference w:id="48"/>
      </w:r>
    </w:p>
    <w:p w14:paraId="0D57E6B1" w14:textId="38C23A01" w:rsidR="0019537C" w:rsidRDefault="0019537C" w:rsidP="0019537C">
      <w:r>
        <w:t>In the wild</w:t>
      </w:r>
      <w:r w:rsidR="00365723">
        <w:t xml:space="preserve"> </w:t>
      </w:r>
      <w:r>
        <w:t>type receptor, a key structural element called the C-helix regulates receptor activity. When rotated from an outward to an inward position, the C-helix opens up the active site and allows stable dimerisation to occur (</w:t>
      </w:r>
      <w:r>
        <w:fldChar w:fldCharType="begin"/>
      </w:r>
      <w:r>
        <w:instrText xml:space="preserve"> REF _Ref130385820 \h </w:instrText>
      </w:r>
      <w:r>
        <w:fldChar w:fldCharType="separate"/>
      </w:r>
      <w:r w:rsidR="00301E36" w:rsidRPr="0065515F">
        <w:t xml:space="preserve">Figure </w:t>
      </w:r>
      <w:r w:rsidR="00301E36">
        <w:rPr>
          <w:noProof/>
        </w:rPr>
        <w:t>2</w:t>
      </w:r>
      <w:r>
        <w:fldChar w:fldCharType="end"/>
      </w:r>
      <w:r>
        <w:t>).</w:t>
      </w:r>
      <w:r>
        <w:rPr>
          <w:rStyle w:val="FootnoteReference"/>
        </w:rPr>
        <w:footnoteReference w:id="49"/>
      </w:r>
    </w:p>
    <w:p w14:paraId="0039CB9A" w14:textId="46550C71" w:rsidR="0019537C" w:rsidRDefault="0019537C" w:rsidP="00472838">
      <w:pPr>
        <w:pStyle w:val="FigureTitle"/>
        <w:pageBreakBefore/>
      </w:pPr>
      <w:bookmarkStart w:id="61" w:name="_Ref130385820"/>
      <w:r w:rsidRPr="0065515F">
        <w:lastRenderedPageBreak/>
        <w:t xml:space="preserve">Figure </w:t>
      </w:r>
      <w:r w:rsidRPr="0065515F">
        <w:fldChar w:fldCharType="begin"/>
      </w:r>
      <w:r w:rsidRPr="0065515F">
        <w:instrText xml:space="preserve"> SEQ Figure \* ARABIC </w:instrText>
      </w:r>
      <w:r w:rsidRPr="0065515F">
        <w:fldChar w:fldCharType="separate"/>
      </w:r>
      <w:r w:rsidR="00301E36">
        <w:t>2</w:t>
      </w:r>
      <w:r w:rsidRPr="0065515F">
        <w:fldChar w:fldCharType="end"/>
      </w:r>
      <w:bookmarkEnd w:id="61"/>
      <w:r>
        <w:t xml:space="preserve">: </w:t>
      </w:r>
      <w:r w:rsidR="00703E86">
        <w:t xml:space="preserve">Vyse et al. (2019) </w:t>
      </w:r>
      <w:r>
        <w:t>Illustration of the conformational change that occurs in wild-type EGFR between the active and inactive receptor state, and the effects of deletion mutations in exon 19 or insertion mutations in exon 20</w:t>
      </w:r>
      <w:r w:rsidR="00703E86" w:rsidDel="00703E86">
        <w:t xml:space="preserve"> </w:t>
      </w:r>
    </w:p>
    <w:p w14:paraId="4444885F" w14:textId="1B8C95D2" w:rsidR="0019537C" w:rsidRDefault="0019537C" w:rsidP="007705B7">
      <w:pPr>
        <w:pStyle w:val="FigureTitle"/>
      </w:pPr>
      <w:r>
        <w:rPr>
          <w:lang w:val="en-GB" w:eastAsia="en-GB"/>
        </w:rPr>
        <w:drawing>
          <wp:inline distT="0" distB="0" distL="0" distR="0" wp14:anchorId="22A41ED5" wp14:editId="27BB453D">
            <wp:extent cx="5430741" cy="1651003"/>
            <wp:effectExtent l="0" t="0" r="0" b="6350"/>
            <wp:docPr id="21" name="Picture 21" descr="Figure 2: Vyse et al. (2019) Illustration of the conformational change that occurs in wild-type EGFR between the active and inactive receptor state, and the effects of deletion mutations in exon 19 or insertion mutations in ex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Vyse et al. (2019) Illustration of the conformational change that occurs in wild-type EGFR between the active and inactive receptor state, and the effects of deletion mutations in exon 19 or insertion mutations in exon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76"/>
                    <a:stretch/>
                  </pic:blipFill>
                  <pic:spPr bwMode="auto">
                    <a:xfrm>
                      <a:off x="0" y="0"/>
                      <a:ext cx="5437537" cy="1653069"/>
                    </a:xfrm>
                    <a:prstGeom prst="rect">
                      <a:avLst/>
                    </a:prstGeom>
                    <a:noFill/>
                    <a:ln>
                      <a:noFill/>
                    </a:ln>
                    <a:extLst>
                      <a:ext uri="{53640926-AAD7-44D8-BBD7-CCE9431645EC}">
                        <a14:shadowObscured xmlns:a14="http://schemas.microsoft.com/office/drawing/2010/main"/>
                      </a:ext>
                    </a:extLst>
                  </pic:spPr>
                </pic:pic>
              </a:graphicData>
            </a:graphic>
          </wp:inline>
        </w:drawing>
      </w:r>
    </w:p>
    <w:p w14:paraId="7B5C59B9" w14:textId="166FF9F7" w:rsidR="00703E86" w:rsidRPr="00D73418" w:rsidRDefault="00703E86" w:rsidP="007705B7">
      <w:pPr>
        <w:pStyle w:val="FigureDescription"/>
      </w:pPr>
      <w:r>
        <w:rPr>
          <w:b w:val="0"/>
        </w:rPr>
        <w:t xml:space="preserve">Adapted from: </w:t>
      </w:r>
      <w:r w:rsidRPr="007705B7">
        <w:rPr>
          <w:b w:val="0"/>
        </w:rPr>
        <w:t>Vyse, S., Huang, P.H. Targeting EGFR exon 20 insertion mutations in non-small cell lung cancer. Sig Transduct Target Ther 4, 5 (2019).</w:t>
      </w:r>
      <w:r>
        <w:fldChar w:fldCharType="begin"/>
      </w:r>
      <w:r>
        <w:instrText xml:space="preserve"> NOTEREF _Ref130385884 \f \h </w:instrText>
      </w:r>
      <w:r>
        <w:fldChar w:fldCharType="separate"/>
      </w:r>
      <w:r w:rsidR="00301E36" w:rsidRPr="00301E36">
        <w:rPr>
          <w:rStyle w:val="FootnoteReference"/>
        </w:rPr>
        <w:t>50</w:t>
      </w:r>
      <w:r>
        <w:fldChar w:fldCharType="end"/>
      </w:r>
    </w:p>
    <w:p w14:paraId="14306B8C" w14:textId="5C0FCB41" w:rsidR="0019537C" w:rsidRDefault="0019537C" w:rsidP="0019537C">
      <w:r>
        <w:t xml:space="preserve">The classical </w:t>
      </w:r>
      <w:r w:rsidRPr="00365723">
        <w:rPr>
          <w:i/>
          <w:iCs/>
        </w:rPr>
        <w:t>EGFRm</w:t>
      </w:r>
      <w:r>
        <w:t xml:space="preserve"> cause destabilising conformational changes in the EGFR that allow ligand</w:t>
      </w:r>
      <w:r w:rsidR="00365723">
        <w:t xml:space="preserve"> </w:t>
      </w:r>
      <w:r>
        <w:t>independent dimerisation, and constitutive activation of downstream signalling pathways.</w:t>
      </w:r>
      <w:bookmarkStart w:id="62" w:name="_Ref130385884"/>
      <w:r>
        <w:rPr>
          <w:rStyle w:val="FootnoteReference"/>
        </w:rPr>
        <w:footnoteReference w:id="50"/>
      </w:r>
      <w:bookmarkEnd w:id="62"/>
      <w:r>
        <w:t xml:space="preserve"> Affected cells display sensitivity to EGFR inhibition consistent with an ‘oncogene addiction’ type dependency on such signalling for survival.</w:t>
      </w:r>
      <w:r>
        <w:rPr>
          <w:rStyle w:val="FootnoteReference"/>
        </w:rPr>
        <w:footnoteReference w:id="51"/>
      </w:r>
      <w:r>
        <w:t xml:space="preserve"> Deletions in exon 19, for example, shorten the N</w:t>
      </w:r>
      <w:r w:rsidR="00AA2F8C">
        <w:noBreakHyphen/>
      </w:r>
      <w:r>
        <w:t xml:space="preserve">terminal loop leading to the C-helix, and are hypothesised to ‘pull’ on it, restricting its ability to rotate outward, and </w:t>
      </w:r>
      <w:r w:rsidRPr="002A7BFD">
        <w:t xml:space="preserve">promoting constitutive </w:t>
      </w:r>
      <w:r>
        <w:t>EGFR</w:t>
      </w:r>
      <w:r w:rsidRPr="002A7BFD">
        <w:t xml:space="preserve"> activation</w:t>
      </w:r>
      <w:r>
        <w:t>.</w:t>
      </w:r>
      <w:r>
        <w:fldChar w:fldCharType="begin"/>
      </w:r>
      <w:r>
        <w:instrText xml:space="preserve"> NOTEREF _Ref130385884 \f \h </w:instrText>
      </w:r>
      <w:r>
        <w:fldChar w:fldCharType="separate"/>
      </w:r>
      <w:r w:rsidR="00301E36" w:rsidRPr="00301E36">
        <w:rPr>
          <w:rStyle w:val="FootnoteReference"/>
        </w:rPr>
        <w:t>50</w:t>
      </w:r>
      <w:r>
        <w:fldChar w:fldCharType="end"/>
      </w:r>
      <w:r>
        <w:t xml:space="preserve"> The classical </w:t>
      </w:r>
      <w:r w:rsidRPr="00AA2F8C">
        <w:rPr>
          <w:i/>
          <w:iCs/>
        </w:rPr>
        <w:t>EGFRm</w:t>
      </w:r>
      <w:r>
        <w:t xml:space="preserve"> also cause reduced affinity for ATP at its binding site, where it would otherwise compete with the first</w:t>
      </w:r>
      <w:r w:rsidR="00AA2F8C">
        <w:t xml:space="preserve"> </w:t>
      </w:r>
      <w:r>
        <w:t>generation TKIs.</w:t>
      </w:r>
      <w:r>
        <w:rPr>
          <w:rStyle w:val="FootnoteReference"/>
        </w:rPr>
        <w:footnoteReference w:id="52"/>
      </w:r>
      <w:r>
        <w:t xml:space="preserve"> A combination of these two effects is likely responsible for the sensitivity of classical </w:t>
      </w:r>
      <w:r w:rsidRPr="00AA2F8C">
        <w:rPr>
          <w:i/>
          <w:iCs/>
        </w:rPr>
        <w:t>EGFRm</w:t>
      </w:r>
      <w:r>
        <w:t xml:space="preserve"> NSCLC to first generation EGFR TKIs.</w:t>
      </w:r>
      <w:r>
        <w:fldChar w:fldCharType="begin"/>
      </w:r>
      <w:r>
        <w:instrText xml:space="preserve"> NOTEREF _Ref130385884 \f \h </w:instrText>
      </w:r>
      <w:r>
        <w:fldChar w:fldCharType="separate"/>
      </w:r>
      <w:r w:rsidR="00301E36" w:rsidRPr="00301E36">
        <w:rPr>
          <w:rStyle w:val="FootnoteReference"/>
        </w:rPr>
        <w:t>50</w:t>
      </w:r>
      <w:r>
        <w:fldChar w:fldCharType="end"/>
      </w:r>
    </w:p>
    <w:p w14:paraId="209AA337" w14:textId="333ECF19" w:rsidR="0019537C" w:rsidRDefault="0019537C" w:rsidP="0019537C">
      <w:r>
        <w:t xml:space="preserve">When T790M mutations occur in clones previously only expressing the classical </w:t>
      </w:r>
      <w:r w:rsidRPr="00AA2F8C">
        <w:rPr>
          <w:i/>
          <w:iCs/>
        </w:rPr>
        <w:t>EGFRm</w:t>
      </w:r>
      <w:r>
        <w:t xml:space="preserve">, they restore </w:t>
      </w:r>
      <w:r w:rsidRPr="008F6DC5">
        <w:t>the ATP</w:t>
      </w:r>
      <w:r w:rsidR="00AA2F8C">
        <w:t xml:space="preserve"> </w:t>
      </w:r>
      <w:r w:rsidRPr="008F6DC5">
        <w:t>binding affinity of the mutant EGFR to almost wild-type receptor levels.</w:t>
      </w:r>
      <w:r>
        <w:rPr>
          <w:rStyle w:val="FootnoteReference"/>
        </w:rPr>
        <w:footnoteReference w:id="53"/>
      </w:r>
      <w:r>
        <w:t xml:space="preserve"> The restored binding site competition</w:t>
      </w:r>
      <w:r w:rsidRPr="008F6DC5">
        <w:t xml:space="preserve"> </w:t>
      </w:r>
      <w:r>
        <w:t>reduces</w:t>
      </w:r>
      <w:r w:rsidRPr="008F6DC5">
        <w:t xml:space="preserve"> the efficacy of reversible ATP</w:t>
      </w:r>
      <w:r w:rsidR="00AA2F8C">
        <w:t xml:space="preserve"> </w:t>
      </w:r>
      <w:r w:rsidRPr="008F6DC5">
        <w:t xml:space="preserve">competitive </w:t>
      </w:r>
      <w:r>
        <w:t xml:space="preserve">first generation EGFR </w:t>
      </w:r>
      <w:r w:rsidRPr="008F6DC5">
        <w:t>inhibitors, and removes the</w:t>
      </w:r>
      <w:r>
        <w:t>ir</w:t>
      </w:r>
      <w:r w:rsidRPr="008F6DC5">
        <w:t xml:space="preserve"> </w:t>
      </w:r>
      <w:r>
        <w:t>specificity</w:t>
      </w:r>
      <w:r w:rsidRPr="008F6DC5">
        <w:t xml:space="preserve"> </w:t>
      </w:r>
      <w:r>
        <w:t xml:space="preserve">for </w:t>
      </w:r>
      <w:r w:rsidRPr="008F6DC5">
        <w:t>mutant EGFR</w:t>
      </w:r>
      <w:r>
        <w:t xml:space="preserve"> (over wild</w:t>
      </w:r>
      <w:r w:rsidR="00AA2F8C">
        <w:t xml:space="preserve"> </w:t>
      </w:r>
      <w:r>
        <w:t>type)</w:t>
      </w:r>
      <w:r w:rsidRPr="008F6DC5">
        <w:t>.</w:t>
      </w:r>
      <w:r>
        <w:fldChar w:fldCharType="begin"/>
      </w:r>
      <w:r>
        <w:instrText xml:space="preserve"> NOTEREF _Ref130385884 \f \h </w:instrText>
      </w:r>
      <w:r>
        <w:fldChar w:fldCharType="separate"/>
      </w:r>
      <w:r w:rsidR="00301E36" w:rsidRPr="00301E36">
        <w:rPr>
          <w:rStyle w:val="FootnoteReference"/>
        </w:rPr>
        <w:t>50</w:t>
      </w:r>
      <w:r>
        <w:fldChar w:fldCharType="end"/>
      </w:r>
    </w:p>
    <w:p w14:paraId="67744826" w14:textId="7C751FC6" w:rsidR="0019537C" w:rsidRDefault="0019537C" w:rsidP="0019537C">
      <w:r>
        <w:t>Exon 20 translates to the tyrosine kinase domain of the EGFR (</w:t>
      </w:r>
      <w:r>
        <w:fldChar w:fldCharType="begin"/>
      </w:r>
      <w:r>
        <w:instrText xml:space="preserve"> REF _Ref130386796 \h </w:instrText>
      </w:r>
      <w:r>
        <w:fldChar w:fldCharType="separate"/>
      </w:r>
      <w:r w:rsidR="00301E36" w:rsidRPr="00360289">
        <w:t xml:space="preserve">Figure </w:t>
      </w:r>
      <w:r w:rsidR="00301E36">
        <w:rPr>
          <w:noProof/>
        </w:rPr>
        <w:t>3</w:t>
      </w:r>
      <w:r>
        <w:fldChar w:fldCharType="end"/>
      </w:r>
      <w:r>
        <w:t xml:space="preserve">). Ex20ins mutations are a heterogeneous group of in frame insertions or duplications, clustered between residues 762 and 774, that is within the C-terminal of the C-helix or in the following loop. Studies of ex20ins mutation variant </w:t>
      </w:r>
      <w:r w:rsidRPr="008A1703">
        <w:t>D770_N771insNPG</w:t>
      </w:r>
      <w:r>
        <w:t xml:space="preserve"> revealed that, in contrast to Del19 mutations, ex20ins mutations ‘</w:t>
      </w:r>
      <w:r w:rsidRPr="002A7BFD">
        <w:t>push</w:t>
      </w:r>
      <w:r>
        <w:t>’</w:t>
      </w:r>
      <w:r w:rsidRPr="002A7BFD">
        <w:t xml:space="preserve"> the C-helix from the other direction</w:t>
      </w:r>
      <w:r>
        <w:t xml:space="preserve">, forcing it </w:t>
      </w:r>
      <w:r w:rsidRPr="002A7BFD">
        <w:t>into an active conformation</w:t>
      </w:r>
      <w:r>
        <w:t>.</w:t>
      </w:r>
      <w:bookmarkStart w:id="63" w:name="_Ref130386597"/>
      <w:r>
        <w:rPr>
          <w:rStyle w:val="FootnoteReference"/>
        </w:rPr>
        <w:footnoteReference w:id="54"/>
      </w:r>
      <w:bookmarkEnd w:id="63"/>
      <w:r>
        <w:t xml:space="preserve"> Unlike the classical </w:t>
      </w:r>
      <w:r w:rsidRPr="00AA2F8C">
        <w:rPr>
          <w:i/>
          <w:iCs/>
        </w:rPr>
        <w:t>EGFRm</w:t>
      </w:r>
      <w:r w:rsidRPr="008A1703">
        <w:t xml:space="preserve">, D770_N771insNPG </w:t>
      </w:r>
      <w:r>
        <w:t>does not show reduced ATP affinity.</w:t>
      </w:r>
      <w:r>
        <w:fldChar w:fldCharType="begin"/>
      </w:r>
      <w:r>
        <w:instrText xml:space="preserve"> NOTEREF _Ref130386597 \f \h </w:instrText>
      </w:r>
      <w:r>
        <w:fldChar w:fldCharType="separate"/>
      </w:r>
      <w:r w:rsidR="00301E36" w:rsidRPr="00301E36">
        <w:rPr>
          <w:rStyle w:val="FootnoteReference"/>
        </w:rPr>
        <w:t>54</w:t>
      </w:r>
      <w:r>
        <w:fldChar w:fldCharType="end"/>
      </w:r>
      <w:r>
        <w:t xml:space="preserve"> Further, it shows poor affinity for first-generation EGFR TKIs, attributed to steric hindrance by a </w:t>
      </w:r>
      <w:r w:rsidRPr="008A1703">
        <w:t>prominent shift of the C-helix into the drug-binding pocket</w:t>
      </w:r>
      <w:r>
        <w:t>.</w:t>
      </w:r>
      <w:r>
        <w:rPr>
          <w:rStyle w:val="FootnoteReference"/>
        </w:rPr>
        <w:footnoteReference w:id="55"/>
      </w:r>
      <w:r>
        <w:t xml:space="preserve"> It is postulated that these are the reasons that ex20ins</w:t>
      </w:r>
      <w:r w:rsidR="00AA2F8C">
        <w:t xml:space="preserve"> </w:t>
      </w:r>
      <w:r>
        <w:t>positive NSCLC is not responsive to registered TKIs.</w:t>
      </w:r>
    </w:p>
    <w:p w14:paraId="7300CB78" w14:textId="52C69D34" w:rsidR="0019537C" w:rsidRDefault="0019537C" w:rsidP="0019537C">
      <w:r>
        <w:lastRenderedPageBreak/>
        <w:t>Whilst most ex20ins mutant NSCLC is not responsive to registered TKIs, there are some exceptions, and it is postulated that the location of an ex20ins mutation is related to its sensitivity to registered TKIs (</w:t>
      </w:r>
      <w:r>
        <w:fldChar w:fldCharType="begin"/>
      </w:r>
      <w:r>
        <w:instrText xml:space="preserve"> REF _Ref130462056 \h </w:instrText>
      </w:r>
      <w:r>
        <w:fldChar w:fldCharType="separate"/>
      </w:r>
      <w:r w:rsidR="00301E36" w:rsidRPr="00B61F96">
        <w:t xml:space="preserve">Figure </w:t>
      </w:r>
      <w:r w:rsidR="00301E36">
        <w:rPr>
          <w:noProof/>
        </w:rPr>
        <w:t>4</w:t>
      </w:r>
      <w:r>
        <w:fldChar w:fldCharType="end"/>
      </w:r>
      <w:r>
        <w:t>).</w:t>
      </w:r>
      <w:r>
        <w:fldChar w:fldCharType="begin"/>
      </w:r>
      <w:r>
        <w:instrText xml:space="preserve"> NOTEREF _Ref130385884 \f \h </w:instrText>
      </w:r>
      <w:r>
        <w:fldChar w:fldCharType="separate"/>
      </w:r>
      <w:r w:rsidR="00301E36" w:rsidRPr="00301E36">
        <w:rPr>
          <w:rStyle w:val="FootnoteReference"/>
        </w:rPr>
        <w:t>50</w:t>
      </w:r>
      <w:r>
        <w:fldChar w:fldCharType="end"/>
      </w:r>
      <w:r>
        <w:t xml:space="preserve"> In the case of the ex20ins variant </w:t>
      </w:r>
      <w:r w:rsidRPr="0074766C">
        <w:t>A763_Y764insFQEA</w:t>
      </w:r>
      <w:r>
        <w:t>, the insertion occurs before residue 764, so it is located within the region that codes for the C</w:t>
      </w:r>
      <w:r>
        <w:noBreakHyphen/>
        <w:t>helix itself. Structural modelling suggests that this may confe</w:t>
      </w:r>
      <w:r w:rsidRPr="004B5FB7">
        <w:t xml:space="preserve">r an activation mechanism and structure that more closely resemble the classical </w:t>
      </w:r>
      <w:r w:rsidRPr="00475C7F">
        <w:rPr>
          <w:i/>
          <w:iCs/>
        </w:rPr>
        <w:t>EGFRm</w:t>
      </w:r>
      <w:r w:rsidRPr="004B5FB7">
        <w:t xml:space="preserve"> than other ex20ins mutations. This is congruent with multiple reports of partial responses to erlotinib in patients with tumours harbouring A763_Y764insFQEA insertions</w:t>
      </w:r>
      <w:r>
        <w:t>.</w:t>
      </w:r>
      <w:r w:rsidRPr="007705B7">
        <w:rPr>
          <w:vertAlign w:val="superscript"/>
        </w:rPr>
        <w:fldChar w:fldCharType="begin"/>
      </w:r>
      <w:r w:rsidRPr="007705B7">
        <w:rPr>
          <w:vertAlign w:val="superscript"/>
        </w:rPr>
        <w:instrText xml:space="preserve"> NOTEREF _Ref130386597 \f \h </w:instrText>
      </w:r>
      <w:r w:rsidR="00703E86">
        <w:rPr>
          <w:vertAlign w:val="superscript"/>
        </w:rPr>
        <w:instrText xml:space="preserve"> \* MERGEFORMAT </w:instrText>
      </w:r>
      <w:r w:rsidRPr="007705B7">
        <w:rPr>
          <w:vertAlign w:val="superscript"/>
        </w:rPr>
      </w:r>
      <w:r w:rsidRPr="007705B7">
        <w:rPr>
          <w:vertAlign w:val="superscript"/>
        </w:rPr>
        <w:fldChar w:fldCharType="separate"/>
      </w:r>
      <w:r w:rsidR="00301E36" w:rsidRPr="00301E36">
        <w:rPr>
          <w:rStyle w:val="FootnoteReference"/>
        </w:rPr>
        <w:t>54</w:t>
      </w:r>
      <w:r w:rsidRPr="007705B7">
        <w:rPr>
          <w:vertAlign w:val="superscript"/>
        </w:rPr>
        <w:fldChar w:fldCharType="end"/>
      </w:r>
      <w:r w:rsidRPr="007705B7">
        <w:rPr>
          <w:vertAlign w:val="superscript"/>
        </w:rPr>
        <w:t>,</w:t>
      </w:r>
      <w:r w:rsidRPr="00703E86">
        <w:rPr>
          <w:rStyle w:val="FootnoteReference"/>
        </w:rPr>
        <w:footnoteReference w:id="56"/>
      </w:r>
      <w:r w:rsidRPr="007705B7">
        <w:rPr>
          <w:vertAlign w:val="superscript"/>
        </w:rPr>
        <w:t>,</w:t>
      </w:r>
      <w:r w:rsidRPr="00703E86">
        <w:rPr>
          <w:rStyle w:val="FootnoteReference"/>
        </w:rPr>
        <w:footnoteReference w:id="57"/>
      </w:r>
      <w:r w:rsidRPr="007705B7">
        <w:rPr>
          <w:vertAlign w:val="superscript"/>
        </w:rPr>
        <w:t>,</w:t>
      </w:r>
      <w:r w:rsidRPr="00703E86">
        <w:rPr>
          <w:rStyle w:val="FootnoteReference"/>
        </w:rPr>
        <w:footnoteReference w:id="58"/>
      </w:r>
    </w:p>
    <w:p w14:paraId="008AA97E" w14:textId="488C660F" w:rsidR="0019537C" w:rsidRDefault="0019537C" w:rsidP="0019537C">
      <w:pPr>
        <w:pStyle w:val="FigureTitle"/>
        <w:keepNext/>
      </w:pPr>
      <w:bookmarkStart w:id="64" w:name="_Ref130386796"/>
      <w:r w:rsidRPr="00360289">
        <w:t xml:space="preserve">Figure </w:t>
      </w:r>
      <w:r w:rsidRPr="00360289">
        <w:fldChar w:fldCharType="begin"/>
      </w:r>
      <w:r w:rsidRPr="00360289">
        <w:instrText xml:space="preserve"> SEQ Figure \* ARABIC </w:instrText>
      </w:r>
      <w:r w:rsidRPr="00360289">
        <w:fldChar w:fldCharType="separate"/>
      </w:r>
      <w:r w:rsidR="00301E36">
        <w:t>3</w:t>
      </w:r>
      <w:r w:rsidRPr="00360289">
        <w:fldChar w:fldCharType="end"/>
      </w:r>
      <w:bookmarkEnd w:id="64"/>
      <w:r>
        <w:t xml:space="preserve">: </w:t>
      </w:r>
      <w:r w:rsidR="00703E86">
        <w:t xml:space="preserve">Vyse et al. (2019) </w:t>
      </w:r>
      <w:r>
        <w:t>The spectrum of described insertion mutations in exon 20 of the EGFR gene, and their location with respect to the C-helix (in the C-helix itself, light blue; or in the loop following the C-helix, dark grey)</w:t>
      </w:r>
      <w:r>
        <w:fldChar w:fldCharType="begin"/>
      </w:r>
      <w:r>
        <w:instrText xml:space="preserve"> NOTEREF _Ref130385884 \f \h </w:instrText>
      </w:r>
      <w:r>
        <w:fldChar w:fldCharType="separate"/>
      </w:r>
      <w:r w:rsidR="00301E36" w:rsidRPr="00301E36">
        <w:rPr>
          <w:rStyle w:val="FootnoteReference"/>
        </w:rPr>
        <w:t>50</w:t>
      </w:r>
      <w:r>
        <w:fldChar w:fldCharType="end"/>
      </w:r>
    </w:p>
    <w:p w14:paraId="6294F3A7" w14:textId="412066D3" w:rsidR="0019537C" w:rsidRDefault="0019537C" w:rsidP="0019537C">
      <w:r>
        <w:rPr>
          <w:noProof/>
          <w:lang w:val="en-GB" w:eastAsia="en-GB"/>
        </w:rPr>
        <w:drawing>
          <wp:inline distT="0" distB="0" distL="0" distR="0" wp14:anchorId="5D9E4044" wp14:editId="1315AC50">
            <wp:extent cx="4811938" cy="5447415"/>
            <wp:effectExtent l="6033" t="0" r="0" b="0"/>
            <wp:docPr id="16" name="Picture 16" descr="Figure 3: Vyse et al. (2019) The spectrum of described insertion mutations in exon 20 of the EGFR gene, and their location with respect to the C-helix (in the C-helix itself, light blue; or in the loop following the C-helix,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 Vyse et al. (2019) The spectrum of described insertion mutations in exon 20 of the EGFR gene, and their location with respect to the C-helix (in the C-helix itself, light blue; or in the loop following the C-helix, dark 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832695" cy="5470914"/>
                    </a:xfrm>
                    <a:prstGeom prst="rect">
                      <a:avLst/>
                    </a:prstGeom>
                    <a:noFill/>
                    <a:ln>
                      <a:noFill/>
                    </a:ln>
                  </pic:spPr>
                </pic:pic>
              </a:graphicData>
            </a:graphic>
          </wp:inline>
        </w:drawing>
      </w:r>
    </w:p>
    <w:p w14:paraId="1315958E" w14:textId="78134037" w:rsidR="00703E86" w:rsidRPr="00D73418" w:rsidRDefault="00703E86" w:rsidP="007705B7">
      <w:pPr>
        <w:pStyle w:val="FigureDescription"/>
      </w:pPr>
      <w:r w:rsidRPr="007705B7">
        <w:rPr>
          <w:b w:val="0"/>
        </w:rPr>
        <w:t>Adapted from: Vyse, S., Huang, P.H. Targeting EGFR exon 20 insertion mutations in non-small cell lung cancer. Sig Transduct Target Ther 4, 5 (2019).</w:t>
      </w:r>
    </w:p>
    <w:p w14:paraId="0754464F" w14:textId="5AEF593C" w:rsidR="0019537C" w:rsidRDefault="0019537C" w:rsidP="0019537C">
      <w:pPr>
        <w:pStyle w:val="FigureTitle"/>
        <w:keepNext/>
      </w:pPr>
      <w:bookmarkStart w:id="65" w:name="_Ref130462056"/>
      <w:r w:rsidRPr="00B61F96">
        <w:lastRenderedPageBreak/>
        <w:t xml:space="preserve">Figure </w:t>
      </w:r>
      <w:r w:rsidRPr="00B61F96">
        <w:fldChar w:fldCharType="begin"/>
      </w:r>
      <w:r w:rsidRPr="00B61F96">
        <w:instrText xml:space="preserve"> SEQ Figure \* ARABIC </w:instrText>
      </w:r>
      <w:r w:rsidRPr="00B61F96">
        <w:fldChar w:fldCharType="separate"/>
      </w:r>
      <w:r w:rsidR="00301E36">
        <w:t>4</w:t>
      </w:r>
      <w:r w:rsidRPr="00B61F96">
        <w:fldChar w:fldCharType="end"/>
      </w:r>
      <w:bookmarkEnd w:id="65"/>
      <w:r>
        <w:t xml:space="preserve">: </w:t>
      </w:r>
      <w:r w:rsidR="00637F0D">
        <w:t xml:space="preserve">Ramon et al. (2020) </w:t>
      </w:r>
      <w:r>
        <w:t>A putative general association between the location of described insertion mutations in exon 20 of the EGFR gene, and responsiveness to first generation EGFR tyrosine kinase inhibitors</w:t>
      </w:r>
      <w:r w:rsidR="00637F0D" w:rsidDel="00637F0D">
        <w:t xml:space="preserve"> </w:t>
      </w:r>
    </w:p>
    <w:p w14:paraId="4719EE36" w14:textId="479F1F20" w:rsidR="0019537C" w:rsidRDefault="0019537C" w:rsidP="007705B7">
      <w:pPr>
        <w:pStyle w:val="FigureTitle"/>
        <w:keepNext/>
      </w:pPr>
      <w:r>
        <w:rPr>
          <w:lang w:val="en-GB" w:eastAsia="en-GB"/>
        </w:rPr>
        <w:drawing>
          <wp:inline distT="0" distB="0" distL="0" distR="0" wp14:anchorId="7668120D" wp14:editId="45AD7EC7">
            <wp:extent cx="5346322" cy="4643562"/>
            <wp:effectExtent l="0" t="0" r="6985" b="5080"/>
            <wp:docPr id="22" name="Picture 22" descr="Figure 4: Ramon et al. (2020) A putative general association between the location of described insertion mutations in exon 20 of the EGFR gene, and responsiveness to first generation EGFR tyrosine kinase inhibi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Ramon et al. (2020) A putative general association between the location of described insertion mutations in exon 20 of the EGFR gene, and responsiveness to first generation EGFR tyrosine kinase inhibitor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131" cy="4663373"/>
                    </a:xfrm>
                    <a:prstGeom prst="rect">
                      <a:avLst/>
                    </a:prstGeom>
                    <a:noFill/>
                    <a:ln>
                      <a:noFill/>
                    </a:ln>
                  </pic:spPr>
                </pic:pic>
              </a:graphicData>
            </a:graphic>
          </wp:inline>
        </w:drawing>
      </w:r>
    </w:p>
    <w:p w14:paraId="3E79D8BB" w14:textId="2B8FAFD1" w:rsidR="00637F0D" w:rsidRPr="00D73418" w:rsidRDefault="00637F0D" w:rsidP="007705B7">
      <w:pPr>
        <w:pStyle w:val="FigureDescription"/>
      </w:pPr>
      <w:r>
        <w:rPr>
          <w:b w:val="0"/>
        </w:rPr>
        <w:t xml:space="preserve">Diagram adapted from: </w:t>
      </w:r>
      <w:r w:rsidRPr="007705B7">
        <w:rPr>
          <w:b w:val="0"/>
        </w:rPr>
        <w:t>Remon J, Hendriks LEL, Cardona AF, Besse B. EGFR exon 20 insertions in advanced non-small cell lung cancer: A new history begins. Cancer Treat Rev. 2020 Nov;90:102105</w:t>
      </w:r>
    </w:p>
    <w:p w14:paraId="48D45938" w14:textId="717D5E72" w:rsidR="0019537C" w:rsidRDefault="0019537C" w:rsidP="0019537C">
      <w:r>
        <w:t xml:space="preserve">Whilst generalisations such as these may be of some use, the structural heterogeneity among ex20ins mutations suggests variable biology, and the specific sequence of ex20ins variant must be considered when assessing treatment options. For example, there are published reports of TKI response with the rare exon 20 insertion variant D770delinsGY, noting that this is in the loop region that would be assumed resistant according to the theory outlined in </w:t>
      </w:r>
      <w:r>
        <w:fldChar w:fldCharType="begin"/>
      </w:r>
      <w:r>
        <w:instrText xml:space="preserve"> REF _Ref130462056 \h </w:instrText>
      </w:r>
      <w:r>
        <w:fldChar w:fldCharType="separate"/>
      </w:r>
      <w:r w:rsidR="00301E36" w:rsidRPr="00B61F96">
        <w:t xml:space="preserve">Figure </w:t>
      </w:r>
      <w:r w:rsidR="00301E36">
        <w:rPr>
          <w:noProof/>
        </w:rPr>
        <w:t>4</w:t>
      </w:r>
      <w:r>
        <w:fldChar w:fldCharType="end"/>
      </w:r>
      <w:r w:rsidR="00637F0D">
        <w:t>, shown above</w:t>
      </w:r>
      <w:r>
        <w:t>.</w:t>
      </w:r>
      <w:r>
        <w:rPr>
          <w:rStyle w:val="FootnoteReference"/>
        </w:rPr>
        <w:footnoteReference w:id="59"/>
      </w:r>
    </w:p>
    <w:p w14:paraId="156F9DC0" w14:textId="77777777" w:rsidR="0019537C" w:rsidRDefault="0019537C" w:rsidP="0019537C">
      <w:r>
        <w:t>To complicate matters further, u</w:t>
      </w:r>
      <w:r w:rsidRPr="008646F0">
        <w:t xml:space="preserve">ncommon mutations </w:t>
      </w:r>
      <w:r>
        <w:t>are often identified as</w:t>
      </w:r>
      <w:r w:rsidRPr="008646F0">
        <w:t xml:space="preserve"> compound mutations</w:t>
      </w:r>
      <w:r>
        <w:t xml:space="preserve">, with further heterogeneity of sensitivity to </w:t>
      </w:r>
      <w:r w:rsidRPr="008646F0">
        <w:t>TKIs</w:t>
      </w:r>
      <w:r>
        <w:t>, making effects on survival very difficult to understand due to rarity.</w:t>
      </w:r>
      <w:r>
        <w:rPr>
          <w:rStyle w:val="FootnoteReference"/>
        </w:rPr>
        <w:footnoteReference w:id="60"/>
      </w:r>
    </w:p>
    <w:p w14:paraId="76039182" w14:textId="3444D957" w:rsidR="0019537C" w:rsidRDefault="0019537C" w:rsidP="0019537C">
      <w:r>
        <w:lastRenderedPageBreak/>
        <w:t>As ex20ins mutations generally do not sensitise NSCLC to treatment with the available TKIs, they are mostly treated with therapies for NSCLC without a targetable mutation, and the prognosis for these patients is in line with that of</w:t>
      </w:r>
      <w:r w:rsidRPr="0029553D">
        <w:t xml:space="preserve"> the EGFR wild</w:t>
      </w:r>
      <w:r w:rsidR="00AA2F8C">
        <w:t xml:space="preserve"> </w:t>
      </w:r>
      <w:r w:rsidRPr="0029553D">
        <w:t>type populatio</w:t>
      </w:r>
      <w:r>
        <w:t>n.</w:t>
      </w:r>
      <w:r>
        <w:fldChar w:fldCharType="begin"/>
      </w:r>
      <w:r>
        <w:instrText xml:space="preserve"> NOTEREF _Ref130375454 \f \h </w:instrText>
      </w:r>
      <w:r>
        <w:fldChar w:fldCharType="separate"/>
      </w:r>
      <w:r w:rsidR="00301E36" w:rsidRPr="00301E36">
        <w:rPr>
          <w:rStyle w:val="FootnoteReference"/>
        </w:rPr>
        <w:t>21</w:t>
      </w:r>
      <w:r>
        <w:fldChar w:fldCharType="end"/>
      </w:r>
    </w:p>
    <w:p w14:paraId="01F2225D" w14:textId="181ECCA5" w:rsidR="0019537C" w:rsidRDefault="0019537C" w:rsidP="0019537C">
      <w:r>
        <w:t>There is therefore unmet medical need for targeted therapies for NSCLC with this type of molecular alteration.</w:t>
      </w:r>
    </w:p>
    <w:p w14:paraId="411D0042" w14:textId="77777777" w:rsidR="0019537C" w:rsidRDefault="0019537C" w:rsidP="0019537C">
      <w:pPr>
        <w:pStyle w:val="Heading4"/>
      </w:pPr>
      <w:bookmarkStart w:id="66" w:name="_Toc130386499"/>
      <w:bookmarkStart w:id="67" w:name="_Toc132980313"/>
      <w:r>
        <w:t>Mechanism of action</w:t>
      </w:r>
      <w:bookmarkEnd w:id="66"/>
      <w:bookmarkEnd w:id="67"/>
    </w:p>
    <w:p w14:paraId="109FBFD8" w14:textId="0A0A6D2C" w:rsidR="0019537C" w:rsidRDefault="0019537C" w:rsidP="0019537C">
      <w:r>
        <w:t xml:space="preserve">Mobocertinib (also known as TAK-788 and AP32788) is an oral, irreversible </w:t>
      </w:r>
      <w:r w:rsidRPr="00AA2F8C">
        <w:t xml:space="preserve">EGFR </w:t>
      </w:r>
      <w:r>
        <w:t xml:space="preserve">TKI, which forms a covalent bond with cysteine 797 in </w:t>
      </w:r>
      <w:r w:rsidRPr="00AA2F8C">
        <w:t>EGFR</w:t>
      </w:r>
      <w:r>
        <w:t xml:space="preserve"> and inhibits signalling. The sponsor states that a flexible monocyclic core in its structure may allow mobocertinib to bind and inhibit ex20ins-mutated </w:t>
      </w:r>
      <w:r w:rsidRPr="00AA2F8C">
        <w:t>EGFR</w:t>
      </w:r>
      <w:r>
        <w:t xml:space="preserve"> despite the ex20ins</w:t>
      </w:r>
      <w:r w:rsidR="00AA2F8C">
        <w:t xml:space="preserve"> </w:t>
      </w:r>
      <w:r>
        <w:t>induced conformation change distal to the ATP binding pocket which is thought to impede binding of approved EGFR TKIs. Based on its ability to inhibit ex20ins</w:t>
      </w:r>
      <w:r w:rsidR="00AA2F8C">
        <w:t xml:space="preserve"> </w:t>
      </w:r>
      <w:r>
        <w:t>mutated EGFR more potently than wild</w:t>
      </w:r>
      <w:r w:rsidR="00AA2F8C">
        <w:t xml:space="preserve"> </w:t>
      </w:r>
      <w:r>
        <w:t xml:space="preserve">type EGFR </w:t>
      </w:r>
      <w:r w:rsidRPr="00085AE7">
        <w:rPr>
          <w:i/>
          <w:iCs/>
        </w:rPr>
        <w:t>in vitro</w:t>
      </w:r>
      <w:r>
        <w:t xml:space="preserve">, mobocertinib was predicted to provide therapeutic benefit to patients with NSCLC harbouring </w:t>
      </w:r>
      <w:r w:rsidRPr="00B61F96">
        <w:rPr>
          <w:i/>
          <w:iCs/>
        </w:rPr>
        <w:t>EGFR</w:t>
      </w:r>
      <w:r>
        <w:t xml:space="preserve"> ex20ins mutations.</w:t>
      </w:r>
    </w:p>
    <w:p w14:paraId="5B8F801C" w14:textId="5052BA64" w:rsidR="0019537C" w:rsidRPr="00BD5DBD" w:rsidRDefault="0019537C" w:rsidP="0019537C">
      <w:r w:rsidRPr="00BD5DBD">
        <w:t xml:space="preserve">This evaluation was facilitated through </w:t>
      </w:r>
      <w:hyperlink r:id="rId22" w:history="1">
        <w:r w:rsidRPr="00BD5DBD">
          <w:rPr>
            <w:rStyle w:val="Hyperlink"/>
            <w:szCs w:val="22"/>
          </w:rPr>
          <w:t>Project Orbis</w:t>
        </w:r>
      </w:hyperlink>
      <w:r w:rsidRPr="00BD5DBD">
        <w:t xml:space="preserve">, an initiative of the United States Food and Drug Administration (FDA) Oncology Center of Excellence. </w:t>
      </w:r>
      <w:r w:rsidRPr="007A44DB">
        <w:t>Under this project, the FDA</w:t>
      </w:r>
      <w:r w:rsidR="007A44DB" w:rsidRPr="007A44DB">
        <w:rPr>
          <w:color w:val="657C9C" w:themeColor="text2" w:themeTint="BF"/>
        </w:rPr>
        <w:t xml:space="preserve"> </w:t>
      </w:r>
      <w:r w:rsidRPr="007A44DB">
        <w:t>and the TGA collaboratively reviewed the submission. This evaluation</w:t>
      </w:r>
      <w:r w:rsidRPr="00BD5DBD">
        <w:t xml:space="preserve"> process provided a framework for process alignment and management of evaluation issues in real</w:t>
      </w:r>
      <w:r w:rsidR="00AA2F8C">
        <w:t xml:space="preserve"> </w:t>
      </w:r>
      <w:r w:rsidRPr="00BD5DBD">
        <w:t>time across jurisdictions. Each regulator made independent decisions regarding approval (market authorisation) of the new medicine.</w:t>
      </w:r>
    </w:p>
    <w:p w14:paraId="2B328651" w14:textId="77777777" w:rsidR="0019537C" w:rsidRPr="003F31A2" w:rsidRDefault="0019537C" w:rsidP="0019537C">
      <w:pPr>
        <w:pStyle w:val="Heading3"/>
      </w:pPr>
      <w:bookmarkStart w:id="68" w:name="_Toc130386500"/>
      <w:bookmarkStart w:id="69" w:name="_Toc132980314"/>
      <w:r>
        <w:t>Regulatory status</w:t>
      </w:r>
      <w:bookmarkEnd w:id="68"/>
      <w:bookmarkEnd w:id="69"/>
    </w:p>
    <w:p w14:paraId="4C57AA97" w14:textId="77777777" w:rsidR="0019537C" w:rsidRPr="00BD5DBD" w:rsidRDefault="0019537C" w:rsidP="0019537C">
      <w:r w:rsidRPr="00BD5DBD">
        <w:t>This product is considered a new chemical entity for Australian regulatory purposes.</w:t>
      </w:r>
    </w:p>
    <w:p w14:paraId="5A38428A" w14:textId="566B6635" w:rsidR="0019537C" w:rsidRPr="00BD5DBD" w:rsidRDefault="0019537C" w:rsidP="0019537C">
      <w:r w:rsidRPr="00BD5DBD">
        <w:t xml:space="preserve">At the time the TGA considered this submission, a similar submission had been approved in </w:t>
      </w:r>
      <w:r>
        <w:t>United States of America (USA)</w:t>
      </w:r>
      <w:r w:rsidRPr="00BD5DBD">
        <w:t xml:space="preserve"> on </w:t>
      </w:r>
      <w:r>
        <w:t>15 September 2021</w:t>
      </w:r>
      <w:r w:rsidRPr="00BD5DBD">
        <w:t xml:space="preserve">. </w:t>
      </w:r>
      <w:r w:rsidR="00637F0D">
        <w:t>S</w:t>
      </w:r>
      <w:r w:rsidRPr="00BD5DBD">
        <w:t>imilar submission</w:t>
      </w:r>
      <w:r w:rsidR="00637F0D">
        <w:t>s</w:t>
      </w:r>
      <w:r w:rsidRPr="00BD5DBD">
        <w:t xml:space="preserve"> w</w:t>
      </w:r>
      <w:r w:rsidR="00637F0D">
        <w:t>ere</w:t>
      </w:r>
      <w:r w:rsidRPr="00BD5DBD">
        <w:t xml:space="preserve"> under consideration in </w:t>
      </w:r>
      <w:r w:rsidR="00637F0D">
        <w:t xml:space="preserve">the </w:t>
      </w:r>
      <w:r>
        <w:t>United Kingdom (UK)</w:t>
      </w:r>
      <w:r w:rsidRPr="00BD5DBD">
        <w:t xml:space="preserve"> (submitted on </w:t>
      </w:r>
      <w:r>
        <w:t>4 June 2021</w:t>
      </w:r>
      <w:r w:rsidRPr="00BD5DBD">
        <w:t>)</w:t>
      </w:r>
      <w:r w:rsidR="00637F0D">
        <w:t>; the</w:t>
      </w:r>
      <w:r>
        <w:t xml:space="preserve"> European Union (EU) (submitted on 25 June 2021) and Switzerland (submitted on 31 August 2021).</w:t>
      </w:r>
    </w:p>
    <w:p w14:paraId="3B5D8040" w14:textId="77777777" w:rsidR="0019537C" w:rsidRPr="00BD5DBD" w:rsidRDefault="0019537C" w:rsidP="0019537C">
      <w:r w:rsidRPr="00BD5DBD">
        <w:t>The following table summarises these submissions and provides the indications where approved.</w:t>
      </w:r>
    </w:p>
    <w:p w14:paraId="0D0DE21B" w14:textId="1FA8A15E" w:rsidR="0019537C" w:rsidRDefault="0019537C" w:rsidP="0019537C">
      <w:pPr>
        <w:pStyle w:val="TableTitle"/>
      </w:pPr>
      <w:r>
        <w:lastRenderedPageBreak/>
        <w:t xml:space="preserve">Table </w:t>
      </w:r>
      <w:r w:rsidR="003F5EF5">
        <w:fldChar w:fldCharType="begin"/>
      </w:r>
      <w:r w:rsidR="003F5EF5">
        <w:instrText xml:space="preserve"> SEQ Table \* ARABIC </w:instrText>
      </w:r>
      <w:r w:rsidR="003F5EF5">
        <w:fldChar w:fldCharType="separate"/>
      </w:r>
      <w:r w:rsidR="00301E36">
        <w:rPr>
          <w:noProof/>
        </w:rPr>
        <w:t>2</w:t>
      </w:r>
      <w:r w:rsidR="003F5EF5">
        <w:rPr>
          <w:noProof/>
        </w:rPr>
        <w:fldChar w:fldCharType="end"/>
      </w:r>
      <w:r>
        <w:t>: International regulatory status</w:t>
      </w:r>
    </w:p>
    <w:tbl>
      <w:tblPr>
        <w:tblStyle w:val="TableTGAblue2023"/>
        <w:tblW w:w="5000" w:type="pct"/>
        <w:tblLook w:val="04A0" w:firstRow="1" w:lastRow="0" w:firstColumn="1" w:lastColumn="0" w:noHBand="0" w:noVBand="1"/>
      </w:tblPr>
      <w:tblGrid>
        <w:gridCol w:w="1978"/>
        <w:gridCol w:w="2069"/>
        <w:gridCol w:w="2520"/>
        <w:gridCol w:w="2493"/>
      </w:tblGrid>
      <w:tr w:rsidR="0019537C" w:rsidRPr="00D01DDB" w14:paraId="550EC602" w14:textId="77777777" w:rsidTr="00770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14:paraId="68A7EAE4" w14:textId="77777777" w:rsidR="0019537C" w:rsidRPr="00D01DDB" w:rsidRDefault="0019537C" w:rsidP="008B3CF0">
            <w:r w:rsidRPr="00D01DDB">
              <w:t>Region</w:t>
            </w:r>
          </w:p>
        </w:tc>
        <w:tc>
          <w:tcPr>
            <w:tcW w:w="1142" w:type="pct"/>
          </w:tcPr>
          <w:p w14:paraId="0CEB18CE" w14:textId="77777777" w:rsidR="0019537C" w:rsidRPr="00D01DDB" w:rsidRDefault="0019537C" w:rsidP="008B3CF0">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1391" w:type="pct"/>
          </w:tcPr>
          <w:p w14:paraId="3223407F" w14:textId="77777777" w:rsidR="0019537C" w:rsidRPr="00D01DDB" w:rsidRDefault="0019537C" w:rsidP="008B3CF0">
            <w:pPr>
              <w:cnfStyle w:val="100000000000" w:firstRow="1" w:lastRow="0" w:firstColumn="0" w:lastColumn="0" w:oddVBand="0" w:evenVBand="0" w:oddHBand="0" w:evenHBand="0" w:firstRowFirstColumn="0" w:firstRowLastColumn="0" w:lastRowFirstColumn="0" w:lastRowLastColumn="0"/>
            </w:pPr>
            <w:r w:rsidRPr="00D01DDB">
              <w:t>Status</w:t>
            </w:r>
          </w:p>
        </w:tc>
        <w:tc>
          <w:tcPr>
            <w:tcW w:w="1377" w:type="pct"/>
          </w:tcPr>
          <w:p w14:paraId="0D6E21AE" w14:textId="77777777" w:rsidR="0019537C" w:rsidRPr="00D01DDB" w:rsidRDefault="0019537C" w:rsidP="008B3CF0">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19537C" w:rsidRPr="00D01DDB" w14:paraId="69BE7930" w14:textId="77777777" w:rsidTr="007705B7">
        <w:tc>
          <w:tcPr>
            <w:cnfStyle w:val="001000000000" w:firstRow="0" w:lastRow="0" w:firstColumn="1" w:lastColumn="0" w:oddVBand="0" w:evenVBand="0" w:oddHBand="0" w:evenHBand="0" w:firstRowFirstColumn="0" w:firstRowLastColumn="0" w:lastRowFirstColumn="0" w:lastRowLastColumn="0"/>
            <w:tcW w:w="1091" w:type="pct"/>
          </w:tcPr>
          <w:p w14:paraId="32CF249A" w14:textId="77777777" w:rsidR="0019537C" w:rsidRPr="00D01DDB" w:rsidRDefault="0019537C" w:rsidP="008B3CF0">
            <w:r>
              <w:t>United States of America</w:t>
            </w:r>
          </w:p>
        </w:tc>
        <w:tc>
          <w:tcPr>
            <w:tcW w:w="1142" w:type="pct"/>
          </w:tcPr>
          <w:p w14:paraId="4FBBF4AC"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t>26 February 2021</w:t>
            </w:r>
          </w:p>
        </w:tc>
        <w:tc>
          <w:tcPr>
            <w:tcW w:w="1391" w:type="pct"/>
          </w:tcPr>
          <w:p w14:paraId="78A64452" w14:textId="713CD053"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 xml:space="preserve">Approved on </w:t>
            </w:r>
            <w:r>
              <w:t>15</w:t>
            </w:r>
            <w:r w:rsidR="00637F0D">
              <w:t> </w:t>
            </w:r>
            <w:r>
              <w:t>September 2021</w:t>
            </w:r>
          </w:p>
        </w:tc>
        <w:tc>
          <w:tcPr>
            <w:tcW w:w="1377" w:type="pct"/>
          </w:tcPr>
          <w:p w14:paraId="1D97F5D4" w14:textId="77777777" w:rsidR="0019537C" w:rsidRPr="00260384" w:rsidRDefault="0019537C" w:rsidP="008B3CF0">
            <w:pPr>
              <w:cnfStyle w:val="000000000000" w:firstRow="0" w:lastRow="0" w:firstColumn="0" w:lastColumn="0" w:oddVBand="0" w:evenVBand="0" w:oddHBand="0" w:evenHBand="0" w:firstRowFirstColumn="0" w:firstRowLastColumn="0" w:lastRowFirstColumn="0" w:lastRowLastColumn="0"/>
              <w:rPr>
                <w:i/>
                <w:iCs/>
              </w:rPr>
            </w:pPr>
            <w:r w:rsidRPr="00260384">
              <w:rPr>
                <w:i/>
                <w:iCs/>
              </w:rPr>
              <w:t>Exkivity is indicated for the treatment of adult patients with epidermal growth factor receptor (EGFR) exon 20 insertion mutation-positive metastatic non-small cell lung cancer (NSCLC), as detected by an FDA-approved test, who have received prior platinum-based chemotherapy.</w:t>
            </w:r>
          </w:p>
        </w:tc>
      </w:tr>
      <w:tr w:rsidR="0019537C" w:rsidRPr="00D01DDB" w14:paraId="13F5EB08" w14:textId="77777777" w:rsidTr="007705B7">
        <w:tc>
          <w:tcPr>
            <w:cnfStyle w:val="001000000000" w:firstRow="0" w:lastRow="0" w:firstColumn="1" w:lastColumn="0" w:oddVBand="0" w:evenVBand="0" w:oddHBand="0" w:evenHBand="0" w:firstRowFirstColumn="0" w:firstRowLastColumn="0" w:lastRowFirstColumn="0" w:lastRowLastColumn="0"/>
            <w:tcW w:w="1091" w:type="pct"/>
          </w:tcPr>
          <w:p w14:paraId="4B3C28F6" w14:textId="77777777" w:rsidR="0019537C" w:rsidRPr="00D01DDB" w:rsidRDefault="0019537C" w:rsidP="008B3CF0">
            <w:r>
              <w:t>United Kingdom</w:t>
            </w:r>
          </w:p>
        </w:tc>
        <w:tc>
          <w:tcPr>
            <w:tcW w:w="1142" w:type="pct"/>
          </w:tcPr>
          <w:p w14:paraId="5DFC4F3D"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t>4 June 2021</w:t>
            </w:r>
          </w:p>
        </w:tc>
        <w:tc>
          <w:tcPr>
            <w:tcW w:w="1391" w:type="pct"/>
          </w:tcPr>
          <w:p w14:paraId="3378CA40"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377" w:type="pct"/>
          </w:tcPr>
          <w:p w14:paraId="3BF3D317"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r>
      <w:tr w:rsidR="0019537C" w:rsidRPr="00D01DDB" w14:paraId="2118557E" w14:textId="77777777" w:rsidTr="007705B7">
        <w:tc>
          <w:tcPr>
            <w:cnfStyle w:val="001000000000" w:firstRow="0" w:lastRow="0" w:firstColumn="1" w:lastColumn="0" w:oddVBand="0" w:evenVBand="0" w:oddHBand="0" w:evenHBand="0" w:firstRowFirstColumn="0" w:firstRowLastColumn="0" w:lastRowFirstColumn="0" w:lastRowLastColumn="0"/>
            <w:tcW w:w="1091" w:type="pct"/>
          </w:tcPr>
          <w:p w14:paraId="5C4644EE" w14:textId="77777777" w:rsidR="0019537C" w:rsidRDefault="0019537C" w:rsidP="008B3CF0">
            <w:r>
              <w:t>European Union</w:t>
            </w:r>
          </w:p>
        </w:tc>
        <w:tc>
          <w:tcPr>
            <w:tcW w:w="1142" w:type="pct"/>
          </w:tcPr>
          <w:p w14:paraId="0ECF530D" w14:textId="77777777" w:rsidR="0019537C" w:rsidRDefault="0019537C" w:rsidP="008B3CF0">
            <w:pPr>
              <w:cnfStyle w:val="000000000000" w:firstRow="0" w:lastRow="0" w:firstColumn="0" w:lastColumn="0" w:oddVBand="0" w:evenVBand="0" w:oddHBand="0" w:evenHBand="0" w:firstRowFirstColumn="0" w:firstRowLastColumn="0" w:lastRowFirstColumn="0" w:lastRowLastColumn="0"/>
            </w:pPr>
            <w:r>
              <w:t>25 June 2021</w:t>
            </w:r>
          </w:p>
        </w:tc>
        <w:tc>
          <w:tcPr>
            <w:tcW w:w="1391" w:type="pct"/>
          </w:tcPr>
          <w:p w14:paraId="42B1E57A"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377" w:type="pct"/>
          </w:tcPr>
          <w:p w14:paraId="3DBD454C"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r>
      <w:tr w:rsidR="0019537C" w:rsidRPr="00D01DDB" w14:paraId="752F9AAC" w14:textId="77777777" w:rsidTr="007705B7">
        <w:tc>
          <w:tcPr>
            <w:cnfStyle w:val="001000000000" w:firstRow="0" w:lastRow="0" w:firstColumn="1" w:lastColumn="0" w:oddVBand="0" w:evenVBand="0" w:oddHBand="0" w:evenHBand="0" w:firstRowFirstColumn="0" w:firstRowLastColumn="0" w:lastRowFirstColumn="0" w:lastRowLastColumn="0"/>
            <w:tcW w:w="1091" w:type="pct"/>
          </w:tcPr>
          <w:p w14:paraId="3D94974B" w14:textId="77777777" w:rsidR="0019537C" w:rsidRDefault="0019537C" w:rsidP="008B3CF0">
            <w:r>
              <w:t>Switzerland</w:t>
            </w:r>
          </w:p>
        </w:tc>
        <w:tc>
          <w:tcPr>
            <w:tcW w:w="1142" w:type="pct"/>
          </w:tcPr>
          <w:p w14:paraId="087CEDE5" w14:textId="77777777" w:rsidR="0019537C" w:rsidRDefault="0019537C" w:rsidP="008B3CF0">
            <w:pPr>
              <w:cnfStyle w:val="000000000000" w:firstRow="0" w:lastRow="0" w:firstColumn="0" w:lastColumn="0" w:oddVBand="0" w:evenVBand="0" w:oddHBand="0" w:evenHBand="0" w:firstRowFirstColumn="0" w:firstRowLastColumn="0" w:lastRowFirstColumn="0" w:lastRowLastColumn="0"/>
            </w:pPr>
            <w:r>
              <w:t>31 August 2021</w:t>
            </w:r>
          </w:p>
        </w:tc>
        <w:tc>
          <w:tcPr>
            <w:tcW w:w="1391" w:type="pct"/>
          </w:tcPr>
          <w:p w14:paraId="3BBF0EE8"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377" w:type="pct"/>
          </w:tcPr>
          <w:p w14:paraId="2BABB446" w14:textId="77777777" w:rsidR="0019537C" w:rsidRPr="00D01DDB" w:rsidRDefault="0019537C" w:rsidP="008B3CF0">
            <w:pPr>
              <w:cnfStyle w:val="000000000000" w:firstRow="0" w:lastRow="0" w:firstColumn="0" w:lastColumn="0" w:oddVBand="0" w:evenVBand="0" w:oddHBand="0" w:evenHBand="0" w:firstRowFirstColumn="0" w:firstRowLastColumn="0" w:lastRowFirstColumn="0" w:lastRowLastColumn="0"/>
            </w:pPr>
            <w:r w:rsidRPr="00D01DDB">
              <w:t>Under consideration</w:t>
            </w:r>
          </w:p>
        </w:tc>
      </w:tr>
    </w:tbl>
    <w:p w14:paraId="3E4DAFFF" w14:textId="74B9CAC8" w:rsidR="0019537C" w:rsidRDefault="0019537C" w:rsidP="00260384">
      <w:pPr>
        <w:spacing w:before="120"/>
      </w:pPr>
      <w:r w:rsidRPr="004B5DEB">
        <w:t xml:space="preserve">Mobocertinib was granted accelerated approval by the </w:t>
      </w:r>
      <w:r w:rsidR="00637F0D">
        <w:t xml:space="preserve">US </w:t>
      </w:r>
      <w:r w:rsidRPr="004B5DEB">
        <w:t>FDA on September 15, 2021, with the Oncomine Dx Target Test (Life Technologies Corporation) as a companion diagnostic device to select patients mobocertinib treatment</w:t>
      </w:r>
      <w:r>
        <w:t>.</w:t>
      </w:r>
      <w:r>
        <w:rPr>
          <w:rStyle w:val="FootnoteReference"/>
        </w:rPr>
        <w:footnoteReference w:id="61"/>
      </w:r>
      <w:r w:rsidRPr="004B5DEB">
        <w:t xml:space="preserve"> FDA approval was based on </w:t>
      </w:r>
      <w:r w:rsidR="00260384">
        <w:t>S</w:t>
      </w:r>
      <w:r w:rsidRPr="004B5DEB">
        <w:t>tudy AP32788-15-101 (</w:t>
      </w:r>
      <w:r w:rsidR="00637F0D">
        <w:t>abbreviated</w:t>
      </w:r>
      <w:r w:rsidRPr="004B5DEB">
        <w:t xml:space="preserve"> as Study 101) and the approval package is publicly available on the FDA website</w:t>
      </w:r>
      <w:r>
        <w:t>,</w:t>
      </w:r>
      <w:r>
        <w:rPr>
          <w:rStyle w:val="FootnoteReference"/>
        </w:rPr>
        <w:footnoteReference w:id="62"/>
      </w:r>
      <w:r w:rsidRPr="004B5DEB">
        <w:t xml:space="preserve"> including the MDR which details the clinical review</w:t>
      </w:r>
      <w:r>
        <w:t>.</w:t>
      </w:r>
      <w:r>
        <w:fldChar w:fldCharType="begin"/>
      </w:r>
      <w:r>
        <w:instrText xml:space="preserve"> NOTEREF _Ref130385363 \f \h </w:instrText>
      </w:r>
      <w:r>
        <w:fldChar w:fldCharType="separate"/>
      </w:r>
      <w:r w:rsidR="00301E36" w:rsidRPr="00301E36">
        <w:rPr>
          <w:rStyle w:val="FootnoteReference"/>
        </w:rPr>
        <w:t>45</w:t>
      </w:r>
      <w:r>
        <w:fldChar w:fldCharType="end"/>
      </w:r>
      <w:r w:rsidRPr="004B5DEB">
        <w:t xml:space="preserve"> </w:t>
      </w:r>
      <w:r w:rsidR="00637F0D">
        <w:t xml:space="preserve">The </w:t>
      </w:r>
      <w:r w:rsidRPr="004B5DEB">
        <w:t>FDA post</w:t>
      </w:r>
      <w:r w:rsidR="00637F0D">
        <w:noBreakHyphen/>
      </w:r>
      <w:r w:rsidRPr="004B5DEB">
        <w:t>marketing requirements and commitments are outlined in the approval letter, and are summarised here in</w:t>
      </w:r>
      <w:r>
        <w:t xml:space="preserve"> </w:t>
      </w:r>
      <w:r>
        <w:fldChar w:fldCharType="begin"/>
      </w:r>
      <w:r>
        <w:instrText xml:space="preserve"> REF _Ref130460295 \h </w:instrText>
      </w:r>
      <w:r>
        <w:fldChar w:fldCharType="separate"/>
      </w:r>
      <w:r w:rsidR="00301E36" w:rsidRPr="00E80A00">
        <w:t xml:space="preserve">Table </w:t>
      </w:r>
      <w:r w:rsidR="00301E36">
        <w:rPr>
          <w:noProof/>
        </w:rPr>
        <w:t>3</w:t>
      </w:r>
      <w:r>
        <w:fldChar w:fldCharType="end"/>
      </w:r>
      <w:r>
        <w:t>.</w:t>
      </w:r>
      <w:bookmarkStart w:id="70" w:name="_Ref130462178"/>
      <w:r>
        <w:rPr>
          <w:rStyle w:val="FootnoteReference"/>
        </w:rPr>
        <w:footnoteReference w:id="63"/>
      </w:r>
      <w:bookmarkEnd w:id="70"/>
    </w:p>
    <w:p w14:paraId="456598B0" w14:textId="232E6E09" w:rsidR="0019537C" w:rsidRDefault="0019537C" w:rsidP="0019537C">
      <w:pPr>
        <w:pStyle w:val="TableTitle"/>
      </w:pPr>
      <w:bookmarkStart w:id="71" w:name="_Ref130460295"/>
      <w:bookmarkStart w:id="72" w:name="_Ref130460274"/>
      <w:r w:rsidRPr="00E80A00">
        <w:t xml:space="preserve">Table </w:t>
      </w:r>
      <w:r w:rsidR="003F5EF5">
        <w:fldChar w:fldCharType="begin"/>
      </w:r>
      <w:r w:rsidR="003F5EF5">
        <w:instrText xml:space="preserve"> SEQ Table \* ARABIC </w:instrText>
      </w:r>
      <w:r w:rsidR="003F5EF5">
        <w:fldChar w:fldCharType="separate"/>
      </w:r>
      <w:r w:rsidR="00301E36">
        <w:rPr>
          <w:noProof/>
        </w:rPr>
        <w:t>3</w:t>
      </w:r>
      <w:r w:rsidR="003F5EF5">
        <w:rPr>
          <w:noProof/>
        </w:rPr>
        <w:fldChar w:fldCharType="end"/>
      </w:r>
      <w:bookmarkEnd w:id="71"/>
      <w:r w:rsidRPr="00E80A00">
        <w:t>:</w:t>
      </w:r>
      <w:r>
        <w:t xml:space="preserve"> </w:t>
      </w:r>
      <w:r w:rsidR="00637F0D">
        <w:t>United States Food and Drug</w:t>
      </w:r>
      <w:r>
        <w:t xml:space="preserve"> postmarketing requirements and commitments for </w:t>
      </w:r>
      <w:r w:rsidR="00637F0D">
        <w:t>Exkivity</w:t>
      </w:r>
      <w:bookmarkEnd w:id="72"/>
      <w:r w:rsidR="00637F0D" w:rsidDel="00637F0D">
        <w:t xml:space="preserve"> </w:t>
      </w:r>
    </w:p>
    <w:tbl>
      <w:tblPr>
        <w:tblStyle w:val="TableTGAblue"/>
        <w:tblW w:w="0" w:type="auto"/>
        <w:tblCellMar>
          <w:left w:w="57" w:type="dxa"/>
          <w:right w:w="57" w:type="dxa"/>
        </w:tblCellMar>
        <w:tblLook w:val="04A0" w:firstRow="1" w:lastRow="0" w:firstColumn="1" w:lastColumn="0" w:noHBand="0" w:noVBand="1"/>
      </w:tblPr>
      <w:tblGrid>
        <w:gridCol w:w="1383"/>
        <w:gridCol w:w="2657"/>
        <w:gridCol w:w="5010"/>
      </w:tblGrid>
      <w:tr w:rsidR="0019537C" w:rsidRPr="00637F0D" w14:paraId="0EDBB62B" w14:textId="77777777" w:rsidTr="007705B7">
        <w:trPr>
          <w:cnfStyle w:val="100000000000" w:firstRow="1" w:lastRow="0" w:firstColumn="0" w:lastColumn="0" w:oddVBand="0" w:evenVBand="0" w:oddHBand="0" w:evenHBand="0" w:firstRowFirstColumn="0" w:firstRowLastColumn="0" w:lastRowFirstColumn="0" w:lastRowLastColumn="0"/>
          <w:trHeight w:val="422"/>
        </w:trPr>
        <w:tc>
          <w:tcPr>
            <w:tcW w:w="1383" w:type="dxa"/>
          </w:tcPr>
          <w:p w14:paraId="659F639D" w14:textId="77777777" w:rsidR="0019537C" w:rsidRPr="00637F0D" w:rsidRDefault="0019537C" w:rsidP="00637F0D">
            <w:r w:rsidRPr="007705B7">
              <w:rPr>
                <w:sz w:val="20"/>
              </w:rPr>
              <w:t>Reference</w:t>
            </w:r>
          </w:p>
        </w:tc>
        <w:tc>
          <w:tcPr>
            <w:tcW w:w="2657" w:type="dxa"/>
          </w:tcPr>
          <w:p w14:paraId="2EBD6969" w14:textId="77777777" w:rsidR="0019537C" w:rsidRPr="007705B7" w:rsidRDefault="0019537C" w:rsidP="008B3CF0">
            <w:pPr>
              <w:rPr>
                <w:sz w:val="20"/>
              </w:rPr>
            </w:pPr>
            <w:r w:rsidRPr="007705B7">
              <w:rPr>
                <w:sz w:val="20"/>
              </w:rPr>
              <w:t>Study</w:t>
            </w:r>
          </w:p>
        </w:tc>
        <w:tc>
          <w:tcPr>
            <w:tcW w:w="5010" w:type="dxa"/>
          </w:tcPr>
          <w:p w14:paraId="33819FC9" w14:textId="77777777" w:rsidR="0019537C" w:rsidRPr="007705B7" w:rsidRDefault="0019537C" w:rsidP="008B3CF0">
            <w:pPr>
              <w:rPr>
                <w:sz w:val="20"/>
              </w:rPr>
            </w:pPr>
            <w:r w:rsidRPr="007705B7">
              <w:rPr>
                <w:sz w:val="20"/>
              </w:rPr>
              <w:t>Expected availability</w:t>
            </w:r>
          </w:p>
        </w:tc>
      </w:tr>
      <w:tr w:rsidR="0019537C" w:rsidRPr="00637F0D" w14:paraId="0710F4DE" w14:textId="77777777" w:rsidTr="007705B7">
        <w:tc>
          <w:tcPr>
            <w:tcW w:w="1383" w:type="dxa"/>
          </w:tcPr>
          <w:p w14:paraId="1DE8426D" w14:textId="77777777" w:rsidR="0019537C" w:rsidRPr="007705B7" w:rsidRDefault="0019537C" w:rsidP="008B3CF0">
            <w:pPr>
              <w:rPr>
                <w:sz w:val="20"/>
              </w:rPr>
            </w:pPr>
            <w:r w:rsidRPr="007705B7">
              <w:rPr>
                <w:sz w:val="20"/>
              </w:rPr>
              <w:t>PMR 4148-1</w:t>
            </w:r>
          </w:p>
        </w:tc>
        <w:tc>
          <w:tcPr>
            <w:tcW w:w="2657" w:type="dxa"/>
          </w:tcPr>
          <w:p w14:paraId="724908EA" w14:textId="2714DF30" w:rsidR="0019537C" w:rsidRPr="007705B7" w:rsidRDefault="0019537C" w:rsidP="008B3CF0">
            <w:pPr>
              <w:rPr>
                <w:sz w:val="20"/>
              </w:rPr>
            </w:pPr>
            <w:r w:rsidRPr="007705B7">
              <w:rPr>
                <w:sz w:val="20"/>
              </w:rPr>
              <w:t xml:space="preserve">Final PFS from a </w:t>
            </w:r>
            <w:r w:rsidR="00260384" w:rsidRPr="007705B7">
              <w:rPr>
                <w:sz w:val="20"/>
              </w:rPr>
              <w:t>randomised control trial (</w:t>
            </w:r>
            <w:r w:rsidRPr="007705B7">
              <w:rPr>
                <w:sz w:val="20"/>
              </w:rPr>
              <w:t>RCT</w:t>
            </w:r>
            <w:r w:rsidR="00260384" w:rsidRPr="007705B7">
              <w:rPr>
                <w:sz w:val="20"/>
              </w:rPr>
              <w:t>)</w:t>
            </w:r>
            <w:r w:rsidRPr="007705B7">
              <w:rPr>
                <w:sz w:val="20"/>
              </w:rPr>
              <w:t xml:space="preserve"> of mobocertinib in patients with advanced </w:t>
            </w:r>
            <w:r w:rsidRPr="007705B7">
              <w:rPr>
                <w:i/>
                <w:iCs/>
                <w:sz w:val="20"/>
              </w:rPr>
              <w:t xml:space="preserve">EGFR </w:t>
            </w:r>
            <w:r w:rsidRPr="007705B7">
              <w:rPr>
                <w:sz w:val="20"/>
              </w:rPr>
              <w:t>ex20ins-positive NSCLC.</w:t>
            </w:r>
          </w:p>
        </w:tc>
        <w:tc>
          <w:tcPr>
            <w:tcW w:w="5010" w:type="dxa"/>
          </w:tcPr>
          <w:p w14:paraId="76E7F77C" w14:textId="79F97E86" w:rsidR="0019537C" w:rsidRPr="007705B7" w:rsidRDefault="0019537C" w:rsidP="008B3CF0">
            <w:pPr>
              <w:rPr>
                <w:sz w:val="20"/>
              </w:rPr>
            </w:pPr>
            <w:r w:rsidRPr="007705B7">
              <w:rPr>
                <w:sz w:val="20"/>
              </w:rPr>
              <w:t xml:space="preserve">Final Protocol Submission: </w:t>
            </w:r>
            <w:r w:rsidR="00260384" w:rsidRPr="007705B7">
              <w:rPr>
                <w:sz w:val="20"/>
              </w:rPr>
              <w:t xml:space="preserve">first quarter of </w:t>
            </w:r>
            <w:r w:rsidRPr="007705B7">
              <w:rPr>
                <w:sz w:val="20"/>
              </w:rPr>
              <w:t>2021</w:t>
            </w:r>
          </w:p>
          <w:p w14:paraId="3C0E4144" w14:textId="501708F2" w:rsidR="0019537C" w:rsidRPr="007705B7" w:rsidRDefault="0019537C" w:rsidP="008B3CF0">
            <w:pPr>
              <w:rPr>
                <w:sz w:val="20"/>
              </w:rPr>
            </w:pPr>
            <w:r w:rsidRPr="007705B7">
              <w:rPr>
                <w:sz w:val="20"/>
              </w:rPr>
              <w:t xml:space="preserve">Trial Completion: </w:t>
            </w:r>
            <w:r w:rsidR="00260384" w:rsidRPr="007705B7">
              <w:rPr>
                <w:sz w:val="20"/>
              </w:rPr>
              <w:t xml:space="preserve">third quarter of </w:t>
            </w:r>
            <w:r w:rsidRPr="007705B7">
              <w:rPr>
                <w:sz w:val="20"/>
              </w:rPr>
              <w:t>2023</w:t>
            </w:r>
          </w:p>
          <w:p w14:paraId="09EA92DE" w14:textId="5DE7C7B9" w:rsidR="0019537C" w:rsidRPr="007705B7" w:rsidRDefault="0019537C" w:rsidP="008B3CF0">
            <w:pPr>
              <w:rPr>
                <w:sz w:val="20"/>
              </w:rPr>
            </w:pPr>
            <w:r w:rsidRPr="007705B7">
              <w:rPr>
                <w:sz w:val="20"/>
              </w:rPr>
              <w:t xml:space="preserve">Final Report Submission: </w:t>
            </w:r>
            <w:r w:rsidR="00260384" w:rsidRPr="007705B7">
              <w:rPr>
                <w:sz w:val="20"/>
              </w:rPr>
              <w:t xml:space="preserve">first quarter of </w:t>
            </w:r>
            <w:r w:rsidRPr="007705B7">
              <w:rPr>
                <w:sz w:val="20"/>
              </w:rPr>
              <w:t>2024</w:t>
            </w:r>
          </w:p>
        </w:tc>
      </w:tr>
      <w:tr w:rsidR="0019537C" w:rsidRPr="00637F0D" w14:paraId="7BDD0282" w14:textId="77777777" w:rsidTr="007705B7">
        <w:tc>
          <w:tcPr>
            <w:tcW w:w="1383" w:type="dxa"/>
          </w:tcPr>
          <w:p w14:paraId="308E8E30" w14:textId="77777777" w:rsidR="0019537C" w:rsidRPr="007705B7" w:rsidRDefault="0019537C" w:rsidP="008B3CF0">
            <w:pPr>
              <w:rPr>
                <w:sz w:val="20"/>
              </w:rPr>
            </w:pPr>
            <w:r w:rsidRPr="007705B7">
              <w:rPr>
                <w:sz w:val="20"/>
              </w:rPr>
              <w:t>PMR 4148-2</w:t>
            </w:r>
          </w:p>
        </w:tc>
        <w:tc>
          <w:tcPr>
            <w:tcW w:w="2657" w:type="dxa"/>
          </w:tcPr>
          <w:p w14:paraId="67F1A159" w14:textId="77777777" w:rsidR="0019537C" w:rsidRPr="007705B7" w:rsidRDefault="0019537C" w:rsidP="008B3CF0">
            <w:pPr>
              <w:rPr>
                <w:sz w:val="20"/>
              </w:rPr>
            </w:pPr>
            <w:r w:rsidRPr="007705B7">
              <w:rPr>
                <w:sz w:val="20"/>
              </w:rPr>
              <w:t xml:space="preserve">Integrated safety analysis of RCT data on QT prolongation. </w:t>
            </w:r>
          </w:p>
        </w:tc>
        <w:tc>
          <w:tcPr>
            <w:tcW w:w="5010" w:type="dxa"/>
          </w:tcPr>
          <w:p w14:paraId="3BC7D256" w14:textId="19BC9D27" w:rsidR="0019537C" w:rsidRPr="007705B7" w:rsidRDefault="0019537C" w:rsidP="008B3CF0">
            <w:pPr>
              <w:rPr>
                <w:sz w:val="20"/>
              </w:rPr>
            </w:pPr>
            <w:r w:rsidRPr="007705B7">
              <w:rPr>
                <w:sz w:val="20"/>
              </w:rPr>
              <w:t xml:space="preserve">Draft Analysis Plan Submission: </w:t>
            </w:r>
            <w:r w:rsidR="00260384" w:rsidRPr="007705B7">
              <w:rPr>
                <w:sz w:val="20"/>
              </w:rPr>
              <w:t xml:space="preserve">third quarter of </w:t>
            </w:r>
            <w:r w:rsidRPr="007705B7">
              <w:rPr>
                <w:sz w:val="20"/>
              </w:rPr>
              <w:t xml:space="preserve">2022 </w:t>
            </w:r>
            <w:r w:rsidRPr="007705B7">
              <w:rPr>
                <w:sz w:val="20"/>
              </w:rPr>
              <w:br/>
              <w:t xml:space="preserve">Final Analysis Plan Submission: </w:t>
            </w:r>
            <w:r w:rsidR="00260384" w:rsidRPr="007705B7">
              <w:rPr>
                <w:sz w:val="20"/>
              </w:rPr>
              <w:t>third quarter of</w:t>
            </w:r>
            <w:r w:rsidR="00637F0D">
              <w:rPr>
                <w:sz w:val="20"/>
              </w:rPr>
              <w:t xml:space="preserve"> 2023</w:t>
            </w:r>
            <w:r w:rsidRPr="007705B7">
              <w:rPr>
                <w:sz w:val="20"/>
              </w:rPr>
              <w:br/>
              <w:t xml:space="preserve">Study Completion: </w:t>
            </w:r>
            <w:r w:rsidR="00260384" w:rsidRPr="007705B7">
              <w:rPr>
                <w:sz w:val="20"/>
              </w:rPr>
              <w:t xml:space="preserve">third quarter of </w:t>
            </w:r>
            <w:r w:rsidRPr="007705B7">
              <w:rPr>
                <w:sz w:val="20"/>
              </w:rPr>
              <w:t xml:space="preserve">2023 </w:t>
            </w:r>
            <w:r w:rsidRPr="007705B7">
              <w:rPr>
                <w:sz w:val="20"/>
              </w:rPr>
              <w:br/>
              <w:t xml:space="preserve">Final Report Submission: </w:t>
            </w:r>
            <w:r w:rsidR="00260384" w:rsidRPr="007705B7">
              <w:rPr>
                <w:sz w:val="20"/>
              </w:rPr>
              <w:t xml:space="preserve">first quarter of </w:t>
            </w:r>
            <w:r w:rsidRPr="007705B7">
              <w:rPr>
                <w:sz w:val="20"/>
              </w:rPr>
              <w:t>2024</w:t>
            </w:r>
          </w:p>
        </w:tc>
      </w:tr>
      <w:tr w:rsidR="0019537C" w:rsidRPr="00637F0D" w14:paraId="6CB3A239" w14:textId="77777777" w:rsidTr="007705B7">
        <w:tc>
          <w:tcPr>
            <w:tcW w:w="1383" w:type="dxa"/>
          </w:tcPr>
          <w:p w14:paraId="68B62A30" w14:textId="77777777" w:rsidR="0019537C" w:rsidRPr="007705B7" w:rsidRDefault="0019537C" w:rsidP="008B3CF0">
            <w:pPr>
              <w:rPr>
                <w:sz w:val="20"/>
              </w:rPr>
            </w:pPr>
            <w:r w:rsidRPr="007705B7">
              <w:rPr>
                <w:sz w:val="20"/>
              </w:rPr>
              <w:lastRenderedPageBreak/>
              <w:t>PMR 4148-3</w:t>
            </w:r>
          </w:p>
        </w:tc>
        <w:tc>
          <w:tcPr>
            <w:tcW w:w="2657" w:type="dxa"/>
          </w:tcPr>
          <w:p w14:paraId="2F7D621C" w14:textId="77777777" w:rsidR="0019537C" w:rsidRPr="007705B7" w:rsidRDefault="0019537C" w:rsidP="008B3CF0">
            <w:pPr>
              <w:rPr>
                <w:sz w:val="20"/>
              </w:rPr>
            </w:pPr>
            <w:r w:rsidRPr="007705B7">
              <w:rPr>
                <w:sz w:val="20"/>
              </w:rPr>
              <w:t xml:space="preserve">Integrated safety analysis of RCT data on cardiac failure. </w:t>
            </w:r>
          </w:p>
        </w:tc>
        <w:tc>
          <w:tcPr>
            <w:tcW w:w="5010" w:type="dxa"/>
          </w:tcPr>
          <w:p w14:paraId="78298A82" w14:textId="5AA40843" w:rsidR="0019537C" w:rsidRPr="007705B7" w:rsidRDefault="0019537C" w:rsidP="008B3CF0">
            <w:pPr>
              <w:rPr>
                <w:sz w:val="20"/>
              </w:rPr>
            </w:pPr>
            <w:r w:rsidRPr="007705B7">
              <w:rPr>
                <w:sz w:val="20"/>
              </w:rPr>
              <w:t xml:space="preserve">Draft Analysis Plan Submission: </w:t>
            </w:r>
            <w:r w:rsidR="00260384" w:rsidRPr="007705B7">
              <w:rPr>
                <w:sz w:val="20"/>
              </w:rPr>
              <w:t xml:space="preserve">third quarter of </w:t>
            </w:r>
            <w:r w:rsidRPr="007705B7">
              <w:rPr>
                <w:sz w:val="20"/>
              </w:rPr>
              <w:t xml:space="preserve">2022 </w:t>
            </w:r>
            <w:r w:rsidRPr="007705B7">
              <w:rPr>
                <w:sz w:val="20"/>
              </w:rPr>
              <w:br/>
              <w:t xml:space="preserve">Final Analysis Plan Submission: </w:t>
            </w:r>
            <w:r w:rsidR="00260384" w:rsidRPr="007705B7">
              <w:rPr>
                <w:sz w:val="20"/>
              </w:rPr>
              <w:t xml:space="preserve">third quarter of </w:t>
            </w:r>
            <w:r w:rsidRPr="007705B7">
              <w:rPr>
                <w:sz w:val="20"/>
              </w:rPr>
              <w:t xml:space="preserve">2023 </w:t>
            </w:r>
            <w:r w:rsidRPr="007705B7">
              <w:rPr>
                <w:sz w:val="20"/>
              </w:rPr>
              <w:br/>
              <w:t xml:space="preserve">Study Completion: </w:t>
            </w:r>
            <w:r w:rsidR="00260384" w:rsidRPr="007705B7">
              <w:rPr>
                <w:sz w:val="20"/>
              </w:rPr>
              <w:t xml:space="preserve">third quarter of </w:t>
            </w:r>
            <w:r w:rsidRPr="007705B7">
              <w:rPr>
                <w:sz w:val="20"/>
              </w:rPr>
              <w:t xml:space="preserve">2023 </w:t>
            </w:r>
            <w:r w:rsidRPr="007705B7">
              <w:rPr>
                <w:sz w:val="20"/>
              </w:rPr>
              <w:br/>
              <w:t xml:space="preserve">Final Report Submission: </w:t>
            </w:r>
            <w:r w:rsidR="00260384" w:rsidRPr="007705B7">
              <w:rPr>
                <w:sz w:val="20"/>
              </w:rPr>
              <w:t xml:space="preserve">first quarter of </w:t>
            </w:r>
            <w:r w:rsidRPr="007705B7">
              <w:rPr>
                <w:sz w:val="20"/>
              </w:rPr>
              <w:t xml:space="preserve">2024 </w:t>
            </w:r>
          </w:p>
        </w:tc>
      </w:tr>
      <w:tr w:rsidR="0019537C" w:rsidRPr="00637F0D" w14:paraId="71D7A95C" w14:textId="77777777" w:rsidTr="007705B7">
        <w:tc>
          <w:tcPr>
            <w:tcW w:w="1383" w:type="dxa"/>
          </w:tcPr>
          <w:p w14:paraId="42634E6E" w14:textId="77777777" w:rsidR="0019537C" w:rsidRPr="007705B7" w:rsidRDefault="0019537C" w:rsidP="008B3CF0">
            <w:pPr>
              <w:rPr>
                <w:sz w:val="20"/>
              </w:rPr>
            </w:pPr>
            <w:r w:rsidRPr="007705B7">
              <w:rPr>
                <w:sz w:val="20"/>
              </w:rPr>
              <w:t>PMR 4148-4</w:t>
            </w:r>
          </w:p>
        </w:tc>
        <w:tc>
          <w:tcPr>
            <w:tcW w:w="2657" w:type="dxa"/>
          </w:tcPr>
          <w:p w14:paraId="76C4B730" w14:textId="77777777" w:rsidR="0019537C" w:rsidRPr="007705B7" w:rsidRDefault="0019537C" w:rsidP="008B3CF0">
            <w:pPr>
              <w:rPr>
                <w:sz w:val="20"/>
              </w:rPr>
            </w:pPr>
            <w:r w:rsidRPr="007705B7">
              <w:rPr>
                <w:sz w:val="20"/>
              </w:rPr>
              <w:t>Renal impairment clinical trial evaluating severe renal impairment.</w:t>
            </w:r>
          </w:p>
        </w:tc>
        <w:tc>
          <w:tcPr>
            <w:tcW w:w="5010" w:type="dxa"/>
          </w:tcPr>
          <w:p w14:paraId="73B4957C" w14:textId="31EE04DE" w:rsidR="0019537C" w:rsidRPr="007705B7" w:rsidRDefault="0019537C" w:rsidP="008B3CF0">
            <w:pPr>
              <w:rPr>
                <w:sz w:val="20"/>
              </w:rPr>
            </w:pPr>
            <w:r w:rsidRPr="007705B7">
              <w:rPr>
                <w:sz w:val="20"/>
              </w:rPr>
              <w:t xml:space="preserve">Final Protocol Submission: </w:t>
            </w:r>
            <w:r w:rsidR="00260384" w:rsidRPr="007705B7">
              <w:rPr>
                <w:sz w:val="20"/>
              </w:rPr>
              <w:t xml:space="preserve">fourth quarter of </w:t>
            </w:r>
            <w:r w:rsidRPr="007705B7">
              <w:rPr>
                <w:sz w:val="20"/>
              </w:rPr>
              <w:t xml:space="preserve">2020 </w:t>
            </w:r>
            <w:r w:rsidRPr="007705B7">
              <w:rPr>
                <w:sz w:val="20"/>
              </w:rPr>
              <w:br/>
              <w:t xml:space="preserve">Trial Completion: </w:t>
            </w:r>
            <w:r w:rsidR="00260384" w:rsidRPr="007705B7">
              <w:rPr>
                <w:sz w:val="20"/>
              </w:rPr>
              <w:t xml:space="preserve">third quarter of </w:t>
            </w:r>
            <w:r w:rsidRPr="007705B7">
              <w:rPr>
                <w:sz w:val="20"/>
              </w:rPr>
              <w:t xml:space="preserve">2022 </w:t>
            </w:r>
            <w:r w:rsidRPr="007705B7">
              <w:rPr>
                <w:sz w:val="20"/>
              </w:rPr>
              <w:br/>
              <w:t xml:space="preserve">Final Report Submission: </w:t>
            </w:r>
            <w:r w:rsidR="00260384" w:rsidRPr="007705B7">
              <w:rPr>
                <w:sz w:val="20"/>
              </w:rPr>
              <w:t xml:space="preserve">first quarter of </w:t>
            </w:r>
            <w:r w:rsidRPr="007705B7">
              <w:rPr>
                <w:sz w:val="20"/>
              </w:rPr>
              <w:t xml:space="preserve">2023  </w:t>
            </w:r>
          </w:p>
        </w:tc>
      </w:tr>
      <w:tr w:rsidR="0019537C" w:rsidRPr="00637F0D" w14:paraId="4148BF72" w14:textId="77777777" w:rsidTr="007705B7">
        <w:tc>
          <w:tcPr>
            <w:tcW w:w="1383" w:type="dxa"/>
          </w:tcPr>
          <w:p w14:paraId="79891D3D" w14:textId="77777777" w:rsidR="0019537C" w:rsidRPr="007705B7" w:rsidRDefault="0019537C" w:rsidP="008B3CF0">
            <w:pPr>
              <w:rPr>
                <w:sz w:val="20"/>
              </w:rPr>
            </w:pPr>
            <w:r w:rsidRPr="007705B7">
              <w:rPr>
                <w:sz w:val="20"/>
              </w:rPr>
              <w:t>PMR 4148-5</w:t>
            </w:r>
          </w:p>
        </w:tc>
        <w:tc>
          <w:tcPr>
            <w:tcW w:w="2657" w:type="dxa"/>
          </w:tcPr>
          <w:p w14:paraId="1C339FE1" w14:textId="77777777" w:rsidR="0019537C" w:rsidRPr="007705B7" w:rsidRDefault="0019537C" w:rsidP="008B3CF0">
            <w:pPr>
              <w:rPr>
                <w:sz w:val="20"/>
              </w:rPr>
            </w:pPr>
            <w:r w:rsidRPr="007705B7">
              <w:rPr>
                <w:sz w:val="20"/>
              </w:rPr>
              <w:t>Hepatic impairment clinical trial evaluating moderate and severe hepatic impairment.</w:t>
            </w:r>
          </w:p>
        </w:tc>
        <w:tc>
          <w:tcPr>
            <w:tcW w:w="5010" w:type="dxa"/>
          </w:tcPr>
          <w:p w14:paraId="038931D1" w14:textId="3F746432" w:rsidR="0019537C" w:rsidRPr="007705B7" w:rsidRDefault="0019537C" w:rsidP="008B3CF0">
            <w:pPr>
              <w:rPr>
                <w:sz w:val="20"/>
              </w:rPr>
            </w:pPr>
            <w:r w:rsidRPr="007705B7">
              <w:rPr>
                <w:sz w:val="20"/>
              </w:rPr>
              <w:t xml:space="preserve">Final Protocol Submission: </w:t>
            </w:r>
            <w:r w:rsidR="00260384" w:rsidRPr="007705B7">
              <w:rPr>
                <w:sz w:val="20"/>
              </w:rPr>
              <w:t xml:space="preserve">third quarter of </w:t>
            </w:r>
            <w:r w:rsidRPr="007705B7">
              <w:rPr>
                <w:sz w:val="20"/>
              </w:rPr>
              <w:t xml:space="preserve">2020 </w:t>
            </w:r>
            <w:r w:rsidRPr="007705B7">
              <w:rPr>
                <w:sz w:val="20"/>
              </w:rPr>
              <w:br/>
              <w:t xml:space="preserve">Trial Completion: </w:t>
            </w:r>
            <w:r w:rsidR="00260384" w:rsidRPr="007705B7">
              <w:rPr>
                <w:sz w:val="20"/>
              </w:rPr>
              <w:t xml:space="preserve">second quarter of </w:t>
            </w:r>
            <w:r w:rsidRPr="007705B7">
              <w:rPr>
                <w:sz w:val="20"/>
              </w:rPr>
              <w:t xml:space="preserve">2022 </w:t>
            </w:r>
            <w:r w:rsidRPr="007705B7">
              <w:rPr>
                <w:sz w:val="20"/>
              </w:rPr>
              <w:br/>
              <w:t xml:space="preserve">Final Report Submission: </w:t>
            </w:r>
            <w:r w:rsidR="00260384" w:rsidRPr="007705B7">
              <w:rPr>
                <w:sz w:val="20"/>
              </w:rPr>
              <w:t xml:space="preserve">fourth quarter of </w:t>
            </w:r>
            <w:r w:rsidRPr="007705B7">
              <w:rPr>
                <w:sz w:val="20"/>
              </w:rPr>
              <w:t>2022</w:t>
            </w:r>
          </w:p>
        </w:tc>
      </w:tr>
      <w:tr w:rsidR="0019537C" w:rsidRPr="00637F0D" w14:paraId="643C432E" w14:textId="77777777" w:rsidTr="007705B7">
        <w:tc>
          <w:tcPr>
            <w:tcW w:w="1383" w:type="dxa"/>
          </w:tcPr>
          <w:p w14:paraId="1EE54BD0" w14:textId="77777777" w:rsidR="0019537C" w:rsidRPr="007705B7" w:rsidRDefault="0019537C" w:rsidP="008B3CF0">
            <w:pPr>
              <w:rPr>
                <w:sz w:val="20"/>
              </w:rPr>
            </w:pPr>
            <w:r w:rsidRPr="007705B7">
              <w:rPr>
                <w:sz w:val="20"/>
              </w:rPr>
              <w:t xml:space="preserve">PMR 4148-6 </w:t>
            </w:r>
          </w:p>
          <w:p w14:paraId="5D9A2468" w14:textId="77777777" w:rsidR="0019537C" w:rsidRPr="007705B7" w:rsidRDefault="0019537C" w:rsidP="008B3CF0">
            <w:pPr>
              <w:rPr>
                <w:sz w:val="20"/>
              </w:rPr>
            </w:pPr>
          </w:p>
        </w:tc>
        <w:tc>
          <w:tcPr>
            <w:tcW w:w="2657" w:type="dxa"/>
          </w:tcPr>
          <w:p w14:paraId="7D738C4F" w14:textId="77777777" w:rsidR="0019537C" w:rsidRPr="007705B7" w:rsidRDefault="0019537C" w:rsidP="008B3CF0">
            <w:pPr>
              <w:rPr>
                <w:sz w:val="20"/>
              </w:rPr>
            </w:pPr>
            <w:r w:rsidRPr="007705B7">
              <w:rPr>
                <w:sz w:val="20"/>
              </w:rPr>
              <w:t>Drug-drug interaction study for breast cancer resistance protein (BCRP) substrates.</w:t>
            </w:r>
            <w:r w:rsidRPr="007705B7">
              <w:rPr>
                <w:sz w:val="20"/>
              </w:rPr>
              <w:br/>
            </w:r>
          </w:p>
        </w:tc>
        <w:tc>
          <w:tcPr>
            <w:tcW w:w="5010" w:type="dxa"/>
          </w:tcPr>
          <w:p w14:paraId="54DAAD6E" w14:textId="2A2CF953" w:rsidR="0019537C" w:rsidRPr="007705B7" w:rsidRDefault="0019537C" w:rsidP="008B3CF0">
            <w:pPr>
              <w:rPr>
                <w:sz w:val="20"/>
              </w:rPr>
            </w:pPr>
            <w:r w:rsidRPr="007705B7">
              <w:rPr>
                <w:sz w:val="20"/>
              </w:rPr>
              <w:t xml:space="preserve">Draft Analysis Plan Submission: </w:t>
            </w:r>
            <w:r w:rsidR="00260384" w:rsidRPr="007705B7">
              <w:rPr>
                <w:sz w:val="20"/>
              </w:rPr>
              <w:t xml:space="preserve">fourth quarter of </w:t>
            </w:r>
            <w:r w:rsidRPr="007705B7">
              <w:rPr>
                <w:sz w:val="20"/>
              </w:rPr>
              <w:t xml:space="preserve">2021 </w:t>
            </w:r>
            <w:r w:rsidRPr="007705B7">
              <w:rPr>
                <w:sz w:val="20"/>
              </w:rPr>
              <w:br/>
              <w:t xml:space="preserve">Final Analysis Plan Submission: </w:t>
            </w:r>
            <w:r w:rsidR="00260384" w:rsidRPr="007705B7">
              <w:rPr>
                <w:sz w:val="20"/>
              </w:rPr>
              <w:t xml:space="preserve">fourth quarter of </w:t>
            </w:r>
            <w:r w:rsidRPr="007705B7">
              <w:rPr>
                <w:sz w:val="20"/>
              </w:rPr>
              <w:t xml:space="preserve">2021 </w:t>
            </w:r>
            <w:r w:rsidRPr="007705B7">
              <w:rPr>
                <w:sz w:val="20"/>
              </w:rPr>
              <w:br/>
              <w:t xml:space="preserve">Study Completion: </w:t>
            </w:r>
            <w:r w:rsidR="00260384" w:rsidRPr="007705B7">
              <w:rPr>
                <w:sz w:val="20"/>
              </w:rPr>
              <w:t xml:space="preserve">second quarter of </w:t>
            </w:r>
            <w:r w:rsidRPr="007705B7">
              <w:rPr>
                <w:sz w:val="20"/>
              </w:rPr>
              <w:t xml:space="preserve">2022 </w:t>
            </w:r>
            <w:r w:rsidRPr="007705B7">
              <w:rPr>
                <w:sz w:val="20"/>
              </w:rPr>
              <w:br/>
              <w:t xml:space="preserve">Final Report Submission: </w:t>
            </w:r>
            <w:r w:rsidR="00260384" w:rsidRPr="007705B7">
              <w:rPr>
                <w:sz w:val="20"/>
              </w:rPr>
              <w:t xml:space="preserve">second quarter of </w:t>
            </w:r>
            <w:r w:rsidRPr="007705B7">
              <w:rPr>
                <w:sz w:val="20"/>
              </w:rPr>
              <w:t xml:space="preserve">2022 </w:t>
            </w:r>
          </w:p>
        </w:tc>
      </w:tr>
      <w:tr w:rsidR="0019537C" w:rsidRPr="00637F0D" w14:paraId="2F52B34D" w14:textId="77777777" w:rsidTr="007705B7">
        <w:tc>
          <w:tcPr>
            <w:tcW w:w="1383" w:type="dxa"/>
          </w:tcPr>
          <w:p w14:paraId="76EA1CF7" w14:textId="77777777" w:rsidR="0019537C" w:rsidRPr="007705B7" w:rsidRDefault="0019537C" w:rsidP="008B3CF0">
            <w:pPr>
              <w:rPr>
                <w:sz w:val="20"/>
              </w:rPr>
            </w:pPr>
            <w:r w:rsidRPr="007705B7">
              <w:rPr>
                <w:sz w:val="20"/>
              </w:rPr>
              <w:t>PMC 4148-7</w:t>
            </w:r>
          </w:p>
        </w:tc>
        <w:tc>
          <w:tcPr>
            <w:tcW w:w="2657" w:type="dxa"/>
          </w:tcPr>
          <w:p w14:paraId="0E662718" w14:textId="77777777" w:rsidR="0019537C" w:rsidRPr="007705B7" w:rsidRDefault="0019537C" w:rsidP="008B3CF0">
            <w:pPr>
              <w:rPr>
                <w:sz w:val="20"/>
              </w:rPr>
            </w:pPr>
            <w:r w:rsidRPr="007705B7">
              <w:rPr>
                <w:sz w:val="20"/>
              </w:rPr>
              <w:t>Additional data to describe safety and efficacy in U.S. racial and ethnic minorities, including Black or African American patients.</w:t>
            </w:r>
          </w:p>
        </w:tc>
        <w:tc>
          <w:tcPr>
            <w:tcW w:w="5010" w:type="dxa"/>
          </w:tcPr>
          <w:p w14:paraId="7FF684D4" w14:textId="3C0F070E" w:rsidR="0019537C" w:rsidRPr="007705B7" w:rsidRDefault="0019537C" w:rsidP="008B3CF0">
            <w:pPr>
              <w:rPr>
                <w:sz w:val="20"/>
              </w:rPr>
            </w:pPr>
            <w:r w:rsidRPr="007705B7">
              <w:rPr>
                <w:sz w:val="20"/>
              </w:rPr>
              <w:t xml:space="preserve">Draft Analysis Plan Submission: </w:t>
            </w:r>
            <w:r w:rsidR="00260384" w:rsidRPr="007705B7">
              <w:rPr>
                <w:sz w:val="20"/>
              </w:rPr>
              <w:t xml:space="preserve">third quarter of </w:t>
            </w:r>
            <w:r w:rsidRPr="007705B7">
              <w:rPr>
                <w:sz w:val="20"/>
              </w:rPr>
              <w:t xml:space="preserve">2022 </w:t>
            </w:r>
            <w:r w:rsidRPr="007705B7">
              <w:rPr>
                <w:sz w:val="20"/>
              </w:rPr>
              <w:br/>
              <w:t xml:space="preserve">Final Analysis Plan Submission: </w:t>
            </w:r>
            <w:r w:rsidR="00260384" w:rsidRPr="007705B7">
              <w:rPr>
                <w:sz w:val="20"/>
              </w:rPr>
              <w:t xml:space="preserve">third quarter of </w:t>
            </w:r>
            <w:r w:rsidRPr="007705B7">
              <w:rPr>
                <w:sz w:val="20"/>
              </w:rPr>
              <w:t xml:space="preserve">2023 </w:t>
            </w:r>
            <w:r w:rsidRPr="007705B7">
              <w:rPr>
                <w:sz w:val="20"/>
              </w:rPr>
              <w:br/>
              <w:t xml:space="preserve">Study Completion: </w:t>
            </w:r>
            <w:r w:rsidR="00260384" w:rsidRPr="007705B7">
              <w:rPr>
                <w:sz w:val="20"/>
              </w:rPr>
              <w:t xml:space="preserve">third quarter of </w:t>
            </w:r>
            <w:r w:rsidRPr="007705B7">
              <w:rPr>
                <w:sz w:val="20"/>
              </w:rPr>
              <w:t xml:space="preserve">2023 </w:t>
            </w:r>
            <w:r w:rsidRPr="007705B7">
              <w:rPr>
                <w:sz w:val="20"/>
              </w:rPr>
              <w:br/>
              <w:t xml:space="preserve">Final Report Submission: </w:t>
            </w:r>
            <w:r w:rsidR="00260384" w:rsidRPr="007705B7">
              <w:rPr>
                <w:sz w:val="20"/>
              </w:rPr>
              <w:t xml:space="preserve">first quarter of </w:t>
            </w:r>
            <w:r w:rsidRPr="007705B7">
              <w:rPr>
                <w:sz w:val="20"/>
              </w:rPr>
              <w:t>2024</w:t>
            </w:r>
          </w:p>
        </w:tc>
      </w:tr>
    </w:tbl>
    <w:p w14:paraId="49AB0D9A" w14:textId="649243AA" w:rsidR="00713D4B" w:rsidRPr="00713D4B" w:rsidRDefault="00713D4B" w:rsidP="007705B7">
      <w:pPr>
        <w:pStyle w:val="TableDescription"/>
      </w:pPr>
      <w:bookmarkStart w:id="73" w:name="_Toc130386501"/>
      <w:r>
        <w:t>Abbreviations: PMC = post-marketing commitment; PMR = post-marketing requirement.</w:t>
      </w:r>
    </w:p>
    <w:p w14:paraId="12B5553C" w14:textId="061E0B7A" w:rsidR="0019537C" w:rsidRDefault="0019537C" w:rsidP="0019537C">
      <w:pPr>
        <w:pStyle w:val="Heading3"/>
      </w:pPr>
      <w:bookmarkStart w:id="74" w:name="_Toc132980315"/>
      <w:r>
        <w:t>Product Information</w:t>
      </w:r>
      <w:bookmarkEnd w:id="73"/>
      <w:bookmarkEnd w:id="74"/>
    </w:p>
    <w:p w14:paraId="5193A47B" w14:textId="01B38AF2" w:rsidR="0019537C" w:rsidRDefault="0019537C" w:rsidP="0019537C">
      <w:pPr>
        <w:rPr>
          <w:rStyle w:val="Hyperlink"/>
          <w:szCs w:val="22"/>
        </w:rPr>
      </w:pPr>
      <w:r w:rsidRPr="00BD5DBD">
        <w:rPr>
          <w:szCs w:val="22"/>
        </w:rPr>
        <w:t xml:space="preserve">The </w:t>
      </w:r>
      <w:hyperlink r:id="rId23" w:history="1">
        <w:r w:rsidRPr="00BD5DBD">
          <w:rPr>
            <w:rStyle w:val="Hyperlink"/>
            <w:szCs w:val="22"/>
          </w:rPr>
          <w:t>Product Information</w:t>
        </w:r>
      </w:hyperlink>
      <w:r w:rsidRPr="00BD5DBD">
        <w:rPr>
          <w:szCs w:val="22"/>
        </w:rPr>
        <w:t xml:space="preserve"> (</w:t>
      </w:r>
      <w:hyperlink r:id="rId24" w:history="1">
        <w:r w:rsidRPr="00BD5DBD">
          <w:rPr>
            <w:rStyle w:val="Hyperlink"/>
            <w:szCs w:val="22"/>
          </w:rPr>
          <w:t>PI</w:t>
        </w:r>
      </w:hyperlink>
      <w:r w:rsidRPr="00BD5DBD">
        <w:rPr>
          <w:szCs w:val="22"/>
        </w:rPr>
        <w:t xml:space="preserve">) approved with the submission which is described in this AusPAR can be found as Attachment 1. For the most recent PI and </w:t>
      </w:r>
      <w:hyperlink r:id="rId25" w:history="1">
        <w:r w:rsidRPr="00BD5DBD">
          <w:rPr>
            <w:rStyle w:val="Hyperlink"/>
            <w:szCs w:val="22"/>
          </w:rPr>
          <w:t>Consumer Medicines Information</w:t>
        </w:r>
      </w:hyperlink>
      <w:r w:rsidRPr="00BD5DBD">
        <w:rPr>
          <w:szCs w:val="22"/>
        </w:rPr>
        <w:t xml:space="preserve"> (CMI), please refer to the TGA </w:t>
      </w:r>
      <w:hyperlink r:id="rId26" w:history="1">
        <w:r w:rsidRPr="00BD5DBD">
          <w:rPr>
            <w:rStyle w:val="Hyperlink"/>
            <w:szCs w:val="22"/>
          </w:rPr>
          <w:t>PI/CMI search facility.</w:t>
        </w:r>
      </w:hyperlink>
    </w:p>
    <w:p w14:paraId="3A47AA7D" w14:textId="42AD5E27" w:rsidR="00713D4B" w:rsidRPr="007705B7" w:rsidRDefault="00713D4B" w:rsidP="0019537C">
      <w:pPr>
        <w:rPr>
          <w:color w:val="0000FF"/>
          <w:szCs w:val="22"/>
          <w:u w:val="single"/>
        </w:rPr>
      </w:pPr>
      <w:r>
        <w:rPr>
          <w:rStyle w:val="Hyperlink"/>
          <w:szCs w:val="22"/>
        </w:rPr>
        <w:br w:type="page"/>
      </w:r>
    </w:p>
    <w:p w14:paraId="2819D9AD" w14:textId="77777777" w:rsidR="0019537C" w:rsidRDefault="0019537C" w:rsidP="0019537C">
      <w:pPr>
        <w:pStyle w:val="Heading2"/>
      </w:pPr>
      <w:bookmarkStart w:id="75" w:name="_Toc130386502"/>
      <w:bookmarkStart w:id="76" w:name="_Toc132980316"/>
      <w:r>
        <w:lastRenderedPageBreak/>
        <w:t>Registration timeline</w:t>
      </w:r>
      <w:bookmarkEnd w:id="75"/>
      <w:bookmarkEnd w:id="76"/>
    </w:p>
    <w:p w14:paraId="02C09745" w14:textId="77777777" w:rsidR="0019537C" w:rsidRPr="00BD5DBD" w:rsidRDefault="0019537C" w:rsidP="0019537C">
      <w:r w:rsidRPr="00BD5DBD">
        <w:t>The following table captures the key steps and dates for this submission.</w:t>
      </w:r>
    </w:p>
    <w:p w14:paraId="3177E83E" w14:textId="5FE606CE" w:rsidR="0019537C" w:rsidRPr="00034831" w:rsidRDefault="0019537C" w:rsidP="00034831">
      <w:r w:rsidRPr="00034831">
        <w:t xml:space="preserve">This submission was evaluated under the </w:t>
      </w:r>
      <w:hyperlink r:id="rId27" w:history="1">
        <w:r w:rsidR="00034831" w:rsidRPr="00034831">
          <w:rPr>
            <w:rStyle w:val="Hyperlink"/>
          </w:rPr>
          <w:t>Provisional review pathway</w:t>
        </w:r>
      </w:hyperlink>
      <w:r w:rsidR="00034831">
        <w:t>.</w:t>
      </w:r>
    </w:p>
    <w:p w14:paraId="60155283" w14:textId="10869E44" w:rsidR="0019537C" w:rsidRDefault="0019537C" w:rsidP="0019537C">
      <w:pPr>
        <w:pStyle w:val="TableTitle"/>
      </w:pPr>
      <w:r>
        <w:t xml:space="preserve">Table </w:t>
      </w:r>
      <w:r w:rsidR="003F5EF5">
        <w:fldChar w:fldCharType="begin"/>
      </w:r>
      <w:r w:rsidR="003F5EF5">
        <w:instrText xml:space="preserve"> SEQ Table \* ARABIC </w:instrText>
      </w:r>
      <w:r w:rsidR="003F5EF5">
        <w:fldChar w:fldCharType="separate"/>
      </w:r>
      <w:r w:rsidR="00301E36">
        <w:rPr>
          <w:noProof/>
        </w:rPr>
        <w:t>4</w:t>
      </w:r>
      <w:r w:rsidR="003F5EF5">
        <w:rPr>
          <w:noProof/>
        </w:rPr>
        <w:fldChar w:fldCharType="end"/>
      </w:r>
      <w:r>
        <w:t>:</w:t>
      </w:r>
      <w:r w:rsidRPr="006A58A8">
        <w:t xml:space="preserve"> Timeline for Submission PM-20</w:t>
      </w:r>
      <w:r>
        <w:t>21</w:t>
      </w:r>
      <w:r w:rsidRPr="006A58A8">
        <w:t>-</w:t>
      </w:r>
      <w:r>
        <w:t>02546</w:t>
      </w:r>
      <w:r w:rsidRPr="006A58A8">
        <w:t>-1-</w:t>
      </w:r>
      <w:r>
        <w:t>4</w:t>
      </w:r>
    </w:p>
    <w:tbl>
      <w:tblPr>
        <w:tblStyle w:val="TableTGAblue2023"/>
        <w:tblW w:w="8642" w:type="dxa"/>
        <w:tblLook w:val="04A0" w:firstRow="1" w:lastRow="0" w:firstColumn="1" w:lastColumn="0" w:noHBand="0" w:noVBand="1"/>
      </w:tblPr>
      <w:tblGrid>
        <w:gridCol w:w="5807"/>
        <w:gridCol w:w="2835"/>
      </w:tblGrid>
      <w:tr w:rsidR="0019537C" w:rsidRPr="00D01DDB" w14:paraId="6C80E7E5" w14:textId="77777777" w:rsidTr="008B3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D0B6114" w14:textId="77777777" w:rsidR="0019537C" w:rsidRPr="00D01DDB" w:rsidRDefault="0019537C" w:rsidP="008B3CF0">
            <w:r w:rsidRPr="00D01DDB">
              <w:t>Description</w:t>
            </w:r>
          </w:p>
        </w:tc>
        <w:tc>
          <w:tcPr>
            <w:tcW w:w="2835" w:type="dxa"/>
          </w:tcPr>
          <w:p w14:paraId="28980EEA" w14:textId="77777777" w:rsidR="0019537C" w:rsidRPr="00D01DDB" w:rsidRDefault="0019537C" w:rsidP="008B3CF0">
            <w:pPr>
              <w:cnfStyle w:val="100000000000" w:firstRow="1" w:lastRow="0" w:firstColumn="0" w:lastColumn="0" w:oddVBand="0" w:evenVBand="0" w:oddHBand="0" w:evenHBand="0" w:firstRowFirstColumn="0" w:firstRowLastColumn="0" w:lastRowFirstColumn="0" w:lastRowLastColumn="0"/>
            </w:pPr>
            <w:r w:rsidRPr="00D01DDB">
              <w:t>Date</w:t>
            </w:r>
          </w:p>
        </w:tc>
      </w:tr>
      <w:tr w:rsidR="00034831" w:rsidRPr="00D01DDB" w14:paraId="7CE6C4AF"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5FF7B76A" w14:textId="01A9BDAD" w:rsidR="00034831" w:rsidRPr="00D01DDB" w:rsidRDefault="00034831" w:rsidP="00034831">
            <w:r w:rsidRPr="0072292E">
              <w:rPr>
                <w:iCs/>
                <w:color w:val="auto"/>
              </w:rPr>
              <w:t xml:space="preserve">Determination (Provisional) </w:t>
            </w:r>
          </w:p>
        </w:tc>
        <w:tc>
          <w:tcPr>
            <w:tcW w:w="2835" w:type="dxa"/>
          </w:tcPr>
          <w:p w14:paraId="3D443660" w14:textId="286934DC" w:rsidR="00034831" w:rsidRDefault="00034831" w:rsidP="00034831">
            <w:pPr>
              <w:cnfStyle w:val="000000000000" w:firstRow="0" w:lastRow="0" w:firstColumn="0" w:lastColumn="0" w:oddVBand="0" w:evenVBand="0" w:oddHBand="0" w:evenHBand="0" w:firstRowFirstColumn="0" w:firstRowLastColumn="0" w:lastRowFirstColumn="0" w:lastRowLastColumn="0"/>
            </w:pPr>
            <w:r>
              <w:t>27 May 2021</w:t>
            </w:r>
          </w:p>
        </w:tc>
      </w:tr>
      <w:tr w:rsidR="00034831" w:rsidRPr="00D01DDB" w14:paraId="51F55430"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284D2192" w14:textId="77777777" w:rsidR="00034831" w:rsidRPr="00D01DDB" w:rsidRDefault="00034831" w:rsidP="00034831">
            <w:r w:rsidRPr="00D01DDB">
              <w:t>Submission dossier accepted and first round evaluation commenced</w:t>
            </w:r>
          </w:p>
        </w:tc>
        <w:tc>
          <w:tcPr>
            <w:tcW w:w="2835" w:type="dxa"/>
          </w:tcPr>
          <w:p w14:paraId="320DAEBD"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2 August 2021</w:t>
            </w:r>
          </w:p>
        </w:tc>
      </w:tr>
      <w:tr w:rsidR="00034831" w:rsidRPr="00D01DDB" w14:paraId="5E7C515F"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4BAB92DF" w14:textId="77777777" w:rsidR="00034831" w:rsidRPr="00D01DDB" w:rsidRDefault="00034831" w:rsidP="00034831">
            <w:r w:rsidRPr="00D01DDB">
              <w:t>First round evaluation completed</w:t>
            </w:r>
          </w:p>
        </w:tc>
        <w:tc>
          <w:tcPr>
            <w:tcW w:w="2835" w:type="dxa"/>
          </w:tcPr>
          <w:p w14:paraId="102E6243"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24 December 2021</w:t>
            </w:r>
          </w:p>
        </w:tc>
      </w:tr>
      <w:tr w:rsidR="00034831" w:rsidRPr="00D01DDB" w14:paraId="64D6493E"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624A89B8" w14:textId="77777777" w:rsidR="00034831" w:rsidRPr="00D01DDB" w:rsidRDefault="00034831" w:rsidP="00034831">
            <w:r w:rsidRPr="00D01DDB">
              <w:t>Sponsor provides responses on questions raised in first round evaluation</w:t>
            </w:r>
          </w:p>
        </w:tc>
        <w:tc>
          <w:tcPr>
            <w:tcW w:w="2835" w:type="dxa"/>
          </w:tcPr>
          <w:p w14:paraId="60923A5F"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23 February 2022</w:t>
            </w:r>
          </w:p>
        </w:tc>
      </w:tr>
      <w:tr w:rsidR="00034831" w:rsidRPr="00D01DDB" w14:paraId="3FEDDE5F"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0BC4BD99" w14:textId="77777777" w:rsidR="00034831" w:rsidRPr="00D01DDB" w:rsidRDefault="00034831" w:rsidP="00034831">
            <w:r w:rsidRPr="00D01DDB">
              <w:t>Second round evaluation completed</w:t>
            </w:r>
          </w:p>
        </w:tc>
        <w:tc>
          <w:tcPr>
            <w:tcW w:w="2835" w:type="dxa"/>
          </w:tcPr>
          <w:p w14:paraId="15AA438B"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20 April 2022</w:t>
            </w:r>
          </w:p>
        </w:tc>
      </w:tr>
      <w:tr w:rsidR="00034831" w:rsidRPr="00D01DDB" w14:paraId="44DD9CD7"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2378C92A" w14:textId="77777777" w:rsidR="00034831" w:rsidRPr="00D01DDB" w:rsidRDefault="00034831" w:rsidP="00034831">
            <w:r w:rsidRPr="00D01DDB">
              <w:t>Delegate’s Overall benefit-risk assessment</w:t>
            </w:r>
          </w:p>
        </w:tc>
        <w:tc>
          <w:tcPr>
            <w:tcW w:w="2835" w:type="dxa"/>
          </w:tcPr>
          <w:p w14:paraId="6BCA2440"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28 July 2022</w:t>
            </w:r>
          </w:p>
        </w:tc>
      </w:tr>
      <w:tr w:rsidR="00034831" w:rsidRPr="00D01DDB" w14:paraId="19EF1D54"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04D6CC09" w14:textId="77777777" w:rsidR="00034831" w:rsidRPr="00D01DDB" w:rsidRDefault="00034831" w:rsidP="00034831">
            <w:r w:rsidRPr="00D01DDB">
              <w:t>Sponsor’s pre-Advisory Committee response</w:t>
            </w:r>
          </w:p>
        </w:tc>
        <w:tc>
          <w:tcPr>
            <w:tcW w:w="2835" w:type="dxa"/>
          </w:tcPr>
          <w:p w14:paraId="3F5E2646"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Not applicable</w:t>
            </w:r>
          </w:p>
        </w:tc>
      </w:tr>
      <w:tr w:rsidR="00034831" w:rsidRPr="00D01DDB" w14:paraId="433CA874"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0544E773" w14:textId="77777777" w:rsidR="00034831" w:rsidRPr="00D01DDB" w:rsidRDefault="00034831" w:rsidP="00034831">
            <w:r w:rsidRPr="00D01DDB">
              <w:t>Advisory Committee meeting</w:t>
            </w:r>
          </w:p>
        </w:tc>
        <w:tc>
          <w:tcPr>
            <w:tcW w:w="2835" w:type="dxa"/>
          </w:tcPr>
          <w:p w14:paraId="3F6FE8A4"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Not applicable</w:t>
            </w:r>
          </w:p>
        </w:tc>
      </w:tr>
      <w:tr w:rsidR="00034831" w:rsidRPr="00D01DDB" w14:paraId="64B72B9C"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091751EC" w14:textId="77777777" w:rsidR="00034831" w:rsidRPr="00D01DDB" w:rsidRDefault="00034831" w:rsidP="00034831">
            <w:r w:rsidRPr="00D01DDB">
              <w:t>Registration decision (Outcome)</w:t>
            </w:r>
          </w:p>
        </w:tc>
        <w:tc>
          <w:tcPr>
            <w:tcW w:w="2835" w:type="dxa"/>
          </w:tcPr>
          <w:p w14:paraId="5EAE6DCD"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14 July 2022</w:t>
            </w:r>
          </w:p>
        </w:tc>
      </w:tr>
      <w:tr w:rsidR="00034831" w:rsidRPr="00D01DDB" w14:paraId="67B8D4F9"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6210ED37" w14:textId="77777777" w:rsidR="00034831" w:rsidRPr="00D01DDB" w:rsidRDefault="00034831" w:rsidP="00034831">
            <w:r w:rsidRPr="00D01DDB">
              <w:t>Completion of administrative activities and registration on the ARTG</w:t>
            </w:r>
          </w:p>
        </w:tc>
        <w:tc>
          <w:tcPr>
            <w:tcW w:w="2835" w:type="dxa"/>
          </w:tcPr>
          <w:p w14:paraId="3E694640"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19 July 2022</w:t>
            </w:r>
          </w:p>
        </w:tc>
      </w:tr>
      <w:tr w:rsidR="00034831" w:rsidRPr="00D01DDB" w14:paraId="01CA43AE" w14:textId="77777777" w:rsidTr="008B3CF0">
        <w:tc>
          <w:tcPr>
            <w:cnfStyle w:val="001000000000" w:firstRow="0" w:lastRow="0" w:firstColumn="1" w:lastColumn="0" w:oddVBand="0" w:evenVBand="0" w:oddHBand="0" w:evenHBand="0" w:firstRowFirstColumn="0" w:firstRowLastColumn="0" w:lastRowFirstColumn="0" w:lastRowLastColumn="0"/>
            <w:tcW w:w="5807" w:type="dxa"/>
          </w:tcPr>
          <w:p w14:paraId="38CF387D" w14:textId="77777777" w:rsidR="00034831" w:rsidRPr="00D01DDB" w:rsidRDefault="00034831" w:rsidP="00034831">
            <w:r w:rsidRPr="00D01DDB">
              <w:t>Number of working days from submission dossier acceptance to registration decision*</w:t>
            </w:r>
          </w:p>
        </w:tc>
        <w:tc>
          <w:tcPr>
            <w:tcW w:w="2835" w:type="dxa"/>
          </w:tcPr>
          <w:p w14:paraId="00B6D9B2" w14:textId="77777777" w:rsidR="00034831" w:rsidRPr="00D01DDB" w:rsidRDefault="00034831" w:rsidP="00034831">
            <w:pPr>
              <w:cnfStyle w:val="000000000000" w:firstRow="0" w:lastRow="0" w:firstColumn="0" w:lastColumn="0" w:oddVBand="0" w:evenVBand="0" w:oddHBand="0" w:evenHBand="0" w:firstRowFirstColumn="0" w:firstRowLastColumn="0" w:lastRowFirstColumn="0" w:lastRowLastColumn="0"/>
            </w:pPr>
            <w:r>
              <w:t>199</w:t>
            </w:r>
          </w:p>
        </w:tc>
      </w:tr>
    </w:tbl>
    <w:p w14:paraId="47931EA9" w14:textId="77777777" w:rsidR="0019537C" w:rsidRDefault="0019537C" w:rsidP="0019537C">
      <w:pPr>
        <w:pStyle w:val="TableDescription"/>
      </w:pPr>
      <w:r>
        <w:t>*</w:t>
      </w:r>
      <w:r w:rsidRPr="00BF3774">
        <w:t xml:space="preserve">Statutory </w:t>
      </w:r>
      <w:r>
        <w:t>timeframe for standard submissions is 255 working days</w:t>
      </w:r>
    </w:p>
    <w:p w14:paraId="720C246D" w14:textId="77777777" w:rsidR="0019537C" w:rsidRPr="00792A32" w:rsidRDefault="0019537C" w:rsidP="0019537C">
      <w:pPr>
        <w:pStyle w:val="Heading2"/>
      </w:pPr>
      <w:bookmarkStart w:id="77" w:name="_Toc130386503"/>
      <w:bookmarkStart w:id="78" w:name="_Toc13298031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77"/>
      <w:bookmarkEnd w:id="78"/>
    </w:p>
    <w:p w14:paraId="56DE51D2" w14:textId="77777777" w:rsidR="0019537C" w:rsidRPr="00BD5DBD" w:rsidRDefault="0019537C" w:rsidP="0019537C">
      <w:r w:rsidRPr="00BD5DBD">
        <w:t>This section is a TGA summary of wording used in TGA’s evaluation report, which discussed numerous aspects of overseas evaluation reports and included some information that was commercial-in-confidence.</w:t>
      </w:r>
    </w:p>
    <w:p w14:paraId="29F5D89B" w14:textId="77777777" w:rsidR="0019537C" w:rsidRDefault="0019537C" w:rsidP="0019537C">
      <w:pPr>
        <w:pStyle w:val="Heading3"/>
      </w:pPr>
      <w:bookmarkStart w:id="79" w:name="_Toc130386504"/>
      <w:bookmarkStart w:id="80" w:name="_Toc132980318"/>
      <w:r>
        <w:t>Quality</w:t>
      </w:r>
      <w:bookmarkEnd w:id="79"/>
      <w:bookmarkEnd w:id="80"/>
    </w:p>
    <w:p w14:paraId="57837AB0" w14:textId="057CAD39" w:rsidR="0019537C" w:rsidRDefault="0019537C" w:rsidP="0019537C">
      <w:r w:rsidRPr="009E67ED">
        <w:t>Mobocertinib is an oral irreversible tyrosine kinase inhibitor, targeting epidermal growth factor receptor. It is synthesised as the succinate salt and is structurally related to other tyrosine kinase inhibitors such as imatinib and cer</w:t>
      </w:r>
      <w:r w:rsidR="00856E88">
        <w:t>i</w:t>
      </w:r>
      <w:r w:rsidRPr="009E67ED">
        <w:t>tinib (not registered in Australia).</w:t>
      </w:r>
    </w:p>
    <w:p w14:paraId="6A069D9B" w14:textId="77777777" w:rsidR="0019537C" w:rsidRDefault="0019537C" w:rsidP="0019537C">
      <w:r>
        <w:br w:type="page"/>
      </w:r>
    </w:p>
    <w:p w14:paraId="1AD94430" w14:textId="52D4EDDF" w:rsidR="0019537C" w:rsidRDefault="0019537C" w:rsidP="0019537C">
      <w:pPr>
        <w:pStyle w:val="FigureTitle"/>
      </w:pPr>
      <w:r w:rsidRPr="009E67ED">
        <w:lastRenderedPageBreak/>
        <w:t xml:space="preserve">Figure </w:t>
      </w:r>
      <w:r w:rsidRPr="009E67ED">
        <w:fldChar w:fldCharType="begin"/>
      </w:r>
      <w:r w:rsidRPr="009E67ED">
        <w:instrText xml:space="preserve"> SEQ Figure \* ARABIC </w:instrText>
      </w:r>
      <w:r w:rsidRPr="009E67ED">
        <w:fldChar w:fldCharType="separate"/>
      </w:r>
      <w:r w:rsidR="00301E36">
        <w:t>5</w:t>
      </w:r>
      <w:r w:rsidRPr="009E67ED">
        <w:fldChar w:fldCharType="end"/>
      </w:r>
      <w:r>
        <w:t xml:space="preserve">: </w:t>
      </w:r>
      <w:r w:rsidRPr="009E67ED">
        <w:t xml:space="preserve">Mobocertinib succinate </w:t>
      </w:r>
      <w:r w:rsidR="006E2449">
        <w:t xml:space="preserve">skeletal </w:t>
      </w:r>
      <w:r w:rsidRPr="009E67ED">
        <w:t>structure</w:t>
      </w:r>
    </w:p>
    <w:p w14:paraId="1C19A91A" w14:textId="77777777" w:rsidR="0019537C" w:rsidRPr="009E67ED" w:rsidRDefault="0019537C" w:rsidP="0019537C">
      <w:r>
        <w:rPr>
          <w:noProof/>
          <w:lang w:val="en-GB" w:eastAsia="en-GB"/>
        </w:rPr>
        <w:drawing>
          <wp:inline distT="0" distB="0" distL="0" distR="0" wp14:anchorId="6059DAFD" wp14:editId="4C698012">
            <wp:extent cx="2712286" cy="1876425"/>
            <wp:effectExtent l="0" t="0" r="0" b="0"/>
            <wp:docPr id="3" name="Picture 3" descr="Figure 5: Mobocertinib succinate skelet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Mobocertinib succinate skeletal structure"/>
                    <pic:cNvPicPr/>
                  </pic:nvPicPr>
                  <pic:blipFill>
                    <a:blip r:embed="rId28"/>
                    <a:stretch>
                      <a:fillRect/>
                    </a:stretch>
                  </pic:blipFill>
                  <pic:spPr>
                    <a:xfrm>
                      <a:off x="0" y="0"/>
                      <a:ext cx="2727216" cy="1886754"/>
                    </a:xfrm>
                    <a:prstGeom prst="rect">
                      <a:avLst/>
                    </a:prstGeom>
                  </pic:spPr>
                </pic:pic>
              </a:graphicData>
            </a:graphic>
          </wp:inline>
        </w:drawing>
      </w:r>
    </w:p>
    <w:p w14:paraId="1F78FEBF" w14:textId="2525D0EF" w:rsidR="0019537C" w:rsidRPr="009E67ED" w:rsidRDefault="0019537C" w:rsidP="0019537C">
      <w:r>
        <w:t>The proposed maximum daily dose is 160 mg (</w:t>
      </w:r>
      <w:r w:rsidR="006E2449">
        <w:t xml:space="preserve">consisting of </w:t>
      </w:r>
      <w:r>
        <w:t>4 x 40 mg</w:t>
      </w:r>
      <w:r w:rsidR="006E2449">
        <w:t xml:space="preserve"> capsules</w:t>
      </w:r>
      <w:r>
        <w:t xml:space="preserve">) </w:t>
      </w:r>
      <w:r w:rsidR="006E2449">
        <w:t xml:space="preserve">taken </w:t>
      </w:r>
      <w:r>
        <w:t>orally once daily, taken with or without food. The capsules must be swallowed whole and the capsules must not be opened, chewed or dissolved before administration. The capsules will be packaged in blister strips in cartons of 28 capsules.</w:t>
      </w:r>
    </w:p>
    <w:p w14:paraId="7FD1B6FB" w14:textId="77777777" w:rsidR="0019537C" w:rsidRDefault="0019537C" w:rsidP="0019537C">
      <w:pPr>
        <w:pStyle w:val="Heading3"/>
      </w:pPr>
      <w:bookmarkStart w:id="81" w:name="_Toc130386505"/>
      <w:bookmarkStart w:id="82" w:name="_Toc132980319"/>
      <w:r>
        <w:t>Nonclinical</w:t>
      </w:r>
      <w:bookmarkEnd w:id="81"/>
      <w:bookmarkEnd w:id="82"/>
    </w:p>
    <w:p w14:paraId="2B65B3F8" w14:textId="5CADEAFC" w:rsidR="0019537C" w:rsidRDefault="0019537C" w:rsidP="0019537C">
      <w:r>
        <w:t>The nonclinical evaluation came to the following conclusions</w:t>
      </w:r>
      <w:r w:rsidR="006E2449">
        <w:t xml:space="preserve"> outlined in this section.</w:t>
      </w:r>
    </w:p>
    <w:p w14:paraId="77B60370" w14:textId="171CB93D" w:rsidR="0019537C" w:rsidRDefault="0019537C" w:rsidP="0019537C">
      <w:r>
        <w:t>The submitted nonclinical dossier was in accordance with the relevant ICH guideline for the nonclinical assessment of pharmaceuticals (ICH M3(R2))</w:t>
      </w:r>
      <w:r w:rsidR="0041417C">
        <w:rPr>
          <w:rStyle w:val="FootnoteReference"/>
        </w:rPr>
        <w:footnoteReference w:id="64"/>
      </w:r>
      <w:r>
        <w:t xml:space="preserve"> and anticancer pharmaceuticals (ICH</w:t>
      </w:r>
      <w:r w:rsidR="006E2449">
        <w:t> </w:t>
      </w:r>
      <w:r>
        <w:t>S9).</w:t>
      </w:r>
      <w:r w:rsidR="0041417C">
        <w:rPr>
          <w:rStyle w:val="FootnoteReference"/>
        </w:rPr>
        <w:footnoteReference w:id="65"/>
      </w:r>
      <w:r>
        <w:t xml:space="preserve"> The overall quality of the dossier was high with all pivotal safety studies conducted under </w:t>
      </w:r>
      <w:r w:rsidR="006E2449">
        <w:t>Good Laboratory Practice (</w:t>
      </w:r>
      <w:r>
        <w:t>GLP</w:t>
      </w:r>
      <w:r w:rsidR="006E2449">
        <w:t>)</w:t>
      </w:r>
      <w:r>
        <w:t xml:space="preserve"> conditions. Although exposures achieved in the submitted toxicity studies were low, they were adequate to establish the safety profile of the drug.</w:t>
      </w:r>
    </w:p>
    <w:p w14:paraId="1CAED16E" w14:textId="6B0FFA4D" w:rsidR="0019537C" w:rsidRPr="003F71BE" w:rsidRDefault="0019537C" w:rsidP="0019537C">
      <w:r w:rsidRPr="003F71BE">
        <w:t>The pharmacology studies support the proposed clinical indication.</w:t>
      </w:r>
      <w:r w:rsidR="006E2449">
        <w:t xml:space="preserve"> Key findings include:</w:t>
      </w:r>
    </w:p>
    <w:p w14:paraId="79A5389B" w14:textId="77777777" w:rsidR="0019537C" w:rsidRPr="003F71BE" w:rsidRDefault="0019537C" w:rsidP="0019537C">
      <w:pPr>
        <w:pStyle w:val="ListBullet"/>
        <w:rPr>
          <w:color w:val="auto"/>
        </w:rPr>
      </w:pPr>
      <w:r w:rsidRPr="003F71BE">
        <w:rPr>
          <w:color w:val="auto"/>
        </w:rPr>
        <w:t>Mobocertinib binds EGFR and HER2 via covalent modification of EGFR Cys797 and HER2 Cys805.</w:t>
      </w:r>
    </w:p>
    <w:p w14:paraId="527995BB" w14:textId="59430E1A" w:rsidR="0019537C" w:rsidRPr="003F71BE" w:rsidRDefault="0019537C" w:rsidP="0019537C">
      <w:pPr>
        <w:pStyle w:val="ListBullet"/>
        <w:rPr>
          <w:color w:val="auto"/>
        </w:rPr>
      </w:pPr>
      <w:r w:rsidRPr="003F71BE">
        <w:rPr>
          <w:i/>
          <w:iCs/>
          <w:color w:val="auto"/>
        </w:rPr>
        <w:t>In vitro</w:t>
      </w:r>
      <w:r w:rsidRPr="003F71BE">
        <w:rPr>
          <w:color w:val="auto"/>
        </w:rPr>
        <w:t xml:space="preserve">, it inhibits oncogenic mutant variants of </w:t>
      </w:r>
      <w:r w:rsidRPr="007705B7">
        <w:rPr>
          <w:iCs/>
          <w:color w:val="auto"/>
        </w:rPr>
        <w:t>EGFR</w:t>
      </w:r>
      <w:r w:rsidRPr="006E2449">
        <w:rPr>
          <w:color w:val="auto"/>
        </w:rPr>
        <w:t xml:space="preserve"> </w:t>
      </w:r>
      <w:r w:rsidRPr="003F71BE">
        <w:rPr>
          <w:color w:val="auto"/>
        </w:rPr>
        <w:t xml:space="preserve">(including exon 20 insertion mutants) more potently than wild-type </w:t>
      </w:r>
      <w:r w:rsidRPr="007705B7">
        <w:rPr>
          <w:iCs/>
          <w:color w:val="auto"/>
        </w:rPr>
        <w:t>EGFR</w:t>
      </w:r>
      <w:r w:rsidRPr="003F71BE">
        <w:rPr>
          <w:color w:val="auto"/>
        </w:rPr>
        <w:t>. It also inhibits HER2, HER4, BLK, JAK3, TXK, BTK, BTK [E41K], BMX and ACK1.</w:t>
      </w:r>
    </w:p>
    <w:p w14:paraId="1D7217DA" w14:textId="77777777" w:rsidR="0019537C" w:rsidRPr="003F71BE" w:rsidRDefault="0019537C" w:rsidP="0019537C">
      <w:pPr>
        <w:pStyle w:val="ListBullet"/>
        <w:rPr>
          <w:color w:val="auto"/>
        </w:rPr>
      </w:pPr>
      <w:r w:rsidRPr="003F71BE">
        <w:rPr>
          <w:color w:val="auto"/>
        </w:rPr>
        <w:t>The major metabolites are AP32914 and AP32960.</w:t>
      </w:r>
    </w:p>
    <w:p w14:paraId="3D09D5C5" w14:textId="77FE669B" w:rsidR="0019537C" w:rsidRPr="003F71BE" w:rsidRDefault="0019537C" w:rsidP="0019537C">
      <w:pPr>
        <w:pStyle w:val="ListBullet"/>
        <w:rPr>
          <w:color w:val="auto"/>
        </w:rPr>
      </w:pPr>
      <w:r w:rsidRPr="003F71BE">
        <w:rPr>
          <w:color w:val="auto"/>
        </w:rPr>
        <w:t xml:space="preserve">In murine </w:t>
      </w:r>
      <w:r w:rsidRPr="007705B7">
        <w:rPr>
          <w:iCs/>
          <w:color w:val="auto"/>
        </w:rPr>
        <w:t>EGFRm</w:t>
      </w:r>
      <w:r w:rsidRPr="006E2449">
        <w:rPr>
          <w:color w:val="auto"/>
        </w:rPr>
        <w:t xml:space="preserve"> and </w:t>
      </w:r>
      <w:r w:rsidRPr="007705B7">
        <w:rPr>
          <w:iCs/>
          <w:color w:val="auto"/>
        </w:rPr>
        <w:t>HER2</w:t>
      </w:r>
      <w:r w:rsidRPr="006E2449">
        <w:rPr>
          <w:color w:val="auto"/>
        </w:rPr>
        <w:t>-</w:t>
      </w:r>
      <w:r w:rsidRPr="003F71BE">
        <w:rPr>
          <w:color w:val="auto"/>
        </w:rPr>
        <w:t>mutant models, daily oral administration of mobocertinib induced dose</w:t>
      </w:r>
      <w:r w:rsidR="0041417C">
        <w:rPr>
          <w:color w:val="auto"/>
        </w:rPr>
        <w:t xml:space="preserve"> </w:t>
      </w:r>
      <w:r w:rsidRPr="003F71BE">
        <w:rPr>
          <w:color w:val="auto"/>
        </w:rPr>
        <w:t>dependent tumour regression/inhibition of growth.</w:t>
      </w:r>
    </w:p>
    <w:p w14:paraId="3D5ABCA9" w14:textId="77777777" w:rsidR="0019537C" w:rsidRDefault="0019537C" w:rsidP="0019537C">
      <w:r>
        <w:t>No dedicated animal safety pharmacology studies were conducted with mobocertinib.</w:t>
      </w:r>
    </w:p>
    <w:p w14:paraId="5D046DEB" w14:textId="77777777" w:rsidR="0019537C" w:rsidRDefault="0019537C" w:rsidP="0019537C">
      <w:r>
        <w:t>The pharmacokinetic profile in animals was qualitatively similar to that of humans.</w:t>
      </w:r>
    </w:p>
    <w:p w14:paraId="0DF9B800" w14:textId="7F5590E8" w:rsidR="0019537C" w:rsidRDefault="0019537C" w:rsidP="0019537C">
      <w:r>
        <w:t xml:space="preserve">Mobocertinib, AP32914 and AP32960 inhibited the </w:t>
      </w:r>
      <w:r w:rsidR="006E2449">
        <w:t xml:space="preserve">cardiac </w:t>
      </w:r>
      <w:r>
        <w:t>hERG</w:t>
      </w:r>
      <w:r w:rsidR="006E2449">
        <w:t xml:space="preserve"> channel</w:t>
      </w:r>
      <w:r>
        <w:t xml:space="preserve"> current at concentrations greater than 5</w:t>
      </w:r>
      <w:r w:rsidR="0041417C">
        <w:t> µ</w:t>
      </w:r>
      <w:r>
        <w:t>M (equivalent to greater than 3700 times the free clinical</w:t>
      </w:r>
      <w:r w:rsidR="0041417C">
        <w:t xml:space="preserve"> maximum concentration (</w:t>
      </w:r>
      <w:r>
        <w:t>C</w:t>
      </w:r>
      <w:r w:rsidRPr="006866E2">
        <w:rPr>
          <w:vertAlign w:val="subscript"/>
        </w:rPr>
        <w:t>max</w:t>
      </w:r>
      <w:r w:rsidR="0041417C">
        <w:t xml:space="preserve">) </w:t>
      </w:r>
      <w:r>
        <w:t xml:space="preserve">of mobocertinib at the maximum recommended human dose), </w:t>
      </w:r>
      <w:r>
        <w:lastRenderedPageBreak/>
        <w:t>suggesting low potential for QT prolongation.</w:t>
      </w:r>
      <w:r>
        <w:rPr>
          <w:rStyle w:val="FootnoteReference"/>
        </w:rPr>
        <w:footnoteReference w:id="66"/>
      </w:r>
      <w:r>
        <w:t xml:space="preserve"> However, since QT prolongation and life-threatening arrhythmias have occurred in patients treated with mobocertinib, the warning in the proposed product information is warranted.</w:t>
      </w:r>
    </w:p>
    <w:p w14:paraId="4014937E" w14:textId="25548C68" w:rsidR="0019537C" w:rsidRDefault="0019537C" w:rsidP="0019537C">
      <w:r>
        <w:t>Repeat</w:t>
      </w:r>
      <w:r w:rsidR="0041417C">
        <w:t xml:space="preserve"> </w:t>
      </w:r>
      <w:r>
        <w:t>dose toxicity studies by the oral route were conducted in rats and dogs (up to three months). Mobocertinib related effects were observed at subclinical exposures. Most findings were dose and duration dependent, were fully or partially reversible and have been observed with other EGFR inhibitors. Target organs for toxicity included:</w:t>
      </w:r>
    </w:p>
    <w:p w14:paraId="706B2B27" w14:textId="52026261" w:rsidR="0019537C" w:rsidRPr="003F71BE" w:rsidRDefault="0019537C" w:rsidP="0019537C">
      <w:pPr>
        <w:pStyle w:val="ListBullet"/>
        <w:rPr>
          <w:color w:val="auto"/>
        </w:rPr>
      </w:pPr>
      <w:r w:rsidRPr="003F71BE">
        <w:rPr>
          <w:color w:val="auto"/>
        </w:rPr>
        <w:t>Gastrointestinal tract: emesis, diarrhoea, fecal changes, decreased food intake and body weight loss, reversible microscopic lesions (epithelial atrophy single cell necrosis and mononuclear cell infiltration).</w:t>
      </w:r>
    </w:p>
    <w:p w14:paraId="5A6363F6" w14:textId="77777777" w:rsidR="0019537C" w:rsidRPr="003F71BE" w:rsidRDefault="0019537C" w:rsidP="0019537C">
      <w:pPr>
        <w:pStyle w:val="ListBullet"/>
        <w:rPr>
          <w:color w:val="auto"/>
        </w:rPr>
      </w:pPr>
      <w:r w:rsidRPr="003F71BE">
        <w:rPr>
          <w:color w:val="auto"/>
        </w:rPr>
        <w:t>Dermal effects: alopecia, scabbing, red or flaky skin, hair loss, histopathological findings of erosions, ulcerations, hair bulb atrophy, and/or inflammation in the skin and hair follicles, decreased thickness of squamous epithelium in the skin and oral cavity.</w:t>
      </w:r>
    </w:p>
    <w:p w14:paraId="31FECAAE" w14:textId="77777777" w:rsidR="0019537C" w:rsidRPr="003F71BE" w:rsidRDefault="0019537C" w:rsidP="0019537C">
      <w:pPr>
        <w:pStyle w:val="ListBullet"/>
        <w:rPr>
          <w:color w:val="auto"/>
        </w:rPr>
      </w:pPr>
      <w:r w:rsidRPr="003F71BE">
        <w:rPr>
          <w:color w:val="auto"/>
        </w:rPr>
        <w:t>Corneal effects: focal, multifocal, and diffuse superficial opacities, prominent nictitating membrane, discharge, injected sclera, redness, and partially and/or completely closed eyes.</w:t>
      </w:r>
    </w:p>
    <w:p w14:paraId="16B247C9" w14:textId="77777777" w:rsidR="0019537C" w:rsidRPr="003F71BE" w:rsidRDefault="0019537C" w:rsidP="0019537C">
      <w:pPr>
        <w:pStyle w:val="ListBullet"/>
        <w:rPr>
          <w:color w:val="auto"/>
        </w:rPr>
      </w:pPr>
      <w:r w:rsidRPr="003F71BE">
        <w:rPr>
          <w:color w:val="auto"/>
        </w:rPr>
        <w:t>Lymphoid organs: lymph nodes (reactive hyperplasia), spleen (lymphoid depletion), thymus (lymphoid depletion) and bone marrow (increased myeloid progenitor cells, and decreased erythroid progenitor cells, red blood cell count, haemoglobin and haematocrit).</w:t>
      </w:r>
    </w:p>
    <w:p w14:paraId="5078A3F0" w14:textId="77777777" w:rsidR="0019537C" w:rsidRPr="003F71BE" w:rsidRDefault="0019537C" w:rsidP="0019537C">
      <w:r w:rsidRPr="003F71BE">
        <w:t>Reproductive organs: decreased organ weights, decreased epithelial thickness/inflammation of the cervix/vagina and atrophy of the uterus, prostate gland, mammary gland.</w:t>
      </w:r>
    </w:p>
    <w:p w14:paraId="3F3617B0" w14:textId="77777777" w:rsidR="0019537C" w:rsidRPr="003F71BE" w:rsidRDefault="0019537C" w:rsidP="007705B7">
      <w:r w:rsidRPr="003F71BE">
        <w:t xml:space="preserve">Mobocertinib was not mutagenic in an </w:t>
      </w:r>
      <w:r w:rsidRPr="007705B7">
        <w:rPr>
          <w:i/>
          <w:iCs/>
        </w:rPr>
        <w:t>in vitro</w:t>
      </w:r>
      <w:r w:rsidRPr="003F71BE">
        <w:t xml:space="preserve"> bacterial reverse mutation assay and was not clastogenic </w:t>
      </w:r>
      <w:r w:rsidRPr="003F71BE">
        <w:rPr>
          <w:i/>
          <w:iCs/>
        </w:rPr>
        <w:t>in vitro</w:t>
      </w:r>
      <w:r w:rsidRPr="003F71BE">
        <w:t xml:space="preserve"> (in a chromosome aberration assay in human peripheral blood lymphocytes) or </w:t>
      </w:r>
      <w:r w:rsidRPr="003F71BE">
        <w:rPr>
          <w:i/>
          <w:iCs/>
        </w:rPr>
        <w:t>in vivo</w:t>
      </w:r>
      <w:r w:rsidRPr="003F71BE">
        <w:t xml:space="preserve"> (in a bone marrow micronucleus test in rats).</w:t>
      </w:r>
    </w:p>
    <w:p w14:paraId="19378B30" w14:textId="77777777" w:rsidR="0019537C" w:rsidRPr="003F71BE" w:rsidRDefault="0019537C" w:rsidP="007705B7">
      <w:r w:rsidRPr="003F71BE">
        <w:t>Carcinogenicity studies were not conducted, which is acceptable as mobocertinib is intended to treat patients with advanced cancer.</w:t>
      </w:r>
    </w:p>
    <w:p w14:paraId="02E37886" w14:textId="5A215669" w:rsidR="0019537C" w:rsidRPr="003F71BE" w:rsidRDefault="0019537C" w:rsidP="007705B7">
      <w:r w:rsidRPr="003F71BE">
        <w:t>Fertility/early embryonic development studies were not conducted with mobocerinib. Mobocertinib was not teratogenic but increased embryofetal loss (as increased post</w:t>
      </w:r>
      <w:r w:rsidR="0041417C">
        <w:noBreakHyphen/>
      </w:r>
      <w:r w:rsidRPr="003F71BE">
        <w:t>implantation/early resorptions) and decreased fetal weights in pregnant rats. These effects were seen in the context of maternal toxicity (decreased food consumption and body weight).</w:t>
      </w:r>
    </w:p>
    <w:p w14:paraId="6B93561D" w14:textId="77777777" w:rsidR="0019537C" w:rsidRPr="003F71BE" w:rsidRDefault="0019537C" w:rsidP="007705B7">
      <w:r w:rsidRPr="003F71BE">
        <w:t>Pregnancy Category D</w:t>
      </w:r>
      <w:r>
        <w:t>;</w:t>
      </w:r>
      <w:r>
        <w:rPr>
          <w:rStyle w:val="FootnoteReference"/>
        </w:rPr>
        <w:footnoteReference w:id="67"/>
      </w:r>
      <w:r w:rsidRPr="003F71BE">
        <w:t xml:space="preserve"> is considered appropriate for mobocertinib.</w:t>
      </w:r>
    </w:p>
    <w:p w14:paraId="0E5B818A" w14:textId="77777777" w:rsidR="0019537C" w:rsidRPr="003F71BE" w:rsidRDefault="0019537C" w:rsidP="007705B7">
      <w:r w:rsidRPr="003F71BE">
        <w:t xml:space="preserve">There are no objections on nonclinical grounds to the proposed registration of </w:t>
      </w:r>
      <w:r>
        <w:t>Exkivity</w:t>
      </w:r>
      <w:r w:rsidRPr="003F71BE">
        <w:t xml:space="preserve"> for the proposed indication.</w:t>
      </w:r>
    </w:p>
    <w:p w14:paraId="0A89E747" w14:textId="18759BDC" w:rsidR="00D73418" w:rsidRPr="00D73418" w:rsidRDefault="0019537C">
      <w:pPr>
        <w:pStyle w:val="Heading3"/>
      </w:pPr>
      <w:bookmarkStart w:id="83" w:name="_Toc130386506"/>
      <w:bookmarkStart w:id="84" w:name="_Toc132980320"/>
      <w:r>
        <w:lastRenderedPageBreak/>
        <w:t>Clinical</w:t>
      </w:r>
      <w:bookmarkEnd w:id="83"/>
      <w:bookmarkEnd w:id="84"/>
    </w:p>
    <w:p w14:paraId="0C673473" w14:textId="77777777" w:rsidR="0019537C" w:rsidRPr="00416B49" w:rsidRDefault="0019537C" w:rsidP="0019537C">
      <w:pPr>
        <w:pStyle w:val="Heading4"/>
        <w:rPr>
          <w:rFonts w:eastAsia="Times New Roman"/>
          <w:b w:val="0"/>
          <w:i/>
        </w:rPr>
      </w:pPr>
      <w:bookmarkStart w:id="85" w:name="_Toc132980321"/>
      <w:r w:rsidRPr="00416B49">
        <w:t>Pharmacology</w:t>
      </w:r>
      <w:bookmarkEnd w:id="85"/>
    </w:p>
    <w:p w14:paraId="6E53E42F" w14:textId="77777777" w:rsidR="0019537C" w:rsidRPr="00535114" w:rsidRDefault="0019537C" w:rsidP="0019537C">
      <w:pPr>
        <w:pStyle w:val="Heading5"/>
      </w:pPr>
      <w:r w:rsidRPr="00535114">
        <w:t>Formulation</w:t>
      </w:r>
    </w:p>
    <w:p w14:paraId="2365D90F" w14:textId="4918D7FF" w:rsidR="0019537C" w:rsidRPr="00146298" w:rsidRDefault="0019537C" w:rsidP="0019537C">
      <w:r w:rsidRPr="00535114">
        <w:t>Three capsule formulations were used in the clinical pharmacology studies (</w:t>
      </w:r>
      <w:r w:rsidR="00D331F5">
        <w:t xml:space="preserve">formulations </w:t>
      </w:r>
      <w:r w:rsidRPr="00535114">
        <w:t>DiC-A, DiC-B, and DiC</w:t>
      </w:r>
      <w:r w:rsidR="00D331F5">
        <w:t>-</w:t>
      </w:r>
      <w:r w:rsidRPr="00535114">
        <w:t xml:space="preserve">C). </w:t>
      </w:r>
      <w:r w:rsidR="00D331F5">
        <w:t xml:space="preserve">Formulation </w:t>
      </w:r>
      <w:r w:rsidRPr="00535114">
        <w:t>DiC-C is the to</w:t>
      </w:r>
      <w:r w:rsidR="00D331F5">
        <w:t>-</w:t>
      </w:r>
      <w:r w:rsidRPr="00535114">
        <w:t>be</w:t>
      </w:r>
      <w:r w:rsidR="00D331F5">
        <w:t>-</w:t>
      </w:r>
      <w:r w:rsidRPr="00535114">
        <w:t xml:space="preserve">marketed formulation. </w:t>
      </w:r>
      <w:r>
        <w:t>A</w:t>
      </w:r>
      <w:r w:rsidRPr="00535114">
        <w:t xml:space="preserve"> relative bioavailability clinical study </w:t>
      </w:r>
      <w:r>
        <w:t xml:space="preserve">was performed </w:t>
      </w:r>
      <w:r w:rsidRPr="00535114">
        <w:t xml:space="preserve">to bridge between </w:t>
      </w:r>
      <w:r w:rsidR="00D331F5">
        <w:t xml:space="preserve">formulations </w:t>
      </w:r>
      <w:r w:rsidRPr="00535114">
        <w:t>DiC-A and DiC-B (</w:t>
      </w:r>
      <w:r>
        <w:t>S</w:t>
      </w:r>
      <w:r w:rsidRPr="00535114">
        <w:t xml:space="preserve">tudy 1001 </w:t>
      </w:r>
      <w:r>
        <w:t>P</w:t>
      </w:r>
      <w:r w:rsidRPr="00535114">
        <w:t>art 3)</w:t>
      </w:r>
      <w:r>
        <w:t>, and pharmacokinetic (</w:t>
      </w:r>
      <w:r w:rsidRPr="00535114">
        <w:t>PK</w:t>
      </w:r>
      <w:r>
        <w:t>)</w:t>
      </w:r>
      <w:r w:rsidRPr="00535114">
        <w:t xml:space="preserve"> comparability between </w:t>
      </w:r>
      <w:r w:rsidR="00D331F5">
        <w:t xml:space="preserve">formulations </w:t>
      </w:r>
      <w:r w:rsidRPr="00535114">
        <w:t>DiC-A and DiC-C was confirmed by pooled PK analysis.</w:t>
      </w:r>
    </w:p>
    <w:p w14:paraId="1544E334" w14:textId="77777777" w:rsidR="0019537C" w:rsidRPr="0096794A" w:rsidRDefault="0019537C" w:rsidP="0019537C">
      <w:pPr>
        <w:pStyle w:val="Heading5"/>
      </w:pPr>
      <w:r w:rsidRPr="0096794A">
        <w:t>Pharmacokinetics</w:t>
      </w:r>
    </w:p>
    <w:p w14:paraId="0ECCF1B3" w14:textId="3EA69690" w:rsidR="0019537C" w:rsidRDefault="0019537C" w:rsidP="0019537C">
      <w:r>
        <w:t xml:space="preserve">Mobocertinib has two major metabolites, AP32960 and AP32914, which show </w:t>
      </w:r>
      <w:r w:rsidR="008A1158">
        <w:t>dose</w:t>
      </w:r>
      <w:r>
        <w:t xml:space="preserve"> proportional PK and comprise around 62% and 7% of total </w:t>
      </w:r>
      <w:r w:rsidR="00FE7F36">
        <w:t xml:space="preserve">parent </w:t>
      </w:r>
      <w:r>
        <w:t>24</w:t>
      </w:r>
      <w:r w:rsidR="0041417C">
        <w:t xml:space="preserve"> </w:t>
      </w:r>
      <w:r>
        <w:t xml:space="preserve">hour exposure (geometric mean molar area under concentration time curve for 24 hours </w:t>
      </w:r>
      <w:r w:rsidR="00D331F5">
        <w:t>(</w:t>
      </w:r>
      <w:r>
        <w:t>AUC</w:t>
      </w:r>
      <w:r w:rsidR="00D331F5">
        <w:rPr>
          <w:vertAlign w:val="subscript"/>
        </w:rPr>
        <w:t>0-</w:t>
      </w:r>
      <w:r w:rsidRPr="000C29BF">
        <w:rPr>
          <w:vertAlign w:val="subscript"/>
        </w:rPr>
        <w:t>24</w:t>
      </w:r>
      <w:r w:rsidR="00D331F5">
        <w:rPr>
          <w:vertAlign w:val="subscript"/>
        </w:rPr>
        <w:t>h</w:t>
      </w:r>
      <w:r w:rsidR="00D331F5">
        <w:t>)</w:t>
      </w:r>
      <w:r>
        <w:t>), respectively, at the recommended mobocertinib dose.</w:t>
      </w:r>
      <w:r w:rsidRPr="000C29BF">
        <w:t xml:space="preserve"> </w:t>
      </w:r>
      <w:r>
        <w:t>Both metabolites, AP32960 and AP32914 showed similar activity to mobocertinib in kinase and cellular assays.</w:t>
      </w:r>
    </w:p>
    <w:p w14:paraId="67610F28" w14:textId="17EADC1F" w:rsidR="0019537C" w:rsidRDefault="0019537C" w:rsidP="0019537C">
      <w:r>
        <w:t xml:space="preserve">Time to maximal </w:t>
      </w:r>
      <w:r w:rsidR="00502E6C">
        <w:t>plasma</w:t>
      </w:r>
      <w:r>
        <w:t xml:space="preserve"> concentrations (T</w:t>
      </w:r>
      <w:r w:rsidRPr="002C36B1">
        <w:rPr>
          <w:vertAlign w:val="subscript"/>
        </w:rPr>
        <w:t>max</w:t>
      </w:r>
      <w:r>
        <w:t xml:space="preserve">) for all three molecules is about 4 hours post-dose. They are highly (99%) protein bound </w:t>
      </w:r>
      <w:r w:rsidRPr="002C36B1">
        <w:rPr>
          <w:i/>
          <w:iCs/>
        </w:rPr>
        <w:t>in vitro</w:t>
      </w:r>
      <w:r w:rsidRPr="002C36B1">
        <w:t xml:space="preserve">, </w:t>
      </w:r>
      <w:r>
        <w:t>and</w:t>
      </w:r>
      <w:r w:rsidRPr="002C36B1">
        <w:t xml:space="preserve"> do not show </w:t>
      </w:r>
      <w:r>
        <w:t>preferential binding for whole blood over plasma. The absolute bioavailability of mobocertinib is 37%, and the fraction absorbed is about 92%. The population PK model estimates a mobocertinib geometric mean apparent volume of distribution at steady state of 3510 L.</w:t>
      </w:r>
    </w:p>
    <w:p w14:paraId="118F550A" w14:textId="77777777" w:rsidR="0019537C" w:rsidRDefault="0019537C" w:rsidP="0019537C">
      <w:r>
        <w:t>Clearance is mainly metabolic. Mobocertinib is predominantly (94%) metabolised by CYP3A4/5.</w:t>
      </w:r>
      <w:bookmarkStart w:id="86" w:name="_Ref132965430"/>
      <w:r>
        <w:rPr>
          <w:rStyle w:val="FootnoteReference"/>
        </w:rPr>
        <w:footnoteReference w:id="68"/>
      </w:r>
      <w:bookmarkEnd w:id="86"/>
      <w:r>
        <w:t xml:space="preserve"> Both metabolites, AP32960 and AP32914 are almost exclusively metabolised by CYP3A4/5. Population PK analysis estimates the geometric mean effective half life of mobocertinib to be 17.6 hours, and the apparent oral clearance of mobocertinib to be 108 L/h.</w:t>
      </w:r>
    </w:p>
    <w:p w14:paraId="42BE1C80" w14:textId="77777777" w:rsidR="0019537C" w:rsidRDefault="0019537C" w:rsidP="0019537C">
      <w:r>
        <w:t>Negligible accumulation of mobocertinib exposure at 160 mg daily (geometric mean accumulation ratio of 1.03) along with less than dose proportional increases in mobocertinib exposure from 120 to 160 mg daily suggest autoinduction of the apparent oral clearance of mobocertinib, likely via induction of CYP3A.</w:t>
      </w:r>
    </w:p>
    <w:p w14:paraId="1258395D" w14:textId="280B4184" w:rsidR="0019537C" w:rsidRDefault="0019537C" w:rsidP="0019537C">
      <w:r>
        <w:t>Excretion of mobocertinib is mainly fecal (76%), with 4% of radiolabelled dose recovered in the urine (unchanged mobocertinib, AP32960, and AP32914 making up 1%, combined).</w:t>
      </w:r>
    </w:p>
    <w:p w14:paraId="5D9D569C" w14:textId="77777777" w:rsidR="0019537C" w:rsidRPr="00416B49" w:rsidRDefault="0019537C" w:rsidP="0019537C">
      <w:pPr>
        <w:pStyle w:val="Heading5"/>
        <w:rPr>
          <w:color w:val="auto"/>
        </w:rPr>
      </w:pPr>
      <w:r>
        <w:t>Food effect</w:t>
      </w:r>
    </w:p>
    <w:p w14:paraId="781096DB" w14:textId="6B4B4B21" w:rsidR="0019537C" w:rsidRDefault="0019537C" w:rsidP="0019537C">
      <w:r>
        <w:t xml:space="preserve">Food effect studies demonstrated that a meal (regardless of low or high fat content) had no clinically meaningful effect on the combined molar exposure (maximum concentration </w:t>
      </w:r>
      <w:r w:rsidR="00D331F5">
        <w:t>(</w:t>
      </w:r>
      <w:r>
        <w:t>C</w:t>
      </w:r>
      <w:r w:rsidRPr="00416461">
        <w:rPr>
          <w:vertAlign w:val="subscript"/>
        </w:rPr>
        <w:t>max</w:t>
      </w:r>
      <w:r w:rsidR="00D331F5">
        <w:t>)</w:t>
      </w:r>
      <w:r>
        <w:t xml:space="preserve"> and area under concentration time curve from time zero to infinity </w:t>
      </w:r>
      <w:r w:rsidR="00D331F5">
        <w:t>(</w:t>
      </w:r>
      <w:r>
        <w:t>AUC</w:t>
      </w:r>
      <w:r w:rsidR="00D331F5">
        <w:rPr>
          <w:vertAlign w:val="subscript"/>
        </w:rPr>
        <w:t>0-</w:t>
      </w:r>
      <w:r w:rsidRPr="00416461">
        <w:rPr>
          <w:vertAlign w:val="subscript"/>
        </w:rPr>
        <w:t>∞</w:t>
      </w:r>
      <w:r w:rsidR="00D331F5">
        <w:t>)</w:t>
      </w:r>
      <w:r>
        <w:t>) of mobocertinib and its major metabolites.</w:t>
      </w:r>
    </w:p>
    <w:p w14:paraId="2F7836E3" w14:textId="77777777" w:rsidR="0019537C" w:rsidRDefault="0019537C" w:rsidP="0019537C">
      <w:r>
        <w:lastRenderedPageBreak/>
        <w:t>Gastrointestinal toxicity (mainly diarrhoea) is predominant in the toxicity profile for mobocertinib, however, trends across toxicity metrics suggest correlation between diarrhoea and systemic exposure. As dosing with food would not meaningfully change systemic exposure, it would not be expected to</w:t>
      </w:r>
      <w:r w:rsidRPr="00C052CC">
        <w:t xml:space="preserve"> </w:t>
      </w:r>
      <w:r>
        <w:t>reduce gastrointestinal toxicity. Limited clinical data from a cohort of patients in Study 101 supports this.</w:t>
      </w:r>
    </w:p>
    <w:p w14:paraId="31DE6886" w14:textId="77777777" w:rsidR="0019537C" w:rsidRPr="001D7470" w:rsidRDefault="0019537C" w:rsidP="0019537C">
      <w:pPr>
        <w:pStyle w:val="Heading5"/>
      </w:pPr>
      <w:r w:rsidRPr="001D7470">
        <w:t>Dose and exposure-response relationships</w:t>
      </w:r>
    </w:p>
    <w:p w14:paraId="3C5CB026" w14:textId="6926FB43" w:rsidR="0019537C" w:rsidRDefault="0019537C" w:rsidP="0019537C">
      <w:r w:rsidRPr="00BA581A">
        <w:t>The proposed dose is 160 mg orally once daily</w:t>
      </w:r>
      <w:r>
        <w:t>, regardless of timing relative to</w:t>
      </w:r>
      <w:r w:rsidRPr="00BA581A">
        <w:t xml:space="preserve"> food</w:t>
      </w:r>
      <w:r>
        <w:t xml:space="preserve"> intake</w:t>
      </w:r>
      <w:r w:rsidRPr="00BA581A">
        <w:t>.</w:t>
      </w:r>
      <w:r>
        <w:t xml:space="preserve"> The proposed dose of 160 mg daily was the </w:t>
      </w:r>
      <w:r w:rsidRPr="00BA581A">
        <w:t>maximum tolerated dose in the dose finding portion of the pivotal efficacy and safety study</w:t>
      </w:r>
      <w:r>
        <w:t>, S</w:t>
      </w:r>
      <w:r w:rsidRPr="00BA581A">
        <w:t>tudy 101</w:t>
      </w:r>
      <w:r>
        <w:t>. Th</w:t>
      </w:r>
      <w:r w:rsidRPr="00BA581A">
        <w:t xml:space="preserve">is dose was deemed adequately justified by the </w:t>
      </w:r>
      <w:r>
        <w:t xml:space="preserve">regulatory </w:t>
      </w:r>
      <w:r w:rsidRPr="00BA581A">
        <w:t>clinical pharmacology review</w:t>
      </w:r>
      <w:r>
        <w:t>, based on demonstration of efficacy and adequate tolerability for most patients, evidence of exposure-response relationships for both efficacy and toxicity, and adequate management of toxicities with the proposed dose reduction schedule for most patients.</w:t>
      </w:r>
      <w:r>
        <w:fldChar w:fldCharType="begin"/>
      </w:r>
      <w:r>
        <w:instrText xml:space="preserve"> NOTEREF _Ref130385363 \f \h </w:instrText>
      </w:r>
      <w:r>
        <w:fldChar w:fldCharType="separate"/>
      </w:r>
      <w:r w:rsidR="00301E36" w:rsidRPr="00301E36">
        <w:rPr>
          <w:rStyle w:val="FootnoteReference"/>
        </w:rPr>
        <w:t>45</w:t>
      </w:r>
      <w:r>
        <w:fldChar w:fldCharType="end"/>
      </w:r>
    </w:p>
    <w:p w14:paraId="4ADE88FB" w14:textId="428E2700" w:rsidR="0019537C" w:rsidRDefault="0019537C" w:rsidP="0019537C">
      <w:r>
        <w:t>Exposure</w:t>
      </w:r>
      <w:r w:rsidR="00D73418">
        <w:t>-</w:t>
      </w:r>
      <w:r>
        <w:t>response analyses indicated trends of increased toxicity whether exposure included only mobocertinib, only AP32960 and AP32914, or the sum of molar concentration for all three (combined molar exposure).</w:t>
      </w:r>
    </w:p>
    <w:p w14:paraId="5639E398" w14:textId="77777777" w:rsidR="0019537C" w:rsidRPr="001D7470" w:rsidRDefault="0019537C" w:rsidP="0019537C">
      <w:pPr>
        <w:pStyle w:val="Heading5"/>
      </w:pPr>
      <w:r w:rsidRPr="001D7470">
        <w:t>Population</w:t>
      </w:r>
      <w:r>
        <w:t xml:space="preserve"> pharmacokinetic</w:t>
      </w:r>
    </w:p>
    <w:p w14:paraId="05DD12F7" w14:textId="24F3F817" w:rsidR="0019537C" w:rsidRDefault="0019537C" w:rsidP="0019537C">
      <w:r>
        <w:t>The following parameters, age (18 to 86 years), sex (183 male, 244 female), race (283 White, 19</w:t>
      </w:r>
      <w:r w:rsidR="00D73418">
        <w:t> </w:t>
      </w:r>
      <w:r>
        <w:t>Black, 115 Asian</w:t>
      </w:r>
      <w:r w:rsidR="00D73418">
        <w:t xml:space="preserve"> participants</w:t>
      </w:r>
      <w:r>
        <w:t>), body weight (37</w:t>
      </w:r>
      <w:r w:rsidR="00D73418">
        <w:t xml:space="preserve"> to </w:t>
      </w:r>
      <w:r>
        <w:t>132 kg), mild or moderate renal impairment (178 mild, 30 moderate) and mild hepatic impairment (54 mild) did not demonstrate clinically significant effects on the PK of mobocertinib.</w:t>
      </w:r>
    </w:p>
    <w:p w14:paraId="0D2D51EB" w14:textId="77777777" w:rsidR="0019537C" w:rsidRPr="001D7470" w:rsidRDefault="0019537C" w:rsidP="0019537C">
      <w:pPr>
        <w:pStyle w:val="Heading5"/>
      </w:pPr>
      <w:r w:rsidRPr="001D7470">
        <w:t>Renal function</w:t>
      </w:r>
    </w:p>
    <w:p w14:paraId="1EAC6317" w14:textId="77777777" w:rsidR="0019537C" w:rsidRDefault="0019537C" w:rsidP="0019537C">
      <w:r>
        <w:t>Patients with mild and moderate renal impairment were included in the clinical studies of mobocertinib. In the population PK analysis, creatinine clearance (26 to 251 mL/min) and estimated glomerular filtration rate (eGFR: 34 to 304 mL/min/1.73 m</w:t>
      </w:r>
      <w:r w:rsidRPr="000C7FF9">
        <w:rPr>
          <w:vertAlign w:val="superscript"/>
        </w:rPr>
        <w:t>2</w:t>
      </w:r>
      <w:r>
        <w:t>) were not identified as significant covariates. Therefore, no dose adjustment is required for renal impairment that is mild or moderate (creatinine clearance at least 30 mL/min; eGFR ≥ 30 mL/min/1.73 m</w:t>
      </w:r>
      <w:r w:rsidRPr="001D7470">
        <w:rPr>
          <w:vertAlign w:val="superscript"/>
        </w:rPr>
        <w:t>2</w:t>
      </w:r>
      <w:r>
        <w:t>). The effect of severe renal impairment is being evaluated in an ongoing study (Study TAK-788-1007).</w:t>
      </w:r>
    </w:p>
    <w:p w14:paraId="56621E1B" w14:textId="77777777" w:rsidR="0019537C" w:rsidRPr="007710BF" w:rsidRDefault="0019537C" w:rsidP="0019537C">
      <w:pPr>
        <w:pStyle w:val="Heading5"/>
      </w:pPr>
      <w:r w:rsidRPr="007710BF">
        <w:t>Hepatic function</w:t>
      </w:r>
    </w:p>
    <w:p w14:paraId="0D29C6DB" w14:textId="77777777" w:rsidR="0019537C" w:rsidRDefault="0019537C" w:rsidP="0019537C">
      <w:r>
        <w:t xml:space="preserve">Study eligibility criteria allowed enrolment of patients with total bilirubin less than or equal to 1.5 times the upper limit of normal (ULN) and aspartate aminotransferase (AST) and alanine aminotransferase (ALT) less than or equal to 2.5 times the ULN. Accordingly, patients with mild hepatic impairment, as defined by the National Cancer Institute Organ Dysfunction Working Group (that is, total bilirubin less than or equal to ULN and AST or ALT greater than ULN or total bilirubin greater than 1 to 1.5 times ULN and any AST or ALT), were included in the clinical studies of mobocertinib. </w:t>
      </w:r>
      <w:r w:rsidRPr="007B669E">
        <w:t>Bilirubin, ALT, and AST were not</w:t>
      </w:r>
      <w:r>
        <w:t xml:space="preserve"> significant co-variates in the population PK model. Therefore, no dose adjustment is required for mild hepatic impairment.</w:t>
      </w:r>
    </w:p>
    <w:p w14:paraId="16BE7942" w14:textId="3E8147DF" w:rsidR="0019537C" w:rsidRPr="00B73271" w:rsidRDefault="0019537C" w:rsidP="0019537C">
      <w:r>
        <w:t>The effect of moderate and severe hepatic impairment is being evaluated in an ongoing study (Study TAK-788-1008). Top line results for C</w:t>
      </w:r>
      <w:r w:rsidRPr="00EC29F1">
        <w:rPr>
          <w:vertAlign w:val="subscript"/>
        </w:rPr>
        <w:t>max</w:t>
      </w:r>
      <w:r>
        <w:t xml:space="preserve"> and area under concentration time curve to last measurable concentration (AUC</w:t>
      </w:r>
      <w:r w:rsidR="00D73418">
        <w:rPr>
          <w:vertAlign w:val="subscript"/>
        </w:rPr>
        <w:t>0-l</w:t>
      </w:r>
      <w:r w:rsidRPr="00EC29F1">
        <w:rPr>
          <w:vertAlign w:val="subscript"/>
        </w:rPr>
        <w:t>ast</w:t>
      </w:r>
      <w:r>
        <w:t>) in patients with moderate hepatic impairment (n = 6) indicate combined molar exposure (mobocertinib, AP32960, and AP32914) is not meaningfully different from patients with normal hepatic function, and no dose adjustment is required for moderate hepatic impairment.</w:t>
      </w:r>
    </w:p>
    <w:p w14:paraId="243E8736" w14:textId="77777777" w:rsidR="0019537C" w:rsidRPr="009E79C9" w:rsidRDefault="0019537C" w:rsidP="0019537C">
      <w:pPr>
        <w:pStyle w:val="Heading5"/>
      </w:pPr>
      <w:r w:rsidRPr="009E79C9">
        <w:lastRenderedPageBreak/>
        <w:t>Interactions</w:t>
      </w:r>
    </w:p>
    <w:p w14:paraId="0DD5D8DE" w14:textId="77777777" w:rsidR="0019537C" w:rsidRPr="009E79C9" w:rsidRDefault="0019537C" w:rsidP="0019537C">
      <w:pPr>
        <w:pStyle w:val="Heading6"/>
      </w:pPr>
      <w:r w:rsidRPr="009E79C9">
        <w:t>Mobocertinib as a substrate</w:t>
      </w:r>
    </w:p>
    <w:p w14:paraId="5FED839B" w14:textId="0D7A41FD" w:rsidR="0019537C" w:rsidRDefault="0019537C" w:rsidP="0019537C">
      <w:r>
        <w:t>Mobocertinib and its two major active metabolites (AP32960 and AP32914) are predominantly metabolised by CYP3A.</w:t>
      </w:r>
      <w:r w:rsidR="00D73418" w:rsidRPr="007705B7">
        <w:rPr>
          <w:vertAlign w:val="superscript"/>
        </w:rPr>
        <w:fldChar w:fldCharType="begin"/>
      </w:r>
      <w:r w:rsidR="00D73418" w:rsidRPr="007705B7">
        <w:rPr>
          <w:vertAlign w:val="superscript"/>
        </w:rPr>
        <w:instrText xml:space="preserve"> NOTEREF _Ref132965430 \h </w:instrText>
      </w:r>
      <w:r w:rsidR="00D73418">
        <w:rPr>
          <w:vertAlign w:val="superscript"/>
        </w:rPr>
        <w:instrText xml:space="preserve"> \* MERGEFORMAT </w:instrText>
      </w:r>
      <w:r w:rsidR="00D73418" w:rsidRPr="007705B7">
        <w:rPr>
          <w:vertAlign w:val="superscript"/>
        </w:rPr>
      </w:r>
      <w:r w:rsidR="00D73418" w:rsidRPr="007705B7">
        <w:rPr>
          <w:vertAlign w:val="superscript"/>
        </w:rPr>
        <w:fldChar w:fldCharType="separate"/>
      </w:r>
      <w:r w:rsidR="00301E36">
        <w:rPr>
          <w:vertAlign w:val="superscript"/>
        </w:rPr>
        <w:t>68</w:t>
      </w:r>
      <w:r w:rsidR="00D73418" w:rsidRPr="007705B7">
        <w:rPr>
          <w:vertAlign w:val="superscript"/>
        </w:rPr>
        <w:fldChar w:fldCharType="end"/>
      </w:r>
      <w:r>
        <w:t xml:space="preserve"> Results of interaction studies related to dose recommendations are summarised in </w:t>
      </w:r>
      <w:r>
        <w:fldChar w:fldCharType="begin"/>
      </w:r>
      <w:r>
        <w:instrText xml:space="preserve"> REF _Ref130460334 \h </w:instrText>
      </w:r>
      <w:r>
        <w:fldChar w:fldCharType="separate"/>
      </w:r>
      <w:r w:rsidR="00301E36" w:rsidRPr="009E79C9">
        <w:t xml:space="preserve">Table </w:t>
      </w:r>
      <w:r w:rsidR="00301E36">
        <w:rPr>
          <w:noProof/>
        </w:rPr>
        <w:t>5</w:t>
      </w:r>
      <w:r>
        <w:fldChar w:fldCharType="end"/>
      </w:r>
      <w:r>
        <w:t>.</w:t>
      </w:r>
    </w:p>
    <w:p w14:paraId="35DEABAC" w14:textId="1FEB3069" w:rsidR="0019537C" w:rsidRPr="00CD014F" w:rsidRDefault="0019537C" w:rsidP="0019537C">
      <w:r w:rsidRPr="006069DB">
        <w:rPr>
          <w:i/>
          <w:iCs/>
        </w:rPr>
        <w:t>In vitro</w:t>
      </w:r>
      <w:r w:rsidRPr="006069DB">
        <w:t>,</w:t>
      </w:r>
      <w:r>
        <w:t xml:space="preserve"> mobocertinib is not a substrate of BCRP, OATP1B1 or OATP1B3, but is a substrate of </w:t>
      </w:r>
      <w:r w:rsidR="00D73418">
        <w:t>P</w:t>
      </w:r>
      <w:r w:rsidR="00D73418">
        <w:noBreakHyphen/>
        <w:t>glycoprotein (</w:t>
      </w:r>
      <w:r>
        <w:t>P</w:t>
      </w:r>
      <w:r>
        <w:noBreakHyphen/>
        <w:t>gp</w:t>
      </w:r>
      <w:r w:rsidR="00D73418">
        <w:t>)</w:t>
      </w:r>
      <w:r>
        <w:t>. Nevertheless, as it demonstrates high permeability and solubility, there is low risk of P-gp inhibitors or inducers affecting mobocertinib PK.</w:t>
      </w:r>
    </w:p>
    <w:p w14:paraId="3A6CC192" w14:textId="77777777" w:rsidR="0019537C" w:rsidRPr="009E79C9" w:rsidRDefault="0019537C" w:rsidP="0019537C">
      <w:pPr>
        <w:pStyle w:val="Heading6"/>
      </w:pPr>
      <w:r w:rsidRPr="009E79C9">
        <w:t>Mobocertinib as a perpetrator</w:t>
      </w:r>
    </w:p>
    <w:p w14:paraId="794AE0F1" w14:textId="67BFD638" w:rsidR="0019537C" w:rsidRDefault="0019537C" w:rsidP="0019537C">
      <w:r>
        <w:t xml:space="preserve">Mobocertinib and its two major active metabolites (AP32960 and AP32914) are time dependent inhibitors and inducers of CYP3A. Results of interaction studies related to dose recommendations are summarised in </w:t>
      </w:r>
      <w:r>
        <w:fldChar w:fldCharType="begin"/>
      </w:r>
      <w:r>
        <w:instrText xml:space="preserve"> REF _Ref130460334 \h </w:instrText>
      </w:r>
      <w:r>
        <w:fldChar w:fldCharType="separate"/>
      </w:r>
      <w:r w:rsidR="00301E36" w:rsidRPr="009E79C9">
        <w:t xml:space="preserve">Table </w:t>
      </w:r>
      <w:r w:rsidR="00301E36">
        <w:rPr>
          <w:noProof/>
        </w:rPr>
        <w:t>5</w:t>
      </w:r>
      <w:r>
        <w:fldChar w:fldCharType="end"/>
      </w:r>
      <w:r>
        <w:t>.</w:t>
      </w:r>
    </w:p>
    <w:p w14:paraId="48A474C3" w14:textId="5AFDF8D6" w:rsidR="0019537C" w:rsidRDefault="0019537C" w:rsidP="0019537C">
      <w:r w:rsidRPr="00CD014F">
        <w:rPr>
          <w:i/>
          <w:iCs/>
        </w:rPr>
        <w:t>In vitro</w:t>
      </w:r>
      <w:r>
        <w:t xml:space="preserve"> data also demonstrate that mobocertinib inhibits P-gp, and the breast cancer resistance protein (BCRP) transporter. Physiologically-based PK (PBPK)</w:t>
      </w:r>
      <w:r w:rsidRPr="006069DB">
        <w:t xml:space="preserve"> model</w:t>
      </w:r>
      <w:r>
        <w:t>l</w:t>
      </w:r>
      <w:r w:rsidRPr="006069DB">
        <w:t>ing</w:t>
      </w:r>
      <w:r>
        <w:t xml:space="preserve"> (of probe substrates digoxin and dabigatran etexilate in presence of mobocertinib at the recommended dose) was adequate to predict lack of a clinically meaningful effect on P-gp substrates. However, the </w:t>
      </w:r>
      <w:r w:rsidR="00C436DF">
        <w:t>p</w:t>
      </w:r>
      <w:r w:rsidR="00C436DF" w:rsidRPr="00C436DF">
        <w:t xml:space="preserve">hysiological based </w:t>
      </w:r>
      <w:r w:rsidR="00C436DF">
        <w:t>PK</w:t>
      </w:r>
      <w:r>
        <w:t xml:space="preserve"> model used in the submission to simulate interactions between mobocertinib and a BCRP substrate was found to be inadequate by the regulatory review.</w:t>
      </w:r>
      <w:r>
        <w:fldChar w:fldCharType="begin"/>
      </w:r>
      <w:r>
        <w:instrText xml:space="preserve"> NOTEREF _Ref130385363 \f \h </w:instrText>
      </w:r>
      <w:r>
        <w:fldChar w:fldCharType="separate"/>
      </w:r>
      <w:r w:rsidR="00301E36" w:rsidRPr="00301E36">
        <w:rPr>
          <w:rStyle w:val="FootnoteReference"/>
        </w:rPr>
        <w:t>45</w:t>
      </w:r>
      <w:r>
        <w:fldChar w:fldCharType="end"/>
      </w:r>
    </w:p>
    <w:p w14:paraId="68203661" w14:textId="57BAC776" w:rsidR="0019537C" w:rsidRDefault="0019537C" w:rsidP="0019537C">
      <w:pPr>
        <w:ind w:left="720"/>
      </w:pPr>
      <w:r>
        <w:t xml:space="preserve">‘The sulfasalazine model was developed using results from a pharmacogenetic study to quantify the contribution of BCRP to its disposition. Whether the model can detect a positive DDI is unknown, and the </w:t>
      </w:r>
      <w:r w:rsidRPr="007705B7">
        <w:rPr>
          <w:i/>
        </w:rPr>
        <w:t>in vitro</w:t>
      </w:r>
      <w:r>
        <w:t xml:space="preserve"> to </w:t>
      </w:r>
      <w:r w:rsidRPr="007705B7">
        <w:rPr>
          <w:i/>
        </w:rPr>
        <w:t xml:space="preserve">in vivo </w:t>
      </w:r>
      <w:r>
        <w:t>extrapolation on the Ki (inhibition constant) has not been established for the BCRP-mediated DDI</w:t>
      </w:r>
      <w:r w:rsidR="00C436DF">
        <w:t>s [drug-drug interactions]</w:t>
      </w:r>
      <w:r>
        <w:t xml:space="preserve">. As such, it is not known if mobocertinib and its active metabolites may increase BCRP substrate plasma concentrations </w:t>
      </w:r>
      <w:r w:rsidRPr="007705B7">
        <w:rPr>
          <w:i/>
        </w:rPr>
        <w:t>in vivo</w:t>
      </w:r>
      <w:r>
        <w:t>, which may increase the incidence and severity of adverse reactions.’</w:t>
      </w:r>
    </w:p>
    <w:p w14:paraId="36D30367" w14:textId="521C73CD" w:rsidR="0019537C" w:rsidRDefault="0019537C" w:rsidP="0019537C">
      <w:r w:rsidRPr="00085AE7">
        <w:t>A study into the effect of mobocertinib of a BRCP substrate is the subject of an FDA post</w:t>
      </w:r>
      <w:r w:rsidR="00F235C6">
        <w:noBreakHyphen/>
      </w:r>
      <w:r w:rsidRPr="00085AE7">
        <w:t>marketing requirement</w:t>
      </w:r>
      <w:r>
        <w:t xml:space="preserve"> (see </w:t>
      </w:r>
      <w:r>
        <w:fldChar w:fldCharType="begin"/>
      </w:r>
      <w:r>
        <w:instrText xml:space="preserve"> REF _Ref130460295 \h </w:instrText>
      </w:r>
      <w:r>
        <w:fldChar w:fldCharType="separate"/>
      </w:r>
      <w:r w:rsidR="00301E36" w:rsidRPr="00E80A00">
        <w:t xml:space="preserve">Table </w:t>
      </w:r>
      <w:r w:rsidR="00301E36">
        <w:rPr>
          <w:noProof/>
        </w:rPr>
        <w:t>3</w:t>
      </w:r>
      <w:r>
        <w:fldChar w:fldCharType="end"/>
      </w:r>
      <w:r w:rsidR="00C436DF">
        <w:t>, above</w:t>
      </w:r>
      <w:r>
        <w:t>).</w:t>
      </w:r>
    </w:p>
    <w:p w14:paraId="583649ED" w14:textId="5D493C5A" w:rsidR="0019537C" w:rsidRDefault="0019537C" w:rsidP="0019537C">
      <w:r>
        <w:t xml:space="preserve">Mobocertinib and its two major active metabolites do not inhibit </w:t>
      </w:r>
      <w:r w:rsidRPr="006069DB">
        <w:t>CYP1A2, 2B6, 2C8, 2C9, 2C19, 2D6</w:t>
      </w:r>
      <w:r>
        <w:t xml:space="preserve">, OATP1B1, OATP1B3, OAT1, OAT3, OCT2, MATE1, MATE2-K, or OCT1 at clinically relevant concentrations </w:t>
      </w:r>
      <w:r w:rsidRPr="006069DB">
        <w:rPr>
          <w:i/>
          <w:iCs/>
        </w:rPr>
        <w:t>in vitro</w:t>
      </w:r>
      <w:r w:rsidRPr="006069DB">
        <w:t>.</w:t>
      </w:r>
    </w:p>
    <w:p w14:paraId="5042781C" w14:textId="31B519EE" w:rsidR="00C436DF" w:rsidRDefault="00C436DF" w:rsidP="0019537C">
      <w:r>
        <w:br w:type="page"/>
      </w:r>
    </w:p>
    <w:p w14:paraId="35BEFC30" w14:textId="5127F3E0" w:rsidR="0019537C" w:rsidRDefault="0019537C" w:rsidP="0019537C">
      <w:pPr>
        <w:pStyle w:val="TableTitle"/>
      </w:pPr>
      <w:bookmarkStart w:id="87" w:name="_Ref130460334"/>
      <w:r w:rsidRPr="009E79C9">
        <w:lastRenderedPageBreak/>
        <w:t xml:space="preserve">Table </w:t>
      </w:r>
      <w:r w:rsidR="003F5EF5">
        <w:fldChar w:fldCharType="begin"/>
      </w:r>
      <w:r w:rsidR="003F5EF5">
        <w:instrText xml:space="preserve"> SEQ Table \* ARABIC </w:instrText>
      </w:r>
      <w:r w:rsidR="003F5EF5">
        <w:fldChar w:fldCharType="separate"/>
      </w:r>
      <w:r w:rsidR="00301E36">
        <w:rPr>
          <w:noProof/>
        </w:rPr>
        <w:t>5</w:t>
      </w:r>
      <w:r w:rsidR="003F5EF5">
        <w:rPr>
          <w:noProof/>
        </w:rPr>
        <w:fldChar w:fldCharType="end"/>
      </w:r>
      <w:bookmarkEnd w:id="87"/>
      <w:r w:rsidRPr="009E79C9">
        <w:t>:</w:t>
      </w:r>
      <w:r>
        <w:t xml:space="preserve"> </w:t>
      </w:r>
      <w:r w:rsidRPr="009E79C9">
        <w:t>Interaction studies submitted for mobocertinib that support regulatory dosing advice</w:t>
      </w:r>
      <w:r>
        <w:t xml:space="preserve"> </w:t>
      </w:r>
      <w:r w:rsidRPr="009E79C9">
        <w:rPr>
          <w:vertAlign w:val="superscript"/>
        </w:rPr>
        <w:t>1</w:t>
      </w:r>
    </w:p>
    <w:tbl>
      <w:tblPr>
        <w:tblStyle w:val="TableTGAblue"/>
        <w:tblW w:w="0" w:type="auto"/>
        <w:tblCellMar>
          <w:left w:w="57" w:type="dxa"/>
          <w:right w:w="57" w:type="dxa"/>
        </w:tblCellMar>
        <w:tblLook w:val="04A0" w:firstRow="1" w:lastRow="0" w:firstColumn="1" w:lastColumn="0" w:noHBand="0" w:noVBand="1"/>
      </w:tblPr>
      <w:tblGrid>
        <w:gridCol w:w="1408"/>
        <w:gridCol w:w="1559"/>
        <w:gridCol w:w="3260"/>
        <w:gridCol w:w="2779"/>
      </w:tblGrid>
      <w:tr w:rsidR="0019537C" w14:paraId="28073472" w14:textId="77777777" w:rsidTr="008B3CF0">
        <w:trPr>
          <w:cnfStyle w:val="100000000000" w:firstRow="1" w:lastRow="0" w:firstColumn="0" w:lastColumn="0" w:oddVBand="0" w:evenVBand="0" w:oddHBand="0" w:evenHBand="0" w:firstRowFirstColumn="0" w:firstRowLastColumn="0" w:lastRowFirstColumn="0" w:lastRowLastColumn="0"/>
          <w:trHeight w:val="449"/>
        </w:trPr>
        <w:tc>
          <w:tcPr>
            <w:tcW w:w="1408" w:type="dxa"/>
          </w:tcPr>
          <w:p w14:paraId="7ADD9746" w14:textId="77777777" w:rsidR="0019537C" w:rsidRPr="007D7587" w:rsidRDefault="0019537C" w:rsidP="008B3CF0">
            <w:pPr>
              <w:ind w:left="0" w:right="0"/>
            </w:pPr>
            <w:r>
              <w:t>Reference</w:t>
            </w:r>
          </w:p>
        </w:tc>
        <w:tc>
          <w:tcPr>
            <w:tcW w:w="1559" w:type="dxa"/>
          </w:tcPr>
          <w:p w14:paraId="22015078" w14:textId="77777777" w:rsidR="0019537C" w:rsidRPr="007D7587" w:rsidRDefault="0019537C" w:rsidP="008B3CF0">
            <w:pPr>
              <w:ind w:left="0" w:right="0"/>
            </w:pPr>
            <w:r>
              <w:t>Study</w:t>
            </w:r>
          </w:p>
        </w:tc>
        <w:tc>
          <w:tcPr>
            <w:tcW w:w="3260" w:type="dxa"/>
          </w:tcPr>
          <w:p w14:paraId="2778BEC6" w14:textId="77777777" w:rsidR="0019537C" w:rsidRDefault="0019537C" w:rsidP="008B3CF0">
            <w:pPr>
              <w:ind w:left="0" w:right="0"/>
            </w:pPr>
            <w:r>
              <w:t>Results</w:t>
            </w:r>
          </w:p>
        </w:tc>
        <w:tc>
          <w:tcPr>
            <w:tcW w:w="2779" w:type="dxa"/>
          </w:tcPr>
          <w:p w14:paraId="5E3B67BA" w14:textId="77777777" w:rsidR="0019537C" w:rsidRPr="007D7587" w:rsidRDefault="0019537C" w:rsidP="008B3CF0">
            <w:pPr>
              <w:ind w:left="0" w:right="0"/>
            </w:pPr>
            <w:r>
              <w:t>Regulatory dosing advice</w:t>
            </w:r>
          </w:p>
        </w:tc>
      </w:tr>
      <w:tr w:rsidR="0019537C" w14:paraId="189573EF" w14:textId="77777777" w:rsidTr="008B3CF0">
        <w:tc>
          <w:tcPr>
            <w:tcW w:w="1408" w:type="dxa"/>
          </w:tcPr>
          <w:p w14:paraId="3773C624" w14:textId="77777777" w:rsidR="0019537C" w:rsidRPr="007D7587" w:rsidRDefault="0019537C" w:rsidP="008B3CF0">
            <w:pPr>
              <w:ind w:left="0" w:right="0"/>
            </w:pPr>
            <w:r>
              <w:t>TAK-788-1006 (Part 1)</w:t>
            </w:r>
          </w:p>
        </w:tc>
        <w:tc>
          <w:tcPr>
            <w:tcW w:w="1559" w:type="dxa"/>
          </w:tcPr>
          <w:p w14:paraId="6F852CEA" w14:textId="77777777" w:rsidR="0019537C" w:rsidRPr="00562790" w:rsidRDefault="0019537C" w:rsidP="008B3CF0">
            <w:pPr>
              <w:ind w:left="0" w:right="0"/>
            </w:pPr>
            <w:r>
              <w:t>PK in healthy adult subjects: single dose mobocertinib 20 mg orally and multiple doses itraconazole 200 mg orally</w:t>
            </w:r>
          </w:p>
        </w:tc>
        <w:tc>
          <w:tcPr>
            <w:tcW w:w="3260" w:type="dxa"/>
          </w:tcPr>
          <w:p w14:paraId="6319050B" w14:textId="1DA50B55" w:rsidR="0019537C" w:rsidRPr="00313E8D" w:rsidRDefault="0019537C" w:rsidP="008B3CF0">
            <w:pPr>
              <w:ind w:left="0"/>
            </w:pPr>
            <w:r>
              <w:t>CME after a single 20 mg dose of mobocertinib was much higher (</w:t>
            </w:r>
            <w:r w:rsidR="00F235C6">
              <w:t xml:space="preserve">about </w:t>
            </w:r>
            <w:r>
              <w:t xml:space="preserve">6-fold), in the presence of itraconazole. PBPK modelling predicted that steady state CME with 160 mg daily dosing of mobocertinib would increase by </w:t>
            </w:r>
            <w:r w:rsidR="00F235C6">
              <w:t xml:space="preserve">about </w:t>
            </w:r>
            <w:r>
              <w:t xml:space="preserve">5-fold and </w:t>
            </w:r>
            <w:r w:rsidR="00F235C6">
              <w:t xml:space="preserve">about </w:t>
            </w:r>
            <w:r>
              <w:t>2-fold with strong and moderate CYP3A inhibitors, respectively, and by 16% with weak CYP3A inhibitors.</w:t>
            </w:r>
          </w:p>
        </w:tc>
        <w:tc>
          <w:tcPr>
            <w:tcW w:w="2779" w:type="dxa"/>
          </w:tcPr>
          <w:p w14:paraId="51E35089" w14:textId="77777777" w:rsidR="0019537C" w:rsidRPr="007D7587" w:rsidRDefault="0019537C" w:rsidP="008B3CF0">
            <w:pPr>
              <w:ind w:left="0" w:right="0"/>
            </w:pPr>
            <w:r>
              <w:t>Avo</w:t>
            </w:r>
            <w:r w:rsidRPr="00313E8D">
              <w:t xml:space="preserve">id coadministration of mobocertinib </w:t>
            </w:r>
            <w:r>
              <w:t>with</w:t>
            </w:r>
            <w:r w:rsidRPr="00313E8D">
              <w:t xml:space="preserve"> strong</w:t>
            </w:r>
            <w:r>
              <w:t xml:space="preserve"> or moderate</w:t>
            </w:r>
            <w:r w:rsidRPr="00313E8D">
              <w:t xml:space="preserve"> CYP3A inhibitors</w:t>
            </w:r>
            <w:r>
              <w:t>. Reduce mobocertinib dose by 50% if coadministration with a moderate CYP3A inhibitor is necessary, and conduct</w:t>
            </w:r>
            <w:r w:rsidRPr="00C03728">
              <w:t xml:space="preserve"> additional </w:t>
            </w:r>
            <w:r>
              <w:t>ECG</w:t>
            </w:r>
            <w:r w:rsidRPr="00C03728">
              <w:t xml:space="preserve"> monitoring</w:t>
            </w:r>
            <w:r>
              <w:t>.</w:t>
            </w:r>
          </w:p>
        </w:tc>
      </w:tr>
      <w:tr w:rsidR="0019537C" w14:paraId="778ECCAC" w14:textId="77777777" w:rsidTr="008B3CF0">
        <w:tc>
          <w:tcPr>
            <w:tcW w:w="1408" w:type="dxa"/>
          </w:tcPr>
          <w:p w14:paraId="388D5B56" w14:textId="77777777" w:rsidR="0019537C" w:rsidRDefault="0019537C" w:rsidP="008B3CF0">
            <w:pPr>
              <w:ind w:left="0" w:right="0"/>
            </w:pPr>
            <w:r>
              <w:t>TAK-788-1006 (Part 2)</w:t>
            </w:r>
          </w:p>
        </w:tc>
        <w:tc>
          <w:tcPr>
            <w:tcW w:w="1559" w:type="dxa"/>
          </w:tcPr>
          <w:p w14:paraId="21F5BEF9" w14:textId="77777777" w:rsidR="0019537C" w:rsidRDefault="0019537C" w:rsidP="008B3CF0">
            <w:pPr>
              <w:ind w:left="0" w:right="0"/>
            </w:pPr>
            <w:r>
              <w:t xml:space="preserve">PK in healthy adult subjects: single dose mobocertinib </w:t>
            </w:r>
            <w:r w:rsidRPr="00313E8D">
              <w:t xml:space="preserve">160 mg </w:t>
            </w:r>
            <w:r>
              <w:t>orally and multiple doses rifampin</w:t>
            </w:r>
            <w:r w:rsidRPr="00313E8D">
              <w:t xml:space="preserve"> 600 mg </w:t>
            </w:r>
            <w:r>
              <w:t>orally</w:t>
            </w:r>
          </w:p>
        </w:tc>
        <w:tc>
          <w:tcPr>
            <w:tcW w:w="3260" w:type="dxa"/>
          </w:tcPr>
          <w:p w14:paraId="6BAC09EE" w14:textId="010C34C7" w:rsidR="0019537C" w:rsidRDefault="0019537C" w:rsidP="008B3CF0">
            <w:pPr>
              <w:ind w:left="0" w:right="0"/>
            </w:pPr>
            <w:r>
              <w:t xml:space="preserve">CME after a single 20 mg dose of mobocertinib was reduced by </w:t>
            </w:r>
            <w:r w:rsidR="00F235C6">
              <w:t xml:space="preserve">about </w:t>
            </w:r>
            <w:r>
              <w:t xml:space="preserve">95% in the presence of rifampin. PBPK modelling predicted that steady state CME with 160 mg daily dosing of mobocertinib would decrease by more than 90% and </w:t>
            </w:r>
            <w:r w:rsidR="00F235C6">
              <w:t xml:space="preserve">about </w:t>
            </w:r>
            <w:r>
              <w:t>60% with strong and moderate CYP3A inducers, respectively.</w:t>
            </w:r>
          </w:p>
        </w:tc>
        <w:tc>
          <w:tcPr>
            <w:tcW w:w="2779" w:type="dxa"/>
          </w:tcPr>
          <w:p w14:paraId="4205E77F" w14:textId="5B83A52B" w:rsidR="0019537C" w:rsidRPr="00436C6C" w:rsidRDefault="0019537C" w:rsidP="008B3CF0">
            <w:pPr>
              <w:ind w:left="0"/>
            </w:pPr>
            <w:r>
              <w:t>Avoid</w:t>
            </w:r>
            <w:r w:rsidRPr="00313E8D">
              <w:t xml:space="preserve"> coadministration of mobocertinib </w:t>
            </w:r>
            <w:r>
              <w:t>with</w:t>
            </w:r>
            <w:r w:rsidRPr="00313E8D">
              <w:t xml:space="preserve"> strong </w:t>
            </w:r>
            <w:r>
              <w:t>or</w:t>
            </w:r>
            <w:r w:rsidRPr="00313E8D">
              <w:t xml:space="preserve"> moderate CYP3A inducers</w:t>
            </w:r>
            <w:r>
              <w:t>.</w:t>
            </w:r>
            <w:r w:rsidRPr="009E79C9">
              <w:rPr>
                <w:vertAlign w:val="superscript"/>
              </w:rPr>
              <w:t>2</w:t>
            </w:r>
            <w:r>
              <w:rPr>
                <w:vertAlign w:val="superscript"/>
              </w:rPr>
              <w:t xml:space="preserve"> </w:t>
            </w:r>
            <w:r>
              <w:t>(see</w:t>
            </w:r>
            <w:r w:rsidR="007A44DB">
              <w:t xml:space="preserve"> </w:t>
            </w:r>
            <w:r w:rsidR="007A44DB">
              <w:fldChar w:fldCharType="begin"/>
            </w:r>
            <w:r w:rsidR="007A44DB">
              <w:instrText xml:space="preserve"> REF _Ref102391910 \h </w:instrText>
            </w:r>
            <w:r w:rsidR="007A44DB">
              <w:fldChar w:fldCharType="separate"/>
            </w:r>
            <w:r w:rsidR="00301E36" w:rsidRPr="00F74310">
              <w:t>Cardiac safety</w:t>
            </w:r>
            <w:r w:rsidR="007A44DB">
              <w:fldChar w:fldCharType="end"/>
            </w:r>
            <w:r w:rsidR="007A44DB">
              <w:t>)</w:t>
            </w:r>
          </w:p>
        </w:tc>
      </w:tr>
      <w:tr w:rsidR="0019537C" w14:paraId="3620DAC8" w14:textId="77777777" w:rsidTr="008B3CF0">
        <w:tc>
          <w:tcPr>
            <w:tcW w:w="1408" w:type="dxa"/>
          </w:tcPr>
          <w:p w14:paraId="3C4EE503" w14:textId="77777777" w:rsidR="0019537C" w:rsidRPr="007D7587" w:rsidRDefault="0019537C" w:rsidP="008B3CF0">
            <w:pPr>
              <w:ind w:left="0" w:right="0"/>
            </w:pPr>
            <w:r>
              <w:t xml:space="preserve">TAK-788-1004 </w:t>
            </w:r>
          </w:p>
        </w:tc>
        <w:tc>
          <w:tcPr>
            <w:tcW w:w="1559" w:type="dxa"/>
          </w:tcPr>
          <w:p w14:paraId="39B467C0" w14:textId="77777777" w:rsidR="0019537C" w:rsidRDefault="0019537C" w:rsidP="008B3CF0">
            <w:pPr>
              <w:ind w:left="0" w:right="0"/>
            </w:pPr>
            <w:r>
              <w:t xml:space="preserve">PK in patients with advanced NSCLC: single dose mobocertinib </w:t>
            </w:r>
            <w:r w:rsidRPr="00313E8D">
              <w:t xml:space="preserve">160 mg </w:t>
            </w:r>
            <w:r>
              <w:t>orally and single dose midazolam 3 mg orally</w:t>
            </w:r>
          </w:p>
        </w:tc>
        <w:tc>
          <w:tcPr>
            <w:tcW w:w="3260" w:type="dxa"/>
          </w:tcPr>
          <w:p w14:paraId="58FD0B69" w14:textId="77777777" w:rsidR="0019537C" w:rsidRDefault="0019537C" w:rsidP="008B3CF0">
            <w:pPr>
              <w:ind w:left="0"/>
            </w:pPr>
            <w:r>
              <w:t>The AUC of 3 mg oral midazolam decreased by 32% when coadministered with a single dose of 160 mg mobocertinib, but the C</w:t>
            </w:r>
            <w:r w:rsidRPr="006E6125">
              <w:rPr>
                <w:vertAlign w:val="subscript"/>
              </w:rPr>
              <w:t>max</w:t>
            </w:r>
            <w:r>
              <w:t xml:space="preserve"> was unchanged.</w:t>
            </w:r>
          </w:p>
          <w:p w14:paraId="7EABB31A" w14:textId="77777777" w:rsidR="0019537C" w:rsidRDefault="0019537C" w:rsidP="008B3CF0">
            <w:pPr>
              <w:ind w:left="0" w:right="0"/>
            </w:pPr>
          </w:p>
        </w:tc>
        <w:tc>
          <w:tcPr>
            <w:tcW w:w="2779" w:type="dxa"/>
          </w:tcPr>
          <w:p w14:paraId="1C02E53B" w14:textId="77777777" w:rsidR="0019537C" w:rsidRDefault="0019537C" w:rsidP="008B3CF0">
            <w:pPr>
              <w:ind w:left="0" w:right="0"/>
            </w:pPr>
            <w:r w:rsidRPr="00B73271">
              <w:t>Avoid concomitant use of mobocertinib with hormonal contraceptives</w:t>
            </w:r>
            <w:r>
              <w:t>,</w:t>
            </w:r>
            <w:r w:rsidRPr="00B73271">
              <w:t xml:space="preserve"> and other CYP3A substrates</w:t>
            </w:r>
            <w:r>
              <w:t xml:space="preserve"> for which </w:t>
            </w:r>
            <w:r w:rsidRPr="00B73271">
              <w:t xml:space="preserve">minimal concentration changes </w:t>
            </w:r>
            <w:r w:rsidRPr="00F57E89">
              <w:t>may lead to serious therapeutic failures. If concomitant use is unavoidable, consider increasing the CYP3A substrate dose in accordance with accepted clinical practice.</w:t>
            </w:r>
          </w:p>
        </w:tc>
      </w:tr>
    </w:tbl>
    <w:p w14:paraId="2575F609" w14:textId="3D094381" w:rsidR="0019537C" w:rsidRDefault="005424BC" w:rsidP="0019537C">
      <w:pPr>
        <w:pStyle w:val="TableDescription"/>
      </w:pPr>
      <w:r>
        <w:t xml:space="preserve">Abbreviations: </w:t>
      </w:r>
      <w:r w:rsidR="0019537C">
        <w:t>AUC = area under the curve; CME = combined molar exposure (area under the curve) of mobocertinib, AP32960, and AP32914; ECG = electrocardiogram; PBPK = physiologically based pharmacokinetic; IV = intravenous</w:t>
      </w:r>
      <w:r w:rsidR="0019537C">
        <w:br/>
      </w:r>
      <w:r w:rsidR="0019537C" w:rsidRPr="00562790">
        <w:rPr>
          <w:vertAlign w:val="superscript"/>
        </w:rPr>
        <w:t>1</w:t>
      </w:r>
      <w:r w:rsidR="0019537C">
        <w:t xml:space="preserve"> More detail is published in the </w:t>
      </w:r>
      <w:r>
        <w:t>United States (US) Food and Drug Administration (FDA) Multidisciplinary review (</w:t>
      </w:r>
      <w:r w:rsidR="0019537C">
        <w:t>MDR</w:t>
      </w:r>
      <w:r>
        <w:t xml:space="preserve">) for Exkivity. Available as of 4 March 2022 at: </w:t>
      </w:r>
      <w:r w:rsidRPr="005424BC">
        <w:t>https://www.accessdata.fda.gov/drugsatfda_docs/nda/2021/215310Orig1s000MultidisciplineR.pdf</w:t>
      </w:r>
    </w:p>
    <w:p w14:paraId="396C86C5" w14:textId="77777777" w:rsidR="0019537C" w:rsidRDefault="0019537C" w:rsidP="0019537C">
      <w:pPr>
        <w:pStyle w:val="TableDescription"/>
      </w:pPr>
      <w:r w:rsidRPr="0001500C">
        <w:rPr>
          <w:vertAlign w:val="superscript"/>
        </w:rPr>
        <w:t xml:space="preserve">2 </w:t>
      </w:r>
      <w:r>
        <w:t>The sponsor proposes that coadministration with moderate CYP3A inducers could be undertaken, with weekly up-titration of mobocertinib by 40 mg increments, as tolerated, to a maximum of twice the mobocertinib dose that was tolerated prior to the initiation of the moderate CYP3A inducer. The regulatory clinical review did not agree with this approach, as mobocertinib auto-induces its own metabolism by CYP3A. The PBPK model used by the sponsor has not been validated by clinical data for doses higher than 180 mg, where the auto-induction effect of mobocertinib is unquantified and may not be linear. Safety or efficacy may be compromised by such an approach.</w:t>
      </w:r>
    </w:p>
    <w:p w14:paraId="137B02B2" w14:textId="77777777" w:rsidR="0019537C" w:rsidRPr="00627D94" w:rsidRDefault="0019537C" w:rsidP="0019537C">
      <w:pPr>
        <w:pStyle w:val="Heading5"/>
      </w:pPr>
      <w:bookmarkStart w:id="88" w:name="_Ref102465463"/>
      <w:r w:rsidRPr="00627D94">
        <w:lastRenderedPageBreak/>
        <w:t>Pharmacodynamics</w:t>
      </w:r>
      <w:bookmarkEnd w:id="88"/>
    </w:p>
    <w:p w14:paraId="712312F2" w14:textId="276F70E0" w:rsidR="0019537C" w:rsidRPr="00627D94" w:rsidRDefault="0019537C" w:rsidP="0019537C">
      <w:r w:rsidRPr="00627D94">
        <w:t xml:space="preserve">Mobocertinib treatment is associated with concentration-dependent QTc prolongation. The FDA undertook an independent review of </w:t>
      </w:r>
      <w:r w:rsidR="00247F49">
        <w:t>electrocardiogram</w:t>
      </w:r>
      <w:r w:rsidR="00247F49" w:rsidRPr="00627D94">
        <w:t xml:space="preserve"> </w:t>
      </w:r>
      <w:r w:rsidR="00247F49">
        <w:t>(</w:t>
      </w:r>
      <w:r w:rsidRPr="00627D94">
        <w:t>ECG</w:t>
      </w:r>
      <w:r w:rsidR="00247F49">
        <w:t>)</w:t>
      </w:r>
      <w:r w:rsidRPr="00627D94">
        <w:t xml:space="preserve"> and exposure data from Study</w:t>
      </w:r>
      <w:r w:rsidR="005424BC">
        <w:t> </w:t>
      </w:r>
      <w:r w:rsidRPr="00627D94">
        <w:t>101. At the recommended dose, the mean increase in the QTc interval was 23 msec (upper 95% confidence interval limit: 26 msec)</w:t>
      </w:r>
      <w:r>
        <w:t>.</w:t>
      </w:r>
      <w:r>
        <w:rPr>
          <w:rStyle w:val="FootnoteReference"/>
        </w:rPr>
        <w:footnoteReference w:id="69"/>
      </w:r>
    </w:p>
    <w:p w14:paraId="699AB52A" w14:textId="73FA71D7" w:rsidR="0019537C" w:rsidRPr="00627D94" w:rsidRDefault="0019537C" w:rsidP="0019537C">
      <w:r w:rsidRPr="00627D94">
        <w:t>The FDA safety review also included a review of ECGs that were taken in triplicate during Study 101</w:t>
      </w:r>
      <w:r>
        <w:t>.</w:t>
      </w:r>
      <w:r>
        <w:fldChar w:fldCharType="begin"/>
      </w:r>
      <w:r>
        <w:instrText xml:space="preserve"> NOTEREF _Ref130385363 \f \h </w:instrText>
      </w:r>
      <w:r>
        <w:fldChar w:fldCharType="separate"/>
      </w:r>
      <w:r w:rsidR="00301E36" w:rsidRPr="00301E36">
        <w:rPr>
          <w:rStyle w:val="FootnoteReference"/>
        </w:rPr>
        <w:t>45</w:t>
      </w:r>
      <w:r>
        <w:fldChar w:fldCharType="end"/>
      </w:r>
    </w:p>
    <w:p w14:paraId="6F24F1C8" w14:textId="243E19AA" w:rsidR="0019537C" w:rsidRDefault="0019537C" w:rsidP="0019537C">
      <w:pPr>
        <w:ind w:left="720"/>
      </w:pPr>
      <w:r>
        <w:t>‘</w:t>
      </w:r>
      <w:r w:rsidRPr="00046F75">
        <w:t>ECGs from a subset of 250 patients who had at least one baseline ECG and one subsequent scheduled or unscheduled ECG were analyzed to further character</w:t>
      </w:r>
      <w:r w:rsidR="004659AE">
        <w:t>is</w:t>
      </w:r>
      <w:r w:rsidRPr="00046F75">
        <w:t>e the risk of QTc prolongation. Of these 250 patients, 1.2% had a QTc interval &gt;</w:t>
      </w:r>
      <w:r>
        <w:t xml:space="preserve"> </w:t>
      </w:r>
      <w:r w:rsidRPr="00046F75">
        <w:t>500 msec and 11% of patients had a change-from-baseline QTc interval &gt;</w:t>
      </w:r>
      <w:r>
        <w:t xml:space="preserve"> </w:t>
      </w:r>
      <w:r w:rsidRPr="00046F75">
        <w:t>60 msec.</w:t>
      </w:r>
      <w:r>
        <w:t>’</w:t>
      </w:r>
    </w:p>
    <w:p w14:paraId="775C8A93" w14:textId="6061DF3B" w:rsidR="0019537C" w:rsidRPr="00535114" w:rsidRDefault="005424BC" w:rsidP="0019537C">
      <w:r>
        <w:t>For more information s</w:t>
      </w:r>
      <w:r w:rsidR="0019537C">
        <w:t>ee section</w:t>
      </w:r>
      <w:r>
        <w:t>:</w:t>
      </w:r>
      <w:r w:rsidR="007A44DB">
        <w:t xml:space="preserve"> </w:t>
      </w:r>
      <w:r w:rsidR="007A44DB" w:rsidRPr="007705B7">
        <w:rPr>
          <w:i/>
        </w:rPr>
        <w:fldChar w:fldCharType="begin"/>
      </w:r>
      <w:r w:rsidR="007A44DB" w:rsidRPr="007705B7">
        <w:rPr>
          <w:i/>
        </w:rPr>
        <w:instrText xml:space="preserve"> REF _Ref102391910 \h </w:instrText>
      </w:r>
      <w:r>
        <w:rPr>
          <w:i/>
        </w:rPr>
        <w:instrText xml:space="preserve"> \* MERGEFORMAT </w:instrText>
      </w:r>
      <w:r w:rsidR="007A44DB" w:rsidRPr="007705B7">
        <w:rPr>
          <w:i/>
        </w:rPr>
      </w:r>
      <w:r w:rsidR="007A44DB" w:rsidRPr="007705B7">
        <w:rPr>
          <w:i/>
        </w:rPr>
        <w:fldChar w:fldCharType="separate"/>
      </w:r>
      <w:r w:rsidR="00301E36" w:rsidRPr="00301E36">
        <w:rPr>
          <w:i/>
        </w:rPr>
        <w:t>Cardiac safety</w:t>
      </w:r>
      <w:r w:rsidR="007A44DB" w:rsidRPr="007705B7">
        <w:rPr>
          <w:i/>
        </w:rPr>
        <w:fldChar w:fldCharType="end"/>
      </w:r>
      <w:r>
        <w:t>, below</w:t>
      </w:r>
      <w:r w:rsidR="0019537C">
        <w:t>.</w:t>
      </w:r>
    </w:p>
    <w:p w14:paraId="343D3299" w14:textId="77777777" w:rsidR="0019537C" w:rsidRPr="00475C7F" w:rsidRDefault="0019537C" w:rsidP="0019537C">
      <w:pPr>
        <w:pStyle w:val="Heading4"/>
      </w:pPr>
      <w:bookmarkStart w:id="89" w:name="_Ref95810732"/>
      <w:bookmarkStart w:id="90" w:name="_Toc132980322"/>
      <w:r w:rsidRPr="00475C7F">
        <w:t>Efficacy</w:t>
      </w:r>
      <w:bookmarkEnd w:id="89"/>
      <w:bookmarkEnd w:id="90"/>
    </w:p>
    <w:p w14:paraId="2ACAE18A" w14:textId="63A0FC29" w:rsidR="0019537C" w:rsidRPr="00475C7F" w:rsidRDefault="005424BC" w:rsidP="0019537C">
      <w:pPr>
        <w:pStyle w:val="Heading5"/>
      </w:pPr>
      <w:r>
        <w:t xml:space="preserve"> S</w:t>
      </w:r>
      <w:r w:rsidRPr="004B5DEB">
        <w:t>tudy AP32788-15-101</w:t>
      </w:r>
      <w:r>
        <w:t xml:space="preserve"> (Study 101)</w:t>
      </w:r>
    </w:p>
    <w:p w14:paraId="443B2953" w14:textId="122E70DF" w:rsidR="0019537C" w:rsidRDefault="0019537C" w:rsidP="0019537C">
      <w:r w:rsidRPr="005C0C8C">
        <w:t xml:space="preserve">The pivotal data supporting efficacy come from </w:t>
      </w:r>
      <w:r w:rsidR="005424BC">
        <w:t>S</w:t>
      </w:r>
      <w:r w:rsidR="005424BC" w:rsidRPr="004B5DEB">
        <w:t xml:space="preserve">tudy AP32788-15-101 </w:t>
      </w:r>
      <w:r w:rsidR="005424BC">
        <w:t xml:space="preserve">(abbreviated here as </w:t>
      </w:r>
      <w:r>
        <w:t>S</w:t>
      </w:r>
      <w:r w:rsidRPr="005C0C8C">
        <w:t>tudy 101</w:t>
      </w:r>
      <w:r w:rsidR="005424BC">
        <w:t>)</w:t>
      </w:r>
      <w:r w:rsidRPr="005C0C8C">
        <w:t>.</w:t>
      </w:r>
    </w:p>
    <w:p w14:paraId="2CAD25DA" w14:textId="77777777" w:rsidR="0019537C" w:rsidRPr="00475C7F" w:rsidRDefault="0019537C" w:rsidP="0019537C">
      <w:pPr>
        <w:pStyle w:val="Heading6"/>
      </w:pPr>
      <w:r w:rsidRPr="00475C7F">
        <w:t>Design</w:t>
      </w:r>
    </w:p>
    <w:p w14:paraId="0991E7BA" w14:textId="5CD6C37E" w:rsidR="0019537C" w:rsidRDefault="0019537C" w:rsidP="0019537C">
      <w:r w:rsidRPr="005C0C8C">
        <w:t xml:space="preserve">Study 101 was a global, </w:t>
      </w:r>
      <w:r>
        <w:t>P</w:t>
      </w:r>
      <w:r w:rsidRPr="005C0C8C">
        <w:t xml:space="preserve">hase </w:t>
      </w:r>
      <w:r>
        <w:t>I</w:t>
      </w:r>
      <w:r w:rsidRPr="005C0C8C">
        <w:t>/</w:t>
      </w:r>
      <w:r>
        <w:t>II</w:t>
      </w:r>
      <w:r w:rsidRPr="005C0C8C">
        <w:t>, single</w:t>
      </w:r>
      <w:r>
        <w:t xml:space="preserve"> </w:t>
      </w:r>
      <w:r w:rsidRPr="005C0C8C">
        <w:t xml:space="preserve">arm, </w:t>
      </w:r>
      <w:r>
        <w:t xml:space="preserve">three </w:t>
      </w:r>
      <w:r w:rsidRPr="005C0C8C">
        <w:t>part study</w:t>
      </w:r>
      <w:r>
        <w:t xml:space="preserve"> of mobocertinib.</w:t>
      </w:r>
      <w:r>
        <w:rPr>
          <w:rStyle w:val="FootnoteReference"/>
        </w:rPr>
        <w:footnoteReference w:id="70"/>
      </w:r>
      <w:r w:rsidRPr="005C0C8C">
        <w:t xml:space="preserve"> The </w:t>
      </w:r>
      <w:r>
        <w:t xml:space="preserve">study </w:t>
      </w:r>
      <w:r w:rsidRPr="005C0C8C">
        <w:t>design is summarised</w:t>
      </w:r>
      <w:r>
        <w:t xml:space="preserve"> in </w:t>
      </w:r>
      <w:r>
        <w:fldChar w:fldCharType="begin"/>
      </w:r>
      <w:r>
        <w:instrText xml:space="preserve"> REF _Ref130462759 \h </w:instrText>
      </w:r>
      <w:r>
        <w:fldChar w:fldCharType="separate"/>
      </w:r>
      <w:r w:rsidR="00301E36">
        <w:t xml:space="preserve">Table </w:t>
      </w:r>
      <w:r w:rsidR="00301E36">
        <w:rPr>
          <w:noProof/>
        </w:rPr>
        <w:t>6</w:t>
      </w:r>
      <w:r>
        <w:fldChar w:fldCharType="end"/>
      </w:r>
      <w:r w:rsidRPr="005C0C8C">
        <w:t xml:space="preserve"> </w:t>
      </w:r>
      <w:r>
        <w:t>and is described</w:t>
      </w:r>
      <w:r w:rsidRPr="005C0C8C">
        <w:t xml:space="preserve"> in the publicly available FDA labe</w:t>
      </w:r>
      <w:r>
        <w:t>l.</w:t>
      </w:r>
      <w:bookmarkStart w:id="91" w:name="_Ref130554132"/>
      <w:r>
        <w:rPr>
          <w:rStyle w:val="FootnoteReference"/>
        </w:rPr>
        <w:footnoteReference w:id="71"/>
      </w:r>
      <w:bookmarkEnd w:id="91"/>
    </w:p>
    <w:p w14:paraId="3D7381A5" w14:textId="1001627B" w:rsidR="0019537C" w:rsidRDefault="0019537C" w:rsidP="0019537C">
      <w:r w:rsidRPr="008D1E61">
        <w:t xml:space="preserve">The primary efficacy analysis for </w:t>
      </w:r>
      <w:r>
        <w:t>this submission</w:t>
      </w:r>
      <w:r w:rsidRPr="008D1E61">
        <w:t xml:space="preserve"> </w:t>
      </w:r>
      <w:r>
        <w:t>was performed in</w:t>
      </w:r>
      <w:r w:rsidRPr="008D1E61">
        <w:t xml:space="preserve"> the </w:t>
      </w:r>
      <w:r>
        <w:t>p</w:t>
      </w:r>
      <w:r w:rsidRPr="008D1E61">
        <w:t xml:space="preserve">ooled </w:t>
      </w:r>
      <w:r>
        <w:t>p</w:t>
      </w:r>
      <w:r w:rsidRPr="008D1E61">
        <w:t xml:space="preserve">rior </w:t>
      </w:r>
      <w:r>
        <w:t>p</w:t>
      </w:r>
      <w:r w:rsidRPr="008D1E61">
        <w:t>latinum (PPP) analysis set from Study 101 (n</w:t>
      </w:r>
      <w:r>
        <w:t xml:space="preserve"> </w:t>
      </w:r>
      <w:r w:rsidRPr="008D1E61">
        <w:t>=</w:t>
      </w:r>
      <w:r>
        <w:t xml:space="preserve"> </w:t>
      </w:r>
      <w:r w:rsidRPr="008D1E61">
        <w:t>114)</w:t>
      </w:r>
      <w:r>
        <w:t xml:space="preserve">, </w:t>
      </w:r>
      <w:r w:rsidRPr="00EA1223">
        <w:t xml:space="preserve">with a data </w:t>
      </w:r>
      <w:r w:rsidR="005424BC" w:rsidRPr="00EA1223">
        <w:t>cut</w:t>
      </w:r>
      <w:r w:rsidR="005424BC">
        <w:t>-</w:t>
      </w:r>
      <w:r w:rsidR="005424BC" w:rsidRPr="00EA1223">
        <w:t>off</w:t>
      </w:r>
      <w:r w:rsidRPr="00EA1223">
        <w:t xml:space="preserve"> date of</w:t>
      </w:r>
      <w:r>
        <w:t xml:space="preserve"> 1 November 2020</w:t>
      </w:r>
      <w:r w:rsidRPr="008D1E61">
        <w:t xml:space="preserve">. The PPP analysis set includes patients from all parts of Study 101 </w:t>
      </w:r>
      <w:r>
        <w:t>who had</w:t>
      </w:r>
      <w:r w:rsidRPr="008D1E61">
        <w:t xml:space="preserve"> </w:t>
      </w:r>
      <w:r>
        <w:t>advanced</w:t>
      </w:r>
      <w:r w:rsidRPr="008D1E61">
        <w:t xml:space="preserve"> NSCLC harbouring </w:t>
      </w:r>
      <w:r w:rsidRPr="00CB4F76">
        <w:rPr>
          <w:i/>
          <w:iCs/>
        </w:rPr>
        <w:t>EGFR</w:t>
      </w:r>
      <w:r w:rsidRPr="008D1E61">
        <w:t xml:space="preserve"> ex20ins mutations</w:t>
      </w:r>
      <w:r>
        <w:t>,</w:t>
      </w:r>
      <w:r w:rsidRPr="008D1E61">
        <w:t xml:space="preserve"> who had previously been treated with </w:t>
      </w:r>
      <w:r w:rsidR="005424BC" w:rsidRPr="008D1E61">
        <w:t>platinum</w:t>
      </w:r>
      <w:r w:rsidR="005424BC">
        <w:t>-based</w:t>
      </w:r>
      <w:r w:rsidRPr="008D1E61">
        <w:t xml:space="preserve"> chemotherapy</w:t>
      </w:r>
      <w:r>
        <w:t>, and who received mobocertinib at the recommended dose. There were six such patients in Part 1, 22 patients in Part 2 and 86 patients in Part 3</w:t>
      </w:r>
      <w:r w:rsidR="005424BC">
        <w:t xml:space="preserve"> of the study</w:t>
      </w:r>
      <w:r w:rsidRPr="007032B1">
        <w:t>.</w:t>
      </w:r>
      <w:r>
        <w:t xml:space="preserve"> </w:t>
      </w:r>
      <w:r w:rsidRPr="007032B1">
        <w:t xml:space="preserve">The main inclusion and exclusion criteria </w:t>
      </w:r>
      <w:r>
        <w:t>of Study 101 relevant</w:t>
      </w:r>
      <w:r w:rsidRPr="007032B1">
        <w:t xml:space="preserve"> to the PPP population are summarised in</w:t>
      </w:r>
      <w:r>
        <w:t xml:space="preserve"> </w:t>
      </w:r>
      <w:r>
        <w:fldChar w:fldCharType="begin"/>
      </w:r>
      <w:r>
        <w:instrText xml:space="preserve"> REF _Ref130462780 \h </w:instrText>
      </w:r>
      <w:r>
        <w:fldChar w:fldCharType="separate"/>
      </w:r>
      <w:r w:rsidR="00301E36" w:rsidRPr="00B50F4E">
        <w:t xml:space="preserve">Table </w:t>
      </w:r>
      <w:r w:rsidR="00301E36">
        <w:rPr>
          <w:noProof/>
        </w:rPr>
        <w:t>7</w:t>
      </w:r>
      <w:r>
        <w:fldChar w:fldCharType="end"/>
      </w:r>
      <w:r>
        <w:t>.</w:t>
      </w:r>
    </w:p>
    <w:p w14:paraId="13415DD4" w14:textId="36312924" w:rsidR="0019537C" w:rsidRDefault="0019537C" w:rsidP="0019537C">
      <w:pPr>
        <w:rPr>
          <w:lang w:eastAsia="zh-TW"/>
        </w:rPr>
      </w:pPr>
      <w:r>
        <w:t xml:space="preserve">Enrolment was based on exon20ins </w:t>
      </w:r>
      <w:r w:rsidRPr="00CB4F76">
        <w:rPr>
          <w:i/>
          <w:iCs/>
        </w:rPr>
        <w:t>EGFR</w:t>
      </w:r>
      <w:r>
        <w:t xml:space="preserve"> mutation status determined by local testing. </w:t>
      </w:r>
      <w:r w:rsidRPr="002E0B1A">
        <w:rPr>
          <w:lang w:eastAsia="zh-TW"/>
        </w:rPr>
        <w:t>The sample size for Part 3 (n</w:t>
      </w:r>
      <w:r>
        <w:rPr>
          <w:lang w:eastAsia="zh-TW"/>
        </w:rPr>
        <w:t xml:space="preserve"> </w:t>
      </w:r>
      <w:r w:rsidRPr="002E0B1A">
        <w:rPr>
          <w:lang w:eastAsia="zh-TW"/>
        </w:rPr>
        <w:t>=</w:t>
      </w:r>
      <w:r>
        <w:rPr>
          <w:lang w:eastAsia="zh-TW"/>
        </w:rPr>
        <w:t xml:space="preserve"> </w:t>
      </w:r>
      <w:r w:rsidRPr="002E0B1A">
        <w:rPr>
          <w:lang w:eastAsia="zh-TW"/>
        </w:rPr>
        <w:t xml:space="preserve">91) was chosen to give adequate </w:t>
      </w:r>
      <w:r>
        <w:rPr>
          <w:lang w:eastAsia="zh-TW"/>
        </w:rPr>
        <w:t xml:space="preserve">(greater than 91%) </w:t>
      </w:r>
      <w:r w:rsidRPr="002E0B1A">
        <w:rPr>
          <w:lang w:eastAsia="zh-TW"/>
        </w:rPr>
        <w:t xml:space="preserve">power to detect a true </w:t>
      </w:r>
      <w:r w:rsidR="00E400A0">
        <w:rPr>
          <w:lang w:eastAsia="zh-TW"/>
        </w:rPr>
        <w:t>objective response rate (</w:t>
      </w:r>
      <w:r w:rsidRPr="002E0B1A">
        <w:rPr>
          <w:lang w:eastAsia="zh-TW"/>
        </w:rPr>
        <w:t>ORR</w:t>
      </w:r>
      <w:r w:rsidR="00E400A0">
        <w:rPr>
          <w:lang w:eastAsia="zh-TW"/>
        </w:rPr>
        <w:t>)</w:t>
      </w:r>
      <w:r w:rsidRPr="002E0B1A">
        <w:rPr>
          <w:lang w:eastAsia="zh-TW"/>
        </w:rPr>
        <w:t xml:space="preserve"> </w:t>
      </w:r>
      <w:r>
        <w:rPr>
          <w:lang w:eastAsia="zh-TW"/>
        </w:rPr>
        <w:t>of 36% with</w:t>
      </w:r>
      <w:r w:rsidRPr="002E0B1A">
        <w:rPr>
          <w:lang w:eastAsia="zh-TW"/>
        </w:rPr>
        <w:t xml:space="preserve"> a minimally important response rate threshold of 20%, </w:t>
      </w:r>
      <w:r w:rsidRPr="009A1D7F">
        <w:rPr>
          <w:lang w:eastAsia="zh-TW"/>
        </w:rPr>
        <w:t>based on real world/external data (see</w:t>
      </w:r>
      <w:r>
        <w:rPr>
          <w:lang w:eastAsia="zh-TW"/>
        </w:rPr>
        <w:t xml:space="preserve"> </w:t>
      </w:r>
      <w:r w:rsidR="007A44DB">
        <w:rPr>
          <w:lang w:eastAsia="zh-TW"/>
        </w:rPr>
        <w:fldChar w:fldCharType="begin"/>
      </w:r>
      <w:r w:rsidR="007A44DB">
        <w:rPr>
          <w:lang w:eastAsia="zh-TW"/>
        </w:rPr>
        <w:instrText xml:space="preserve"> REF _Ref101281369 \h </w:instrText>
      </w:r>
      <w:r w:rsidR="007A44DB">
        <w:rPr>
          <w:lang w:eastAsia="zh-TW"/>
        </w:rPr>
      </w:r>
      <w:r w:rsidR="007A44DB">
        <w:rPr>
          <w:lang w:eastAsia="zh-TW"/>
        </w:rPr>
        <w:fldChar w:fldCharType="separate"/>
      </w:r>
      <w:r w:rsidR="00301E36">
        <w:t>Study TAK-788-5002</w:t>
      </w:r>
      <w:r w:rsidR="007A44DB">
        <w:rPr>
          <w:lang w:eastAsia="zh-TW"/>
        </w:rPr>
        <w:fldChar w:fldCharType="end"/>
      </w:r>
      <w:r>
        <w:rPr>
          <w:lang w:eastAsia="zh-TW"/>
        </w:rPr>
        <w:t>);</w:t>
      </w:r>
      <w:r w:rsidRPr="009A1D7F">
        <w:rPr>
          <w:lang w:eastAsia="zh-TW"/>
        </w:rPr>
        <w:t xml:space="preserve"> and assuming</w:t>
      </w:r>
      <w:r w:rsidRPr="002E0B1A">
        <w:rPr>
          <w:lang w:eastAsia="zh-TW"/>
        </w:rPr>
        <w:t xml:space="preserve"> a 20% discrepancy between the documented mutation status by local testing results and central testing using an analytically validated central test</w:t>
      </w:r>
      <w:r>
        <w:rPr>
          <w:lang w:eastAsia="zh-TW"/>
        </w:rPr>
        <w:t xml:space="preserve"> (</w:t>
      </w:r>
      <w:r w:rsidRPr="00D56E29">
        <w:rPr>
          <w:lang w:eastAsia="zh-TW"/>
        </w:rPr>
        <w:t>Oncomine Dx Target Test</w:t>
      </w:r>
      <w:r>
        <w:rPr>
          <w:lang w:eastAsia="zh-TW"/>
        </w:rPr>
        <w:t xml:space="preserve"> </w:t>
      </w:r>
      <w:r w:rsidR="005424BC">
        <w:rPr>
          <w:lang w:eastAsia="zh-TW"/>
        </w:rPr>
        <w:t>(</w:t>
      </w:r>
      <w:r w:rsidRPr="00D56E29">
        <w:t>ODxT</w:t>
      </w:r>
      <w:r w:rsidR="005424BC">
        <w:t>)</w:t>
      </w:r>
      <w:r w:rsidRPr="00D56E29">
        <w:t>)</w:t>
      </w:r>
      <w:r w:rsidRPr="00D56E29">
        <w:rPr>
          <w:lang w:eastAsia="zh-TW"/>
        </w:rPr>
        <w:t>.</w:t>
      </w:r>
    </w:p>
    <w:p w14:paraId="4DB93B0C" w14:textId="77777777" w:rsidR="0019537C" w:rsidRDefault="0019537C" w:rsidP="0019537C">
      <w:r>
        <w:lastRenderedPageBreak/>
        <w:t xml:space="preserve">Plasma cell-free DNA testing was recorded as the methodology used to identify </w:t>
      </w:r>
      <w:r w:rsidRPr="0062234F">
        <w:rPr>
          <w:i/>
          <w:iCs/>
        </w:rPr>
        <w:t>EGFR</w:t>
      </w:r>
      <w:r>
        <w:t xml:space="preserve"> ex20ins mutation for six patients (5%). Mutation status was centrally confirmed for 63 patients (53% of the PPP population), and this population was described as the centrally confirmed analysis set.</w:t>
      </w:r>
    </w:p>
    <w:p w14:paraId="561B1B91" w14:textId="1DC7D973" w:rsidR="0019537C" w:rsidRPr="00B82770" w:rsidRDefault="0019537C" w:rsidP="0019537C">
      <w:pPr>
        <w:rPr>
          <w:noProof/>
        </w:rPr>
      </w:pPr>
      <w:r>
        <w:rPr>
          <w:noProof/>
        </w:rPr>
        <w:t>Patients in the PPP</w:t>
      </w:r>
      <w:r w:rsidR="005424BC">
        <w:rPr>
          <w:noProof/>
        </w:rPr>
        <w:t xml:space="preserve"> analysis set</w:t>
      </w:r>
      <w:r>
        <w:rPr>
          <w:noProof/>
        </w:rPr>
        <w:t xml:space="preserve"> received treatment with m</w:t>
      </w:r>
      <w:r w:rsidRPr="007032B1">
        <w:rPr>
          <w:noProof/>
        </w:rPr>
        <w:t xml:space="preserve">obocertinib </w:t>
      </w:r>
      <w:r>
        <w:rPr>
          <w:noProof/>
        </w:rPr>
        <w:t xml:space="preserve">160 mg daily orally, until </w:t>
      </w:r>
      <w:r w:rsidRPr="007032B1">
        <w:rPr>
          <w:noProof/>
        </w:rPr>
        <w:t xml:space="preserve">unacceptable toxicity </w:t>
      </w:r>
      <w:r>
        <w:rPr>
          <w:noProof/>
        </w:rPr>
        <w:t xml:space="preserve">or </w:t>
      </w:r>
      <w:r w:rsidRPr="007032B1">
        <w:rPr>
          <w:noProof/>
        </w:rPr>
        <w:t xml:space="preserve">disease </w:t>
      </w:r>
      <w:r w:rsidRPr="00B82770">
        <w:rPr>
          <w:noProof/>
        </w:rPr>
        <w:t>progression per RECIST v1.1 criteria</w:t>
      </w:r>
      <w:r>
        <w:rPr>
          <w:noProof/>
        </w:rPr>
        <w:t>.</w:t>
      </w:r>
      <w:bookmarkStart w:id="92" w:name="_Ref130550008"/>
      <w:r>
        <w:rPr>
          <w:rStyle w:val="FootnoteReference"/>
          <w:noProof/>
        </w:rPr>
        <w:footnoteReference w:id="72"/>
      </w:r>
      <w:bookmarkEnd w:id="92"/>
      <w:r>
        <w:rPr>
          <w:noProof/>
        </w:rPr>
        <w:t>,</w:t>
      </w:r>
      <w:r>
        <w:rPr>
          <w:rStyle w:val="FootnoteReference"/>
          <w:noProof/>
        </w:rPr>
        <w:footnoteReference w:id="73"/>
      </w:r>
      <w:r>
        <w:rPr>
          <w:noProof/>
        </w:rPr>
        <w:t xml:space="preserve"> T</w:t>
      </w:r>
      <w:r w:rsidRPr="00B82770">
        <w:rPr>
          <w:noProof/>
        </w:rPr>
        <w:t xml:space="preserve">reatment beyond radiological progression was allowed at the discretion of the investigator, if </w:t>
      </w:r>
      <w:r>
        <w:rPr>
          <w:noProof/>
        </w:rPr>
        <w:t>they opined that the patient</w:t>
      </w:r>
      <w:r w:rsidRPr="00B82770">
        <w:rPr>
          <w:noProof/>
        </w:rPr>
        <w:t xml:space="preserve"> was still </w:t>
      </w:r>
      <w:r>
        <w:rPr>
          <w:noProof/>
        </w:rPr>
        <w:t>deriving</w:t>
      </w:r>
      <w:r w:rsidRPr="00B82770">
        <w:rPr>
          <w:noProof/>
        </w:rPr>
        <w:t xml:space="preserve"> clinical benefit.</w:t>
      </w:r>
    </w:p>
    <w:p w14:paraId="68FD6C34" w14:textId="5242339A" w:rsidR="0019537C" w:rsidRDefault="0019537C" w:rsidP="0019537C">
      <w:pPr>
        <w:rPr>
          <w:lang w:eastAsia="zh-TW"/>
        </w:rPr>
      </w:pPr>
      <w:r w:rsidRPr="005F520D">
        <w:t xml:space="preserve">The primary efficacy outcome was </w:t>
      </w:r>
      <w:r>
        <w:t>the rate of confirmed</w:t>
      </w:r>
      <w:r w:rsidR="00E400A0">
        <w:t>;</w:t>
      </w:r>
      <w:r w:rsidR="00E400A0">
        <w:rPr>
          <w:rStyle w:val="FootnoteReference"/>
        </w:rPr>
        <w:footnoteReference w:id="74"/>
      </w:r>
      <w:r w:rsidR="00E400A0">
        <w:t xml:space="preserve"> </w:t>
      </w:r>
      <w:r>
        <w:t>objective response (cORR)</w:t>
      </w:r>
      <w:r w:rsidRPr="005F520D">
        <w:t xml:space="preserve"> </w:t>
      </w:r>
      <w:r>
        <w:t xml:space="preserve">according to </w:t>
      </w:r>
      <w:r w:rsidRPr="00795B92">
        <w:t>independent radiological review committee (IRC) review</w:t>
      </w:r>
      <w:r>
        <w:t>, to be assessed when all ongoing patients had completed their Cycle 6 disease assessment</w:t>
      </w:r>
      <w:r w:rsidRPr="00795B92">
        <w:t>. IRC assessments were not disclosed to investigators. Disease status was assessed every 8</w:t>
      </w:r>
      <w:r w:rsidR="00E400A0">
        <w:t xml:space="preserve"> </w:t>
      </w:r>
      <w:r w:rsidRPr="00795B92">
        <w:t>weeks after the initial dose of mobocertinib through Cycle 14 (28</w:t>
      </w:r>
      <w:r w:rsidR="00E400A0">
        <w:t xml:space="preserve"> </w:t>
      </w:r>
      <w:r w:rsidRPr="00795B92">
        <w:t>day cycles) then every 12 weeks thereafter until end of treatment.</w:t>
      </w:r>
      <w:r w:rsidRPr="00795B92">
        <w:rPr>
          <w:lang w:eastAsia="zh-TW"/>
        </w:rPr>
        <w:t xml:space="preserve"> </w:t>
      </w:r>
      <w:r>
        <w:rPr>
          <w:lang w:eastAsia="zh-TW"/>
        </w:rPr>
        <w:t xml:space="preserve">Descriptive statistics were used to present results, with two-sided exact 95% binomial confidence intervals (CIs) for all binary endpoints. </w:t>
      </w:r>
      <w:r w:rsidRPr="00795B92">
        <w:rPr>
          <w:lang w:eastAsia="zh-TW"/>
        </w:rPr>
        <w:t>Kaplan Meier estimates and exploratory landmark rates were generated for response duration (DOR</w:t>
      </w:r>
      <w:r w:rsidR="00E400A0">
        <w:rPr>
          <w:lang w:eastAsia="zh-TW"/>
        </w:rPr>
        <w:t>).</w:t>
      </w:r>
      <w:r w:rsidR="00E400A0">
        <w:rPr>
          <w:rStyle w:val="FootnoteReference"/>
          <w:lang w:eastAsia="zh-TW"/>
        </w:rPr>
        <w:footnoteReference w:id="75"/>
      </w:r>
      <w:r w:rsidR="00E400A0" w:rsidRPr="00795B92">
        <w:rPr>
          <w:lang w:eastAsia="zh-TW"/>
        </w:rPr>
        <w:t xml:space="preserve"> </w:t>
      </w:r>
      <w:r w:rsidRPr="00795B92">
        <w:rPr>
          <w:lang w:eastAsia="zh-TW"/>
        </w:rPr>
        <w:t xml:space="preserve">Other outcomes such as time-to-event outcomes and patient-reported outcomes were </w:t>
      </w:r>
      <w:r>
        <w:rPr>
          <w:lang w:eastAsia="zh-TW"/>
        </w:rPr>
        <w:t>included in the clinical study report</w:t>
      </w:r>
      <w:r w:rsidR="00E400A0">
        <w:rPr>
          <w:lang w:eastAsia="zh-TW"/>
        </w:rPr>
        <w:t xml:space="preserve"> </w:t>
      </w:r>
      <w:r w:rsidRPr="00795B92">
        <w:rPr>
          <w:lang w:eastAsia="zh-TW"/>
        </w:rPr>
        <w:t>but are considered exploratory in this study setting.</w:t>
      </w:r>
    </w:p>
    <w:p w14:paraId="5D2D019F" w14:textId="73CDC3C9" w:rsidR="0019537C" w:rsidRPr="00795B92" w:rsidRDefault="0019537C" w:rsidP="0019537C">
      <w:pPr>
        <w:rPr>
          <w:noProof/>
          <w:color w:val="FF0000"/>
        </w:rPr>
      </w:pPr>
      <w:r w:rsidRPr="002308F6">
        <w:rPr>
          <w:noProof/>
        </w:rPr>
        <w:t xml:space="preserve">Protocol amendments and deviations </w:t>
      </w:r>
      <w:r>
        <w:rPr>
          <w:noProof/>
        </w:rPr>
        <w:t xml:space="preserve">underwent regulatory review </w:t>
      </w:r>
      <w:r w:rsidRPr="002308F6">
        <w:rPr>
          <w:noProof/>
        </w:rPr>
        <w:t xml:space="preserve">and are considered unlikely to have altered study </w:t>
      </w:r>
      <w:r w:rsidRPr="00795B92">
        <w:rPr>
          <w:noProof/>
        </w:rPr>
        <w:t xml:space="preserve">conclusions. Compliance with </w:t>
      </w:r>
      <w:r>
        <w:rPr>
          <w:noProof/>
        </w:rPr>
        <w:t>Good Clinical Practice</w:t>
      </w:r>
      <w:r w:rsidRPr="00795B92">
        <w:rPr>
          <w:noProof/>
        </w:rPr>
        <w:t xml:space="preserve"> was considered adequate</w:t>
      </w:r>
      <w:r>
        <w:rPr>
          <w:noProof/>
        </w:rPr>
        <w:t xml:space="preserve"> by the regulatory review</w:t>
      </w:r>
      <w:r w:rsidRPr="00795B92">
        <w:rPr>
          <w:noProof/>
        </w:rPr>
        <w:t>.</w:t>
      </w:r>
    </w:p>
    <w:p w14:paraId="0CE5C55E" w14:textId="3D95D98A" w:rsidR="0019537C" w:rsidRPr="00B50FD8" w:rsidRDefault="0019537C" w:rsidP="00B50F4E">
      <w:pPr>
        <w:pStyle w:val="TableTitle"/>
      </w:pPr>
      <w:bookmarkStart w:id="93" w:name="_Ref130462759"/>
      <w:r>
        <w:t xml:space="preserve">Table </w:t>
      </w:r>
      <w:r w:rsidR="003F5EF5">
        <w:fldChar w:fldCharType="begin"/>
      </w:r>
      <w:r w:rsidR="003F5EF5">
        <w:instrText xml:space="preserve"> SEQ Table \* ARABIC </w:instrText>
      </w:r>
      <w:r w:rsidR="003F5EF5">
        <w:fldChar w:fldCharType="separate"/>
      </w:r>
      <w:r w:rsidR="00301E36">
        <w:rPr>
          <w:noProof/>
        </w:rPr>
        <w:t>6</w:t>
      </w:r>
      <w:r w:rsidR="003F5EF5">
        <w:rPr>
          <w:noProof/>
        </w:rPr>
        <w:fldChar w:fldCharType="end"/>
      </w:r>
      <w:bookmarkEnd w:id="93"/>
      <w:r>
        <w:t xml:space="preserve">: </w:t>
      </w:r>
      <w:r w:rsidR="005424BC">
        <w:t>S</w:t>
      </w:r>
      <w:r w:rsidR="005424BC" w:rsidRPr="004B5DEB">
        <w:t xml:space="preserve">tudy AP32788-15-101 </w:t>
      </w:r>
      <w:r>
        <w:t>Summary of the three-part design</w:t>
      </w:r>
    </w:p>
    <w:tbl>
      <w:tblPr>
        <w:tblStyle w:val="TableTGAblue"/>
        <w:tblW w:w="8931" w:type="dxa"/>
        <w:tblLayout w:type="fixed"/>
        <w:tblLook w:val="01E0" w:firstRow="1" w:lastRow="1" w:firstColumn="1" w:lastColumn="1" w:noHBand="0" w:noVBand="0"/>
      </w:tblPr>
      <w:tblGrid>
        <w:gridCol w:w="1134"/>
        <w:gridCol w:w="1843"/>
        <w:gridCol w:w="2552"/>
        <w:gridCol w:w="2116"/>
        <w:gridCol w:w="1286"/>
      </w:tblGrid>
      <w:tr w:rsidR="0019537C" w:rsidRPr="00A3585E" w14:paraId="4B0FEF6B" w14:textId="77777777" w:rsidTr="00B50F4E">
        <w:trPr>
          <w:cnfStyle w:val="100000000000" w:firstRow="1" w:lastRow="0" w:firstColumn="0" w:lastColumn="0" w:oddVBand="0" w:evenVBand="0" w:oddHBand="0" w:evenHBand="0" w:firstRowFirstColumn="0" w:firstRowLastColumn="0" w:lastRowFirstColumn="0" w:lastRowLastColumn="0"/>
          <w:trHeight w:val="733"/>
        </w:trPr>
        <w:tc>
          <w:tcPr>
            <w:tcW w:w="1134" w:type="dxa"/>
          </w:tcPr>
          <w:p w14:paraId="65D15CCC" w14:textId="77777777" w:rsidR="0019537C" w:rsidRPr="00F235C6" w:rsidRDefault="0019537C" w:rsidP="00B50F4E">
            <w:pPr>
              <w:ind w:left="0"/>
              <w:rPr>
                <w:b w:val="0"/>
                <w:bCs/>
                <w:sz w:val="20"/>
                <w:szCs w:val="20"/>
              </w:rPr>
            </w:pPr>
            <w:r w:rsidRPr="00F235C6">
              <w:rPr>
                <w:bCs/>
                <w:sz w:val="20"/>
                <w:szCs w:val="20"/>
              </w:rPr>
              <w:t>Part</w:t>
            </w:r>
          </w:p>
        </w:tc>
        <w:tc>
          <w:tcPr>
            <w:tcW w:w="1843" w:type="dxa"/>
          </w:tcPr>
          <w:p w14:paraId="2BE1DA0C" w14:textId="0F695B57" w:rsidR="0019537C" w:rsidRPr="00F235C6" w:rsidRDefault="00B50F4E" w:rsidP="00B50F4E">
            <w:pPr>
              <w:ind w:left="0"/>
              <w:rPr>
                <w:b w:val="0"/>
                <w:bCs/>
                <w:sz w:val="20"/>
                <w:szCs w:val="20"/>
              </w:rPr>
            </w:pPr>
            <w:r w:rsidRPr="00F235C6">
              <w:rPr>
                <w:bCs/>
                <w:sz w:val="20"/>
                <w:szCs w:val="20"/>
              </w:rPr>
              <w:t>P</w:t>
            </w:r>
            <w:r w:rsidR="0019537C" w:rsidRPr="00F235C6">
              <w:rPr>
                <w:bCs/>
                <w:sz w:val="20"/>
                <w:szCs w:val="20"/>
              </w:rPr>
              <w:t>rimary objective(s)</w:t>
            </w:r>
          </w:p>
        </w:tc>
        <w:tc>
          <w:tcPr>
            <w:tcW w:w="2552" w:type="dxa"/>
          </w:tcPr>
          <w:p w14:paraId="1276D355" w14:textId="77777777" w:rsidR="0019537C" w:rsidRPr="00F235C6" w:rsidRDefault="0019537C" w:rsidP="00B50F4E">
            <w:pPr>
              <w:ind w:left="0"/>
              <w:rPr>
                <w:b w:val="0"/>
                <w:bCs/>
                <w:sz w:val="20"/>
                <w:szCs w:val="20"/>
              </w:rPr>
            </w:pPr>
            <w:r w:rsidRPr="00F235C6">
              <w:rPr>
                <w:bCs/>
                <w:sz w:val="20"/>
                <w:szCs w:val="20"/>
              </w:rPr>
              <w:t>Design and population</w:t>
            </w:r>
          </w:p>
        </w:tc>
        <w:tc>
          <w:tcPr>
            <w:tcW w:w="2116" w:type="dxa"/>
          </w:tcPr>
          <w:p w14:paraId="7396169A" w14:textId="77777777" w:rsidR="0019537C" w:rsidRPr="00F235C6" w:rsidRDefault="0019537C" w:rsidP="00B50F4E">
            <w:pPr>
              <w:ind w:left="0"/>
              <w:rPr>
                <w:b w:val="0"/>
                <w:bCs/>
                <w:sz w:val="20"/>
                <w:szCs w:val="20"/>
              </w:rPr>
            </w:pPr>
            <w:r w:rsidRPr="00F235C6">
              <w:rPr>
                <w:bCs/>
                <w:sz w:val="20"/>
                <w:szCs w:val="20"/>
              </w:rPr>
              <w:t>Mobocertinib treatment</w:t>
            </w:r>
          </w:p>
        </w:tc>
        <w:tc>
          <w:tcPr>
            <w:tcW w:w="1286" w:type="dxa"/>
          </w:tcPr>
          <w:p w14:paraId="5FEE1106" w14:textId="42DF0C1A" w:rsidR="0019537C" w:rsidRPr="00F235C6" w:rsidRDefault="00B50F4E" w:rsidP="00B50F4E">
            <w:pPr>
              <w:ind w:left="0"/>
              <w:rPr>
                <w:b w:val="0"/>
                <w:bCs/>
                <w:sz w:val="20"/>
                <w:szCs w:val="20"/>
              </w:rPr>
            </w:pPr>
            <w:r w:rsidRPr="00F235C6">
              <w:rPr>
                <w:bCs/>
                <w:sz w:val="20"/>
                <w:szCs w:val="20"/>
              </w:rPr>
              <w:t>Si</w:t>
            </w:r>
            <w:r w:rsidR="0019537C" w:rsidRPr="00F235C6">
              <w:rPr>
                <w:bCs/>
                <w:sz w:val="20"/>
                <w:szCs w:val="20"/>
              </w:rPr>
              <w:t>ze (treated)</w:t>
            </w:r>
          </w:p>
        </w:tc>
      </w:tr>
      <w:tr w:rsidR="0019537C" w:rsidRPr="00A3585E" w14:paraId="732642AC" w14:textId="77777777" w:rsidTr="00B50F4E">
        <w:trPr>
          <w:trHeight w:val="828"/>
        </w:trPr>
        <w:tc>
          <w:tcPr>
            <w:tcW w:w="1134" w:type="dxa"/>
          </w:tcPr>
          <w:p w14:paraId="3D60A65A"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Part 1: dose escalation</w:t>
            </w:r>
          </w:p>
        </w:tc>
        <w:tc>
          <w:tcPr>
            <w:tcW w:w="1843" w:type="dxa"/>
          </w:tcPr>
          <w:p w14:paraId="3FDA934D"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RP2D, safety, PK</w:t>
            </w:r>
          </w:p>
        </w:tc>
        <w:tc>
          <w:tcPr>
            <w:tcW w:w="2552" w:type="dxa"/>
          </w:tcPr>
          <w:p w14:paraId="3F51CB30"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3+3 design, refractory advanced NSCLC</w:t>
            </w:r>
          </w:p>
        </w:tc>
        <w:tc>
          <w:tcPr>
            <w:tcW w:w="2116" w:type="dxa"/>
          </w:tcPr>
          <w:p w14:paraId="3FECBE97"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Daily doses of 5, 10, 20, 40, 80, 120, 160 and 180mg PO</w:t>
            </w:r>
          </w:p>
        </w:tc>
        <w:tc>
          <w:tcPr>
            <w:tcW w:w="1286" w:type="dxa"/>
          </w:tcPr>
          <w:p w14:paraId="78586BA3" w14:textId="41873ACF" w:rsidR="0019537C" w:rsidRPr="00F235C6" w:rsidRDefault="00B50F4E" w:rsidP="008B3CF0">
            <w:pPr>
              <w:pStyle w:val="Tabletextbulleted"/>
              <w:keepNext/>
              <w:numPr>
                <w:ilvl w:val="0"/>
                <w:numId w:val="0"/>
              </w:numPr>
              <w:ind w:right="0"/>
              <w:rPr>
                <w:color w:val="auto"/>
                <w:sz w:val="20"/>
                <w:szCs w:val="20"/>
              </w:rPr>
            </w:pPr>
            <w:r w:rsidRPr="00F235C6">
              <w:rPr>
                <w:color w:val="auto"/>
                <w:sz w:val="20"/>
                <w:szCs w:val="20"/>
              </w:rPr>
              <w:t xml:space="preserve">N </w:t>
            </w:r>
            <w:r w:rsidR="0019537C" w:rsidRPr="00F235C6">
              <w:rPr>
                <w:color w:val="auto"/>
                <w:sz w:val="20"/>
                <w:szCs w:val="20"/>
              </w:rPr>
              <w:t>=</w:t>
            </w:r>
            <w:r w:rsidRPr="00F235C6">
              <w:rPr>
                <w:color w:val="auto"/>
                <w:sz w:val="20"/>
                <w:szCs w:val="20"/>
              </w:rPr>
              <w:t xml:space="preserve"> </w:t>
            </w:r>
            <w:r w:rsidR="0019537C" w:rsidRPr="00F235C6">
              <w:rPr>
                <w:color w:val="auto"/>
                <w:sz w:val="20"/>
                <w:szCs w:val="20"/>
              </w:rPr>
              <w:t>73</w:t>
            </w:r>
          </w:p>
        </w:tc>
      </w:tr>
      <w:tr w:rsidR="0019537C" w:rsidRPr="00A3585E" w14:paraId="4EBBF4E4" w14:textId="77777777" w:rsidTr="00B50F4E">
        <w:trPr>
          <w:trHeight w:val="852"/>
        </w:trPr>
        <w:tc>
          <w:tcPr>
            <w:tcW w:w="1134" w:type="dxa"/>
          </w:tcPr>
          <w:p w14:paraId="1DD8C76F"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Part 2: expansion</w:t>
            </w:r>
          </w:p>
        </w:tc>
        <w:tc>
          <w:tcPr>
            <w:tcW w:w="1843" w:type="dxa"/>
          </w:tcPr>
          <w:p w14:paraId="2067A60C"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Anti-tumour activity</w:t>
            </w:r>
          </w:p>
        </w:tc>
        <w:tc>
          <w:tcPr>
            <w:tcW w:w="2552" w:type="dxa"/>
          </w:tcPr>
          <w:p w14:paraId="4359E118"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7 cohorts, advanced EGFR or HER2-mutant solid tumours*</w:t>
            </w:r>
          </w:p>
        </w:tc>
        <w:tc>
          <w:tcPr>
            <w:tcW w:w="2116" w:type="dxa"/>
          </w:tcPr>
          <w:p w14:paraId="6A1D1B2D"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160 mg daily PO</w:t>
            </w:r>
          </w:p>
        </w:tc>
        <w:tc>
          <w:tcPr>
            <w:tcW w:w="1286" w:type="dxa"/>
          </w:tcPr>
          <w:p w14:paraId="79A875CB" w14:textId="1948808A" w:rsidR="0019537C" w:rsidRPr="00F235C6" w:rsidRDefault="00B50F4E" w:rsidP="008B3CF0">
            <w:pPr>
              <w:pStyle w:val="Tabletextbulleted"/>
              <w:keepNext/>
              <w:numPr>
                <w:ilvl w:val="0"/>
                <w:numId w:val="0"/>
              </w:numPr>
              <w:ind w:right="0"/>
              <w:rPr>
                <w:color w:val="auto"/>
                <w:sz w:val="20"/>
                <w:szCs w:val="20"/>
              </w:rPr>
            </w:pPr>
            <w:r w:rsidRPr="00F235C6">
              <w:rPr>
                <w:color w:val="auto"/>
                <w:sz w:val="20"/>
                <w:szCs w:val="20"/>
              </w:rPr>
              <w:t xml:space="preserve">N </w:t>
            </w:r>
            <w:r w:rsidR="0019537C" w:rsidRPr="00F235C6">
              <w:rPr>
                <w:color w:val="auto"/>
                <w:sz w:val="20"/>
                <w:szCs w:val="20"/>
              </w:rPr>
              <w:t>=</w:t>
            </w:r>
            <w:r w:rsidRPr="00F235C6">
              <w:rPr>
                <w:color w:val="auto"/>
                <w:sz w:val="20"/>
                <w:szCs w:val="20"/>
              </w:rPr>
              <w:t xml:space="preserve"> </w:t>
            </w:r>
            <w:r w:rsidR="0019537C" w:rsidRPr="00F235C6">
              <w:rPr>
                <w:color w:val="auto"/>
                <w:sz w:val="20"/>
                <w:szCs w:val="20"/>
              </w:rPr>
              <w:t>136</w:t>
            </w:r>
          </w:p>
        </w:tc>
      </w:tr>
      <w:tr w:rsidR="0019537C" w:rsidRPr="00A3585E" w14:paraId="09EF6F42" w14:textId="77777777" w:rsidTr="00B50F4E">
        <w:trPr>
          <w:trHeight w:val="579"/>
        </w:trPr>
        <w:tc>
          <w:tcPr>
            <w:tcW w:w="1134" w:type="dxa"/>
          </w:tcPr>
          <w:p w14:paraId="1BAEAA51"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Part 3: extension</w:t>
            </w:r>
          </w:p>
        </w:tc>
        <w:tc>
          <w:tcPr>
            <w:tcW w:w="1843" w:type="dxa"/>
          </w:tcPr>
          <w:p w14:paraId="16C8B6F3"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Efficacy (confirmed ORR per IRC)</w:t>
            </w:r>
          </w:p>
        </w:tc>
        <w:tc>
          <w:tcPr>
            <w:tcW w:w="2552" w:type="dxa"/>
          </w:tcPr>
          <w:p w14:paraId="2D1F53BB"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2L+ ex20ins-positive advanced NSCLC</w:t>
            </w:r>
          </w:p>
        </w:tc>
        <w:tc>
          <w:tcPr>
            <w:tcW w:w="2116" w:type="dxa"/>
          </w:tcPr>
          <w:p w14:paraId="25DC0367" w14:textId="77777777" w:rsidR="0019537C" w:rsidRPr="00F235C6" w:rsidRDefault="0019537C" w:rsidP="008B3CF0">
            <w:pPr>
              <w:pStyle w:val="Tabletextbulleted"/>
              <w:keepNext/>
              <w:numPr>
                <w:ilvl w:val="0"/>
                <w:numId w:val="0"/>
              </w:numPr>
              <w:ind w:right="0"/>
              <w:rPr>
                <w:color w:val="auto"/>
                <w:sz w:val="20"/>
                <w:szCs w:val="20"/>
              </w:rPr>
            </w:pPr>
            <w:r w:rsidRPr="00F235C6">
              <w:rPr>
                <w:color w:val="auto"/>
                <w:sz w:val="20"/>
                <w:szCs w:val="20"/>
              </w:rPr>
              <w:t>160 mg daily PO</w:t>
            </w:r>
          </w:p>
        </w:tc>
        <w:tc>
          <w:tcPr>
            <w:tcW w:w="1286" w:type="dxa"/>
          </w:tcPr>
          <w:p w14:paraId="047B516D" w14:textId="47258F0A" w:rsidR="0019537C" w:rsidRPr="00F235C6" w:rsidRDefault="00B50F4E" w:rsidP="008B3CF0">
            <w:pPr>
              <w:pStyle w:val="Tabletextbulleted"/>
              <w:keepNext/>
              <w:numPr>
                <w:ilvl w:val="0"/>
                <w:numId w:val="0"/>
              </w:numPr>
              <w:ind w:right="0"/>
              <w:rPr>
                <w:color w:val="auto"/>
                <w:sz w:val="20"/>
                <w:szCs w:val="20"/>
              </w:rPr>
            </w:pPr>
            <w:r w:rsidRPr="00F235C6">
              <w:rPr>
                <w:color w:val="auto"/>
                <w:sz w:val="20"/>
                <w:szCs w:val="20"/>
              </w:rPr>
              <w:t xml:space="preserve">N </w:t>
            </w:r>
            <w:r w:rsidR="0019537C" w:rsidRPr="00F235C6">
              <w:rPr>
                <w:color w:val="auto"/>
                <w:sz w:val="20"/>
                <w:szCs w:val="20"/>
              </w:rPr>
              <w:t>=</w:t>
            </w:r>
            <w:r w:rsidRPr="00F235C6">
              <w:rPr>
                <w:color w:val="auto"/>
                <w:sz w:val="20"/>
                <w:szCs w:val="20"/>
              </w:rPr>
              <w:t xml:space="preserve"> </w:t>
            </w:r>
            <w:r w:rsidR="0019537C" w:rsidRPr="00F235C6">
              <w:rPr>
                <w:color w:val="auto"/>
                <w:sz w:val="20"/>
                <w:szCs w:val="20"/>
              </w:rPr>
              <w:t>96</w:t>
            </w:r>
          </w:p>
        </w:tc>
      </w:tr>
    </w:tbl>
    <w:p w14:paraId="418BF458" w14:textId="387DBB81" w:rsidR="0019537C" w:rsidRPr="00472838" w:rsidRDefault="0019537C" w:rsidP="00472838">
      <w:pPr>
        <w:pStyle w:val="TableDescription"/>
        <w:rPr>
          <w:sz w:val="18"/>
          <w:szCs w:val="18"/>
        </w:rPr>
      </w:pPr>
      <w:r w:rsidRPr="00472838">
        <w:rPr>
          <w:sz w:val="18"/>
          <w:szCs w:val="18"/>
        </w:rPr>
        <w:t>2L+ = second-line plus; EGFR = epidermal growth factor receptor; ex20ins = exon 20 insertion mutation; HER2 = human epidermal growth factor receptor 2; IRC = independent radiological review committee; NSCLC = non-small cell lung cancer; ORR = objective response rate using RECIST v1.1 criteria; PK = pharmacokinetics; PO = oral; RP2D = recommended Phase 2 dose</w:t>
      </w:r>
      <w:r w:rsidR="00B50F4E" w:rsidRPr="00472838">
        <w:rPr>
          <w:sz w:val="18"/>
          <w:szCs w:val="18"/>
        </w:rPr>
        <w:t>.</w:t>
      </w:r>
    </w:p>
    <w:p w14:paraId="3129A4BE" w14:textId="7EDBABB0" w:rsidR="0019537C" w:rsidRPr="007032B1" w:rsidRDefault="0019537C" w:rsidP="00B50F4E">
      <w:pPr>
        <w:pStyle w:val="TableTitle"/>
      </w:pPr>
      <w:bookmarkStart w:id="94" w:name="_Ref130462780"/>
      <w:bookmarkStart w:id="95" w:name="_Ref95812045"/>
      <w:r w:rsidRPr="00B50F4E">
        <w:lastRenderedPageBreak/>
        <w:t xml:space="preserve">Table </w:t>
      </w:r>
      <w:r w:rsidR="003F5EF5">
        <w:fldChar w:fldCharType="begin"/>
      </w:r>
      <w:r w:rsidR="003F5EF5">
        <w:instrText xml:space="preserve"> SEQ Table \* ARABIC </w:instrText>
      </w:r>
      <w:r w:rsidR="003F5EF5">
        <w:fldChar w:fldCharType="separate"/>
      </w:r>
      <w:r w:rsidR="00301E36">
        <w:rPr>
          <w:noProof/>
        </w:rPr>
        <w:t>7</w:t>
      </w:r>
      <w:r w:rsidR="003F5EF5">
        <w:rPr>
          <w:noProof/>
        </w:rPr>
        <w:fldChar w:fldCharType="end"/>
      </w:r>
      <w:bookmarkEnd w:id="94"/>
      <w:r w:rsidRPr="00B50F4E">
        <w:t>:</w:t>
      </w:r>
      <w:r>
        <w:t xml:space="preserve"> </w:t>
      </w:r>
      <w:r w:rsidR="0088295E">
        <w:t>S</w:t>
      </w:r>
      <w:r w:rsidR="0088295E" w:rsidRPr="004B5DEB">
        <w:t xml:space="preserve">tudy AP32788-15-101 </w:t>
      </w:r>
      <w:r w:rsidRPr="007032B1">
        <w:t xml:space="preserve">Key eligibility criteria for the </w:t>
      </w:r>
      <w:r w:rsidR="00B50F4E">
        <w:t>p</w:t>
      </w:r>
      <w:r w:rsidR="00B50F4E" w:rsidRPr="008D1E61">
        <w:t xml:space="preserve">ooled </w:t>
      </w:r>
      <w:r w:rsidR="00B50F4E">
        <w:t>p</w:t>
      </w:r>
      <w:r w:rsidR="00B50F4E" w:rsidRPr="008D1E61">
        <w:t xml:space="preserve">rior </w:t>
      </w:r>
      <w:r w:rsidR="00B50F4E">
        <w:t>p</w:t>
      </w:r>
      <w:r w:rsidR="00B50F4E" w:rsidRPr="008D1E61">
        <w:t>latinum</w:t>
      </w:r>
      <w:r w:rsidRPr="007032B1">
        <w:t xml:space="preserve"> population</w:t>
      </w:r>
      <w:bookmarkEnd w:id="95"/>
    </w:p>
    <w:tbl>
      <w:tblPr>
        <w:tblStyle w:val="TableTGAblue"/>
        <w:tblW w:w="9067" w:type="dxa"/>
        <w:tblLook w:val="04A0" w:firstRow="1" w:lastRow="0" w:firstColumn="1" w:lastColumn="0" w:noHBand="0" w:noVBand="1"/>
      </w:tblPr>
      <w:tblGrid>
        <w:gridCol w:w="4810"/>
        <w:gridCol w:w="4257"/>
      </w:tblGrid>
      <w:tr w:rsidR="0019537C" w:rsidRPr="00F85178" w14:paraId="4252701C" w14:textId="77777777" w:rsidTr="00B50F4E">
        <w:trPr>
          <w:cnfStyle w:val="100000000000" w:firstRow="1" w:lastRow="0" w:firstColumn="0" w:lastColumn="0" w:oddVBand="0" w:evenVBand="0" w:oddHBand="0" w:evenHBand="0" w:firstRowFirstColumn="0" w:firstRowLastColumn="0" w:lastRowFirstColumn="0" w:lastRowLastColumn="0"/>
          <w:trHeight w:val="443"/>
        </w:trPr>
        <w:tc>
          <w:tcPr>
            <w:tcW w:w="4810" w:type="dxa"/>
          </w:tcPr>
          <w:p w14:paraId="25A1DF85" w14:textId="77777777" w:rsidR="0019537C" w:rsidRPr="00F235C6" w:rsidRDefault="0019537C" w:rsidP="008B3CF0">
            <w:pPr>
              <w:rPr>
                <w:sz w:val="20"/>
                <w:szCs w:val="20"/>
              </w:rPr>
            </w:pPr>
            <w:r w:rsidRPr="00F235C6">
              <w:rPr>
                <w:sz w:val="20"/>
                <w:szCs w:val="20"/>
              </w:rPr>
              <w:t>Included</w:t>
            </w:r>
          </w:p>
        </w:tc>
        <w:tc>
          <w:tcPr>
            <w:tcW w:w="4257" w:type="dxa"/>
          </w:tcPr>
          <w:p w14:paraId="4E08CAA1" w14:textId="77777777" w:rsidR="0019537C" w:rsidRPr="00F235C6" w:rsidRDefault="0019537C" w:rsidP="008B3CF0">
            <w:pPr>
              <w:rPr>
                <w:sz w:val="20"/>
                <w:szCs w:val="20"/>
              </w:rPr>
            </w:pPr>
            <w:r w:rsidRPr="00F235C6">
              <w:rPr>
                <w:sz w:val="20"/>
                <w:szCs w:val="20"/>
              </w:rPr>
              <w:t>Excluded</w:t>
            </w:r>
          </w:p>
        </w:tc>
      </w:tr>
      <w:tr w:rsidR="0019537C" w:rsidRPr="00F85178" w14:paraId="0A51701E" w14:textId="77777777" w:rsidTr="00B50F4E">
        <w:tc>
          <w:tcPr>
            <w:tcW w:w="4810" w:type="dxa"/>
          </w:tcPr>
          <w:p w14:paraId="6FA3B20B" w14:textId="77777777" w:rsidR="0019537C" w:rsidRPr="00A3585E" w:rsidRDefault="0019537C" w:rsidP="008B3CF0">
            <w:pPr>
              <w:pStyle w:val="Tabletextbulleted"/>
              <w:rPr>
                <w:color w:val="auto"/>
                <w:sz w:val="20"/>
                <w:szCs w:val="20"/>
              </w:rPr>
            </w:pPr>
            <w:r w:rsidRPr="00A3585E">
              <w:rPr>
                <w:color w:val="auto"/>
                <w:sz w:val="20"/>
                <w:szCs w:val="20"/>
              </w:rPr>
              <w:t>Consenting, non-reproducing adults with local advanced, unresectable or metastatic NSCLC (histology or cytology-confirmed)</w:t>
            </w:r>
          </w:p>
          <w:p w14:paraId="75F241F6" w14:textId="77777777" w:rsidR="0019537C" w:rsidRPr="00A3585E" w:rsidRDefault="0019537C" w:rsidP="008B3CF0">
            <w:pPr>
              <w:numPr>
                <w:ilvl w:val="0"/>
                <w:numId w:val="11"/>
              </w:numPr>
              <w:rPr>
                <w:color w:val="auto"/>
                <w:sz w:val="20"/>
                <w:szCs w:val="20"/>
              </w:rPr>
            </w:pPr>
            <w:r w:rsidRPr="00A3585E">
              <w:rPr>
                <w:color w:val="auto"/>
                <w:sz w:val="20"/>
                <w:szCs w:val="20"/>
              </w:rPr>
              <w:t>Measurable disease by RECIST v1.1</w:t>
            </w:r>
          </w:p>
          <w:p w14:paraId="69D95ED8" w14:textId="77777777" w:rsidR="0019537C" w:rsidRPr="00A3585E" w:rsidRDefault="0019537C" w:rsidP="008B3CF0">
            <w:pPr>
              <w:numPr>
                <w:ilvl w:val="0"/>
                <w:numId w:val="11"/>
              </w:numPr>
              <w:rPr>
                <w:color w:val="auto"/>
                <w:sz w:val="20"/>
                <w:szCs w:val="20"/>
              </w:rPr>
            </w:pPr>
            <w:r w:rsidRPr="00A3585E">
              <w:rPr>
                <w:color w:val="auto"/>
                <w:sz w:val="20"/>
                <w:szCs w:val="20"/>
              </w:rPr>
              <w:t>ECOG performance status score &lt; 2 and life expectancy at least 3 months</w:t>
            </w:r>
          </w:p>
          <w:p w14:paraId="531874A3" w14:textId="77777777" w:rsidR="0019537C" w:rsidRPr="00A3585E" w:rsidRDefault="0019537C" w:rsidP="008B3CF0">
            <w:pPr>
              <w:numPr>
                <w:ilvl w:val="0"/>
                <w:numId w:val="11"/>
              </w:numPr>
              <w:rPr>
                <w:color w:val="auto"/>
                <w:sz w:val="20"/>
                <w:szCs w:val="20"/>
              </w:rPr>
            </w:pPr>
            <w:r w:rsidRPr="00A3585E">
              <w:rPr>
                <w:color w:val="auto"/>
                <w:sz w:val="20"/>
                <w:szCs w:val="20"/>
              </w:rPr>
              <w:t>Adequate organ function</w:t>
            </w:r>
          </w:p>
          <w:p w14:paraId="6C3F67D4" w14:textId="77777777" w:rsidR="0019537C" w:rsidRPr="00A3585E" w:rsidRDefault="0019537C" w:rsidP="008B3CF0">
            <w:pPr>
              <w:numPr>
                <w:ilvl w:val="0"/>
                <w:numId w:val="11"/>
              </w:numPr>
              <w:rPr>
                <w:color w:val="auto"/>
                <w:sz w:val="20"/>
                <w:szCs w:val="20"/>
              </w:rPr>
            </w:pPr>
            <w:r w:rsidRPr="00A3585E">
              <w:rPr>
                <w:color w:val="auto"/>
                <w:sz w:val="20"/>
                <w:szCs w:val="20"/>
              </w:rPr>
              <w:t>Normal QTcF interval</w:t>
            </w:r>
          </w:p>
          <w:p w14:paraId="577F2F51" w14:textId="77777777" w:rsidR="0019537C" w:rsidRPr="00A3585E" w:rsidRDefault="0019537C" w:rsidP="008B3CF0">
            <w:pPr>
              <w:numPr>
                <w:ilvl w:val="0"/>
                <w:numId w:val="11"/>
              </w:numPr>
              <w:rPr>
                <w:color w:val="auto"/>
                <w:sz w:val="20"/>
                <w:szCs w:val="20"/>
              </w:rPr>
            </w:pPr>
            <w:r w:rsidRPr="00A3585E">
              <w:rPr>
                <w:color w:val="auto"/>
                <w:sz w:val="20"/>
                <w:szCs w:val="20"/>
              </w:rPr>
              <w:t>At least one prior systemic therapy in the advanced setting</w:t>
            </w:r>
          </w:p>
          <w:p w14:paraId="454727A4" w14:textId="77777777" w:rsidR="0019537C" w:rsidRPr="00A3585E" w:rsidRDefault="0019537C" w:rsidP="008B3CF0">
            <w:pPr>
              <w:numPr>
                <w:ilvl w:val="0"/>
                <w:numId w:val="11"/>
              </w:numPr>
              <w:rPr>
                <w:color w:val="auto"/>
                <w:sz w:val="20"/>
                <w:szCs w:val="20"/>
              </w:rPr>
            </w:pPr>
            <w:r w:rsidRPr="00A3585E">
              <w:rPr>
                <w:color w:val="auto"/>
                <w:sz w:val="20"/>
                <w:szCs w:val="20"/>
              </w:rPr>
              <w:t>In-frame ex20ins EGFR mutation by local testing</w:t>
            </w:r>
          </w:p>
        </w:tc>
        <w:tc>
          <w:tcPr>
            <w:tcW w:w="4257" w:type="dxa"/>
          </w:tcPr>
          <w:p w14:paraId="55C8AA06" w14:textId="77777777" w:rsidR="0019537C" w:rsidRPr="00A3585E" w:rsidRDefault="0019537C" w:rsidP="008B3CF0">
            <w:pPr>
              <w:pStyle w:val="Tabletextbulleted"/>
              <w:rPr>
                <w:color w:val="auto"/>
                <w:sz w:val="20"/>
                <w:szCs w:val="20"/>
              </w:rPr>
            </w:pPr>
            <w:r w:rsidRPr="00A3585E">
              <w:rPr>
                <w:color w:val="auto"/>
                <w:sz w:val="20"/>
                <w:szCs w:val="20"/>
              </w:rPr>
              <w:t>Active CNS metastases</w:t>
            </w:r>
          </w:p>
          <w:p w14:paraId="0E2F9428" w14:textId="77777777" w:rsidR="0019537C" w:rsidRPr="00A3585E" w:rsidRDefault="0019537C" w:rsidP="008B3CF0">
            <w:pPr>
              <w:pStyle w:val="Tabletextbulleted"/>
              <w:rPr>
                <w:color w:val="auto"/>
                <w:sz w:val="20"/>
                <w:szCs w:val="20"/>
              </w:rPr>
            </w:pPr>
            <w:r w:rsidRPr="00A3585E">
              <w:rPr>
                <w:color w:val="auto"/>
                <w:sz w:val="20"/>
                <w:szCs w:val="20"/>
              </w:rPr>
              <w:t>Inadequate cardiac health, uncontrolled hypertension</w:t>
            </w:r>
          </w:p>
          <w:p w14:paraId="52536C31" w14:textId="77777777" w:rsidR="0019537C" w:rsidRPr="00A3585E" w:rsidRDefault="0019537C" w:rsidP="008B3CF0">
            <w:pPr>
              <w:pStyle w:val="Tabletextbulleted"/>
              <w:rPr>
                <w:color w:val="auto"/>
                <w:sz w:val="20"/>
                <w:szCs w:val="20"/>
              </w:rPr>
            </w:pPr>
            <w:r w:rsidRPr="00A3585E">
              <w:rPr>
                <w:color w:val="auto"/>
                <w:sz w:val="20"/>
                <w:szCs w:val="20"/>
              </w:rPr>
              <w:t xml:space="preserve">Concurrent QT prolonging medication </w:t>
            </w:r>
          </w:p>
          <w:p w14:paraId="656A6D57" w14:textId="77777777" w:rsidR="0019537C" w:rsidRPr="00A3585E" w:rsidRDefault="0019537C" w:rsidP="008B3CF0">
            <w:pPr>
              <w:pStyle w:val="Tabletextbulleted"/>
              <w:rPr>
                <w:color w:val="auto"/>
                <w:sz w:val="20"/>
                <w:szCs w:val="20"/>
              </w:rPr>
            </w:pPr>
            <w:r w:rsidRPr="00A3585E">
              <w:rPr>
                <w:color w:val="auto"/>
                <w:sz w:val="20"/>
                <w:szCs w:val="20"/>
              </w:rPr>
              <w:t xml:space="preserve">Significant infection </w:t>
            </w:r>
          </w:p>
          <w:p w14:paraId="3EF17EC5" w14:textId="77777777" w:rsidR="0019537C" w:rsidRPr="00A3585E" w:rsidRDefault="0019537C" w:rsidP="008B3CF0">
            <w:pPr>
              <w:pStyle w:val="Tabletextbulleted"/>
              <w:rPr>
                <w:color w:val="auto"/>
                <w:sz w:val="20"/>
                <w:szCs w:val="20"/>
              </w:rPr>
            </w:pPr>
            <w:r w:rsidRPr="00A3585E">
              <w:rPr>
                <w:color w:val="auto"/>
                <w:sz w:val="20"/>
                <w:szCs w:val="20"/>
              </w:rPr>
              <w:t>Interstitial lung disease, pneumonitis requiring corticosteroids or any drug-related pneumonitis</w:t>
            </w:r>
          </w:p>
          <w:p w14:paraId="51990F13" w14:textId="77777777" w:rsidR="0019537C" w:rsidRPr="00A3585E" w:rsidRDefault="0019537C" w:rsidP="008B3CF0">
            <w:pPr>
              <w:pStyle w:val="Tabletextbulleted"/>
              <w:rPr>
                <w:color w:val="auto"/>
                <w:sz w:val="20"/>
                <w:szCs w:val="20"/>
              </w:rPr>
            </w:pPr>
            <w:r w:rsidRPr="00A3585E">
              <w:rPr>
                <w:color w:val="auto"/>
                <w:sz w:val="20"/>
                <w:szCs w:val="20"/>
              </w:rPr>
              <w:t>Pregnancy</w:t>
            </w:r>
          </w:p>
          <w:p w14:paraId="77E43EFD" w14:textId="77777777" w:rsidR="0019537C" w:rsidRPr="00A3585E" w:rsidRDefault="0019537C" w:rsidP="008B3CF0">
            <w:pPr>
              <w:pStyle w:val="Tabletextbulleted"/>
              <w:rPr>
                <w:color w:val="auto"/>
                <w:sz w:val="20"/>
                <w:szCs w:val="20"/>
              </w:rPr>
            </w:pPr>
            <w:r w:rsidRPr="00A3585E">
              <w:rPr>
                <w:color w:val="auto"/>
                <w:sz w:val="20"/>
                <w:szCs w:val="20"/>
              </w:rPr>
              <w:t>GI disruption that could affect absorption</w:t>
            </w:r>
          </w:p>
        </w:tc>
      </w:tr>
    </w:tbl>
    <w:p w14:paraId="7146DA47" w14:textId="77777777" w:rsidR="0019537C" w:rsidRPr="002308F6" w:rsidRDefault="0019537C" w:rsidP="0019537C">
      <w:pPr>
        <w:pStyle w:val="Heading6"/>
        <w:rPr>
          <w:noProof/>
        </w:rPr>
      </w:pPr>
      <w:r w:rsidRPr="002308F6">
        <w:rPr>
          <w:noProof/>
        </w:rPr>
        <w:t>Population</w:t>
      </w:r>
    </w:p>
    <w:p w14:paraId="4630DC84" w14:textId="675F79D3" w:rsidR="0019537C" w:rsidRPr="002308F6" w:rsidRDefault="0019537C" w:rsidP="0019537C">
      <w:pPr>
        <w:rPr>
          <w:noProof/>
        </w:rPr>
      </w:pPr>
      <w:r w:rsidRPr="002308F6">
        <w:rPr>
          <w:noProof/>
        </w:rPr>
        <w:t>Patients were enrolled across 70 sites in 10 countries (USA, Germany, Spain, Great Brita</w:t>
      </w:r>
      <w:r w:rsidR="0088295E">
        <w:rPr>
          <w:noProof/>
        </w:rPr>
        <w:t>i</w:t>
      </w:r>
      <w:r w:rsidRPr="002308F6">
        <w:rPr>
          <w:noProof/>
        </w:rPr>
        <w:t>n, Italy, China, Japan, South Korea, Taiwan), and dosing was commenced between June 2016 (first patient) and March 2019 (last patient).</w:t>
      </w:r>
    </w:p>
    <w:p w14:paraId="5B887E35" w14:textId="209F4A5E" w:rsidR="0019537C" w:rsidRDefault="0019537C" w:rsidP="0019537C">
      <w:r w:rsidRPr="002308F6">
        <w:t xml:space="preserve">Demographics and baseline disease characteristics were generally in keeping with what would be expected for </w:t>
      </w:r>
      <w:r>
        <w:t xml:space="preserve">the intended recipient patient population in Australia, </w:t>
      </w:r>
      <w:r w:rsidR="007B7F9D">
        <w:t xml:space="preserve">that is </w:t>
      </w:r>
      <w:r w:rsidRPr="002308F6">
        <w:t xml:space="preserve">patients with locally advanced or metastatic NSCLC with </w:t>
      </w:r>
      <w:r w:rsidRPr="007B7F9D">
        <w:rPr>
          <w:i/>
          <w:iCs/>
        </w:rPr>
        <w:t>EGFR</w:t>
      </w:r>
      <w:r w:rsidRPr="002308F6">
        <w:t xml:space="preserve"> </w:t>
      </w:r>
      <w:r>
        <w:t>ex20ins</w:t>
      </w:r>
      <w:r w:rsidRPr="002308F6">
        <w:t xml:space="preserve"> mutations whose disease has progressed on or after platinum</w:t>
      </w:r>
      <w:r w:rsidR="007B7F9D">
        <w:t xml:space="preserve"> </w:t>
      </w:r>
      <w:r w:rsidRPr="002308F6">
        <w:t xml:space="preserve">based chemotherapy. </w:t>
      </w:r>
      <w:r w:rsidRPr="007B7F9D">
        <w:rPr>
          <w:i/>
          <w:iCs/>
        </w:rPr>
        <w:t>EGFR</w:t>
      </w:r>
      <w:r>
        <w:t xml:space="preserve"> ex20ins mutation testing is summarised in </w:t>
      </w:r>
      <w:r>
        <w:fldChar w:fldCharType="begin"/>
      </w:r>
      <w:r>
        <w:instrText xml:space="preserve"> REF _Ref97650247 \h </w:instrText>
      </w:r>
      <w:r>
        <w:fldChar w:fldCharType="separate"/>
      </w:r>
      <w:r w:rsidR="00301E36" w:rsidRPr="007B7F9D">
        <w:t xml:space="preserve">Table </w:t>
      </w:r>
      <w:r w:rsidR="00301E36">
        <w:rPr>
          <w:noProof/>
        </w:rPr>
        <w:t>8</w:t>
      </w:r>
      <w:r>
        <w:fldChar w:fldCharType="end"/>
      </w:r>
      <w:r>
        <w:t>.</w:t>
      </w:r>
    </w:p>
    <w:p w14:paraId="1E5E9152" w14:textId="12FF0001" w:rsidR="0019537C" w:rsidRDefault="0019537C" w:rsidP="0019537C">
      <w:r w:rsidRPr="002308F6">
        <w:t xml:space="preserve">Amongst the PPP group, the median age was </w:t>
      </w:r>
      <w:r>
        <w:t>60</w:t>
      </w:r>
      <w:r w:rsidRPr="002308F6">
        <w:t xml:space="preserve"> years (range </w:t>
      </w:r>
      <w:r>
        <w:t>27 to 84</w:t>
      </w:r>
      <w:r w:rsidRPr="002308F6">
        <w:t xml:space="preserve">); </w:t>
      </w:r>
      <w:r>
        <w:t>7% were over 75 years of age; 66</w:t>
      </w:r>
      <w:r w:rsidRPr="002308F6">
        <w:t xml:space="preserve">% were female; </w:t>
      </w:r>
      <w:r>
        <w:t>60% were Asian and 37% were White</w:t>
      </w:r>
      <w:r w:rsidRPr="002308F6">
        <w:t>; baseline ECOG PS</w:t>
      </w:r>
      <w:r w:rsidR="007B7F9D">
        <w:t>;</w:t>
      </w:r>
      <w:r w:rsidR="007B7F9D">
        <w:rPr>
          <w:rStyle w:val="FootnoteReference"/>
        </w:rPr>
        <w:footnoteReference w:id="76"/>
      </w:r>
      <w:r w:rsidRPr="002308F6">
        <w:t xml:space="preserve"> </w:t>
      </w:r>
      <w:r>
        <w:t>was 0 in 25% and</w:t>
      </w:r>
      <w:r w:rsidRPr="002308F6">
        <w:t xml:space="preserve"> </w:t>
      </w:r>
      <w:r>
        <w:t>1 in 75%</w:t>
      </w:r>
      <w:r w:rsidRPr="002308F6">
        <w:t xml:space="preserve">; </w:t>
      </w:r>
      <w:r>
        <w:t>99%</w:t>
      </w:r>
      <w:r w:rsidRPr="002308F6">
        <w:t xml:space="preserve"> had metastatic disease at diagnosis, </w:t>
      </w:r>
      <w:r>
        <w:t xml:space="preserve">and </w:t>
      </w:r>
      <w:r w:rsidRPr="002308F6">
        <w:t>3</w:t>
      </w:r>
      <w:r>
        <w:t>5</w:t>
      </w:r>
      <w:r w:rsidRPr="002308F6">
        <w:t>% had a history of prior brain metastases. In addition to prior</w:t>
      </w:r>
      <w:r>
        <w:t xml:space="preserve"> </w:t>
      </w:r>
      <w:r w:rsidRPr="002308F6">
        <w:t xml:space="preserve">platinum-based chemotherapy, 43% of patients in </w:t>
      </w:r>
      <w:r>
        <w:t>the PPP</w:t>
      </w:r>
      <w:r w:rsidRPr="002308F6">
        <w:t xml:space="preserve"> population </w:t>
      </w:r>
      <w:r>
        <w:t xml:space="preserve">had </w:t>
      </w:r>
      <w:r w:rsidRPr="002308F6">
        <w:t>received prior immunotherapy</w:t>
      </w:r>
      <w:r>
        <w:t xml:space="preserve">, </w:t>
      </w:r>
      <w:r w:rsidRPr="002308F6">
        <w:t xml:space="preserve">and 25% </w:t>
      </w:r>
      <w:r>
        <w:t xml:space="preserve">had </w:t>
      </w:r>
      <w:r w:rsidRPr="002308F6">
        <w:t xml:space="preserve">received prior </w:t>
      </w:r>
      <w:r w:rsidR="007B7F9D">
        <w:t xml:space="preserve">tyrosine kinase inhibitor </w:t>
      </w:r>
      <w:r w:rsidRPr="002308F6">
        <w:t>therapy.</w:t>
      </w:r>
    </w:p>
    <w:p w14:paraId="2CF9B701" w14:textId="678FAC63" w:rsidR="0019537C" w:rsidRPr="00955D59" w:rsidRDefault="0019537C" w:rsidP="007B7F9D">
      <w:pPr>
        <w:pStyle w:val="TableTitle"/>
      </w:pPr>
      <w:bookmarkStart w:id="96" w:name="_Ref97650247"/>
      <w:r w:rsidRPr="007B7F9D">
        <w:lastRenderedPageBreak/>
        <w:t xml:space="preserve">Table </w:t>
      </w:r>
      <w:r w:rsidR="003F5EF5">
        <w:fldChar w:fldCharType="begin"/>
      </w:r>
      <w:r w:rsidR="003F5EF5">
        <w:instrText xml:space="preserve"> SEQ Table \* ARABIC </w:instrText>
      </w:r>
      <w:r w:rsidR="003F5EF5">
        <w:fldChar w:fldCharType="separate"/>
      </w:r>
      <w:r w:rsidR="00301E36">
        <w:rPr>
          <w:noProof/>
        </w:rPr>
        <w:t>8</w:t>
      </w:r>
      <w:r w:rsidR="003F5EF5">
        <w:rPr>
          <w:noProof/>
        </w:rPr>
        <w:fldChar w:fldCharType="end"/>
      </w:r>
      <w:bookmarkEnd w:id="96"/>
      <w:r w:rsidRPr="00955D59">
        <w:t xml:space="preserve">. </w:t>
      </w:r>
      <w:r w:rsidR="0088295E">
        <w:t xml:space="preserve">Study AP32788-15-101 </w:t>
      </w:r>
      <w:r w:rsidRPr="007705B7">
        <w:rPr>
          <w:i/>
        </w:rPr>
        <w:t>EGFR</w:t>
      </w:r>
      <w:r>
        <w:t xml:space="preserve"> mutation testing and status</w:t>
      </w:r>
      <w:r w:rsidRPr="00955D59">
        <w:t xml:space="preserve"> in </w:t>
      </w:r>
      <w:r w:rsidR="0088295E">
        <w:t xml:space="preserve">the </w:t>
      </w:r>
      <w:r w:rsidR="007B7F9D">
        <w:t>p</w:t>
      </w:r>
      <w:r w:rsidR="007B7F9D" w:rsidRPr="008D1E61">
        <w:t xml:space="preserve">ooled </w:t>
      </w:r>
      <w:r w:rsidR="007B7F9D">
        <w:t>p</w:t>
      </w:r>
      <w:r w:rsidR="007B7F9D" w:rsidRPr="008D1E61">
        <w:t xml:space="preserve">rior </w:t>
      </w:r>
      <w:r w:rsidR="007B7F9D">
        <w:t>p</w:t>
      </w:r>
      <w:r w:rsidR="007B7F9D" w:rsidRPr="008D1E61">
        <w:t>latinum</w:t>
      </w:r>
      <w:r w:rsidR="0088295E">
        <w:t xml:space="preserve"> population</w:t>
      </w:r>
      <w:r w:rsidR="0088295E" w:rsidRPr="00955D59">
        <w:t xml:space="preserve"> </w:t>
      </w:r>
      <w:r w:rsidR="007B7F9D">
        <w:t>(data cut</w:t>
      </w:r>
      <w:r w:rsidR="0088295E">
        <w:t>-</w:t>
      </w:r>
      <w:r w:rsidR="007B7F9D">
        <w:t>off</w:t>
      </w:r>
      <w:r w:rsidR="0088295E">
        <w:t xml:space="preserve"> date</w:t>
      </w:r>
      <w:r w:rsidR="007B7F9D">
        <w:t xml:space="preserve"> of</w:t>
      </w:r>
      <w:r w:rsidRPr="00955D59">
        <w:t xml:space="preserve"> </w:t>
      </w:r>
      <w:r>
        <w:t>1</w:t>
      </w:r>
      <w:r w:rsidRPr="00955D59">
        <w:t xml:space="preserve"> </w:t>
      </w:r>
      <w:r w:rsidR="007B7F9D">
        <w:t>November</w:t>
      </w:r>
      <w:r w:rsidRPr="00955D59">
        <w:t xml:space="preserve"> 2020</w:t>
      </w:r>
      <w:r w:rsidR="007B7F9D">
        <w:t>)</w:t>
      </w:r>
    </w:p>
    <w:tbl>
      <w:tblPr>
        <w:tblStyle w:val="TableTGAblue"/>
        <w:tblW w:w="8647" w:type="dxa"/>
        <w:tblLayout w:type="fixed"/>
        <w:tblLook w:val="01E0" w:firstRow="1" w:lastRow="1" w:firstColumn="1" w:lastColumn="1" w:noHBand="0" w:noVBand="0"/>
      </w:tblPr>
      <w:tblGrid>
        <w:gridCol w:w="2684"/>
        <w:gridCol w:w="3827"/>
        <w:gridCol w:w="2136"/>
      </w:tblGrid>
      <w:tr w:rsidR="0019537C" w:rsidRPr="00F235C6" w14:paraId="6F1B6C59" w14:textId="77777777" w:rsidTr="007B7F9D">
        <w:trPr>
          <w:cnfStyle w:val="100000000000" w:firstRow="1" w:lastRow="0" w:firstColumn="0" w:lastColumn="0" w:oddVBand="0" w:evenVBand="0" w:oddHBand="0" w:evenHBand="0" w:firstRowFirstColumn="0" w:firstRowLastColumn="0" w:lastRowFirstColumn="0" w:lastRowLastColumn="0"/>
          <w:trHeight w:val="932"/>
        </w:trPr>
        <w:tc>
          <w:tcPr>
            <w:tcW w:w="6511" w:type="dxa"/>
            <w:gridSpan w:val="2"/>
          </w:tcPr>
          <w:p w14:paraId="02EE6E65" w14:textId="77777777" w:rsidR="0019537C" w:rsidRPr="00F235C6" w:rsidRDefault="0019537C" w:rsidP="008B3CF0">
            <w:pPr>
              <w:rPr>
                <w:b w:val="0"/>
                <w:bCs/>
                <w:sz w:val="20"/>
                <w:szCs w:val="20"/>
              </w:rPr>
            </w:pPr>
          </w:p>
        </w:tc>
        <w:tc>
          <w:tcPr>
            <w:tcW w:w="2136" w:type="dxa"/>
          </w:tcPr>
          <w:p w14:paraId="100DC1AE" w14:textId="77777777" w:rsidR="0019537C" w:rsidRPr="00F235C6" w:rsidRDefault="0019537C" w:rsidP="008B3CF0">
            <w:pPr>
              <w:jc w:val="center"/>
              <w:rPr>
                <w:b w:val="0"/>
                <w:bCs/>
                <w:sz w:val="20"/>
                <w:szCs w:val="20"/>
              </w:rPr>
            </w:pPr>
            <w:r w:rsidRPr="00F235C6">
              <w:rPr>
                <w:bCs/>
                <w:sz w:val="20"/>
                <w:szCs w:val="20"/>
              </w:rPr>
              <w:t>Mobocertinib</w:t>
            </w:r>
          </w:p>
          <w:p w14:paraId="7ACBF166" w14:textId="77777777" w:rsidR="0019537C" w:rsidRPr="00F235C6" w:rsidRDefault="0019537C" w:rsidP="008B3CF0">
            <w:pPr>
              <w:jc w:val="center"/>
              <w:rPr>
                <w:b w:val="0"/>
                <w:bCs/>
                <w:sz w:val="20"/>
                <w:szCs w:val="20"/>
              </w:rPr>
            </w:pPr>
            <w:r w:rsidRPr="00F235C6">
              <w:rPr>
                <w:bCs/>
                <w:sz w:val="20"/>
                <w:szCs w:val="20"/>
              </w:rPr>
              <w:t>160 mg daily</w:t>
            </w:r>
          </w:p>
          <w:p w14:paraId="7CF8C7F1" w14:textId="1F3872A4" w:rsidR="0019537C" w:rsidRPr="00F235C6" w:rsidRDefault="0019537C" w:rsidP="008B3CF0">
            <w:pPr>
              <w:jc w:val="center"/>
              <w:rPr>
                <w:b w:val="0"/>
                <w:bCs/>
                <w:sz w:val="20"/>
                <w:szCs w:val="20"/>
              </w:rPr>
            </w:pPr>
            <w:r w:rsidRPr="00F235C6">
              <w:rPr>
                <w:bCs/>
                <w:sz w:val="20"/>
                <w:szCs w:val="20"/>
              </w:rPr>
              <w:t>(n</w:t>
            </w:r>
            <w:r w:rsidR="007B7F9D" w:rsidRPr="00F235C6">
              <w:rPr>
                <w:bCs/>
                <w:sz w:val="20"/>
                <w:szCs w:val="20"/>
              </w:rPr>
              <w:t xml:space="preserve"> </w:t>
            </w:r>
            <w:r w:rsidRPr="00F235C6">
              <w:rPr>
                <w:bCs/>
                <w:sz w:val="20"/>
                <w:szCs w:val="20"/>
              </w:rPr>
              <w:t>=</w:t>
            </w:r>
            <w:r w:rsidR="007B7F9D" w:rsidRPr="00F235C6">
              <w:rPr>
                <w:bCs/>
                <w:sz w:val="20"/>
                <w:szCs w:val="20"/>
              </w:rPr>
              <w:t xml:space="preserve"> </w:t>
            </w:r>
            <w:r w:rsidRPr="00F235C6">
              <w:rPr>
                <w:bCs/>
                <w:sz w:val="20"/>
                <w:szCs w:val="20"/>
              </w:rPr>
              <w:t>114)</w:t>
            </w:r>
          </w:p>
        </w:tc>
      </w:tr>
      <w:tr w:rsidR="0019537C" w:rsidRPr="00F235C6" w14:paraId="1D359712" w14:textId="77777777" w:rsidTr="007B7F9D">
        <w:trPr>
          <w:trHeight w:val="227"/>
        </w:trPr>
        <w:tc>
          <w:tcPr>
            <w:tcW w:w="2684" w:type="dxa"/>
            <w:vMerge w:val="restart"/>
          </w:tcPr>
          <w:p w14:paraId="0A187FA8" w14:textId="77777777" w:rsidR="0019537C" w:rsidRPr="00F235C6" w:rsidRDefault="0019537C" w:rsidP="008B3CF0">
            <w:pPr>
              <w:keepNext/>
              <w:rPr>
                <w:sz w:val="20"/>
                <w:szCs w:val="20"/>
              </w:rPr>
            </w:pPr>
            <w:r w:rsidRPr="00F235C6">
              <w:rPr>
                <w:sz w:val="20"/>
                <w:szCs w:val="20"/>
              </w:rPr>
              <w:t>Method of assessment</w:t>
            </w:r>
          </w:p>
        </w:tc>
        <w:tc>
          <w:tcPr>
            <w:tcW w:w="3827" w:type="dxa"/>
          </w:tcPr>
          <w:p w14:paraId="68E6041B" w14:textId="77777777" w:rsidR="0019537C" w:rsidRPr="00F235C6" w:rsidRDefault="0019537C" w:rsidP="008B3CF0">
            <w:pPr>
              <w:keepNext/>
              <w:jc w:val="right"/>
              <w:rPr>
                <w:sz w:val="20"/>
                <w:szCs w:val="20"/>
              </w:rPr>
            </w:pPr>
            <w:r w:rsidRPr="00F235C6">
              <w:rPr>
                <w:sz w:val="20"/>
                <w:szCs w:val="20"/>
              </w:rPr>
              <w:t>Sanger sequencing or NGS, n (%)</w:t>
            </w:r>
          </w:p>
        </w:tc>
        <w:tc>
          <w:tcPr>
            <w:tcW w:w="2136" w:type="dxa"/>
          </w:tcPr>
          <w:p w14:paraId="5B3862DD" w14:textId="77777777" w:rsidR="0019537C" w:rsidRPr="00F235C6" w:rsidRDefault="0019537C" w:rsidP="008B3CF0">
            <w:pPr>
              <w:keepNext/>
              <w:jc w:val="center"/>
              <w:rPr>
                <w:sz w:val="20"/>
                <w:szCs w:val="20"/>
              </w:rPr>
            </w:pPr>
            <w:r w:rsidRPr="00F235C6">
              <w:rPr>
                <w:sz w:val="20"/>
                <w:szCs w:val="20"/>
              </w:rPr>
              <w:t>55 (48%)</w:t>
            </w:r>
          </w:p>
        </w:tc>
      </w:tr>
      <w:tr w:rsidR="0019537C" w:rsidRPr="00F235C6" w14:paraId="1053012E" w14:textId="77777777" w:rsidTr="007B7F9D">
        <w:trPr>
          <w:trHeight w:val="227"/>
        </w:trPr>
        <w:tc>
          <w:tcPr>
            <w:tcW w:w="2684" w:type="dxa"/>
            <w:vMerge/>
          </w:tcPr>
          <w:p w14:paraId="2BF15EC3" w14:textId="77777777" w:rsidR="0019537C" w:rsidRPr="00F235C6" w:rsidRDefault="0019537C" w:rsidP="008B3CF0">
            <w:pPr>
              <w:keepNext/>
              <w:rPr>
                <w:i/>
                <w:iCs/>
                <w:sz w:val="20"/>
                <w:szCs w:val="20"/>
              </w:rPr>
            </w:pPr>
          </w:p>
        </w:tc>
        <w:tc>
          <w:tcPr>
            <w:tcW w:w="3827" w:type="dxa"/>
          </w:tcPr>
          <w:p w14:paraId="65CD34C8" w14:textId="77777777" w:rsidR="0019537C" w:rsidRPr="00F235C6" w:rsidRDefault="0019537C" w:rsidP="008B3CF0">
            <w:pPr>
              <w:keepNext/>
              <w:jc w:val="right"/>
              <w:rPr>
                <w:sz w:val="20"/>
                <w:szCs w:val="20"/>
              </w:rPr>
            </w:pPr>
            <w:r w:rsidRPr="00F235C6">
              <w:rPr>
                <w:sz w:val="20"/>
                <w:szCs w:val="20"/>
              </w:rPr>
              <w:t>PCR, n (%)</w:t>
            </w:r>
          </w:p>
        </w:tc>
        <w:tc>
          <w:tcPr>
            <w:tcW w:w="2136" w:type="dxa"/>
          </w:tcPr>
          <w:p w14:paraId="0C6EC39C" w14:textId="77777777" w:rsidR="0019537C" w:rsidRPr="00F235C6" w:rsidRDefault="0019537C" w:rsidP="008B3CF0">
            <w:pPr>
              <w:keepNext/>
              <w:jc w:val="center"/>
              <w:rPr>
                <w:sz w:val="20"/>
                <w:szCs w:val="20"/>
              </w:rPr>
            </w:pPr>
            <w:r w:rsidRPr="00F235C6">
              <w:rPr>
                <w:sz w:val="20"/>
                <w:szCs w:val="20"/>
              </w:rPr>
              <w:t>25 (22%)</w:t>
            </w:r>
          </w:p>
        </w:tc>
      </w:tr>
      <w:tr w:rsidR="0019537C" w:rsidRPr="00F235C6" w14:paraId="7519E934" w14:textId="77777777" w:rsidTr="007B7F9D">
        <w:trPr>
          <w:trHeight w:val="227"/>
        </w:trPr>
        <w:tc>
          <w:tcPr>
            <w:tcW w:w="2684" w:type="dxa"/>
            <w:vMerge/>
          </w:tcPr>
          <w:p w14:paraId="5B60FC74" w14:textId="77777777" w:rsidR="0019537C" w:rsidRPr="00F235C6" w:rsidRDefault="0019537C" w:rsidP="008B3CF0">
            <w:pPr>
              <w:keepNext/>
              <w:rPr>
                <w:i/>
                <w:iCs/>
                <w:sz w:val="20"/>
                <w:szCs w:val="20"/>
              </w:rPr>
            </w:pPr>
          </w:p>
        </w:tc>
        <w:tc>
          <w:tcPr>
            <w:tcW w:w="3827" w:type="dxa"/>
          </w:tcPr>
          <w:p w14:paraId="32C1D791" w14:textId="77777777" w:rsidR="0019537C" w:rsidRPr="00F235C6" w:rsidRDefault="0019537C" w:rsidP="008B3CF0">
            <w:pPr>
              <w:keepNext/>
              <w:jc w:val="right"/>
              <w:rPr>
                <w:sz w:val="20"/>
                <w:szCs w:val="20"/>
              </w:rPr>
            </w:pPr>
            <w:r w:rsidRPr="00F235C6">
              <w:rPr>
                <w:sz w:val="20"/>
                <w:szCs w:val="20"/>
              </w:rPr>
              <w:t>Other, n (%)</w:t>
            </w:r>
          </w:p>
        </w:tc>
        <w:tc>
          <w:tcPr>
            <w:tcW w:w="2136" w:type="dxa"/>
          </w:tcPr>
          <w:p w14:paraId="51779EF4" w14:textId="77777777" w:rsidR="0019537C" w:rsidRPr="00F235C6" w:rsidRDefault="0019537C" w:rsidP="008B3CF0">
            <w:pPr>
              <w:keepNext/>
              <w:jc w:val="center"/>
              <w:rPr>
                <w:sz w:val="20"/>
                <w:szCs w:val="20"/>
              </w:rPr>
            </w:pPr>
            <w:r w:rsidRPr="00F235C6">
              <w:rPr>
                <w:sz w:val="20"/>
                <w:szCs w:val="20"/>
              </w:rPr>
              <w:t>32 (28%)</w:t>
            </w:r>
          </w:p>
        </w:tc>
      </w:tr>
      <w:tr w:rsidR="0019537C" w:rsidRPr="00F235C6" w14:paraId="7D817FD4" w14:textId="77777777" w:rsidTr="007B7F9D">
        <w:trPr>
          <w:trHeight w:val="227"/>
        </w:trPr>
        <w:tc>
          <w:tcPr>
            <w:tcW w:w="2684" w:type="dxa"/>
            <w:vMerge w:val="restart"/>
          </w:tcPr>
          <w:p w14:paraId="7E1465AD" w14:textId="77777777" w:rsidR="0019537C" w:rsidRPr="00F235C6" w:rsidRDefault="0019537C" w:rsidP="008B3CF0">
            <w:pPr>
              <w:keepNext/>
              <w:rPr>
                <w:sz w:val="20"/>
                <w:szCs w:val="20"/>
              </w:rPr>
            </w:pPr>
            <w:r w:rsidRPr="00F235C6">
              <w:rPr>
                <w:sz w:val="20"/>
                <w:szCs w:val="20"/>
              </w:rPr>
              <w:t>Ex20ins mutation present</w:t>
            </w:r>
          </w:p>
        </w:tc>
        <w:tc>
          <w:tcPr>
            <w:tcW w:w="3827" w:type="dxa"/>
          </w:tcPr>
          <w:p w14:paraId="6F8D8C5D" w14:textId="77777777" w:rsidR="0019537C" w:rsidRPr="00F235C6" w:rsidRDefault="0019537C" w:rsidP="008B3CF0">
            <w:pPr>
              <w:keepNext/>
              <w:jc w:val="right"/>
              <w:rPr>
                <w:sz w:val="20"/>
                <w:szCs w:val="20"/>
              </w:rPr>
            </w:pPr>
            <w:r w:rsidRPr="00F235C6">
              <w:rPr>
                <w:sz w:val="20"/>
                <w:szCs w:val="20"/>
              </w:rPr>
              <w:t>A767_V769insASV, n (%)</w:t>
            </w:r>
          </w:p>
        </w:tc>
        <w:tc>
          <w:tcPr>
            <w:tcW w:w="2136" w:type="dxa"/>
          </w:tcPr>
          <w:p w14:paraId="244EC8FE" w14:textId="77777777" w:rsidR="0019537C" w:rsidRPr="00F235C6" w:rsidRDefault="0019537C" w:rsidP="008B3CF0">
            <w:pPr>
              <w:keepNext/>
              <w:jc w:val="center"/>
              <w:rPr>
                <w:sz w:val="20"/>
                <w:szCs w:val="20"/>
              </w:rPr>
            </w:pPr>
            <w:r w:rsidRPr="00F235C6">
              <w:rPr>
                <w:sz w:val="20"/>
                <w:szCs w:val="20"/>
              </w:rPr>
              <w:t>20 (18%)</w:t>
            </w:r>
          </w:p>
        </w:tc>
      </w:tr>
      <w:tr w:rsidR="0019537C" w:rsidRPr="00F235C6" w14:paraId="4E48B0FE" w14:textId="77777777" w:rsidTr="007B7F9D">
        <w:trPr>
          <w:trHeight w:val="227"/>
        </w:trPr>
        <w:tc>
          <w:tcPr>
            <w:tcW w:w="2684" w:type="dxa"/>
            <w:vMerge/>
          </w:tcPr>
          <w:p w14:paraId="6C11D3C3" w14:textId="77777777" w:rsidR="0019537C" w:rsidRPr="00F235C6" w:rsidRDefault="0019537C" w:rsidP="008B3CF0">
            <w:pPr>
              <w:keepNext/>
              <w:rPr>
                <w:sz w:val="20"/>
                <w:szCs w:val="20"/>
              </w:rPr>
            </w:pPr>
          </w:p>
        </w:tc>
        <w:tc>
          <w:tcPr>
            <w:tcW w:w="3827" w:type="dxa"/>
          </w:tcPr>
          <w:p w14:paraId="02F5C17A" w14:textId="77777777" w:rsidR="0019537C" w:rsidRPr="00F235C6" w:rsidRDefault="0019537C" w:rsidP="008B3CF0">
            <w:pPr>
              <w:keepNext/>
              <w:jc w:val="right"/>
              <w:rPr>
                <w:sz w:val="20"/>
                <w:szCs w:val="20"/>
              </w:rPr>
            </w:pPr>
            <w:r w:rsidRPr="00F235C6">
              <w:rPr>
                <w:sz w:val="20"/>
                <w:szCs w:val="20"/>
              </w:rPr>
              <w:t>S768_D770insSVD, n (%)</w:t>
            </w:r>
          </w:p>
        </w:tc>
        <w:tc>
          <w:tcPr>
            <w:tcW w:w="2136" w:type="dxa"/>
          </w:tcPr>
          <w:p w14:paraId="290C0C82" w14:textId="77777777" w:rsidR="0019537C" w:rsidRPr="00F235C6" w:rsidRDefault="0019537C" w:rsidP="008B3CF0">
            <w:pPr>
              <w:keepNext/>
              <w:jc w:val="center"/>
              <w:rPr>
                <w:sz w:val="20"/>
                <w:szCs w:val="20"/>
              </w:rPr>
            </w:pPr>
            <w:r w:rsidRPr="00F235C6">
              <w:rPr>
                <w:sz w:val="20"/>
                <w:szCs w:val="20"/>
              </w:rPr>
              <w:t>10 (9%)</w:t>
            </w:r>
          </w:p>
        </w:tc>
      </w:tr>
      <w:tr w:rsidR="0019537C" w:rsidRPr="00F235C6" w14:paraId="796E0B9B" w14:textId="77777777" w:rsidTr="007B7F9D">
        <w:trPr>
          <w:trHeight w:val="227"/>
        </w:trPr>
        <w:tc>
          <w:tcPr>
            <w:tcW w:w="2684" w:type="dxa"/>
            <w:vMerge/>
          </w:tcPr>
          <w:p w14:paraId="55BAE1FB" w14:textId="77777777" w:rsidR="0019537C" w:rsidRPr="00F235C6" w:rsidRDefault="0019537C" w:rsidP="008B3CF0">
            <w:pPr>
              <w:keepNext/>
              <w:rPr>
                <w:sz w:val="20"/>
                <w:szCs w:val="20"/>
              </w:rPr>
            </w:pPr>
          </w:p>
        </w:tc>
        <w:tc>
          <w:tcPr>
            <w:tcW w:w="3827" w:type="dxa"/>
          </w:tcPr>
          <w:p w14:paraId="7D7C2EA0" w14:textId="77777777" w:rsidR="0019537C" w:rsidRPr="00F235C6" w:rsidRDefault="0019537C" w:rsidP="008B3CF0">
            <w:pPr>
              <w:keepNext/>
              <w:jc w:val="right"/>
              <w:rPr>
                <w:sz w:val="20"/>
                <w:szCs w:val="20"/>
              </w:rPr>
            </w:pPr>
            <w:r w:rsidRPr="00F235C6">
              <w:rPr>
                <w:sz w:val="20"/>
                <w:szCs w:val="20"/>
              </w:rPr>
              <w:t>N771_H773insNPH, n (%)</w:t>
            </w:r>
          </w:p>
        </w:tc>
        <w:tc>
          <w:tcPr>
            <w:tcW w:w="2136" w:type="dxa"/>
          </w:tcPr>
          <w:p w14:paraId="2015A52A" w14:textId="77777777" w:rsidR="0019537C" w:rsidRPr="00F235C6" w:rsidRDefault="0019537C" w:rsidP="008B3CF0">
            <w:pPr>
              <w:keepNext/>
              <w:jc w:val="center"/>
              <w:rPr>
                <w:sz w:val="20"/>
                <w:szCs w:val="20"/>
              </w:rPr>
            </w:pPr>
            <w:r w:rsidRPr="00F235C6">
              <w:rPr>
                <w:sz w:val="20"/>
                <w:szCs w:val="20"/>
              </w:rPr>
              <w:t>8 (7%)</w:t>
            </w:r>
          </w:p>
        </w:tc>
      </w:tr>
      <w:tr w:rsidR="0019537C" w:rsidRPr="00F235C6" w14:paraId="724F743A" w14:textId="77777777" w:rsidTr="007B7F9D">
        <w:trPr>
          <w:trHeight w:val="227"/>
        </w:trPr>
        <w:tc>
          <w:tcPr>
            <w:tcW w:w="2684" w:type="dxa"/>
            <w:vMerge/>
          </w:tcPr>
          <w:p w14:paraId="0DC020DD" w14:textId="77777777" w:rsidR="0019537C" w:rsidRPr="00F235C6" w:rsidRDefault="0019537C" w:rsidP="008B3CF0">
            <w:pPr>
              <w:keepNext/>
              <w:rPr>
                <w:sz w:val="20"/>
                <w:szCs w:val="20"/>
              </w:rPr>
            </w:pPr>
          </w:p>
        </w:tc>
        <w:tc>
          <w:tcPr>
            <w:tcW w:w="3827" w:type="dxa"/>
          </w:tcPr>
          <w:p w14:paraId="1EB972F6" w14:textId="77777777" w:rsidR="0019537C" w:rsidRPr="00F235C6" w:rsidRDefault="0019537C" w:rsidP="008B3CF0">
            <w:pPr>
              <w:keepNext/>
              <w:jc w:val="right"/>
              <w:rPr>
                <w:sz w:val="20"/>
                <w:szCs w:val="20"/>
              </w:rPr>
            </w:pPr>
            <w:r w:rsidRPr="00F235C6">
              <w:rPr>
                <w:sz w:val="20"/>
                <w:szCs w:val="20"/>
              </w:rPr>
              <w:t>Other, n (%)</w:t>
            </w:r>
          </w:p>
        </w:tc>
        <w:tc>
          <w:tcPr>
            <w:tcW w:w="2136" w:type="dxa"/>
          </w:tcPr>
          <w:p w14:paraId="4B7C1571" w14:textId="77777777" w:rsidR="0019537C" w:rsidRPr="00F235C6" w:rsidRDefault="0019537C" w:rsidP="008B3CF0">
            <w:pPr>
              <w:keepNext/>
              <w:jc w:val="center"/>
              <w:rPr>
                <w:sz w:val="20"/>
                <w:szCs w:val="20"/>
              </w:rPr>
            </w:pPr>
            <w:r w:rsidRPr="00F235C6">
              <w:rPr>
                <w:sz w:val="20"/>
                <w:szCs w:val="20"/>
              </w:rPr>
              <w:t>48 (42%)</w:t>
            </w:r>
          </w:p>
        </w:tc>
      </w:tr>
      <w:tr w:rsidR="0019537C" w:rsidRPr="00F235C6" w14:paraId="07FB76A2" w14:textId="77777777" w:rsidTr="007B7F9D">
        <w:trPr>
          <w:trHeight w:val="307"/>
        </w:trPr>
        <w:tc>
          <w:tcPr>
            <w:tcW w:w="2684" w:type="dxa"/>
            <w:vMerge/>
          </w:tcPr>
          <w:p w14:paraId="6D2ACFA7" w14:textId="77777777" w:rsidR="0019537C" w:rsidRPr="00F235C6" w:rsidRDefault="0019537C" w:rsidP="008B3CF0">
            <w:pPr>
              <w:keepNext/>
              <w:rPr>
                <w:sz w:val="20"/>
                <w:szCs w:val="20"/>
              </w:rPr>
            </w:pPr>
          </w:p>
        </w:tc>
        <w:tc>
          <w:tcPr>
            <w:tcW w:w="3827" w:type="dxa"/>
          </w:tcPr>
          <w:p w14:paraId="1E6D19CE" w14:textId="77777777" w:rsidR="0019537C" w:rsidRPr="00F235C6" w:rsidRDefault="0019537C" w:rsidP="008B3CF0">
            <w:pPr>
              <w:keepNext/>
              <w:jc w:val="right"/>
              <w:rPr>
                <w:sz w:val="20"/>
                <w:szCs w:val="20"/>
              </w:rPr>
            </w:pPr>
            <w:r w:rsidRPr="00F235C6">
              <w:rPr>
                <w:sz w:val="20"/>
                <w:szCs w:val="20"/>
              </w:rPr>
              <w:t>Specific insertion unknown, n (%)</w:t>
            </w:r>
          </w:p>
        </w:tc>
        <w:tc>
          <w:tcPr>
            <w:tcW w:w="2136" w:type="dxa"/>
          </w:tcPr>
          <w:p w14:paraId="5A83A91C" w14:textId="77777777" w:rsidR="0019537C" w:rsidRPr="00F235C6" w:rsidRDefault="0019537C" w:rsidP="008B3CF0">
            <w:pPr>
              <w:keepNext/>
              <w:jc w:val="center"/>
              <w:rPr>
                <w:sz w:val="20"/>
                <w:szCs w:val="20"/>
              </w:rPr>
            </w:pPr>
            <w:r w:rsidRPr="00F235C6">
              <w:rPr>
                <w:sz w:val="20"/>
                <w:szCs w:val="20"/>
              </w:rPr>
              <w:t>29 (25%)</w:t>
            </w:r>
          </w:p>
        </w:tc>
      </w:tr>
    </w:tbl>
    <w:p w14:paraId="5502E810" w14:textId="4808309D" w:rsidR="0019537C" w:rsidRPr="007B7F9D" w:rsidRDefault="0088295E" w:rsidP="007B7F9D">
      <w:pPr>
        <w:pStyle w:val="TableDescription"/>
      </w:pPr>
      <w:r>
        <w:t xml:space="preserve">Abbreviations: </w:t>
      </w:r>
      <w:r w:rsidR="0019537C" w:rsidRPr="00955D59">
        <w:t>DCO = data cut-off date</w:t>
      </w:r>
      <w:r w:rsidR="0019537C">
        <w:t>; NGS = next-generation sequencing; PCR = polymerase chain reaction; PPP = pooled prior platinum analysis set</w:t>
      </w:r>
    </w:p>
    <w:p w14:paraId="6B8D8507" w14:textId="77777777" w:rsidR="0019537C" w:rsidRPr="002308F6" w:rsidRDefault="0019537C" w:rsidP="0019537C">
      <w:pPr>
        <w:pStyle w:val="Heading6"/>
      </w:pPr>
      <w:r w:rsidRPr="002308F6">
        <w:t>Disposition</w:t>
      </w:r>
    </w:p>
    <w:p w14:paraId="2F3547DE" w14:textId="72DA129F" w:rsidR="0019537C" w:rsidRPr="002308F6" w:rsidRDefault="0019537C" w:rsidP="0019537C">
      <w:r w:rsidRPr="002308F6">
        <w:t>At the</w:t>
      </w:r>
      <w:r>
        <w:t xml:space="preserve"> </w:t>
      </w:r>
      <w:r w:rsidR="007B7F9D">
        <w:t>data cut</w:t>
      </w:r>
      <w:r w:rsidR="0088295E">
        <w:t>-</w:t>
      </w:r>
      <w:r w:rsidR="007B7F9D">
        <w:t xml:space="preserve">off </w:t>
      </w:r>
      <w:r>
        <w:t xml:space="preserve">(1 </w:t>
      </w:r>
      <w:r w:rsidR="007B7F9D">
        <w:t>November</w:t>
      </w:r>
      <w:r>
        <w:t xml:space="preserve"> 2020)</w:t>
      </w:r>
      <w:r w:rsidRPr="002308F6">
        <w:t>, the median duration of follow</w:t>
      </w:r>
      <w:r w:rsidR="007B7F9D">
        <w:t xml:space="preserve"> </w:t>
      </w:r>
      <w:r w:rsidRPr="002308F6">
        <w:t>up for all patients was 14</w:t>
      </w:r>
      <w:r>
        <w:t>.2</w:t>
      </w:r>
      <w:r w:rsidR="0088295E">
        <w:t> </w:t>
      </w:r>
      <w:r w:rsidRPr="002308F6">
        <w:t>months (</w:t>
      </w:r>
      <w:r>
        <w:t>95% CI</w:t>
      </w:r>
      <w:r w:rsidRPr="002308F6">
        <w:t xml:space="preserve"> 13</w:t>
      </w:r>
      <w:r>
        <w:t>.2</w:t>
      </w:r>
      <w:r w:rsidR="007B7F9D">
        <w:t xml:space="preserve"> to </w:t>
      </w:r>
      <w:r>
        <w:t>14.6</w:t>
      </w:r>
      <w:r w:rsidRPr="002308F6">
        <w:t xml:space="preserve">). Some key patient disposition information for the </w:t>
      </w:r>
      <w:r>
        <w:t>PPP population</w:t>
      </w:r>
      <w:r w:rsidRPr="002308F6">
        <w:t xml:space="preserve"> is summarised in </w:t>
      </w:r>
      <w:r w:rsidRPr="002308F6">
        <w:fldChar w:fldCharType="begin"/>
      </w:r>
      <w:r w:rsidRPr="002308F6">
        <w:instrText xml:space="preserve"> REF _Ref95924535 \h </w:instrText>
      </w:r>
      <w:r w:rsidRPr="002308F6">
        <w:fldChar w:fldCharType="separate"/>
      </w:r>
      <w:r w:rsidR="00301E36" w:rsidRPr="007B7F9D">
        <w:t xml:space="preserve">Table </w:t>
      </w:r>
      <w:r w:rsidR="00301E36">
        <w:rPr>
          <w:noProof/>
        </w:rPr>
        <w:t>9</w:t>
      </w:r>
      <w:r w:rsidRPr="002308F6">
        <w:fldChar w:fldCharType="end"/>
      </w:r>
      <w:r w:rsidRPr="002308F6">
        <w:t>.</w:t>
      </w:r>
    </w:p>
    <w:p w14:paraId="2A12DFE6" w14:textId="18E67705" w:rsidR="0019537C" w:rsidRPr="00955D59" w:rsidRDefault="0019537C" w:rsidP="007B7F9D">
      <w:pPr>
        <w:pStyle w:val="TableTitle"/>
      </w:pPr>
      <w:bookmarkStart w:id="97" w:name="_Ref95924535"/>
      <w:r w:rsidRPr="007B7F9D">
        <w:t xml:space="preserve">Table </w:t>
      </w:r>
      <w:r w:rsidR="003F5EF5">
        <w:fldChar w:fldCharType="begin"/>
      </w:r>
      <w:r w:rsidR="003F5EF5">
        <w:instrText xml:space="preserve"> SEQ Table \* ARABIC </w:instrText>
      </w:r>
      <w:r w:rsidR="003F5EF5">
        <w:fldChar w:fldCharType="separate"/>
      </w:r>
      <w:r w:rsidR="00301E36">
        <w:rPr>
          <w:noProof/>
        </w:rPr>
        <w:t>9</w:t>
      </w:r>
      <w:r w:rsidR="003F5EF5">
        <w:rPr>
          <w:noProof/>
        </w:rPr>
        <w:fldChar w:fldCharType="end"/>
      </w:r>
      <w:bookmarkEnd w:id="97"/>
      <w:r w:rsidRPr="00955D59">
        <w:t xml:space="preserve">. </w:t>
      </w:r>
      <w:r w:rsidR="0088295E">
        <w:t xml:space="preserve">Study AP32788-15-101 </w:t>
      </w:r>
      <w:r w:rsidRPr="00955D59">
        <w:t xml:space="preserve">Patient disposition in </w:t>
      </w:r>
      <w:r w:rsidR="0088295E">
        <w:t xml:space="preserve">the </w:t>
      </w:r>
      <w:r w:rsidR="007B7F9D">
        <w:t>p</w:t>
      </w:r>
      <w:r w:rsidR="007B7F9D" w:rsidRPr="008D1E61">
        <w:t xml:space="preserve">ooled </w:t>
      </w:r>
      <w:r w:rsidR="007B7F9D">
        <w:t>p</w:t>
      </w:r>
      <w:r w:rsidR="007B7F9D" w:rsidRPr="008D1E61">
        <w:t xml:space="preserve">rior </w:t>
      </w:r>
      <w:r w:rsidR="007B7F9D">
        <w:t>p</w:t>
      </w:r>
      <w:r w:rsidR="007B7F9D" w:rsidRPr="008D1E61">
        <w:t>latinum</w:t>
      </w:r>
      <w:r w:rsidR="0088295E">
        <w:t xml:space="preserve"> population (</w:t>
      </w:r>
      <w:r w:rsidR="007B7F9D">
        <w:t>data cut</w:t>
      </w:r>
      <w:r w:rsidR="0088295E">
        <w:t>-</w:t>
      </w:r>
      <w:r w:rsidR="007B7F9D">
        <w:t>off of</w:t>
      </w:r>
      <w:r w:rsidR="007B7F9D" w:rsidRPr="00955D59">
        <w:t xml:space="preserve"> </w:t>
      </w:r>
      <w:r w:rsidR="007B7F9D">
        <w:t>1</w:t>
      </w:r>
      <w:r w:rsidR="007B7F9D" w:rsidRPr="00955D59">
        <w:t xml:space="preserve"> </w:t>
      </w:r>
      <w:r w:rsidR="007B7F9D">
        <w:t>November</w:t>
      </w:r>
      <w:r w:rsidR="007B7F9D" w:rsidRPr="00955D59">
        <w:t xml:space="preserve"> 2020</w:t>
      </w:r>
      <w:r w:rsidR="007B7F9D">
        <w:t>)</w:t>
      </w:r>
    </w:p>
    <w:tbl>
      <w:tblPr>
        <w:tblStyle w:val="TableTGAblue"/>
        <w:tblW w:w="8495" w:type="dxa"/>
        <w:tblLayout w:type="fixed"/>
        <w:tblLook w:val="01E0" w:firstRow="1" w:lastRow="1" w:firstColumn="1" w:lastColumn="1" w:noHBand="0" w:noVBand="0"/>
      </w:tblPr>
      <w:tblGrid>
        <w:gridCol w:w="1843"/>
        <w:gridCol w:w="3534"/>
        <w:gridCol w:w="3118"/>
      </w:tblGrid>
      <w:tr w:rsidR="007B7F9D" w:rsidRPr="00F235C6" w14:paraId="16D45917" w14:textId="77777777" w:rsidTr="00F235C6">
        <w:trPr>
          <w:cnfStyle w:val="100000000000" w:firstRow="1" w:lastRow="0" w:firstColumn="0" w:lastColumn="0" w:oddVBand="0" w:evenVBand="0" w:oddHBand="0" w:evenHBand="0" w:firstRowFirstColumn="0" w:firstRowLastColumn="0" w:lastRowFirstColumn="0" w:lastRowLastColumn="0"/>
          <w:trHeight w:val="768"/>
        </w:trPr>
        <w:tc>
          <w:tcPr>
            <w:tcW w:w="5377" w:type="dxa"/>
            <w:gridSpan w:val="2"/>
          </w:tcPr>
          <w:p w14:paraId="312442A3" w14:textId="77777777" w:rsidR="0019537C" w:rsidRPr="00F235C6" w:rsidRDefault="0019537C" w:rsidP="008B3CF0">
            <w:pPr>
              <w:rPr>
                <w:b w:val="0"/>
                <w:bCs/>
                <w:color w:val="auto"/>
                <w:sz w:val="20"/>
                <w:szCs w:val="20"/>
              </w:rPr>
            </w:pPr>
          </w:p>
        </w:tc>
        <w:tc>
          <w:tcPr>
            <w:tcW w:w="3118" w:type="dxa"/>
          </w:tcPr>
          <w:p w14:paraId="571D3703" w14:textId="3AB83F8C" w:rsidR="0019537C" w:rsidRPr="00F235C6" w:rsidRDefault="0019537C" w:rsidP="008B3CF0">
            <w:pPr>
              <w:jc w:val="center"/>
              <w:rPr>
                <w:b w:val="0"/>
                <w:bCs/>
                <w:color w:val="auto"/>
                <w:sz w:val="20"/>
                <w:szCs w:val="20"/>
              </w:rPr>
            </w:pPr>
            <w:r w:rsidRPr="00F235C6">
              <w:rPr>
                <w:bCs/>
                <w:sz w:val="20"/>
                <w:szCs w:val="20"/>
              </w:rPr>
              <w:t>Mobocertinib 160 mg daily (n</w:t>
            </w:r>
            <w:r w:rsidR="007B7F9D" w:rsidRPr="00F235C6">
              <w:rPr>
                <w:bCs/>
                <w:sz w:val="20"/>
                <w:szCs w:val="20"/>
              </w:rPr>
              <w:t xml:space="preserve"> </w:t>
            </w:r>
            <w:r w:rsidRPr="00F235C6">
              <w:rPr>
                <w:bCs/>
                <w:sz w:val="20"/>
                <w:szCs w:val="20"/>
              </w:rPr>
              <w:t>=</w:t>
            </w:r>
            <w:r w:rsidR="007B7F9D" w:rsidRPr="00F235C6">
              <w:rPr>
                <w:bCs/>
                <w:sz w:val="20"/>
                <w:szCs w:val="20"/>
              </w:rPr>
              <w:t xml:space="preserve"> </w:t>
            </w:r>
            <w:r w:rsidRPr="00F235C6">
              <w:rPr>
                <w:bCs/>
                <w:sz w:val="20"/>
                <w:szCs w:val="20"/>
              </w:rPr>
              <w:t>114)</w:t>
            </w:r>
          </w:p>
        </w:tc>
      </w:tr>
      <w:tr w:rsidR="007B7F9D" w:rsidRPr="00F235C6" w14:paraId="04F251D6" w14:textId="77777777" w:rsidTr="00F235C6">
        <w:trPr>
          <w:trHeight w:val="409"/>
        </w:trPr>
        <w:tc>
          <w:tcPr>
            <w:tcW w:w="5377" w:type="dxa"/>
            <w:gridSpan w:val="2"/>
          </w:tcPr>
          <w:p w14:paraId="6B6A8984" w14:textId="77777777" w:rsidR="0019537C" w:rsidRPr="00F235C6" w:rsidRDefault="0019537C" w:rsidP="007B7F9D">
            <w:pPr>
              <w:keepNext/>
              <w:ind w:left="0"/>
              <w:rPr>
                <w:color w:val="auto"/>
                <w:sz w:val="20"/>
                <w:szCs w:val="20"/>
              </w:rPr>
            </w:pPr>
            <w:bookmarkStart w:id="98" w:name="_Hlk97635279"/>
            <w:r w:rsidRPr="00F235C6">
              <w:rPr>
                <w:color w:val="auto"/>
                <w:sz w:val="20"/>
                <w:szCs w:val="20"/>
              </w:rPr>
              <w:t>Ongoing on study, n (%)</w:t>
            </w:r>
          </w:p>
        </w:tc>
        <w:tc>
          <w:tcPr>
            <w:tcW w:w="3118" w:type="dxa"/>
          </w:tcPr>
          <w:p w14:paraId="712A75B3" w14:textId="77777777" w:rsidR="0019537C" w:rsidRPr="00F235C6" w:rsidRDefault="0019537C" w:rsidP="008B3CF0">
            <w:pPr>
              <w:keepNext/>
              <w:jc w:val="center"/>
              <w:rPr>
                <w:color w:val="auto"/>
                <w:sz w:val="20"/>
                <w:szCs w:val="20"/>
              </w:rPr>
            </w:pPr>
            <w:r w:rsidRPr="00F235C6">
              <w:rPr>
                <w:color w:val="auto"/>
                <w:sz w:val="20"/>
                <w:szCs w:val="20"/>
              </w:rPr>
              <w:t>55 (48%)</w:t>
            </w:r>
          </w:p>
        </w:tc>
      </w:tr>
      <w:bookmarkEnd w:id="98"/>
      <w:tr w:rsidR="007B7F9D" w:rsidRPr="00F235C6" w14:paraId="76145C27" w14:textId="77777777" w:rsidTr="00F235C6">
        <w:trPr>
          <w:trHeight w:val="402"/>
        </w:trPr>
        <w:tc>
          <w:tcPr>
            <w:tcW w:w="5377" w:type="dxa"/>
            <w:gridSpan w:val="2"/>
          </w:tcPr>
          <w:p w14:paraId="5F3A3151" w14:textId="77777777" w:rsidR="0019537C" w:rsidRPr="00F235C6" w:rsidRDefault="0019537C" w:rsidP="007B7F9D">
            <w:pPr>
              <w:keepNext/>
              <w:ind w:left="0"/>
              <w:rPr>
                <w:color w:val="auto"/>
                <w:sz w:val="20"/>
                <w:szCs w:val="20"/>
              </w:rPr>
            </w:pPr>
            <w:r w:rsidRPr="00F235C6">
              <w:rPr>
                <w:color w:val="auto"/>
                <w:sz w:val="20"/>
                <w:szCs w:val="20"/>
              </w:rPr>
              <w:t>Discontinued study</w:t>
            </w:r>
          </w:p>
        </w:tc>
        <w:tc>
          <w:tcPr>
            <w:tcW w:w="3118" w:type="dxa"/>
          </w:tcPr>
          <w:p w14:paraId="5682E191" w14:textId="77777777" w:rsidR="0019537C" w:rsidRPr="00F235C6" w:rsidRDefault="0019537C" w:rsidP="008B3CF0">
            <w:pPr>
              <w:keepNext/>
              <w:jc w:val="center"/>
              <w:rPr>
                <w:color w:val="auto"/>
                <w:sz w:val="20"/>
                <w:szCs w:val="20"/>
              </w:rPr>
            </w:pPr>
            <w:r w:rsidRPr="00F235C6">
              <w:rPr>
                <w:color w:val="auto"/>
                <w:sz w:val="20"/>
                <w:szCs w:val="20"/>
              </w:rPr>
              <w:t>59 (52%)</w:t>
            </w:r>
          </w:p>
        </w:tc>
      </w:tr>
      <w:tr w:rsidR="007B7F9D" w:rsidRPr="00F235C6" w14:paraId="336E6DDD" w14:textId="77777777" w:rsidTr="00F235C6">
        <w:trPr>
          <w:trHeight w:val="227"/>
        </w:trPr>
        <w:tc>
          <w:tcPr>
            <w:tcW w:w="1843" w:type="dxa"/>
            <w:vMerge w:val="restart"/>
          </w:tcPr>
          <w:p w14:paraId="06203444" w14:textId="77777777" w:rsidR="0019537C" w:rsidRPr="00F235C6" w:rsidRDefault="0019537C" w:rsidP="007B7F9D">
            <w:pPr>
              <w:keepNext/>
              <w:ind w:left="0"/>
              <w:rPr>
                <w:i/>
                <w:iCs/>
                <w:color w:val="auto"/>
                <w:sz w:val="20"/>
                <w:szCs w:val="20"/>
              </w:rPr>
            </w:pPr>
            <w:r w:rsidRPr="00F235C6">
              <w:rPr>
                <w:i/>
                <w:iCs/>
                <w:color w:val="auto"/>
                <w:sz w:val="20"/>
                <w:szCs w:val="20"/>
              </w:rPr>
              <w:t>Reason for study discontinuation</w:t>
            </w:r>
          </w:p>
        </w:tc>
        <w:tc>
          <w:tcPr>
            <w:tcW w:w="3534" w:type="dxa"/>
          </w:tcPr>
          <w:p w14:paraId="1C81BDFE" w14:textId="77777777" w:rsidR="0019537C" w:rsidRPr="00F235C6" w:rsidRDefault="0019537C" w:rsidP="008B3CF0">
            <w:pPr>
              <w:keepNext/>
              <w:jc w:val="right"/>
              <w:rPr>
                <w:i/>
                <w:iCs/>
                <w:color w:val="auto"/>
                <w:sz w:val="20"/>
                <w:szCs w:val="20"/>
              </w:rPr>
            </w:pPr>
            <w:r w:rsidRPr="00F235C6">
              <w:rPr>
                <w:i/>
                <w:iCs/>
                <w:color w:val="auto"/>
                <w:sz w:val="20"/>
                <w:szCs w:val="20"/>
              </w:rPr>
              <w:t>Death, n (%)</w:t>
            </w:r>
          </w:p>
        </w:tc>
        <w:tc>
          <w:tcPr>
            <w:tcW w:w="3118" w:type="dxa"/>
          </w:tcPr>
          <w:p w14:paraId="38626FF9" w14:textId="77777777" w:rsidR="0019537C" w:rsidRPr="00F235C6" w:rsidRDefault="0019537C" w:rsidP="008B3CF0">
            <w:pPr>
              <w:keepNext/>
              <w:jc w:val="center"/>
              <w:rPr>
                <w:i/>
                <w:iCs/>
                <w:color w:val="auto"/>
                <w:sz w:val="20"/>
                <w:szCs w:val="20"/>
              </w:rPr>
            </w:pPr>
            <w:r w:rsidRPr="00F235C6">
              <w:rPr>
                <w:i/>
                <w:iCs/>
                <w:color w:val="auto"/>
                <w:sz w:val="20"/>
                <w:szCs w:val="20"/>
              </w:rPr>
              <w:t>45 (76%)</w:t>
            </w:r>
          </w:p>
        </w:tc>
      </w:tr>
      <w:tr w:rsidR="007B7F9D" w:rsidRPr="00F235C6" w14:paraId="2C04DFBC" w14:textId="77777777" w:rsidTr="00F235C6">
        <w:trPr>
          <w:trHeight w:val="227"/>
        </w:trPr>
        <w:tc>
          <w:tcPr>
            <w:tcW w:w="1843" w:type="dxa"/>
            <w:vMerge/>
          </w:tcPr>
          <w:p w14:paraId="2E7978EC" w14:textId="77777777" w:rsidR="0019537C" w:rsidRPr="00F235C6" w:rsidRDefault="0019537C" w:rsidP="008B3CF0">
            <w:pPr>
              <w:keepNext/>
              <w:rPr>
                <w:i/>
                <w:iCs/>
                <w:color w:val="auto"/>
                <w:sz w:val="20"/>
                <w:szCs w:val="20"/>
              </w:rPr>
            </w:pPr>
          </w:p>
        </w:tc>
        <w:tc>
          <w:tcPr>
            <w:tcW w:w="3534" w:type="dxa"/>
          </w:tcPr>
          <w:p w14:paraId="0520D413" w14:textId="77777777" w:rsidR="0019537C" w:rsidRPr="00F235C6" w:rsidRDefault="0019537C" w:rsidP="008B3CF0">
            <w:pPr>
              <w:keepNext/>
              <w:jc w:val="right"/>
              <w:rPr>
                <w:i/>
                <w:iCs/>
                <w:color w:val="auto"/>
                <w:sz w:val="20"/>
                <w:szCs w:val="20"/>
              </w:rPr>
            </w:pPr>
            <w:r w:rsidRPr="00F235C6">
              <w:rPr>
                <w:i/>
                <w:iCs/>
                <w:color w:val="auto"/>
                <w:sz w:val="20"/>
                <w:szCs w:val="20"/>
              </w:rPr>
              <w:t>Lost to follow-up, n (%)</w:t>
            </w:r>
          </w:p>
        </w:tc>
        <w:tc>
          <w:tcPr>
            <w:tcW w:w="3118" w:type="dxa"/>
          </w:tcPr>
          <w:p w14:paraId="57748450" w14:textId="77777777" w:rsidR="0019537C" w:rsidRPr="00F235C6" w:rsidRDefault="0019537C" w:rsidP="008B3CF0">
            <w:pPr>
              <w:keepNext/>
              <w:jc w:val="center"/>
              <w:rPr>
                <w:i/>
                <w:iCs/>
                <w:color w:val="auto"/>
                <w:sz w:val="20"/>
                <w:szCs w:val="20"/>
              </w:rPr>
            </w:pPr>
            <w:r w:rsidRPr="00F235C6">
              <w:rPr>
                <w:i/>
                <w:iCs/>
                <w:color w:val="auto"/>
                <w:sz w:val="20"/>
                <w:szCs w:val="20"/>
              </w:rPr>
              <w:t>3 (5%)</w:t>
            </w:r>
          </w:p>
        </w:tc>
      </w:tr>
      <w:tr w:rsidR="007B7F9D" w:rsidRPr="00F235C6" w14:paraId="28EAC6DF" w14:textId="77777777" w:rsidTr="00F235C6">
        <w:trPr>
          <w:trHeight w:val="227"/>
        </w:trPr>
        <w:tc>
          <w:tcPr>
            <w:tcW w:w="1843" w:type="dxa"/>
            <w:vMerge/>
          </w:tcPr>
          <w:p w14:paraId="5207EDA3" w14:textId="77777777" w:rsidR="0019537C" w:rsidRPr="00F235C6" w:rsidRDefault="0019537C" w:rsidP="008B3CF0">
            <w:pPr>
              <w:keepNext/>
              <w:rPr>
                <w:i/>
                <w:iCs/>
                <w:color w:val="auto"/>
                <w:sz w:val="20"/>
                <w:szCs w:val="20"/>
              </w:rPr>
            </w:pPr>
          </w:p>
        </w:tc>
        <w:tc>
          <w:tcPr>
            <w:tcW w:w="3534" w:type="dxa"/>
          </w:tcPr>
          <w:p w14:paraId="153464DA" w14:textId="77777777" w:rsidR="0019537C" w:rsidRPr="00F235C6" w:rsidRDefault="0019537C" w:rsidP="008B3CF0">
            <w:pPr>
              <w:keepNext/>
              <w:jc w:val="right"/>
              <w:rPr>
                <w:i/>
                <w:iCs/>
                <w:color w:val="auto"/>
                <w:sz w:val="20"/>
                <w:szCs w:val="20"/>
              </w:rPr>
            </w:pPr>
            <w:r w:rsidRPr="00F235C6">
              <w:rPr>
                <w:i/>
                <w:iCs/>
                <w:color w:val="auto"/>
                <w:sz w:val="20"/>
                <w:szCs w:val="20"/>
              </w:rPr>
              <w:t>Withdrawal by patient, n (%)</w:t>
            </w:r>
          </w:p>
        </w:tc>
        <w:tc>
          <w:tcPr>
            <w:tcW w:w="3118" w:type="dxa"/>
          </w:tcPr>
          <w:p w14:paraId="160DC27C" w14:textId="77777777" w:rsidR="0019537C" w:rsidRPr="00F235C6" w:rsidRDefault="0019537C" w:rsidP="008B3CF0">
            <w:pPr>
              <w:keepNext/>
              <w:jc w:val="center"/>
              <w:rPr>
                <w:i/>
                <w:iCs/>
                <w:color w:val="auto"/>
                <w:sz w:val="20"/>
                <w:szCs w:val="20"/>
              </w:rPr>
            </w:pPr>
            <w:r w:rsidRPr="00F235C6">
              <w:rPr>
                <w:i/>
                <w:iCs/>
                <w:color w:val="auto"/>
                <w:sz w:val="20"/>
                <w:szCs w:val="20"/>
              </w:rPr>
              <w:t>10 (17%)</w:t>
            </w:r>
          </w:p>
        </w:tc>
      </w:tr>
      <w:tr w:rsidR="007B7F9D" w:rsidRPr="00F235C6" w14:paraId="2071D380" w14:textId="77777777" w:rsidTr="00F235C6">
        <w:trPr>
          <w:trHeight w:val="277"/>
        </w:trPr>
        <w:tc>
          <w:tcPr>
            <w:tcW w:w="1843" w:type="dxa"/>
            <w:vMerge/>
          </w:tcPr>
          <w:p w14:paraId="51DC18DA" w14:textId="77777777" w:rsidR="0019537C" w:rsidRPr="00F235C6" w:rsidRDefault="0019537C" w:rsidP="008B3CF0">
            <w:pPr>
              <w:keepNext/>
              <w:rPr>
                <w:i/>
                <w:iCs/>
                <w:color w:val="auto"/>
                <w:sz w:val="20"/>
                <w:szCs w:val="20"/>
              </w:rPr>
            </w:pPr>
          </w:p>
        </w:tc>
        <w:tc>
          <w:tcPr>
            <w:tcW w:w="3534" w:type="dxa"/>
          </w:tcPr>
          <w:p w14:paraId="03B233BF" w14:textId="77777777" w:rsidR="0019537C" w:rsidRPr="00F235C6" w:rsidRDefault="0019537C" w:rsidP="008B3CF0">
            <w:pPr>
              <w:keepNext/>
              <w:jc w:val="right"/>
              <w:rPr>
                <w:i/>
                <w:iCs/>
                <w:color w:val="auto"/>
                <w:sz w:val="20"/>
                <w:szCs w:val="20"/>
              </w:rPr>
            </w:pPr>
            <w:r w:rsidRPr="00F235C6">
              <w:rPr>
                <w:i/>
                <w:iCs/>
                <w:color w:val="auto"/>
                <w:sz w:val="20"/>
                <w:szCs w:val="20"/>
              </w:rPr>
              <w:t>Other, n (%)</w:t>
            </w:r>
          </w:p>
        </w:tc>
        <w:tc>
          <w:tcPr>
            <w:tcW w:w="3118" w:type="dxa"/>
          </w:tcPr>
          <w:p w14:paraId="6677E3FA" w14:textId="77777777" w:rsidR="0019537C" w:rsidRPr="00F235C6" w:rsidRDefault="0019537C" w:rsidP="008B3CF0">
            <w:pPr>
              <w:keepNext/>
              <w:jc w:val="center"/>
              <w:rPr>
                <w:i/>
                <w:iCs/>
                <w:color w:val="auto"/>
                <w:sz w:val="20"/>
                <w:szCs w:val="20"/>
              </w:rPr>
            </w:pPr>
            <w:r w:rsidRPr="00F235C6">
              <w:rPr>
                <w:i/>
                <w:iCs/>
                <w:color w:val="auto"/>
                <w:sz w:val="20"/>
                <w:szCs w:val="20"/>
              </w:rPr>
              <w:t>1 (2%)</w:t>
            </w:r>
          </w:p>
        </w:tc>
      </w:tr>
      <w:tr w:rsidR="007B7F9D" w:rsidRPr="00F235C6" w14:paraId="61C6A9F0" w14:textId="77777777" w:rsidTr="00F235C6">
        <w:trPr>
          <w:trHeight w:val="409"/>
        </w:trPr>
        <w:tc>
          <w:tcPr>
            <w:tcW w:w="5377" w:type="dxa"/>
            <w:gridSpan w:val="2"/>
          </w:tcPr>
          <w:p w14:paraId="49CB9BA2" w14:textId="77777777" w:rsidR="0019537C" w:rsidRPr="00F235C6" w:rsidRDefault="0019537C" w:rsidP="007B7F9D">
            <w:pPr>
              <w:keepNext/>
              <w:ind w:left="0"/>
              <w:rPr>
                <w:i/>
                <w:iCs/>
                <w:color w:val="auto"/>
                <w:sz w:val="20"/>
                <w:szCs w:val="20"/>
              </w:rPr>
            </w:pPr>
            <w:r w:rsidRPr="00F235C6">
              <w:rPr>
                <w:color w:val="auto"/>
                <w:sz w:val="20"/>
                <w:szCs w:val="20"/>
              </w:rPr>
              <w:t>Ongoing on treatment, n (%)</w:t>
            </w:r>
          </w:p>
        </w:tc>
        <w:tc>
          <w:tcPr>
            <w:tcW w:w="3118" w:type="dxa"/>
          </w:tcPr>
          <w:p w14:paraId="231E704B" w14:textId="77777777" w:rsidR="0019537C" w:rsidRPr="00F235C6" w:rsidRDefault="0019537C" w:rsidP="008B3CF0">
            <w:pPr>
              <w:keepNext/>
              <w:jc w:val="center"/>
              <w:rPr>
                <w:i/>
                <w:iCs/>
                <w:color w:val="auto"/>
                <w:sz w:val="20"/>
                <w:szCs w:val="20"/>
              </w:rPr>
            </w:pPr>
            <w:r w:rsidRPr="00F235C6">
              <w:rPr>
                <w:color w:val="auto"/>
                <w:sz w:val="20"/>
                <w:szCs w:val="20"/>
              </w:rPr>
              <w:t>26 (23%)</w:t>
            </w:r>
          </w:p>
        </w:tc>
      </w:tr>
      <w:tr w:rsidR="007B7F9D" w:rsidRPr="00F235C6" w14:paraId="26C47028" w14:textId="77777777" w:rsidTr="00F235C6">
        <w:trPr>
          <w:trHeight w:val="401"/>
        </w:trPr>
        <w:tc>
          <w:tcPr>
            <w:tcW w:w="5377" w:type="dxa"/>
            <w:gridSpan w:val="2"/>
          </w:tcPr>
          <w:p w14:paraId="1D723AF9" w14:textId="77777777" w:rsidR="0019537C" w:rsidRPr="00F235C6" w:rsidRDefault="0019537C" w:rsidP="007B7F9D">
            <w:pPr>
              <w:keepNext/>
              <w:ind w:left="0"/>
              <w:rPr>
                <w:color w:val="auto"/>
                <w:sz w:val="20"/>
                <w:szCs w:val="20"/>
              </w:rPr>
            </w:pPr>
            <w:r w:rsidRPr="00F235C6">
              <w:rPr>
                <w:color w:val="auto"/>
                <w:sz w:val="20"/>
                <w:szCs w:val="20"/>
              </w:rPr>
              <w:t>Discontinued treatment, n (%)</w:t>
            </w:r>
          </w:p>
        </w:tc>
        <w:tc>
          <w:tcPr>
            <w:tcW w:w="3118" w:type="dxa"/>
          </w:tcPr>
          <w:p w14:paraId="424D33AE" w14:textId="77777777" w:rsidR="0019537C" w:rsidRPr="00F235C6" w:rsidRDefault="0019537C" w:rsidP="008B3CF0">
            <w:pPr>
              <w:keepNext/>
              <w:jc w:val="center"/>
              <w:rPr>
                <w:color w:val="auto"/>
                <w:sz w:val="20"/>
                <w:szCs w:val="20"/>
              </w:rPr>
            </w:pPr>
            <w:r w:rsidRPr="00F235C6">
              <w:rPr>
                <w:color w:val="auto"/>
                <w:sz w:val="20"/>
                <w:szCs w:val="20"/>
              </w:rPr>
              <w:t>88 (77%)</w:t>
            </w:r>
          </w:p>
        </w:tc>
      </w:tr>
      <w:tr w:rsidR="007B7F9D" w:rsidRPr="00F235C6" w14:paraId="38DC8920" w14:textId="77777777" w:rsidTr="00F235C6">
        <w:trPr>
          <w:trHeight w:val="227"/>
        </w:trPr>
        <w:tc>
          <w:tcPr>
            <w:tcW w:w="1843" w:type="dxa"/>
            <w:vMerge w:val="restart"/>
          </w:tcPr>
          <w:p w14:paraId="590F6F1E" w14:textId="77777777" w:rsidR="0019537C" w:rsidRPr="00F235C6" w:rsidRDefault="0019537C" w:rsidP="007B7F9D">
            <w:pPr>
              <w:keepNext/>
              <w:ind w:left="0"/>
              <w:rPr>
                <w:i/>
                <w:iCs/>
                <w:color w:val="auto"/>
                <w:sz w:val="20"/>
                <w:szCs w:val="20"/>
              </w:rPr>
            </w:pPr>
            <w:r w:rsidRPr="00F235C6">
              <w:rPr>
                <w:i/>
                <w:iCs/>
                <w:color w:val="auto"/>
                <w:sz w:val="20"/>
                <w:szCs w:val="20"/>
              </w:rPr>
              <w:t>Reason for treatment discontinuation</w:t>
            </w:r>
          </w:p>
        </w:tc>
        <w:tc>
          <w:tcPr>
            <w:tcW w:w="3534" w:type="dxa"/>
          </w:tcPr>
          <w:p w14:paraId="4026C1C4" w14:textId="77777777" w:rsidR="0019537C" w:rsidRPr="00F235C6" w:rsidRDefault="0019537C" w:rsidP="008B3CF0">
            <w:pPr>
              <w:keepNext/>
              <w:jc w:val="right"/>
              <w:rPr>
                <w:i/>
                <w:iCs/>
                <w:color w:val="auto"/>
                <w:sz w:val="20"/>
                <w:szCs w:val="20"/>
              </w:rPr>
            </w:pPr>
            <w:r w:rsidRPr="00F235C6">
              <w:rPr>
                <w:i/>
                <w:iCs/>
                <w:color w:val="auto"/>
                <w:sz w:val="20"/>
                <w:szCs w:val="20"/>
              </w:rPr>
              <w:t>Adverse event, n (%)</w:t>
            </w:r>
          </w:p>
        </w:tc>
        <w:tc>
          <w:tcPr>
            <w:tcW w:w="3118" w:type="dxa"/>
          </w:tcPr>
          <w:p w14:paraId="29E45D50" w14:textId="77777777" w:rsidR="0019537C" w:rsidRPr="00F235C6" w:rsidRDefault="0019537C" w:rsidP="008B3CF0">
            <w:pPr>
              <w:keepNext/>
              <w:jc w:val="center"/>
              <w:rPr>
                <w:i/>
                <w:iCs/>
                <w:color w:val="auto"/>
                <w:sz w:val="20"/>
                <w:szCs w:val="20"/>
              </w:rPr>
            </w:pPr>
            <w:r w:rsidRPr="00F235C6">
              <w:rPr>
                <w:i/>
                <w:iCs/>
                <w:color w:val="auto"/>
                <w:sz w:val="20"/>
                <w:szCs w:val="20"/>
              </w:rPr>
              <w:t>14 (16%)</w:t>
            </w:r>
          </w:p>
        </w:tc>
      </w:tr>
      <w:tr w:rsidR="007B7F9D" w:rsidRPr="00F235C6" w14:paraId="0A2BEAFD" w14:textId="77777777" w:rsidTr="00F235C6">
        <w:trPr>
          <w:trHeight w:val="227"/>
        </w:trPr>
        <w:tc>
          <w:tcPr>
            <w:tcW w:w="1843" w:type="dxa"/>
            <w:vMerge/>
          </w:tcPr>
          <w:p w14:paraId="7F8559E7" w14:textId="77777777" w:rsidR="0019537C" w:rsidRPr="00F235C6" w:rsidRDefault="0019537C" w:rsidP="008B3CF0">
            <w:pPr>
              <w:keepNext/>
              <w:rPr>
                <w:i/>
                <w:iCs/>
                <w:color w:val="auto"/>
                <w:sz w:val="20"/>
                <w:szCs w:val="20"/>
              </w:rPr>
            </w:pPr>
          </w:p>
        </w:tc>
        <w:tc>
          <w:tcPr>
            <w:tcW w:w="3534" w:type="dxa"/>
          </w:tcPr>
          <w:p w14:paraId="39D6E57C" w14:textId="77777777" w:rsidR="0019537C" w:rsidRPr="00F235C6" w:rsidRDefault="0019537C" w:rsidP="008B3CF0">
            <w:pPr>
              <w:keepNext/>
              <w:jc w:val="right"/>
              <w:rPr>
                <w:i/>
                <w:iCs/>
                <w:color w:val="auto"/>
                <w:sz w:val="20"/>
                <w:szCs w:val="20"/>
              </w:rPr>
            </w:pPr>
            <w:r w:rsidRPr="00F235C6">
              <w:rPr>
                <w:i/>
                <w:iCs/>
                <w:color w:val="auto"/>
                <w:sz w:val="20"/>
                <w:szCs w:val="20"/>
              </w:rPr>
              <w:t>Withdrawal by patient, n (%)</w:t>
            </w:r>
          </w:p>
        </w:tc>
        <w:tc>
          <w:tcPr>
            <w:tcW w:w="3118" w:type="dxa"/>
          </w:tcPr>
          <w:p w14:paraId="042E958D" w14:textId="77777777" w:rsidR="0019537C" w:rsidRPr="00F235C6" w:rsidRDefault="0019537C" w:rsidP="008B3CF0">
            <w:pPr>
              <w:keepNext/>
              <w:jc w:val="center"/>
              <w:rPr>
                <w:i/>
                <w:iCs/>
                <w:color w:val="auto"/>
                <w:sz w:val="20"/>
                <w:szCs w:val="20"/>
              </w:rPr>
            </w:pPr>
            <w:r w:rsidRPr="00F235C6">
              <w:rPr>
                <w:i/>
                <w:iCs/>
                <w:color w:val="auto"/>
                <w:sz w:val="20"/>
                <w:szCs w:val="20"/>
              </w:rPr>
              <w:t>8 (9%)</w:t>
            </w:r>
          </w:p>
        </w:tc>
      </w:tr>
      <w:tr w:rsidR="007B7F9D" w:rsidRPr="00F235C6" w14:paraId="421A9D25" w14:textId="77777777" w:rsidTr="00F235C6">
        <w:trPr>
          <w:trHeight w:val="227"/>
        </w:trPr>
        <w:tc>
          <w:tcPr>
            <w:tcW w:w="1843" w:type="dxa"/>
            <w:vMerge/>
          </w:tcPr>
          <w:p w14:paraId="51E29831" w14:textId="77777777" w:rsidR="0019537C" w:rsidRPr="00F235C6" w:rsidRDefault="0019537C" w:rsidP="008B3CF0">
            <w:pPr>
              <w:keepNext/>
              <w:rPr>
                <w:i/>
                <w:iCs/>
                <w:color w:val="auto"/>
                <w:sz w:val="20"/>
                <w:szCs w:val="20"/>
              </w:rPr>
            </w:pPr>
          </w:p>
        </w:tc>
        <w:tc>
          <w:tcPr>
            <w:tcW w:w="3534" w:type="dxa"/>
          </w:tcPr>
          <w:p w14:paraId="7CF5770C" w14:textId="77777777" w:rsidR="0019537C" w:rsidRPr="00F235C6" w:rsidRDefault="0019537C" w:rsidP="008B3CF0">
            <w:pPr>
              <w:keepNext/>
              <w:jc w:val="right"/>
              <w:rPr>
                <w:i/>
                <w:iCs/>
                <w:color w:val="auto"/>
                <w:sz w:val="20"/>
                <w:szCs w:val="20"/>
              </w:rPr>
            </w:pPr>
            <w:r w:rsidRPr="00F235C6">
              <w:rPr>
                <w:i/>
                <w:iCs/>
                <w:color w:val="auto"/>
                <w:sz w:val="20"/>
                <w:szCs w:val="20"/>
              </w:rPr>
              <w:t>Started a new anti-cancer therapy, n (%)</w:t>
            </w:r>
          </w:p>
        </w:tc>
        <w:tc>
          <w:tcPr>
            <w:tcW w:w="3118" w:type="dxa"/>
          </w:tcPr>
          <w:p w14:paraId="6FE51319" w14:textId="77777777" w:rsidR="0019537C" w:rsidRPr="00F235C6" w:rsidRDefault="0019537C" w:rsidP="008B3CF0">
            <w:pPr>
              <w:keepNext/>
              <w:jc w:val="center"/>
              <w:rPr>
                <w:i/>
                <w:iCs/>
                <w:color w:val="auto"/>
                <w:sz w:val="20"/>
                <w:szCs w:val="20"/>
              </w:rPr>
            </w:pPr>
            <w:r w:rsidRPr="00F235C6">
              <w:rPr>
                <w:i/>
                <w:iCs/>
                <w:color w:val="auto"/>
                <w:sz w:val="20"/>
                <w:szCs w:val="20"/>
              </w:rPr>
              <w:t>3 (3%)</w:t>
            </w:r>
          </w:p>
        </w:tc>
      </w:tr>
      <w:tr w:rsidR="007B7F9D" w:rsidRPr="00F235C6" w14:paraId="71431C7A" w14:textId="77777777" w:rsidTr="00F235C6">
        <w:trPr>
          <w:trHeight w:val="227"/>
        </w:trPr>
        <w:tc>
          <w:tcPr>
            <w:tcW w:w="1843" w:type="dxa"/>
            <w:vMerge/>
          </w:tcPr>
          <w:p w14:paraId="120B600C" w14:textId="77777777" w:rsidR="0019537C" w:rsidRPr="00F235C6" w:rsidRDefault="0019537C" w:rsidP="008B3CF0">
            <w:pPr>
              <w:keepNext/>
              <w:rPr>
                <w:i/>
                <w:iCs/>
                <w:color w:val="auto"/>
                <w:sz w:val="20"/>
                <w:szCs w:val="20"/>
              </w:rPr>
            </w:pPr>
          </w:p>
        </w:tc>
        <w:tc>
          <w:tcPr>
            <w:tcW w:w="3534" w:type="dxa"/>
          </w:tcPr>
          <w:p w14:paraId="59706A66" w14:textId="77777777" w:rsidR="0019537C" w:rsidRPr="00F235C6" w:rsidRDefault="0019537C" w:rsidP="008B3CF0">
            <w:pPr>
              <w:keepNext/>
              <w:jc w:val="right"/>
              <w:rPr>
                <w:i/>
                <w:iCs/>
                <w:color w:val="auto"/>
                <w:sz w:val="20"/>
                <w:szCs w:val="20"/>
              </w:rPr>
            </w:pPr>
            <w:r w:rsidRPr="00F235C6">
              <w:rPr>
                <w:i/>
                <w:iCs/>
                <w:color w:val="auto"/>
                <w:sz w:val="20"/>
                <w:szCs w:val="20"/>
              </w:rPr>
              <w:t>Clinical progressive disease, n (%)</w:t>
            </w:r>
          </w:p>
        </w:tc>
        <w:tc>
          <w:tcPr>
            <w:tcW w:w="3118" w:type="dxa"/>
          </w:tcPr>
          <w:p w14:paraId="48AEB42E" w14:textId="77777777" w:rsidR="0019537C" w:rsidRPr="00F235C6" w:rsidRDefault="0019537C" w:rsidP="008B3CF0">
            <w:pPr>
              <w:keepNext/>
              <w:jc w:val="center"/>
              <w:rPr>
                <w:i/>
                <w:iCs/>
                <w:color w:val="auto"/>
                <w:sz w:val="20"/>
                <w:szCs w:val="20"/>
              </w:rPr>
            </w:pPr>
            <w:r w:rsidRPr="00F235C6">
              <w:rPr>
                <w:i/>
                <w:iCs/>
                <w:color w:val="auto"/>
                <w:sz w:val="20"/>
                <w:szCs w:val="20"/>
              </w:rPr>
              <w:t>28 (32%)</w:t>
            </w:r>
          </w:p>
        </w:tc>
      </w:tr>
      <w:tr w:rsidR="007B7F9D" w:rsidRPr="00F235C6" w14:paraId="408C83D0" w14:textId="77777777" w:rsidTr="00F235C6">
        <w:trPr>
          <w:trHeight w:val="227"/>
        </w:trPr>
        <w:tc>
          <w:tcPr>
            <w:tcW w:w="1843" w:type="dxa"/>
            <w:vMerge/>
          </w:tcPr>
          <w:p w14:paraId="36A8775F" w14:textId="77777777" w:rsidR="0019537C" w:rsidRPr="00F235C6" w:rsidRDefault="0019537C" w:rsidP="008B3CF0">
            <w:pPr>
              <w:keepNext/>
              <w:rPr>
                <w:i/>
                <w:iCs/>
                <w:color w:val="auto"/>
                <w:sz w:val="20"/>
                <w:szCs w:val="20"/>
              </w:rPr>
            </w:pPr>
          </w:p>
        </w:tc>
        <w:tc>
          <w:tcPr>
            <w:tcW w:w="3534" w:type="dxa"/>
          </w:tcPr>
          <w:p w14:paraId="77F84582" w14:textId="77777777" w:rsidR="0019537C" w:rsidRPr="00F235C6" w:rsidRDefault="0019537C" w:rsidP="008B3CF0">
            <w:pPr>
              <w:keepNext/>
              <w:jc w:val="right"/>
              <w:rPr>
                <w:i/>
                <w:iCs/>
                <w:color w:val="auto"/>
                <w:sz w:val="20"/>
                <w:szCs w:val="20"/>
              </w:rPr>
            </w:pPr>
            <w:r w:rsidRPr="00F235C6">
              <w:rPr>
                <w:i/>
                <w:iCs/>
                <w:color w:val="auto"/>
                <w:sz w:val="20"/>
                <w:szCs w:val="20"/>
              </w:rPr>
              <w:t>Radiological progressive disease, n (%)</w:t>
            </w:r>
          </w:p>
        </w:tc>
        <w:tc>
          <w:tcPr>
            <w:tcW w:w="3118" w:type="dxa"/>
          </w:tcPr>
          <w:p w14:paraId="0A8F8FCE" w14:textId="77777777" w:rsidR="0019537C" w:rsidRPr="00F235C6" w:rsidRDefault="0019537C" w:rsidP="008B3CF0">
            <w:pPr>
              <w:keepNext/>
              <w:jc w:val="center"/>
              <w:rPr>
                <w:i/>
                <w:iCs/>
                <w:color w:val="auto"/>
                <w:sz w:val="20"/>
                <w:szCs w:val="20"/>
              </w:rPr>
            </w:pPr>
            <w:r w:rsidRPr="00F235C6">
              <w:rPr>
                <w:i/>
                <w:iCs/>
                <w:color w:val="auto"/>
                <w:sz w:val="20"/>
                <w:szCs w:val="20"/>
              </w:rPr>
              <w:t>32 (36%)</w:t>
            </w:r>
          </w:p>
        </w:tc>
      </w:tr>
      <w:tr w:rsidR="007B7F9D" w:rsidRPr="00F235C6" w14:paraId="2A1F81A2" w14:textId="77777777" w:rsidTr="00F235C6">
        <w:trPr>
          <w:trHeight w:val="227"/>
        </w:trPr>
        <w:tc>
          <w:tcPr>
            <w:tcW w:w="1843" w:type="dxa"/>
            <w:vMerge/>
          </w:tcPr>
          <w:p w14:paraId="69A9A252" w14:textId="77777777" w:rsidR="0019537C" w:rsidRPr="00F235C6" w:rsidRDefault="0019537C" w:rsidP="008B3CF0">
            <w:pPr>
              <w:keepNext/>
              <w:rPr>
                <w:i/>
                <w:iCs/>
                <w:color w:val="auto"/>
                <w:sz w:val="20"/>
                <w:szCs w:val="20"/>
              </w:rPr>
            </w:pPr>
          </w:p>
        </w:tc>
        <w:tc>
          <w:tcPr>
            <w:tcW w:w="3534" w:type="dxa"/>
          </w:tcPr>
          <w:p w14:paraId="2BC502E0" w14:textId="77777777" w:rsidR="0019537C" w:rsidRPr="00F235C6" w:rsidRDefault="0019537C" w:rsidP="008B3CF0">
            <w:pPr>
              <w:keepNext/>
              <w:jc w:val="right"/>
              <w:rPr>
                <w:i/>
                <w:iCs/>
                <w:color w:val="auto"/>
                <w:sz w:val="20"/>
                <w:szCs w:val="20"/>
              </w:rPr>
            </w:pPr>
            <w:r w:rsidRPr="00F235C6">
              <w:rPr>
                <w:i/>
                <w:iCs/>
                <w:color w:val="auto"/>
                <w:sz w:val="20"/>
                <w:szCs w:val="20"/>
              </w:rPr>
              <w:t>Other, n (%)</w:t>
            </w:r>
          </w:p>
        </w:tc>
        <w:tc>
          <w:tcPr>
            <w:tcW w:w="3118" w:type="dxa"/>
          </w:tcPr>
          <w:p w14:paraId="400C121C" w14:textId="77777777" w:rsidR="0019537C" w:rsidRPr="00F235C6" w:rsidRDefault="0019537C" w:rsidP="008B3CF0">
            <w:pPr>
              <w:keepNext/>
              <w:jc w:val="center"/>
              <w:rPr>
                <w:i/>
                <w:iCs/>
                <w:color w:val="auto"/>
                <w:sz w:val="20"/>
                <w:szCs w:val="20"/>
              </w:rPr>
            </w:pPr>
            <w:r w:rsidRPr="00F235C6">
              <w:rPr>
                <w:i/>
                <w:iCs/>
                <w:color w:val="auto"/>
                <w:sz w:val="20"/>
                <w:szCs w:val="20"/>
              </w:rPr>
              <w:t>3 (3%)</w:t>
            </w:r>
          </w:p>
        </w:tc>
      </w:tr>
    </w:tbl>
    <w:p w14:paraId="15BCE5F1" w14:textId="7A3EE0F4" w:rsidR="0019537C" w:rsidRDefault="0088295E" w:rsidP="007B7F9D">
      <w:pPr>
        <w:pStyle w:val="TableDescription"/>
      </w:pPr>
      <w:r>
        <w:t xml:space="preserve">Abbreviations: </w:t>
      </w:r>
      <w:r w:rsidR="0019537C" w:rsidRPr="00955D59">
        <w:t>DCO = data cut-off date</w:t>
      </w:r>
      <w:r w:rsidR="0019537C">
        <w:t>; PPP = pooled prior platinum analysis set</w:t>
      </w:r>
    </w:p>
    <w:p w14:paraId="1D614A82" w14:textId="77777777" w:rsidR="0019537C" w:rsidRPr="0011480C" w:rsidRDefault="0019537C" w:rsidP="0019537C">
      <w:pPr>
        <w:pStyle w:val="Heading6"/>
      </w:pPr>
      <w:r w:rsidRPr="0011480C">
        <w:t>Outcomes</w:t>
      </w:r>
    </w:p>
    <w:p w14:paraId="387427C8" w14:textId="7776FB91" w:rsidR="0019537C" w:rsidRDefault="0019537C" w:rsidP="0019537C">
      <w:pPr>
        <w:rPr>
          <w:highlight w:val="yellow"/>
        </w:rPr>
      </w:pPr>
      <w:r w:rsidRPr="0011480C">
        <w:t>Key results for</w:t>
      </w:r>
      <w:r>
        <w:t xml:space="preserve"> the PPP population in</w:t>
      </w:r>
      <w:r w:rsidRPr="0011480C">
        <w:t xml:space="preserve"> Study </w:t>
      </w:r>
      <w:r>
        <w:t>101</w:t>
      </w:r>
      <w:r w:rsidRPr="0011480C">
        <w:t xml:space="preserve"> are summarised in </w:t>
      </w:r>
      <w:r w:rsidRPr="0011480C">
        <w:fldChar w:fldCharType="begin"/>
      </w:r>
      <w:r w:rsidRPr="0011480C">
        <w:instrText xml:space="preserve"> REF _Ref77940780 \h  \* MERGEFORMAT </w:instrText>
      </w:r>
      <w:r w:rsidRPr="0011480C">
        <w:fldChar w:fldCharType="separate"/>
      </w:r>
      <w:r w:rsidR="00301E36" w:rsidRPr="007B7F9D">
        <w:t xml:space="preserve">Table </w:t>
      </w:r>
      <w:r w:rsidR="00301E36">
        <w:rPr>
          <w:noProof/>
        </w:rPr>
        <w:t>10</w:t>
      </w:r>
      <w:r w:rsidRPr="0011480C">
        <w:fldChar w:fldCharType="end"/>
      </w:r>
      <w:r w:rsidRPr="0011480C">
        <w:t xml:space="preserve">. At the </w:t>
      </w:r>
      <w:r w:rsidR="007B7F9D">
        <w:t>data cut</w:t>
      </w:r>
      <w:r w:rsidR="0088295E">
        <w:t>-</w:t>
      </w:r>
      <w:r w:rsidR="007B7F9D">
        <w:t>off</w:t>
      </w:r>
      <w:r w:rsidRPr="0011480C">
        <w:t>, the response was ongoing for 16 responders.</w:t>
      </w:r>
    </w:p>
    <w:p w14:paraId="5B26F33B" w14:textId="72CC4110" w:rsidR="0019537C" w:rsidRPr="00B656E0" w:rsidRDefault="0019537C" w:rsidP="007B7F9D">
      <w:pPr>
        <w:pStyle w:val="TableTitle"/>
      </w:pPr>
      <w:bookmarkStart w:id="99" w:name="_Ref77940780"/>
      <w:r w:rsidRPr="007B7F9D">
        <w:lastRenderedPageBreak/>
        <w:t xml:space="preserve">Table </w:t>
      </w:r>
      <w:r w:rsidR="003F5EF5">
        <w:fldChar w:fldCharType="begin"/>
      </w:r>
      <w:r w:rsidR="003F5EF5">
        <w:instrText xml:space="preserve"> SEQ Table \* ARABIC </w:instrText>
      </w:r>
      <w:r w:rsidR="003F5EF5">
        <w:fldChar w:fldCharType="separate"/>
      </w:r>
      <w:r w:rsidR="00301E36">
        <w:rPr>
          <w:noProof/>
        </w:rPr>
        <w:t>10</w:t>
      </w:r>
      <w:r w:rsidR="003F5EF5">
        <w:rPr>
          <w:noProof/>
        </w:rPr>
        <w:fldChar w:fldCharType="end"/>
      </w:r>
      <w:bookmarkEnd w:id="99"/>
      <w:r w:rsidRPr="00B656E0">
        <w:t xml:space="preserve">. </w:t>
      </w:r>
      <w:r w:rsidR="0088295E">
        <w:t xml:space="preserve">Study AP32788-15-101 </w:t>
      </w:r>
      <w:r w:rsidRPr="00B656E0">
        <w:t xml:space="preserve">Results </w:t>
      </w:r>
      <w:r>
        <w:t xml:space="preserve">per </w:t>
      </w:r>
      <w:r w:rsidR="007B7F9D" w:rsidRPr="0011480C">
        <w:t>independent radiological review committee</w:t>
      </w:r>
      <w:r w:rsidRPr="00B656E0">
        <w:t xml:space="preserve"> </w:t>
      </w:r>
      <w:r w:rsidR="0088295E">
        <w:t xml:space="preserve">in the </w:t>
      </w:r>
      <w:r w:rsidR="007B7F9D">
        <w:t>p</w:t>
      </w:r>
      <w:r w:rsidR="007B7F9D" w:rsidRPr="008D1E61">
        <w:t xml:space="preserve">ooled </w:t>
      </w:r>
      <w:r w:rsidR="007B7F9D">
        <w:t>p</w:t>
      </w:r>
      <w:r w:rsidR="007B7F9D" w:rsidRPr="008D1E61">
        <w:t xml:space="preserve">rior </w:t>
      </w:r>
      <w:r w:rsidR="007B7F9D">
        <w:t>p</w:t>
      </w:r>
      <w:r w:rsidR="007B7F9D" w:rsidRPr="008D1E61">
        <w:t>latinum</w:t>
      </w:r>
      <w:r w:rsidR="0088295E">
        <w:t xml:space="preserve"> population</w:t>
      </w:r>
      <w:r w:rsidR="007B7F9D" w:rsidRPr="00955D59">
        <w:t xml:space="preserve"> </w:t>
      </w:r>
      <w:r w:rsidR="0088295E">
        <w:t>(</w:t>
      </w:r>
      <w:r w:rsidR="007B7F9D">
        <w:t>data cut</w:t>
      </w:r>
      <w:r w:rsidR="0088295E">
        <w:t>-</w:t>
      </w:r>
      <w:r w:rsidR="007B7F9D">
        <w:t>off of</w:t>
      </w:r>
      <w:r w:rsidR="007B7F9D" w:rsidRPr="00955D59">
        <w:t xml:space="preserve"> </w:t>
      </w:r>
      <w:r w:rsidR="007B7F9D">
        <w:t>1</w:t>
      </w:r>
      <w:r w:rsidR="007B7F9D" w:rsidRPr="00955D59">
        <w:t xml:space="preserve"> </w:t>
      </w:r>
      <w:r w:rsidR="007B7F9D">
        <w:t>November</w:t>
      </w:r>
      <w:r w:rsidR="007B7F9D" w:rsidRPr="00955D59">
        <w:t xml:space="preserve"> 2020</w:t>
      </w:r>
      <w:r w:rsidR="007B7F9D">
        <w:t>)</w:t>
      </w:r>
    </w:p>
    <w:tbl>
      <w:tblPr>
        <w:tblStyle w:val="TableTGAblue"/>
        <w:tblW w:w="8495" w:type="dxa"/>
        <w:tblLook w:val="04A0" w:firstRow="1" w:lastRow="0" w:firstColumn="1" w:lastColumn="0" w:noHBand="0" w:noVBand="1"/>
      </w:tblPr>
      <w:tblGrid>
        <w:gridCol w:w="5377"/>
        <w:gridCol w:w="3118"/>
      </w:tblGrid>
      <w:tr w:rsidR="0019537C" w:rsidRPr="00F235C6" w14:paraId="33D17B4E" w14:textId="77777777" w:rsidTr="00F235C6">
        <w:trPr>
          <w:cnfStyle w:val="100000000000" w:firstRow="1" w:lastRow="0" w:firstColumn="0" w:lastColumn="0" w:oddVBand="0" w:evenVBand="0" w:oddHBand="0" w:evenHBand="0" w:firstRowFirstColumn="0" w:firstRowLastColumn="0" w:lastRowFirstColumn="0" w:lastRowLastColumn="0"/>
          <w:trHeight w:val="585"/>
        </w:trPr>
        <w:tc>
          <w:tcPr>
            <w:tcW w:w="5377" w:type="dxa"/>
          </w:tcPr>
          <w:p w14:paraId="004DF488" w14:textId="77777777" w:rsidR="0019537C" w:rsidRPr="00F235C6" w:rsidRDefault="0019537C" w:rsidP="008B3CF0">
            <w:pPr>
              <w:ind w:left="0" w:right="0"/>
              <w:rPr>
                <w:sz w:val="20"/>
                <w:szCs w:val="20"/>
              </w:rPr>
            </w:pPr>
          </w:p>
        </w:tc>
        <w:tc>
          <w:tcPr>
            <w:tcW w:w="3118" w:type="dxa"/>
          </w:tcPr>
          <w:p w14:paraId="7D4F6D8D" w14:textId="6B2AA644" w:rsidR="00EE5427" w:rsidRPr="00F235C6" w:rsidRDefault="0019537C" w:rsidP="008B3CF0">
            <w:pPr>
              <w:ind w:left="0" w:right="0"/>
              <w:jc w:val="center"/>
              <w:rPr>
                <w:b w:val="0"/>
                <w:sz w:val="20"/>
                <w:szCs w:val="20"/>
              </w:rPr>
            </w:pPr>
            <w:r w:rsidRPr="00F235C6">
              <w:rPr>
                <w:sz w:val="20"/>
                <w:szCs w:val="20"/>
              </w:rPr>
              <w:t>Mobocertinib 160 mg daily</w:t>
            </w:r>
          </w:p>
          <w:p w14:paraId="49AAAD91" w14:textId="31DCC3C7" w:rsidR="0019537C" w:rsidRPr="00F235C6" w:rsidRDefault="0019537C" w:rsidP="008B3CF0">
            <w:pPr>
              <w:ind w:left="0" w:right="0"/>
              <w:jc w:val="center"/>
              <w:rPr>
                <w:sz w:val="20"/>
                <w:szCs w:val="20"/>
              </w:rPr>
            </w:pPr>
            <w:r w:rsidRPr="00F235C6">
              <w:rPr>
                <w:sz w:val="20"/>
                <w:szCs w:val="20"/>
              </w:rPr>
              <w:t>(n</w:t>
            </w:r>
            <w:r w:rsidR="00EE5427" w:rsidRPr="00F235C6">
              <w:rPr>
                <w:sz w:val="20"/>
                <w:szCs w:val="20"/>
              </w:rPr>
              <w:t xml:space="preserve"> </w:t>
            </w:r>
            <w:r w:rsidRPr="00F235C6">
              <w:rPr>
                <w:sz w:val="20"/>
                <w:szCs w:val="20"/>
              </w:rPr>
              <w:t>=</w:t>
            </w:r>
            <w:r w:rsidR="00EE5427" w:rsidRPr="00F235C6">
              <w:rPr>
                <w:sz w:val="20"/>
                <w:szCs w:val="20"/>
              </w:rPr>
              <w:t xml:space="preserve"> </w:t>
            </w:r>
            <w:r w:rsidRPr="00F235C6">
              <w:rPr>
                <w:sz w:val="20"/>
                <w:szCs w:val="20"/>
              </w:rPr>
              <w:t>114)</w:t>
            </w:r>
          </w:p>
        </w:tc>
      </w:tr>
      <w:tr w:rsidR="0019537C" w:rsidRPr="00F235C6" w14:paraId="315E0091" w14:textId="77777777" w:rsidTr="00F235C6">
        <w:trPr>
          <w:trHeight w:val="227"/>
        </w:trPr>
        <w:tc>
          <w:tcPr>
            <w:tcW w:w="8495" w:type="dxa"/>
            <w:gridSpan w:val="2"/>
          </w:tcPr>
          <w:p w14:paraId="06742938" w14:textId="77777777" w:rsidR="0019537C" w:rsidRPr="00F235C6" w:rsidRDefault="0019537C" w:rsidP="008B3CF0">
            <w:pPr>
              <w:keepNext/>
              <w:ind w:left="0" w:right="0"/>
              <w:rPr>
                <w:sz w:val="20"/>
                <w:szCs w:val="20"/>
              </w:rPr>
            </w:pPr>
            <w:r w:rsidRPr="00F235C6">
              <w:rPr>
                <w:sz w:val="20"/>
                <w:szCs w:val="20"/>
              </w:rPr>
              <w:t>ORR</w:t>
            </w:r>
          </w:p>
        </w:tc>
      </w:tr>
      <w:tr w:rsidR="0019537C" w:rsidRPr="00F235C6" w14:paraId="1884E5EB" w14:textId="77777777" w:rsidTr="00F235C6">
        <w:trPr>
          <w:trHeight w:val="227"/>
        </w:trPr>
        <w:tc>
          <w:tcPr>
            <w:tcW w:w="5377" w:type="dxa"/>
          </w:tcPr>
          <w:p w14:paraId="7E488F7E" w14:textId="77777777" w:rsidR="0019537C" w:rsidRPr="00F235C6" w:rsidRDefault="0019537C" w:rsidP="008B3CF0">
            <w:pPr>
              <w:keepNext/>
              <w:ind w:left="0" w:right="0"/>
              <w:rPr>
                <w:color w:val="auto"/>
                <w:sz w:val="20"/>
                <w:szCs w:val="20"/>
              </w:rPr>
            </w:pPr>
            <w:r w:rsidRPr="00F235C6">
              <w:rPr>
                <w:color w:val="auto"/>
                <w:sz w:val="20"/>
                <w:szCs w:val="20"/>
              </w:rPr>
              <w:t>cORR, % (95% CI)</w:t>
            </w:r>
            <w:r w:rsidRPr="00F235C6">
              <w:rPr>
                <w:color w:val="auto"/>
                <w:sz w:val="20"/>
                <w:szCs w:val="20"/>
                <w:vertAlign w:val="superscript"/>
              </w:rPr>
              <w:t>a</w:t>
            </w:r>
          </w:p>
        </w:tc>
        <w:tc>
          <w:tcPr>
            <w:tcW w:w="3118" w:type="dxa"/>
          </w:tcPr>
          <w:p w14:paraId="40B5C64A" w14:textId="77777777" w:rsidR="0019537C" w:rsidRPr="00F235C6" w:rsidRDefault="0019537C" w:rsidP="008B3CF0">
            <w:pPr>
              <w:keepNext/>
              <w:ind w:left="0" w:right="0"/>
              <w:jc w:val="center"/>
              <w:rPr>
                <w:color w:val="auto"/>
                <w:sz w:val="20"/>
                <w:szCs w:val="20"/>
              </w:rPr>
            </w:pPr>
            <w:r w:rsidRPr="00F235C6">
              <w:rPr>
                <w:color w:val="auto"/>
                <w:sz w:val="20"/>
                <w:szCs w:val="20"/>
              </w:rPr>
              <w:t>28 [20, 37]</w:t>
            </w:r>
          </w:p>
        </w:tc>
      </w:tr>
      <w:tr w:rsidR="0019537C" w:rsidRPr="00F235C6" w14:paraId="19DF30AF" w14:textId="77777777" w:rsidTr="00F235C6">
        <w:trPr>
          <w:trHeight w:val="227"/>
        </w:trPr>
        <w:tc>
          <w:tcPr>
            <w:tcW w:w="5377" w:type="dxa"/>
          </w:tcPr>
          <w:p w14:paraId="3D752477" w14:textId="77777777" w:rsidR="0019537C" w:rsidRPr="00F235C6" w:rsidRDefault="0019537C" w:rsidP="008B3CF0">
            <w:pPr>
              <w:keepNext/>
              <w:ind w:left="0" w:right="0"/>
              <w:jc w:val="right"/>
              <w:rPr>
                <w:color w:val="auto"/>
                <w:sz w:val="20"/>
                <w:szCs w:val="20"/>
              </w:rPr>
            </w:pPr>
            <w:r w:rsidRPr="00F235C6">
              <w:rPr>
                <w:color w:val="auto"/>
                <w:sz w:val="20"/>
                <w:szCs w:val="20"/>
              </w:rPr>
              <w:t>Complete response (CR), n (%)</w:t>
            </w:r>
          </w:p>
        </w:tc>
        <w:tc>
          <w:tcPr>
            <w:tcW w:w="3118" w:type="dxa"/>
          </w:tcPr>
          <w:p w14:paraId="5204B6A1" w14:textId="77777777" w:rsidR="0019537C" w:rsidRPr="00F235C6" w:rsidRDefault="0019537C" w:rsidP="008B3CF0">
            <w:pPr>
              <w:keepNext/>
              <w:ind w:left="0" w:right="0"/>
              <w:jc w:val="center"/>
              <w:rPr>
                <w:color w:val="auto"/>
                <w:sz w:val="20"/>
                <w:szCs w:val="20"/>
              </w:rPr>
            </w:pPr>
            <w:r w:rsidRPr="00F235C6">
              <w:rPr>
                <w:color w:val="auto"/>
                <w:sz w:val="20"/>
                <w:szCs w:val="20"/>
              </w:rPr>
              <w:t>0</w:t>
            </w:r>
          </w:p>
        </w:tc>
      </w:tr>
      <w:tr w:rsidR="0019537C" w:rsidRPr="00F235C6" w14:paraId="4FA82724" w14:textId="77777777" w:rsidTr="00F235C6">
        <w:trPr>
          <w:trHeight w:val="227"/>
        </w:trPr>
        <w:tc>
          <w:tcPr>
            <w:tcW w:w="5377" w:type="dxa"/>
          </w:tcPr>
          <w:p w14:paraId="225B5629" w14:textId="77777777" w:rsidR="0019537C" w:rsidRPr="00F235C6" w:rsidRDefault="0019537C" w:rsidP="008B3CF0">
            <w:pPr>
              <w:keepNext/>
              <w:ind w:left="0" w:right="0"/>
              <w:jc w:val="right"/>
              <w:rPr>
                <w:color w:val="auto"/>
                <w:sz w:val="20"/>
                <w:szCs w:val="20"/>
              </w:rPr>
            </w:pPr>
            <w:r w:rsidRPr="00F235C6">
              <w:rPr>
                <w:color w:val="auto"/>
                <w:sz w:val="20"/>
                <w:szCs w:val="20"/>
              </w:rPr>
              <w:t>Partial response (PR), n (%)</w:t>
            </w:r>
          </w:p>
        </w:tc>
        <w:tc>
          <w:tcPr>
            <w:tcW w:w="3118" w:type="dxa"/>
          </w:tcPr>
          <w:p w14:paraId="2505194B" w14:textId="77777777" w:rsidR="0019537C" w:rsidRPr="00F235C6" w:rsidRDefault="0019537C" w:rsidP="008B3CF0">
            <w:pPr>
              <w:keepNext/>
              <w:ind w:left="0" w:right="0"/>
              <w:jc w:val="center"/>
              <w:rPr>
                <w:color w:val="auto"/>
                <w:sz w:val="20"/>
                <w:szCs w:val="20"/>
              </w:rPr>
            </w:pPr>
            <w:r w:rsidRPr="00F235C6">
              <w:rPr>
                <w:color w:val="auto"/>
                <w:sz w:val="20"/>
                <w:szCs w:val="20"/>
              </w:rPr>
              <w:t>32 (28%)</w:t>
            </w:r>
          </w:p>
        </w:tc>
      </w:tr>
      <w:tr w:rsidR="0019537C" w:rsidRPr="00F235C6" w14:paraId="4B5C9AA6" w14:textId="77777777" w:rsidTr="00F235C6">
        <w:trPr>
          <w:trHeight w:val="227"/>
        </w:trPr>
        <w:tc>
          <w:tcPr>
            <w:tcW w:w="5377" w:type="dxa"/>
          </w:tcPr>
          <w:p w14:paraId="00F26234" w14:textId="77777777" w:rsidR="0019537C" w:rsidRPr="00F235C6" w:rsidRDefault="0019537C" w:rsidP="008B3CF0">
            <w:pPr>
              <w:keepNext/>
              <w:ind w:left="0" w:right="0"/>
              <w:jc w:val="right"/>
              <w:rPr>
                <w:color w:val="auto"/>
                <w:sz w:val="20"/>
                <w:szCs w:val="20"/>
              </w:rPr>
            </w:pPr>
            <w:r w:rsidRPr="00F235C6">
              <w:rPr>
                <w:color w:val="auto"/>
                <w:sz w:val="20"/>
                <w:szCs w:val="20"/>
              </w:rPr>
              <w:t>Stable disease (SD), n (%)</w:t>
            </w:r>
          </w:p>
        </w:tc>
        <w:tc>
          <w:tcPr>
            <w:tcW w:w="3118" w:type="dxa"/>
          </w:tcPr>
          <w:p w14:paraId="6DAE1B5C" w14:textId="77777777" w:rsidR="0019537C" w:rsidRPr="00F235C6" w:rsidRDefault="0019537C" w:rsidP="008B3CF0">
            <w:pPr>
              <w:keepNext/>
              <w:ind w:left="0" w:right="0"/>
              <w:jc w:val="center"/>
              <w:rPr>
                <w:color w:val="auto"/>
                <w:sz w:val="20"/>
                <w:szCs w:val="20"/>
              </w:rPr>
            </w:pPr>
            <w:r w:rsidRPr="00F235C6">
              <w:rPr>
                <w:color w:val="auto"/>
                <w:sz w:val="20"/>
                <w:szCs w:val="20"/>
              </w:rPr>
              <w:t>57 (50%)</w:t>
            </w:r>
          </w:p>
        </w:tc>
      </w:tr>
      <w:tr w:rsidR="0019537C" w:rsidRPr="00F235C6" w14:paraId="21815F5D" w14:textId="77777777" w:rsidTr="00F235C6">
        <w:trPr>
          <w:trHeight w:val="227"/>
        </w:trPr>
        <w:tc>
          <w:tcPr>
            <w:tcW w:w="5377" w:type="dxa"/>
          </w:tcPr>
          <w:p w14:paraId="3AA5ABD8" w14:textId="77777777" w:rsidR="0019537C" w:rsidRPr="00F235C6" w:rsidRDefault="0019537C" w:rsidP="008B3CF0">
            <w:pPr>
              <w:keepNext/>
              <w:ind w:left="0" w:right="0"/>
              <w:jc w:val="right"/>
              <w:rPr>
                <w:color w:val="auto"/>
                <w:sz w:val="20"/>
                <w:szCs w:val="20"/>
              </w:rPr>
            </w:pPr>
            <w:r w:rsidRPr="00F235C6">
              <w:rPr>
                <w:color w:val="auto"/>
                <w:sz w:val="20"/>
                <w:szCs w:val="20"/>
              </w:rPr>
              <w:t>Progressive disease (PD), n (%)</w:t>
            </w:r>
          </w:p>
        </w:tc>
        <w:tc>
          <w:tcPr>
            <w:tcW w:w="3118" w:type="dxa"/>
          </w:tcPr>
          <w:p w14:paraId="00BE59A2" w14:textId="77777777" w:rsidR="0019537C" w:rsidRPr="00F235C6" w:rsidRDefault="0019537C" w:rsidP="008B3CF0">
            <w:pPr>
              <w:keepNext/>
              <w:ind w:left="0" w:right="0"/>
              <w:jc w:val="center"/>
              <w:rPr>
                <w:color w:val="auto"/>
                <w:sz w:val="20"/>
                <w:szCs w:val="20"/>
              </w:rPr>
            </w:pPr>
            <w:r w:rsidRPr="00F235C6">
              <w:rPr>
                <w:color w:val="auto"/>
                <w:sz w:val="20"/>
                <w:szCs w:val="20"/>
              </w:rPr>
              <w:t>13 (11%)</w:t>
            </w:r>
          </w:p>
        </w:tc>
      </w:tr>
      <w:tr w:rsidR="0019537C" w:rsidRPr="00F235C6" w14:paraId="196DAFE5" w14:textId="77777777" w:rsidTr="00F235C6">
        <w:trPr>
          <w:trHeight w:val="227"/>
        </w:trPr>
        <w:tc>
          <w:tcPr>
            <w:tcW w:w="5377" w:type="dxa"/>
          </w:tcPr>
          <w:p w14:paraId="7B343F82" w14:textId="77777777" w:rsidR="0019537C" w:rsidRPr="00F235C6" w:rsidRDefault="0019537C" w:rsidP="008B3CF0">
            <w:pPr>
              <w:keepNext/>
              <w:ind w:left="0" w:right="0"/>
              <w:jc w:val="right"/>
              <w:rPr>
                <w:color w:val="auto"/>
                <w:sz w:val="20"/>
                <w:szCs w:val="20"/>
              </w:rPr>
            </w:pPr>
            <w:r w:rsidRPr="00F235C6">
              <w:rPr>
                <w:color w:val="auto"/>
                <w:sz w:val="20"/>
                <w:szCs w:val="20"/>
              </w:rPr>
              <w:t>Not evaluable (NE), n (%)</w:t>
            </w:r>
          </w:p>
        </w:tc>
        <w:tc>
          <w:tcPr>
            <w:tcW w:w="3118" w:type="dxa"/>
          </w:tcPr>
          <w:p w14:paraId="1E7569EF" w14:textId="77777777" w:rsidR="0019537C" w:rsidRPr="00F235C6" w:rsidRDefault="0019537C" w:rsidP="008B3CF0">
            <w:pPr>
              <w:keepNext/>
              <w:ind w:left="0" w:right="0"/>
              <w:jc w:val="center"/>
              <w:rPr>
                <w:color w:val="auto"/>
                <w:sz w:val="20"/>
                <w:szCs w:val="20"/>
              </w:rPr>
            </w:pPr>
            <w:r w:rsidRPr="00F235C6">
              <w:rPr>
                <w:color w:val="auto"/>
                <w:sz w:val="20"/>
                <w:szCs w:val="20"/>
              </w:rPr>
              <w:t>12 (11%)</w:t>
            </w:r>
          </w:p>
        </w:tc>
      </w:tr>
      <w:tr w:rsidR="0019537C" w:rsidRPr="00F235C6" w14:paraId="7C93B9B5" w14:textId="77777777" w:rsidTr="00F235C6">
        <w:trPr>
          <w:trHeight w:val="227"/>
        </w:trPr>
        <w:tc>
          <w:tcPr>
            <w:tcW w:w="8495" w:type="dxa"/>
            <w:gridSpan w:val="2"/>
          </w:tcPr>
          <w:p w14:paraId="2001B544" w14:textId="77777777" w:rsidR="0019537C" w:rsidRPr="00F235C6" w:rsidRDefault="0019537C" w:rsidP="008B3CF0">
            <w:pPr>
              <w:keepNext/>
              <w:ind w:left="0" w:right="0"/>
              <w:rPr>
                <w:sz w:val="20"/>
                <w:szCs w:val="20"/>
              </w:rPr>
            </w:pPr>
            <w:r w:rsidRPr="00F235C6">
              <w:rPr>
                <w:sz w:val="20"/>
                <w:szCs w:val="20"/>
              </w:rPr>
              <w:t>DOR</w:t>
            </w:r>
          </w:p>
        </w:tc>
      </w:tr>
      <w:tr w:rsidR="0019537C" w:rsidRPr="00F235C6" w14:paraId="72B33D0E" w14:textId="77777777" w:rsidTr="00F235C6">
        <w:trPr>
          <w:trHeight w:val="227"/>
        </w:trPr>
        <w:tc>
          <w:tcPr>
            <w:tcW w:w="5377" w:type="dxa"/>
          </w:tcPr>
          <w:p w14:paraId="4A4843F2" w14:textId="77777777" w:rsidR="0019537C" w:rsidRPr="00F235C6" w:rsidRDefault="0019537C" w:rsidP="008B3CF0">
            <w:pPr>
              <w:keepNext/>
              <w:ind w:left="0" w:right="0"/>
              <w:rPr>
                <w:sz w:val="20"/>
                <w:szCs w:val="20"/>
              </w:rPr>
            </w:pPr>
            <w:r w:rsidRPr="00F235C6">
              <w:rPr>
                <w:sz w:val="20"/>
                <w:szCs w:val="20"/>
              </w:rPr>
              <w:t>Median duration of responses,</w:t>
            </w:r>
            <w:r w:rsidRPr="00F235C6">
              <w:rPr>
                <w:sz w:val="20"/>
                <w:szCs w:val="20"/>
                <w:vertAlign w:val="superscript"/>
              </w:rPr>
              <w:t>b</w:t>
            </w:r>
            <w:r w:rsidRPr="00F235C6">
              <w:rPr>
                <w:sz w:val="20"/>
                <w:szCs w:val="20"/>
              </w:rPr>
              <w:t xml:space="preserve"> months [95% CI]</w:t>
            </w:r>
          </w:p>
        </w:tc>
        <w:tc>
          <w:tcPr>
            <w:tcW w:w="3118" w:type="dxa"/>
          </w:tcPr>
          <w:p w14:paraId="51638A08" w14:textId="77777777" w:rsidR="0019537C" w:rsidRPr="00F235C6" w:rsidRDefault="0019537C" w:rsidP="008B3CF0">
            <w:pPr>
              <w:keepNext/>
              <w:ind w:left="0" w:right="0"/>
              <w:jc w:val="center"/>
              <w:rPr>
                <w:sz w:val="20"/>
                <w:szCs w:val="20"/>
              </w:rPr>
            </w:pPr>
            <w:r w:rsidRPr="00F235C6">
              <w:rPr>
                <w:sz w:val="20"/>
                <w:szCs w:val="20"/>
              </w:rPr>
              <w:t>17.5 [7.4, 20.3]</w:t>
            </w:r>
          </w:p>
        </w:tc>
      </w:tr>
      <w:tr w:rsidR="0019537C" w:rsidRPr="00F235C6" w14:paraId="019213EF" w14:textId="77777777" w:rsidTr="00F235C6">
        <w:trPr>
          <w:trHeight w:val="227"/>
        </w:trPr>
        <w:tc>
          <w:tcPr>
            <w:tcW w:w="5377" w:type="dxa"/>
          </w:tcPr>
          <w:p w14:paraId="613A2E5B" w14:textId="5266335B" w:rsidR="0019537C" w:rsidRPr="00F235C6" w:rsidRDefault="0019537C" w:rsidP="008B3CF0">
            <w:pPr>
              <w:keepNext/>
              <w:ind w:left="0" w:right="0"/>
              <w:jc w:val="right"/>
              <w:rPr>
                <w:sz w:val="20"/>
                <w:szCs w:val="20"/>
              </w:rPr>
            </w:pPr>
            <w:r w:rsidRPr="00F235C6">
              <w:rPr>
                <w:sz w:val="20"/>
                <w:szCs w:val="20"/>
              </w:rPr>
              <w:t>Responses ≥</w:t>
            </w:r>
            <w:r w:rsidR="00F235C6">
              <w:rPr>
                <w:sz w:val="20"/>
                <w:szCs w:val="20"/>
              </w:rPr>
              <w:t xml:space="preserve"> </w:t>
            </w:r>
            <w:r w:rsidRPr="00F235C6">
              <w:rPr>
                <w:sz w:val="20"/>
                <w:szCs w:val="20"/>
              </w:rPr>
              <w:t>6 months, n (%)</w:t>
            </w:r>
            <w:r w:rsidRPr="00F235C6">
              <w:rPr>
                <w:sz w:val="20"/>
                <w:szCs w:val="20"/>
                <w:vertAlign w:val="superscript"/>
              </w:rPr>
              <w:t>c</w:t>
            </w:r>
          </w:p>
        </w:tc>
        <w:tc>
          <w:tcPr>
            <w:tcW w:w="3118" w:type="dxa"/>
          </w:tcPr>
          <w:p w14:paraId="10114509" w14:textId="77777777" w:rsidR="0019537C" w:rsidRPr="00F235C6" w:rsidRDefault="0019537C" w:rsidP="008B3CF0">
            <w:pPr>
              <w:keepNext/>
              <w:ind w:left="0" w:right="0"/>
              <w:jc w:val="center"/>
              <w:rPr>
                <w:sz w:val="20"/>
                <w:szCs w:val="20"/>
              </w:rPr>
            </w:pPr>
            <w:r w:rsidRPr="00F235C6">
              <w:rPr>
                <w:sz w:val="20"/>
                <w:szCs w:val="20"/>
              </w:rPr>
              <w:t>19 (59%)</w:t>
            </w:r>
          </w:p>
        </w:tc>
      </w:tr>
      <w:tr w:rsidR="0019537C" w:rsidRPr="00F235C6" w14:paraId="4DA5093B" w14:textId="77777777" w:rsidTr="00F235C6">
        <w:trPr>
          <w:trHeight w:val="227"/>
        </w:trPr>
        <w:tc>
          <w:tcPr>
            <w:tcW w:w="5377" w:type="dxa"/>
          </w:tcPr>
          <w:p w14:paraId="5C136B00" w14:textId="35CCFCB5" w:rsidR="0019537C" w:rsidRPr="00F235C6" w:rsidRDefault="0019537C" w:rsidP="008B3CF0">
            <w:pPr>
              <w:keepNext/>
              <w:ind w:left="0" w:right="0"/>
              <w:jc w:val="right"/>
              <w:rPr>
                <w:sz w:val="20"/>
                <w:szCs w:val="20"/>
              </w:rPr>
            </w:pPr>
            <w:r w:rsidRPr="00F235C6">
              <w:rPr>
                <w:sz w:val="20"/>
                <w:szCs w:val="20"/>
              </w:rPr>
              <w:t>Responses ≥</w:t>
            </w:r>
            <w:r w:rsidR="00F235C6">
              <w:rPr>
                <w:sz w:val="20"/>
                <w:szCs w:val="20"/>
              </w:rPr>
              <w:t xml:space="preserve"> </w:t>
            </w:r>
            <w:r w:rsidRPr="00F235C6">
              <w:rPr>
                <w:sz w:val="20"/>
                <w:szCs w:val="20"/>
              </w:rPr>
              <w:t>12 months, n (%)</w:t>
            </w:r>
            <w:r w:rsidRPr="00F235C6">
              <w:rPr>
                <w:sz w:val="20"/>
                <w:szCs w:val="20"/>
                <w:vertAlign w:val="superscript"/>
              </w:rPr>
              <w:t>c</w:t>
            </w:r>
          </w:p>
        </w:tc>
        <w:tc>
          <w:tcPr>
            <w:tcW w:w="3118" w:type="dxa"/>
          </w:tcPr>
          <w:p w14:paraId="6FFCBB29" w14:textId="77777777" w:rsidR="0019537C" w:rsidRPr="00F235C6" w:rsidRDefault="0019537C" w:rsidP="008B3CF0">
            <w:pPr>
              <w:keepNext/>
              <w:ind w:left="0" w:right="0"/>
              <w:jc w:val="center"/>
              <w:rPr>
                <w:sz w:val="20"/>
                <w:szCs w:val="20"/>
              </w:rPr>
            </w:pPr>
            <w:r w:rsidRPr="00F235C6">
              <w:rPr>
                <w:sz w:val="20"/>
                <w:szCs w:val="20"/>
              </w:rPr>
              <w:t>6 (19%)</w:t>
            </w:r>
          </w:p>
        </w:tc>
      </w:tr>
    </w:tbl>
    <w:p w14:paraId="4F6007A8" w14:textId="319E8CCE" w:rsidR="0019537C" w:rsidRPr="0011480C" w:rsidRDefault="0088295E" w:rsidP="00EE5427">
      <w:pPr>
        <w:pStyle w:val="TableDescription"/>
      </w:pPr>
      <w:r>
        <w:t xml:space="preserve">Abbreviations: </w:t>
      </w:r>
      <w:r w:rsidR="0019537C" w:rsidRPr="00B656E0">
        <w:t xml:space="preserve">CI = confidence interval; </w:t>
      </w:r>
      <w:r w:rsidR="0019537C">
        <w:t xml:space="preserve">cORR = confirmed objective response rate; </w:t>
      </w:r>
      <w:r w:rsidR="0019537C" w:rsidRPr="00955D59">
        <w:t>DCO = data cut-off date</w:t>
      </w:r>
      <w:r w:rsidR="0019537C">
        <w:t xml:space="preserve">; DOR = duration of confirmed responses by; IRC = </w:t>
      </w:r>
      <w:r w:rsidR="0019537C" w:rsidRPr="0011480C">
        <w:t>independent radiological review committee; ORR = objective response rate (per RECIST v1.1); PPP = pooled prior platinum analysis set</w:t>
      </w:r>
    </w:p>
    <w:p w14:paraId="32128F19" w14:textId="77777777" w:rsidR="0019537C" w:rsidRPr="0011480C" w:rsidRDefault="0019537C" w:rsidP="00EE5427">
      <w:pPr>
        <w:pStyle w:val="TableDescription"/>
      </w:pPr>
      <w:r w:rsidRPr="0011480C">
        <w:rPr>
          <w:vertAlign w:val="superscript"/>
        </w:rPr>
        <w:t>a</w:t>
      </w:r>
      <w:r>
        <w:t xml:space="preserve"> </w:t>
      </w:r>
      <w:r w:rsidRPr="0011480C">
        <w:t xml:space="preserve">Exact Clopper-Pearson </w:t>
      </w:r>
      <w:r>
        <w:t>CI</w:t>
      </w:r>
    </w:p>
    <w:p w14:paraId="0D088E79" w14:textId="77777777" w:rsidR="0019537C" w:rsidRDefault="0019537C" w:rsidP="00EE5427">
      <w:pPr>
        <w:pStyle w:val="TableDescription"/>
      </w:pPr>
      <w:r w:rsidRPr="0011480C">
        <w:rPr>
          <w:vertAlign w:val="superscript"/>
        </w:rPr>
        <w:t>b</w:t>
      </w:r>
      <w:r>
        <w:t xml:space="preserve"> Kaplan-Meier estimate</w:t>
      </w:r>
    </w:p>
    <w:p w14:paraId="1C4E6A03" w14:textId="77777777" w:rsidR="0019537C" w:rsidRDefault="0019537C" w:rsidP="00EE5427">
      <w:pPr>
        <w:pStyle w:val="TableDescription"/>
      </w:pPr>
      <w:r w:rsidRPr="00D67AE0">
        <w:rPr>
          <w:vertAlign w:val="superscript"/>
        </w:rPr>
        <w:t>c</w:t>
      </w:r>
      <w:r>
        <w:t xml:space="preserve"> </w:t>
      </w:r>
      <w:r w:rsidRPr="0011480C">
        <w:t xml:space="preserve">Descriptive </w:t>
      </w:r>
      <w:r>
        <w:t>analysis</w:t>
      </w:r>
    </w:p>
    <w:p w14:paraId="184EFE1B" w14:textId="5E397C35" w:rsidR="0019537C" w:rsidRPr="00EE5427" w:rsidRDefault="0019537C" w:rsidP="00EE5427">
      <w:pPr>
        <w:pStyle w:val="Heading7"/>
      </w:pPr>
      <w:r w:rsidRPr="00EE5427">
        <w:t>Sensitivity and subgroup analyses</w:t>
      </w:r>
    </w:p>
    <w:p w14:paraId="297718EB" w14:textId="21873EF9" w:rsidR="0019537C" w:rsidRDefault="0019537C" w:rsidP="0019537C">
      <w:r w:rsidRPr="00294EAA">
        <w:t>Subgroup analyses (ORR by race, age, gender, ECOG status, and prior anti-PD (L)1 treatment status) were consistent with the primary efficacy results.</w:t>
      </w:r>
      <w:r>
        <w:t xml:space="preserve"> </w:t>
      </w:r>
      <w:bookmarkStart w:id="100" w:name="PDL1subgroup"/>
      <w:r>
        <w:t>The ORR was 25% (14, 40) in patients wh</w:t>
      </w:r>
      <w:r w:rsidR="00EE5427">
        <w:t>o have</w:t>
      </w:r>
      <w:r>
        <w:t xml:space="preserve"> previously received a prior anti-PD</w:t>
      </w:r>
      <w:r w:rsidR="00EE5427">
        <w:t xml:space="preserve"> ligand </w:t>
      </w:r>
      <w:r>
        <w:t>1 agent (43% of the PPP population) and 30% (20, 43) in those who had not, with similar durability of responses.</w:t>
      </w:r>
      <w:bookmarkEnd w:id="100"/>
    </w:p>
    <w:p w14:paraId="5903B14F" w14:textId="56C6475E" w:rsidR="0019537C" w:rsidRPr="009B0F09" w:rsidRDefault="0019537C" w:rsidP="0019537C">
      <w:r>
        <w:t>Efficacy in patients with a confirmed mutation per central analysis (the c</w:t>
      </w:r>
      <w:r w:rsidRPr="009B0F09">
        <w:t>entrally confirmed analysis set</w:t>
      </w:r>
      <w:r>
        <w:t xml:space="preserve">; </w:t>
      </w:r>
      <w:r w:rsidRPr="009B0F09">
        <w:t>n</w:t>
      </w:r>
      <w:r w:rsidR="00EE5427">
        <w:t xml:space="preserve"> </w:t>
      </w:r>
      <w:r w:rsidRPr="009B0F09">
        <w:t>=</w:t>
      </w:r>
      <w:r w:rsidR="00EE5427">
        <w:t xml:space="preserve"> </w:t>
      </w:r>
      <w:r w:rsidRPr="009B0F09">
        <w:t>63)</w:t>
      </w:r>
      <w:r>
        <w:t xml:space="preserve"> were also consistent:</w:t>
      </w:r>
    </w:p>
    <w:p w14:paraId="7DB5F78A" w14:textId="77777777" w:rsidR="0019537C" w:rsidRPr="00EE5427" w:rsidRDefault="0019537C" w:rsidP="00EE5427">
      <w:pPr>
        <w:pStyle w:val="ListBullet"/>
        <w:rPr>
          <w:color w:val="auto"/>
        </w:rPr>
      </w:pPr>
      <w:r w:rsidRPr="00EE5427">
        <w:rPr>
          <w:color w:val="auto"/>
        </w:rPr>
        <w:t xml:space="preserve">Confirmed ORR (95% CI) = 27% (16, 40) </w:t>
      </w:r>
    </w:p>
    <w:p w14:paraId="48E67327" w14:textId="77777777" w:rsidR="0019537C" w:rsidRPr="00EE5427" w:rsidRDefault="0019537C" w:rsidP="00EE5427">
      <w:pPr>
        <w:pStyle w:val="ListBullet"/>
        <w:rPr>
          <w:color w:val="auto"/>
        </w:rPr>
      </w:pPr>
      <w:r w:rsidRPr="00EE5427">
        <w:rPr>
          <w:color w:val="auto"/>
        </w:rPr>
        <w:t>Median DOR (95% CI) = 17.5 months (3.7, not reached)</w:t>
      </w:r>
    </w:p>
    <w:p w14:paraId="61B9AED0" w14:textId="4B225459" w:rsidR="0019537C" w:rsidRDefault="0088295E" w:rsidP="0019537C">
      <w:pPr>
        <w:pStyle w:val="Heading5"/>
      </w:pPr>
      <w:bookmarkStart w:id="101" w:name="_Ref101281369"/>
      <w:r>
        <w:t>Study</w:t>
      </w:r>
      <w:r w:rsidR="0019537C">
        <w:t xml:space="preserve"> TAK-788-5002</w:t>
      </w:r>
      <w:bookmarkEnd w:id="101"/>
    </w:p>
    <w:p w14:paraId="316832AE" w14:textId="0749B80C" w:rsidR="0088295E" w:rsidRDefault="0088295E" w:rsidP="0019537C">
      <w:r>
        <w:t>Study TAK-788-5002 was considered as a supportive study for this submission.</w:t>
      </w:r>
    </w:p>
    <w:p w14:paraId="2B7458A0" w14:textId="2B9FED88" w:rsidR="0019537C" w:rsidRPr="00B3162E" w:rsidRDefault="0019537C" w:rsidP="0019537C">
      <w:r>
        <w:t>Due to the rarity of ex20ins mutation</w:t>
      </w:r>
      <w:r w:rsidR="00F235C6">
        <w:t xml:space="preserve"> </w:t>
      </w:r>
      <w:r>
        <w:t>positive NSCLC and the lack of a specific standard of care for these patients, an analysis of r</w:t>
      </w:r>
      <w:r w:rsidRPr="00B3162E">
        <w:t>eal</w:t>
      </w:r>
      <w:r w:rsidR="00EE5427">
        <w:t xml:space="preserve"> </w:t>
      </w:r>
      <w:r w:rsidRPr="00B3162E">
        <w:t xml:space="preserve">world data </w:t>
      </w:r>
      <w:r w:rsidRPr="005A346D">
        <w:t xml:space="preserve">was submitted as historical benchmark data to support </w:t>
      </w:r>
      <w:r>
        <w:t>interpretation of th</w:t>
      </w:r>
      <w:r w:rsidRPr="005A346D">
        <w:t>e pivotal</w:t>
      </w:r>
      <w:r>
        <w:t xml:space="preserve"> </w:t>
      </w:r>
      <w:r w:rsidRPr="005A346D">
        <w:t>evidence</w:t>
      </w:r>
      <w:r>
        <w:t>.</w:t>
      </w:r>
    </w:p>
    <w:p w14:paraId="2978BDA8" w14:textId="51641B7B" w:rsidR="0019537C" w:rsidRDefault="00EE5427" w:rsidP="0019537C">
      <w:pPr>
        <w:rPr>
          <w:lang w:eastAsia="zh-TW"/>
        </w:rPr>
      </w:pPr>
      <w:r>
        <w:rPr>
          <w:lang w:eastAsia="zh-TW"/>
        </w:rPr>
        <w:t xml:space="preserve">Study </w:t>
      </w:r>
      <w:r w:rsidR="0019537C">
        <w:rPr>
          <w:lang w:eastAsia="zh-TW"/>
        </w:rPr>
        <w:t>T</w:t>
      </w:r>
      <w:r w:rsidR="0019537C" w:rsidRPr="00EA1223">
        <w:rPr>
          <w:lang w:eastAsia="zh-TW"/>
        </w:rPr>
        <w:t>AK-788-5002</w:t>
      </w:r>
      <w:r w:rsidR="0019537C">
        <w:rPr>
          <w:lang w:eastAsia="zh-TW"/>
        </w:rPr>
        <w:t xml:space="preserve"> was a retrospective, observational cohort study of patients with NSCLC harbouring </w:t>
      </w:r>
      <w:r w:rsidR="0019537C" w:rsidRPr="00EE5427">
        <w:rPr>
          <w:i/>
          <w:iCs/>
          <w:lang w:eastAsia="zh-TW"/>
        </w:rPr>
        <w:t>EGFR</w:t>
      </w:r>
      <w:r w:rsidR="0019537C">
        <w:rPr>
          <w:lang w:eastAsia="zh-TW"/>
        </w:rPr>
        <w:t xml:space="preserve"> ex20ins mutations. This study used longitudinal data (data cut</w:t>
      </w:r>
      <w:r>
        <w:rPr>
          <w:lang w:eastAsia="zh-TW"/>
        </w:rPr>
        <w:t xml:space="preserve"> </w:t>
      </w:r>
      <w:r w:rsidR="0019537C">
        <w:rPr>
          <w:lang w:eastAsia="zh-TW"/>
        </w:rPr>
        <w:t xml:space="preserve">off 29 </w:t>
      </w:r>
      <w:r>
        <w:rPr>
          <w:lang w:eastAsia="zh-TW"/>
        </w:rPr>
        <w:t>February</w:t>
      </w:r>
      <w:r w:rsidR="0019537C">
        <w:rPr>
          <w:lang w:eastAsia="zh-TW"/>
        </w:rPr>
        <w:t xml:space="preserve"> 2020) from the Flatiron Health Research Database: a de-identified database of United States electronic health records.</w:t>
      </w:r>
    </w:p>
    <w:p w14:paraId="18108D1B" w14:textId="0FBBD596" w:rsidR="0019537C" w:rsidRDefault="0019537C" w:rsidP="0019537C">
      <w:pPr>
        <w:rPr>
          <w:lang w:eastAsia="zh-TW"/>
        </w:rPr>
      </w:pPr>
      <w:r>
        <w:rPr>
          <w:lang w:eastAsia="zh-TW"/>
        </w:rPr>
        <w:t xml:space="preserve">The analysis included </w:t>
      </w:r>
      <w:r w:rsidR="00EE5427">
        <w:rPr>
          <w:lang w:eastAsia="zh-TW"/>
        </w:rPr>
        <w:t>two</w:t>
      </w:r>
      <w:r>
        <w:rPr>
          <w:lang w:eastAsia="zh-TW"/>
        </w:rPr>
        <w:t xml:space="preserve"> cohorts of relevance to the patients in the PPP population of Study</w:t>
      </w:r>
      <w:r w:rsidR="00F235C6">
        <w:rPr>
          <w:lang w:eastAsia="zh-TW"/>
        </w:rPr>
        <w:t> </w:t>
      </w:r>
      <w:r>
        <w:rPr>
          <w:lang w:eastAsia="zh-TW"/>
        </w:rPr>
        <w:t>101:</w:t>
      </w:r>
    </w:p>
    <w:p w14:paraId="4E020BB1" w14:textId="4FB8EC8B" w:rsidR="0019537C" w:rsidRPr="00EE5427" w:rsidRDefault="0019537C" w:rsidP="00EE5427">
      <w:pPr>
        <w:pStyle w:val="ListBullet"/>
        <w:rPr>
          <w:color w:val="auto"/>
          <w:lang w:eastAsia="zh-TW"/>
        </w:rPr>
      </w:pPr>
      <w:r w:rsidRPr="00EE5427">
        <w:rPr>
          <w:color w:val="auto"/>
          <w:lang w:eastAsia="zh-TW"/>
        </w:rPr>
        <w:t xml:space="preserve">A cohort of study-aligned patients, defined as patients whose baseline characteristics were aligned with the key eligibility criteria of Part 3 of Study 101, who initiated the next treatment after a confirmed diagnosis of advanced NSCLC, had documented </w:t>
      </w:r>
      <w:r w:rsidRPr="00EE5427">
        <w:rPr>
          <w:i/>
          <w:iCs/>
          <w:color w:val="auto"/>
          <w:lang w:eastAsia="zh-TW"/>
        </w:rPr>
        <w:t>EGFR</w:t>
      </w:r>
      <w:r w:rsidRPr="00EE5427">
        <w:rPr>
          <w:color w:val="auto"/>
          <w:lang w:eastAsia="zh-TW"/>
        </w:rPr>
        <w:t xml:space="preserve"> ex20ins mutations, and had </w:t>
      </w:r>
      <w:r w:rsidR="00EE5427">
        <w:rPr>
          <w:color w:val="auto"/>
          <w:lang w:eastAsia="zh-TW"/>
        </w:rPr>
        <w:t xml:space="preserve">at least </w:t>
      </w:r>
      <w:r w:rsidR="00F235C6">
        <w:rPr>
          <w:color w:val="auto"/>
          <w:lang w:eastAsia="zh-TW"/>
        </w:rPr>
        <w:t>one</w:t>
      </w:r>
      <w:r w:rsidRPr="00EE5427">
        <w:rPr>
          <w:color w:val="auto"/>
          <w:lang w:eastAsia="zh-TW"/>
        </w:rPr>
        <w:t xml:space="preserve"> prior line of therapy in the advanced setting (n</w:t>
      </w:r>
      <w:r w:rsidR="00EE5427" w:rsidRPr="00EE5427">
        <w:rPr>
          <w:color w:val="auto"/>
          <w:lang w:eastAsia="zh-TW"/>
        </w:rPr>
        <w:t xml:space="preserve"> </w:t>
      </w:r>
      <w:r w:rsidRPr="00EE5427">
        <w:rPr>
          <w:color w:val="auto"/>
          <w:lang w:eastAsia="zh-TW"/>
        </w:rPr>
        <w:t>=</w:t>
      </w:r>
      <w:r w:rsidR="00EE5427" w:rsidRPr="00EE5427">
        <w:rPr>
          <w:color w:val="auto"/>
          <w:lang w:eastAsia="zh-TW"/>
        </w:rPr>
        <w:t xml:space="preserve"> </w:t>
      </w:r>
      <w:r w:rsidRPr="00EE5427">
        <w:rPr>
          <w:color w:val="auto"/>
          <w:lang w:eastAsia="zh-TW"/>
        </w:rPr>
        <w:t>63).</w:t>
      </w:r>
    </w:p>
    <w:p w14:paraId="3F8758B2" w14:textId="0688105F" w:rsidR="0019537C" w:rsidRPr="00EE5427" w:rsidRDefault="0019537C" w:rsidP="00EE5427">
      <w:pPr>
        <w:pStyle w:val="ListBullet"/>
        <w:rPr>
          <w:color w:val="auto"/>
          <w:lang w:eastAsia="zh-TW"/>
        </w:rPr>
      </w:pPr>
      <w:r w:rsidRPr="00EE5427">
        <w:rPr>
          <w:color w:val="auto"/>
          <w:lang w:eastAsia="zh-TW"/>
        </w:rPr>
        <w:lastRenderedPageBreak/>
        <w:t>A cohort of study</w:t>
      </w:r>
      <w:r w:rsidR="00F235C6">
        <w:rPr>
          <w:color w:val="auto"/>
          <w:lang w:eastAsia="zh-TW"/>
        </w:rPr>
        <w:t xml:space="preserve"> </w:t>
      </w:r>
      <w:r w:rsidRPr="00EE5427">
        <w:rPr>
          <w:color w:val="auto"/>
          <w:lang w:eastAsia="zh-TW"/>
        </w:rPr>
        <w:t>aligned patients (as defined above) who had previously received platinum</w:t>
      </w:r>
      <w:r w:rsidR="00F235C6">
        <w:rPr>
          <w:color w:val="auto"/>
          <w:lang w:eastAsia="zh-TW"/>
        </w:rPr>
        <w:t xml:space="preserve"> </w:t>
      </w:r>
      <w:r w:rsidRPr="00EE5427">
        <w:rPr>
          <w:color w:val="auto"/>
          <w:lang w:eastAsia="zh-TW"/>
        </w:rPr>
        <w:t>based chemotherapy (n</w:t>
      </w:r>
      <w:r w:rsidR="00EE5427" w:rsidRPr="00EE5427">
        <w:rPr>
          <w:color w:val="auto"/>
          <w:lang w:eastAsia="zh-TW"/>
        </w:rPr>
        <w:t xml:space="preserve"> </w:t>
      </w:r>
      <w:r w:rsidRPr="00EE5427">
        <w:rPr>
          <w:color w:val="auto"/>
          <w:lang w:eastAsia="zh-TW"/>
        </w:rPr>
        <w:t>=</w:t>
      </w:r>
      <w:r w:rsidR="00EE5427" w:rsidRPr="00EE5427">
        <w:rPr>
          <w:color w:val="auto"/>
          <w:lang w:eastAsia="zh-TW"/>
        </w:rPr>
        <w:t xml:space="preserve"> </w:t>
      </w:r>
      <w:r w:rsidRPr="00EE5427">
        <w:rPr>
          <w:color w:val="auto"/>
          <w:lang w:eastAsia="zh-TW"/>
        </w:rPr>
        <w:t>50).</w:t>
      </w:r>
    </w:p>
    <w:p w14:paraId="466284DF" w14:textId="0C145822" w:rsidR="0019537C" w:rsidRDefault="0019537C" w:rsidP="0019537C">
      <w:pPr>
        <w:rPr>
          <w:lang w:eastAsia="zh-TW"/>
        </w:rPr>
      </w:pPr>
      <w:r>
        <w:rPr>
          <w:lang w:eastAsia="zh-TW"/>
        </w:rPr>
        <w:t>The primary endpoint was confirmed real</w:t>
      </w:r>
      <w:r w:rsidR="00EE5427">
        <w:rPr>
          <w:lang w:eastAsia="zh-TW"/>
        </w:rPr>
        <w:t xml:space="preserve"> </w:t>
      </w:r>
      <w:r>
        <w:rPr>
          <w:lang w:eastAsia="zh-TW"/>
        </w:rPr>
        <w:t xml:space="preserve">world ORR, defined as the proportion of patients that had a </w:t>
      </w:r>
      <w:r w:rsidR="00247F49">
        <w:rPr>
          <w:lang w:eastAsia="zh-TW"/>
        </w:rPr>
        <w:t>partial response (</w:t>
      </w:r>
      <w:r>
        <w:rPr>
          <w:lang w:eastAsia="zh-TW"/>
        </w:rPr>
        <w:t>PR</w:t>
      </w:r>
      <w:r w:rsidR="00247F49">
        <w:rPr>
          <w:lang w:eastAsia="zh-TW"/>
        </w:rPr>
        <w:t>)</w:t>
      </w:r>
      <w:r>
        <w:rPr>
          <w:lang w:eastAsia="zh-TW"/>
        </w:rPr>
        <w:t xml:space="preserve"> or </w:t>
      </w:r>
      <w:r w:rsidR="00247F49">
        <w:rPr>
          <w:lang w:eastAsia="zh-TW"/>
        </w:rPr>
        <w:t>complete response (</w:t>
      </w:r>
      <w:r>
        <w:rPr>
          <w:lang w:eastAsia="zh-TW"/>
        </w:rPr>
        <w:t>CR</w:t>
      </w:r>
      <w:r w:rsidR="00247F49">
        <w:rPr>
          <w:lang w:eastAsia="zh-TW"/>
        </w:rPr>
        <w:t>)</w:t>
      </w:r>
      <w:r>
        <w:rPr>
          <w:lang w:eastAsia="zh-TW"/>
        </w:rPr>
        <w:t xml:space="preserve"> followed by a subsequent assessment of, </w:t>
      </w:r>
      <w:r w:rsidR="00247F49">
        <w:rPr>
          <w:lang w:eastAsia="zh-TW"/>
        </w:rPr>
        <w:t xml:space="preserve">PR, CR </w:t>
      </w:r>
      <w:r>
        <w:rPr>
          <w:lang w:eastAsia="zh-TW"/>
        </w:rPr>
        <w:t xml:space="preserve">or </w:t>
      </w:r>
      <w:r w:rsidR="00FB6D36">
        <w:rPr>
          <w:lang w:eastAsia="zh-TW"/>
        </w:rPr>
        <w:t xml:space="preserve">stable disease </w:t>
      </w:r>
      <w:r>
        <w:rPr>
          <w:lang w:eastAsia="zh-TW"/>
        </w:rPr>
        <w:t>during the course of a single line of therapy.</w:t>
      </w:r>
    </w:p>
    <w:p w14:paraId="4C90418B" w14:textId="20E2ADFC" w:rsidR="0019537C" w:rsidRDefault="0019537C" w:rsidP="0019537C">
      <w:pPr>
        <w:rPr>
          <w:lang w:eastAsia="zh-TW"/>
        </w:rPr>
      </w:pPr>
      <w:r>
        <w:rPr>
          <w:lang w:eastAsia="zh-TW"/>
        </w:rPr>
        <w:t>For study</w:t>
      </w:r>
      <w:r w:rsidR="00EE5427">
        <w:rPr>
          <w:lang w:eastAsia="zh-TW"/>
        </w:rPr>
        <w:t xml:space="preserve"> </w:t>
      </w:r>
      <w:r>
        <w:rPr>
          <w:lang w:eastAsia="zh-TW"/>
        </w:rPr>
        <w:t>aligned patients and prior platinum study</w:t>
      </w:r>
      <w:r w:rsidR="00EE5427">
        <w:rPr>
          <w:lang w:eastAsia="zh-TW"/>
        </w:rPr>
        <w:t xml:space="preserve"> </w:t>
      </w:r>
      <w:r>
        <w:rPr>
          <w:lang w:eastAsia="zh-TW"/>
        </w:rPr>
        <w:t>aligned patients who received any treatment type in the second</w:t>
      </w:r>
      <w:r w:rsidR="00247F49">
        <w:rPr>
          <w:lang w:eastAsia="zh-TW"/>
        </w:rPr>
        <w:t xml:space="preserve"> </w:t>
      </w:r>
      <w:r>
        <w:rPr>
          <w:lang w:eastAsia="zh-TW"/>
        </w:rPr>
        <w:t xml:space="preserve">line or greater setting in Study TAK-788-5002, </w:t>
      </w:r>
      <w:r w:rsidR="00FB6D36">
        <w:rPr>
          <w:lang w:eastAsia="zh-TW"/>
        </w:rPr>
        <w:t>confirmed real world ORR</w:t>
      </w:r>
      <w:r>
        <w:rPr>
          <w:lang w:eastAsia="zh-TW"/>
        </w:rPr>
        <w:t xml:space="preserve"> was 11% and 14%, respectively. For those who received immunotherapy agents as monotherapy, </w:t>
      </w:r>
      <w:r w:rsidR="00FB6D36">
        <w:rPr>
          <w:lang w:eastAsia="zh-TW"/>
        </w:rPr>
        <w:t>confirmed real world ORR</w:t>
      </w:r>
      <w:r>
        <w:rPr>
          <w:lang w:eastAsia="zh-TW"/>
        </w:rPr>
        <w:t xml:space="preserve"> was 5% in study</w:t>
      </w:r>
      <w:r w:rsidR="00EE5427">
        <w:rPr>
          <w:lang w:eastAsia="zh-TW"/>
        </w:rPr>
        <w:t xml:space="preserve"> </w:t>
      </w:r>
      <w:r>
        <w:rPr>
          <w:lang w:eastAsia="zh-TW"/>
        </w:rPr>
        <w:t>aligned patients (n</w:t>
      </w:r>
      <w:r w:rsidR="00EE5427">
        <w:rPr>
          <w:lang w:eastAsia="zh-TW"/>
        </w:rPr>
        <w:t xml:space="preserve"> </w:t>
      </w:r>
      <w:r>
        <w:rPr>
          <w:lang w:eastAsia="zh-TW"/>
        </w:rPr>
        <w:t>=</w:t>
      </w:r>
      <w:r w:rsidR="00EE5427">
        <w:rPr>
          <w:lang w:eastAsia="zh-TW"/>
        </w:rPr>
        <w:t xml:space="preserve"> </w:t>
      </w:r>
      <w:r>
        <w:rPr>
          <w:lang w:eastAsia="zh-TW"/>
        </w:rPr>
        <w:t>21) and also 5% in prior-platinum study</w:t>
      </w:r>
      <w:r w:rsidR="00EE5427">
        <w:rPr>
          <w:lang w:eastAsia="zh-TW"/>
        </w:rPr>
        <w:t xml:space="preserve"> </w:t>
      </w:r>
      <w:r>
        <w:rPr>
          <w:lang w:eastAsia="zh-TW"/>
        </w:rPr>
        <w:t>aligned patients (n</w:t>
      </w:r>
      <w:r w:rsidR="00EE5427">
        <w:rPr>
          <w:lang w:eastAsia="zh-TW"/>
        </w:rPr>
        <w:t xml:space="preserve"> </w:t>
      </w:r>
      <w:r>
        <w:rPr>
          <w:lang w:eastAsia="zh-TW"/>
        </w:rPr>
        <w:t>=</w:t>
      </w:r>
      <w:r w:rsidR="00EE5427">
        <w:rPr>
          <w:lang w:eastAsia="zh-TW"/>
        </w:rPr>
        <w:t xml:space="preserve"> </w:t>
      </w:r>
      <w:r>
        <w:rPr>
          <w:lang w:eastAsia="zh-TW"/>
        </w:rPr>
        <w:t>20).</w:t>
      </w:r>
    </w:p>
    <w:p w14:paraId="552F45DD" w14:textId="7F9AF476" w:rsidR="0019537C" w:rsidRDefault="0019537C" w:rsidP="0019537C">
      <w:pPr>
        <w:rPr>
          <w:lang w:eastAsia="zh-TW"/>
        </w:rPr>
      </w:pPr>
      <w:r>
        <w:rPr>
          <w:lang w:eastAsia="zh-TW"/>
        </w:rPr>
        <w:t xml:space="preserve">Other </w:t>
      </w:r>
      <w:r w:rsidR="00EE5427">
        <w:rPr>
          <w:lang w:eastAsia="zh-TW"/>
        </w:rPr>
        <w:t>real world data</w:t>
      </w:r>
      <w:r>
        <w:rPr>
          <w:lang w:eastAsia="zh-TW"/>
        </w:rPr>
        <w:t xml:space="preserve"> analyses made similar findings.</w:t>
      </w:r>
    </w:p>
    <w:p w14:paraId="11981D5C" w14:textId="5D04CB1E" w:rsidR="0019537C" w:rsidRDefault="0019537C" w:rsidP="0019537C">
      <w:pPr>
        <w:rPr>
          <w:lang w:eastAsia="zh-TW"/>
        </w:rPr>
      </w:pPr>
      <w:r>
        <w:rPr>
          <w:lang w:eastAsia="zh-TW"/>
        </w:rPr>
        <w:t xml:space="preserve">Whilst the submitted </w:t>
      </w:r>
      <w:r w:rsidR="00EE5427">
        <w:rPr>
          <w:lang w:eastAsia="zh-TW"/>
        </w:rPr>
        <w:t>real world data</w:t>
      </w:r>
      <w:r>
        <w:rPr>
          <w:lang w:eastAsia="zh-TW"/>
        </w:rPr>
        <w:t xml:space="preserve"> are exploratory, they support the selection of 20% as a lower bound for response rate in choosing a sample size for the pivotal efficacy analysis.</w:t>
      </w:r>
    </w:p>
    <w:p w14:paraId="13AAFF62" w14:textId="77777777" w:rsidR="0019537C" w:rsidRPr="00E16C27" w:rsidRDefault="0019537C" w:rsidP="0019537C">
      <w:pPr>
        <w:pStyle w:val="Heading4"/>
      </w:pPr>
      <w:bookmarkStart w:id="102" w:name="_Toc132980323"/>
      <w:r w:rsidRPr="00E16C27">
        <w:t>Safety</w:t>
      </w:r>
      <w:bookmarkEnd w:id="102"/>
    </w:p>
    <w:p w14:paraId="2214057B" w14:textId="77777777" w:rsidR="0019537C" w:rsidRPr="00FD229D" w:rsidRDefault="0019537C" w:rsidP="00FD229D">
      <w:pPr>
        <w:pStyle w:val="Heading5"/>
      </w:pPr>
      <w:bookmarkStart w:id="103" w:name="_Ref101451010"/>
      <w:r w:rsidRPr="00FD229D">
        <w:t>Safety database</w:t>
      </w:r>
      <w:bookmarkEnd w:id="103"/>
    </w:p>
    <w:p w14:paraId="7522FFF8" w14:textId="3A5FD6D6" w:rsidR="0019537C" w:rsidRDefault="0019537C" w:rsidP="0019537C">
      <w:r>
        <w:t>Data to describe the safety of</w:t>
      </w:r>
      <w:r w:rsidRPr="007C2A10">
        <w:t xml:space="preserve"> mobocertinib in NSCLC </w:t>
      </w:r>
      <w:r>
        <w:t>was submitted from</w:t>
      </w:r>
      <w:r w:rsidRPr="007C2A10">
        <w:t xml:space="preserve"> two ongoing studies</w:t>
      </w:r>
      <w:r>
        <w:t xml:space="preserve">: the </w:t>
      </w:r>
      <w:r w:rsidR="00FB6D36">
        <w:t>P</w:t>
      </w:r>
      <w:r w:rsidRPr="007C2A10">
        <w:t xml:space="preserve">hase </w:t>
      </w:r>
      <w:r w:rsidR="00FB6D36">
        <w:t>I</w:t>
      </w:r>
      <w:r w:rsidRPr="007C2A10">
        <w:t>/</w:t>
      </w:r>
      <w:r w:rsidR="00FB6D36">
        <w:t>II</w:t>
      </w:r>
      <w:r w:rsidRPr="007C2A10">
        <w:t xml:space="preserve"> </w:t>
      </w:r>
      <w:r>
        <w:t>pivotal efficacy study</w:t>
      </w:r>
      <w:r w:rsidR="00FB6D36">
        <w:t xml:space="preserve"> (Study 101),</w:t>
      </w:r>
      <w:r>
        <w:t xml:space="preserve"> and an </w:t>
      </w:r>
      <w:r w:rsidRPr="007C2A10">
        <w:t>open</w:t>
      </w:r>
      <w:r w:rsidR="00FB6D36">
        <w:t xml:space="preserve"> </w:t>
      </w:r>
      <w:r w:rsidRPr="007C2A10">
        <w:t>label, multicentre, dose</w:t>
      </w:r>
      <w:r w:rsidR="00FB6D36">
        <w:t xml:space="preserve"> </w:t>
      </w:r>
      <w:r w:rsidRPr="007C2A10">
        <w:t xml:space="preserve">escalation study in Japanese patients with locally advanced or metastatic NSCLC </w:t>
      </w:r>
      <w:r>
        <w:t>(Study 1003).</w:t>
      </w:r>
    </w:p>
    <w:p w14:paraId="5AC2C773" w14:textId="77777777" w:rsidR="0019537C" w:rsidRPr="00F65D18" w:rsidRDefault="0019537C" w:rsidP="0019537C">
      <w:r w:rsidRPr="00F65D18">
        <w:t>Across these clinical studies, 325 patients with cancer, including 320 patients with NSCLC, have been exposed to mobocertinib.</w:t>
      </w:r>
    </w:p>
    <w:p w14:paraId="7D6A7871" w14:textId="56E0027A" w:rsidR="0019537C" w:rsidRDefault="0019537C" w:rsidP="0019537C">
      <w:r>
        <w:t>The regulatory safety review focussed primarily on an analysis of data with a cut</w:t>
      </w:r>
      <w:r w:rsidR="0088295E">
        <w:t>-</w:t>
      </w:r>
      <w:r>
        <w:t>off date of 29</w:t>
      </w:r>
      <w:r w:rsidR="0088295E">
        <w:t> </w:t>
      </w:r>
      <w:r>
        <w:t>May 2020. Data were submitted for three populations:</w:t>
      </w:r>
    </w:p>
    <w:p w14:paraId="789B75F1" w14:textId="2B6D8FB0" w:rsidR="0019537C" w:rsidRPr="00FD229D" w:rsidRDefault="0019537C" w:rsidP="00FD229D">
      <w:pPr>
        <w:pStyle w:val="ListBullet"/>
        <w:rPr>
          <w:color w:val="auto"/>
        </w:rPr>
      </w:pPr>
      <w:r w:rsidRPr="00FD229D">
        <w:rPr>
          <w:color w:val="auto"/>
        </w:rPr>
        <w:t xml:space="preserve">All patients in the PPP analysis set who received at least </w:t>
      </w:r>
      <w:r w:rsidR="00FD229D">
        <w:rPr>
          <w:color w:val="auto"/>
        </w:rPr>
        <w:t>one</w:t>
      </w:r>
      <w:r w:rsidRPr="00FD229D">
        <w:rPr>
          <w:color w:val="auto"/>
        </w:rPr>
        <w:t xml:space="preserve"> dose of mobocertinib (the primary safety population) </w:t>
      </w:r>
      <w:r w:rsidR="0088295E">
        <w:rPr>
          <w:color w:val="auto"/>
        </w:rPr>
        <w:t>(</w:t>
      </w:r>
      <w:r w:rsidRPr="00FD229D">
        <w:rPr>
          <w:color w:val="auto"/>
        </w:rPr>
        <w:t>n</w:t>
      </w:r>
      <w:r w:rsidR="00FD229D">
        <w:rPr>
          <w:color w:val="auto"/>
        </w:rPr>
        <w:t xml:space="preserve"> </w:t>
      </w:r>
      <w:r w:rsidRPr="00FD229D">
        <w:rPr>
          <w:color w:val="auto"/>
        </w:rPr>
        <w:t>=</w:t>
      </w:r>
      <w:r w:rsidR="00FD229D">
        <w:rPr>
          <w:color w:val="auto"/>
        </w:rPr>
        <w:t xml:space="preserve"> </w:t>
      </w:r>
      <w:r w:rsidRPr="00FD229D">
        <w:rPr>
          <w:color w:val="auto"/>
        </w:rPr>
        <w:t>114</w:t>
      </w:r>
      <w:r w:rsidR="0088295E">
        <w:rPr>
          <w:color w:val="auto"/>
        </w:rPr>
        <w:t>)</w:t>
      </w:r>
    </w:p>
    <w:p w14:paraId="7F089828" w14:textId="73794E01" w:rsidR="0019537C" w:rsidRPr="00FD229D" w:rsidRDefault="0019537C" w:rsidP="00FD229D">
      <w:pPr>
        <w:pStyle w:val="ListBullet"/>
        <w:rPr>
          <w:color w:val="auto"/>
        </w:rPr>
      </w:pPr>
      <w:r w:rsidRPr="00FD229D">
        <w:rPr>
          <w:color w:val="auto"/>
        </w:rPr>
        <w:t xml:space="preserve">All patients with cancer who received at least </w:t>
      </w:r>
      <w:r w:rsidR="00FD229D">
        <w:rPr>
          <w:color w:val="auto"/>
        </w:rPr>
        <w:t>one</w:t>
      </w:r>
      <w:r w:rsidRPr="00FD229D">
        <w:rPr>
          <w:color w:val="auto"/>
        </w:rPr>
        <w:t xml:space="preserve"> dose of mobocertinib at 160 mg in Study</w:t>
      </w:r>
      <w:r w:rsidR="00FD229D">
        <w:rPr>
          <w:color w:val="auto"/>
        </w:rPr>
        <w:t> </w:t>
      </w:r>
      <w:r w:rsidRPr="00FD229D">
        <w:rPr>
          <w:color w:val="auto"/>
        </w:rPr>
        <w:t xml:space="preserve">101 (the pooled safety population) </w:t>
      </w:r>
      <w:r w:rsidR="0088295E">
        <w:rPr>
          <w:color w:val="auto"/>
        </w:rPr>
        <w:t>(</w:t>
      </w:r>
      <w:r w:rsidRPr="00FD229D">
        <w:rPr>
          <w:color w:val="auto"/>
        </w:rPr>
        <w:t>n</w:t>
      </w:r>
      <w:r w:rsidR="00FD229D">
        <w:rPr>
          <w:color w:val="auto"/>
        </w:rPr>
        <w:t xml:space="preserve"> </w:t>
      </w:r>
      <w:r w:rsidRPr="00FD229D">
        <w:rPr>
          <w:color w:val="auto"/>
        </w:rPr>
        <w:t>=</w:t>
      </w:r>
      <w:r w:rsidR="00FD229D">
        <w:rPr>
          <w:color w:val="auto"/>
        </w:rPr>
        <w:t xml:space="preserve"> </w:t>
      </w:r>
      <w:r w:rsidRPr="00FD229D">
        <w:rPr>
          <w:color w:val="auto"/>
        </w:rPr>
        <w:t>256</w:t>
      </w:r>
      <w:r w:rsidR="0088295E">
        <w:rPr>
          <w:color w:val="auto"/>
        </w:rPr>
        <w:t>)</w:t>
      </w:r>
    </w:p>
    <w:p w14:paraId="07C22F3F" w14:textId="48F50B60" w:rsidR="0019537C" w:rsidRPr="00FD229D" w:rsidRDefault="0019537C" w:rsidP="00FD229D">
      <w:pPr>
        <w:pStyle w:val="ListBullet"/>
        <w:rPr>
          <w:color w:val="auto"/>
        </w:rPr>
      </w:pPr>
      <w:r w:rsidRPr="00FD229D">
        <w:rPr>
          <w:color w:val="auto"/>
        </w:rPr>
        <w:t xml:space="preserve">All patients with cancer who received at least 1 dose of mobocertinib at any strength across Study 101 (the overall safety population) </w:t>
      </w:r>
      <w:r w:rsidR="0088295E">
        <w:rPr>
          <w:color w:val="auto"/>
        </w:rPr>
        <w:t>(</w:t>
      </w:r>
      <w:r w:rsidRPr="00FD229D">
        <w:rPr>
          <w:color w:val="auto"/>
        </w:rPr>
        <w:t>n</w:t>
      </w:r>
      <w:r w:rsidR="00FD229D">
        <w:rPr>
          <w:color w:val="auto"/>
        </w:rPr>
        <w:t xml:space="preserve"> </w:t>
      </w:r>
      <w:r w:rsidRPr="00FD229D">
        <w:rPr>
          <w:color w:val="auto"/>
        </w:rPr>
        <w:t>=</w:t>
      </w:r>
      <w:r w:rsidR="00FD229D">
        <w:rPr>
          <w:color w:val="auto"/>
        </w:rPr>
        <w:t xml:space="preserve"> </w:t>
      </w:r>
      <w:r w:rsidRPr="00FD229D">
        <w:rPr>
          <w:color w:val="auto"/>
        </w:rPr>
        <w:t>325</w:t>
      </w:r>
      <w:r w:rsidR="0088295E">
        <w:rPr>
          <w:color w:val="auto"/>
        </w:rPr>
        <w:t>).</w:t>
      </w:r>
    </w:p>
    <w:p w14:paraId="3F9B28FA" w14:textId="387533DE" w:rsidR="0019537C" w:rsidRDefault="0019537C" w:rsidP="0019537C">
      <w:r>
        <w:t>A 90</w:t>
      </w:r>
      <w:r w:rsidR="00FD229D">
        <w:t xml:space="preserve"> </w:t>
      </w:r>
      <w:r>
        <w:t>day safety update with a data cut</w:t>
      </w:r>
      <w:r w:rsidR="00FD229D">
        <w:t xml:space="preserve"> </w:t>
      </w:r>
      <w:r>
        <w:t xml:space="preserve">off date of </w:t>
      </w:r>
      <w:r w:rsidR="00FD229D">
        <w:t xml:space="preserve">1 </w:t>
      </w:r>
      <w:r>
        <w:t>November 2020 was also reviewed, which did not reveal any new or worsening safety signals.</w:t>
      </w:r>
    </w:p>
    <w:p w14:paraId="3E7FD54A" w14:textId="460F0F62" w:rsidR="0019537C" w:rsidRDefault="0019537C" w:rsidP="0019537C">
      <w:r>
        <w:t xml:space="preserve">The FDA’s </w:t>
      </w:r>
      <w:r w:rsidR="00FD229D">
        <w:t>‘</w:t>
      </w:r>
      <w:r>
        <w:t>Warnings and Precautions</w:t>
      </w:r>
      <w:r w:rsidR="00FD229D">
        <w:t>’</w:t>
      </w:r>
      <w:r>
        <w:t xml:space="preserve"> label content is based on safety data for the pooled safety population. All of these patients received at least one dose at 160 mg daily, but approximately one-third of patients either started at a different dose or had dose reductions, so adverse events in this group may have occurred at doses other than 160 mg daily.</w:t>
      </w:r>
    </w:p>
    <w:p w14:paraId="492642E3" w14:textId="0889487C" w:rsidR="0019537C" w:rsidRPr="0058253A" w:rsidRDefault="0019537C" w:rsidP="0019537C">
      <w:r>
        <w:t xml:space="preserve">The FDA’s </w:t>
      </w:r>
      <w:r w:rsidR="00FD229D">
        <w:t>‘</w:t>
      </w:r>
      <w:r>
        <w:t>Adverse Reaction</w:t>
      </w:r>
      <w:r w:rsidR="00FD229D">
        <w:t>s’</w:t>
      </w:r>
      <w:r>
        <w:t xml:space="preserve"> label content is based on safety data for the primary safety population.</w:t>
      </w:r>
    </w:p>
    <w:p w14:paraId="5BE0D17C" w14:textId="77777777" w:rsidR="0019537C" w:rsidRPr="00FD229D" w:rsidRDefault="0019537C" w:rsidP="00FD229D">
      <w:pPr>
        <w:pStyle w:val="Heading5"/>
      </w:pPr>
      <w:r w:rsidRPr="00FD229D">
        <w:t>Protocol for dose modification in case of adverse events</w:t>
      </w:r>
    </w:p>
    <w:p w14:paraId="5AD165C6" w14:textId="5704648E" w:rsidR="0019537C" w:rsidRPr="002F6AD7" w:rsidRDefault="0019537C" w:rsidP="0019537C">
      <w:r w:rsidRPr="002F6AD7">
        <w:t xml:space="preserve">The Study </w:t>
      </w:r>
      <w:r>
        <w:t>101</w:t>
      </w:r>
      <w:r w:rsidRPr="002F6AD7">
        <w:t xml:space="preserve"> protocol</w:t>
      </w:r>
      <w:r>
        <w:t xml:space="preserve"> (amendment 6 version)</w:t>
      </w:r>
      <w:r w:rsidRPr="002F6AD7">
        <w:t xml:space="preserve"> specified that the </w:t>
      </w:r>
      <w:r>
        <w:t>mobocertinib</w:t>
      </w:r>
      <w:r w:rsidRPr="002F6AD7">
        <w:t xml:space="preserve"> dose should be modified for adverse events</w:t>
      </w:r>
      <w:r>
        <w:t xml:space="preserve"> </w:t>
      </w:r>
      <w:r w:rsidRPr="002F6AD7">
        <w:t xml:space="preserve">as outlined in </w:t>
      </w:r>
      <w:r w:rsidRPr="002F6AD7">
        <w:fldChar w:fldCharType="begin"/>
      </w:r>
      <w:r w:rsidRPr="002F6AD7">
        <w:instrText xml:space="preserve"> REF _Ref96087905 \h </w:instrText>
      </w:r>
      <w:r w:rsidRPr="002F6AD7">
        <w:fldChar w:fldCharType="separate"/>
      </w:r>
      <w:r w:rsidR="00301E36" w:rsidRPr="00FD229D">
        <w:t xml:space="preserve">Table </w:t>
      </w:r>
      <w:r w:rsidR="00301E36">
        <w:rPr>
          <w:noProof/>
        </w:rPr>
        <w:t>11</w:t>
      </w:r>
      <w:r w:rsidRPr="002F6AD7">
        <w:fldChar w:fldCharType="end"/>
      </w:r>
      <w:r w:rsidRPr="002F6AD7">
        <w:t xml:space="preserve">. The protocol also specified the following dose reduction schedule: </w:t>
      </w:r>
    </w:p>
    <w:p w14:paraId="2E3A5411" w14:textId="77777777" w:rsidR="0019537C" w:rsidRPr="00FD229D" w:rsidRDefault="0019537C" w:rsidP="00FD229D">
      <w:pPr>
        <w:pStyle w:val="ListBullet"/>
        <w:rPr>
          <w:color w:val="auto"/>
        </w:rPr>
      </w:pPr>
      <w:r w:rsidRPr="00FD229D">
        <w:rPr>
          <w:color w:val="auto"/>
        </w:rPr>
        <w:t>Starting dose: 160 mg daily</w:t>
      </w:r>
    </w:p>
    <w:p w14:paraId="0EB7E2AD" w14:textId="77777777" w:rsidR="0019537C" w:rsidRPr="00FD229D" w:rsidRDefault="0019537C" w:rsidP="00FD229D">
      <w:pPr>
        <w:pStyle w:val="ListBullet"/>
        <w:rPr>
          <w:color w:val="auto"/>
        </w:rPr>
      </w:pPr>
      <w:r w:rsidRPr="00FD229D">
        <w:rPr>
          <w:color w:val="auto"/>
        </w:rPr>
        <w:lastRenderedPageBreak/>
        <w:t>First dose reduction: to 120 mg daily</w:t>
      </w:r>
    </w:p>
    <w:p w14:paraId="3F7FB9CD" w14:textId="77777777" w:rsidR="0019537C" w:rsidRPr="00FD229D" w:rsidRDefault="0019537C" w:rsidP="00FD229D">
      <w:pPr>
        <w:pStyle w:val="ListBullet"/>
        <w:rPr>
          <w:color w:val="auto"/>
        </w:rPr>
      </w:pPr>
      <w:r w:rsidRPr="00FD229D">
        <w:rPr>
          <w:color w:val="auto"/>
        </w:rPr>
        <w:t xml:space="preserve">Second dose reduction: 80 mg daily </w:t>
      </w:r>
    </w:p>
    <w:p w14:paraId="2207B4BB" w14:textId="27E41586" w:rsidR="0019537C" w:rsidRPr="002F6AD7" w:rsidRDefault="0019537C" w:rsidP="00FD229D">
      <w:pPr>
        <w:pStyle w:val="TableTitle"/>
      </w:pPr>
      <w:bookmarkStart w:id="104" w:name="_Ref96087905"/>
      <w:r w:rsidRPr="00FD229D">
        <w:t xml:space="preserve">Table </w:t>
      </w:r>
      <w:r w:rsidR="003F5EF5">
        <w:fldChar w:fldCharType="begin"/>
      </w:r>
      <w:r w:rsidR="003F5EF5">
        <w:instrText xml:space="preserve"> SEQ Table \* ARABIC </w:instrText>
      </w:r>
      <w:r w:rsidR="003F5EF5">
        <w:fldChar w:fldCharType="separate"/>
      </w:r>
      <w:r w:rsidR="00301E36">
        <w:rPr>
          <w:noProof/>
        </w:rPr>
        <w:t>11</w:t>
      </w:r>
      <w:r w:rsidR="003F5EF5">
        <w:rPr>
          <w:noProof/>
        </w:rPr>
        <w:fldChar w:fldCharType="end"/>
      </w:r>
      <w:bookmarkEnd w:id="104"/>
      <w:r w:rsidRPr="002F6AD7">
        <w:t xml:space="preserve">. </w:t>
      </w:r>
      <w:r w:rsidR="00061EED">
        <w:t xml:space="preserve">Study AP32788-15-101 </w:t>
      </w:r>
      <w:r w:rsidRPr="002F6AD7">
        <w:t>Dose modifications specified by the protocol (v</w:t>
      </w:r>
      <w:r w:rsidR="00FD229D">
        <w:t xml:space="preserve">ersion </w:t>
      </w:r>
      <w:r>
        <w:t>6</w:t>
      </w:r>
      <w:r w:rsidRPr="002F6AD7">
        <w:t xml:space="preserve">) for patients receiving </w:t>
      </w:r>
      <w:r>
        <w:t>mobocertinib</w:t>
      </w:r>
    </w:p>
    <w:tbl>
      <w:tblPr>
        <w:tblStyle w:val="TableTGAblue"/>
        <w:tblW w:w="8931" w:type="dxa"/>
        <w:tblLayout w:type="fixed"/>
        <w:tblLook w:val="01E0" w:firstRow="1" w:lastRow="1" w:firstColumn="1" w:lastColumn="1" w:noHBand="0" w:noVBand="0"/>
      </w:tblPr>
      <w:tblGrid>
        <w:gridCol w:w="1550"/>
        <w:gridCol w:w="1134"/>
        <w:gridCol w:w="1559"/>
        <w:gridCol w:w="2278"/>
        <w:gridCol w:w="2410"/>
      </w:tblGrid>
      <w:tr w:rsidR="0019537C" w:rsidRPr="00A3585E" w14:paraId="60FC58C0" w14:textId="77777777" w:rsidTr="00FD229D">
        <w:trPr>
          <w:cnfStyle w:val="100000000000" w:firstRow="1" w:lastRow="0" w:firstColumn="0" w:lastColumn="0" w:oddVBand="0" w:evenVBand="0" w:oddHBand="0" w:evenHBand="0" w:firstRowFirstColumn="0" w:firstRowLastColumn="0" w:lastRowFirstColumn="0" w:lastRowLastColumn="0"/>
          <w:trHeight w:val="768"/>
        </w:trPr>
        <w:tc>
          <w:tcPr>
            <w:tcW w:w="1550" w:type="dxa"/>
          </w:tcPr>
          <w:p w14:paraId="1CAD39CF" w14:textId="77777777" w:rsidR="0019537C" w:rsidRPr="00A3585E" w:rsidRDefault="0019537C" w:rsidP="00FD229D">
            <w:pPr>
              <w:ind w:left="0"/>
              <w:rPr>
                <w:b w:val="0"/>
                <w:bCs/>
                <w:sz w:val="20"/>
                <w:szCs w:val="20"/>
              </w:rPr>
            </w:pPr>
            <w:r w:rsidRPr="00A3585E">
              <w:rPr>
                <w:bCs/>
                <w:sz w:val="20"/>
                <w:szCs w:val="20"/>
              </w:rPr>
              <w:t>Adverse event</w:t>
            </w:r>
          </w:p>
        </w:tc>
        <w:tc>
          <w:tcPr>
            <w:tcW w:w="1134" w:type="dxa"/>
          </w:tcPr>
          <w:p w14:paraId="3C8F85CD" w14:textId="77777777" w:rsidR="0019537C" w:rsidRPr="00A3585E" w:rsidRDefault="0019537C" w:rsidP="00FD229D">
            <w:pPr>
              <w:ind w:left="0"/>
              <w:rPr>
                <w:b w:val="0"/>
                <w:bCs/>
                <w:sz w:val="20"/>
                <w:szCs w:val="20"/>
              </w:rPr>
            </w:pPr>
            <w:r w:rsidRPr="00A3585E">
              <w:rPr>
                <w:bCs/>
                <w:sz w:val="20"/>
                <w:szCs w:val="20"/>
              </w:rPr>
              <w:t>Grade 1</w:t>
            </w:r>
          </w:p>
        </w:tc>
        <w:tc>
          <w:tcPr>
            <w:tcW w:w="1559" w:type="dxa"/>
          </w:tcPr>
          <w:p w14:paraId="690CEDE0" w14:textId="77777777" w:rsidR="0019537C" w:rsidRPr="00A3585E" w:rsidRDefault="0019537C" w:rsidP="00FD229D">
            <w:pPr>
              <w:ind w:left="0"/>
              <w:rPr>
                <w:b w:val="0"/>
                <w:bCs/>
                <w:sz w:val="20"/>
                <w:szCs w:val="20"/>
              </w:rPr>
            </w:pPr>
            <w:r w:rsidRPr="00A3585E">
              <w:rPr>
                <w:bCs/>
                <w:sz w:val="20"/>
                <w:szCs w:val="20"/>
              </w:rPr>
              <w:t>Grade 2</w:t>
            </w:r>
          </w:p>
        </w:tc>
        <w:tc>
          <w:tcPr>
            <w:tcW w:w="2278" w:type="dxa"/>
          </w:tcPr>
          <w:p w14:paraId="300E9380" w14:textId="77777777" w:rsidR="0019537C" w:rsidRPr="00A3585E" w:rsidRDefault="0019537C" w:rsidP="00FD229D">
            <w:pPr>
              <w:ind w:left="0"/>
              <w:rPr>
                <w:b w:val="0"/>
                <w:bCs/>
                <w:sz w:val="20"/>
                <w:szCs w:val="20"/>
              </w:rPr>
            </w:pPr>
            <w:r w:rsidRPr="00A3585E">
              <w:rPr>
                <w:bCs/>
                <w:sz w:val="20"/>
                <w:szCs w:val="20"/>
              </w:rPr>
              <w:t>Grade 3</w:t>
            </w:r>
          </w:p>
        </w:tc>
        <w:tc>
          <w:tcPr>
            <w:tcW w:w="2410" w:type="dxa"/>
          </w:tcPr>
          <w:p w14:paraId="3A3D6945" w14:textId="77777777" w:rsidR="0019537C" w:rsidRPr="00A3585E" w:rsidRDefault="0019537C" w:rsidP="00FD229D">
            <w:pPr>
              <w:ind w:left="0"/>
              <w:rPr>
                <w:b w:val="0"/>
                <w:bCs/>
                <w:szCs w:val="19"/>
              </w:rPr>
            </w:pPr>
            <w:r w:rsidRPr="00A3585E">
              <w:rPr>
                <w:bCs/>
                <w:szCs w:val="19"/>
              </w:rPr>
              <w:t>Grade 4</w:t>
            </w:r>
          </w:p>
        </w:tc>
      </w:tr>
      <w:tr w:rsidR="0019537C" w:rsidRPr="00A3585E" w14:paraId="09C410D7" w14:textId="77777777" w:rsidTr="00FD229D">
        <w:trPr>
          <w:trHeight w:val="20"/>
        </w:trPr>
        <w:tc>
          <w:tcPr>
            <w:tcW w:w="1550" w:type="dxa"/>
          </w:tcPr>
          <w:p w14:paraId="4BE5B20A"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Confirmed pneumonitis</w:t>
            </w:r>
          </w:p>
        </w:tc>
        <w:tc>
          <w:tcPr>
            <w:tcW w:w="7381" w:type="dxa"/>
            <w:gridSpan w:val="4"/>
          </w:tcPr>
          <w:p w14:paraId="45EBFFE0"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Permanently discontinue.</w:t>
            </w:r>
          </w:p>
        </w:tc>
      </w:tr>
      <w:tr w:rsidR="0019537C" w:rsidRPr="00A3585E" w14:paraId="05EA6A5B" w14:textId="77777777" w:rsidTr="00FD229D">
        <w:trPr>
          <w:trHeight w:val="20"/>
        </w:trPr>
        <w:tc>
          <w:tcPr>
            <w:tcW w:w="1550" w:type="dxa"/>
          </w:tcPr>
          <w:p w14:paraId="41C6C120"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Other non-haematological toxicities</w:t>
            </w:r>
          </w:p>
        </w:tc>
        <w:tc>
          <w:tcPr>
            <w:tcW w:w="1134" w:type="dxa"/>
          </w:tcPr>
          <w:p w14:paraId="00EBCB3C"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No change to dose</w:t>
            </w:r>
          </w:p>
        </w:tc>
        <w:tc>
          <w:tcPr>
            <w:tcW w:w="1559" w:type="dxa"/>
          </w:tcPr>
          <w:p w14:paraId="70E071C5"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If intolerable, recurrent, or uncontrolled by supportive measures:</w:t>
            </w:r>
          </w:p>
          <w:p w14:paraId="6D797C84"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Withhold until resolved</w:t>
            </w:r>
          </w:p>
          <w:p w14:paraId="68AAB32F"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Resume at reduced dose</w:t>
            </w:r>
          </w:p>
        </w:tc>
        <w:tc>
          <w:tcPr>
            <w:tcW w:w="2278" w:type="dxa"/>
          </w:tcPr>
          <w:p w14:paraId="77A90D2E" w14:textId="038B30F9"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Withhold until ≤</w:t>
            </w:r>
            <w:r w:rsidR="00061EED">
              <w:rPr>
                <w:color w:val="auto"/>
                <w:szCs w:val="19"/>
              </w:rPr>
              <w:t> </w:t>
            </w:r>
            <w:r w:rsidRPr="00A3585E">
              <w:rPr>
                <w:color w:val="auto"/>
                <w:szCs w:val="19"/>
              </w:rPr>
              <w:t>Grade 1 or baseline</w:t>
            </w:r>
          </w:p>
          <w:p w14:paraId="2B6B8843"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Resume at reduced dose, or same dose, based on clinical judgement</w:t>
            </w:r>
          </w:p>
        </w:tc>
        <w:tc>
          <w:tcPr>
            <w:tcW w:w="2410" w:type="dxa"/>
          </w:tcPr>
          <w:p w14:paraId="57573134" w14:textId="4588F259"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Withhold until ≤</w:t>
            </w:r>
            <w:r w:rsidR="00061EED">
              <w:rPr>
                <w:color w:val="auto"/>
                <w:szCs w:val="19"/>
              </w:rPr>
              <w:t> </w:t>
            </w:r>
            <w:r w:rsidRPr="00A3585E">
              <w:rPr>
                <w:color w:val="auto"/>
                <w:szCs w:val="19"/>
              </w:rPr>
              <w:t>Grade</w:t>
            </w:r>
            <w:r w:rsidR="00061EED">
              <w:rPr>
                <w:color w:val="auto"/>
                <w:szCs w:val="19"/>
              </w:rPr>
              <w:t> </w:t>
            </w:r>
            <w:r w:rsidRPr="00A3585E">
              <w:rPr>
                <w:color w:val="auto"/>
                <w:szCs w:val="19"/>
              </w:rPr>
              <w:t>1 or baseline</w:t>
            </w:r>
          </w:p>
          <w:p w14:paraId="470780F1"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Resume at reduced dose, or discontinue, based on clinical judgement</w:t>
            </w:r>
          </w:p>
        </w:tc>
      </w:tr>
      <w:tr w:rsidR="0019537C" w:rsidRPr="00A3585E" w14:paraId="0D2859B3" w14:textId="77777777" w:rsidTr="00FD229D">
        <w:trPr>
          <w:trHeight w:val="20"/>
        </w:trPr>
        <w:tc>
          <w:tcPr>
            <w:tcW w:w="1550" w:type="dxa"/>
          </w:tcPr>
          <w:p w14:paraId="0CFEDF82"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Haematological toxicities</w:t>
            </w:r>
          </w:p>
        </w:tc>
        <w:tc>
          <w:tcPr>
            <w:tcW w:w="1134" w:type="dxa"/>
          </w:tcPr>
          <w:p w14:paraId="28D1256A"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No change to dose</w:t>
            </w:r>
          </w:p>
        </w:tc>
        <w:tc>
          <w:tcPr>
            <w:tcW w:w="1559" w:type="dxa"/>
          </w:tcPr>
          <w:p w14:paraId="7A952D45" w14:textId="77777777" w:rsidR="0019537C" w:rsidRPr="00A3585E" w:rsidRDefault="0019537C" w:rsidP="008B3CF0">
            <w:pPr>
              <w:pStyle w:val="Tabletextbulleted"/>
              <w:keepNext/>
              <w:numPr>
                <w:ilvl w:val="0"/>
                <w:numId w:val="0"/>
              </w:numPr>
              <w:ind w:right="0"/>
              <w:rPr>
                <w:color w:val="auto"/>
                <w:szCs w:val="19"/>
              </w:rPr>
            </w:pPr>
            <w:r w:rsidRPr="00A3585E">
              <w:rPr>
                <w:color w:val="auto"/>
                <w:szCs w:val="19"/>
              </w:rPr>
              <w:t>No change to dose</w:t>
            </w:r>
          </w:p>
        </w:tc>
        <w:tc>
          <w:tcPr>
            <w:tcW w:w="2278" w:type="dxa"/>
          </w:tcPr>
          <w:p w14:paraId="47F6A122" w14:textId="45936FD3"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Withhold until ≤</w:t>
            </w:r>
            <w:r w:rsidR="00FD229D" w:rsidRPr="00A3585E">
              <w:rPr>
                <w:color w:val="auto"/>
                <w:szCs w:val="19"/>
              </w:rPr>
              <w:t xml:space="preserve"> </w:t>
            </w:r>
            <w:r w:rsidRPr="00A3585E">
              <w:rPr>
                <w:color w:val="auto"/>
                <w:szCs w:val="19"/>
              </w:rPr>
              <w:t>Grade 2 or baseline</w:t>
            </w:r>
          </w:p>
          <w:p w14:paraId="5B9072F0"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Resume at reduced dose, or same dose, based on clinical judgement</w:t>
            </w:r>
          </w:p>
        </w:tc>
        <w:tc>
          <w:tcPr>
            <w:tcW w:w="2410" w:type="dxa"/>
          </w:tcPr>
          <w:p w14:paraId="4F963601" w14:textId="4723DAF3"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Withhold until ≤</w:t>
            </w:r>
            <w:r w:rsidR="00FD229D" w:rsidRPr="00A3585E">
              <w:rPr>
                <w:color w:val="auto"/>
                <w:szCs w:val="19"/>
              </w:rPr>
              <w:t xml:space="preserve"> </w:t>
            </w:r>
            <w:r w:rsidRPr="00A3585E">
              <w:rPr>
                <w:color w:val="auto"/>
                <w:szCs w:val="19"/>
              </w:rPr>
              <w:t>Grade 2 or baseline</w:t>
            </w:r>
          </w:p>
          <w:p w14:paraId="50A2B5E1" w14:textId="77777777" w:rsidR="0019537C" w:rsidRPr="00A3585E" w:rsidRDefault="0019537C" w:rsidP="008B3CF0">
            <w:pPr>
              <w:pStyle w:val="Tabletextbulleted"/>
              <w:keepNext/>
              <w:numPr>
                <w:ilvl w:val="0"/>
                <w:numId w:val="17"/>
              </w:numPr>
              <w:ind w:left="228" w:right="0" w:hanging="228"/>
              <w:rPr>
                <w:color w:val="auto"/>
                <w:szCs w:val="19"/>
              </w:rPr>
            </w:pPr>
            <w:r w:rsidRPr="00A3585E">
              <w:rPr>
                <w:color w:val="auto"/>
                <w:szCs w:val="19"/>
              </w:rPr>
              <w:t>Resume at reduced dose, or discontinue, based on clinical judgement</w:t>
            </w:r>
          </w:p>
        </w:tc>
      </w:tr>
    </w:tbl>
    <w:p w14:paraId="6005DD26" w14:textId="77777777" w:rsidR="0019537C" w:rsidRPr="00FD229D" w:rsidRDefault="0019537C" w:rsidP="00FD229D">
      <w:pPr>
        <w:pStyle w:val="Heading5"/>
      </w:pPr>
      <w:r w:rsidRPr="00FD229D">
        <w:t>Exposure</w:t>
      </w:r>
    </w:p>
    <w:p w14:paraId="5C01F2B0" w14:textId="2C9860DE" w:rsidR="0019537C" w:rsidRDefault="0019537C" w:rsidP="0019537C">
      <w:r>
        <w:t>Disposition and e</w:t>
      </w:r>
      <w:r w:rsidRPr="00760385">
        <w:t xml:space="preserve">xposure to study treatment for the </w:t>
      </w:r>
      <w:r>
        <w:t xml:space="preserve">primary and pooled </w:t>
      </w:r>
      <w:r w:rsidRPr="00760385">
        <w:t>safety population</w:t>
      </w:r>
      <w:r>
        <w:t>s</w:t>
      </w:r>
      <w:r w:rsidRPr="00760385">
        <w:t xml:space="preserve"> </w:t>
      </w:r>
      <w:r>
        <w:t>are</w:t>
      </w:r>
      <w:r w:rsidRPr="00760385">
        <w:t xml:space="preserve"> summarised in </w:t>
      </w:r>
      <w:r w:rsidRPr="00760385">
        <w:fldChar w:fldCharType="begin"/>
      </w:r>
      <w:r w:rsidRPr="00760385">
        <w:instrText xml:space="preserve"> REF _Ref77939934 \h  \* MERGEFORMAT </w:instrText>
      </w:r>
      <w:r w:rsidRPr="00760385">
        <w:fldChar w:fldCharType="separate"/>
      </w:r>
      <w:r w:rsidR="00301E36" w:rsidRPr="00FD229D">
        <w:t xml:space="preserve">Table </w:t>
      </w:r>
      <w:r w:rsidR="00301E36">
        <w:rPr>
          <w:noProof/>
        </w:rPr>
        <w:t>12</w:t>
      </w:r>
      <w:r w:rsidRPr="00760385">
        <w:fldChar w:fldCharType="end"/>
      </w:r>
      <w:r w:rsidRPr="00760385">
        <w:t>.</w:t>
      </w:r>
    </w:p>
    <w:p w14:paraId="51C83BC1" w14:textId="1C810FFC" w:rsidR="0019537C" w:rsidRPr="00760385" w:rsidRDefault="0019537C" w:rsidP="00FD229D">
      <w:pPr>
        <w:pStyle w:val="TableTitle"/>
      </w:pPr>
      <w:bookmarkStart w:id="105" w:name="_Ref77939934"/>
      <w:r w:rsidRPr="00FD229D">
        <w:lastRenderedPageBreak/>
        <w:t xml:space="preserve">Table </w:t>
      </w:r>
      <w:r w:rsidR="003F5EF5">
        <w:fldChar w:fldCharType="begin"/>
      </w:r>
      <w:r w:rsidR="003F5EF5">
        <w:instrText xml:space="preserve"> SEQ Table \* ARABIC </w:instrText>
      </w:r>
      <w:r w:rsidR="003F5EF5">
        <w:fldChar w:fldCharType="separate"/>
      </w:r>
      <w:r w:rsidR="00301E36">
        <w:rPr>
          <w:noProof/>
        </w:rPr>
        <w:t>12</w:t>
      </w:r>
      <w:r w:rsidR="003F5EF5">
        <w:rPr>
          <w:noProof/>
        </w:rPr>
        <w:fldChar w:fldCharType="end"/>
      </w:r>
      <w:bookmarkEnd w:id="105"/>
      <w:r w:rsidRPr="00760385">
        <w:t xml:space="preserve">. Disposition and exposure </w:t>
      </w:r>
      <w:r>
        <w:t xml:space="preserve">in the primary and pooled safety populations </w:t>
      </w:r>
      <w:r w:rsidR="00FD229D">
        <w:t>(</w:t>
      </w:r>
      <w:r w:rsidR="00061EED">
        <w:t>d</w:t>
      </w:r>
      <w:r w:rsidR="00FD229D">
        <w:t>ata</w:t>
      </w:r>
      <w:r w:rsidR="00061EED">
        <w:t> </w:t>
      </w:r>
      <w:r w:rsidR="00FD229D">
        <w:t>cut off:</w:t>
      </w:r>
      <w:r w:rsidRPr="00760385">
        <w:t xml:space="preserve"> 29 May 2020</w:t>
      </w:r>
      <w:r w:rsidR="00FD229D">
        <w:t>)</w:t>
      </w:r>
    </w:p>
    <w:tbl>
      <w:tblPr>
        <w:tblStyle w:val="TableTGAblue"/>
        <w:tblW w:w="8779" w:type="dxa"/>
        <w:tblLayout w:type="fixed"/>
        <w:tblLook w:val="01E0" w:firstRow="1" w:lastRow="1" w:firstColumn="1" w:lastColumn="1" w:noHBand="0" w:noVBand="0"/>
      </w:tblPr>
      <w:tblGrid>
        <w:gridCol w:w="1610"/>
        <w:gridCol w:w="2491"/>
        <w:gridCol w:w="2410"/>
        <w:gridCol w:w="2268"/>
      </w:tblGrid>
      <w:tr w:rsidR="0019537C" w:rsidRPr="00A3585E" w14:paraId="6600DA4B" w14:textId="77777777" w:rsidTr="00FD229D">
        <w:trPr>
          <w:cnfStyle w:val="100000000000" w:firstRow="1" w:lastRow="0" w:firstColumn="0" w:lastColumn="0" w:oddVBand="0" w:evenVBand="0" w:oddHBand="0" w:evenHBand="0" w:firstRowFirstColumn="0" w:firstRowLastColumn="0" w:lastRowFirstColumn="0" w:lastRowLastColumn="0"/>
          <w:trHeight w:val="454"/>
        </w:trPr>
        <w:tc>
          <w:tcPr>
            <w:tcW w:w="4101" w:type="dxa"/>
            <w:gridSpan w:val="2"/>
          </w:tcPr>
          <w:p w14:paraId="09A93196" w14:textId="77777777" w:rsidR="0019537C" w:rsidRPr="00A3585E" w:rsidRDefault="0019537C" w:rsidP="008B3CF0">
            <w:pPr>
              <w:rPr>
                <w:b w:val="0"/>
                <w:bCs/>
                <w:szCs w:val="19"/>
              </w:rPr>
            </w:pPr>
            <w:bookmarkStart w:id="106" w:name="_Hlk96096522"/>
            <w:bookmarkStart w:id="107" w:name="_Hlk95923868"/>
          </w:p>
        </w:tc>
        <w:tc>
          <w:tcPr>
            <w:tcW w:w="2410" w:type="dxa"/>
          </w:tcPr>
          <w:p w14:paraId="3ADFEC22" w14:textId="77777777" w:rsidR="0019537C" w:rsidRPr="00247F49" w:rsidRDefault="0019537C" w:rsidP="008B3CF0">
            <w:pPr>
              <w:jc w:val="center"/>
              <w:rPr>
                <w:b w:val="0"/>
                <w:bCs/>
                <w:sz w:val="20"/>
                <w:szCs w:val="20"/>
              </w:rPr>
            </w:pPr>
            <w:r w:rsidRPr="00247F49">
              <w:rPr>
                <w:bCs/>
                <w:sz w:val="20"/>
                <w:szCs w:val="20"/>
              </w:rPr>
              <w:t>Primary safety population (n=114)</w:t>
            </w:r>
          </w:p>
        </w:tc>
        <w:tc>
          <w:tcPr>
            <w:tcW w:w="2268" w:type="dxa"/>
          </w:tcPr>
          <w:p w14:paraId="3B72A75F" w14:textId="77777777" w:rsidR="0019537C" w:rsidRPr="00247F49" w:rsidRDefault="0019537C" w:rsidP="008B3CF0">
            <w:pPr>
              <w:jc w:val="center"/>
              <w:rPr>
                <w:b w:val="0"/>
                <w:bCs/>
                <w:sz w:val="20"/>
                <w:szCs w:val="20"/>
              </w:rPr>
            </w:pPr>
            <w:r w:rsidRPr="00247F49">
              <w:rPr>
                <w:bCs/>
                <w:sz w:val="20"/>
                <w:szCs w:val="20"/>
              </w:rPr>
              <w:t>Pooled safety population</w:t>
            </w:r>
          </w:p>
          <w:p w14:paraId="388BCB3E" w14:textId="77777777" w:rsidR="0019537C" w:rsidRPr="00247F49" w:rsidRDefault="0019537C" w:rsidP="008B3CF0">
            <w:pPr>
              <w:jc w:val="center"/>
              <w:rPr>
                <w:b w:val="0"/>
                <w:bCs/>
                <w:sz w:val="20"/>
                <w:szCs w:val="20"/>
              </w:rPr>
            </w:pPr>
            <w:r w:rsidRPr="00247F49">
              <w:rPr>
                <w:bCs/>
                <w:sz w:val="20"/>
                <w:szCs w:val="20"/>
              </w:rPr>
              <w:t>(n=256)</w:t>
            </w:r>
          </w:p>
        </w:tc>
      </w:tr>
      <w:tr w:rsidR="0019537C" w:rsidRPr="00A3585E" w14:paraId="687DAD1F" w14:textId="77777777" w:rsidTr="00FD229D">
        <w:trPr>
          <w:trHeight w:val="20"/>
        </w:trPr>
        <w:tc>
          <w:tcPr>
            <w:tcW w:w="8779" w:type="dxa"/>
            <w:gridSpan w:val="4"/>
          </w:tcPr>
          <w:p w14:paraId="49C3681B" w14:textId="77777777" w:rsidR="0019537C" w:rsidRPr="00A3585E" w:rsidRDefault="0019537C" w:rsidP="00FD229D">
            <w:pPr>
              <w:keepNext/>
              <w:ind w:left="0"/>
              <w:rPr>
                <w:b/>
                <w:bCs/>
                <w:sz w:val="20"/>
                <w:szCs w:val="20"/>
              </w:rPr>
            </w:pPr>
            <w:bookmarkStart w:id="108" w:name="_Hlk101449784"/>
            <w:bookmarkEnd w:id="106"/>
            <w:r w:rsidRPr="00A3585E">
              <w:rPr>
                <w:b/>
                <w:bCs/>
                <w:sz w:val="20"/>
                <w:szCs w:val="20"/>
              </w:rPr>
              <w:t>Disposition</w:t>
            </w:r>
          </w:p>
        </w:tc>
      </w:tr>
      <w:tr w:rsidR="0019537C" w:rsidRPr="00A3585E" w14:paraId="6926F9B6" w14:textId="77777777" w:rsidTr="00FD229D">
        <w:trPr>
          <w:trHeight w:val="20"/>
        </w:trPr>
        <w:tc>
          <w:tcPr>
            <w:tcW w:w="4101" w:type="dxa"/>
            <w:gridSpan w:val="2"/>
          </w:tcPr>
          <w:p w14:paraId="38676BE2" w14:textId="77777777" w:rsidR="0019537C" w:rsidRPr="00A3585E" w:rsidRDefault="0019537C" w:rsidP="00FD229D">
            <w:pPr>
              <w:keepNext/>
              <w:ind w:left="0"/>
              <w:rPr>
                <w:sz w:val="20"/>
                <w:szCs w:val="20"/>
              </w:rPr>
            </w:pPr>
            <w:r w:rsidRPr="00A3585E">
              <w:rPr>
                <w:sz w:val="20"/>
                <w:szCs w:val="20"/>
              </w:rPr>
              <w:t>Patients ongoing on treatment, n (%)</w:t>
            </w:r>
          </w:p>
        </w:tc>
        <w:tc>
          <w:tcPr>
            <w:tcW w:w="2410" w:type="dxa"/>
          </w:tcPr>
          <w:p w14:paraId="72A28CF9" w14:textId="77777777" w:rsidR="0019537C" w:rsidRPr="00A3585E" w:rsidRDefault="0019537C" w:rsidP="008B3CF0">
            <w:pPr>
              <w:keepNext/>
              <w:jc w:val="center"/>
              <w:rPr>
                <w:sz w:val="20"/>
                <w:szCs w:val="20"/>
              </w:rPr>
            </w:pPr>
            <w:r w:rsidRPr="00A3585E">
              <w:rPr>
                <w:sz w:val="20"/>
                <w:szCs w:val="20"/>
              </w:rPr>
              <w:t>38 (33)</w:t>
            </w:r>
          </w:p>
        </w:tc>
        <w:tc>
          <w:tcPr>
            <w:tcW w:w="2268" w:type="dxa"/>
          </w:tcPr>
          <w:p w14:paraId="61071E6C" w14:textId="77777777" w:rsidR="0019537C" w:rsidRPr="00A3585E" w:rsidRDefault="0019537C" w:rsidP="008B3CF0">
            <w:pPr>
              <w:keepNext/>
              <w:jc w:val="center"/>
              <w:rPr>
                <w:sz w:val="20"/>
                <w:szCs w:val="20"/>
              </w:rPr>
            </w:pPr>
            <w:r w:rsidRPr="00A3585E">
              <w:rPr>
                <w:sz w:val="20"/>
                <w:szCs w:val="20"/>
              </w:rPr>
              <w:t>75 (29)</w:t>
            </w:r>
          </w:p>
        </w:tc>
      </w:tr>
      <w:tr w:rsidR="0019537C" w:rsidRPr="00A3585E" w14:paraId="0465989C" w14:textId="77777777" w:rsidTr="00FD229D">
        <w:trPr>
          <w:trHeight w:val="20"/>
        </w:trPr>
        <w:tc>
          <w:tcPr>
            <w:tcW w:w="4101" w:type="dxa"/>
            <w:gridSpan w:val="2"/>
          </w:tcPr>
          <w:p w14:paraId="1746AB36" w14:textId="77777777" w:rsidR="0019537C" w:rsidRPr="00A3585E" w:rsidRDefault="0019537C" w:rsidP="00FD229D">
            <w:pPr>
              <w:keepNext/>
              <w:ind w:left="0"/>
              <w:rPr>
                <w:sz w:val="20"/>
                <w:szCs w:val="20"/>
              </w:rPr>
            </w:pPr>
            <w:bookmarkStart w:id="109" w:name="_Hlk101536654"/>
            <w:r w:rsidRPr="00A3585E">
              <w:rPr>
                <w:sz w:val="20"/>
                <w:szCs w:val="20"/>
              </w:rPr>
              <w:t>Patients who discontinued treatment, n (%)</w:t>
            </w:r>
          </w:p>
        </w:tc>
        <w:tc>
          <w:tcPr>
            <w:tcW w:w="2410" w:type="dxa"/>
          </w:tcPr>
          <w:p w14:paraId="0D230645" w14:textId="77777777" w:rsidR="0019537C" w:rsidRPr="00A3585E" w:rsidRDefault="0019537C" w:rsidP="008B3CF0">
            <w:pPr>
              <w:keepNext/>
              <w:jc w:val="center"/>
              <w:rPr>
                <w:sz w:val="20"/>
                <w:szCs w:val="20"/>
              </w:rPr>
            </w:pPr>
            <w:r w:rsidRPr="00A3585E">
              <w:rPr>
                <w:sz w:val="20"/>
                <w:szCs w:val="20"/>
              </w:rPr>
              <w:t>76 (67)</w:t>
            </w:r>
          </w:p>
        </w:tc>
        <w:tc>
          <w:tcPr>
            <w:tcW w:w="2268" w:type="dxa"/>
          </w:tcPr>
          <w:p w14:paraId="13B43BC4" w14:textId="77777777" w:rsidR="0019537C" w:rsidRPr="00A3585E" w:rsidRDefault="0019537C" w:rsidP="008B3CF0">
            <w:pPr>
              <w:keepNext/>
              <w:jc w:val="center"/>
              <w:rPr>
                <w:sz w:val="20"/>
                <w:szCs w:val="20"/>
              </w:rPr>
            </w:pPr>
            <w:r w:rsidRPr="00A3585E">
              <w:rPr>
                <w:sz w:val="20"/>
                <w:szCs w:val="20"/>
              </w:rPr>
              <w:t>181 (71)</w:t>
            </w:r>
          </w:p>
        </w:tc>
      </w:tr>
      <w:bookmarkEnd w:id="107"/>
      <w:tr w:rsidR="0019537C" w:rsidRPr="00A3585E" w14:paraId="5710C476" w14:textId="77777777" w:rsidTr="007705B7">
        <w:trPr>
          <w:trHeight w:val="20"/>
        </w:trPr>
        <w:tc>
          <w:tcPr>
            <w:tcW w:w="1610" w:type="dxa"/>
            <w:vMerge w:val="restart"/>
          </w:tcPr>
          <w:p w14:paraId="489C5A4F" w14:textId="77777777" w:rsidR="0019537C" w:rsidRPr="00A3585E" w:rsidRDefault="0019537C" w:rsidP="00FD229D">
            <w:pPr>
              <w:keepNext/>
              <w:ind w:left="0"/>
              <w:rPr>
                <w:sz w:val="20"/>
                <w:szCs w:val="20"/>
              </w:rPr>
            </w:pPr>
            <w:r w:rsidRPr="00A3585E">
              <w:rPr>
                <w:sz w:val="20"/>
                <w:szCs w:val="20"/>
              </w:rPr>
              <w:t>Reason treatment discontinued*</w:t>
            </w:r>
          </w:p>
        </w:tc>
        <w:tc>
          <w:tcPr>
            <w:tcW w:w="2491" w:type="dxa"/>
          </w:tcPr>
          <w:p w14:paraId="31416709" w14:textId="77777777" w:rsidR="0019537C" w:rsidRPr="00A3585E" w:rsidRDefault="0019537C" w:rsidP="00FD229D">
            <w:pPr>
              <w:keepNext/>
              <w:ind w:left="0"/>
              <w:rPr>
                <w:sz w:val="20"/>
                <w:szCs w:val="20"/>
              </w:rPr>
            </w:pPr>
            <w:r w:rsidRPr="00A3585E">
              <w:rPr>
                <w:sz w:val="20"/>
                <w:szCs w:val="20"/>
              </w:rPr>
              <w:t>Adverse event</w:t>
            </w:r>
          </w:p>
        </w:tc>
        <w:tc>
          <w:tcPr>
            <w:tcW w:w="0" w:type="dxa"/>
          </w:tcPr>
          <w:p w14:paraId="351A920C" w14:textId="77777777" w:rsidR="0019537C" w:rsidRPr="00A3585E" w:rsidRDefault="0019537C" w:rsidP="008B3CF0">
            <w:pPr>
              <w:keepNext/>
              <w:jc w:val="center"/>
              <w:rPr>
                <w:sz w:val="20"/>
                <w:szCs w:val="20"/>
              </w:rPr>
            </w:pPr>
            <w:r w:rsidRPr="00A3585E">
              <w:rPr>
                <w:sz w:val="20"/>
                <w:szCs w:val="20"/>
              </w:rPr>
              <w:t>14 (18)</w:t>
            </w:r>
          </w:p>
        </w:tc>
        <w:tc>
          <w:tcPr>
            <w:tcW w:w="0" w:type="dxa"/>
          </w:tcPr>
          <w:p w14:paraId="57619EAA" w14:textId="77777777" w:rsidR="0019537C" w:rsidRPr="00A3585E" w:rsidRDefault="0019537C" w:rsidP="008B3CF0">
            <w:pPr>
              <w:keepNext/>
              <w:jc w:val="center"/>
              <w:rPr>
                <w:sz w:val="20"/>
                <w:szCs w:val="20"/>
              </w:rPr>
            </w:pPr>
            <w:r w:rsidRPr="00A3585E">
              <w:rPr>
                <w:sz w:val="20"/>
                <w:szCs w:val="20"/>
              </w:rPr>
              <w:t>28 (11)</w:t>
            </w:r>
          </w:p>
        </w:tc>
      </w:tr>
      <w:tr w:rsidR="0019537C" w:rsidRPr="00A3585E" w14:paraId="4110E8F4" w14:textId="77777777" w:rsidTr="007705B7">
        <w:trPr>
          <w:trHeight w:val="20"/>
        </w:trPr>
        <w:tc>
          <w:tcPr>
            <w:tcW w:w="1610" w:type="dxa"/>
            <w:vMerge/>
          </w:tcPr>
          <w:p w14:paraId="394DC181" w14:textId="77777777" w:rsidR="0019537C" w:rsidRPr="00A3585E" w:rsidRDefault="0019537C" w:rsidP="008B3CF0">
            <w:pPr>
              <w:keepNext/>
              <w:rPr>
                <w:sz w:val="20"/>
                <w:szCs w:val="20"/>
              </w:rPr>
            </w:pPr>
          </w:p>
        </w:tc>
        <w:tc>
          <w:tcPr>
            <w:tcW w:w="2491" w:type="dxa"/>
          </w:tcPr>
          <w:p w14:paraId="77053525" w14:textId="77777777" w:rsidR="0019537C" w:rsidRPr="00A3585E" w:rsidRDefault="0019537C" w:rsidP="00FD229D">
            <w:pPr>
              <w:keepNext/>
              <w:ind w:left="0"/>
              <w:rPr>
                <w:sz w:val="20"/>
                <w:szCs w:val="20"/>
              </w:rPr>
            </w:pPr>
            <w:r w:rsidRPr="00A3585E">
              <w:rPr>
                <w:sz w:val="20"/>
                <w:szCs w:val="20"/>
              </w:rPr>
              <w:t>Clinical progression</w:t>
            </w:r>
          </w:p>
        </w:tc>
        <w:tc>
          <w:tcPr>
            <w:tcW w:w="0" w:type="dxa"/>
          </w:tcPr>
          <w:p w14:paraId="1DD4D0FE" w14:textId="77777777" w:rsidR="0019537C" w:rsidRPr="00A3585E" w:rsidRDefault="0019537C" w:rsidP="008B3CF0">
            <w:pPr>
              <w:keepNext/>
              <w:jc w:val="center"/>
              <w:rPr>
                <w:sz w:val="20"/>
                <w:szCs w:val="20"/>
              </w:rPr>
            </w:pPr>
            <w:r w:rsidRPr="00A3585E">
              <w:rPr>
                <w:sz w:val="20"/>
                <w:szCs w:val="20"/>
              </w:rPr>
              <w:t>25 (33)</w:t>
            </w:r>
          </w:p>
        </w:tc>
        <w:tc>
          <w:tcPr>
            <w:tcW w:w="0" w:type="dxa"/>
          </w:tcPr>
          <w:p w14:paraId="08626031" w14:textId="77777777" w:rsidR="0019537C" w:rsidRPr="00A3585E" w:rsidRDefault="0019537C" w:rsidP="008B3CF0">
            <w:pPr>
              <w:keepNext/>
              <w:jc w:val="center"/>
              <w:rPr>
                <w:sz w:val="20"/>
                <w:szCs w:val="20"/>
              </w:rPr>
            </w:pPr>
            <w:r w:rsidRPr="00A3585E">
              <w:rPr>
                <w:sz w:val="20"/>
                <w:szCs w:val="20"/>
              </w:rPr>
              <w:t>82 (32)</w:t>
            </w:r>
          </w:p>
        </w:tc>
      </w:tr>
      <w:tr w:rsidR="00FD229D" w:rsidRPr="00A3585E" w14:paraId="70A9F630" w14:textId="77777777" w:rsidTr="007705B7">
        <w:trPr>
          <w:trHeight w:val="20"/>
        </w:trPr>
        <w:tc>
          <w:tcPr>
            <w:tcW w:w="1610" w:type="dxa"/>
            <w:vMerge/>
          </w:tcPr>
          <w:p w14:paraId="750608DF" w14:textId="77777777" w:rsidR="00FD229D" w:rsidRPr="00A3585E" w:rsidRDefault="00FD229D" w:rsidP="008B3CF0">
            <w:pPr>
              <w:keepNext/>
              <w:rPr>
                <w:sz w:val="20"/>
                <w:szCs w:val="20"/>
              </w:rPr>
            </w:pPr>
          </w:p>
        </w:tc>
        <w:tc>
          <w:tcPr>
            <w:tcW w:w="2491" w:type="dxa"/>
          </w:tcPr>
          <w:p w14:paraId="038F38D8" w14:textId="344A61BF" w:rsidR="00FD229D" w:rsidRPr="00A3585E" w:rsidRDefault="00FD229D" w:rsidP="00FD229D">
            <w:pPr>
              <w:keepNext/>
              <w:ind w:left="0"/>
              <w:rPr>
                <w:sz w:val="20"/>
                <w:szCs w:val="20"/>
              </w:rPr>
            </w:pPr>
            <w:r w:rsidRPr="00A3585E">
              <w:rPr>
                <w:sz w:val="20"/>
                <w:szCs w:val="20"/>
              </w:rPr>
              <w:t>Radiographic progression</w:t>
            </w:r>
          </w:p>
        </w:tc>
        <w:tc>
          <w:tcPr>
            <w:tcW w:w="0" w:type="dxa"/>
          </w:tcPr>
          <w:p w14:paraId="28846440" w14:textId="17C7D341" w:rsidR="00FD229D" w:rsidRPr="00A3585E" w:rsidRDefault="00FD229D" w:rsidP="008B3CF0">
            <w:pPr>
              <w:keepNext/>
              <w:jc w:val="center"/>
              <w:rPr>
                <w:sz w:val="20"/>
                <w:szCs w:val="20"/>
              </w:rPr>
            </w:pPr>
            <w:r w:rsidRPr="00A3585E">
              <w:rPr>
                <w:sz w:val="20"/>
                <w:szCs w:val="20"/>
              </w:rPr>
              <w:t>24 (32)</w:t>
            </w:r>
          </w:p>
        </w:tc>
        <w:tc>
          <w:tcPr>
            <w:tcW w:w="0" w:type="dxa"/>
          </w:tcPr>
          <w:p w14:paraId="7A06C469" w14:textId="529CE1C1" w:rsidR="00FD229D" w:rsidRPr="00A3585E" w:rsidRDefault="00FD229D" w:rsidP="008B3CF0">
            <w:pPr>
              <w:keepNext/>
              <w:jc w:val="center"/>
              <w:rPr>
                <w:sz w:val="20"/>
                <w:szCs w:val="20"/>
              </w:rPr>
            </w:pPr>
            <w:r w:rsidRPr="00A3585E">
              <w:rPr>
                <w:sz w:val="20"/>
                <w:szCs w:val="20"/>
              </w:rPr>
              <w:t>25 (11)</w:t>
            </w:r>
          </w:p>
        </w:tc>
      </w:tr>
      <w:tr w:rsidR="0019537C" w:rsidRPr="00A3585E" w14:paraId="4AED28EC" w14:textId="77777777" w:rsidTr="007705B7">
        <w:trPr>
          <w:trHeight w:val="20"/>
        </w:trPr>
        <w:tc>
          <w:tcPr>
            <w:tcW w:w="1610" w:type="dxa"/>
            <w:vMerge/>
          </w:tcPr>
          <w:p w14:paraId="1C49D749" w14:textId="77777777" w:rsidR="0019537C" w:rsidRPr="00A3585E" w:rsidRDefault="0019537C" w:rsidP="008B3CF0">
            <w:pPr>
              <w:keepNext/>
              <w:rPr>
                <w:sz w:val="20"/>
                <w:szCs w:val="20"/>
              </w:rPr>
            </w:pPr>
          </w:p>
        </w:tc>
        <w:tc>
          <w:tcPr>
            <w:tcW w:w="2491" w:type="dxa"/>
          </w:tcPr>
          <w:p w14:paraId="57D4C2D1" w14:textId="77777777" w:rsidR="0019537C" w:rsidRPr="00A3585E" w:rsidRDefault="0019537C" w:rsidP="00FD229D">
            <w:pPr>
              <w:keepNext/>
              <w:ind w:left="0"/>
              <w:rPr>
                <w:sz w:val="20"/>
                <w:szCs w:val="20"/>
              </w:rPr>
            </w:pPr>
            <w:r w:rsidRPr="00A3585E">
              <w:rPr>
                <w:sz w:val="20"/>
                <w:szCs w:val="20"/>
              </w:rPr>
              <w:t>Withdrawal by patient</w:t>
            </w:r>
          </w:p>
        </w:tc>
        <w:tc>
          <w:tcPr>
            <w:tcW w:w="0" w:type="dxa"/>
          </w:tcPr>
          <w:p w14:paraId="1842A7B7" w14:textId="77777777" w:rsidR="0019537C" w:rsidRPr="00A3585E" w:rsidRDefault="0019537C" w:rsidP="008B3CF0">
            <w:pPr>
              <w:keepNext/>
              <w:jc w:val="center"/>
              <w:rPr>
                <w:sz w:val="20"/>
                <w:szCs w:val="20"/>
              </w:rPr>
            </w:pPr>
            <w:r w:rsidRPr="00A3585E">
              <w:rPr>
                <w:sz w:val="20"/>
                <w:szCs w:val="20"/>
              </w:rPr>
              <w:t>8 (11)</w:t>
            </w:r>
          </w:p>
        </w:tc>
        <w:tc>
          <w:tcPr>
            <w:tcW w:w="0" w:type="dxa"/>
          </w:tcPr>
          <w:p w14:paraId="5028DE83" w14:textId="77777777" w:rsidR="0019537C" w:rsidRPr="00A3585E" w:rsidRDefault="0019537C" w:rsidP="008B3CF0">
            <w:pPr>
              <w:keepNext/>
              <w:jc w:val="center"/>
              <w:rPr>
                <w:sz w:val="20"/>
                <w:szCs w:val="20"/>
              </w:rPr>
            </w:pPr>
            <w:r w:rsidRPr="00A3585E">
              <w:rPr>
                <w:sz w:val="20"/>
                <w:szCs w:val="20"/>
              </w:rPr>
              <w:t>15 (6)</w:t>
            </w:r>
          </w:p>
        </w:tc>
      </w:tr>
      <w:tr w:rsidR="0019537C" w:rsidRPr="00A3585E" w14:paraId="4E26D27C" w14:textId="77777777" w:rsidTr="007705B7">
        <w:trPr>
          <w:trHeight w:val="20"/>
        </w:trPr>
        <w:tc>
          <w:tcPr>
            <w:tcW w:w="1610" w:type="dxa"/>
            <w:vMerge/>
          </w:tcPr>
          <w:p w14:paraId="0747BDB4" w14:textId="77777777" w:rsidR="0019537C" w:rsidRPr="00A3585E" w:rsidRDefault="0019537C" w:rsidP="008B3CF0">
            <w:pPr>
              <w:keepNext/>
              <w:rPr>
                <w:sz w:val="20"/>
                <w:szCs w:val="20"/>
              </w:rPr>
            </w:pPr>
          </w:p>
        </w:tc>
        <w:tc>
          <w:tcPr>
            <w:tcW w:w="2491" w:type="dxa"/>
          </w:tcPr>
          <w:p w14:paraId="66455F4E" w14:textId="77777777" w:rsidR="0019537C" w:rsidRPr="00A3585E" w:rsidRDefault="0019537C" w:rsidP="00FD229D">
            <w:pPr>
              <w:keepNext/>
              <w:ind w:left="0"/>
              <w:rPr>
                <w:sz w:val="20"/>
                <w:szCs w:val="20"/>
              </w:rPr>
            </w:pPr>
            <w:r w:rsidRPr="00A3585E">
              <w:rPr>
                <w:sz w:val="20"/>
                <w:szCs w:val="20"/>
              </w:rPr>
              <w:t>New treatment</w:t>
            </w:r>
          </w:p>
        </w:tc>
        <w:tc>
          <w:tcPr>
            <w:tcW w:w="0" w:type="dxa"/>
          </w:tcPr>
          <w:p w14:paraId="0E662707" w14:textId="77777777" w:rsidR="0019537C" w:rsidRPr="00A3585E" w:rsidRDefault="0019537C" w:rsidP="008B3CF0">
            <w:pPr>
              <w:keepNext/>
              <w:jc w:val="center"/>
              <w:rPr>
                <w:sz w:val="20"/>
                <w:szCs w:val="20"/>
              </w:rPr>
            </w:pPr>
            <w:r w:rsidRPr="00A3585E">
              <w:rPr>
                <w:sz w:val="20"/>
                <w:szCs w:val="20"/>
              </w:rPr>
              <w:t>2 (3)</w:t>
            </w:r>
          </w:p>
        </w:tc>
        <w:tc>
          <w:tcPr>
            <w:tcW w:w="0" w:type="dxa"/>
          </w:tcPr>
          <w:p w14:paraId="7FF3FC66" w14:textId="77777777" w:rsidR="0019537C" w:rsidRPr="00A3585E" w:rsidRDefault="0019537C" w:rsidP="008B3CF0">
            <w:pPr>
              <w:keepNext/>
              <w:jc w:val="center"/>
              <w:rPr>
                <w:sz w:val="20"/>
                <w:szCs w:val="20"/>
              </w:rPr>
            </w:pPr>
            <w:r w:rsidRPr="00A3585E">
              <w:rPr>
                <w:sz w:val="20"/>
                <w:szCs w:val="20"/>
              </w:rPr>
              <w:t>2 (&lt;1)</w:t>
            </w:r>
          </w:p>
        </w:tc>
      </w:tr>
      <w:tr w:rsidR="0019537C" w:rsidRPr="00A3585E" w14:paraId="0741DE4F" w14:textId="77777777" w:rsidTr="007705B7">
        <w:trPr>
          <w:trHeight w:val="20"/>
        </w:trPr>
        <w:tc>
          <w:tcPr>
            <w:tcW w:w="1610" w:type="dxa"/>
            <w:vMerge/>
          </w:tcPr>
          <w:p w14:paraId="4265BB95" w14:textId="77777777" w:rsidR="0019537C" w:rsidRPr="00A3585E" w:rsidRDefault="0019537C" w:rsidP="008B3CF0">
            <w:pPr>
              <w:keepNext/>
              <w:rPr>
                <w:sz w:val="20"/>
                <w:szCs w:val="20"/>
              </w:rPr>
            </w:pPr>
          </w:p>
        </w:tc>
        <w:tc>
          <w:tcPr>
            <w:tcW w:w="2491" w:type="dxa"/>
          </w:tcPr>
          <w:p w14:paraId="53DA297B" w14:textId="77777777" w:rsidR="0019537C" w:rsidRPr="00A3585E" w:rsidRDefault="0019537C" w:rsidP="00FD229D">
            <w:pPr>
              <w:keepNext/>
              <w:ind w:left="0"/>
              <w:rPr>
                <w:sz w:val="20"/>
                <w:szCs w:val="20"/>
              </w:rPr>
            </w:pPr>
            <w:r w:rsidRPr="00A3585E">
              <w:rPr>
                <w:sz w:val="20"/>
                <w:szCs w:val="20"/>
              </w:rPr>
              <w:t>Other</w:t>
            </w:r>
            <w:r w:rsidRPr="00A3585E">
              <w:rPr>
                <w:rStyle w:val="FootnoteReference"/>
                <w:sz w:val="20"/>
                <w:szCs w:val="20"/>
              </w:rPr>
              <w:footnoteReference w:id="77"/>
            </w:r>
          </w:p>
        </w:tc>
        <w:tc>
          <w:tcPr>
            <w:tcW w:w="0" w:type="dxa"/>
          </w:tcPr>
          <w:p w14:paraId="7376322A" w14:textId="77777777" w:rsidR="0019537C" w:rsidRPr="00A3585E" w:rsidRDefault="0019537C" w:rsidP="008B3CF0">
            <w:pPr>
              <w:keepNext/>
              <w:jc w:val="center"/>
              <w:rPr>
                <w:sz w:val="20"/>
                <w:szCs w:val="20"/>
              </w:rPr>
            </w:pPr>
            <w:r w:rsidRPr="00A3585E">
              <w:rPr>
                <w:sz w:val="20"/>
                <w:szCs w:val="20"/>
              </w:rPr>
              <w:t>3 (4)</w:t>
            </w:r>
          </w:p>
        </w:tc>
        <w:tc>
          <w:tcPr>
            <w:tcW w:w="0" w:type="dxa"/>
          </w:tcPr>
          <w:p w14:paraId="186F7756" w14:textId="77777777" w:rsidR="0019537C" w:rsidRPr="00A3585E" w:rsidRDefault="0019537C" w:rsidP="008B3CF0">
            <w:pPr>
              <w:keepNext/>
              <w:jc w:val="center"/>
              <w:rPr>
                <w:sz w:val="20"/>
                <w:szCs w:val="20"/>
              </w:rPr>
            </w:pPr>
            <w:r w:rsidRPr="00A3585E">
              <w:rPr>
                <w:sz w:val="20"/>
                <w:szCs w:val="20"/>
              </w:rPr>
              <w:t>26 (10)</w:t>
            </w:r>
          </w:p>
        </w:tc>
      </w:tr>
      <w:tr w:rsidR="0019537C" w:rsidRPr="00A3585E" w14:paraId="34FEE3E9" w14:textId="77777777" w:rsidTr="00FD229D">
        <w:trPr>
          <w:trHeight w:val="20"/>
        </w:trPr>
        <w:tc>
          <w:tcPr>
            <w:tcW w:w="4101" w:type="dxa"/>
            <w:gridSpan w:val="2"/>
          </w:tcPr>
          <w:p w14:paraId="04FA3BCB" w14:textId="77777777" w:rsidR="0019537C" w:rsidRPr="00A3585E" w:rsidRDefault="0019537C" w:rsidP="00FD229D">
            <w:pPr>
              <w:keepNext/>
              <w:ind w:left="0"/>
              <w:rPr>
                <w:sz w:val="20"/>
                <w:szCs w:val="20"/>
              </w:rPr>
            </w:pPr>
            <w:r w:rsidRPr="00A3585E">
              <w:rPr>
                <w:sz w:val="20"/>
                <w:szCs w:val="20"/>
              </w:rPr>
              <w:t>Patients ongoing on study, n (%)</w:t>
            </w:r>
          </w:p>
        </w:tc>
        <w:tc>
          <w:tcPr>
            <w:tcW w:w="2410" w:type="dxa"/>
          </w:tcPr>
          <w:p w14:paraId="0ED48BFA" w14:textId="77777777" w:rsidR="0019537C" w:rsidRPr="00A3585E" w:rsidRDefault="0019537C" w:rsidP="008B3CF0">
            <w:pPr>
              <w:keepNext/>
              <w:jc w:val="center"/>
              <w:rPr>
                <w:sz w:val="20"/>
                <w:szCs w:val="20"/>
              </w:rPr>
            </w:pPr>
          </w:p>
        </w:tc>
        <w:tc>
          <w:tcPr>
            <w:tcW w:w="2268" w:type="dxa"/>
          </w:tcPr>
          <w:p w14:paraId="0B0AB643" w14:textId="77777777" w:rsidR="0019537C" w:rsidRPr="00A3585E" w:rsidRDefault="0019537C" w:rsidP="008B3CF0">
            <w:pPr>
              <w:keepNext/>
              <w:jc w:val="center"/>
              <w:rPr>
                <w:sz w:val="20"/>
                <w:szCs w:val="20"/>
              </w:rPr>
            </w:pPr>
          </w:p>
        </w:tc>
      </w:tr>
      <w:tr w:rsidR="0019537C" w:rsidRPr="00A3585E" w14:paraId="3551B72E" w14:textId="77777777" w:rsidTr="00FD229D">
        <w:trPr>
          <w:trHeight w:val="20"/>
        </w:trPr>
        <w:tc>
          <w:tcPr>
            <w:tcW w:w="4101" w:type="dxa"/>
            <w:gridSpan w:val="2"/>
          </w:tcPr>
          <w:p w14:paraId="317A24A2" w14:textId="77777777" w:rsidR="0019537C" w:rsidRPr="00A3585E" w:rsidRDefault="0019537C" w:rsidP="00FD229D">
            <w:pPr>
              <w:keepNext/>
              <w:ind w:left="0"/>
              <w:rPr>
                <w:sz w:val="20"/>
                <w:szCs w:val="20"/>
              </w:rPr>
            </w:pPr>
            <w:r w:rsidRPr="00A3585E">
              <w:rPr>
                <w:sz w:val="20"/>
                <w:szCs w:val="20"/>
              </w:rPr>
              <w:t>Patients who exited the study, n (%)</w:t>
            </w:r>
          </w:p>
        </w:tc>
        <w:tc>
          <w:tcPr>
            <w:tcW w:w="2410" w:type="dxa"/>
          </w:tcPr>
          <w:p w14:paraId="35DC1D2A" w14:textId="77777777" w:rsidR="0019537C" w:rsidRPr="00A3585E" w:rsidRDefault="0019537C" w:rsidP="008B3CF0">
            <w:pPr>
              <w:keepNext/>
              <w:jc w:val="center"/>
              <w:rPr>
                <w:sz w:val="20"/>
                <w:szCs w:val="20"/>
              </w:rPr>
            </w:pPr>
            <w:r w:rsidRPr="00A3585E">
              <w:rPr>
                <w:sz w:val="20"/>
                <w:szCs w:val="20"/>
              </w:rPr>
              <w:t>44 (39)</w:t>
            </w:r>
          </w:p>
        </w:tc>
        <w:tc>
          <w:tcPr>
            <w:tcW w:w="2268" w:type="dxa"/>
          </w:tcPr>
          <w:p w14:paraId="5857A494" w14:textId="77777777" w:rsidR="0019537C" w:rsidRPr="00A3585E" w:rsidRDefault="0019537C" w:rsidP="008B3CF0">
            <w:pPr>
              <w:keepNext/>
              <w:jc w:val="center"/>
              <w:rPr>
                <w:sz w:val="20"/>
                <w:szCs w:val="20"/>
              </w:rPr>
            </w:pPr>
            <w:r w:rsidRPr="00A3585E">
              <w:rPr>
                <w:sz w:val="20"/>
                <w:szCs w:val="20"/>
              </w:rPr>
              <w:t>117 (46)</w:t>
            </w:r>
          </w:p>
        </w:tc>
      </w:tr>
      <w:tr w:rsidR="0019537C" w:rsidRPr="00A3585E" w14:paraId="59890512" w14:textId="77777777" w:rsidTr="007705B7">
        <w:trPr>
          <w:trHeight w:val="20"/>
        </w:trPr>
        <w:tc>
          <w:tcPr>
            <w:tcW w:w="1610" w:type="dxa"/>
            <w:vMerge w:val="restart"/>
          </w:tcPr>
          <w:p w14:paraId="1AED2B64" w14:textId="77777777" w:rsidR="0019537C" w:rsidRPr="00A3585E" w:rsidRDefault="0019537C" w:rsidP="00FD229D">
            <w:pPr>
              <w:keepNext/>
              <w:ind w:left="0"/>
              <w:rPr>
                <w:sz w:val="20"/>
                <w:szCs w:val="20"/>
              </w:rPr>
            </w:pPr>
            <w:r w:rsidRPr="00A3585E">
              <w:rPr>
                <w:sz w:val="20"/>
                <w:szCs w:val="20"/>
              </w:rPr>
              <w:t>Reason treatment discontinued*</w:t>
            </w:r>
          </w:p>
        </w:tc>
        <w:tc>
          <w:tcPr>
            <w:tcW w:w="2491" w:type="dxa"/>
          </w:tcPr>
          <w:p w14:paraId="17A66057" w14:textId="77777777" w:rsidR="0019537C" w:rsidRPr="00A3585E" w:rsidRDefault="0019537C" w:rsidP="00FD229D">
            <w:pPr>
              <w:keepNext/>
              <w:ind w:left="0"/>
              <w:rPr>
                <w:sz w:val="20"/>
                <w:szCs w:val="20"/>
              </w:rPr>
            </w:pPr>
            <w:r w:rsidRPr="00A3585E">
              <w:rPr>
                <w:sz w:val="20"/>
                <w:szCs w:val="20"/>
              </w:rPr>
              <w:t>Death</w:t>
            </w:r>
          </w:p>
        </w:tc>
        <w:tc>
          <w:tcPr>
            <w:tcW w:w="0" w:type="dxa"/>
          </w:tcPr>
          <w:p w14:paraId="64CAA83E" w14:textId="77777777" w:rsidR="0019537C" w:rsidRPr="00A3585E" w:rsidRDefault="0019537C" w:rsidP="008B3CF0">
            <w:pPr>
              <w:keepNext/>
              <w:jc w:val="center"/>
              <w:rPr>
                <w:sz w:val="20"/>
                <w:szCs w:val="20"/>
              </w:rPr>
            </w:pPr>
            <w:r w:rsidRPr="00A3585E">
              <w:rPr>
                <w:sz w:val="20"/>
                <w:szCs w:val="20"/>
              </w:rPr>
              <w:t>30 (68)</w:t>
            </w:r>
          </w:p>
        </w:tc>
        <w:tc>
          <w:tcPr>
            <w:tcW w:w="0" w:type="dxa"/>
          </w:tcPr>
          <w:p w14:paraId="4DA54D08" w14:textId="77777777" w:rsidR="0019537C" w:rsidRPr="00A3585E" w:rsidRDefault="0019537C" w:rsidP="008B3CF0">
            <w:pPr>
              <w:keepNext/>
              <w:jc w:val="center"/>
              <w:rPr>
                <w:sz w:val="20"/>
                <w:szCs w:val="20"/>
              </w:rPr>
            </w:pPr>
            <w:r w:rsidRPr="00A3585E">
              <w:rPr>
                <w:sz w:val="20"/>
                <w:szCs w:val="20"/>
              </w:rPr>
              <w:t xml:space="preserve">71 (28) </w:t>
            </w:r>
          </w:p>
        </w:tc>
      </w:tr>
      <w:tr w:rsidR="0019537C" w:rsidRPr="00A3585E" w14:paraId="3CAB108B" w14:textId="77777777" w:rsidTr="007705B7">
        <w:trPr>
          <w:trHeight w:val="20"/>
        </w:trPr>
        <w:tc>
          <w:tcPr>
            <w:tcW w:w="1610" w:type="dxa"/>
            <w:vMerge/>
          </w:tcPr>
          <w:p w14:paraId="78946338" w14:textId="77777777" w:rsidR="0019537C" w:rsidRPr="00A3585E" w:rsidRDefault="0019537C" w:rsidP="008B3CF0">
            <w:pPr>
              <w:keepNext/>
              <w:rPr>
                <w:sz w:val="20"/>
                <w:szCs w:val="20"/>
              </w:rPr>
            </w:pPr>
          </w:p>
        </w:tc>
        <w:tc>
          <w:tcPr>
            <w:tcW w:w="2491" w:type="dxa"/>
          </w:tcPr>
          <w:p w14:paraId="6FAF59D2" w14:textId="77777777" w:rsidR="0019537C" w:rsidRPr="00A3585E" w:rsidRDefault="0019537C" w:rsidP="00FD229D">
            <w:pPr>
              <w:keepNext/>
              <w:ind w:left="0"/>
              <w:rPr>
                <w:sz w:val="20"/>
                <w:szCs w:val="20"/>
              </w:rPr>
            </w:pPr>
            <w:r w:rsidRPr="00A3585E">
              <w:rPr>
                <w:sz w:val="20"/>
                <w:szCs w:val="20"/>
              </w:rPr>
              <w:t>Adverse event</w:t>
            </w:r>
          </w:p>
        </w:tc>
        <w:tc>
          <w:tcPr>
            <w:tcW w:w="0" w:type="dxa"/>
          </w:tcPr>
          <w:p w14:paraId="3515BE82" w14:textId="77777777" w:rsidR="0019537C" w:rsidRPr="00A3585E" w:rsidRDefault="0019537C" w:rsidP="008B3CF0">
            <w:pPr>
              <w:keepNext/>
              <w:jc w:val="center"/>
              <w:rPr>
                <w:sz w:val="20"/>
                <w:szCs w:val="20"/>
              </w:rPr>
            </w:pPr>
            <w:r w:rsidRPr="00A3585E">
              <w:rPr>
                <w:sz w:val="20"/>
                <w:szCs w:val="20"/>
              </w:rPr>
              <w:t>2 (5)</w:t>
            </w:r>
          </w:p>
        </w:tc>
        <w:tc>
          <w:tcPr>
            <w:tcW w:w="0" w:type="dxa"/>
          </w:tcPr>
          <w:p w14:paraId="1E3A4663" w14:textId="77777777" w:rsidR="0019537C" w:rsidRPr="00A3585E" w:rsidRDefault="0019537C" w:rsidP="008B3CF0">
            <w:pPr>
              <w:keepNext/>
              <w:jc w:val="center"/>
              <w:rPr>
                <w:sz w:val="20"/>
                <w:szCs w:val="20"/>
              </w:rPr>
            </w:pPr>
            <w:r w:rsidRPr="00A3585E">
              <w:rPr>
                <w:sz w:val="20"/>
                <w:szCs w:val="20"/>
              </w:rPr>
              <w:t>2 (&lt;1)</w:t>
            </w:r>
          </w:p>
        </w:tc>
      </w:tr>
      <w:tr w:rsidR="0019537C" w:rsidRPr="00A3585E" w14:paraId="32F99247" w14:textId="77777777" w:rsidTr="007705B7">
        <w:trPr>
          <w:trHeight w:val="20"/>
        </w:trPr>
        <w:tc>
          <w:tcPr>
            <w:tcW w:w="1610" w:type="dxa"/>
            <w:vMerge/>
          </w:tcPr>
          <w:p w14:paraId="09A67067" w14:textId="77777777" w:rsidR="0019537C" w:rsidRPr="00A3585E" w:rsidRDefault="0019537C" w:rsidP="008B3CF0">
            <w:pPr>
              <w:keepNext/>
              <w:rPr>
                <w:sz w:val="20"/>
                <w:szCs w:val="20"/>
              </w:rPr>
            </w:pPr>
          </w:p>
        </w:tc>
        <w:tc>
          <w:tcPr>
            <w:tcW w:w="2491" w:type="dxa"/>
          </w:tcPr>
          <w:p w14:paraId="5132D2F8" w14:textId="77777777" w:rsidR="0019537C" w:rsidRPr="00A3585E" w:rsidRDefault="0019537C" w:rsidP="008B3CF0">
            <w:pPr>
              <w:keepNext/>
              <w:ind w:left="2160" w:hanging="2160"/>
              <w:rPr>
                <w:sz w:val="20"/>
                <w:szCs w:val="20"/>
              </w:rPr>
            </w:pPr>
            <w:r w:rsidRPr="00A3585E">
              <w:rPr>
                <w:sz w:val="20"/>
                <w:szCs w:val="20"/>
              </w:rPr>
              <w:t>Lost to follow-up</w:t>
            </w:r>
          </w:p>
        </w:tc>
        <w:tc>
          <w:tcPr>
            <w:tcW w:w="0" w:type="dxa"/>
          </w:tcPr>
          <w:p w14:paraId="25D44CBC" w14:textId="77777777" w:rsidR="0019537C" w:rsidRPr="00A3585E" w:rsidRDefault="0019537C" w:rsidP="008B3CF0">
            <w:pPr>
              <w:keepNext/>
              <w:jc w:val="center"/>
              <w:rPr>
                <w:sz w:val="20"/>
                <w:szCs w:val="20"/>
              </w:rPr>
            </w:pPr>
            <w:r w:rsidRPr="00A3585E">
              <w:rPr>
                <w:sz w:val="20"/>
                <w:szCs w:val="20"/>
              </w:rPr>
              <w:t>2 (5)</w:t>
            </w:r>
          </w:p>
        </w:tc>
        <w:tc>
          <w:tcPr>
            <w:tcW w:w="0" w:type="dxa"/>
          </w:tcPr>
          <w:p w14:paraId="5C909D90" w14:textId="77777777" w:rsidR="0019537C" w:rsidRPr="00A3585E" w:rsidRDefault="0019537C" w:rsidP="008B3CF0">
            <w:pPr>
              <w:keepNext/>
              <w:jc w:val="center"/>
              <w:rPr>
                <w:sz w:val="20"/>
                <w:szCs w:val="20"/>
              </w:rPr>
            </w:pPr>
            <w:r w:rsidRPr="00A3585E">
              <w:rPr>
                <w:sz w:val="20"/>
                <w:szCs w:val="20"/>
              </w:rPr>
              <w:t>2 (&lt;1)</w:t>
            </w:r>
          </w:p>
        </w:tc>
      </w:tr>
      <w:tr w:rsidR="0019537C" w:rsidRPr="00A3585E" w14:paraId="05EC8452" w14:textId="77777777" w:rsidTr="007705B7">
        <w:trPr>
          <w:trHeight w:val="20"/>
        </w:trPr>
        <w:tc>
          <w:tcPr>
            <w:tcW w:w="1610" w:type="dxa"/>
            <w:vMerge/>
          </w:tcPr>
          <w:p w14:paraId="2B6D7607" w14:textId="77777777" w:rsidR="0019537C" w:rsidRPr="00A3585E" w:rsidRDefault="0019537C" w:rsidP="008B3CF0">
            <w:pPr>
              <w:keepNext/>
              <w:rPr>
                <w:sz w:val="20"/>
                <w:szCs w:val="20"/>
              </w:rPr>
            </w:pPr>
          </w:p>
        </w:tc>
        <w:tc>
          <w:tcPr>
            <w:tcW w:w="2491" w:type="dxa"/>
          </w:tcPr>
          <w:p w14:paraId="2155A1EB" w14:textId="77777777" w:rsidR="0019537C" w:rsidRPr="00A3585E" w:rsidRDefault="0019537C" w:rsidP="00FD229D">
            <w:pPr>
              <w:keepNext/>
              <w:ind w:left="0"/>
              <w:rPr>
                <w:sz w:val="20"/>
                <w:szCs w:val="20"/>
              </w:rPr>
            </w:pPr>
            <w:r w:rsidRPr="00A3585E">
              <w:rPr>
                <w:sz w:val="20"/>
                <w:szCs w:val="20"/>
              </w:rPr>
              <w:t>Patient withdrawal</w:t>
            </w:r>
          </w:p>
        </w:tc>
        <w:tc>
          <w:tcPr>
            <w:tcW w:w="0" w:type="dxa"/>
          </w:tcPr>
          <w:p w14:paraId="6D3170C3" w14:textId="77777777" w:rsidR="0019537C" w:rsidRPr="00A3585E" w:rsidRDefault="0019537C" w:rsidP="008B3CF0">
            <w:pPr>
              <w:keepNext/>
              <w:jc w:val="center"/>
              <w:rPr>
                <w:sz w:val="20"/>
                <w:szCs w:val="20"/>
              </w:rPr>
            </w:pPr>
            <w:r w:rsidRPr="00A3585E">
              <w:rPr>
                <w:sz w:val="20"/>
                <w:szCs w:val="20"/>
              </w:rPr>
              <w:t>6 (14)</w:t>
            </w:r>
          </w:p>
        </w:tc>
        <w:tc>
          <w:tcPr>
            <w:tcW w:w="0" w:type="dxa"/>
          </w:tcPr>
          <w:p w14:paraId="1CBFD21E" w14:textId="77777777" w:rsidR="0019537C" w:rsidRPr="00A3585E" w:rsidRDefault="0019537C" w:rsidP="008B3CF0">
            <w:pPr>
              <w:keepNext/>
              <w:jc w:val="center"/>
              <w:rPr>
                <w:sz w:val="20"/>
                <w:szCs w:val="20"/>
              </w:rPr>
            </w:pPr>
            <w:r w:rsidRPr="00A3585E">
              <w:rPr>
                <w:sz w:val="20"/>
                <w:szCs w:val="20"/>
              </w:rPr>
              <w:t>17 (7)</w:t>
            </w:r>
          </w:p>
        </w:tc>
      </w:tr>
      <w:tr w:rsidR="0019537C" w:rsidRPr="00A3585E" w14:paraId="68394DF6" w14:textId="77777777" w:rsidTr="007705B7">
        <w:trPr>
          <w:trHeight w:val="20"/>
        </w:trPr>
        <w:tc>
          <w:tcPr>
            <w:tcW w:w="1610" w:type="dxa"/>
            <w:vMerge/>
          </w:tcPr>
          <w:p w14:paraId="5D9CF2D6" w14:textId="77777777" w:rsidR="0019537C" w:rsidRPr="00A3585E" w:rsidRDefault="0019537C" w:rsidP="008B3CF0">
            <w:pPr>
              <w:keepNext/>
              <w:rPr>
                <w:sz w:val="20"/>
                <w:szCs w:val="20"/>
              </w:rPr>
            </w:pPr>
          </w:p>
        </w:tc>
        <w:tc>
          <w:tcPr>
            <w:tcW w:w="2491" w:type="dxa"/>
          </w:tcPr>
          <w:p w14:paraId="691CECA8" w14:textId="77777777" w:rsidR="0019537C" w:rsidRPr="00A3585E" w:rsidRDefault="0019537C" w:rsidP="00FD229D">
            <w:pPr>
              <w:keepNext/>
              <w:ind w:left="0"/>
              <w:rPr>
                <w:sz w:val="20"/>
                <w:szCs w:val="20"/>
              </w:rPr>
            </w:pPr>
            <w:r w:rsidRPr="00A3585E">
              <w:rPr>
                <w:sz w:val="20"/>
                <w:szCs w:val="20"/>
              </w:rPr>
              <w:t>Completed</w:t>
            </w:r>
          </w:p>
        </w:tc>
        <w:tc>
          <w:tcPr>
            <w:tcW w:w="0" w:type="dxa"/>
          </w:tcPr>
          <w:p w14:paraId="15AFDEF9" w14:textId="77777777" w:rsidR="0019537C" w:rsidRPr="00A3585E" w:rsidRDefault="0019537C" w:rsidP="008B3CF0">
            <w:pPr>
              <w:keepNext/>
              <w:jc w:val="center"/>
              <w:rPr>
                <w:sz w:val="20"/>
                <w:szCs w:val="20"/>
              </w:rPr>
            </w:pPr>
            <w:r w:rsidRPr="00A3585E">
              <w:rPr>
                <w:sz w:val="20"/>
                <w:szCs w:val="20"/>
              </w:rPr>
              <w:t>N/A</w:t>
            </w:r>
          </w:p>
        </w:tc>
        <w:tc>
          <w:tcPr>
            <w:tcW w:w="0" w:type="dxa"/>
          </w:tcPr>
          <w:p w14:paraId="1709A630" w14:textId="77777777" w:rsidR="0019537C" w:rsidRPr="00A3585E" w:rsidRDefault="0019537C" w:rsidP="008B3CF0">
            <w:pPr>
              <w:keepNext/>
              <w:jc w:val="center"/>
              <w:rPr>
                <w:sz w:val="20"/>
                <w:szCs w:val="20"/>
              </w:rPr>
            </w:pPr>
            <w:r w:rsidRPr="00A3585E">
              <w:rPr>
                <w:sz w:val="20"/>
                <w:szCs w:val="20"/>
              </w:rPr>
              <w:t>9 (4)</w:t>
            </w:r>
          </w:p>
        </w:tc>
      </w:tr>
      <w:tr w:rsidR="0019537C" w:rsidRPr="00A3585E" w14:paraId="5583FC83" w14:textId="77777777" w:rsidTr="007705B7">
        <w:trPr>
          <w:trHeight w:val="20"/>
        </w:trPr>
        <w:tc>
          <w:tcPr>
            <w:tcW w:w="1610" w:type="dxa"/>
            <w:vMerge/>
          </w:tcPr>
          <w:p w14:paraId="7970BDFD" w14:textId="77777777" w:rsidR="0019537C" w:rsidRPr="00A3585E" w:rsidRDefault="0019537C" w:rsidP="008B3CF0">
            <w:pPr>
              <w:keepNext/>
              <w:rPr>
                <w:sz w:val="20"/>
                <w:szCs w:val="20"/>
              </w:rPr>
            </w:pPr>
          </w:p>
        </w:tc>
        <w:tc>
          <w:tcPr>
            <w:tcW w:w="2491" w:type="dxa"/>
          </w:tcPr>
          <w:p w14:paraId="75359B20" w14:textId="77777777" w:rsidR="0019537C" w:rsidRPr="00A3585E" w:rsidRDefault="0019537C" w:rsidP="00FD229D">
            <w:pPr>
              <w:keepNext/>
              <w:ind w:left="0"/>
              <w:rPr>
                <w:sz w:val="20"/>
                <w:szCs w:val="20"/>
              </w:rPr>
            </w:pPr>
            <w:r w:rsidRPr="00A3585E">
              <w:rPr>
                <w:sz w:val="20"/>
                <w:szCs w:val="20"/>
              </w:rPr>
              <w:t>Other</w:t>
            </w:r>
          </w:p>
        </w:tc>
        <w:tc>
          <w:tcPr>
            <w:tcW w:w="0" w:type="dxa"/>
          </w:tcPr>
          <w:p w14:paraId="248D2385" w14:textId="77777777" w:rsidR="0019537C" w:rsidRPr="00A3585E" w:rsidRDefault="0019537C" w:rsidP="008B3CF0">
            <w:pPr>
              <w:keepNext/>
              <w:jc w:val="center"/>
              <w:rPr>
                <w:sz w:val="20"/>
                <w:szCs w:val="20"/>
              </w:rPr>
            </w:pPr>
            <w:r w:rsidRPr="00A3585E">
              <w:rPr>
                <w:sz w:val="20"/>
                <w:szCs w:val="20"/>
              </w:rPr>
              <w:t>4 (9)</w:t>
            </w:r>
          </w:p>
        </w:tc>
        <w:tc>
          <w:tcPr>
            <w:tcW w:w="0" w:type="dxa"/>
          </w:tcPr>
          <w:p w14:paraId="559879C2" w14:textId="77777777" w:rsidR="0019537C" w:rsidRPr="00A3585E" w:rsidRDefault="0019537C" w:rsidP="008B3CF0">
            <w:pPr>
              <w:keepNext/>
              <w:jc w:val="center"/>
              <w:rPr>
                <w:sz w:val="20"/>
                <w:szCs w:val="20"/>
              </w:rPr>
            </w:pPr>
            <w:r w:rsidRPr="00A3585E">
              <w:rPr>
                <w:sz w:val="20"/>
                <w:szCs w:val="20"/>
              </w:rPr>
              <w:t>16 (6)</w:t>
            </w:r>
          </w:p>
        </w:tc>
      </w:tr>
      <w:bookmarkEnd w:id="109"/>
      <w:tr w:rsidR="0019537C" w:rsidRPr="00A3585E" w14:paraId="660068C8" w14:textId="77777777" w:rsidTr="00FD229D">
        <w:trPr>
          <w:trHeight w:val="20"/>
        </w:trPr>
        <w:tc>
          <w:tcPr>
            <w:tcW w:w="8779" w:type="dxa"/>
            <w:gridSpan w:val="4"/>
          </w:tcPr>
          <w:p w14:paraId="437B2327" w14:textId="77777777" w:rsidR="0019537C" w:rsidRPr="00A3585E" w:rsidRDefault="0019537C" w:rsidP="00FD229D">
            <w:pPr>
              <w:keepNext/>
              <w:ind w:left="0"/>
              <w:rPr>
                <w:b/>
                <w:bCs/>
                <w:sz w:val="20"/>
                <w:szCs w:val="20"/>
              </w:rPr>
            </w:pPr>
            <w:r w:rsidRPr="00A3585E">
              <w:rPr>
                <w:b/>
                <w:bCs/>
                <w:sz w:val="20"/>
                <w:szCs w:val="20"/>
              </w:rPr>
              <w:t>Exposure</w:t>
            </w:r>
          </w:p>
        </w:tc>
      </w:tr>
      <w:tr w:rsidR="0019537C" w:rsidRPr="00A3585E" w14:paraId="4E475139" w14:textId="77777777" w:rsidTr="00FD229D">
        <w:trPr>
          <w:trHeight w:val="20"/>
        </w:trPr>
        <w:tc>
          <w:tcPr>
            <w:tcW w:w="4101" w:type="dxa"/>
            <w:gridSpan w:val="2"/>
          </w:tcPr>
          <w:p w14:paraId="38C0A3CA" w14:textId="77777777" w:rsidR="0019537C" w:rsidRPr="00A3585E" w:rsidRDefault="0019537C" w:rsidP="00FD229D">
            <w:pPr>
              <w:keepNext/>
              <w:ind w:left="0"/>
              <w:rPr>
                <w:sz w:val="20"/>
                <w:szCs w:val="20"/>
              </w:rPr>
            </w:pPr>
            <w:r w:rsidRPr="00A3585E">
              <w:rPr>
                <w:sz w:val="20"/>
                <w:szCs w:val="20"/>
              </w:rPr>
              <w:t>Mean treatment duration, months (SD)</w:t>
            </w:r>
          </w:p>
        </w:tc>
        <w:tc>
          <w:tcPr>
            <w:tcW w:w="2410" w:type="dxa"/>
          </w:tcPr>
          <w:p w14:paraId="51583BC5" w14:textId="77777777" w:rsidR="0019537C" w:rsidRPr="00A3585E" w:rsidRDefault="0019537C" w:rsidP="008B3CF0">
            <w:pPr>
              <w:keepNext/>
              <w:jc w:val="center"/>
              <w:rPr>
                <w:sz w:val="20"/>
                <w:szCs w:val="20"/>
              </w:rPr>
            </w:pPr>
            <w:r w:rsidRPr="00A3585E">
              <w:rPr>
                <w:sz w:val="20"/>
                <w:szCs w:val="20"/>
              </w:rPr>
              <w:t>7.6 (5.8)</w:t>
            </w:r>
          </w:p>
        </w:tc>
        <w:tc>
          <w:tcPr>
            <w:tcW w:w="2268" w:type="dxa"/>
          </w:tcPr>
          <w:p w14:paraId="40F9E808" w14:textId="77777777" w:rsidR="0019537C" w:rsidRPr="00A3585E" w:rsidRDefault="0019537C" w:rsidP="008B3CF0">
            <w:pPr>
              <w:keepNext/>
              <w:jc w:val="center"/>
              <w:rPr>
                <w:sz w:val="20"/>
                <w:szCs w:val="20"/>
              </w:rPr>
            </w:pPr>
            <w:r w:rsidRPr="00A3585E">
              <w:rPr>
                <w:sz w:val="20"/>
                <w:szCs w:val="20"/>
              </w:rPr>
              <w:t>6.6 (5.4)</w:t>
            </w:r>
          </w:p>
        </w:tc>
      </w:tr>
      <w:tr w:rsidR="0019537C" w:rsidRPr="00A3585E" w14:paraId="6381CD49" w14:textId="77777777" w:rsidTr="00FD229D">
        <w:trPr>
          <w:trHeight w:val="20"/>
        </w:trPr>
        <w:tc>
          <w:tcPr>
            <w:tcW w:w="4101" w:type="dxa"/>
            <w:gridSpan w:val="2"/>
          </w:tcPr>
          <w:p w14:paraId="2103DB24" w14:textId="77777777" w:rsidR="0019537C" w:rsidRPr="00A3585E" w:rsidRDefault="0019537C" w:rsidP="00FD229D">
            <w:pPr>
              <w:keepNext/>
              <w:ind w:left="0"/>
              <w:rPr>
                <w:sz w:val="20"/>
                <w:szCs w:val="20"/>
              </w:rPr>
            </w:pPr>
            <w:r w:rsidRPr="00A3585E">
              <w:rPr>
                <w:sz w:val="20"/>
                <w:szCs w:val="20"/>
              </w:rPr>
              <w:t>Median treatment duration, months [range]</w:t>
            </w:r>
          </w:p>
        </w:tc>
        <w:tc>
          <w:tcPr>
            <w:tcW w:w="2410" w:type="dxa"/>
          </w:tcPr>
          <w:p w14:paraId="2BFAA8FB" w14:textId="77777777" w:rsidR="0019537C" w:rsidRPr="00A3585E" w:rsidRDefault="0019537C" w:rsidP="008B3CF0">
            <w:pPr>
              <w:keepNext/>
              <w:jc w:val="center"/>
              <w:rPr>
                <w:sz w:val="20"/>
                <w:szCs w:val="20"/>
              </w:rPr>
            </w:pPr>
            <w:r w:rsidRPr="00A3585E">
              <w:rPr>
                <w:sz w:val="20"/>
                <w:szCs w:val="20"/>
              </w:rPr>
              <w:t>7.0 [0, 30.9]</w:t>
            </w:r>
          </w:p>
        </w:tc>
        <w:tc>
          <w:tcPr>
            <w:tcW w:w="2268" w:type="dxa"/>
          </w:tcPr>
          <w:p w14:paraId="4A3161CD" w14:textId="77777777" w:rsidR="0019537C" w:rsidRPr="00A3585E" w:rsidRDefault="0019537C" w:rsidP="008B3CF0">
            <w:pPr>
              <w:keepNext/>
              <w:jc w:val="center"/>
              <w:rPr>
                <w:sz w:val="20"/>
                <w:szCs w:val="20"/>
              </w:rPr>
            </w:pPr>
            <w:r w:rsidRPr="00A3585E">
              <w:rPr>
                <w:sz w:val="20"/>
                <w:szCs w:val="20"/>
              </w:rPr>
              <w:t>5.6 [0, 30.9]</w:t>
            </w:r>
          </w:p>
        </w:tc>
      </w:tr>
      <w:tr w:rsidR="0019537C" w:rsidRPr="00A3585E" w14:paraId="76C1080B" w14:textId="77777777" w:rsidTr="00FD229D">
        <w:trPr>
          <w:trHeight w:val="20"/>
        </w:trPr>
        <w:tc>
          <w:tcPr>
            <w:tcW w:w="4101" w:type="dxa"/>
            <w:gridSpan w:val="2"/>
          </w:tcPr>
          <w:p w14:paraId="05AD653B" w14:textId="77777777" w:rsidR="0019537C" w:rsidRPr="00A3585E" w:rsidRDefault="0019537C" w:rsidP="00FD229D">
            <w:pPr>
              <w:keepNext/>
              <w:ind w:left="0"/>
              <w:rPr>
                <w:sz w:val="20"/>
                <w:szCs w:val="20"/>
              </w:rPr>
            </w:pPr>
            <w:r w:rsidRPr="00A3585E">
              <w:rPr>
                <w:sz w:val="20"/>
                <w:szCs w:val="20"/>
              </w:rPr>
              <w:t>Mean relative dose intensity, % (SD)</w:t>
            </w:r>
          </w:p>
        </w:tc>
        <w:tc>
          <w:tcPr>
            <w:tcW w:w="2410" w:type="dxa"/>
          </w:tcPr>
          <w:p w14:paraId="681137A3" w14:textId="77777777" w:rsidR="0019537C" w:rsidRPr="00A3585E" w:rsidRDefault="0019537C" w:rsidP="008B3CF0">
            <w:pPr>
              <w:keepNext/>
              <w:jc w:val="center"/>
              <w:rPr>
                <w:sz w:val="20"/>
                <w:szCs w:val="20"/>
              </w:rPr>
            </w:pPr>
            <w:r w:rsidRPr="00A3585E">
              <w:rPr>
                <w:sz w:val="20"/>
                <w:szCs w:val="20"/>
              </w:rPr>
              <w:t>92 (12)</w:t>
            </w:r>
          </w:p>
        </w:tc>
        <w:tc>
          <w:tcPr>
            <w:tcW w:w="2268" w:type="dxa"/>
          </w:tcPr>
          <w:p w14:paraId="779052AF" w14:textId="77777777" w:rsidR="0019537C" w:rsidRPr="00A3585E" w:rsidRDefault="0019537C" w:rsidP="008B3CF0">
            <w:pPr>
              <w:keepNext/>
              <w:jc w:val="center"/>
              <w:rPr>
                <w:sz w:val="20"/>
                <w:szCs w:val="20"/>
              </w:rPr>
            </w:pPr>
            <w:r w:rsidRPr="00A3585E">
              <w:rPr>
                <w:sz w:val="20"/>
                <w:szCs w:val="20"/>
              </w:rPr>
              <w:t>92 (21)</w:t>
            </w:r>
          </w:p>
        </w:tc>
      </w:tr>
      <w:tr w:rsidR="0019537C" w:rsidRPr="00A3585E" w14:paraId="28E3D316" w14:textId="77777777" w:rsidTr="00FD229D">
        <w:trPr>
          <w:trHeight w:val="20"/>
        </w:trPr>
        <w:tc>
          <w:tcPr>
            <w:tcW w:w="4101" w:type="dxa"/>
            <w:gridSpan w:val="2"/>
          </w:tcPr>
          <w:p w14:paraId="665E9397" w14:textId="77777777" w:rsidR="0019537C" w:rsidRPr="00A3585E" w:rsidRDefault="0019537C" w:rsidP="00FD229D">
            <w:pPr>
              <w:keepNext/>
              <w:ind w:left="0"/>
              <w:rPr>
                <w:sz w:val="20"/>
                <w:szCs w:val="20"/>
              </w:rPr>
            </w:pPr>
            <w:r w:rsidRPr="00A3585E">
              <w:rPr>
                <w:sz w:val="20"/>
                <w:szCs w:val="20"/>
              </w:rPr>
              <w:t>Duration of exposure &lt;3 months</w:t>
            </w:r>
          </w:p>
        </w:tc>
        <w:tc>
          <w:tcPr>
            <w:tcW w:w="2410" w:type="dxa"/>
          </w:tcPr>
          <w:p w14:paraId="555102F6" w14:textId="77777777" w:rsidR="0019537C" w:rsidRPr="00A3585E" w:rsidRDefault="0019537C" w:rsidP="008B3CF0">
            <w:pPr>
              <w:keepNext/>
              <w:jc w:val="center"/>
              <w:rPr>
                <w:sz w:val="20"/>
                <w:szCs w:val="20"/>
              </w:rPr>
            </w:pPr>
            <w:r w:rsidRPr="00A3585E">
              <w:rPr>
                <w:sz w:val="20"/>
                <w:szCs w:val="20"/>
              </w:rPr>
              <w:t>25 (22)</w:t>
            </w:r>
          </w:p>
        </w:tc>
        <w:tc>
          <w:tcPr>
            <w:tcW w:w="2268" w:type="dxa"/>
          </w:tcPr>
          <w:p w14:paraId="1FEB81EB" w14:textId="77777777" w:rsidR="0019537C" w:rsidRPr="00A3585E" w:rsidRDefault="0019537C" w:rsidP="008B3CF0">
            <w:pPr>
              <w:keepNext/>
              <w:jc w:val="center"/>
              <w:rPr>
                <w:sz w:val="20"/>
                <w:szCs w:val="20"/>
              </w:rPr>
            </w:pPr>
            <w:r w:rsidRPr="00A3585E">
              <w:rPr>
                <w:sz w:val="20"/>
                <w:szCs w:val="20"/>
              </w:rPr>
              <w:t>73 (29)</w:t>
            </w:r>
          </w:p>
        </w:tc>
      </w:tr>
      <w:tr w:rsidR="0019537C" w:rsidRPr="00A3585E" w14:paraId="4990F735" w14:textId="77777777" w:rsidTr="00FD229D">
        <w:trPr>
          <w:trHeight w:val="20"/>
        </w:trPr>
        <w:tc>
          <w:tcPr>
            <w:tcW w:w="4101" w:type="dxa"/>
            <w:gridSpan w:val="2"/>
          </w:tcPr>
          <w:p w14:paraId="4725CE1B" w14:textId="77777777" w:rsidR="0019537C" w:rsidRPr="00A3585E" w:rsidRDefault="0019537C" w:rsidP="00FD229D">
            <w:pPr>
              <w:keepNext/>
              <w:ind w:left="0"/>
              <w:rPr>
                <w:sz w:val="20"/>
                <w:szCs w:val="20"/>
              </w:rPr>
            </w:pPr>
            <w:r w:rsidRPr="00A3585E">
              <w:rPr>
                <w:sz w:val="20"/>
                <w:szCs w:val="20"/>
              </w:rPr>
              <w:t>Duration of exposure at least 12 months</w:t>
            </w:r>
          </w:p>
        </w:tc>
        <w:tc>
          <w:tcPr>
            <w:tcW w:w="2410" w:type="dxa"/>
          </w:tcPr>
          <w:p w14:paraId="1060B6DB" w14:textId="77777777" w:rsidR="0019537C" w:rsidRPr="00A3585E" w:rsidRDefault="0019537C" w:rsidP="008B3CF0">
            <w:pPr>
              <w:keepNext/>
              <w:jc w:val="center"/>
              <w:rPr>
                <w:sz w:val="20"/>
                <w:szCs w:val="20"/>
              </w:rPr>
            </w:pPr>
            <w:r w:rsidRPr="00A3585E">
              <w:rPr>
                <w:sz w:val="20"/>
                <w:szCs w:val="20"/>
              </w:rPr>
              <w:t>16 (14)</w:t>
            </w:r>
          </w:p>
        </w:tc>
        <w:tc>
          <w:tcPr>
            <w:tcW w:w="2268" w:type="dxa"/>
          </w:tcPr>
          <w:p w14:paraId="6953A940" w14:textId="77777777" w:rsidR="0019537C" w:rsidRPr="00A3585E" w:rsidRDefault="0019537C" w:rsidP="008B3CF0">
            <w:pPr>
              <w:keepNext/>
              <w:jc w:val="center"/>
              <w:rPr>
                <w:sz w:val="20"/>
                <w:szCs w:val="20"/>
              </w:rPr>
            </w:pPr>
            <w:r w:rsidRPr="00A3585E">
              <w:rPr>
                <w:sz w:val="20"/>
                <w:szCs w:val="20"/>
              </w:rPr>
              <w:t>30 (12)</w:t>
            </w:r>
          </w:p>
        </w:tc>
      </w:tr>
    </w:tbl>
    <w:bookmarkEnd w:id="108"/>
    <w:p w14:paraId="596888DD" w14:textId="74F9E49E" w:rsidR="0019537C" w:rsidRDefault="00061EED" w:rsidP="00FD229D">
      <w:pPr>
        <w:pStyle w:val="TableDescription"/>
      </w:pPr>
      <w:r>
        <w:t xml:space="preserve">Abbreviations: </w:t>
      </w:r>
      <w:r w:rsidR="0019537C" w:rsidRPr="00760385">
        <w:t>DCO = data cut-off date</w:t>
      </w:r>
      <w:r w:rsidR="0019537C">
        <w:t>, SD = standard deviation</w:t>
      </w:r>
    </w:p>
    <w:p w14:paraId="1A57739C" w14:textId="77777777" w:rsidR="0019537C" w:rsidRPr="00760385" w:rsidRDefault="0019537C" w:rsidP="00FD229D">
      <w:pPr>
        <w:pStyle w:val="TableDescription"/>
      </w:pPr>
      <w:r>
        <w:t>* Denominator for percentages is discontinued portion of the population</w:t>
      </w:r>
    </w:p>
    <w:p w14:paraId="27FADBAD" w14:textId="77777777" w:rsidR="0019537C" w:rsidRPr="00FD229D" w:rsidRDefault="0019537C" w:rsidP="00FD229D">
      <w:pPr>
        <w:pStyle w:val="Heading5"/>
      </w:pPr>
      <w:r w:rsidRPr="00FD229D">
        <w:t>Deaths</w:t>
      </w:r>
    </w:p>
    <w:p w14:paraId="5DCA3192" w14:textId="596D2F7B" w:rsidR="0019537C" w:rsidRDefault="0019537C" w:rsidP="0019537C">
      <w:r>
        <w:t>A</w:t>
      </w:r>
      <w:r w:rsidRPr="0071148C">
        <w:t xml:space="preserve">t the primary </w:t>
      </w:r>
      <w:r w:rsidR="00FD229D">
        <w:t xml:space="preserve">data cut off </w:t>
      </w:r>
      <w:r w:rsidRPr="0071148C">
        <w:t>(29 May 2020</w:t>
      </w:r>
      <w:r>
        <w:t>), 27 fatal adverse events had occurred in the pooled</w:t>
      </w:r>
      <w:r w:rsidRPr="0071148C">
        <w:t xml:space="preserve"> safety population </w:t>
      </w:r>
      <w:r>
        <w:t>(n</w:t>
      </w:r>
      <w:r w:rsidR="00FD229D">
        <w:t xml:space="preserve"> </w:t>
      </w:r>
      <w:r>
        <w:t>=</w:t>
      </w:r>
      <w:r w:rsidR="00FD229D">
        <w:t xml:space="preserve"> </w:t>
      </w:r>
      <w:r>
        <w:t>256). Fourteen were disease progression events, and the remainder were: respiratory failure (n</w:t>
      </w:r>
      <w:r w:rsidR="00FD229D">
        <w:t xml:space="preserve"> </w:t>
      </w:r>
      <w:r>
        <w:t>=</w:t>
      </w:r>
      <w:r w:rsidR="00FD229D">
        <w:t xml:space="preserve"> </w:t>
      </w:r>
      <w:r>
        <w:t>3), pneumonia (n</w:t>
      </w:r>
      <w:r w:rsidR="00FD229D">
        <w:t xml:space="preserve"> </w:t>
      </w:r>
      <w:r>
        <w:t>=</w:t>
      </w:r>
      <w:r w:rsidR="00FD229D">
        <w:t xml:space="preserve"> </w:t>
      </w:r>
      <w:r>
        <w:t>3), dyspnoea (n</w:t>
      </w:r>
      <w:r w:rsidR="00FD229D">
        <w:t xml:space="preserve"> </w:t>
      </w:r>
      <w:r>
        <w:t>=</w:t>
      </w:r>
      <w:r w:rsidR="00FD229D">
        <w:t xml:space="preserve"> </w:t>
      </w:r>
      <w:r>
        <w:t>1), hypoxia (n</w:t>
      </w:r>
      <w:r w:rsidR="00FD229D">
        <w:t xml:space="preserve"> </w:t>
      </w:r>
      <w:r>
        <w:t>=</w:t>
      </w:r>
      <w:r w:rsidR="00FD229D">
        <w:t xml:space="preserve"> </w:t>
      </w:r>
      <w:r>
        <w:t>1), multiple organ dysfunction syndrome (n</w:t>
      </w:r>
      <w:r w:rsidR="00FD229D">
        <w:t xml:space="preserve"> </w:t>
      </w:r>
      <w:r>
        <w:t>=</w:t>
      </w:r>
      <w:r w:rsidR="00FD229D">
        <w:t xml:space="preserve"> </w:t>
      </w:r>
      <w:r>
        <w:t>2), cardiac failure (n</w:t>
      </w:r>
      <w:r w:rsidR="00FD229D">
        <w:t xml:space="preserve"> </w:t>
      </w:r>
      <w:r>
        <w:t>=</w:t>
      </w:r>
      <w:r w:rsidR="00FD229D">
        <w:t xml:space="preserve"> </w:t>
      </w:r>
      <w:r>
        <w:t>1), cardiac arrest (n</w:t>
      </w:r>
      <w:r w:rsidR="00FD229D">
        <w:t xml:space="preserve"> </w:t>
      </w:r>
      <w:r>
        <w:t>=</w:t>
      </w:r>
      <w:r w:rsidR="00FD229D">
        <w:t xml:space="preserve"> </w:t>
      </w:r>
      <w:r>
        <w:t>1) and cerebrovascular accident (n</w:t>
      </w:r>
      <w:r w:rsidR="00FD229D">
        <w:t xml:space="preserve"> </w:t>
      </w:r>
      <w:r>
        <w:t>=</w:t>
      </w:r>
      <w:r w:rsidR="00FD229D">
        <w:t xml:space="preserve"> </w:t>
      </w:r>
      <w:r>
        <w:t>1). Based on review of case narratives, attribution to mobocertinib could not be ruled out for three cases of respiratory failure in context of pneumonitis, and one case of cardiac failure. Two of these fatal events (cardiac failure [n</w:t>
      </w:r>
      <w:r w:rsidR="00FD229D">
        <w:t xml:space="preserve"> </w:t>
      </w:r>
      <w:r>
        <w:t>=</w:t>
      </w:r>
      <w:r w:rsidR="00FD229D">
        <w:t xml:space="preserve"> </w:t>
      </w:r>
      <w:r>
        <w:t>1], and pneumonitis [n</w:t>
      </w:r>
      <w:r w:rsidR="00FD229D">
        <w:t xml:space="preserve"> </w:t>
      </w:r>
      <w:r>
        <w:t>=</w:t>
      </w:r>
      <w:r w:rsidR="00FD229D">
        <w:t xml:space="preserve"> </w:t>
      </w:r>
      <w:r>
        <w:t>1]) occurred in the primary safety population (n</w:t>
      </w:r>
      <w:r w:rsidR="00FD229D">
        <w:t xml:space="preserve"> </w:t>
      </w:r>
      <w:r>
        <w:t>=</w:t>
      </w:r>
      <w:r w:rsidR="00FD229D">
        <w:t xml:space="preserve"> </w:t>
      </w:r>
      <w:r>
        <w:t>114).</w:t>
      </w:r>
    </w:p>
    <w:p w14:paraId="30DC90F2" w14:textId="001C6E65" w:rsidR="0019537C" w:rsidRDefault="0019537C" w:rsidP="0019537C">
      <w:r>
        <w:t xml:space="preserve">There were 14 additional fatal adverse events that occurred in the broader, ‘overall safety population’ </w:t>
      </w:r>
      <w:r w:rsidR="00AA2F71">
        <w:t>that is</w:t>
      </w:r>
      <w:r>
        <w:t xml:space="preserve"> patients treated at doses other than the recommended dose. All were attributable to disease progression except for </w:t>
      </w:r>
      <w:r w:rsidRPr="00560C5F">
        <w:t>one fatal case of pneumonitis.</w:t>
      </w:r>
    </w:p>
    <w:p w14:paraId="18B164C4" w14:textId="66F30B82" w:rsidR="0019537C" w:rsidRDefault="0019537C" w:rsidP="0019537C">
      <w:r>
        <w:t>A further six fatal adverse events occurred outside the 30</w:t>
      </w:r>
      <w:r w:rsidR="00AA2F71">
        <w:t xml:space="preserve"> </w:t>
      </w:r>
      <w:r>
        <w:t xml:space="preserve">day window for being defined as </w:t>
      </w:r>
      <w:r w:rsidR="00AA2F71">
        <w:t>‘</w:t>
      </w:r>
      <w:r>
        <w:t>treatment-emergent</w:t>
      </w:r>
      <w:r w:rsidR="00AA2F71">
        <w:t>’.</w:t>
      </w:r>
      <w:r>
        <w:t xml:space="preserve"> These were: respiratory failure, subdural haemorrhage, pneumonia, dyspnoea, disease progression and renal failure. </w:t>
      </w:r>
      <w:r w:rsidRPr="00560C5F">
        <w:t xml:space="preserve">The case of renal failure </w:t>
      </w:r>
      <w:r>
        <w:t>occurred</w:t>
      </w:r>
      <w:r w:rsidRPr="00560C5F">
        <w:t xml:space="preserve"> in the setting </w:t>
      </w:r>
      <w:r w:rsidRPr="00560C5F">
        <w:lastRenderedPageBreak/>
        <w:t>of incomplete intestinal obstruction and abdominal metastases that occurred 32 days after mobocertinib was discontinued due to disease progression, with attribution to mobocertinib possibl</w:t>
      </w:r>
      <w:r w:rsidR="00AA2F71">
        <w:t>e.</w:t>
      </w:r>
    </w:p>
    <w:p w14:paraId="6873664D" w14:textId="77777777" w:rsidR="0019537C" w:rsidRPr="005142B9" w:rsidRDefault="0019537C" w:rsidP="0019537C">
      <w:pPr>
        <w:pStyle w:val="Heading5"/>
        <w:rPr>
          <w:color w:val="auto"/>
        </w:rPr>
      </w:pPr>
      <w:r w:rsidRPr="005142B9">
        <w:rPr>
          <w:color w:val="auto"/>
        </w:rPr>
        <w:t>Dose modifications and permanent discontinuations</w:t>
      </w:r>
    </w:p>
    <w:p w14:paraId="2E289388" w14:textId="32DDFF71" w:rsidR="0019537C" w:rsidRDefault="0019537C" w:rsidP="0019537C">
      <w:r>
        <w:t>Adverse events that led to d</w:t>
      </w:r>
      <w:r w:rsidRPr="005142B9">
        <w:t xml:space="preserve">ose modification </w:t>
      </w:r>
      <w:r>
        <w:t>or</w:t>
      </w:r>
      <w:r w:rsidRPr="005142B9">
        <w:t xml:space="preserve"> permanent discontinuation </w:t>
      </w:r>
      <w:r>
        <w:t>in at least 2% of</w:t>
      </w:r>
      <w:r w:rsidRPr="005142B9">
        <w:t xml:space="preserve"> the </w:t>
      </w:r>
      <w:r>
        <w:t xml:space="preserve">primary </w:t>
      </w:r>
      <w:r w:rsidRPr="005142B9">
        <w:t xml:space="preserve">safety population </w:t>
      </w:r>
      <w:r>
        <w:t>(n</w:t>
      </w:r>
      <w:r w:rsidR="00AA2F71">
        <w:t xml:space="preserve"> </w:t>
      </w:r>
      <w:r>
        <w:t>=</w:t>
      </w:r>
      <w:r w:rsidR="00AA2F71">
        <w:t xml:space="preserve"> </w:t>
      </w:r>
      <w:r>
        <w:t xml:space="preserve">114) as </w:t>
      </w:r>
      <w:r w:rsidRPr="005142B9">
        <w:t>at the 29 May 2020</w:t>
      </w:r>
      <w:r>
        <w:t xml:space="preserve"> </w:t>
      </w:r>
      <w:r w:rsidR="00AA2F71">
        <w:t xml:space="preserve">data cut off </w:t>
      </w:r>
      <w:r w:rsidRPr="005142B9">
        <w:t xml:space="preserve">are summarised in </w:t>
      </w:r>
      <w:r w:rsidR="00061EED" w:rsidRPr="005142B9">
        <w:fldChar w:fldCharType="begin"/>
      </w:r>
      <w:r w:rsidR="00061EED" w:rsidRPr="005142B9">
        <w:instrText xml:space="preserve"> REF _Ref96438341 \h </w:instrText>
      </w:r>
      <w:r w:rsidR="00061EED" w:rsidRPr="005142B9">
        <w:fldChar w:fldCharType="separate"/>
      </w:r>
      <w:r w:rsidR="00301E36" w:rsidRPr="00AA2F71">
        <w:t xml:space="preserve">Table </w:t>
      </w:r>
      <w:r w:rsidR="00301E36">
        <w:rPr>
          <w:noProof/>
        </w:rPr>
        <w:t>13</w:t>
      </w:r>
      <w:r w:rsidR="00061EED" w:rsidRPr="005142B9">
        <w:fldChar w:fldCharType="end"/>
      </w:r>
      <w:r w:rsidRPr="005142B9">
        <w:t xml:space="preserve">. </w:t>
      </w:r>
      <w:r>
        <w:t>Gastrointestinal events accounted for the majority.</w:t>
      </w:r>
    </w:p>
    <w:p w14:paraId="65B09009" w14:textId="7842AC5D" w:rsidR="0019537C" w:rsidRPr="005142B9" w:rsidRDefault="0019537C" w:rsidP="0019537C">
      <w:r>
        <w:t xml:space="preserve">In addition to those included in the table, events that led to permanent discontinuation for </w:t>
      </w:r>
      <w:r w:rsidR="00AA2F71">
        <w:t xml:space="preserve">less than </w:t>
      </w:r>
      <w:r>
        <w:t>1% of patients in the primary safety population (</w:t>
      </w:r>
      <w:r w:rsidR="00AA2F71">
        <w:t>one</w:t>
      </w:r>
      <w:r>
        <w:t xml:space="preserve"> patient each) were abdominal pain, alopecia, cardiomyopathy, clostridium test positive, increased amylase, muscular weakness, pericardial effusion, pleural effusion, pneumonitis, ventricular arrhythmia, vision</w:t>
      </w:r>
      <w:r w:rsidRPr="00EE687C">
        <w:t xml:space="preserve"> </w:t>
      </w:r>
      <w:r>
        <w:t>blurred, and weight decreased.</w:t>
      </w:r>
    </w:p>
    <w:p w14:paraId="41929BFC" w14:textId="34809667" w:rsidR="0019537C" w:rsidRPr="005142B9" w:rsidRDefault="0019537C" w:rsidP="00AA2F71">
      <w:pPr>
        <w:pStyle w:val="TableTitle"/>
      </w:pPr>
      <w:bookmarkStart w:id="110" w:name="_Ref96438341"/>
      <w:r w:rsidRPr="00AA2F71">
        <w:t xml:space="preserve">Table </w:t>
      </w:r>
      <w:r w:rsidR="003F5EF5">
        <w:fldChar w:fldCharType="begin"/>
      </w:r>
      <w:r w:rsidR="003F5EF5">
        <w:instrText xml:space="preserve"> SEQ Table \* ARABIC </w:instrText>
      </w:r>
      <w:r w:rsidR="003F5EF5">
        <w:fldChar w:fldCharType="separate"/>
      </w:r>
      <w:r w:rsidR="00301E36">
        <w:rPr>
          <w:noProof/>
        </w:rPr>
        <w:t>13</w:t>
      </w:r>
      <w:r w:rsidR="003F5EF5">
        <w:rPr>
          <w:noProof/>
        </w:rPr>
        <w:fldChar w:fldCharType="end"/>
      </w:r>
      <w:bookmarkEnd w:id="110"/>
      <w:r w:rsidRPr="005142B9">
        <w:t xml:space="preserve">. </w:t>
      </w:r>
      <w:r w:rsidR="00061EED">
        <w:t xml:space="preserve">Study AP32788-15-101 </w:t>
      </w:r>
      <w:r>
        <w:t>Adverse events that led to d</w:t>
      </w:r>
      <w:r w:rsidRPr="005142B9">
        <w:t>ose modification</w:t>
      </w:r>
      <w:r>
        <w:t xml:space="preserve"> or </w:t>
      </w:r>
      <w:r w:rsidRPr="005142B9">
        <w:t>permanent discontinuation</w:t>
      </w:r>
      <w:r>
        <w:t xml:space="preserve"> </w:t>
      </w:r>
      <w:r w:rsidRPr="005142B9">
        <w:t>in</w:t>
      </w:r>
      <w:r>
        <w:t xml:space="preserve"> at least 2% of patients </w:t>
      </w:r>
      <w:r w:rsidRPr="005142B9">
        <w:t>(</w:t>
      </w:r>
      <w:r>
        <w:t xml:space="preserve">primary </w:t>
      </w:r>
      <w:r w:rsidRPr="005142B9">
        <w:t>safety population</w:t>
      </w:r>
      <w:r>
        <w:t>, total n</w:t>
      </w:r>
      <w:r w:rsidR="00AA2F71">
        <w:t xml:space="preserve"> </w:t>
      </w:r>
      <w:r>
        <w:t>=</w:t>
      </w:r>
      <w:r w:rsidR="00AA2F71">
        <w:t xml:space="preserve"> </w:t>
      </w:r>
      <w:r>
        <w:t>114</w:t>
      </w:r>
      <w:r w:rsidR="00061EED">
        <w:t>; d</w:t>
      </w:r>
      <w:r w:rsidR="00AA2F71">
        <w:t>ata cut off:</w:t>
      </w:r>
      <w:r w:rsidRPr="005142B9">
        <w:t xml:space="preserve"> </w:t>
      </w:r>
      <w:r>
        <w:t>29 May</w:t>
      </w:r>
      <w:r w:rsidRPr="005142B9">
        <w:t xml:space="preserve"> 2020</w:t>
      </w:r>
      <w:r w:rsidR="00061EED">
        <w:t>)</w:t>
      </w:r>
    </w:p>
    <w:tbl>
      <w:tblPr>
        <w:tblStyle w:val="TableTGAblue"/>
        <w:tblW w:w="8779" w:type="dxa"/>
        <w:tblLayout w:type="fixed"/>
        <w:tblLook w:val="01E0" w:firstRow="1" w:lastRow="1" w:firstColumn="1" w:lastColumn="1" w:noHBand="0" w:noVBand="0"/>
      </w:tblPr>
      <w:tblGrid>
        <w:gridCol w:w="2410"/>
        <w:gridCol w:w="1843"/>
        <w:gridCol w:w="1843"/>
        <w:gridCol w:w="2683"/>
      </w:tblGrid>
      <w:tr w:rsidR="0019537C" w:rsidRPr="00A3585E" w14:paraId="3B83AE77" w14:textId="77777777" w:rsidTr="00AA2F71">
        <w:trPr>
          <w:cnfStyle w:val="100000000000" w:firstRow="1" w:lastRow="0" w:firstColumn="0" w:lastColumn="0" w:oddVBand="0" w:evenVBand="0" w:oddHBand="0" w:evenHBand="0" w:firstRowFirstColumn="0" w:firstRowLastColumn="0" w:lastRowFirstColumn="0" w:lastRowLastColumn="0"/>
          <w:trHeight w:val="454"/>
        </w:trPr>
        <w:tc>
          <w:tcPr>
            <w:tcW w:w="2410" w:type="dxa"/>
          </w:tcPr>
          <w:p w14:paraId="3076EFE9" w14:textId="77777777" w:rsidR="0019537C" w:rsidRPr="00A3585E" w:rsidRDefault="0019537C" w:rsidP="008B3CF0">
            <w:pPr>
              <w:rPr>
                <w:b w:val="0"/>
                <w:bCs/>
                <w:szCs w:val="19"/>
              </w:rPr>
            </w:pPr>
          </w:p>
        </w:tc>
        <w:tc>
          <w:tcPr>
            <w:tcW w:w="6369" w:type="dxa"/>
            <w:gridSpan w:val="3"/>
          </w:tcPr>
          <w:p w14:paraId="5DDE7D8F" w14:textId="77777777" w:rsidR="0019537C" w:rsidRPr="00247F49" w:rsidRDefault="0019537C" w:rsidP="008B3CF0">
            <w:pPr>
              <w:jc w:val="center"/>
              <w:rPr>
                <w:b w:val="0"/>
                <w:bCs/>
                <w:sz w:val="20"/>
                <w:szCs w:val="20"/>
              </w:rPr>
            </w:pPr>
            <w:r w:rsidRPr="00247F49">
              <w:rPr>
                <w:bCs/>
                <w:sz w:val="20"/>
                <w:szCs w:val="20"/>
              </w:rPr>
              <w:t>Primary safety population (n=114)</w:t>
            </w:r>
          </w:p>
        </w:tc>
      </w:tr>
      <w:tr w:rsidR="0019537C" w:rsidRPr="00A3585E" w14:paraId="72018FBA" w14:textId="77777777" w:rsidTr="00AA2F71">
        <w:trPr>
          <w:trHeight w:val="454"/>
        </w:trPr>
        <w:tc>
          <w:tcPr>
            <w:tcW w:w="2410" w:type="dxa"/>
          </w:tcPr>
          <w:p w14:paraId="45C8EB10" w14:textId="77777777" w:rsidR="0019537C" w:rsidRPr="00A3585E" w:rsidRDefault="0019537C" w:rsidP="008B3CF0">
            <w:pPr>
              <w:keepNext/>
              <w:rPr>
                <w:b/>
                <w:bCs/>
                <w:color w:val="auto"/>
                <w:sz w:val="20"/>
                <w:szCs w:val="20"/>
              </w:rPr>
            </w:pPr>
            <w:r w:rsidRPr="00A3585E">
              <w:rPr>
                <w:b/>
                <w:bCs/>
                <w:color w:val="auto"/>
                <w:sz w:val="20"/>
                <w:szCs w:val="20"/>
              </w:rPr>
              <w:t>Adverse event</w:t>
            </w:r>
          </w:p>
        </w:tc>
        <w:tc>
          <w:tcPr>
            <w:tcW w:w="1843" w:type="dxa"/>
          </w:tcPr>
          <w:p w14:paraId="47EEAADD" w14:textId="77777777" w:rsidR="0019537C" w:rsidRPr="00A3585E" w:rsidRDefault="0019537C" w:rsidP="008B3CF0">
            <w:pPr>
              <w:keepNext/>
              <w:jc w:val="center"/>
              <w:rPr>
                <w:b/>
                <w:bCs/>
                <w:color w:val="auto"/>
                <w:sz w:val="20"/>
                <w:szCs w:val="20"/>
              </w:rPr>
            </w:pPr>
            <w:r w:rsidRPr="00A3585E">
              <w:rPr>
                <w:b/>
                <w:bCs/>
                <w:color w:val="auto"/>
                <w:sz w:val="20"/>
                <w:szCs w:val="20"/>
              </w:rPr>
              <w:t>Dose interruptions</w:t>
            </w:r>
          </w:p>
          <w:p w14:paraId="2A1DC943" w14:textId="77777777" w:rsidR="0019537C" w:rsidRPr="00A3585E" w:rsidRDefault="0019537C" w:rsidP="008B3CF0">
            <w:pPr>
              <w:keepNext/>
              <w:jc w:val="center"/>
              <w:rPr>
                <w:b/>
                <w:bCs/>
                <w:color w:val="auto"/>
                <w:sz w:val="20"/>
                <w:szCs w:val="20"/>
              </w:rPr>
            </w:pPr>
            <w:r w:rsidRPr="00A3585E">
              <w:rPr>
                <w:b/>
                <w:bCs/>
                <w:color w:val="auto"/>
                <w:sz w:val="20"/>
                <w:szCs w:val="20"/>
              </w:rPr>
              <w:t>n (%)</w:t>
            </w:r>
          </w:p>
        </w:tc>
        <w:tc>
          <w:tcPr>
            <w:tcW w:w="1843" w:type="dxa"/>
          </w:tcPr>
          <w:p w14:paraId="53BED52C" w14:textId="77777777" w:rsidR="0019537C" w:rsidRPr="00A3585E" w:rsidRDefault="0019537C" w:rsidP="008B3CF0">
            <w:pPr>
              <w:keepNext/>
              <w:jc w:val="center"/>
              <w:rPr>
                <w:b/>
                <w:bCs/>
                <w:color w:val="auto"/>
                <w:sz w:val="20"/>
                <w:szCs w:val="20"/>
              </w:rPr>
            </w:pPr>
            <w:r w:rsidRPr="00A3585E">
              <w:rPr>
                <w:b/>
                <w:bCs/>
                <w:color w:val="auto"/>
                <w:sz w:val="20"/>
                <w:szCs w:val="20"/>
              </w:rPr>
              <w:t>Dose reductions</w:t>
            </w:r>
          </w:p>
          <w:p w14:paraId="5B04DDE9" w14:textId="77777777" w:rsidR="0019537C" w:rsidRPr="00A3585E" w:rsidRDefault="0019537C" w:rsidP="008B3CF0">
            <w:pPr>
              <w:keepNext/>
              <w:jc w:val="center"/>
              <w:rPr>
                <w:b/>
                <w:bCs/>
                <w:color w:val="auto"/>
                <w:sz w:val="20"/>
                <w:szCs w:val="20"/>
              </w:rPr>
            </w:pPr>
            <w:r w:rsidRPr="00A3585E">
              <w:rPr>
                <w:b/>
                <w:bCs/>
                <w:color w:val="auto"/>
                <w:sz w:val="20"/>
                <w:szCs w:val="20"/>
              </w:rPr>
              <w:t>n (%)</w:t>
            </w:r>
          </w:p>
        </w:tc>
        <w:tc>
          <w:tcPr>
            <w:tcW w:w="2683" w:type="dxa"/>
          </w:tcPr>
          <w:p w14:paraId="64C2272F" w14:textId="77777777" w:rsidR="0019537C" w:rsidRPr="00A3585E" w:rsidRDefault="0019537C" w:rsidP="008B3CF0">
            <w:pPr>
              <w:keepNext/>
              <w:jc w:val="center"/>
              <w:rPr>
                <w:b/>
                <w:bCs/>
                <w:color w:val="auto"/>
                <w:sz w:val="20"/>
                <w:szCs w:val="20"/>
              </w:rPr>
            </w:pPr>
            <w:r w:rsidRPr="00A3585E">
              <w:rPr>
                <w:b/>
                <w:bCs/>
                <w:color w:val="auto"/>
                <w:sz w:val="20"/>
                <w:szCs w:val="20"/>
              </w:rPr>
              <w:t>Permanent discontinuations</w:t>
            </w:r>
          </w:p>
          <w:p w14:paraId="0766135D" w14:textId="77777777" w:rsidR="0019537C" w:rsidRPr="00A3585E" w:rsidRDefault="0019537C" w:rsidP="008B3CF0">
            <w:pPr>
              <w:keepNext/>
              <w:jc w:val="center"/>
              <w:rPr>
                <w:b/>
                <w:bCs/>
                <w:color w:val="auto"/>
                <w:sz w:val="20"/>
                <w:szCs w:val="20"/>
              </w:rPr>
            </w:pPr>
            <w:r w:rsidRPr="00A3585E">
              <w:rPr>
                <w:b/>
                <w:bCs/>
                <w:color w:val="auto"/>
                <w:sz w:val="20"/>
                <w:szCs w:val="20"/>
              </w:rPr>
              <w:t>n (%)</w:t>
            </w:r>
          </w:p>
        </w:tc>
      </w:tr>
      <w:tr w:rsidR="0019537C" w:rsidRPr="00A3585E" w14:paraId="2F518D68" w14:textId="77777777" w:rsidTr="00AA2F71">
        <w:trPr>
          <w:trHeight w:val="20"/>
        </w:trPr>
        <w:tc>
          <w:tcPr>
            <w:tcW w:w="2410" w:type="dxa"/>
          </w:tcPr>
          <w:p w14:paraId="40F3D492" w14:textId="77777777" w:rsidR="0019537C" w:rsidRPr="00A3585E" w:rsidRDefault="0019537C" w:rsidP="008B3CF0">
            <w:pPr>
              <w:keepNext/>
              <w:rPr>
                <w:spacing w:val="-2"/>
                <w:sz w:val="20"/>
                <w:szCs w:val="20"/>
              </w:rPr>
            </w:pPr>
            <w:r w:rsidRPr="00A3585E">
              <w:rPr>
                <w:spacing w:val="-2"/>
                <w:sz w:val="20"/>
                <w:szCs w:val="20"/>
              </w:rPr>
              <w:t>Any</w:t>
            </w:r>
          </w:p>
        </w:tc>
        <w:tc>
          <w:tcPr>
            <w:tcW w:w="1843" w:type="dxa"/>
          </w:tcPr>
          <w:p w14:paraId="652EC492" w14:textId="77777777" w:rsidR="0019537C" w:rsidRPr="00A3585E" w:rsidRDefault="0019537C" w:rsidP="008B3CF0">
            <w:pPr>
              <w:keepNext/>
              <w:jc w:val="center"/>
              <w:rPr>
                <w:sz w:val="20"/>
                <w:szCs w:val="20"/>
              </w:rPr>
            </w:pPr>
            <w:r w:rsidRPr="00A3585E">
              <w:rPr>
                <w:sz w:val="20"/>
                <w:szCs w:val="20"/>
              </w:rPr>
              <w:t>58 (51)</w:t>
            </w:r>
          </w:p>
        </w:tc>
        <w:tc>
          <w:tcPr>
            <w:tcW w:w="1843" w:type="dxa"/>
          </w:tcPr>
          <w:p w14:paraId="4E380595" w14:textId="77777777" w:rsidR="0019537C" w:rsidRPr="00A3585E" w:rsidRDefault="0019537C" w:rsidP="008B3CF0">
            <w:pPr>
              <w:keepNext/>
              <w:jc w:val="center"/>
              <w:rPr>
                <w:sz w:val="20"/>
                <w:szCs w:val="20"/>
              </w:rPr>
            </w:pPr>
            <w:r w:rsidRPr="00A3585E">
              <w:rPr>
                <w:sz w:val="20"/>
                <w:szCs w:val="20"/>
              </w:rPr>
              <w:t>28 (25)</w:t>
            </w:r>
          </w:p>
        </w:tc>
        <w:tc>
          <w:tcPr>
            <w:tcW w:w="2683" w:type="dxa"/>
          </w:tcPr>
          <w:p w14:paraId="563AF839" w14:textId="77777777" w:rsidR="0019537C" w:rsidRPr="00A3585E" w:rsidRDefault="0019537C" w:rsidP="008B3CF0">
            <w:pPr>
              <w:keepNext/>
              <w:jc w:val="center"/>
              <w:rPr>
                <w:sz w:val="20"/>
                <w:szCs w:val="20"/>
              </w:rPr>
            </w:pPr>
            <w:r w:rsidRPr="00A3585E">
              <w:rPr>
                <w:sz w:val="20"/>
                <w:szCs w:val="20"/>
              </w:rPr>
              <w:t>19 (17)</w:t>
            </w:r>
          </w:p>
        </w:tc>
      </w:tr>
      <w:tr w:rsidR="0019537C" w:rsidRPr="00A3585E" w14:paraId="584BE090" w14:textId="77777777" w:rsidTr="00AA2F71">
        <w:trPr>
          <w:trHeight w:val="20"/>
        </w:trPr>
        <w:tc>
          <w:tcPr>
            <w:tcW w:w="2410" w:type="dxa"/>
          </w:tcPr>
          <w:p w14:paraId="66AA9B6E" w14:textId="77777777" w:rsidR="0019537C" w:rsidRPr="00A3585E" w:rsidRDefault="0019537C" w:rsidP="008B3CF0">
            <w:pPr>
              <w:keepNext/>
              <w:rPr>
                <w:sz w:val="20"/>
                <w:szCs w:val="20"/>
              </w:rPr>
            </w:pPr>
            <w:r w:rsidRPr="00A3585E">
              <w:rPr>
                <w:spacing w:val="-2"/>
                <w:sz w:val="20"/>
                <w:szCs w:val="20"/>
              </w:rPr>
              <w:t>Diarrhoea</w:t>
            </w:r>
          </w:p>
        </w:tc>
        <w:tc>
          <w:tcPr>
            <w:tcW w:w="1843" w:type="dxa"/>
          </w:tcPr>
          <w:p w14:paraId="3A19C432" w14:textId="77777777" w:rsidR="0019537C" w:rsidRPr="00A3585E" w:rsidRDefault="0019537C" w:rsidP="008B3CF0">
            <w:pPr>
              <w:keepNext/>
              <w:jc w:val="center"/>
              <w:rPr>
                <w:sz w:val="20"/>
                <w:szCs w:val="20"/>
              </w:rPr>
            </w:pPr>
            <w:r w:rsidRPr="00A3585E">
              <w:rPr>
                <w:sz w:val="20"/>
                <w:szCs w:val="20"/>
              </w:rPr>
              <w:t xml:space="preserve">24 </w:t>
            </w:r>
            <w:r w:rsidRPr="00A3585E">
              <w:rPr>
                <w:spacing w:val="-4"/>
                <w:sz w:val="20"/>
                <w:szCs w:val="20"/>
              </w:rPr>
              <w:t>(21)</w:t>
            </w:r>
          </w:p>
        </w:tc>
        <w:tc>
          <w:tcPr>
            <w:tcW w:w="1843" w:type="dxa"/>
          </w:tcPr>
          <w:p w14:paraId="098887F6" w14:textId="77777777" w:rsidR="0019537C" w:rsidRPr="00A3585E" w:rsidRDefault="0019537C" w:rsidP="008B3CF0">
            <w:pPr>
              <w:keepNext/>
              <w:jc w:val="center"/>
              <w:rPr>
                <w:sz w:val="20"/>
                <w:szCs w:val="20"/>
              </w:rPr>
            </w:pPr>
            <w:r w:rsidRPr="00A3585E">
              <w:rPr>
                <w:sz w:val="20"/>
                <w:szCs w:val="20"/>
              </w:rPr>
              <w:t xml:space="preserve">11 </w:t>
            </w:r>
            <w:r w:rsidRPr="00A3585E">
              <w:rPr>
                <w:spacing w:val="-4"/>
                <w:sz w:val="20"/>
                <w:szCs w:val="20"/>
              </w:rPr>
              <w:t>(10)</w:t>
            </w:r>
          </w:p>
        </w:tc>
        <w:tc>
          <w:tcPr>
            <w:tcW w:w="2683" w:type="dxa"/>
          </w:tcPr>
          <w:p w14:paraId="55D49B05" w14:textId="77777777" w:rsidR="0019537C" w:rsidRPr="00A3585E" w:rsidRDefault="0019537C" w:rsidP="008B3CF0">
            <w:pPr>
              <w:keepNext/>
              <w:jc w:val="center"/>
              <w:rPr>
                <w:sz w:val="20"/>
                <w:szCs w:val="20"/>
              </w:rPr>
            </w:pPr>
            <w:r w:rsidRPr="00A3585E">
              <w:rPr>
                <w:sz w:val="20"/>
                <w:szCs w:val="20"/>
              </w:rPr>
              <w:t xml:space="preserve">5 </w:t>
            </w:r>
            <w:r w:rsidRPr="00A3585E">
              <w:rPr>
                <w:spacing w:val="-2"/>
                <w:sz w:val="20"/>
                <w:szCs w:val="20"/>
              </w:rPr>
              <w:t>(4.4)</w:t>
            </w:r>
          </w:p>
        </w:tc>
      </w:tr>
      <w:tr w:rsidR="0019537C" w:rsidRPr="00A3585E" w14:paraId="07CFE889" w14:textId="77777777" w:rsidTr="00AA2F71">
        <w:trPr>
          <w:trHeight w:val="20"/>
        </w:trPr>
        <w:tc>
          <w:tcPr>
            <w:tcW w:w="2410" w:type="dxa"/>
          </w:tcPr>
          <w:p w14:paraId="71F2D4AB" w14:textId="77777777" w:rsidR="0019537C" w:rsidRPr="00A3585E" w:rsidRDefault="0019537C" w:rsidP="008B3CF0">
            <w:pPr>
              <w:keepNext/>
              <w:rPr>
                <w:sz w:val="20"/>
                <w:szCs w:val="20"/>
              </w:rPr>
            </w:pPr>
            <w:r w:rsidRPr="00A3585E">
              <w:rPr>
                <w:spacing w:val="-2"/>
                <w:sz w:val="20"/>
                <w:szCs w:val="20"/>
              </w:rPr>
              <w:t>Nausea</w:t>
            </w:r>
          </w:p>
        </w:tc>
        <w:tc>
          <w:tcPr>
            <w:tcW w:w="1843" w:type="dxa"/>
          </w:tcPr>
          <w:p w14:paraId="0BD59498" w14:textId="77777777" w:rsidR="0019537C" w:rsidRPr="00A3585E" w:rsidRDefault="0019537C" w:rsidP="008B3CF0">
            <w:pPr>
              <w:keepNext/>
              <w:jc w:val="center"/>
              <w:rPr>
                <w:sz w:val="20"/>
                <w:szCs w:val="20"/>
              </w:rPr>
            </w:pPr>
            <w:r w:rsidRPr="00A3585E">
              <w:rPr>
                <w:sz w:val="20"/>
                <w:szCs w:val="20"/>
              </w:rPr>
              <w:t xml:space="preserve">8 </w:t>
            </w:r>
            <w:r w:rsidRPr="00A3585E">
              <w:rPr>
                <w:spacing w:val="-5"/>
                <w:sz w:val="20"/>
                <w:szCs w:val="20"/>
              </w:rPr>
              <w:t>(7)</w:t>
            </w:r>
          </w:p>
        </w:tc>
        <w:tc>
          <w:tcPr>
            <w:tcW w:w="1843" w:type="dxa"/>
          </w:tcPr>
          <w:p w14:paraId="1BB2310F" w14:textId="77777777" w:rsidR="0019537C" w:rsidRPr="00A3585E" w:rsidRDefault="0019537C" w:rsidP="008B3CF0">
            <w:pPr>
              <w:keepNext/>
              <w:jc w:val="center"/>
              <w:rPr>
                <w:sz w:val="20"/>
                <w:szCs w:val="20"/>
              </w:rPr>
            </w:pPr>
            <w:r w:rsidRPr="00A3585E">
              <w:rPr>
                <w:sz w:val="20"/>
                <w:szCs w:val="20"/>
              </w:rPr>
              <w:t xml:space="preserve">6 </w:t>
            </w:r>
            <w:r w:rsidRPr="00A3585E">
              <w:rPr>
                <w:spacing w:val="-5"/>
                <w:sz w:val="20"/>
                <w:szCs w:val="20"/>
              </w:rPr>
              <w:t>(5)</w:t>
            </w:r>
          </w:p>
        </w:tc>
        <w:tc>
          <w:tcPr>
            <w:tcW w:w="2683" w:type="dxa"/>
          </w:tcPr>
          <w:p w14:paraId="1E10DBE0" w14:textId="77777777" w:rsidR="0019537C" w:rsidRPr="00A3585E" w:rsidRDefault="0019537C" w:rsidP="008B3CF0">
            <w:pPr>
              <w:keepNext/>
              <w:jc w:val="center"/>
              <w:rPr>
                <w:sz w:val="20"/>
                <w:szCs w:val="20"/>
              </w:rPr>
            </w:pPr>
            <w:r w:rsidRPr="00A3585E">
              <w:rPr>
                <w:sz w:val="20"/>
                <w:szCs w:val="20"/>
              </w:rPr>
              <w:t xml:space="preserve">4 </w:t>
            </w:r>
            <w:r w:rsidRPr="00A3585E">
              <w:rPr>
                <w:spacing w:val="-2"/>
                <w:sz w:val="20"/>
                <w:szCs w:val="20"/>
              </w:rPr>
              <w:t>(3.5)</w:t>
            </w:r>
          </w:p>
        </w:tc>
      </w:tr>
      <w:tr w:rsidR="0019537C" w:rsidRPr="00A3585E" w14:paraId="1EC35001" w14:textId="77777777" w:rsidTr="00AA2F71">
        <w:trPr>
          <w:trHeight w:val="20"/>
        </w:trPr>
        <w:tc>
          <w:tcPr>
            <w:tcW w:w="2410" w:type="dxa"/>
          </w:tcPr>
          <w:p w14:paraId="4E18802C" w14:textId="77777777" w:rsidR="0019537C" w:rsidRPr="00A3585E" w:rsidRDefault="0019537C" w:rsidP="008B3CF0">
            <w:pPr>
              <w:keepNext/>
              <w:rPr>
                <w:sz w:val="20"/>
                <w:szCs w:val="20"/>
              </w:rPr>
            </w:pPr>
            <w:r w:rsidRPr="00A3585E">
              <w:rPr>
                <w:spacing w:val="-2"/>
                <w:sz w:val="20"/>
                <w:szCs w:val="20"/>
              </w:rPr>
              <w:t>Vomiting</w:t>
            </w:r>
          </w:p>
        </w:tc>
        <w:tc>
          <w:tcPr>
            <w:tcW w:w="1843" w:type="dxa"/>
          </w:tcPr>
          <w:p w14:paraId="1CF9FEDD" w14:textId="77777777" w:rsidR="0019537C" w:rsidRPr="00A3585E" w:rsidRDefault="0019537C" w:rsidP="008B3CF0">
            <w:pPr>
              <w:keepNext/>
              <w:jc w:val="center"/>
              <w:rPr>
                <w:sz w:val="20"/>
                <w:szCs w:val="20"/>
              </w:rPr>
            </w:pPr>
            <w:r w:rsidRPr="00A3585E">
              <w:rPr>
                <w:sz w:val="20"/>
                <w:szCs w:val="20"/>
              </w:rPr>
              <w:t xml:space="preserve">7 </w:t>
            </w:r>
            <w:r w:rsidRPr="00A3585E">
              <w:rPr>
                <w:spacing w:val="-5"/>
                <w:sz w:val="20"/>
                <w:szCs w:val="20"/>
              </w:rPr>
              <w:t>(6)</w:t>
            </w:r>
          </w:p>
        </w:tc>
        <w:tc>
          <w:tcPr>
            <w:tcW w:w="1843" w:type="dxa"/>
          </w:tcPr>
          <w:p w14:paraId="3DB326D2"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2683" w:type="dxa"/>
          </w:tcPr>
          <w:p w14:paraId="1CE52B85"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r>
      <w:tr w:rsidR="0019537C" w:rsidRPr="00A3585E" w14:paraId="39C512F2" w14:textId="77777777" w:rsidTr="00AA2F71">
        <w:trPr>
          <w:trHeight w:val="20"/>
        </w:trPr>
        <w:tc>
          <w:tcPr>
            <w:tcW w:w="2410" w:type="dxa"/>
          </w:tcPr>
          <w:p w14:paraId="45E1032A" w14:textId="77777777" w:rsidR="0019537C" w:rsidRPr="00A3585E" w:rsidRDefault="0019537C" w:rsidP="008B3CF0">
            <w:pPr>
              <w:keepNext/>
              <w:rPr>
                <w:sz w:val="20"/>
                <w:szCs w:val="20"/>
              </w:rPr>
            </w:pPr>
            <w:r w:rsidRPr="00A3585E">
              <w:rPr>
                <w:spacing w:val="-2"/>
                <w:sz w:val="20"/>
                <w:szCs w:val="20"/>
              </w:rPr>
              <w:t>Stomatitis</w:t>
            </w:r>
          </w:p>
        </w:tc>
        <w:tc>
          <w:tcPr>
            <w:tcW w:w="1843" w:type="dxa"/>
          </w:tcPr>
          <w:p w14:paraId="64434310" w14:textId="77777777" w:rsidR="0019537C" w:rsidRPr="00A3585E" w:rsidRDefault="0019537C" w:rsidP="008B3CF0">
            <w:pPr>
              <w:keepNext/>
              <w:jc w:val="center"/>
              <w:rPr>
                <w:sz w:val="20"/>
                <w:szCs w:val="20"/>
              </w:rPr>
            </w:pPr>
            <w:r w:rsidRPr="00A3585E">
              <w:rPr>
                <w:sz w:val="20"/>
                <w:szCs w:val="20"/>
              </w:rPr>
              <w:t xml:space="preserve">6 </w:t>
            </w:r>
            <w:r w:rsidRPr="00A3585E">
              <w:rPr>
                <w:spacing w:val="-5"/>
                <w:sz w:val="20"/>
                <w:szCs w:val="20"/>
              </w:rPr>
              <w:t>(5)</w:t>
            </w:r>
          </w:p>
        </w:tc>
        <w:tc>
          <w:tcPr>
            <w:tcW w:w="1843" w:type="dxa"/>
          </w:tcPr>
          <w:p w14:paraId="0370B0BB"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2683" w:type="dxa"/>
          </w:tcPr>
          <w:p w14:paraId="1538A956"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r>
      <w:tr w:rsidR="0019537C" w:rsidRPr="00A3585E" w14:paraId="7C79236B" w14:textId="77777777" w:rsidTr="00AA2F71">
        <w:trPr>
          <w:trHeight w:val="20"/>
        </w:trPr>
        <w:tc>
          <w:tcPr>
            <w:tcW w:w="2410" w:type="dxa"/>
          </w:tcPr>
          <w:p w14:paraId="5874AB6C" w14:textId="77777777" w:rsidR="0019537C" w:rsidRPr="00A3585E" w:rsidRDefault="0019537C" w:rsidP="008B3CF0">
            <w:pPr>
              <w:keepNext/>
              <w:rPr>
                <w:sz w:val="20"/>
                <w:szCs w:val="20"/>
              </w:rPr>
            </w:pPr>
            <w:r w:rsidRPr="00A3585E">
              <w:rPr>
                <w:sz w:val="20"/>
                <w:szCs w:val="20"/>
              </w:rPr>
              <w:t>Increased blood creatinine</w:t>
            </w:r>
          </w:p>
        </w:tc>
        <w:tc>
          <w:tcPr>
            <w:tcW w:w="1843" w:type="dxa"/>
          </w:tcPr>
          <w:p w14:paraId="0EE14274" w14:textId="77777777" w:rsidR="0019537C" w:rsidRPr="00A3585E" w:rsidRDefault="0019537C" w:rsidP="008B3CF0">
            <w:pPr>
              <w:keepNext/>
              <w:jc w:val="center"/>
              <w:rPr>
                <w:sz w:val="20"/>
                <w:szCs w:val="20"/>
              </w:rPr>
            </w:pPr>
            <w:r w:rsidRPr="00A3585E">
              <w:rPr>
                <w:sz w:val="20"/>
                <w:szCs w:val="20"/>
              </w:rPr>
              <w:t xml:space="preserve">5 </w:t>
            </w:r>
            <w:r w:rsidRPr="00A3585E">
              <w:rPr>
                <w:spacing w:val="-2"/>
                <w:sz w:val="20"/>
                <w:szCs w:val="20"/>
              </w:rPr>
              <w:t>(4.4)</w:t>
            </w:r>
          </w:p>
        </w:tc>
        <w:tc>
          <w:tcPr>
            <w:tcW w:w="1843" w:type="dxa"/>
          </w:tcPr>
          <w:p w14:paraId="72BF050C"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c>
          <w:tcPr>
            <w:tcW w:w="2683" w:type="dxa"/>
          </w:tcPr>
          <w:p w14:paraId="2531A44F" w14:textId="77777777" w:rsidR="0019537C" w:rsidRPr="00A3585E" w:rsidRDefault="0019537C" w:rsidP="008B3CF0">
            <w:pPr>
              <w:keepNext/>
              <w:jc w:val="center"/>
              <w:rPr>
                <w:sz w:val="20"/>
                <w:szCs w:val="20"/>
              </w:rPr>
            </w:pPr>
            <w:r w:rsidRPr="00A3585E">
              <w:rPr>
                <w:sz w:val="20"/>
                <w:szCs w:val="20"/>
              </w:rPr>
              <w:t>0</w:t>
            </w:r>
          </w:p>
        </w:tc>
      </w:tr>
      <w:tr w:rsidR="0019537C" w:rsidRPr="00A3585E" w14:paraId="47323C1E" w14:textId="77777777" w:rsidTr="00AA2F71">
        <w:trPr>
          <w:trHeight w:val="20"/>
        </w:trPr>
        <w:tc>
          <w:tcPr>
            <w:tcW w:w="2410" w:type="dxa"/>
          </w:tcPr>
          <w:p w14:paraId="4E50ACF7" w14:textId="77777777" w:rsidR="0019537C" w:rsidRPr="00A3585E" w:rsidRDefault="0019537C" w:rsidP="008B3CF0">
            <w:pPr>
              <w:keepNext/>
              <w:rPr>
                <w:sz w:val="20"/>
                <w:szCs w:val="20"/>
              </w:rPr>
            </w:pPr>
            <w:r w:rsidRPr="00A3585E">
              <w:rPr>
                <w:sz w:val="20"/>
                <w:szCs w:val="20"/>
              </w:rPr>
              <w:t>Decreased</w:t>
            </w:r>
            <w:r w:rsidRPr="00A3585E">
              <w:rPr>
                <w:spacing w:val="-11"/>
                <w:sz w:val="20"/>
                <w:szCs w:val="20"/>
              </w:rPr>
              <w:t xml:space="preserve"> </w:t>
            </w:r>
            <w:r w:rsidRPr="00A3585E">
              <w:rPr>
                <w:spacing w:val="-2"/>
                <w:sz w:val="20"/>
                <w:szCs w:val="20"/>
              </w:rPr>
              <w:t>appetite</w:t>
            </w:r>
          </w:p>
        </w:tc>
        <w:tc>
          <w:tcPr>
            <w:tcW w:w="1843" w:type="dxa"/>
          </w:tcPr>
          <w:p w14:paraId="08086B8E" w14:textId="77777777" w:rsidR="0019537C" w:rsidRPr="00A3585E" w:rsidRDefault="0019537C" w:rsidP="008B3CF0">
            <w:pPr>
              <w:keepNext/>
              <w:jc w:val="center"/>
              <w:rPr>
                <w:sz w:val="20"/>
                <w:szCs w:val="20"/>
              </w:rPr>
            </w:pPr>
            <w:r w:rsidRPr="00A3585E">
              <w:rPr>
                <w:sz w:val="20"/>
                <w:szCs w:val="20"/>
              </w:rPr>
              <w:t xml:space="preserve">4 </w:t>
            </w:r>
            <w:r w:rsidRPr="00A3585E">
              <w:rPr>
                <w:spacing w:val="-2"/>
                <w:sz w:val="20"/>
                <w:szCs w:val="20"/>
              </w:rPr>
              <w:t>(3.5)</w:t>
            </w:r>
          </w:p>
        </w:tc>
        <w:tc>
          <w:tcPr>
            <w:tcW w:w="1843" w:type="dxa"/>
          </w:tcPr>
          <w:p w14:paraId="4612E8AC"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c>
          <w:tcPr>
            <w:tcW w:w="2683" w:type="dxa"/>
          </w:tcPr>
          <w:p w14:paraId="5E74F044"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r>
      <w:tr w:rsidR="0019537C" w:rsidRPr="00A3585E" w14:paraId="0C448C83" w14:textId="77777777" w:rsidTr="00AA2F71">
        <w:trPr>
          <w:trHeight w:val="20"/>
        </w:trPr>
        <w:tc>
          <w:tcPr>
            <w:tcW w:w="2410" w:type="dxa"/>
          </w:tcPr>
          <w:p w14:paraId="6D391573" w14:textId="77777777" w:rsidR="0019537C" w:rsidRPr="00A3585E" w:rsidRDefault="0019537C" w:rsidP="008B3CF0">
            <w:pPr>
              <w:keepNext/>
              <w:rPr>
                <w:sz w:val="20"/>
                <w:szCs w:val="20"/>
              </w:rPr>
            </w:pPr>
            <w:r w:rsidRPr="00A3585E">
              <w:rPr>
                <w:sz w:val="20"/>
                <w:szCs w:val="20"/>
              </w:rPr>
              <w:t>Paronychia</w:t>
            </w:r>
          </w:p>
        </w:tc>
        <w:tc>
          <w:tcPr>
            <w:tcW w:w="1843" w:type="dxa"/>
          </w:tcPr>
          <w:p w14:paraId="41F8D2B7" w14:textId="77777777" w:rsidR="0019537C" w:rsidRPr="00A3585E" w:rsidRDefault="0019537C" w:rsidP="008B3CF0">
            <w:pPr>
              <w:keepNext/>
              <w:jc w:val="center"/>
              <w:rPr>
                <w:sz w:val="20"/>
                <w:szCs w:val="20"/>
              </w:rPr>
            </w:pPr>
            <w:r w:rsidRPr="00A3585E">
              <w:rPr>
                <w:sz w:val="20"/>
                <w:szCs w:val="20"/>
              </w:rPr>
              <w:t xml:space="preserve">4 </w:t>
            </w:r>
            <w:r w:rsidRPr="00A3585E">
              <w:rPr>
                <w:spacing w:val="-2"/>
                <w:sz w:val="20"/>
                <w:szCs w:val="20"/>
              </w:rPr>
              <w:t>(3.5)</w:t>
            </w:r>
          </w:p>
        </w:tc>
        <w:tc>
          <w:tcPr>
            <w:tcW w:w="1843" w:type="dxa"/>
          </w:tcPr>
          <w:p w14:paraId="01B88CBA"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2683" w:type="dxa"/>
          </w:tcPr>
          <w:p w14:paraId="1FFB71AC" w14:textId="77777777" w:rsidR="0019537C" w:rsidRPr="00A3585E" w:rsidRDefault="0019537C" w:rsidP="008B3CF0">
            <w:pPr>
              <w:keepNext/>
              <w:jc w:val="center"/>
              <w:rPr>
                <w:sz w:val="20"/>
                <w:szCs w:val="20"/>
              </w:rPr>
            </w:pPr>
            <w:r w:rsidRPr="00A3585E">
              <w:rPr>
                <w:sz w:val="20"/>
                <w:szCs w:val="20"/>
              </w:rPr>
              <w:t>0</w:t>
            </w:r>
          </w:p>
        </w:tc>
      </w:tr>
      <w:tr w:rsidR="0019537C" w:rsidRPr="00A3585E" w14:paraId="1D920BFA" w14:textId="77777777" w:rsidTr="00AA2F71">
        <w:trPr>
          <w:trHeight w:val="20"/>
        </w:trPr>
        <w:tc>
          <w:tcPr>
            <w:tcW w:w="2410" w:type="dxa"/>
          </w:tcPr>
          <w:p w14:paraId="3CCF2A79" w14:textId="77777777" w:rsidR="0019537C" w:rsidRPr="00A3585E" w:rsidRDefault="0019537C" w:rsidP="008B3CF0">
            <w:pPr>
              <w:keepNext/>
              <w:rPr>
                <w:sz w:val="20"/>
                <w:szCs w:val="20"/>
              </w:rPr>
            </w:pPr>
            <w:r w:rsidRPr="00A3585E">
              <w:rPr>
                <w:sz w:val="20"/>
                <w:szCs w:val="20"/>
              </w:rPr>
              <w:t>Pyrexia</w:t>
            </w:r>
          </w:p>
        </w:tc>
        <w:tc>
          <w:tcPr>
            <w:tcW w:w="1843" w:type="dxa"/>
          </w:tcPr>
          <w:p w14:paraId="729D363A" w14:textId="77777777" w:rsidR="0019537C" w:rsidRPr="00A3585E" w:rsidRDefault="0019537C" w:rsidP="008B3CF0">
            <w:pPr>
              <w:keepNext/>
              <w:jc w:val="center"/>
              <w:rPr>
                <w:sz w:val="20"/>
                <w:szCs w:val="20"/>
              </w:rPr>
            </w:pPr>
            <w:r w:rsidRPr="00A3585E">
              <w:rPr>
                <w:sz w:val="20"/>
                <w:szCs w:val="20"/>
              </w:rPr>
              <w:t xml:space="preserve">4 </w:t>
            </w:r>
            <w:r w:rsidRPr="00A3585E">
              <w:rPr>
                <w:spacing w:val="-2"/>
                <w:sz w:val="20"/>
                <w:szCs w:val="20"/>
              </w:rPr>
              <w:t>(3.5)</w:t>
            </w:r>
          </w:p>
        </w:tc>
        <w:tc>
          <w:tcPr>
            <w:tcW w:w="1843" w:type="dxa"/>
          </w:tcPr>
          <w:p w14:paraId="143639D9" w14:textId="77777777" w:rsidR="0019537C" w:rsidRPr="00A3585E" w:rsidRDefault="0019537C" w:rsidP="008B3CF0">
            <w:pPr>
              <w:keepNext/>
              <w:jc w:val="center"/>
              <w:rPr>
                <w:sz w:val="20"/>
                <w:szCs w:val="20"/>
              </w:rPr>
            </w:pPr>
            <w:r w:rsidRPr="00A3585E">
              <w:rPr>
                <w:sz w:val="20"/>
                <w:szCs w:val="20"/>
              </w:rPr>
              <w:t>0</w:t>
            </w:r>
          </w:p>
        </w:tc>
        <w:tc>
          <w:tcPr>
            <w:tcW w:w="2683" w:type="dxa"/>
          </w:tcPr>
          <w:p w14:paraId="7F55E729" w14:textId="77777777" w:rsidR="0019537C" w:rsidRPr="00A3585E" w:rsidRDefault="0019537C" w:rsidP="008B3CF0">
            <w:pPr>
              <w:keepNext/>
              <w:jc w:val="center"/>
              <w:rPr>
                <w:sz w:val="20"/>
                <w:szCs w:val="20"/>
              </w:rPr>
            </w:pPr>
            <w:r w:rsidRPr="00A3585E">
              <w:rPr>
                <w:sz w:val="20"/>
                <w:szCs w:val="20"/>
              </w:rPr>
              <w:t>0</w:t>
            </w:r>
          </w:p>
        </w:tc>
      </w:tr>
      <w:tr w:rsidR="0019537C" w:rsidRPr="00A3585E" w14:paraId="3D6CD84C" w14:textId="77777777" w:rsidTr="00AA2F71">
        <w:trPr>
          <w:trHeight w:val="20"/>
        </w:trPr>
        <w:tc>
          <w:tcPr>
            <w:tcW w:w="2410" w:type="dxa"/>
          </w:tcPr>
          <w:p w14:paraId="06E247DF" w14:textId="77777777" w:rsidR="0019537C" w:rsidRPr="00A3585E" w:rsidRDefault="0019537C" w:rsidP="008B3CF0">
            <w:pPr>
              <w:keepNext/>
              <w:rPr>
                <w:sz w:val="20"/>
                <w:szCs w:val="20"/>
              </w:rPr>
            </w:pPr>
            <w:r w:rsidRPr="00A3585E">
              <w:rPr>
                <w:sz w:val="20"/>
                <w:szCs w:val="20"/>
              </w:rPr>
              <w:t>Increased</w:t>
            </w:r>
            <w:r w:rsidRPr="00A3585E">
              <w:rPr>
                <w:spacing w:val="-12"/>
                <w:sz w:val="20"/>
                <w:szCs w:val="20"/>
              </w:rPr>
              <w:t xml:space="preserve"> </w:t>
            </w:r>
            <w:r w:rsidRPr="00A3585E">
              <w:rPr>
                <w:spacing w:val="-2"/>
                <w:sz w:val="20"/>
                <w:szCs w:val="20"/>
              </w:rPr>
              <w:t>amylase</w:t>
            </w:r>
          </w:p>
        </w:tc>
        <w:tc>
          <w:tcPr>
            <w:tcW w:w="1843" w:type="dxa"/>
          </w:tcPr>
          <w:p w14:paraId="31EBE584"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41D0D8F0" w14:textId="77777777" w:rsidR="0019537C" w:rsidRPr="00A3585E" w:rsidRDefault="0019537C" w:rsidP="008B3CF0">
            <w:pPr>
              <w:keepNext/>
              <w:jc w:val="center"/>
              <w:rPr>
                <w:sz w:val="20"/>
                <w:szCs w:val="20"/>
              </w:rPr>
            </w:pPr>
            <w:r w:rsidRPr="00A3585E">
              <w:rPr>
                <w:sz w:val="20"/>
                <w:szCs w:val="20"/>
              </w:rPr>
              <w:t>0</w:t>
            </w:r>
          </w:p>
        </w:tc>
        <w:tc>
          <w:tcPr>
            <w:tcW w:w="2683" w:type="dxa"/>
          </w:tcPr>
          <w:p w14:paraId="041F3CD1" w14:textId="77777777" w:rsidR="0019537C" w:rsidRPr="00A3585E" w:rsidRDefault="0019537C" w:rsidP="008B3CF0">
            <w:pPr>
              <w:keepNext/>
              <w:jc w:val="center"/>
              <w:rPr>
                <w:sz w:val="20"/>
                <w:szCs w:val="20"/>
              </w:rPr>
            </w:pPr>
            <w:r w:rsidRPr="00A3585E">
              <w:rPr>
                <w:sz w:val="20"/>
                <w:szCs w:val="20"/>
              </w:rPr>
              <w:t>0</w:t>
            </w:r>
          </w:p>
        </w:tc>
      </w:tr>
      <w:tr w:rsidR="0019537C" w:rsidRPr="00A3585E" w14:paraId="24A380C1" w14:textId="77777777" w:rsidTr="00AA2F71">
        <w:trPr>
          <w:trHeight w:val="20"/>
        </w:trPr>
        <w:tc>
          <w:tcPr>
            <w:tcW w:w="2410" w:type="dxa"/>
          </w:tcPr>
          <w:p w14:paraId="13B2A232" w14:textId="77777777" w:rsidR="0019537C" w:rsidRPr="00A3585E" w:rsidRDefault="0019537C" w:rsidP="008B3CF0">
            <w:pPr>
              <w:keepNext/>
              <w:rPr>
                <w:sz w:val="20"/>
                <w:szCs w:val="20"/>
              </w:rPr>
            </w:pPr>
            <w:r w:rsidRPr="00A3585E">
              <w:rPr>
                <w:spacing w:val="-2"/>
                <w:sz w:val="20"/>
                <w:szCs w:val="20"/>
              </w:rPr>
              <w:t>Dyspnoea</w:t>
            </w:r>
          </w:p>
        </w:tc>
        <w:tc>
          <w:tcPr>
            <w:tcW w:w="1843" w:type="dxa"/>
          </w:tcPr>
          <w:p w14:paraId="47050FB0"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28379D45" w14:textId="77777777" w:rsidR="0019537C" w:rsidRPr="00A3585E" w:rsidRDefault="0019537C" w:rsidP="008B3CF0">
            <w:pPr>
              <w:keepNext/>
              <w:jc w:val="center"/>
              <w:rPr>
                <w:sz w:val="20"/>
                <w:szCs w:val="20"/>
              </w:rPr>
            </w:pPr>
            <w:r w:rsidRPr="00A3585E">
              <w:rPr>
                <w:sz w:val="20"/>
                <w:szCs w:val="20"/>
              </w:rPr>
              <w:t>0</w:t>
            </w:r>
          </w:p>
        </w:tc>
        <w:tc>
          <w:tcPr>
            <w:tcW w:w="2683" w:type="dxa"/>
          </w:tcPr>
          <w:p w14:paraId="78991ABB" w14:textId="77777777" w:rsidR="0019537C" w:rsidRPr="00A3585E" w:rsidRDefault="0019537C" w:rsidP="008B3CF0">
            <w:pPr>
              <w:keepNext/>
              <w:jc w:val="center"/>
              <w:rPr>
                <w:sz w:val="20"/>
                <w:szCs w:val="20"/>
              </w:rPr>
            </w:pPr>
            <w:r w:rsidRPr="00A3585E">
              <w:rPr>
                <w:sz w:val="20"/>
                <w:szCs w:val="20"/>
              </w:rPr>
              <w:t>0 [pneumonitis: 1 (0.9)]</w:t>
            </w:r>
          </w:p>
        </w:tc>
      </w:tr>
      <w:tr w:rsidR="0019537C" w:rsidRPr="00A3585E" w14:paraId="72E79E62" w14:textId="77777777" w:rsidTr="00AA2F71">
        <w:trPr>
          <w:trHeight w:val="20"/>
        </w:trPr>
        <w:tc>
          <w:tcPr>
            <w:tcW w:w="2410" w:type="dxa"/>
          </w:tcPr>
          <w:p w14:paraId="2F8F39AA" w14:textId="77777777" w:rsidR="0019537C" w:rsidRPr="00A3585E" w:rsidRDefault="0019537C" w:rsidP="008B3CF0">
            <w:pPr>
              <w:keepNext/>
              <w:rPr>
                <w:sz w:val="20"/>
                <w:szCs w:val="20"/>
              </w:rPr>
            </w:pPr>
            <w:r w:rsidRPr="00A3585E">
              <w:rPr>
                <w:sz w:val="20"/>
                <w:szCs w:val="20"/>
              </w:rPr>
              <w:t>Increased</w:t>
            </w:r>
            <w:r w:rsidRPr="00A3585E">
              <w:rPr>
                <w:spacing w:val="-12"/>
                <w:sz w:val="20"/>
                <w:szCs w:val="20"/>
              </w:rPr>
              <w:t xml:space="preserve"> </w:t>
            </w:r>
            <w:r w:rsidRPr="00A3585E">
              <w:rPr>
                <w:spacing w:val="-2"/>
                <w:sz w:val="20"/>
                <w:szCs w:val="20"/>
              </w:rPr>
              <w:t>lipase</w:t>
            </w:r>
          </w:p>
        </w:tc>
        <w:tc>
          <w:tcPr>
            <w:tcW w:w="1843" w:type="dxa"/>
          </w:tcPr>
          <w:p w14:paraId="24A40886"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43E7C762"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c>
          <w:tcPr>
            <w:tcW w:w="2683" w:type="dxa"/>
          </w:tcPr>
          <w:p w14:paraId="2DD8D81D" w14:textId="77777777" w:rsidR="0019537C" w:rsidRPr="00A3585E" w:rsidRDefault="0019537C" w:rsidP="008B3CF0">
            <w:pPr>
              <w:keepNext/>
              <w:jc w:val="center"/>
              <w:rPr>
                <w:sz w:val="20"/>
                <w:szCs w:val="20"/>
              </w:rPr>
            </w:pPr>
            <w:r w:rsidRPr="00A3585E">
              <w:rPr>
                <w:sz w:val="20"/>
                <w:szCs w:val="20"/>
              </w:rPr>
              <w:t>0 [increased amylase: 1 (0.9)]</w:t>
            </w:r>
          </w:p>
        </w:tc>
      </w:tr>
      <w:tr w:rsidR="0019537C" w:rsidRPr="00A3585E" w14:paraId="52E1FF54" w14:textId="77777777" w:rsidTr="00AA2F71">
        <w:trPr>
          <w:trHeight w:val="20"/>
        </w:trPr>
        <w:tc>
          <w:tcPr>
            <w:tcW w:w="2410" w:type="dxa"/>
          </w:tcPr>
          <w:p w14:paraId="3AB40B3D" w14:textId="77777777" w:rsidR="0019537C" w:rsidRPr="00A3585E" w:rsidRDefault="0019537C" w:rsidP="008B3CF0">
            <w:pPr>
              <w:keepNext/>
              <w:rPr>
                <w:sz w:val="20"/>
                <w:szCs w:val="20"/>
              </w:rPr>
            </w:pPr>
            <w:r w:rsidRPr="00A3585E">
              <w:rPr>
                <w:sz w:val="20"/>
                <w:szCs w:val="20"/>
              </w:rPr>
              <w:t>Musculoskeletal</w:t>
            </w:r>
            <w:r w:rsidRPr="00A3585E">
              <w:rPr>
                <w:spacing w:val="-10"/>
                <w:sz w:val="20"/>
                <w:szCs w:val="20"/>
              </w:rPr>
              <w:t xml:space="preserve"> p</w:t>
            </w:r>
            <w:r w:rsidRPr="00A3585E">
              <w:rPr>
                <w:spacing w:val="-4"/>
                <w:sz w:val="20"/>
                <w:szCs w:val="20"/>
              </w:rPr>
              <w:t>ain</w:t>
            </w:r>
          </w:p>
        </w:tc>
        <w:tc>
          <w:tcPr>
            <w:tcW w:w="1843" w:type="dxa"/>
          </w:tcPr>
          <w:p w14:paraId="282003E5"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6F422EC5" w14:textId="77777777" w:rsidR="0019537C" w:rsidRPr="00A3585E" w:rsidRDefault="0019537C" w:rsidP="008B3CF0">
            <w:pPr>
              <w:keepNext/>
              <w:jc w:val="center"/>
              <w:rPr>
                <w:sz w:val="20"/>
                <w:szCs w:val="20"/>
              </w:rPr>
            </w:pPr>
            <w:r w:rsidRPr="00A3585E">
              <w:rPr>
                <w:sz w:val="20"/>
                <w:szCs w:val="20"/>
              </w:rPr>
              <w:t>0</w:t>
            </w:r>
          </w:p>
        </w:tc>
        <w:tc>
          <w:tcPr>
            <w:tcW w:w="2683" w:type="dxa"/>
          </w:tcPr>
          <w:p w14:paraId="59093FD0" w14:textId="77777777" w:rsidR="0019537C" w:rsidRPr="00A3585E" w:rsidRDefault="0019537C" w:rsidP="008B3CF0">
            <w:pPr>
              <w:keepNext/>
              <w:jc w:val="center"/>
              <w:rPr>
                <w:sz w:val="20"/>
                <w:szCs w:val="20"/>
              </w:rPr>
            </w:pPr>
            <w:r w:rsidRPr="00A3585E">
              <w:rPr>
                <w:sz w:val="20"/>
                <w:szCs w:val="20"/>
              </w:rPr>
              <w:t>0</w:t>
            </w:r>
          </w:p>
        </w:tc>
      </w:tr>
      <w:tr w:rsidR="0019537C" w:rsidRPr="00A3585E" w14:paraId="2669B9BC" w14:textId="77777777" w:rsidTr="00AA2F71">
        <w:trPr>
          <w:trHeight w:val="20"/>
        </w:trPr>
        <w:tc>
          <w:tcPr>
            <w:tcW w:w="2410" w:type="dxa"/>
          </w:tcPr>
          <w:p w14:paraId="430D2184" w14:textId="77777777" w:rsidR="0019537C" w:rsidRPr="00A3585E" w:rsidRDefault="0019537C" w:rsidP="008B3CF0">
            <w:pPr>
              <w:keepNext/>
              <w:rPr>
                <w:sz w:val="20"/>
                <w:szCs w:val="20"/>
              </w:rPr>
            </w:pPr>
            <w:r w:rsidRPr="00A3585E">
              <w:rPr>
                <w:spacing w:val="-2"/>
                <w:sz w:val="20"/>
                <w:szCs w:val="20"/>
              </w:rPr>
              <w:t>Pruritis</w:t>
            </w:r>
          </w:p>
        </w:tc>
        <w:tc>
          <w:tcPr>
            <w:tcW w:w="1843" w:type="dxa"/>
          </w:tcPr>
          <w:p w14:paraId="69CBA349"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44441BA9" w14:textId="77777777" w:rsidR="0019537C" w:rsidRPr="00A3585E" w:rsidRDefault="0019537C" w:rsidP="008B3CF0">
            <w:pPr>
              <w:keepNext/>
              <w:jc w:val="center"/>
              <w:rPr>
                <w:sz w:val="20"/>
                <w:szCs w:val="20"/>
              </w:rPr>
            </w:pPr>
            <w:r w:rsidRPr="00A3585E">
              <w:rPr>
                <w:sz w:val="20"/>
                <w:szCs w:val="20"/>
              </w:rPr>
              <w:t xml:space="preserve">1 </w:t>
            </w:r>
            <w:r w:rsidRPr="00A3585E">
              <w:rPr>
                <w:spacing w:val="-2"/>
                <w:sz w:val="20"/>
                <w:szCs w:val="20"/>
              </w:rPr>
              <w:t>(0.9)</w:t>
            </w:r>
          </w:p>
        </w:tc>
        <w:tc>
          <w:tcPr>
            <w:tcW w:w="2683" w:type="dxa"/>
          </w:tcPr>
          <w:p w14:paraId="03E5EAB4" w14:textId="77777777" w:rsidR="0019537C" w:rsidRPr="00A3585E" w:rsidRDefault="0019537C" w:rsidP="008B3CF0">
            <w:pPr>
              <w:keepNext/>
              <w:jc w:val="center"/>
              <w:rPr>
                <w:sz w:val="20"/>
                <w:szCs w:val="20"/>
              </w:rPr>
            </w:pPr>
            <w:r w:rsidRPr="00A3585E">
              <w:rPr>
                <w:sz w:val="20"/>
                <w:szCs w:val="20"/>
              </w:rPr>
              <w:t>0</w:t>
            </w:r>
          </w:p>
        </w:tc>
      </w:tr>
      <w:tr w:rsidR="0019537C" w:rsidRPr="00A3585E" w14:paraId="446DC5F6" w14:textId="77777777" w:rsidTr="00AA2F71">
        <w:trPr>
          <w:trHeight w:val="20"/>
        </w:trPr>
        <w:tc>
          <w:tcPr>
            <w:tcW w:w="2410" w:type="dxa"/>
          </w:tcPr>
          <w:p w14:paraId="41071991" w14:textId="77777777" w:rsidR="0019537C" w:rsidRPr="00A3585E" w:rsidRDefault="0019537C" w:rsidP="008B3CF0">
            <w:pPr>
              <w:keepNext/>
              <w:rPr>
                <w:sz w:val="20"/>
                <w:szCs w:val="20"/>
              </w:rPr>
            </w:pPr>
            <w:r w:rsidRPr="00A3585E">
              <w:rPr>
                <w:spacing w:val="-4"/>
                <w:sz w:val="20"/>
                <w:szCs w:val="20"/>
              </w:rPr>
              <w:t>Rash</w:t>
            </w:r>
          </w:p>
        </w:tc>
        <w:tc>
          <w:tcPr>
            <w:tcW w:w="1843" w:type="dxa"/>
          </w:tcPr>
          <w:p w14:paraId="486CB953"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1843" w:type="dxa"/>
          </w:tcPr>
          <w:p w14:paraId="0E0E8357" w14:textId="77777777" w:rsidR="0019537C" w:rsidRPr="00A3585E" w:rsidRDefault="0019537C" w:rsidP="008B3CF0">
            <w:pPr>
              <w:keepNext/>
              <w:jc w:val="center"/>
              <w:rPr>
                <w:sz w:val="20"/>
                <w:szCs w:val="20"/>
              </w:rPr>
            </w:pPr>
            <w:r w:rsidRPr="00A3585E">
              <w:rPr>
                <w:sz w:val="20"/>
                <w:szCs w:val="20"/>
              </w:rPr>
              <w:t xml:space="preserve">4 </w:t>
            </w:r>
            <w:r w:rsidRPr="00A3585E">
              <w:rPr>
                <w:spacing w:val="-2"/>
                <w:sz w:val="20"/>
                <w:szCs w:val="20"/>
              </w:rPr>
              <w:t>(3.5)</w:t>
            </w:r>
          </w:p>
        </w:tc>
        <w:tc>
          <w:tcPr>
            <w:tcW w:w="2683" w:type="dxa"/>
          </w:tcPr>
          <w:p w14:paraId="5DD16071" w14:textId="77777777" w:rsidR="0019537C" w:rsidRPr="00A3585E" w:rsidRDefault="0019537C" w:rsidP="008B3CF0">
            <w:pPr>
              <w:keepNext/>
              <w:jc w:val="center"/>
              <w:rPr>
                <w:sz w:val="20"/>
                <w:szCs w:val="20"/>
              </w:rPr>
            </w:pPr>
            <w:r w:rsidRPr="00A3585E">
              <w:rPr>
                <w:sz w:val="20"/>
                <w:szCs w:val="20"/>
              </w:rPr>
              <w:t xml:space="preserve">1 </w:t>
            </w:r>
            <w:r w:rsidRPr="00A3585E">
              <w:rPr>
                <w:spacing w:val="-2"/>
                <w:sz w:val="20"/>
                <w:szCs w:val="20"/>
              </w:rPr>
              <w:t>(0.9)</w:t>
            </w:r>
          </w:p>
        </w:tc>
      </w:tr>
      <w:tr w:rsidR="0019537C" w:rsidRPr="00A3585E" w14:paraId="28DE27C9" w14:textId="77777777" w:rsidTr="00AA2F71">
        <w:trPr>
          <w:trHeight w:val="20"/>
        </w:trPr>
        <w:tc>
          <w:tcPr>
            <w:tcW w:w="2410" w:type="dxa"/>
          </w:tcPr>
          <w:p w14:paraId="42505252" w14:textId="77777777" w:rsidR="0019537C" w:rsidRPr="00A3585E" w:rsidRDefault="0019537C" w:rsidP="008B3CF0">
            <w:pPr>
              <w:keepNext/>
              <w:rPr>
                <w:sz w:val="20"/>
                <w:szCs w:val="20"/>
              </w:rPr>
            </w:pPr>
            <w:r w:rsidRPr="00A3585E">
              <w:rPr>
                <w:spacing w:val="-2"/>
                <w:sz w:val="20"/>
                <w:szCs w:val="20"/>
              </w:rPr>
              <w:t>Fatigue</w:t>
            </w:r>
          </w:p>
        </w:tc>
        <w:tc>
          <w:tcPr>
            <w:tcW w:w="1843" w:type="dxa"/>
          </w:tcPr>
          <w:p w14:paraId="1E72F978" w14:textId="77777777" w:rsidR="0019537C" w:rsidRPr="00A3585E" w:rsidRDefault="0019537C" w:rsidP="008B3CF0">
            <w:pPr>
              <w:keepNext/>
              <w:jc w:val="center"/>
              <w:rPr>
                <w:sz w:val="20"/>
                <w:szCs w:val="20"/>
              </w:rPr>
            </w:pPr>
            <w:r w:rsidRPr="00A3585E">
              <w:rPr>
                <w:sz w:val="20"/>
                <w:szCs w:val="20"/>
              </w:rPr>
              <w:t xml:space="preserve">2 </w:t>
            </w:r>
            <w:r w:rsidRPr="00A3585E">
              <w:rPr>
                <w:spacing w:val="-2"/>
                <w:sz w:val="20"/>
                <w:szCs w:val="20"/>
              </w:rPr>
              <w:t>(1.8)</w:t>
            </w:r>
          </w:p>
        </w:tc>
        <w:tc>
          <w:tcPr>
            <w:tcW w:w="1843" w:type="dxa"/>
          </w:tcPr>
          <w:p w14:paraId="3BD936BA" w14:textId="77777777" w:rsidR="0019537C" w:rsidRPr="00A3585E" w:rsidRDefault="0019537C" w:rsidP="008B3CF0">
            <w:pPr>
              <w:keepNext/>
              <w:jc w:val="center"/>
              <w:rPr>
                <w:sz w:val="20"/>
                <w:szCs w:val="20"/>
              </w:rPr>
            </w:pPr>
            <w:r w:rsidRPr="00A3585E">
              <w:rPr>
                <w:sz w:val="20"/>
                <w:szCs w:val="20"/>
              </w:rPr>
              <w:t xml:space="preserve">3 </w:t>
            </w:r>
            <w:r w:rsidRPr="00A3585E">
              <w:rPr>
                <w:spacing w:val="-2"/>
                <w:sz w:val="20"/>
                <w:szCs w:val="20"/>
              </w:rPr>
              <w:t>(2.6)</w:t>
            </w:r>
          </w:p>
        </w:tc>
        <w:tc>
          <w:tcPr>
            <w:tcW w:w="2683" w:type="dxa"/>
          </w:tcPr>
          <w:p w14:paraId="17155803" w14:textId="77777777" w:rsidR="0019537C" w:rsidRPr="00A3585E" w:rsidRDefault="0019537C" w:rsidP="008B3CF0">
            <w:pPr>
              <w:keepNext/>
              <w:jc w:val="center"/>
              <w:rPr>
                <w:sz w:val="20"/>
                <w:szCs w:val="20"/>
              </w:rPr>
            </w:pPr>
            <w:r w:rsidRPr="00A3585E">
              <w:rPr>
                <w:sz w:val="20"/>
                <w:szCs w:val="20"/>
              </w:rPr>
              <w:t xml:space="preserve">1 </w:t>
            </w:r>
            <w:r w:rsidRPr="00A3585E">
              <w:rPr>
                <w:spacing w:val="-2"/>
                <w:sz w:val="20"/>
                <w:szCs w:val="20"/>
              </w:rPr>
              <w:t>(0.9)</w:t>
            </w:r>
          </w:p>
        </w:tc>
      </w:tr>
    </w:tbl>
    <w:p w14:paraId="6DA90270" w14:textId="77777777" w:rsidR="0019537C" w:rsidRPr="00AA2F71" w:rsidRDefault="0019537C" w:rsidP="00AA2F71">
      <w:pPr>
        <w:pStyle w:val="TableDescription"/>
      </w:pPr>
      <w:r w:rsidRPr="00364EA5">
        <w:t xml:space="preserve">DCO = data cut-off </w:t>
      </w:r>
      <w:r>
        <w:t>date</w:t>
      </w:r>
    </w:p>
    <w:p w14:paraId="3D92A55F" w14:textId="77777777" w:rsidR="0019537C" w:rsidRPr="00A3585E" w:rsidRDefault="0019537C" w:rsidP="00A3585E">
      <w:pPr>
        <w:pStyle w:val="Heading5"/>
      </w:pPr>
      <w:r w:rsidRPr="00A3585E">
        <w:t xml:space="preserve">Common and high-grade adverse events </w:t>
      </w:r>
    </w:p>
    <w:p w14:paraId="3DDF1477" w14:textId="73CE6333" w:rsidR="0019537C" w:rsidRPr="00D71BC2" w:rsidRDefault="0019537C" w:rsidP="0019537C">
      <w:r w:rsidRPr="00D71BC2">
        <w:t xml:space="preserve">The approved FDA label contains the following description of common adverse events and laboratory abnormalities with mobocertinib in </w:t>
      </w:r>
      <w:r>
        <w:t>the pooled safety population (n</w:t>
      </w:r>
      <w:r w:rsidR="00247F49">
        <w:t xml:space="preserve"> </w:t>
      </w:r>
      <w:r>
        <w:t>=</w:t>
      </w:r>
      <w:r w:rsidR="00247F49">
        <w:t xml:space="preserve"> </w:t>
      </w:r>
      <w:r>
        <w:t>256)</w:t>
      </w:r>
      <w:r w:rsidR="00AA2F71">
        <w:t>:</w:t>
      </w:r>
      <w:r w:rsidR="00AA2F71">
        <w:fldChar w:fldCharType="begin"/>
      </w:r>
      <w:r w:rsidR="00AA2F71">
        <w:instrText xml:space="preserve"> NOTEREF _Ref130554132 \f \h </w:instrText>
      </w:r>
      <w:r w:rsidR="00AA2F71">
        <w:fldChar w:fldCharType="separate"/>
      </w:r>
      <w:r w:rsidR="00301E36" w:rsidRPr="00301E36">
        <w:rPr>
          <w:rStyle w:val="FootnoteReference"/>
        </w:rPr>
        <w:t>71</w:t>
      </w:r>
      <w:r w:rsidR="00AA2F71">
        <w:fldChar w:fldCharType="end"/>
      </w:r>
    </w:p>
    <w:p w14:paraId="3220E2BC" w14:textId="5FE3885F" w:rsidR="0019537C" w:rsidRPr="00AA2F71" w:rsidRDefault="00AA2F71" w:rsidP="00AA2F71">
      <w:pPr>
        <w:ind w:left="720"/>
      </w:pPr>
      <w:r>
        <w:t>‘</w:t>
      </w:r>
      <w:r w:rsidR="0019537C" w:rsidRPr="00AA2F71">
        <w:t>The most common (&gt;</w:t>
      </w:r>
      <w:r w:rsidR="00A3585E">
        <w:t xml:space="preserve"> </w:t>
      </w:r>
      <w:r w:rsidR="0019537C" w:rsidRPr="00AA2F71">
        <w:t>20%) adverse reactions are diarrhea, rash, nausea, stomatitis, vomiting, decreased appetite, paronychia, fatigue, dry skin, and musculoskeletal pain. The most common (≥</w:t>
      </w:r>
      <w:r w:rsidR="00A3585E">
        <w:t xml:space="preserve"> </w:t>
      </w:r>
      <w:r w:rsidR="0019537C" w:rsidRPr="00AA2F71">
        <w:t>2%) Grade 3 or 4 laboratory abnormalities were decreased lymphocytes, increased amylase, increased lipase, decreased potassium, decreased hemoglobin, increased creatinine, and decreased magnesium.</w:t>
      </w:r>
      <w:r>
        <w:t>’</w:t>
      </w:r>
    </w:p>
    <w:p w14:paraId="32A72768" w14:textId="6B0B9E7F" w:rsidR="0019537C" w:rsidRDefault="0019537C" w:rsidP="0019537C">
      <w:r w:rsidRPr="00AB739A">
        <w:lastRenderedPageBreak/>
        <w:t xml:space="preserve">An overview of the most common </w:t>
      </w:r>
      <w:r w:rsidR="00AA2F71" w:rsidRPr="00AA2F71">
        <w:t>treatment</w:t>
      </w:r>
      <w:r w:rsidR="00AA2F71">
        <w:t xml:space="preserve"> </w:t>
      </w:r>
      <w:r w:rsidR="00AA2F71" w:rsidRPr="00AA2F71">
        <w:t>emergent</w:t>
      </w:r>
      <w:r w:rsidR="00AA2F71">
        <w:t xml:space="preserve"> adverse events</w:t>
      </w:r>
      <w:r w:rsidRPr="00AB739A">
        <w:t xml:space="preserve"> and </w:t>
      </w:r>
      <w:r w:rsidR="00AA2F71">
        <w:t>G</w:t>
      </w:r>
      <w:r w:rsidRPr="00AB739A">
        <w:t>rade 3</w:t>
      </w:r>
      <w:r w:rsidR="00AA2F71">
        <w:t xml:space="preserve"> to </w:t>
      </w:r>
      <w:r w:rsidRPr="00AB739A">
        <w:t xml:space="preserve">4 </w:t>
      </w:r>
      <w:r w:rsidR="00AA2F71" w:rsidRPr="00AB739A">
        <w:t xml:space="preserve">common </w:t>
      </w:r>
      <w:r w:rsidR="00AA2F71" w:rsidRPr="00AA2F71">
        <w:t>treatment</w:t>
      </w:r>
      <w:r w:rsidR="00AA2F71">
        <w:t xml:space="preserve"> </w:t>
      </w:r>
      <w:r w:rsidR="00AA2F71" w:rsidRPr="00AA2F71">
        <w:t>emergent</w:t>
      </w:r>
      <w:r w:rsidR="00AA2F71">
        <w:t xml:space="preserve"> adverse events</w:t>
      </w:r>
      <w:r w:rsidRPr="00AB739A">
        <w:t xml:space="preserve"> in Study 101 is provided in </w:t>
      </w:r>
      <w:r w:rsidRPr="00AB739A">
        <w:fldChar w:fldCharType="begin"/>
      </w:r>
      <w:r w:rsidRPr="00AB739A">
        <w:instrText xml:space="preserve"> REF _Ref96096468 \h  \* MERGEFORMAT </w:instrText>
      </w:r>
      <w:r w:rsidRPr="00AB739A">
        <w:fldChar w:fldCharType="separate"/>
      </w:r>
      <w:r w:rsidR="00301E36" w:rsidRPr="004F76DC">
        <w:t xml:space="preserve">Table </w:t>
      </w:r>
      <w:r w:rsidR="00301E36">
        <w:rPr>
          <w:noProof/>
        </w:rPr>
        <w:t>14</w:t>
      </w:r>
      <w:r w:rsidRPr="00AB739A">
        <w:fldChar w:fldCharType="end"/>
      </w:r>
      <w:r w:rsidRPr="00AB739A">
        <w:t xml:space="preserve">, using clinically rational groupings of MedDRA Preferred Terms (PT) defined as </w:t>
      </w:r>
      <w:r w:rsidR="00247F49">
        <w:t>G</w:t>
      </w:r>
      <w:r w:rsidRPr="00AB739A">
        <w:t xml:space="preserve">rouped </w:t>
      </w:r>
      <w:r w:rsidR="00247F49">
        <w:t>T</w:t>
      </w:r>
      <w:r w:rsidRPr="00AB739A">
        <w:t xml:space="preserve">erms (GT) </w:t>
      </w:r>
      <w:r>
        <w:t>for</w:t>
      </w:r>
      <w:r w:rsidRPr="00AB739A">
        <w:t xml:space="preserve"> the regulatory clinical </w:t>
      </w:r>
      <w:r>
        <w:t>safety revie</w:t>
      </w:r>
      <w:r w:rsidR="00061EED">
        <w:t>w</w:t>
      </w:r>
      <w:r w:rsidR="00A3585E">
        <w:t xml:space="preserve">. </w:t>
      </w:r>
      <w:r>
        <w:t>Diarrhoea and rash are extremely common.</w:t>
      </w:r>
    </w:p>
    <w:p w14:paraId="519F83D7" w14:textId="6CF19478" w:rsidR="0019537C" w:rsidRPr="00DA7BE9" w:rsidRDefault="0019537C" w:rsidP="0019537C">
      <w:r w:rsidRPr="00DA7BE9">
        <w:t xml:space="preserve">Common laboratory abnormalities in patients who received mobocertinib are summarised in </w:t>
      </w:r>
      <w:r w:rsidRPr="00DA7BE9">
        <w:fldChar w:fldCharType="begin"/>
      </w:r>
      <w:r w:rsidRPr="00DA7BE9">
        <w:instrText xml:space="preserve"> REF _Ref101969325 \h </w:instrText>
      </w:r>
      <w:r w:rsidRPr="00DA7BE9">
        <w:fldChar w:fldCharType="separate"/>
      </w:r>
      <w:r w:rsidR="00301E36" w:rsidRPr="00B10E47">
        <w:t xml:space="preserve">Table </w:t>
      </w:r>
      <w:r w:rsidR="00301E36">
        <w:rPr>
          <w:noProof/>
        </w:rPr>
        <w:t>15</w:t>
      </w:r>
      <w:r w:rsidRPr="00DA7BE9">
        <w:fldChar w:fldCharType="end"/>
      </w:r>
      <w:r w:rsidRPr="00DA7BE9">
        <w:t>.</w:t>
      </w:r>
    </w:p>
    <w:p w14:paraId="454F97F4" w14:textId="2236DE97" w:rsidR="0019537C" w:rsidRPr="004F76DC" w:rsidRDefault="0019537C" w:rsidP="00A3585E">
      <w:pPr>
        <w:pStyle w:val="TableTitle"/>
      </w:pPr>
      <w:bookmarkStart w:id="111" w:name="_Ref96096468"/>
      <w:r w:rsidRPr="004F76DC">
        <w:t xml:space="preserve">Table </w:t>
      </w:r>
      <w:r w:rsidR="003F5EF5">
        <w:fldChar w:fldCharType="begin"/>
      </w:r>
      <w:r w:rsidR="003F5EF5">
        <w:instrText xml:space="preserve"> SEQ Table \* ARABIC </w:instrText>
      </w:r>
      <w:r w:rsidR="003F5EF5">
        <w:fldChar w:fldCharType="separate"/>
      </w:r>
      <w:r w:rsidR="00301E36">
        <w:rPr>
          <w:noProof/>
        </w:rPr>
        <w:t>14</w:t>
      </w:r>
      <w:r w:rsidR="003F5EF5">
        <w:rPr>
          <w:noProof/>
        </w:rPr>
        <w:fldChar w:fldCharType="end"/>
      </w:r>
      <w:bookmarkEnd w:id="111"/>
      <w:r w:rsidRPr="004F76DC">
        <w:t xml:space="preserve">. </w:t>
      </w:r>
      <w:r w:rsidR="00061EED">
        <w:t>Study AP32788-15-101 M</w:t>
      </w:r>
      <w:r w:rsidRPr="004F76DC">
        <w:t>ost common</w:t>
      </w:r>
      <w:r>
        <w:t xml:space="preserve"> (</w:t>
      </w:r>
      <w:r w:rsidRPr="004F76DC">
        <w:t>in ≥</w:t>
      </w:r>
      <w:r w:rsidR="00A3585E">
        <w:t xml:space="preserve"> </w:t>
      </w:r>
      <w:r w:rsidRPr="004F76DC">
        <w:t>10%</w:t>
      </w:r>
      <w:r>
        <w:t>)</w:t>
      </w:r>
      <w:r w:rsidRPr="004F76DC">
        <w:t xml:space="preserve"> treatment-emergent adverse events</w:t>
      </w:r>
      <w:r w:rsidR="00A3585E">
        <w:t xml:space="preserve"> </w:t>
      </w:r>
      <w:r w:rsidRPr="004F76DC">
        <w:t>(</w:t>
      </w:r>
      <w:r>
        <w:t xml:space="preserve">primary </w:t>
      </w:r>
      <w:r w:rsidRPr="004F76DC">
        <w:t>safety population</w:t>
      </w:r>
      <w:r w:rsidR="00061EED">
        <w:t xml:space="preserve">; </w:t>
      </w:r>
      <w:r w:rsidR="00A3585E">
        <w:t xml:space="preserve">data cut off </w:t>
      </w:r>
      <w:r>
        <w:t>29</w:t>
      </w:r>
      <w:r w:rsidRPr="004F76DC">
        <w:t xml:space="preserve"> </w:t>
      </w:r>
      <w:r>
        <w:t>May</w:t>
      </w:r>
      <w:r w:rsidR="00A3585E">
        <w:t xml:space="preserve"> 2020)</w:t>
      </w:r>
    </w:p>
    <w:tbl>
      <w:tblPr>
        <w:tblStyle w:val="TableTGAblue"/>
        <w:tblW w:w="8637" w:type="dxa"/>
        <w:tblLayout w:type="fixed"/>
        <w:tblLook w:val="01E0" w:firstRow="1" w:lastRow="1" w:firstColumn="1" w:lastColumn="1" w:noHBand="0" w:noVBand="0"/>
      </w:tblPr>
      <w:tblGrid>
        <w:gridCol w:w="4678"/>
        <w:gridCol w:w="2055"/>
        <w:gridCol w:w="1904"/>
      </w:tblGrid>
      <w:tr w:rsidR="0019537C" w:rsidRPr="00247F49" w14:paraId="0F93D48A" w14:textId="77777777" w:rsidTr="00A3585E">
        <w:trPr>
          <w:cnfStyle w:val="100000000000" w:firstRow="1" w:lastRow="0" w:firstColumn="0" w:lastColumn="0" w:oddVBand="0" w:evenVBand="0" w:oddHBand="0" w:evenHBand="0" w:firstRowFirstColumn="0" w:firstRowLastColumn="0" w:lastRowFirstColumn="0" w:lastRowLastColumn="0"/>
          <w:trHeight w:val="403"/>
        </w:trPr>
        <w:tc>
          <w:tcPr>
            <w:tcW w:w="4678" w:type="dxa"/>
          </w:tcPr>
          <w:p w14:paraId="19853B24" w14:textId="01CF69AD" w:rsidR="0019537C" w:rsidRPr="00247F49" w:rsidRDefault="00247F49" w:rsidP="008B3CF0">
            <w:pPr>
              <w:rPr>
                <w:b w:val="0"/>
                <w:bCs/>
                <w:sz w:val="20"/>
                <w:szCs w:val="20"/>
              </w:rPr>
            </w:pPr>
            <w:bookmarkStart w:id="112" w:name="_Hlk96339385"/>
            <w:r w:rsidRPr="00247F49">
              <w:rPr>
                <w:sz w:val="20"/>
                <w:szCs w:val="20"/>
              </w:rPr>
              <w:t>Treatment-emergent adverse events</w:t>
            </w:r>
          </w:p>
        </w:tc>
        <w:tc>
          <w:tcPr>
            <w:tcW w:w="3959" w:type="dxa"/>
            <w:gridSpan w:val="2"/>
          </w:tcPr>
          <w:p w14:paraId="273AA334" w14:textId="77777777" w:rsidR="0019537C" w:rsidRPr="00247F49" w:rsidRDefault="0019537C" w:rsidP="008B3CF0">
            <w:pPr>
              <w:jc w:val="center"/>
              <w:rPr>
                <w:b w:val="0"/>
                <w:bCs/>
                <w:sz w:val="20"/>
                <w:szCs w:val="20"/>
              </w:rPr>
            </w:pPr>
            <w:r w:rsidRPr="00247F49">
              <w:rPr>
                <w:bCs/>
                <w:sz w:val="20"/>
                <w:szCs w:val="20"/>
              </w:rPr>
              <w:t>Primary safety population (n=114)</w:t>
            </w:r>
          </w:p>
        </w:tc>
      </w:tr>
      <w:tr w:rsidR="0019537C" w:rsidRPr="00247F49" w14:paraId="36022BF1" w14:textId="77777777" w:rsidTr="00247F49">
        <w:trPr>
          <w:trHeight w:val="262"/>
        </w:trPr>
        <w:tc>
          <w:tcPr>
            <w:tcW w:w="4678" w:type="dxa"/>
          </w:tcPr>
          <w:p w14:paraId="354D7306" w14:textId="22F710A8" w:rsidR="0029007D" w:rsidRPr="00247F49" w:rsidRDefault="0019537C" w:rsidP="008B3CF0">
            <w:pPr>
              <w:keepNext/>
              <w:jc w:val="right"/>
              <w:rPr>
                <w:b/>
                <w:bCs/>
                <w:sz w:val="20"/>
                <w:szCs w:val="20"/>
              </w:rPr>
            </w:pPr>
            <w:r w:rsidRPr="00247F49">
              <w:rPr>
                <w:b/>
                <w:bCs/>
                <w:sz w:val="20"/>
                <w:szCs w:val="20"/>
              </w:rPr>
              <w:t>CTCAE grade</w:t>
            </w:r>
            <w:bookmarkStart w:id="113" w:name="_Ref96432554"/>
            <w:r w:rsidR="0029007D" w:rsidRPr="00247F49">
              <w:rPr>
                <w:rStyle w:val="FootnoteReference"/>
                <w:sz w:val="20"/>
                <w:szCs w:val="20"/>
              </w:rPr>
              <w:footnoteReference w:id="78"/>
            </w:r>
            <w:bookmarkEnd w:id="113"/>
          </w:p>
        </w:tc>
        <w:tc>
          <w:tcPr>
            <w:tcW w:w="2055" w:type="dxa"/>
          </w:tcPr>
          <w:p w14:paraId="77426C31" w14:textId="77777777" w:rsidR="0019537C" w:rsidRPr="00247F49" w:rsidRDefault="0019537C" w:rsidP="008B3CF0">
            <w:pPr>
              <w:keepNext/>
              <w:jc w:val="center"/>
              <w:rPr>
                <w:b/>
                <w:bCs/>
                <w:sz w:val="20"/>
                <w:szCs w:val="20"/>
              </w:rPr>
            </w:pPr>
            <w:r w:rsidRPr="00247F49">
              <w:rPr>
                <w:b/>
                <w:bCs/>
                <w:sz w:val="20"/>
                <w:szCs w:val="20"/>
              </w:rPr>
              <w:t>All grades (%)</w:t>
            </w:r>
          </w:p>
        </w:tc>
        <w:tc>
          <w:tcPr>
            <w:tcW w:w="1904" w:type="dxa"/>
          </w:tcPr>
          <w:p w14:paraId="4A3D8AC9" w14:textId="77777777" w:rsidR="0019537C" w:rsidRPr="00247F49" w:rsidRDefault="0019537C" w:rsidP="008B3CF0">
            <w:pPr>
              <w:keepNext/>
              <w:jc w:val="center"/>
              <w:rPr>
                <w:b/>
                <w:bCs/>
                <w:sz w:val="20"/>
                <w:szCs w:val="20"/>
              </w:rPr>
            </w:pPr>
            <w:r w:rsidRPr="00247F49">
              <w:rPr>
                <w:b/>
                <w:bCs/>
                <w:sz w:val="20"/>
                <w:szCs w:val="20"/>
              </w:rPr>
              <w:t>Grade 3-4 (%)</w:t>
            </w:r>
          </w:p>
        </w:tc>
      </w:tr>
      <w:bookmarkEnd w:id="112"/>
      <w:tr w:rsidR="0019537C" w:rsidRPr="00247F49" w14:paraId="582A5EAE" w14:textId="77777777" w:rsidTr="00A3585E">
        <w:trPr>
          <w:trHeight w:val="20"/>
        </w:trPr>
        <w:tc>
          <w:tcPr>
            <w:tcW w:w="8637" w:type="dxa"/>
            <w:gridSpan w:val="3"/>
          </w:tcPr>
          <w:p w14:paraId="0C5C9E1C" w14:textId="77777777" w:rsidR="0019537C" w:rsidRPr="00247F49" w:rsidRDefault="0019537C" w:rsidP="008B3CF0">
            <w:pPr>
              <w:keepNext/>
              <w:rPr>
                <w:i/>
                <w:iCs/>
                <w:sz w:val="20"/>
                <w:szCs w:val="20"/>
              </w:rPr>
            </w:pPr>
            <w:r w:rsidRPr="00247F49">
              <w:rPr>
                <w:b/>
                <w:spacing w:val="-2"/>
                <w:sz w:val="20"/>
                <w:szCs w:val="20"/>
              </w:rPr>
              <w:t>Gastrointestinal</w:t>
            </w:r>
            <w:r w:rsidRPr="00247F49">
              <w:rPr>
                <w:b/>
                <w:spacing w:val="15"/>
                <w:sz w:val="20"/>
                <w:szCs w:val="20"/>
              </w:rPr>
              <w:t xml:space="preserve"> </w:t>
            </w:r>
            <w:r w:rsidRPr="00247F49">
              <w:rPr>
                <w:b/>
                <w:spacing w:val="-2"/>
                <w:sz w:val="20"/>
                <w:szCs w:val="20"/>
              </w:rPr>
              <w:t>disorders</w:t>
            </w:r>
          </w:p>
        </w:tc>
      </w:tr>
      <w:tr w:rsidR="0019537C" w:rsidRPr="00247F49" w14:paraId="0AA46AD2" w14:textId="77777777" w:rsidTr="00A3585E">
        <w:trPr>
          <w:trHeight w:val="20"/>
        </w:trPr>
        <w:tc>
          <w:tcPr>
            <w:tcW w:w="4678" w:type="dxa"/>
          </w:tcPr>
          <w:p w14:paraId="6C7F1020" w14:textId="77777777" w:rsidR="0019537C" w:rsidRPr="00247F49" w:rsidRDefault="0019537C" w:rsidP="008B3CF0">
            <w:pPr>
              <w:keepNext/>
              <w:jc w:val="right"/>
              <w:rPr>
                <w:b/>
                <w:spacing w:val="-2"/>
                <w:sz w:val="20"/>
                <w:szCs w:val="20"/>
              </w:rPr>
            </w:pPr>
            <w:r w:rsidRPr="00247F49">
              <w:rPr>
                <w:spacing w:val="-2"/>
                <w:sz w:val="20"/>
                <w:szCs w:val="20"/>
              </w:rPr>
              <w:t>Diarrhoea</w:t>
            </w:r>
          </w:p>
        </w:tc>
        <w:tc>
          <w:tcPr>
            <w:tcW w:w="2055" w:type="dxa"/>
          </w:tcPr>
          <w:p w14:paraId="619A9070" w14:textId="77777777" w:rsidR="0019537C" w:rsidRPr="00247F49" w:rsidRDefault="0019537C" w:rsidP="008B3CF0">
            <w:pPr>
              <w:keepNext/>
              <w:jc w:val="center"/>
              <w:rPr>
                <w:i/>
                <w:iCs/>
                <w:sz w:val="20"/>
                <w:szCs w:val="20"/>
              </w:rPr>
            </w:pPr>
            <w:r w:rsidRPr="00247F49">
              <w:rPr>
                <w:spacing w:val="-5"/>
                <w:sz w:val="20"/>
                <w:szCs w:val="20"/>
              </w:rPr>
              <w:t>92</w:t>
            </w:r>
          </w:p>
        </w:tc>
        <w:tc>
          <w:tcPr>
            <w:tcW w:w="1904" w:type="dxa"/>
          </w:tcPr>
          <w:p w14:paraId="01A3F96D" w14:textId="77777777" w:rsidR="0019537C" w:rsidRPr="00247F49" w:rsidRDefault="0019537C" w:rsidP="008B3CF0">
            <w:pPr>
              <w:keepNext/>
              <w:jc w:val="center"/>
              <w:rPr>
                <w:i/>
                <w:iCs/>
                <w:sz w:val="20"/>
                <w:szCs w:val="20"/>
              </w:rPr>
            </w:pPr>
            <w:r w:rsidRPr="00247F49">
              <w:rPr>
                <w:spacing w:val="-5"/>
                <w:sz w:val="20"/>
                <w:szCs w:val="20"/>
              </w:rPr>
              <w:t>22</w:t>
            </w:r>
          </w:p>
        </w:tc>
      </w:tr>
      <w:tr w:rsidR="0019537C" w:rsidRPr="00247F49" w14:paraId="0AF7B9AA" w14:textId="77777777" w:rsidTr="00A3585E">
        <w:trPr>
          <w:trHeight w:val="20"/>
        </w:trPr>
        <w:tc>
          <w:tcPr>
            <w:tcW w:w="4678" w:type="dxa"/>
          </w:tcPr>
          <w:p w14:paraId="60A2B1CF" w14:textId="77777777" w:rsidR="0019537C" w:rsidRPr="00247F49" w:rsidRDefault="0019537C" w:rsidP="008B3CF0">
            <w:pPr>
              <w:keepNext/>
              <w:jc w:val="right"/>
              <w:rPr>
                <w:spacing w:val="-2"/>
                <w:sz w:val="20"/>
                <w:szCs w:val="20"/>
              </w:rPr>
            </w:pPr>
            <w:r w:rsidRPr="00247F49">
              <w:rPr>
                <w:spacing w:val="-2"/>
                <w:sz w:val="20"/>
                <w:szCs w:val="20"/>
              </w:rPr>
              <w:t>Stomatitis</w:t>
            </w:r>
            <w:r w:rsidRPr="00247F49">
              <w:rPr>
                <w:spacing w:val="-2"/>
                <w:sz w:val="20"/>
                <w:szCs w:val="20"/>
                <w:vertAlign w:val="superscript"/>
              </w:rPr>
              <w:t>*</w:t>
            </w:r>
          </w:p>
        </w:tc>
        <w:tc>
          <w:tcPr>
            <w:tcW w:w="2055" w:type="dxa"/>
          </w:tcPr>
          <w:p w14:paraId="5C8C4E64" w14:textId="77777777" w:rsidR="0019537C" w:rsidRPr="00247F49" w:rsidRDefault="0019537C" w:rsidP="008B3CF0">
            <w:pPr>
              <w:keepNext/>
              <w:jc w:val="center"/>
              <w:rPr>
                <w:spacing w:val="-5"/>
                <w:sz w:val="20"/>
                <w:szCs w:val="20"/>
              </w:rPr>
            </w:pPr>
            <w:r w:rsidRPr="00247F49">
              <w:rPr>
                <w:spacing w:val="-5"/>
                <w:sz w:val="20"/>
                <w:szCs w:val="20"/>
              </w:rPr>
              <w:t>46</w:t>
            </w:r>
          </w:p>
        </w:tc>
        <w:tc>
          <w:tcPr>
            <w:tcW w:w="1904" w:type="dxa"/>
          </w:tcPr>
          <w:p w14:paraId="0DA841FA" w14:textId="77777777" w:rsidR="0019537C" w:rsidRPr="00247F49" w:rsidRDefault="0019537C" w:rsidP="008B3CF0">
            <w:pPr>
              <w:keepNext/>
              <w:jc w:val="center"/>
              <w:rPr>
                <w:spacing w:val="-5"/>
                <w:sz w:val="20"/>
                <w:szCs w:val="20"/>
              </w:rPr>
            </w:pPr>
            <w:r w:rsidRPr="00247F49">
              <w:rPr>
                <w:spacing w:val="-2"/>
                <w:sz w:val="20"/>
                <w:szCs w:val="20"/>
              </w:rPr>
              <w:t>4.4</w:t>
            </w:r>
            <w:r w:rsidRPr="00247F49">
              <w:rPr>
                <w:spacing w:val="-2"/>
                <w:sz w:val="20"/>
                <w:szCs w:val="20"/>
                <w:vertAlign w:val="superscript"/>
              </w:rPr>
              <w:t>**</w:t>
            </w:r>
          </w:p>
        </w:tc>
      </w:tr>
      <w:tr w:rsidR="0019537C" w:rsidRPr="00247F49" w14:paraId="3EF47A96" w14:textId="77777777" w:rsidTr="00A3585E">
        <w:trPr>
          <w:trHeight w:val="20"/>
        </w:trPr>
        <w:tc>
          <w:tcPr>
            <w:tcW w:w="4678" w:type="dxa"/>
          </w:tcPr>
          <w:p w14:paraId="5C9A57D1" w14:textId="77777777" w:rsidR="0019537C" w:rsidRPr="00247F49" w:rsidRDefault="0019537C" w:rsidP="008B3CF0">
            <w:pPr>
              <w:keepNext/>
              <w:jc w:val="right"/>
              <w:rPr>
                <w:spacing w:val="-2"/>
                <w:sz w:val="20"/>
                <w:szCs w:val="20"/>
              </w:rPr>
            </w:pPr>
            <w:r w:rsidRPr="00247F49">
              <w:rPr>
                <w:spacing w:val="-2"/>
                <w:sz w:val="20"/>
                <w:szCs w:val="20"/>
              </w:rPr>
              <w:t>Vomiting</w:t>
            </w:r>
          </w:p>
        </w:tc>
        <w:tc>
          <w:tcPr>
            <w:tcW w:w="2055" w:type="dxa"/>
          </w:tcPr>
          <w:p w14:paraId="2827DB72" w14:textId="77777777" w:rsidR="0019537C" w:rsidRPr="00247F49" w:rsidRDefault="0019537C" w:rsidP="008B3CF0">
            <w:pPr>
              <w:keepNext/>
              <w:jc w:val="center"/>
              <w:rPr>
                <w:spacing w:val="-5"/>
                <w:sz w:val="20"/>
                <w:szCs w:val="20"/>
              </w:rPr>
            </w:pPr>
            <w:r w:rsidRPr="00247F49">
              <w:rPr>
                <w:spacing w:val="-5"/>
                <w:sz w:val="20"/>
                <w:szCs w:val="20"/>
              </w:rPr>
              <w:t>40</w:t>
            </w:r>
          </w:p>
        </w:tc>
        <w:tc>
          <w:tcPr>
            <w:tcW w:w="1904" w:type="dxa"/>
          </w:tcPr>
          <w:p w14:paraId="1C1A7B2F" w14:textId="77777777" w:rsidR="0019537C" w:rsidRPr="00247F49" w:rsidRDefault="0019537C" w:rsidP="008B3CF0">
            <w:pPr>
              <w:keepNext/>
              <w:jc w:val="center"/>
              <w:rPr>
                <w:spacing w:val="-2"/>
                <w:sz w:val="20"/>
                <w:szCs w:val="20"/>
              </w:rPr>
            </w:pPr>
            <w:r w:rsidRPr="00247F49">
              <w:rPr>
                <w:spacing w:val="-2"/>
                <w:sz w:val="20"/>
                <w:szCs w:val="20"/>
              </w:rPr>
              <w:t>2.6</w:t>
            </w:r>
            <w:r w:rsidRPr="00247F49">
              <w:rPr>
                <w:spacing w:val="-2"/>
                <w:sz w:val="20"/>
                <w:szCs w:val="20"/>
                <w:vertAlign w:val="superscript"/>
              </w:rPr>
              <w:t>**</w:t>
            </w:r>
          </w:p>
        </w:tc>
      </w:tr>
      <w:tr w:rsidR="0019537C" w:rsidRPr="00247F49" w14:paraId="0F67DC05" w14:textId="77777777" w:rsidTr="00A3585E">
        <w:trPr>
          <w:trHeight w:val="20"/>
        </w:trPr>
        <w:tc>
          <w:tcPr>
            <w:tcW w:w="4678" w:type="dxa"/>
          </w:tcPr>
          <w:p w14:paraId="440FB564" w14:textId="77777777" w:rsidR="0019537C" w:rsidRPr="00247F49" w:rsidRDefault="0019537C" w:rsidP="008B3CF0">
            <w:pPr>
              <w:keepNext/>
              <w:jc w:val="right"/>
              <w:rPr>
                <w:spacing w:val="-2"/>
                <w:sz w:val="20"/>
                <w:szCs w:val="20"/>
              </w:rPr>
            </w:pPr>
            <w:r w:rsidRPr="00247F49">
              <w:rPr>
                <w:sz w:val="20"/>
                <w:szCs w:val="20"/>
              </w:rPr>
              <w:t>Decreased</w:t>
            </w:r>
            <w:r w:rsidRPr="00247F49">
              <w:rPr>
                <w:spacing w:val="-11"/>
                <w:sz w:val="20"/>
                <w:szCs w:val="20"/>
              </w:rPr>
              <w:t xml:space="preserve"> </w:t>
            </w:r>
            <w:r w:rsidRPr="00247F49">
              <w:rPr>
                <w:spacing w:val="-2"/>
                <w:sz w:val="20"/>
                <w:szCs w:val="20"/>
              </w:rPr>
              <w:t>appetite</w:t>
            </w:r>
          </w:p>
        </w:tc>
        <w:tc>
          <w:tcPr>
            <w:tcW w:w="2055" w:type="dxa"/>
          </w:tcPr>
          <w:p w14:paraId="29AEA28F" w14:textId="77777777" w:rsidR="0019537C" w:rsidRPr="00247F49" w:rsidRDefault="0019537C" w:rsidP="008B3CF0">
            <w:pPr>
              <w:keepNext/>
              <w:jc w:val="center"/>
              <w:rPr>
                <w:spacing w:val="-5"/>
                <w:sz w:val="20"/>
                <w:szCs w:val="20"/>
              </w:rPr>
            </w:pPr>
            <w:r w:rsidRPr="00247F49">
              <w:rPr>
                <w:spacing w:val="-5"/>
                <w:sz w:val="20"/>
                <w:szCs w:val="20"/>
              </w:rPr>
              <w:t>39</w:t>
            </w:r>
          </w:p>
        </w:tc>
        <w:tc>
          <w:tcPr>
            <w:tcW w:w="1904" w:type="dxa"/>
          </w:tcPr>
          <w:p w14:paraId="2B9F0AA3" w14:textId="77777777" w:rsidR="0019537C" w:rsidRPr="00247F49" w:rsidRDefault="0019537C" w:rsidP="008B3CF0">
            <w:pPr>
              <w:keepNext/>
              <w:jc w:val="center"/>
              <w:rPr>
                <w:spacing w:val="-2"/>
                <w:sz w:val="20"/>
                <w:szCs w:val="20"/>
              </w:rPr>
            </w:pPr>
            <w:r w:rsidRPr="00247F49">
              <w:rPr>
                <w:spacing w:val="-2"/>
                <w:sz w:val="20"/>
                <w:szCs w:val="20"/>
              </w:rPr>
              <w:t>0.9</w:t>
            </w:r>
            <w:r w:rsidRPr="00247F49">
              <w:rPr>
                <w:spacing w:val="-2"/>
                <w:sz w:val="20"/>
                <w:szCs w:val="20"/>
                <w:vertAlign w:val="superscript"/>
              </w:rPr>
              <w:t>**</w:t>
            </w:r>
          </w:p>
        </w:tc>
      </w:tr>
      <w:tr w:rsidR="0019537C" w:rsidRPr="00247F49" w14:paraId="7A5BD2EB" w14:textId="77777777" w:rsidTr="00A3585E">
        <w:trPr>
          <w:trHeight w:val="20"/>
        </w:trPr>
        <w:tc>
          <w:tcPr>
            <w:tcW w:w="4678" w:type="dxa"/>
          </w:tcPr>
          <w:p w14:paraId="1E706643" w14:textId="77777777" w:rsidR="0019537C" w:rsidRPr="00247F49" w:rsidRDefault="0019537C" w:rsidP="008B3CF0">
            <w:pPr>
              <w:keepNext/>
              <w:jc w:val="right"/>
              <w:rPr>
                <w:sz w:val="20"/>
                <w:szCs w:val="20"/>
              </w:rPr>
            </w:pPr>
            <w:r w:rsidRPr="00247F49">
              <w:rPr>
                <w:spacing w:val="-2"/>
                <w:sz w:val="20"/>
                <w:szCs w:val="20"/>
              </w:rPr>
              <w:t>Nausea</w:t>
            </w:r>
          </w:p>
        </w:tc>
        <w:tc>
          <w:tcPr>
            <w:tcW w:w="2055" w:type="dxa"/>
          </w:tcPr>
          <w:p w14:paraId="590FE5E4" w14:textId="77777777" w:rsidR="0019537C" w:rsidRPr="00247F49" w:rsidRDefault="0019537C" w:rsidP="008B3CF0">
            <w:pPr>
              <w:keepNext/>
              <w:jc w:val="center"/>
              <w:rPr>
                <w:spacing w:val="-5"/>
                <w:sz w:val="20"/>
                <w:szCs w:val="20"/>
              </w:rPr>
            </w:pPr>
            <w:r w:rsidRPr="00247F49">
              <w:rPr>
                <w:spacing w:val="-5"/>
                <w:sz w:val="20"/>
                <w:szCs w:val="20"/>
              </w:rPr>
              <w:t>37</w:t>
            </w:r>
          </w:p>
        </w:tc>
        <w:tc>
          <w:tcPr>
            <w:tcW w:w="1904" w:type="dxa"/>
          </w:tcPr>
          <w:p w14:paraId="51F33597" w14:textId="77777777" w:rsidR="0019537C" w:rsidRPr="00247F49" w:rsidRDefault="0019537C" w:rsidP="008B3CF0">
            <w:pPr>
              <w:keepNext/>
              <w:jc w:val="center"/>
              <w:rPr>
                <w:spacing w:val="-2"/>
                <w:sz w:val="20"/>
                <w:szCs w:val="20"/>
              </w:rPr>
            </w:pPr>
            <w:r w:rsidRPr="00247F49">
              <w:rPr>
                <w:spacing w:val="-2"/>
                <w:sz w:val="20"/>
                <w:szCs w:val="20"/>
              </w:rPr>
              <w:t>4.4</w:t>
            </w:r>
            <w:r w:rsidRPr="00247F49">
              <w:rPr>
                <w:spacing w:val="-2"/>
                <w:sz w:val="20"/>
                <w:szCs w:val="20"/>
                <w:vertAlign w:val="superscript"/>
              </w:rPr>
              <w:t>**</w:t>
            </w:r>
          </w:p>
        </w:tc>
      </w:tr>
      <w:tr w:rsidR="0019537C" w:rsidRPr="00247F49" w14:paraId="73C1F567" w14:textId="77777777" w:rsidTr="00A3585E">
        <w:trPr>
          <w:trHeight w:val="20"/>
        </w:trPr>
        <w:tc>
          <w:tcPr>
            <w:tcW w:w="4678" w:type="dxa"/>
          </w:tcPr>
          <w:p w14:paraId="2FB7853F" w14:textId="77777777" w:rsidR="0019537C" w:rsidRPr="00247F49" w:rsidRDefault="0019537C" w:rsidP="008B3CF0">
            <w:pPr>
              <w:keepNext/>
              <w:jc w:val="right"/>
              <w:rPr>
                <w:spacing w:val="-2"/>
                <w:sz w:val="20"/>
                <w:szCs w:val="20"/>
              </w:rPr>
            </w:pPr>
            <w:r w:rsidRPr="00247F49">
              <w:rPr>
                <w:sz w:val="20"/>
                <w:szCs w:val="20"/>
              </w:rPr>
              <w:t>Decreased</w:t>
            </w:r>
            <w:r w:rsidRPr="00247F49">
              <w:rPr>
                <w:spacing w:val="-11"/>
                <w:sz w:val="20"/>
                <w:szCs w:val="20"/>
              </w:rPr>
              <w:t xml:space="preserve"> </w:t>
            </w:r>
            <w:r w:rsidRPr="00247F49">
              <w:rPr>
                <w:spacing w:val="-2"/>
                <w:sz w:val="20"/>
                <w:szCs w:val="20"/>
              </w:rPr>
              <w:t>weight</w:t>
            </w:r>
          </w:p>
        </w:tc>
        <w:tc>
          <w:tcPr>
            <w:tcW w:w="2055" w:type="dxa"/>
          </w:tcPr>
          <w:p w14:paraId="2E7F8FBD" w14:textId="77777777" w:rsidR="0019537C" w:rsidRPr="00247F49" w:rsidRDefault="0019537C" w:rsidP="008B3CF0">
            <w:pPr>
              <w:keepNext/>
              <w:jc w:val="center"/>
              <w:rPr>
                <w:spacing w:val="-5"/>
                <w:sz w:val="20"/>
                <w:szCs w:val="20"/>
              </w:rPr>
            </w:pPr>
            <w:r w:rsidRPr="00247F49">
              <w:rPr>
                <w:spacing w:val="-5"/>
                <w:sz w:val="20"/>
                <w:szCs w:val="20"/>
              </w:rPr>
              <w:t>21</w:t>
            </w:r>
          </w:p>
        </w:tc>
        <w:tc>
          <w:tcPr>
            <w:tcW w:w="1904" w:type="dxa"/>
          </w:tcPr>
          <w:p w14:paraId="6EBA14EF" w14:textId="77777777" w:rsidR="0019537C" w:rsidRPr="00247F49" w:rsidRDefault="0019537C" w:rsidP="008B3CF0">
            <w:pPr>
              <w:keepNext/>
              <w:jc w:val="center"/>
              <w:rPr>
                <w:spacing w:val="-2"/>
                <w:sz w:val="20"/>
                <w:szCs w:val="20"/>
              </w:rPr>
            </w:pPr>
            <w:r w:rsidRPr="00247F49">
              <w:rPr>
                <w:sz w:val="20"/>
                <w:szCs w:val="20"/>
              </w:rPr>
              <w:t>0</w:t>
            </w:r>
          </w:p>
        </w:tc>
      </w:tr>
      <w:tr w:rsidR="0019537C" w:rsidRPr="00247F49" w14:paraId="090FDEAA" w14:textId="77777777" w:rsidTr="00A3585E">
        <w:trPr>
          <w:trHeight w:val="20"/>
        </w:trPr>
        <w:tc>
          <w:tcPr>
            <w:tcW w:w="4678" w:type="dxa"/>
          </w:tcPr>
          <w:p w14:paraId="72F075DD" w14:textId="77777777" w:rsidR="0019537C" w:rsidRPr="00247F49" w:rsidRDefault="0019537C" w:rsidP="008B3CF0">
            <w:pPr>
              <w:keepNext/>
              <w:jc w:val="right"/>
              <w:rPr>
                <w:sz w:val="20"/>
                <w:szCs w:val="20"/>
              </w:rPr>
            </w:pPr>
            <w:r w:rsidRPr="00247F49">
              <w:rPr>
                <w:sz w:val="20"/>
                <w:szCs w:val="20"/>
              </w:rPr>
              <w:t>Abdominal</w:t>
            </w:r>
            <w:r w:rsidRPr="00247F49">
              <w:rPr>
                <w:spacing w:val="-4"/>
                <w:sz w:val="20"/>
                <w:szCs w:val="20"/>
              </w:rPr>
              <w:t xml:space="preserve"> </w:t>
            </w:r>
            <w:r w:rsidRPr="00247F49">
              <w:rPr>
                <w:spacing w:val="-2"/>
                <w:sz w:val="20"/>
                <w:szCs w:val="20"/>
              </w:rPr>
              <w:t>pain</w:t>
            </w:r>
            <w:r w:rsidRPr="00247F49">
              <w:rPr>
                <w:spacing w:val="-2"/>
                <w:sz w:val="20"/>
                <w:szCs w:val="20"/>
                <w:vertAlign w:val="superscript"/>
              </w:rPr>
              <w:t>*</w:t>
            </w:r>
          </w:p>
        </w:tc>
        <w:tc>
          <w:tcPr>
            <w:tcW w:w="2055" w:type="dxa"/>
          </w:tcPr>
          <w:p w14:paraId="0DE68C76" w14:textId="77777777" w:rsidR="0019537C" w:rsidRPr="00247F49" w:rsidRDefault="0019537C" w:rsidP="008B3CF0">
            <w:pPr>
              <w:keepNext/>
              <w:jc w:val="center"/>
              <w:rPr>
                <w:spacing w:val="-5"/>
                <w:sz w:val="20"/>
                <w:szCs w:val="20"/>
              </w:rPr>
            </w:pPr>
            <w:r w:rsidRPr="00247F49">
              <w:rPr>
                <w:spacing w:val="-5"/>
                <w:sz w:val="20"/>
                <w:szCs w:val="20"/>
              </w:rPr>
              <w:t>18</w:t>
            </w:r>
          </w:p>
        </w:tc>
        <w:tc>
          <w:tcPr>
            <w:tcW w:w="1904" w:type="dxa"/>
          </w:tcPr>
          <w:p w14:paraId="60A73101" w14:textId="77777777" w:rsidR="0019537C" w:rsidRPr="00247F49" w:rsidRDefault="0019537C" w:rsidP="008B3CF0">
            <w:pPr>
              <w:keepNext/>
              <w:jc w:val="center"/>
              <w:rPr>
                <w:sz w:val="20"/>
                <w:szCs w:val="20"/>
              </w:rPr>
            </w:pPr>
            <w:r w:rsidRPr="00247F49">
              <w:rPr>
                <w:spacing w:val="-2"/>
                <w:sz w:val="20"/>
                <w:szCs w:val="20"/>
              </w:rPr>
              <w:t>1.8</w:t>
            </w:r>
            <w:r w:rsidRPr="00247F49">
              <w:rPr>
                <w:spacing w:val="-2"/>
                <w:sz w:val="20"/>
                <w:szCs w:val="20"/>
                <w:vertAlign w:val="superscript"/>
              </w:rPr>
              <w:t>**</w:t>
            </w:r>
          </w:p>
        </w:tc>
      </w:tr>
      <w:tr w:rsidR="0019537C" w:rsidRPr="00247F49" w14:paraId="0AAEC721" w14:textId="77777777" w:rsidTr="00A3585E">
        <w:trPr>
          <w:trHeight w:val="20"/>
        </w:trPr>
        <w:tc>
          <w:tcPr>
            <w:tcW w:w="4678" w:type="dxa"/>
          </w:tcPr>
          <w:p w14:paraId="40DDD76E" w14:textId="77777777" w:rsidR="0019537C" w:rsidRPr="00247F49" w:rsidRDefault="0019537C" w:rsidP="008B3CF0">
            <w:pPr>
              <w:keepNext/>
              <w:jc w:val="right"/>
              <w:rPr>
                <w:sz w:val="20"/>
                <w:szCs w:val="20"/>
              </w:rPr>
            </w:pPr>
            <w:r w:rsidRPr="00247F49">
              <w:rPr>
                <w:sz w:val="20"/>
                <w:szCs w:val="20"/>
              </w:rPr>
              <w:t>Gastroesophageal</w:t>
            </w:r>
            <w:r w:rsidRPr="00247F49">
              <w:rPr>
                <w:spacing w:val="-7"/>
                <w:sz w:val="20"/>
                <w:szCs w:val="20"/>
              </w:rPr>
              <w:t xml:space="preserve"> </w:t>
            </w:r>
            <w:r w:rsidRPr="00247F49">
              <w:rPr>
                <w:sz w:val="20"/>
                <w:szCs w:val="20"/>
              </w:rPr>
              <w:t>reflux</w:t>
            </w:r>
            <w:r w:rsidRPr="00247F49">
              <w:rPr>
                <w:spacing w:val="-4"/>
                <w:sz w:val="20"/>
                <w:szCs w:val="20"/>
              </w:rPr>
              <w:t xml:space="preserve"> </w:t>
            </w:r>
            <w:r w:rsidRPr="00247F49">
              <w:rPr>
                <w:spacing w:val="-2"/>
                <w:sz w:val="20"/>
                <w:szCs w:val="20"/>
              </w:rPr>
              <w:t>disease</w:t>
            </w:r>
          </w:p>
        </w:tc>
        <w:tc>
          <w:tcPr>
            <w:tcW w:w="2055" w:type="dxa"/>
          </w:tcPr>
          <w:p w14:paraId="199E6F3B" w14:textId="77777777" w:rsidR="0019537C" w:rsidRPr="00247F49" w:rsidRDefault="0019537C" w:rsidP="008B3CF0">
            <w:pPr>
              <w:keepNext/>
              <w:jc w:val="center"/>
              <w:rPr>
                <w:spacing w:val="-5"/>
                <w:sz w:val="20"/>
                <w:szCs w:val="20"/>
              </w:rPr>
            </w:pPr>
            <w:r w:rsidRPr="00247F49">
              <w:rPr>
                <w:spacing w:val="-5"/>
                <w:sz w:val="20"/>
                <w:szCs w:val="20"/>
              </w:rPr>
              <w:t>15</w:t>
            </w:r>
          </w:p>
        </w:tc>
        <w:tc>
          <w:tcPr>
            <w:tcW w:w="1904" w:type="dxa"/>
          </w:tcPr>
          <w:p w14:paraId="6E1DDCDC" w14:textId="77777777" w:rsidR="0019537C" w:rsidRPr="00247F49" w:rsidRDefault="0019537C" w:rsidP="008B3CF0">
            <w:pPr>
              <w:keepNext/>
              <w:jc w:val="center"/>
              <w:rPr>
                <w:spacing w:val="-2"/>
                <w:sz w:val="20"/>
                <w:szCs w:val="20"/>
              </w:rPr>
            </w:pPr>
            <w:r w:rsidRPr="00247F49">
              <w:rPr>
                <w:sz w:val="20"/>
                <w:szCs w:val="20"/>
              </w:rPr>
              <w:t>0</w:t>
            </w:r>
          </w:p>
        </w:tc>
      </w:tr>
      <w:tr w:rsidR="0019537C" w:rsidRPr="00247F49" w14:paraId="45C598D6" w14:textId="77777777" w:rsidTr="00A3585E">
        <w:trPr>
          <w:trHeight w:val="20"/>
        </w:trPr>
        <w:tc>
          <w:tcPr>
            <w:tcW w:w="4678" w:type="dxa"/>
          </w:tcPr>
          <w:p w14:paraId="6E1A0358" w14:textId="77777777" w:rsidR="0019537C" w:rsidRPr="00247F49" w:rsidRDefault="0019537C" w:rsidP="008B3CF0">
            <w:pPr>
              <w:keepNext/>
              <w:jc w:val="right"/>
              <w:rPr>
                <w:sz w:val="20"/>
                <w:szCs w:val="20"/>
              </w:rPr>
            </w:pPr>
            <w:r w:rsidRPr="00247F49">
              <w:rPr>
                <w:spacing w:val="-2"/>
                <w:sz w:val="20"/>
                <w:szCs w:val="20"/>
              </w:rPr>
              <w:t>Dyspepsia</w:t>
            </w:r>
          </w:p>
        </w:tc>
        <w:tc>
          <w:tcPr>
            <w:tcW w:w="2055" w:type="dxa"/>
          </w:tcPr>
          <w:p w14:paraId="76FF364F" w14:textId="77777777" w:rsidR="0019537C" w:rsidRPr="00247F49" w:rsidRDefault="0019537C" w:rsidP="008B3CF0">
            <w:pPr>
              <w:keepNext/>
              <w:jc w:val="center"/>
              <w:rPr>
                <w:spacing w:val="-5"/>
                <w:sz w:val="20"/>
                <w:szCs w:val="20"/>
              </w:rPr>
            </w:pPr>
            <w:r w:rsidRPr="00247F49">
              <w:rPr>
                <w:spacing w:val="-5"/>
                <w:sz w:val="20"/>
                <w:szCs w:val="20"/>
              </w:rPr>
              <w:t>11</w:t>
            </w:r>
          </w:p>
        </w:tc>
        <w:tc>
          <w:tcPr>
            <w:tcW w:w="1904" w:type="dxa"/>
          </w:tcPr>
          <w:p w14:paraId="37D371E8" w14:textId="77777777" w:rsidR="0019537C" w:rsidRPr="00247F49" w:rsidRDefault="0019537C" w:rsidP="008B3CF0">
            <w:pPr>
              <w:keepNext/>
              <w:jc w:val="center"/>
              <w:rPr>
                <w:sz w:val="20"/>
                <w:szCs w:val="20"/>
              </w:rPr>
            </w:pPr>
            <w:r w:rsidRPr="00247F49">
              <w:rPr>
                <w:sz w:val="20"/>
                <w:szCs w:val="20"/>
              </w:rPr>
              <w:t>0</w:t>
            </w:r>
          </w:p>
        </w:tc>
      </w:tr>
      <w:tr w:rsidR="0019537C" w:rsidRPr="00247F49" w14:paraId="3961DDE5" w14:textId="77777777" w:rsidTr="00A3585E">
        <w:trPr>
          <w:trHeight w:val="20"/>
        </w:trPr>
        <w:tc>
          <w:tcPr>
            <w:tcW w:w="8637" w:type="dxa"/>
            <w:gridSpan w:val="3"/>
          </w:tcPr>
          <w:p w14:paraId="4885357D" w14:textId="77777777" w:rsidR="0019537C" w:rsidRPr="00247F49" w:rsidRDefault="0019537C" w:rsidP="008B3CF0">
            <w:pPr>
              <w:keepNext/>
              <w:rPr>
                <w:sz w:val="20"/>
                <w:szCs w:val="20"/>
              </w:rPr>
            </w:pPr>
            <w:r w:rsidRPr="00247F49">
              <w:rPr>
                <w:b/>
                <w:sz w:val="20"/>
                <w:szCs w:val="20"/>
              </w:rPr>
              <w:t>Skin</w:t>
            </w:r>
            <w:r w:rsidRPr="00247F49">
              <w:rPr>
                <w:b/>
                <w:spacing w:val="-8"/>
                <w:sz w:val="20"/>
                <w:szCs w:val="20"/>
              </w:rPr>
              <w:t xml:space="preserve"> </w:t>
            </w:r>
            <w:r w:rsidRPr="00247F49">
              <w:rPr>
                <w:b/>
                <w:sz w:val="20"/>
                <w:szCs w:val="20"/>
              </w:rPr>
              <w:t>and</w:t>
            </w:r>
            <w:r w:rsidRPr="00247F49">
              <w:rPr>
                <w:b/>
                <w:spacing w:val="-8"/>
                <w:sz w:val="20"/>
                <w:szCs w:val="20"/>
              </w:rPr>
              <w:t xml:space="preserve"> </w:t>
            </w:r>
            <w:r w:rsidRPr="00247F49">
              <w:rPr>
                <w:b/>
                <w:sz w:val="20"/>
                <w:szCs w:val="20"/>
              </w:rPr>
              <w:t>subcutaneous</w:t>
            </w:r>
            <w:r w:rsidRPr="00247F49">
              <w:rPr>
                <w:b/>
                <w:spacing w:val="-11"/>
                <w:sz w:val="20"/>
                <w:szCs w:val="20"/>
              </w:rPr>
              <w:t xml:space="preserve"> </w:t>
            </w:r>
            <w:r w:rsidRPr="00247F49">
              <w:rPr>
                <w:b/>
                <w:sz w:val="20"/>
                <w:szCs w:val="20"/>
              </w:rPr>
              <w:t>tissue</w:t>
            </w:r>
            <w:r w:rsidRPr="00247F49">
              <w:rPr>
                <w:b/>
                <w:spacing w:val="-9"/>
                <w:sz w:val="20"/>
                <w:szCs w:val="20"/>
              </w:rPr>
              <w:t xml:space="preserve"> </w:t>
            </w:r>
            <w:r w:rsidRPr="00247F49">
              <w:rPr>
                <w:b/>
                <w:spacing w:val="-2"/>
                <w:sz w:val="20"/>
                <w:szCs w:val="20"/>
              </w:rPr>
              <w:t>disorders</w:t>
            </w:r>
          </w:p>
        </w:tc>
      </w:tr>
      <w:tr w:rsidR="0019537C" w:rsidRPr="00247F49" w14:paraId="6280A874" w14:textId="77777777" w:rsidTr="00A3585E">
        <w:trPr>
          <w:trHeight w:val="20"/>
        </w:trPr>
        <w:tc>
          <w:tcPr>
            <w:tcW w:w="4678" w:type="dxa"/>
          </w:tcPr>
          <w:p w14:paraId="7A8A59BA" w14:textId="77777777" w:rsidR="0019537C" w:rsidRPr="00247F49" w:rsidRDefault="0019537C" w:rsidP="008B3CF0">
            <w:pPr>
              <w:keepNext/>
              <w:jc w:val="right"/>
              <w:rPr>
                <w:b/>
                <w:sz w:val="20"/>
                <w:szCs w:val="20"/>
              </w:rPr>
            </w:pPr>
            <w:r w:rsidRPr="00247F49">
              <w:rPr>
                <w:spacing w:val="-2"/>
                <w:sz w:val="20"/>
                <w:szCs w:val="20"/>
              </w:rPr>
              <w:t>Rash</w:t>
            </w:r>
            <w:r w:rsidRPr="00247F49">
              <w:rPr>
                <w:spacing w:val="-2"/>
                <w:sz w:val="20"/>
                <w:szCs w:val="20"/>
                <w:vertAlign w:val="superscript"/>
              </w:rPr>
              <w:t>*</w:t>
            </w:r>
          </w:p>
        </w:tc>
        <w:tc>
          <w:tcPr>
            <w:tcW w:w="2055" w:type="dxa"/>
          </w:tcPr>
          <w:p w14:paraId="28A135F9" w14:textId="77777777" w:rsidR="0019537C" w:rsidRPr="00247F49" w:rsidRDefault="0019537C" w:rsidP="008B3CF0">
            <w:pPr>
              <w:keepNext/>
              <w:jc w:val="center"/>
              <w:rPr>
                <w:spacing w:val="-5"/>
                <w:sz w:val="20"/>
                <w:szCs w:val="20"/>
              </w:rPr>
            </w:pPr>
            <w:r w:rsidRPr="00247F49">
              <w:rPr>
                <w:spacing w:val="-5"/>
                <w:sz w:val="20"/>
                <w:szCs w:val="20"/>
              </w:rPr>
              <w:t>78</w:t>
            </w:r>
          </w:p>
        </w:tc>
        <w:tc>
          <w:tcPr>
            <w:tcW w:w="1904" w:type="dxa"/>
          </w:tcPr>
          <w:p w14:paraId="4BA05F9B" w14:textId="77777777" w:rsidR="0019537C" w:rsidRPr="00247F49" w:rsidRDefault="0019537C" w:rsidP="008B3CF0">
            <w:pPr>
              <w:keepNext/>
              <w:jc w:val="center"/>
              <w:rPr>
                <w:sz w:val="20"/>
                <w:szCs w:val="20"/>
              </w:rPr>
            </w:pPr>
            <w:r w:rsidRPr="00247F49">
              <w:rPr>
                <w:spacing w:val="-2"/>
                <w:sz w:val="20"/>
                <w:szCs w:val="20"/>
              </w:rPr>
              <w:t>1.8</w:t>
            </w:r>
            <w:r w:rsidRPr="00247F49">
              <w:rPr>
                <w:spacing w:val="-2"/>
                <w:sz w:val="20"/>
                <w:szCs w:val="20"/>
                <w:vertAlign w:val="superscript"/>
              </w:rPr>
              <w:t>**</w:t>
            </w:r>
          </w:p>
        </w:tc>
      </w:tr>
      <w:tr w:rsidR="0019537C" w:rsidRPr="00247F49" w14:paraId="4B0254F5" w14:textId="77777777" w:rsidTr="00A3585E">
        <w:trPr>
          <w:trHeight w:val="20"/>
        </w:trPr>
        <w:tc>
          <w:tcPr>
            <w:tcW w:w="4678" w:type="dxa"/>
          </w:tcPr>
          <w:p w14:paraId="7CCB6099" w14:textId="77777777" w:rsidR="0019537C" w:rsidRPr="00247F49" w:rsidRDefault="0019537C" w:rsidP="008B3CF0">
            <w:pPr>
              <w:keepNext/>
              <w:jc w:val="right"/>
              <w:rPr>
                <w:spacing w:val="-2"/>
                <w:sz w:val="20"/>
                <w:szCs w:val="20"/>
              </w:rPr>
            </w:pPr>
            <w:r w:rsidRPr="00247F49">
              <w:rPr>
                <w:spacing w:val="-2"/>
                <w:sz w:val="20"/>
                <w:szCs w:val="20"/>
              </w:rPr>
              <w:t>Paronychia</w:t>
            </w:r>
            <w:r w:rsidRPr="00247F49">
              <w:rPr>
                <w:spacing w:val="-2"/>
                <w:sz w:val="20"/>
                <w:szCs w:val="20"/>
                <w:vertAlign w:val="superscript"/>
              </w:rPr>
              <w:t>*</w:t>
            </w:r>
          </w:p>
        </w:tc>
        <w:tc>
          <w:tcPr>
            <w:tcW w:w="2055" w:type="dxa"/>
          </w:tcPr>
          <w:p w14:paraId="2145D475" w14:textId="77777777" w:rsidR="0019537C" w:rsidRPr="00247F49" w:rsidRDefault="0019537C" w:rsidP="008B3CF0">
            <w:pPr>
              <w:keepNext/>
              <w:jc w:val="center"/>
              <w:rPr>
                <w:spacing w:val="-5"/>
                <w:sz w:val="20"/>
                <w:szCs w:val="20"/>
              </w:rPr>
            </w:pPr>
            <w:r w:rsidRPr="00247F49">
              <w:rPr>
                <w:spacing w:val="-5"/>
                <w:sz w:val="20"/>
                <w:szCs w:val="20"/>
              </w:rPr>
              <w:t>39</w:t>
            </w:r>
          </w:p>
        </w:tc>
        <w:tc>
          <w:tcPr>
            <w:tcW w:w="1904" w:type="dxa"/>
          </w:tcPr>
          <w:p w14:paraId="0EF43E2F" w14:textId="77777777" w:rsidR="0019537C" w:rsidRPr="00247F49" w:rsidRDefault="0019537C" w:rsidP="008B3CF0">
            <w:pPr>
              <w:keepNext/>
              <w:jc w:val="center"/>
              <w:rPr>
                <w:spacing w:val="-2"/>
                <w:sz w:val="20"/>
                <w:szCs w:val="20"/>
              </w:rPr>
            </w:pPr>
            <w:r w:rsidRPr="00247F49">
              <w:rPr>
                <w:spacing w:val="-2"/>
                <w:sz w:val="20"/>
                <w:szCs w:val="20"/>
              </w:rPr>
              <w:t>0.9</w:t>
            </w:r>
            <w:r w:rsidRPr="00247F49">
              <w:rPr>
                <w:spacing w:val="-2"/>
                <w:sz w:val="20"/>
                <w:szCs w:val="20"/>
                <w:vertAlign w:val="superscript"/>
              </w:rPr>
              <w:t>**</w:t>
            </w:r>
          </w:p>
        </w:tc>
      </w:tr>
      <w:tr w:rsidR="0019537C" w:rsidRPr="00247F49" w14:paraId="027B3EA0" w14:textId="77777777" w:rsidTr="00A3585E">
        <w:trPr>
          <w:trHeight w:val="20"/>
        </w:trPr>
        <w:tc>
          <w:tcPr>
            <w:tcW w:w="4678" w:type="dxa"/>
          </w:tcPr>
          <w:p w14:paraId="33822A93" w14:textId="77777777" w:rsidR="0019537C" w:rsidRPr="00247F49" w:rsidRDefault="0019537C" w:rsidP="008B3CF0">
            <w:pPr>
              <w:keepNext/>
              <w:jc w:val="right"/>
              <w:rPr>
                <w:spacing w:val="-2"/>
                <w:sz w:val="20"/>
                <w:szCs w:val="20"/>
              </w:rPr>
            </w:pPr>
            <w:r w:rsidRPr="00247F49">
              <w:rPr>
                <w:sz w:val="20"/>
                <w:szCs w:val="20"/>
              </w:rPr>
              <w:t>Dry</w:t>
            </w:r>
            <w:r w:rsidRPr="00247F49">
              <w:rPr>
                <w:spacing w:val="-7"/>
                <w:sz w:val="20"/>
                <w:szCs w:val="20"/>
              </w:rPr>
              <w:t xml:space="preserve"> </w:t>
            </w:r>
            <w:r w:rsidRPr="00247F49">
              <w:rPr>
                <w:spacing w:val="-4"/>
                <w:sz w:val="20"/>
                <w:szCs w:val="20"/>
              </w:rPr>
              <w:t>skin</w:t>
            </w:r>
          </w:p>
        </w:tc>
        <w:tc>
          <w:tcPr>
            <w:tcW w:w="2055" w:type="dxa"/>
          </w:tcPr>
          <w:p w14:paraId="23A80EA3" w14:textId="77777777" w:rsidR="0019537C" w:rsidRPr="00247F49" w:rsidRDefault="0019537C" w:rsidP="008B3CF0">
            <w:pPr>
              <w:keepNext/>
              <w:jc w:val="center"/>
              <w:rPr>
                <w:spacing w:val="-5"/>
                <w:sz w:val="20"/>
                <w:szCs w:val="20"/>
              </w:rPr>
            </w:pPr>
            <w:r w:rsidRPr="00247F49">
              <w:rPr>
                <w:spacing w:val="-5"/>
                <w:sz w:val="20"/>
                <w:szCs w:val="20"/>
              </w:rPr>
              <w:t>32</w:t>
            </w:r>
          </w:p>
        </w:tc>
        <w:tc>
          <w:tcPr>
            <w:tcW w:w="1904" w:type="dxa"/>
          </w:tcPr>
          <w:p w14:paraId="014656C4" w14:textId="77777777" w:rsidR="0019537C" w:rsidRPr="00247F49" w:rsidRDefault="0019537C" w:rsidP="008B3CF0">
            <w:pPr>
              <w:keepNext/>
              <w:jc w:val="center"/>
              <w:rPr>
                <w:spacing w:val="-2"/>
                <w:sz w:val="20"/>
                <w:szCs w:val="20"/>
              </w:rPr>
            </w:pPr>
            <w:r w:rsidRPr="00247F49">
              <w:rPr>
                <w:sz w:val="20"/>
                <w:szCs w:val="20"/>
              </w:rPr>
              <w:t>0</w:t>
            </w:r>
          </w:p>
        </w:tc>
      </w:tr>
      <w:tr w:rsidR="0019537C" w:rsidRPr="00247F49" w14:paraId="5F93E4AE" w14:textId="77777777" w:rsidTr="00A3585E">
        <w:trPr>
          <w:trHeight w:val="20"/>
        </w:trPr>
        <w:tc>
          <w:tcPr>
            <w:tcW w:w="4678" w:type="dxa"/>
          </w:tcPr>
          <w:p w14:paraId="4D1E340D" w14:textId="77777777" w:rsidR="0019537C" w:rsidRPr="00247F49" w:rsidRDefault="0019537C" w:rsidP="008B3CF0">
            <w:pPr>
              <w:keepNext/>
              <w:jc w:val="right"/>
              <w:rPr>
                <w:sz w:val="20"/>
                <w:szCs w:val="20"/>
              </w:rPr>
            </w:pPr>
            <w:r w:rsidRPr="00247F49">
              <w:rPr>
                <w:spacing w:val="-2"/>
                <w:sz w:val="20"/>
                <w:szCs w:val="20"/>
              </w:rPr>
              <w:t>Pruritus</w:t>
            </w:r>
          </w:p>
        </w:tc>
        <w:tc>
          <w:tcPr>
            <w:tcW w:w="2055" w:type="dxa"/>
          </w:tcPr>
          <w:p w14:paraId="1ABFB758" w14:textId="77777777" w:rsidR="0019537C" w:rsidRPr="00247F49" w:rsidRDefault="0019537C" w:rsidP="008B3CF0">
            <w:pPr>
              <w:keepNext/>
              <w:jc w:val="center"/>
              <w:rPr>
                <w:spacing w:val="-5"/>
                <w:sz w:val="20"/>
                <w:szCs w:val="20"/>
              </w:rPr>
            </w:pPr>
            <w:r w:rsidRPr="00247F49">
              <w:rPr>
                <w:spacing w:val="-5"/>
                <w:sz w:val="20"/>
                <w:szCs w:val="20"/>
              </w:rPr>
              <w:t>24</w:t>
            </w:r>
          </w:p>
        </w:tc>
        <w:tc>
          <w:tcPr>
            <w:tcW w:w="1904" w:type="dxa"/>
          </w:tcPr>
          <w:p w14:paraId="47E96351" w14:textId="77777777" w:rsidR="0019537C" w:rsidRPr="00247F49" w:rsidRDefault="0019537C" w:rsidP="008B3CF0">
            <w:pPr>
              <w:keepNext/>
              <w:jc w:val="center"/>
              <w:rPr>
                <w:sz w:val="20"/>
                <w:szCs w:val="20"/>
              </w:rPr>
            </w:pPr>
            <w:r w:rsidRPr="00247F49">
              <w:rPr>
                <w:spacing w:val="-2"/>
                <w:sz w:val="20"/>
                <w:szCs w:val="20"/>
              </w:rPr>
              <w:t>0.9</w:t>
            </w:r>
            <w:r w:rsidRPr="00247F49">
              <w:rPr>
                <w:spacing w:val="-2"/>
                <w:sz w:val="20"/>
                <w:szCs w:val="20"/>
                <w:vertAlign w:val="superscript"/>
              </w:rPr>
              <w:t>**</w:t>
            </w:r>
          </w:p>
        </w:tc>
      </w:tr>
      <w:tr w:rsidR="0019537C" w:rsidRPr="00247F49" w14:paraId="57371976" w14:textId="77777777" w:rsidTr="00A3585E">
        <w:trPr>
          <w:trHeight w:val="20"/>
        </w:trPr>
        <w:tc>
          <w:tcPr>
            <w:tcW w:w="4678" w:type="dxa"/>
          </w:tcPr>
          <w:p w14:paraId="47B8C146" w14:textId="77777777" w:rsidR="0019537C" w:rsidRPr="00247F49" w:rsidRDefault="0019537C" w:rsidP="008B3CF0">
            <w:pPr>
              <w:keepNext/>
              <w:jc w:val="right"/>
              <w:rPr>
                <w:spacing w:val="-2"/>
                <w:sz w:val="20"/>
                <w:szCs w:val="20"/>
              </w:rPr>
            </w:pPr>
            <w:r w:rsidRPr="00247F49">
              <w:rPr>
                <w:spacing w:val="-2"/>
                <w:sz w:val="20"/>
                <w:szCs w:val="20"/>
              </w:rPr>
              <w:t>Alopecia</w:t>
            </w:r>
          </w:p>
        </w:tc>
        <w:tc>
          <w:tcPr>
            <w:tcW w:w="2055" w:type="dxa"/>
          </w:tcPr>
          <w:p w14:paraId="15DB8102" w14:textId="77777777" w:rsidR="0019537C" w:rsidRPr="00247F49" w:rsidRDefault="0019537C" w:rsidP="008B3CF0">
            <w:pPr>
              <w:keepNext/>
              <w:jc w:val="center"/>
              <w:rPr>
                <w:spacing w:val="-5"/>
                <w:sz w:val="20"/>
                <w:szCs w:val="20"/>
              </w:rPr>
            </w:pPr>
            <w:r w:rsidRPr="00247F49">
              <w:rPr>
                <w:spacing w:val="-5"/>
                <w:sz w:val="20"/>
                <w:szCs w:val="20"/>
              </w:rPr>
              <w:t>19</w:t>
            </w:r>
          </w:p>
        </w:tc>
        <w:tc>
          <w:tcPr>
            <w:tcW w:w="1904" w:type="dxa"/>
          </w:tcPr>
          <w:p w14:paraId="20F0F6C1" w14:textId="77777777" w:rsidR="0019537C" w:rsidRPr="00247F49" w:rsidRDefault="0019537C" w:rsidP="008B3CF0">
            <w:pPr>
              <w:keepNext/>
              <w:jc w:val="center"/>
              <w:rPr>
                <w:spacing w:val="-2"/>
                <w:sz w:val="20"/>
                <w:szCs w:val="20"/>
              </w:rPr>
            </w:pPr>
            <w:r w:rsidRPr="00247F49">
              <w:rPr>
                <w:sz w:val="20"/>
                <w:szCs w:val="20"/>
              </w:rPr>
              <w:t>0</w:t>
            </w:r>
          </w:p>
        </w:tc>
      </w:tr>
      <w:tr w:rsidR="0019537C" w:rsidRPr="00247F49" w14:paraId="4E3502C2" w14:textId="77777777" w:rsidTr="00A3585E">
        <w:trPr>
          <w:trHeight w:val="20"/>
        </w:trPr>
        <w:tc>
          <w:tcPr>
            <w:tcW w:w="8637" w:type="dxa"/>
            <w:gridSpan w:val="3"/>
          </w:tcPr>
          <w:p w14:paraId="77D8AB6A" w14:textId="77777777" w:rsidR="0019537C" w:rsidRPr="00247F49" w:rsidRDefault="0019537C" w:rsidP="008B3CF0">
            <w:pPr>
              <w:keepNext/>
              <w:rPr>
                <w:sz w:val="20"/>
                <w:szCs w:val="20"/>
              </w:rPr>
            </w:pPr>
            <w:r w:rsidRPr="00247F49">
              <w:rPr>
                <w:b/>
                <w:sz w:val="20"/>
                <w:szCs w:val="20"/>
              </w:rPr>
              <w:t>Musculoskeletal</w:t>
            </w:r>
            <w:r w:rsidRPr="00247F49">
              <w:rPr>
                <w:b/>
                <w:spacing w:val="-11"/>
                <w:sz w:val="20"/>
                <w:szCs w:val="20"/>
              </w:rPr>
              <w:t xml:space="preserve"> </w:t>
            </w:r>
            <w:r w:rsidRPr="00247F49">
              <w:rPr>
                <w:b/>
                <w:sz w:val="20"/>
                <w:szCs w:val="20"/>
              </w:rPr>
              <w:t>and</w:t>
            </w:r>
            <w:r w:rsidRPr="00247F49">
              <w:rPr>
                <w:b/>
                <w:spacing w:val="-10"/>
                <w:sz w:val="20"/>
                <w:szCs w:val="20"/>
              </w:rPr>
              <w:t xml:space="preserve"> </w:t>
            </w:r>
            <w:r w:rsidRPr="00247F49">
              <w:rPr>
                <w:b/>
                <w:sz w:val="20"/>
                <w:szCs w:val="20"/>
              </w:rPr>
              <w:t>connective</w:t>
            </w:r>
            <w:r w:rsidRPr="00247F49">
              <w:rPr>
                <w:b/>
                <w:spacing w:val="-11"/>
                <w:sz w:val="20"/>
                <w:szCs w:val="20"/>
              </w:rPr>
              <w:t xml:space="preserve"> </w:t>
            </w:r>
            <w:r w:rsidRPr="00247F49">
              <w:rPr>
                <w:b/>
                <w:sz w:val="20"/>
                <w:szCs w:val="20"/>
              </w:rPr>
              <w:t>tissue</w:t>
            </w:r>
            <w:r w:rsidRPr="00247F49">
              <w:rPr>
                <w:b/>
                <w:spacing w:val="-11"/>
                <w:sz w:val="20"/>
                <w:szCs w:val="20"/>
              </w:rPr>
              <w:t xml:space="preserve"> </w:t>
            </w:r>
            <w:r w:rsidRPr="00247F49">
              <w:rPr>
                <w:b/>
                <w:spacing w:val="-2"/>
                <w:sz w:val="20"/>
                <w:szCs w:val="20"/>
              </w:rPr>
              <w:t>disorders</w:t>
            </w:r>
          </w:p>
        </w:tc>
      </w:tr>
      <w:tr w:rsidR="0019537C" w:rsidRPr="00247F49" w14:paraId="4F2305A7" w14:textId="77777777" w:rsidTr="00A3585E">
        <w:trPr>
          <w:trHeight w:val="20"/>
        </w:trPr>
        <w:tc>
          <w:tcPr>
            <w:tcW w:w="4678" w:type="dxa"/>
          </w:tcPr>
          <w:p w14:paraId="62B7B30D" w14:textId="77777777" w:rsidR="0019537C" w:rsidRPr="00247F49" w:rsidRDefault="0019537C" w:rsidP="008B3CF0">
            <w:pPr>
              <w:keepNext/>
              <w:jc w:val="right"/>
              <w:rPr>
                <w:b/>
                <w:sz w:val="20"/>
                <w:szCs w:val="20"/>
              </w:rPr>
            </w:pPr>
            <w:r w:rsidRPr="00247F49">
              <w:rPr>
                <w:sz w:val="20"/>
                <w:szCs w:val="20"/>
              </w:rPr>
              <w:t>Musculoskeletal</w:t>
            </w:r>
            <w:r w:rsidRPr="00247F49">
              <w:rPr>
                <w:spacing w:val="-10"/>
                <w:sz w:val="20"/>
                <w:szCs w:val="20"/>
              </w:rPr>
              <w:t xml:space="preserve"> </w:t>
            </w:r>
            <w:r w:rsidRPr="00247F49">
              <w:rPr>
                <w:spacing w:val="-4"/>
                <w:sz w:val="20"/>
                <w:szCs w:val="20"/>
              </w:rPr>
              <w:t>pain</w:t>
            </w:r>
            <w:r w:rsidRPr="00247F49">
              <w:rPr>
                <w:spacing w:val="-4"/>
                <w:sz w:val="20"/>
                <w:szCs w:val="20"/>
                <w:vertAlign w:val="superscript"/>
              </w:rPr>
              <w:t>*</w:t>
            </w:r>
          </w:p>
        </w:tc>
        <w:tc>
          <w:tcPr>
            <w:tcW w:w="2055" w:type="dxa"/>
          </w:tcPr>
          <w:p w14:paraId="3C5CED1D" w14:textId="77777777" w:rsidR="0019537C" w:rsidRPr="00247F49" w:rsidRDefault="0019537C" w:rsidP="008B3CF0">
            <w:pPr>
              <w:keepNext/>
              <w:jc w:val="center"/>
              <w:rPr>
                <w:spacing w:val="-5"/>
                <w:sz w:val="20"/>
                <w:szCs w:val="20"/>
              </w:rPr>
            </w:pPr>
            <w:r w:rsidRPr="00247F49">
              <w:rPr>
                <w:spacing w:val="-5"/>
                <w:sz w:val="20"/>
                <w:szCs w:val="20"/>
              </w:rPr>
              <w:t>34</w:t>
            </w:r>
          </w:p>
        </w:tc>
        <w:tc>
          <w:tcPr>
            <w:tcW w:w="1904" w:type="dxa"/>
          </w:tcPr>
          <w:p w14:paraId="540140E2" w14:textId="77777777" w:rsidR="0019537C" w:rsidRPr="00247F49" w:rsidRDefault="0019537C" w:rsidP="008B3CF0">
            <w:pPr>
              <w:keepNext/>
              <w:jc w:val="center"/>
              <w:rPr>
                <w:sz w:val="20"/>
                <w:szCs w:val="20"/>
              </w:rPr>
            </w:pPr>
            <w:r w:rsidRPr="00247F49">
              <w:rPr>
                <w:spacing w:val="-2"/>
                <w:sz w:val="20"/>
                <w:szCs w:val="20"/>
              </w:rPr>
              <w:t>2.6</w:t>
            </w:r>
            <w:r w:rsidRPr="00247F49">
              <w:rPr>
                <w:spacing w:val="-2"/>
                <w:sz w:val="20"/>
                <w:szCs w:val="20"/>
                <w:vertAlign w:val="superscript"/>
              </w:rPr>
              <w:t>**</w:t>
            </w:r>
          </w:p>
        </w:tc>
      </w:tr>
      <w:tr w:rsidR="0019537C" w:rsidRPr="00247F49" w14:paraId="4F7AD816" w14:textId="77777777" w:rsidTr="00A3585E">
        <w:trPr>
          <w:trHeight w:val="20"/>
        </w:trPr>
        <w:tc>
          <w:tcPr>
            <w:tcW w:w="8637" w:type="dxa"/>
            <w:gridSpan w:val="3"/>
          </w:tcPr>
          <w:p w14:paraId="0D9CB28F" w14:textId="77777777" w:rsidR="0019537C" w:rsidRPr="00247F49" w:rsidRDefault="0019537C" w:rsidP="008B3CF0">
            <w:pPr>
              <w:keepNext/>
              <w:rPr>
                <w:spacing w:val="-2"/>
                <w:sz w:val="20"/>
                <w:szCs w:val="20"/>
              </w:rPr>
            </w:pPr>
            <w:r w:rsidRPr="00247F49">
              <w:rPr>
                <w:b/>
                <w:sz w:val="20"/>
                <w:szCs w:val="20"/>
              </w:rPr>
              <w:t>General</w:t>
            </w:r>
            <w:r w:rsidRPr="00247F49">
              <w:rPr>
                <w:b/>
                <w:spacing w:val="-10"/>
                <w:sz w:val="20"/>
                <w:szCs w:val="20"/>
              </w:rPr>
              <w:t xml:space="preserve"> </w:t>
            </w:r>
            <w:r w:rsidRPr="00247F49">
              <w:rPr>
                <w:b/>
                <w:sz w:val="20"/>
                <w:szCs w:val="20"/>
              </w:rPr>
              <w:t>disorders</w:t>
            </w:r>
            <w:r w:rsidRPr="00247F49">
              <w:rPr>
                <w:b/>
                <w:spacing w:val="-9"/>
                <w:sz w:val="20"/>
                <w:szCs w:val="20"/>
              </w:rPr>
              <w:t xml:space="preserve"> </w:t>
            </w:r>
            <w:r w:rsidRPr="00247F49">
              <w:rPr>
                <w:b/>
                <w:sz w:val="20"/>
                <w:szCs w:val="20"/>
              </w:rPr>
              <w:t>and</w:t>
            </w:r>
            <w:r w:rsidRPr="00247F49">
              <w:rPr>
                <w:b/>
                <w:spacing w:val="-8"/>
                <w:sz w:val="20"/>
                <w:szCs w:val="20"/>
              </w:rPr>
              <w:t xml:space="preserve"> </w:t>
            </w:r>
            <w:r w:rsidRPr="00247F49">
              <w:rPr>
                <w:b/>
                <w:sz w:val="20"/>
                <w:szCs w:val="20"/>
              </w:rPr>
              <w:t>administration</w:t>
            </w:r>
            <w:r w:rsidRPr="00247F49">
              <w:rPr>
                <w:b/>
                <w:spacing w:val="-9"/>
                <w:sz w:val="20"/>
                <w:szCs w:val="20"/>
              </w:rPr>
              <w:t xml:space="preserve"> s</w:t>
            </w:r>
            <w:r w:rsidRPr="00247F49">
              <w:rPr>
                <w:b/>
                <w:sz w:val="20"/>
                <w:szCs w:val="20"/>
              </w:rPr>
              <w:t>ite</w:t>
            </w:r>
            <w:r w:rsidRPr="00247F49">
              <w:rPr>
                <w:b/>
                <w:spacing w:val="-11"/>
                <w:sz w:val="20"/>
                <w:szCs w:val="20"/>
              </w:rPr>
              <w:t xml:space="preserve"> </w:t>
            </w:r>
            <w:r w:rsidRPr="00247F49">
              <w:rPr>
                <w:b/>
                <w:spacing w:val="-2"/>
                <w:sz w:val="20"/>
                <w:szCs w:val="20"/>
              </w:rPr>
              <w:t>conditions</w:t>
            </w:r>
          </w:p>
        </w:tc>
      </w:tr>
      <w:tr w:rsidR="0019537C" w:rsidRPr="00247F49" w14:paraId="27BB6B0C" w14:textId="77777777" w:rsidTr="00A3585E">
        <w:trPr>
          <w:trHeight w:val="20"/>
        </w:trPr>
        <w:tc>
          <w:tcPr>
            <w:tcW w:w="4678" w:type="dxa"/>
          </w:tcPr>
          <w:p w14:paraId="36C0B06A" w14:textId="77777777" w:rsidR="0019537C" w:rsidRPr="00247F49" w:rsidRDefault="0019537C" w:rsidP="008B3CF0">
            <w:pPr>
              <w:keepNext/>
              <w:jc w:val="right"/>
              <w:rPr>
                <w:b/>
                <w:sz w:val="20"/>
                <w:szCs w:val="20"/>
              </w:rPr>
            </w:pPr>
            <w:r w:rsidRPr="00247F49">
              <w:rPr>
                <w:spacing w:val="-2"/>
                <w:sz w:val="20"/>
                <w:szCs w:val="20"/>
              </w:rPr>
              <w:t>Fatigue</w:t>
            </w:r>
            <w:r w:rsidRPr="00247F49">
              <w:rPr>
                <w:spacing w:val="-2"/>
                <w:sz w:val="20"/>
                <w:szCs w:val="20"/>
                <w:vertAlign w:val="superscript"/>
              </w:rPr>
              <w:t>*</w:t>
            </w:r>
          </w:p>
        </w:tc>
        <w:tc>
          <w:tcPr>
            <w:tcW w:w="2055" w:type="dxa"/>
          </w:tcPr>
          <w:p w14:paraId="193CA5FB" w14:textId="77777777" w:rsidR="0019537C" w:rsidRPr="00247F49" w:rsidRDefault="0019537C" w:rsidP="008B3CF0">
            <w:pPr>
              <w:keepNext/>
              <w:jc w:val="center"/>
              <w:rPr>
                <w:spacing w:val="-5"/>
                <w:sz w:val="20"/>
                <w:szCs w:val="20"/>
              </w:rPr>
            </w:pPr>
            <w:r w:rsidRPr="00247F49">
              <w:rPr>
                <w:spacing w:val="-5"/>
                <w:sz w:val="20"/>
                <w:szCs w:val="20"/>
              </w:rPr>
              <w:t>29</w:t>
            </w:r>
          </w:p>
        </w:tc>
        <w:tc>
          <w:tcPr>
            <w:tcW w:w="1904" w:type="dxa"/>
          </w:tcPr>
          <w:p w14:paraId="46B84EFF" w14:textId="77777777" w:rsidR="0019537C" w:rsidRPr="00247F49" w:rsidRDefault="0019537C" w:rsidP="008B3CF0">
            <w:pPr>
              <w:keepNext/>
              <w:jc w:val="center"/>
              <w:rPr>
                <w:spacing w:val="-2"/>
                <w:sz w:val="20"/>
                <w:szCs w:val="20"/>
              </w:rPr>
            </w:pPr>
            <w:r w:rsidRPr="00247F49">
              <w:rPr>
                <w:spacing w:val="-2"/>
                <w:sz w:val="20"/>
                <w:szCs w:val="20"/>
              </w:rPr>
              <w:t>3.5</w:t>
            </w:r>
            <w:r w:rsidRPr="00247F49">
              <w:rPr>
                <w:spacing w:val="-2"/>
                <w:sz w:val="20"/>
                <w:szCs w:val="20"/>
                <w:vertAlign w:val="superscript"/>
              </w:rPr>
              <w:t>**</w:t>
            </w:r>
          </w:p>
        </w:tc>
      </w:tr>
      <w:tr w:rsidR="0019537C" w:rsidRPr="00247F49" w14:paraId="006D4FFF" w14:textId="77777777" w:rsidTr="00A3585E">
        <w:trPr>
          <w:trHeight w:val="20"/>
        </w:trPr>
        <w:tc>
          <w:tcPr>
            <w:tcW w:w="8637" w:type="dxa"/>
            <w:gridSpan w:val="3"/>
          </w:tcPr>
          <w:p w14:paraId="5C06801A" w14:textId="77777777" w:rsidR="0019537C" w:rsidRPr="00247F49" w:rsidRDefault="0019537C" w:rsidP="008B3CF0">
            <w:pPr>
              <w:keepNext/>
              <w:rPr>
                <w:spacing w:val="-2"/>
                <w:sz w:val="20"/>
                <w:szCs w:val="20"/>
              </w:rPr>
            </w:pPr>
            <w:r w:rsidRPr="00247F49">
              <w:rPr>
                <w:b/>
                <w:sz w:val="20"/>
                <w:szCs w:val="20"/>
              </w:rPr>
              <w:t>Respiratory,</w:t>
            </w:r>
            <w:r w:rsidRPr="00247F49">
              <w:rPr>
                <w:b/>
                <w:spacing w:val="-6"/>
                <w:sz w:val="20"/>
                <w:szCs w:val="20"/>
              </w:rPr>
              <w:t xml:space="preserve"> </w:t>
            </w:r>
            <w:r w:rsidRPr="00247F49">
              <w:rPr>
                <w:b/>
                <w:sz w:val="20"/>
                <w:szCs w:val="20"/>
              </w:rPr>
              <w:t>thoracic</w:t>
            </w:r>
            <w:r w:rsidRPr="00247F49">
              <w:rPr>
                <w:b/>
                <w:spacing w:val="-6"/>
                <w:sz w:val="20"/>
                <w:szCs w:val="20"/>
              </w:rPr>
              <w:t xml:space="preserve"> </w:t>
            </w:r>
            <w:r w:rsidRPr="00247F49">
              <w:rPr>
                <w:b/>
                <w:sz w:val="20"/>
                <w:szCs w:val="20"/>
              </w:rPr>
              <w:t>and</w:t>
            </w:r>
            <w:r w:rsidRPr="00247F49">
              <w:rPr>
                <w:b/>
                <w:spacing w:val="-5"/>
                <w:sz w:val="20"/>
                <w:szCs w:val="20"/>
              </w:rPr>
              <w:t xml:space="preserve"> </w:t>
            </w:r>
            <w:r w:rsidRPr="00247F49">
              <w:rPr>
                <w:b/>
                <w:sz w:val="20"/>
                <w:szCs w:val="20"/>
              </w:rPr>
              <w:t>mediastinal</w:t>
            </w:r>
            <w:r w:rsidRPr="00247F49">
              <w:rPr>
                <w:b/>
                <w:spacing w:val="-5"/>
                <w:sz w:val="20"/>
                <w:szCs w:val="20"/>
              </w:rPr>
              <w:t xml:space="preserve"> d</w:t>
            </w:r>
            <w:r w:rsidRPr="00247F49">
              <w:rPr>
                <w:b/>
                <w:spacing w:val="-2"/>
                <w:sz w:val="20"/>
                <w:szCs w:val="20"/>
              </w:rPr>
              <w:t>isorders</w:t>
            </w:r>
          </w:p>
        </w:tc>
      </w:tr>
      <w:tr w:rsidR="0019537C" w:rsidRPr="00247F49" w14:paraId="1B719FAB" w14:textId="77777777" w:rsidTr="00A3585E">
        <w:trPr>
          <w:trHeight w:val="20"/>
        </w:trPr>
        <w:tc>
          <w:tcPr>
            <w:tcW w:w="4678" w:type="dxa"/>
          </w:tcPr>
          <w:p w14:paraId="7CA2A859" w14:textId="77777777" w:rsidR="0019537C" w:rsidRPr="00247F49" w:rsidRDefault="0019537C" w:rsidP="008B3CF0">
            <w:pPr>
              <w:keepNext/>
              <w:jc w:val="right"/>
              <w:rPr>
                <w:b/>
                <w:sz w:val="20"/>
                <w:szCs w:val="20"/>
              </w:rPr>
            </w:pPr>
            <w:r w:rsidRPr="00247F49">
              <w:rPr>
                <w:spacing w:val="-2"/>
                <w:sz w:val="20"/>
                <w:szCs w:val="20"/>
              </w:rPr>
              <w:t>Cough</w:t>
            </w:r>
            <w:r w:rsidRPr="00247F49">
              <w:rPr>
                <w:spacing w:val="-2"/>
                <w:sz w:val="20"/>
                <w:szCs w:val="20"/>
                <w:vertAlign w:val="superscript"/>
              </w:rPr>
              <w:t>*</w:t>
            </w:r>
          </w:p>
        </w:tc>
        <w:tc>
          <w:tcPr>
            <w:tcW w:w="2055" w:type="dxa"/>
          </w:tcPr>
          <w:p w14:paraId="07215FD0" w14:textId="77777777" w:rsidR="0019537C" w:rsidRPr="00247F49" w:rsidRDefault="0019537C" w:rsidP="008B3CF0">
            <w:pPr>
              <w:keepNext/>
              <w:jc w:val="center"/>
              <w:rPr>
                <w:spacing w:val="-5"/>
                <w:sz w:val="20"/>
                <w:szCs w:val="20"/>
              </w:rPr>
            </w:pPr>
            <w:r w:rsidRPr="00247F49">
              <w:rPr>
                <w:spacing w:val="-5"/>
                <w:sz w:val="20"/>
                <w:szCs w:val="20"/>
              </w:rPr>
              <w:t>24</w:t>
            </w:r>
          </w:p>
        </w:tc>
        <w:tc>
          <w:tcPr>
            <w:tcW w:w="1904" w:type="dxa"/>
          </w:tcPr>
          <w:p w14:paraId="266568C9" w14:textId="77777777" w:rsidR="0019537C" w:rsidRPr="00247F49" w:rsidRDefault="0019537C" w:rsidP="008B3CF0">
            <w:pPr>
              <w:keepNext/>
              <w:jc w:val="center"/>
              <w:rPr>
                <w:spacing w:val="-2"/>
                <w:sz w:val="20"/>
                <w:szCs w:val="20"/>
              </w:rPr>
            </w:pPr>
            <w:r w:rsidRPr="00247F49">
              <w:rPr>
                <w:sz w:val="20"/>
                <w:szCs w:val="20"/>
              </w:rPr>
              <w:t>0</w:t>
            </w:r>
          </w:p>
        </w:tc>
      </w:tr>
      <w:tr w:rsidR="0019537C" w:rsidRPr="00247F49" w14:paraId="7DFC5594" w14:textId="77777777" w:rsidTr="00A3585E">
        <w:trPr>
          <w:trHeight w:val="20"/>
        </w:trPr>
        <w:tc>
          <w:tcPr>
            <w:tcW w:w="4678" w:type="dxa"/>
          </w:tcPr>
          <w:p w14:paraId="710722E2" w14:textId="77777777" w:rsidR="0019537C" w:rsidRPr="00247F49" w:rsidRDefault="0019537C" w:rsidP="008B3CF0">
            <w:pPr>
              <w:keepNext/>
              <w:jc w:val="right"/>
              <w:rPr>
                <w:spacing w:val="-2"/>
                <w:sz w:val="20"/>
                <w:szCs w:val="20"/>
              </w:rPr>
            </w:pPr>
            <w:r w:rsidRPr="00247F49">
              <w:rPr>
                <w:sz w:val="20"/>
                <w:szCs w:val="20"/>
              </w:rPr>
              <w:t>Upper</w:t>
            </w:r>
            <w:r w:rsidRPr="00247F49">
              <w:rPr>
                <w:spacing w:val="-5"/>
                <w:sz w:val="20"/>
                <w:szCs w:val="20"/>
              </w:rPr>
              <w:t xml:space="preserve"> </w:t>
            </w:r>
            <w:r w:rsidRPr="00247F49">
              <w:rPr>
                <w:sz w:val="20"/>
                <w:szCs w:val="20"/>
              </w:rPr>
              <w:t>respiratory</w:t>
            </w:r>
            <w:r w:rsidRPr="00247F49">
              <w:rPr>
                <w:spacing w:val="-3"/>
                <w:sz w:val="20"/>
                <w:szCs w:val="20"/>
              </w:rPr>
              <w:t xml:space="preserve"> </w:t>
            </w:r>
            <w:r w:rsidRPr="00247F49">
              <w:rPr>
                <w:sz w:val="20"/>
                <w:szCs w:val="20"/>
              </w:rPr>
              <w:t>tract</w:t>
            </w:r>
            <w:r w:rsidRPr="00247F49">
              <w:rPr>
                <w:spacing w:val="-3"/>
                <w:sz w:val="20"/>
                <w:szCs w:val="20"/>
              </w:rPr>
              <w:t xml:space="preserve"> </w:t>
            </w:r>
            <w:r w:rsidRPr="00247F49">
              <w:rPr>
                <w:spacing w:val="-2"/>
                <w:sz w:val="20"/>
                <w:szCs w:val="20"/>
              </w:rPr>
              <w:t>infection</w:t>
            </w:r>
            <w:r w:rsidRPr="00247F49">
              <w:rPr>
                <w:spacing w:val="-2"/>
                <w:sz w:val="20"/>
                <w:szCs w:val="20"/>
                <w:vertAlign w:val="superscript"/>
              </w:rPr>
              <w:t>*</w:t>
            </w:r>
          </w:p>
        </w:tc>
        <w:tc>
          <w:tcPr>
            <w:tcW w:w="2055" w:type="dxa"/>
          </w:tcPr>
          <w:p w14:paraId="39D2280C" w14:textId="77777777" w:rsidR="0019537C" w:rsidRPr="00247F49" w:rsidRDefault="0019537C" w:rsidP="008B3CF0">
            <w:pPr>
              <w:keepNext/>
              <w:jc w:val="center"/>
              <w:rPr>
                <w:spacing w:val="-5"/>
                <w:sz w:val="20"/>
                <w:szCs w:val="20"/>
              </w:rPr>
            </w:pPr>
            <w:r w:rsidRPr="00247F49">
              <w:rPr>
                <w:spacing w:val="-5"/>
                <w:sz w:val="20"/>
                <w:szCs w:val="20"/>
              </w:rPr>
              <w:t>16</w:t>
            </w:r>
          </w:p>
        </w:tc>
        <w:tc>
          <w:tcPr>
            <w:tcW w:w="1904" w:type="dxa"/>
          </w:tcPr>
          <w:p w14:paraId="4E571639" w14:textId="77777777" w:rsidR="0019537C" w:rsidRPr="00247F49" w:rsidRDefault="0019537C" w:rsidP="008B3CF0">
            <w:pPr>
              <w:keepNext/>
              <w:jc w:val="center"/>
              <w:rPr>
                <w:sz w:val="20"/>
                <w:szCs w:val="20"/>
              </w:rPr>
            </w:pPr>
            <w:r w:rsidRPr="00247F49">
              <w:rPr>
                <w:sz w:val="20"/>
                <w:szCs w:val="20"/>
              </w:rPr>
              <w:t>0</w:t>
            </w:r>
          </w:p>
        </w:tc>
      </w:tr>
      <w:tr w:rsidR="0019537C" w:rsidRPr="00247F49" w14:paraId="321BF60D" w14:textId="77777777" w:rsidTr="00A3585E">
        <w:trPr>
          <w:trHeight w:val="20"/>
        </w:trPr>
        <w:tc>
          <w:tcPr>
            <w:tcW w:w="4678" w:type="dxa"/>
          </w:tcPr>
          <w:p w14:paraId="546C1CE7" w14:textId="77777777" w:rsidR="0019537C" w:rsidRPr="00247F49" w:rsidRDefault="0019537C" w:rsidP="008B3CF0">
            <w:pPr>
              <w:keepNext/>
              <w:jc w:val="right"/>
              <w:rPr>
                <w:sz w:val="20"/>
                <w:szCs w:val="20"/>
              </w:rPr>
            </w:pPr>
            <w:r w:rsidRPr="00247F49">
              <w:rPr>
                <w:spacing w:val="-2"/>
                <w:sz w:val="20"/>
                <w:szCs w:val="20"/>
              </w:rPr>
              <w:t>Dyspnoea</w:t>
            </w:r>
            <w:r w:rsidRPr="00247F49">
              <w:rPr>
                <w:spacing w:val="-2"/>
                <w:sz w:val="20"/>
                <w:szCs w:val="20"/>
                <w:vertAlign w:val="superscript"/>
              </w:rPr>
              <w:t>*</w:t>
            </w:r>
          </w:p>
        </w:tc>
        <w:tc>
          <w:tcPr>
            <w:tcW w:w="2055" w:type="dxa"/>
          </w:tcPr>
          <w:p w14:paraId="529DB9C9" w14:textId="77777777" w:rsidR="0019537C" w:rsidRPr="00247F49" w:rsidRDefault="0019537C" w:rsidP="008B3CF0">
            <w:pPr>
              <w:keepNext/>
              <w:jc w:val="center"/>
              <w:rPr>
                <w:spacing w:val="-5"/>
                <w:sz w:val="20"/>
                <w:szCs w:val="20"/>
              </w:rPr>
            </w:pPr>
            <w:r w:rsidRPr="00247F49">
              <w:rPr>
                <w:spacing w:val="-5"/>
                <w:sz w:val="20"/>
                <w:szCs w:val="20"/>
              </w:rPr>
              <w:t>15</w:t>
            </w:r>
          </w:p>
        </w:tc>
        <w:tc>
          <w:tcPr>
            <w:tcW w:w="1904" w:type="dxa"/>
          </w:tcPr>
          <w:p w14:paraId="07ED3521" w14:textId="77777777" w:rsidR="0019537C" w:rsidRPr="00247F49" w:rsidRDefault="0019537C" w:rsidP="008B3CF0">
            <w:pPr>
              <w:keepNext/>
              <w:jc w:val="center"/>
              <w:rPr>
                <w:sz w:val="20"/>
                <w:szCs w:val="20"/>
              </w:rPr>
            </w:pPr>
            <w:r w:rsidRPr="00247F49">
              <w:rPr>
                <w:spacing w:val="-5"/>
                <w:sz w:val="20"/>
                <w:szCs w:val="20"/>
              </w:rPr>
              <w:t>4.4</w:t>
            </w:r>
          </w:p>
        </w:tc>
      </w:tr>
      <w:tr w:rsidR="0019537C" w:rsidRPr="00247F49" w14:paraId="57E73379" w14:textId="77777777" w:rsidTr="00A3585E">
        <w:trPr>
          <w:trHeight w:val="20"/>
        </w:trPr>
        <w:tc>
          <w:tcPr>
            <w:tcW w:w="4678" w:type="dxa"/>
          </w:tcPr>
          <w:p w14:paraId="75BB1A00" w14:textId="77777777" w:rsidR="0019537C" w:rsidRPr="00247F49" w:rsidRDefault="0019537C" w:rsidP="008B3CF0">
            <w:pPr>
              <w:keepNext/>
              <w:jc w:val="right"/>
              <w:rPr>
                <w:spacing w:val="-2"/>
                <w:sz w:val="20"/>
                <w:szCs w:val="20"/>
              </w:rPr>
            </w:pPr>
            <w:r w:rsidRPr="00247F49">
              <w:rPr>
                <w:spacing w:val="-2"/>
                <w:sz w:val="20"/>
                <w:szCs w:val="20"/>
              </w:rPr>
              <w:t>Rhinorrhoea</w:t>
            </w:r>
          </w:p>
        </w:tc>
        <w:tc>
          <w:tcPr>
            <w:tcW w:w="2055" w:type="dxa"/>
          </w:tcPr>
          <w:p w14:paraId="25E16491" w14:textId="77777777" w:rsidR="0019537C" w:rsidRPr="00247F49" w:rsidRDefault="0019537C" w:rsidP="008B3CF0">
            <w:pPr>
              <w:keepNext/>
              <w:jc w:val="center"/>
              <w:rPr>
                <w:spacing w:val="-5"/>
                <w:sz w:val="20"/>
                <w:szCs w:val="20"/>
              </w:rPr>
            </w:pPr>
            <w:r w:rsidRPr="00247F49">
              <w:rPr>
                <w:spacing w:val="-5"/>
                <w:sz w:val="20"/>
                <w:szCs w:val="20"/>
              </w:rPr>
              <w:t>13</w:t>
            </w:r>
          </w:p>
        </w:tc>
        <w:tc>
          <w:tcPr>
            <w:tcW w:w="1904" w:type="dxa"/>
          </w:tcPr>
          <w:p w14:paraId="52DBDE2D" w14:textId="77777777" w:rsidR="0019537C" w:rsidRPr="00247F49" w:rsidRDefault="0019537C" w:rsidP="008B3CF0">
            <w:pPr>
              <w:keepNext/>
              <w:jc w:val="center"/>
              <w:rPr>
                <w:spacing w:val="-5"/>
                <w:sz w:val="20"/>
                <w:szCs w:val="20"/>
              </w:rPr>
            </w:pPr>
            <w:r w:rsidRPr="00247F49">
              <w:rPr>
                <w:sz w:val="20"/>
                <w:szCs w:val="20"/>
              </w:rPr>
              <w:t>0</w:t>
            </w:r>
          </w:p>
        </w:tc>
      </w:tr>
      <w:tr w:rsidR="0019537C" w:rsidRPr="00247F49" w14:paraId="4FC8AA32" w14:textId="77777777" w:rsidTr="00A3585E">
        <w:trPr>
          <w:trHeight w:val="20"/>
        </w:trPr>
        <w:tc>
          <w:tcPr>
            <w:tcW w:w="8637" w:type="dxa"/>
            <w:gridSpan w:val="3"/>
          </w:tcPr>
          <w:p w14:paraId="5BAE7B9A" w14:textId="77777777" w:rsidR="0019537C" w:rsidRPr="00247F49" w:rsidRDefault="0019537C" w:rsidP="008B3CF0">
            <w:pPr>
              <w:keepNext/>
              <w:rPr>
                <w:sz w:val="20"/>
                <w:szCs w:val="20"/>
              </w:rPr>
            </w:pPr>
            <w:r w:rsidRPr="00247F49">
              <w:rPr>
                <w:b/>
                <w:sz w:val="20"/>
                <w:szCs w:val="20"/>
              </w:rPr>
              <w:t>Eye</w:t>
            </w:r>
            <w:r w:rsidRPr="00247F49">
              <w:rPr>
                <w:b/>
                <w:spacing w:val="-1"/>
                <w:sz w:val="20"/>
                <w:szCs w:val="20"/>
              </w:rPr>
              <w:t xml:space="preserve"> </w:t>
            </w:r>
            <w:r w:rsidRPr="00247F49">
              <w:rPr>
                <w:b/>
                <w:spacing w:val="-2"/>
                <w:sz w:val="20"/>
                <w:szCs w:val="20"/>
              </w:rPr>
              <w:t>disorders</w:t>
            </w:r>
          </w:p>
        </w:tc>
      </w:tr>
      <w:tr w:rsidR="0019537C" w:rsidRPr="00247F49" w14:paraId="7247C4D8" w14:textId="77777777" w:rsidTr="00A3585E">
        <w:trPr>
          <w:trHeight w:val="227"/>
        </w:trPr>
        <w:tc>
          <w:tcPr>
            <w:tcW w:w="4678" w:type="dxa"/>
          </w:tcPr>
          <w:p w14:paraId="6036258A" w14:textId="77777777" w:rsidR="0019537C" w:rsidRPr="00247F49" w:rsidRDefault="0019537C" w:rsidP="008B3CF0">
            <w:pPr>
              <w:keepNext/>
              <w:jc w:val="right"/>
              <w:rPr>
                <w:b/>
                <w:sz w:val="20"/>
                <w:szCs w:val="20"/>
              </w:rPr>
            </w:pPr>
            <w:r w:rsidRPr="00247F49">
              <w:rPr>
                <w:sz w:val="20"/>
                <w:szCs w:val="20"/>
              </w:rPr>
              <w:t>Ocular</w:t>
            </w:r>
            <w:r w:rsidRPr="00247F49">
              <w:rPr>
                <w:spacing w:val="-6"/>
                <w:sz w:val="20"/>
                <w:szCs w:val="20"/>
              </w:rPr>
              <w:t xml:space="preserve"> </w:t>
            </w:r>
            <w:r w:rsidRPr="00247F49">
              <w:rPr>
                <w:spacing w:val="-2"/>
                <w:sz w:val="20"/>
                <w:szCs w:val="20"/>
              </w:rPr>
              <w:t>toxicity</w:t>
            </w:r>
            <w:r w:rsidRPr="00247F49">
              <w:rPr>
                <w:spacing w:val="-2"/>
                <w:sz w:val="20"/>
                <w:szCs w:val="20"/>
                <w:vertAlign w:val="superscript"/>
              </w:rPr>
              <w:t>*</w:t>
            </w:r>
          </w:p>
        </w:tc>
        <w:tc>
          <w:tcPr>
            <w:tcW w:w="2055" w:type="dxa"/>
          </w:tcPr>
          <w:p w14:paraId="184B161F" w14:textId="77777777" w:rsidR="0019537C" w:rsidRPr="00247F49" w:rsidRDefault="0019537C" w:rsidP="008B3CF0">
            <w:pPr>
              <w:keepNext/>
              <w:jc w:val="center"/>
              <w:rPr>
                <w:spacing w:val="-5"/>
                <w:sz w:val="20"/>
                <w:szCs w:val="20"/>
              </w:rPr>
            </w:pPr>
            <w:r w:rsidRPr="00247F49">
              <w:rPr>
                <w:spacing w:val="-5"/>
                <w:sz w:val="20"/>
                <w:szCs w:val="20"/>
              </w:rPr>
              <w:t>11</w:t>
            </w:r>
          </w:p>
        </w:tc>
        <w:tc>
          <w:tcPr>
            <w:tcW w:w="1904" w:type="dxa"/>
          </w:tcPr>
          <w:p w14:paraId="139C67D3" w14:textId="77777777" w:rsidR="0019537C" w:rsidRPr="00247F49" w:rsidRDefault="0019537C" w:rsidP="008B3CF0">
            <w:pPr>
              <w:keepNext/>
              <w:jc w:val="center"/>
              <w:rPr>
                <w:sz w:val="20"/>
                <w:szCs w:val="20"/>
              </w:rPr>
            </w:pPr>
            <w:r w:rsidRPr="00247F49">
              <w:rPr>
                <w:sz w:val="20"/>
                <w:szCs w:val="20"/>
              </w:rPr>
              <w:t>0</w:t>
            </w:r>
          </w:p>
        </w:tc>
      </w:tr>
      <w:tr w:rsidR="0019537C" w:rsidRPr="00247F49" w14:paraId="25BD0399" w14:textId="77777777" w:rsidTr="00A3585E">
        <w:trPr>
          <w:trHeight w:val="227"/>
        </w:trPr>
        <w:tc>
          <w:tcPr>
            <w:tcW w:w="8637" w:type="dxa"/>
            <w:gridSpan w:val="3"/>
          </w:tcPr>
          <w:p w14:paraId="46577F57" w14:textId="77777777" w:rsidR="0019537C" w:rsidRPr="00247F49" w:rsidRDefault="0019537C" w:rsidP="008B3CF0">
            <w:pPr>
              <w:keepNext/>
              <w:rPr>
                <w:sz w:val="20"/>
                <w:szCs w:val="20"/>
              </w:rPr>
            </w:pPr>
            <w:r w:rsidRPr="00247F49">
              <w:rPr>
                <w:b/>
                <w:sz w:val="20"/>
                <w:szCs w:val="20"/>
              </w:rPr>
              <w:t>Cardiac</w:t>
            </w:r>
            <w:r w:rsidRPr="00247F49">
              <w:rPr>
                <w:b/>
                <w:spacing w:val="-8"/>
                <w:sz w:val="20"/>
                <w:szCs w:val="20"/>
              </w:rPr>
              <w:t xml:space="preserve"> </w:t>
            </w:r>
            <w:r w:rsidRPr="00247F49">
              <w:rPr>
                <w:b/>
                <w:spacing w:val="-2"/>
                <w:sz w:val="20"/>
                <w:szCs w:val="20"/>
              </w:rPr>
              <w:t>disorders</w:t>
            </w:r>
          </w:p>
        </w:tc>
      </w:tr>
      <w:tr w:rsidR="0019537C" w:rsidRPr="00247F49" w14:paraId="389E77BF" w14:textId="77777777" w:rsidTr="00A3585E">
        <w:trPr>
          <w:trHeight w:val="340"/>
        </w:trPr>
        <w:tc>
          <w:tcPr>
            <w:tcW w:w="4678" w:type="dxa"/>
          </w:tcPr>
          <w:p w14:paraId="5F3FDA00" w14:textId="77777777" w:rsidR="0019537C" w:rsidRPr="00247F49" w:rsidRDefault="0019537C" w:rsidP="008B3CF0">
            <w:pPr>
              <w:keepNext/>
              <w:jc w:val="right"/>
              <w:rPr>
                <w:b/>
                <w:sz w:val="20"/>
                <w:szCs w:val="20"/>
              </w:rPr>
            </w:pPr>
            <w:r w:rsidRPr="00247F49">
              <w:rPr>
                <w:sz w:val="20"/>
                <w:szCs w:val="20"/>
              </w:rPr>
              <w:t>QTc</w:t>
            </w:r>
            <w:r w:rsidRPr="00247F49">
              <w:rPr>
                <w:spacing w:val="-5"/>
                <w:sz w:val="20"/>
                <w:szCs w:val="20"/>
              </w:rPr>
              <w:t xml:space="preserve"> </w:t>
            </w:r>
            <w:r w:rsidRPr="00247F49">
              <w:rPr>
                <w:sz w:val="20"/>
                <w:szCs w:val="20"/>
              </w:rPr>
              <w:t>interval</w:t>
            </w:r>
            <w:r w:rsidRPr="00247F49">
              <w:rPr>
                <w:spacing w:val="-3"/>
                <w:sz w:val="20"/>
                <w:szCs w:val="20"/>
              </w:rPr>
              <w:t xml:space="preserve"> </w:t>
            </w:r>
            <w:r w:rsidRPr="00247F49">
              <w:rPr>
                <w:spacing w:val="-2"/>
                <w:sz w:val="20"/>
                <w:szCs w:val="20"/>
              </w:rPr>
              <w:t>prolongation</w:t>
            </w:r>
            <w:r w:rsidRPr="00247F49">
              <w:rPr>
                <w:spacing w:val="-2"/>
                <w:sz w:val="20"/>
                <w:szCs w:val="20"/>
                <w:vertAlign w:val="superscript"/>
              </w:rPr>
              <w:t>*</w:t>
            </w:r>
          </w:p>
        </w:tc>
        <w:tc>
          <w:tcPr>
            <w:tcW w:w="2055" w:type="dxa"/>
          </w:tcPr>
          <w:p w14:paraId="2F9B0E8A" w14:textId="77777777" w:rsidR="0019537C" w:rsidRPr="00247F49" w:rsidRDefault="0019537C" w:rsidP="008B3CF0">
            <w:pPr>
              <w:keepNext/>
              <w:jc w:val="center"/>
              <w:rPr>
                <w:spacing w:val="-5"/>
                <w:sz w:val="20"/>
                <w:szCs w:val="20"/>
              </w:rPr>
            </w:pPr>
            <w:r w:rsidRPr="00247F49">
              <w:rPr>
                <w:spacing w:val="-5"/>
                <w:sz w:val="20"/>
                <w:szCs w:val="20"/>
              </w:rPr>
              <w:t>10</w:t>
            </w:r>
          </w:p>
        </w:tc>
        <w:tc>
          <w:tcPr>
            <w:tcW w:w="1904" w:type="dxa"/>
          </w:tcPr>
          <w:p w14:paraId="6A89841F" w14:textId="77777777" w:rsidR="0019537C" w:rsidRPr="00247F49" w:rsidRDefault="0019537C" w:rsidP="008B3CF0">
            <w:pPr>
              <w:keepNext/>
              <w:jc w:val="center"/>
              <w:rPr>
                <w:sz w:val="20"/>
                <w:szCs w:val="20"/>
              </w:rPr>
            </w:pPr>
            <w:r w:rsidRPr="00247F49">
              <w:rPr>
                <w:spacing w:val="-5"/>
                <w:sz w:val="20"/>
                <w:szCs w:val="20"/>
              </w:rPr>
              <w:t>3.5</w:t>
            </w:r>
          </w:p>
        </w:tc>
      </w:tr>
      <w:tr w:rsidR="0019537C" w:rsidRPr="00247F49" w14:paraId="1533E5CE" w14:textId="77777777" w:rsidTr="00A3585E">
        <w:trPr>
          <w:trHeight w:val="20"/>
        </w:trPr>
        <w:tc>
          <w:tcPr>
            <w:tcW w:w="4678" w:type="dxa"/>
          </w:tcPr>
          <w:p w14:paraId="3264B61A" w14:textId="77777777" w:rsidR="0019537C" w:rsidRPr="00247F49" w:rsidRDefault="0019537C" w:rsidP="008B3CF0">
            <w:pPr>
              <w:keepNext/>
              <w:jc w:val="right"/>
              <w:rPr>
                <w:sz w:val="20"/>
                <w:szCs w:val="20"/>
              </w:rPr>
            </w:pPr>
            <w:r w:rsidRPr="00247F49">
              <w:rPr>
                <w:spacing w:val="-2"/>
                <w:sz w:val="20"/>
                <w:szCs w:val="20"/>
              </w:rPr>
              <w:t>Hypertension</w:t>
            </w:r>
            <w:r w:rsidRPr="00247F49">
              <w:rPr>
                <w:spacing w:val="-2"/>
                <w:sz w:val="20"/>
                <w:szCs w:val="20"/>
                <w:vertAlign w:val="superscript"/>
              </w:rPr>
              <w:t>*</w:t>
            </w:r>
          </w:p>
        </w:tc>
        <w:tc>
          <w:tcPr>
            <w:tcW w:w="2055" w:type="dxa"/>
          </w:tcPr>
          <w:p w14:paraId="5CAAC382" w14:textId="77777777" w:rsidR="0019537C" w:rsidRPr="00247F49" w:rsidRDefault="0019537C" w:rsidP="008B3CF0">
            <w:pPr>
              <w:keepNext/>
              <w:jc w:val="center"/>
              <w:rPr>
                <w:spacing w:val="-5"/>
                <w:sz w:val="20"/>
                <w:szCs w:val="20"/>
              </w:rPr>
            </w:pPr>
            <w:r w:rsidRPr="00247F49">
              <w:rPr>
                <w:spacing w:val="-5"/>
                <w:sz w:val="20"/>
                <w:szCs w:val="20"/>
              </w:rPr>
              <w:t>10</w:t>
            </w:r>
          </w:p>
        </w:tc>
        <w:tc>
          <w:tcPr>
            <w:tcW w:w="1904" w:type="dxa"/>
          </w:tcPr>
          <w:p w14:paraId="1E1B37AF" w14:textId="77777777" w:rsidR="0019537C" w:rsidRPr="00247F49" w:rsidRDefault="0019537C" w:rsidP="008B3CF0">
            <w:pPr>
              <w:keepNext/>
              <w:jc w:val="center"/>
              <w:rPr>
                <w:spacing w:val="-5"/>
                <w:sz w:val="20"/>
                <w:szCs w:val="20"/>
              </w:rPr>
            </w:pPr>
            <w:r w:rsidRPr="00247F49">
              <w:rPr>
                <w:spacing w:val="-2"/>
                <w:sz w:val="20"/>
                <w:szCs w:val="20"/>
              </w:rPr>
              <w:t>4.4</w:t>
            </w:r>
            <w:r w:rsidRPr="00247F49">
              <w:rPr>
                <w:spacing w:val="-2"/>
                <w:sz w:val="20"/>
                <w:szCs w:val="20"/>
                <w:vertAlign w:val="superscript"/>
              </w:rPr>
              <w:t>**</w:t>
            </w:r>
          </w:p>
        </w:tc>
      </w:tr>
      <w:tr w:rsidR="0019537C" w:rsidRPr="00247F49" w14:paraId="4459EF5C" w14:textId="77777777" w:rsidTr="00A3585E">
        <w:trPr>
          <w:trHeight w:val="20"/>
        </w:trPr>
        <w:tc>
          <w:tcPr>
            <w:tcW w:w="8637" w:type="dxa"/>
            <w:gridSpan w:val="3"/>
          </w:tcPr>
          <w:p w14:paraId="0303D047" w14:textId="77777777" w:rsidR="0019537C" w:rsidRPr="00247F49" w:rsidRDefault="0019537C" w:rsidP="008B3CF0">
            <w:pPr>
              <w:keepNext/>
              <w:rPr>
                <w:spacing w:val="-2"/>
                <w:sz w:val="20"/>
                <w:szCs w:val="20"/>
              </w:rPr>
            </w:pPr>
            <w:r w:rsidRPr="00247F49">
              <w:rPr>
                <w:b/>
                <w:sz w:val="20"/>
                <w:szCs w:val="20"/>
              </w:rPr>
              <w:t>Nervous</w:t>
            </w:r>
            <w:r w:rsidRPr="00247F49">
              <w:rPr>
                <w:b/>
                <w:spacing w:val="-8"/>
                <w:sz w:val="20"/>
                <w:szCs w:val="20"/>
              </w:rPr>
              <w:t xml:space="preserve"> </w:t>
            </w:r>
            <w:r w:rsidRPr="00247F49">
              <w:rPr>
                <w:b/>
                <w:sz w:val="20"/>
                <w:szCs w:val="20"/>
              </w:rPr>
              <w:t>system</w:t>
            </w:r>
            <w:r w:rsidRPr="00247F49">
              <w:rPr>
                <w:b/>
                <w:spacing w:val="-7"/>
                <w:sz w:val="20"/>
                <w:szCs w:val="20"/>
              </w:rPr>
              <w:t xml:space="preserve"> </w:t>
            </w:r>
            <w:r w:rsidRPr="00247F49">
              <w:rPr>
                <w:b/>
                <w:spacing w:val="-2"/>
                <w:sz w:val="20"/>
                <w:szCs w:val="20"/>
              </w:rPr>
              <w:t>disorders</w:t>
            </w:r>
          </w:p>
        </w:tc>
      </w:tr>
      <w:tr w:rsidR="0019537C" w:rsidRPr="00247F49" w14:paraId="2732B951" w14:textId="77777777" w:rsidTr="00A3585E">
        <w:trPr>
          <w:trHeight w:val="20"/>
        </w:trPr>
        <w:tc>
          <w:tcPr>
            <w:tcW w:w="4678" w:type="dxa"/>
          </w:tcPr>
          <w:p w14:paraId="494085C6" w14:textId="77777777" w:rsidR="0019537C" w:rsidRPr="00247F49" w:rsidRDefault="0019537C" w:rsidP="008B3CF0">
            <w:pPr>
              <w:keepNext/>
              <w:jc w:val="right"/>
              <w:rPr>
                <w:b/>
                <w:sz w:val="20"/>
                <w:szCs w:val="20"/>
              </w:rPr>
            </w:pPr>
            <w:r w:rsidRPr="00247F49">
              <w:rPr>
                <w:spacing w:val="-2"/>
                <w:sz w:val="20"/>
                <w:szCs w:val="20"/>
              </w:rPr>
              <w:t>Headache</w:t>
            </w:r>
          </w:p>
        </w:tc>
        <w:tc>
          <w:tcPr>
            <w:tcW w:w="2055" w:type="dxa"/>
          </w:tcPr>
          <w:p w14:paraId="4B58D63E" w14:textId="77777777" w:rsidR="0019537C" w:rsidRPr="00247F49" w:rsidRDefault="0019537C" w:rsidP="008B3CF0">
            <w:pPr>
              <w:keepNext/>
              <w:jc w:val="center"/>
              <w:rPr>
                <w:spacing w:val="-5"/>
                <w:sz w:val="20"/>
                <w:szCs w:val="20"/>
              </w:rPr>
            </w:pPr>
            <w:r w:rsidRPr="00247F49">
              <w:rPr>
                <w:spacing w:val="-5"/>
                <w:sz w:val="20"/>
                <w:szCs w:val="20"/>
              </w:rPr>
              <w:t>10</w:t>
            </w:r>
          </w:p>
        </w:tc>
        <w:tc>
          <w:tcPr>
            <w:tcW w:w="1904" w:type="dxa"/>
          </w:tcPr>
          <w:p w14:paraId="2A1FF625" w14:textId="77777777" w:rsidR="0019537C" w:rsidRPr="00247F49" w:rsidRDefault="0019537C" w:rsidP="008B3CF0">
            <w:pPr>
              <w:keepNext/>
              <w:jc w:val="center"/>
              <w:rPr>
                <w:spacing w:val="-2"/>
                <w:sz w:val="20"/>
                <w:szCs w:val="20"/>
              </w:rPr>
            </w:pPr>
            <w:r w:rsidRPr="00247F49">
              <w:rPr>
                <w:sz w:val="20"/>
                <w:szCs w:val="20"/>
              </w:rPr>
              <w:t>0</w:t>
            </w:r>
          </w:p>
        </w:tc>
      </w:tr>
    </w:tbl>
    <w:p w14:paraId="5FFC2407" w14:textId="04712BA5" w:rsidR="0019537C" w:rsidRPr="007A44DB" w:rsidRDefault="00061EED" w:rsidP="00A3585E">
      <w:pPr>
        <w:pStyle w:val="TableDescription"/>
      </w:pPr>
      <w:r>
        <w:t xml:space="preserve">Abbreviations: </w:t>
      </w:r>
      <w:r w:rsidR="0019537C" w:rsidRPr="00B76661">
        <w:t>CTCAE = Common Terminology Criteria for Adverse Events</w:t>
      </w:r>
      <w:r w:rsidR="0019537C" w:rsidRPr="00623225">
        <w:t>; DCO = data cut-off date</w:t>
      </w:r>
      <w:r w:rsidR="0019537C">
        <w:t>.</w:t>
      </w:r>
    </w:p>
    <w:p w14:paraId="66FF04F2" w14:textId="218C65B2" w:rsidR="0019537C" w:rsidRPr="00623225" w:rsidRDefault="0019537C" w:rsidP="00A3585E">
      <w:pPr>
        <w:pStyle w:val="TableDescription"/>
      </w:pPr>
      <w:r w:rsidRPr="00623225">
        <w:t xml:space="preserve">* </w:t>
      </w:r>
      <w:r w:rsidRPr="00623225">
        <w:tab/>
        <w:t>Grouped MedDRA Preferred Terms</w:t>
      </w:r>
    </w:p>
    <w:p w14:paraId="68C7D067" w14:textId="357B00AE" w:rsidR="0019537C" w:rsidRPr="00A3585E" w:rsidRDefault="0019537C" w:rsidP="00A3585E">
      <w:pPr>
        <w:pStyle w:val="TableDescription"/>
      </w:pPr>
      <w:r w:rsidRPr="00623225">
        <w:t>**</w:t>
      </w:r>
      <w:r w:rsidRPr="00623225">
        <w:tab/>
        <w:t>Grade 3 only (no Grade 4 occurred)</w:t>
      </w:r>
    </w:p>
    <w:p w14:paraId="5492DC1A" w14:textId="4335EBC8" w:rsidR="0019537C" w:rsidRPr="00B10E47" w:rsidRDefault="0019537C" w:rsidP="00A3585E">
      <w:pPr>
        <w:pStyle w:val="TableTitle"/>
      </w:pPr>
      <w:bookmarkStart w:id="114" w:name="_Ref101969325"/>
      <w:r w:rsidRPr="00B10E47">
        <w:lastRenderedPageBreak/>
        <w:t xml:space="preserve">Table </w:t>
      </w:r>
      <w:r w:rsidR="003F5EF5">
        <w:fldChar w:fldCharType="begin"/>
      </w:r>
      <w:r w:rsidR="003F5EF5">
        <w:instrText xml:space="preserve"> SEQ Table \* ARABIC </w:instrText>
      </w:r>
      <w:r w:rsidR="003F5EF5">
        <w:fldChar w:fldCharType="separate"/>
      </w:r>
      <w:r w:rsidR="00301E36">
        <w:rPr>
          <w:noProof/>
        </w:rPr>
        <w:t>15</w:t>
      </w:r>
      <w:r w:rsidR="003F5EF5">
        <w:rPr>
          <w:noProof/>
        </w:rPr>
        <w:fldChar w:fldCharType="end"/>
      </w:r>
      <w:bookmarkEnd w:id="114"/>
      <w:r w:rsidRPr="00B10E47">
        <w:t xml:space="preserve">. </w:t>
      </w:r>
      <w:r w:rsidR="00061EED">
        <w:t xml:space="preserve">Study AP32788-15-101 </w:t>
      </w:r>
      <w:r w:rsidRPr="00B10E47">
        <w:t xml:space="preserve">Select laboratory abnormalities worsening </w:t>
      </w:r>
      <w:r w:rsidR="004659AE">
        <w:t>from Baseline</w:t>
      </w:r>
      <w:r w:rsidRPr="00B10E47">
        <w:t xml:space="preserve"> in ≥</w:t>
      </w:r>
      <w:r w:rsidR="00A3585E">
        <w:t xml:space="preserve"> </w:t>
      </w:r>
      <w:r w:rsidRPr="00B10E47">
        <w:t>20% (primary safety population</w:t>
      </w:r>
      <w:r w:rsidR="00061EED">
        <w:t xml:space="preserve">; </w:t>
      </w:r>
      <w:r w:rsidR="00A3585E">
        <w:t>data cut off 29</w:t>
      </w:r>
      <w:r w:rsidR="00A3585E" w:rsidRPr="004F76DC">
        <w:t xml:space="preserve"> </w:t>
      </w:r>
      <w:r w:rsidR="00A3585E">
        <w:t>May 2020)</w:t>
      </w:r>
    </w:p>
    <w:tbl>
      <w:tblPr>
        <w:tblStyle w:val="TableTGAblue"/>
        <w:tblW w:w="8789" w:type="dxa"/>
        <w:tblLayout w:type="fixed"/>
        <w:tblLook w:val="01E0" w:firstRow="1" w:lastRow="1" w:firstColumn="1" w:lastColumn="1" w:noHBand="0" w:noVBand="0"/>
      </w:tblPr>
      <w:tblGrid>
        <w:gridCol w:w="5670"/>
        <w:gridCol w:w="1560"/>
        <w:gridCol w:w="1559"/>
      </w:tblGrid>
      <w:tr w:rsidR="0019537C" w:rsidRPr="00247F49" w14:paraId="5D80F198" w14:textId="77777777" w:rsidTr="00247F49">
        <w:trPr>
          <w:cnfStyle w:val="100000000000" w:firstRow="1" w:lastRow="0" w:firstColumn="0" w:lastColumn="0" w:oddVBand="0" w:evenVBand="0" w:oddHBand="0" w:evenHBand="0" w:firstRowFirstColumn="0" w:firstRowLastColumn="0" w:lastRowFirstColumn="0" w:lastRowLastColumn="0"/>
          <w:trHeight w:val="626"/>
        </w:trPr>
        <w:tc>
          <w:tcPr>
            <w:tcW w:w="5670" w:type="dxa"/>
          </w:tcPr>
          <w:p w14:paraId="2112C5BC" w14:textId="77777777" w:rsidR="0019537C" w:rsidRPr="00247F49" w:rsidRDefault="0019537C" w:rsidP="008B3CF0">
            <w:pPr>
              <w:rPr>
                <w:b w:val="0"/>
                <w:bCs/>
                <w:sz w:val="20"/>
                <w:szCs w:val="20"/>
              </w:rPr>
            </w:pPr>
            <w:r w:rsidRPr="00247F49">
              <w:rPr>
                <w:bCs/>
                <w:sz w:val="20"/>
                <w:szCs w:val="20"/>
              </w:rPr>
              <w:t>Laboratory abnormality</w:t>
            </w:r>
          </w:p>
        </w:tc>
        <w:tc>
          <w:tcPr>
            <w:tcW w:w="3119" w:type="dxa"/>
            <w:gridSpan w:val="2"/>
          </w:tcPr>
          <w:p w14:paraId="6838938A" w14:textId="77777777" w:rsidR="0019537C" w:rsidRPr="00247F49" w:rsidRDefault="0019537C" w:rsidP="008B3CF0">
            <w:pPr>
              <w:jc w:val="center"/>
              <w:rPr>
                <w:b w:val="0"/>
                <w:bCs/>
                <w:color w:val="FF0000"/>
                <w:sz w:val="20"/>
                <w:szCs w:val="20"/>
              </w:rPr>
            </w:pPr>
            <w:r w:rsidRPr="00247F49">
              <w:rPr>
                <w:bCs/>
                <w:sz w:val="20"/>
                <w:szCs w:val="20"/>
              </w:rPr>
              <w:t>Primary safety population (n=114)</w:t>
            </w:r>
          </w:p>
        </w:tc>
      </w:tr>
      <w:tr w:rsidR="0019537C" w:rsidRPr="00247F49" w14:paraId="725B08E5" w14:textId="77777777" w:rsidTr="00247F49">
        <w:trPr>
          <w:trHeight w:val="562"/>
        </w:trPr>
        <w:tc>
          <w:tcPr>
            <w:tcW w:w="5670" w:type="dxa"/>
          </w:tcPr>
          <w:p w14:paraId="36C1339A" w14:textId="77777777" w:rsidR="0019537C" w:rsidRPr="00247F49" w:rsidRDefault="0019537C" w:rsidP="008B3CF0">
            <w:pPr>
              <w:keepNext/>
              <w:jc w:val="right"/>
              <w:rPr>
                <w:b/>
                <w:bCs/>
                <w:sz w:val="20"/>
                <w:szCs w:val="20"/>
              </w:rPr>
            </w:pPr>
          </w:p>
        </w:tc>
        <w:tc>
          <w:tcPr>
            <w:tcW w:w="1560" w:type="dxa"/>
          </w:tcPr>
          <w:p w14:paraId="2CE57D8D" w14:textId="77777777" w:rsidR="0019537C" w:rsidRPr="00247F49" w:rsidRDefault="0019537C" w:rsidP="008B3CF0">
            <w:pPr>
              <w:keepNext/>
              <w:jc w:val="center"/>
              <w:rPr>
                <w:b/>
                <w:bCs/>
                <w:sz w:val="20"/>
                <w:szCs w:val="20"/>
              </w:rPr>
            </w:pPr>
            <w:r w:rsidRPr="00247F49">
              <w:rPr>
                <w:b/>
                <w:bCs/>
                <w:sz w:val="20"/>
                <w:szCs w:val="20"/>
              </w:rPr>
              <w:t>All grades (%)*</w:t>
            </w:r>
          </w:p>
        </w:tc>
        <w:tc>
          <w:tcPr>
            <w:tcW w:w="1559" w:type="dxa"/>
          </w:tcPr>
          <w:p w14:paraId="7B0E658F" w14:textId="77777777" w:rsidR="0019537C" w:rsidRPr="00247F49" w:rsidRDefault="0019537C" w:rsidP="008B3CF0">
            <w:pPr>
              <w:keepNext/>
              <w:jc w:val="center"/>
              <w:rPr>
                <w:b/>
                <w:bCs/>
                <w:sz w:val="20"/>
                <w:szCs w:val="20"/>
              </w:rPr>
            </w:pPr>
            <w:r w:rsidRPr="00247F49">
              <w:rPr>
                <w:b/>
                <w:bCs/>
                <w:sz w:val="20"/>
                <w:szCs w:val="20"/>
              </w:rPr>
              <w:t>Grade 3-4 (%)</w:t>
            </w:r>
          </w:p>
        </w:tc>
      </w:tr>
      <w:tr w:rsidR="0019537C" w:rsidRPr="00247F49" w14:paraId="76CDB3C8" w14:textId="77777777" w:rsidTr="00A3585E">
        <w:trPr>
          <w:trHeight w:val="20"/>
        </w:trPr>
        <w:tc>
          <w:tcPr>
            <w:tcW w:w="8789" w:type="dxa"/>
            <w:gridSpan w:val="3"/>
          </w:tcPr>
          <w:p w14:paraId="29713367" w14:textId="77777777" w:rsidR="0019537C" w:rsidRPr="00247F49" w:rsidRDefault="0019537C" w:rsidP="008B3CF0">
            <w:pPr>
              <w:keepNext/>
              <w:rPr>
                <w:i/>
                <w:iCs/>
                <w:sz w:val="20"/>
                <w:szCs w:val="20"/>
              </w:rPr>
            </w:pPr>
            <w:r w:rsidRPr="00247F49">
              <w:rPr>
                <w:b/>
                <w:spacing w:val="-2"/>
                <w:sz w:val="20"/>
                <w:szCs w:val="20"/>
              </w:rPr>
              <w:t>Haematology</w:t>
            </w:r>
          </w:p>
        </w:tc>
      </w:tr>
      <w:tr w:rsidR="0019537C" w:rsidRPr="00247F49" w14:paraId="4C330625" w14:textId="77777777" w:rsidTr="00A3585E">
        <w:trPr>
          <w:trHeight w:val="20"/>
        </w:trPr>
        <w:tc>
          <w:tcPr>
            <w:tcW w:w="5670" w:type="dxa"/>
          </w:tcPr>
          <w:p w14:paraId="4C76F6CB" w14:textId="77777777" w:rsidR="0019537C" w:rsidRPr="00247F49" w:rsidRDefault="0019537C" w:rsidP="008B3CF0">
            <w:pPr>
              <w:keepNext/>
              <w:jc w:val="right"/>
              <w:rPr>
                <w:sz w:val="20"/>
                <w:szCs w:val="20"/>
              </w:rPr>
            </w:pPr>
            <w:r w:rsidRPr="00247F49">
              <w:rPr>
                <w:sz w:val="20"/>
                <w:szCs w:val="20"/>
              </w:rPr>
              <w:t>Decreased red blood cells</w:t>
            </w:r>
          </w:p>
        </w:tc>
        <w:tc>
          <w:tcPr>
            <w:tcW w:w="1560" w:type="dxa"/>
          </w:tcPr>
          <w:p w14:paraId="0AE69C65" w14:textId="77777777" w:rsidR="0019537C" w:rsidRPr="00247F49" w:rsidRDefault="0019537C" w:rsidP="008B3CF0">
            <w:pPr>
              <w:keepNext/>
              <w:jc w:val="center"/>
              <w:rPr>
                <w:sz w:val="20"/>
                <w:szCs w:val="20"/>
              </w:rPr>
            </w:pPr>
            <w:r w:rsidRPr="00247F49">
              <w:rPr>
                <w:sz w:val="20"/>
                <w:szCs w:val="20"/>
              </w:rPr>
              <w:t>59</w:t>
            </w:r>
          </w:p>
        </w:tc>
        <w:tc>
          <w:tcPr>
            <w:tcW w:w="1559" w:type="dxa"/>
          </w:tcPr>
          <w:p w14:paraId="4C0A8F94" w14:textId="77777777" w:rsidR="0019537C" w:rsidRPr="00247F49" w:rsidRDefault="0019537C" w:rsidP="008B3CF0">
            <w:pPr>
              <w:keepNext/>
              <w:jc w:val="center"/>
              <w:rPr>
                <w:sz w:val="20"/>
                <w:szCs w:val="20"/>
              </w:rPr>
            </w:pPr>
            <w:r w:rsidRPr="00247F49">
              <w:rPr>
                <w:sz w:val="20"/>
                <w:szCs w:val="20"/>
              </w:rPr>
              <w:t>3.5</w:t>
            </w:r>
          </w:p>
        </w:tc>
      </w:tr>
      <w:tr w:rsidR="0019537C" w:rsidRPr="00247F49" w14:paraId="7E68D310" w14:textId="77777777" w:rsidTr="00A3585E">
        <w:trPr>
          <w:trHeight w:val="20"/>
        </w:trPr>
        <w:tc>
          <w:tcPr>
            <w:tcW w:w="5670" w:type="dxa"/>
          </w:tcPr>
          <w:p w14:paraId="5C7F8A10" w14:textId="77777777" w:rsidR="0019537C" w:rsidRPr="00247F49" w:rsidRDefault="0019537C" w:rsidP="008B3CF0">
            <w:pPr>
              <w:keepNext/>
              <w:jc w:val="right"/>
              <w:rPr>
                <w:sz w:val="20"/>
                <w:szCs w:val="20"/>
              </w:rPr>
            </w:pPr>
            <w:r w:rsidRPr="00247F49">
              <w:rPr>
                <w:sz w:val="20"/>
                <w:szCs w:val="20"/>
              </w:rPr>
              <w:t>Decreased lymphocytes</w:t>
            </w:r>
          </w:p>
        </w:tc>
        <w:tc>
          <w:tcPr>
            <w:tcW w:w="1560" w:type="dxa"/>
          </w:tcPr>
          <w:p w14:paraId="23E072BD" w14:textId="77777777" w:rsidR="0019537C" w:rsidRPr="00247F49" w:rsidRDefault="0019537C" w:rsidP="008B3CF0">
            <w:pPr>
              <w:keepNext/>
              <w:jc w:val="center"/>
              <w:rPr>
                <w:sz w:val="20"/>
                <w:szCs w:val="20"/>
              </w:rPr>
            </w:pPr>
            <w:r w:rsidRPr="00247F49">
              <w:rPr>
                <w:sz w:val="20"/>
                <w:szCs w:val="20"/>
              </w:rPr>
              <w:t>52</w:t>
            </w:r>
          </w:p>
        </w:tc>
        <w:tc>
          <w:tcPr>
            <w:tcW w:w="1559" w:type="dxa"/>
          </w:tcPr>
          <w:p w14:paraId="749E77DA" w14:textId="77777777" w:rsidR="0019537C" w:rsidRPr="00247F49" w:rsidRDefault="0019537C" w:rsidP="008B3CF0">
            <w:pPr>
              <w:keepNext/>
              <w:jc w:val="center"/>
              <w:rPr>
                <w:sz w:val="20"/>
                <w:szCs w:val="20"/>
              </w:rPr>
            </w:pPr>
            <w:r w:rsidRPr="00247F49">
              <w:rPr>
                <w:sz w:val="20"/>
                <w:szCs w:val="20"/>
              </w:rPr>
              <w:t>15</w:t>
            </w:r>
          </w:p>
        </w:tc>
      </w:tr>
      <w:tr w:rsidR="0019537C" w:rsidRPr="00247F49" w14:paraId="5BE51EDD" w14:textId="77777777" w:rsidTr="00A3585E">
        <w:trPr>
          <w:trHeight w:val="20"/>
        </w:trPr>
        <w:tc>
          <w:tcPr>
            <w:tcW w:w="5670" w:type="dxa"/>
          </w:tcPr>
          <w:p w14:paraId="16760A2C" w14:textId="77777777" w:rsidR="0019537C" w:rsidRPr="00247F49" w:rsidRDefault="0019537C" w:rsidP="008B3CF0">
            <w:pPr>
              <w:keepNext/>
              <w:jc w:val="right"/>
              <w:rPr>
                <w:sz w:val="20"/>
                <w:szCs w:val="20"/>
              </w:rPr>
            </w:pPr>
            <w:r w:rsidRPr="00247F49">
              <w:rPr>
                <w:sz w:val="20"/>
                <w:szCs w:val="20"/>
              </w:rPr>
              <w:t>Decreased platelets</w:t>
            </w:r>
          </w:p>
        </w:tc>
        <w:tc>
          <w:tcPr>
            <w:tcW w:w="1560" w:type="dxa"/>
          </w:tcPr>
          <w:p w14:paraId="4970E91D" w14:textId="77777777" w:rsidR="0019537C" w:rsidRPr="00247F49" w:rsidRDefault="0019537C" w:rsidP="008B3CF0">
            <w:pPr>
              <w:keepNext/>
              <w:jc w:val="center"/>
              <w:rPr>
                <w:sz w:val="20"/>
                <w:szCs w:val="20"/>
              </w:rPr>
            </w:pPr>
            <w:r w:rsidRPr="00247F49">
              <w:rPr>
                <w:sz w:val="20"/>
                <w:szCs w:val="20"/>
              </w:rPr>
              <w:t>26</w:t>
            </w:r>
          </w:p>
        </w:tc>
        <w:tc>
          <w:tcPr>
            <w:tcW w:w="1559" w:type="dxa"/>
          </w:tcPr>
          <w:p w14:paraId="0BABE10B" w14:textId="77777777" w:rsidR="0019537C" w:rsidRPr="00247F49" w:rsidRDefault="0019537C" w:rsidP="008B3CF0">
            <w:pPr>
              <w:keepNext/>
              <w:jc w:val="center"/>
              <w:rPr>
                <w:sz w:val="20"/>
                <w:szCs w:val="20"/>
              </w:rPr>
            </w:pPr>
            <w:r w:rsidRPr="00247F49">
              <w:rPr>
                <w:sz w:val="20"/>
                <w:szCs w:val="20"/>
              </w:rPr>
              <w:t>0.9</w:t>
            </w:r>
          </w:p>
        </w:tc>
      </w:tr>
      <w:tr w:rsidR="0019537C" w:rsidRPr="00247F49" w14:paraId="1C676FC2" w14:textId="77777777" w:rsidTr="00A3585E">
        <w:trPr>
          <w:trHeight w:val="20"/>
        </w:trPr>
        <w:tc>
          <w:tcPr>
            <w:tcW w:w="5670" w:type="dxa"/>
          </w:tcPr>
          <w:p w14:paraId="7FDDE324" w14:textId="77777777" w:rsidR="0019537C" w:rsidRPr="00247F49" w:rsidRDefault="0019537C" w:rsidP="008B3CF0">
            <w:pPr>
              <w:keepNext/>
              <w:jc w:val="right"/>
              <w:rPr>
                <w:sz w:val="20"/>
                <w:szCs w:val="20"/>
              </w:rPr>
            </w:pPr>
            <w:r w:rsidRPr="00247F49">
              <w:rPr>
                <w:sz w:val="20"/>
                <w:szCs w:val="20"/>
              </w:rPr>
              <w:t>Decreased leukocytes</w:t>
            </w:r>
          </w:p>
        </w:tc>
        <w:tc>
          <w:tcPr>
            <w:tcW w:w="1560" w:type="dxa"/>
          </w:tcPr>
          <w:p w14:paraId="7E5FDAA1" w14:textId="77777777" w:rsidR="0019537C" w:rsidRPr="00247F49" w:rsidRDefault="0019537C" w:rsidP="008B3CF0">
            <w:pPr>
              <w:keepNext/>
              <w:jc w:val="center"/>
              <w:rPr>
                <w:sz w:val="20"/>
                <w:szCs w:val="20"/>
              </w:rPr>
            </w:pPr>
            <w:r w:rsidRPr="00247F49">
              <w:rPr>
                <w:sz w:val="20"/>
                <w:szCs w:val="20"/>
              </w:rPr>
              <w:t>25</w:t>
            </w:r>
          </w:p>
        </w:tc>
        <w:tc>
          <w:tcPr>
            <w:tcW w:w="1559" w:type="dxa"/>
          </w:tcPr>
          <w:p w14:paraId="3E534AC0" w14:textId="77777777" w:rsidR="0019537C" w:rsidRPr="00247F49" w:rsidRDefault="0019537C" w:rsidP="008B3CF0">
            <w:pPr>
              <w:keepNext/>
              <w:jc w:val="center"/>
              <w:rPr>
                <w:sz w:val="20"/>
                <w:szCs w:val="20"/>
              </w:rPr>
            </w:pPr>
            <w:r w:rsidRPr="00247F49">
              <w:rPr>
                <w:sz w:val="20"/>
                <w:szCs w:val="20"/>
              </w:rPr>
              <w:t>0</w:t>
            </w:r>
          </w:p>
        </w:tc>
      </w:tr>
      <w:tr w:rsidR="0019537C" w:rsidRPr="00247F49" w14:paraId="2AF85575" w14:textId="77777777" w:rsidTr="00A3585E">
        <w:trPr>
          <w:trHeight w:val="20"/>
        </w:trPr>
        <w:tc>
          <w:tcPr>
            <w:tcW w:w="8789" w:type="dxa"/>
            <w:gridSpan w:val="3"/>
          </w:tcPr>
          <w:p w14:paraId="47372E4F" w14:textId="77777777" w:rsidR="0019537C" w:rsidRPr="00247F49" w:rsidRDefault="0019537C" w:rsidP="008B3CF0">
            <w:pPr>
              <w:keepNext/>
              <w:rPr>
                <w:sz w:val="20"/>
                <w:szCs w:val="20"/>
              </w:rPr>
            </w:pPr>
            <w:r w:rsidRPr="00247F49">
              <w:rPr>
                <w:b/>
                <w:sz w:val="20"/>
                <w:szCs w:val="20"/>
              </w:rPr>
              <w:t>Chemistry</w:t>
            </w:r>
          </w:p>
        </w:tc>
      </w:tr>
      <w:tr w:rsidR="0019537C" w:rsidRPr="00247F49" w14:paraId="4561BB3B" w14:textId="77777777" w:rsidTr="00A3585E">
        <w:trPr>
          <w:trHeight w:val="20"/>
        </w:trPr>
        <w:tc>
          <w:tcPr>
            <w:tcW w:w="5670" w:type="dxa"/>
          </w:tcPr>
          <w:p w14:paraId="13F32B4B" w14:textId="77777777" w:rsidR="0019537C" w:rsidRPr="00247F49" w:rsidRDefault="0019537C" w:rsidP="008B3CF0">
            <w:pPr>
              <w:keepNext/>
              <w:jc w:val="right"/>
              <w:rPr>
                <w:sz w:val="20"/>
                <w:szCs w:val="20"/>
              </w:rPr>
            </w:pPr>
            <w:r w:rsidRPr="00247F49">
              <w:rPr>
                <w:sz w:val="20"/>
                <w:szCs w:val="20"/>
              </w:rPr>
              <w:t>Increased creatinine</w:t>
            </w:r>
          </w:p>
        </w:tc>
        <w:tc>
          <w:tcPr>
            <w:tcW w:w="1560" w:type="dxa"/>
          </w:tcPr>
          <w:p w14:paraId="72D0A227" w14:textId="77777777" w:rsidR="0019537C" w:rsidRPr="00247F49" w:rsidRDefault="0019537C" w:rsidP="008B3CF0">
            <w:pPr>
              <w:keepNext/>
              <w:jc w:val="center"/>
              <w:rPr>
                <w:sz w:val="20"/>
                <w:szCs w:val="20"/>
              </w:rPr>
            </w:pPr>
            <w:r w:rsidRPr="00247F49">
              <w:rPr>
                <w:sz w:val="20"/>
                <w:szCs w:val="20"/>
              </w:rPr>
              <w:t>52</w:t>
            </w:r>
          </w:p>
        </w:tc>
        <w:tc>
          <w:tcPr>
            <w:tcW w:w="1559" w:type="dxa"/>
          </w:tcPr>
          <w:p w14:paraId="48E99E11" w14:textId="77777777" w:rsidR="0019537C" w:rsidRPr="00247F49" w:rsidRDefault="0019537C" w:rsidP="008B3CF0">
            <w:pPr>
              <w:keepNext/>
              <w:jc w:val="center"/>
              <w:rPr>
                <w:sz w:val="20"/>
                <w:szCs w:val="20"/>
              </w:rPr>
            </w:pPr>
            <w:r w:rsidRPr="00247F49">
              <w:rPr>
                <w:sz w:val="20"/>
                <w:szCs w:val="20"/>
              </w:rPr>
              <w:t>2.7</w:t>
            </w:r>
          </w:p>
        </w:tc>
      </w:tr>
      <w:tr w:rsidR="0019537C" w:rsidRPr="00247F49" w14:paraId="3405074F" w14:textId="77777777" w:rsidTr="00A3585E">
        <w:trPr>
          <w:trHeight w:val="20"/>
        </w:trPr>
        <w:tc>
          <w:tcPr>
            <w:tcW w:w="5670" w:type="dxa"/>
          </w:tcPr>
          <w:p w14:paraId="5158A418" w14:textId="77777777" w:rsidR="0019537C" w:rsidRPr="00247F49" w:rsidRDefault="0019537C" w:rsidP="008B3CF0">
            <w:pPr>
              <w:keepNext/>
              <w:jc w:val="right"/>
              <w:rPr>
                <w:sz w:val="20"/>
                <w:szCs w:val="20"/>
              </w:rPr>
            </w:pPr>
            <w:r w:rsidRPr="00247F49">
              <w:rPr>
                <w:sz w:val="20"/>
                <w:szCs w:val="20"/>
              </w:rPr>
              <w:t>Increased amylase</w:t>
            </w:r>
          </w:p>
        </w:tc>
        <w:tc>
          <w:tcPr>
            <w:tcW w:w="1560" w:type="dxa"/>
          </w:tcPr>
          <w:p w14:paraId="509C0881" w14:textId="77777777" w:rsidR="0019537C" w:rsidRPr="00247F49" w:rsidRDefault="0019537C" w:rsidP="008B3CF0">
            <w:pPr>
              <w:keepNext/>
              <w:jc w:val="center"/>
              <w:rPr>
                <w:sz w:val="20"/>
                <w:szCs w:val="20"/>
              </w:rPr>
            </w:pPr>
            <w:r w:rsidRPr="00247F49">
              <w:rPr>
                <w:sz w:val="20"/>
                <w:szCs w:val="20"/>
              </w:rPr>
              <w:t>40</w:t>
            </w:r>
          </w:p>
        </w:tc>
        <w:tc>
          <w:tcPr>
            <w:tcW w:w="1559" w:type="dxa"/>
          </w:tcPr>
          <w:p w14:paraId="0CFF2A43" w14:textId="77777777" w:rsidR="0019537C" w:rsidRPr="00247F49" w:rsidRDefault="0019537C" w:rsidP="008B3CF0">
            <w:pPr>
              <w:keepNext/>
              <w:jc w:val="center"/>
              <w:rPr>
                <w:sz w:val="20"/>
                <w:szCs w:val="20"/>
              </w:rPr>
            </w:pPr>
            <w:r w:rsidRPr="00247F49">
              <w:rPr>
                <w:sz w:val="20"/>
                <w:szCs w:val="20"/>
              </w:rPr>
              <w:t>13</w:t>
            </w:r>
          </w:p>
        </w:tc>
      </w:tr>
      <w:tr w:rsidR="0019537C" w:rsidRPr="00247F49" w14:paraId="2CCA603A" w14:textId="77777777" w:rsidTr="00A3585E">
        <w:trPr>
          <w:trHeight w:val="20"/>
        </w:trPr>
        <w:tc>
          <w:tcPr>
            <w:tcW w:w="5670" w:type="dxa"/>
          </w:tcPr>
          <w:p w14:paraId="3FF639AA" w14:textId="77777777" w:rsidR="0019537C" w:rsidRPr="00247F49" w:rsidRDefault="0019537C" w:rsidP="008B3CF0">
            <w:pPr>
              <w:keepNext/>
              <w:jc w:val="right"/>
              <w:rPr>
                <w:sz w:val="20"/>
                <w:szCs w:val="20"/>
              </w:rPr>
            </w:pPr>
            <w:r w:rsidRPr="00247F49">
              <w:rPr>
                <w:sz w:val="20"/>
                <w:szCs w:val="20"/>
              </w:rPr>
              <w:t>Increased lipase</w:t>
            </w:r>
          </w:p>
        </w:tc>
        <w:tc>
          <w:tcPr>
            <w:tcW w:w="1560" w:type="dxa"/>
          </w:tcPr>
          <w:p w14:paraId="640F1209" w14:textId="77777777" w:rsidR="0019537C" w:rsidRPr="00247F49" w:rsidRDefault="0019537C" w:rsidP="008B3CF0">
            <w:pPr>
              <w:keepNext/>
              <w:jc w:val="center"/>
              <w:rPr>
                <w:sz w:val="20"/>
                <w:szCs w:val="20"/>
              </w:rPr>
            </w:pPr>
            <w:r w:rsidRPr="00247F49">
              <w:rPr>
                <w:sz w:val="20"/>
                <w:szCs w:val="20"/>
              </w:rPr>
              <w:t>35</w:t>
            </w:r>
          </w:p>
        </w:tc>
        <w:tc>
          <w:tcPr>
            <w:tcW w:w="1559" w:type="dxa"/>
          </w:tcPr>
          <w:p w14:paraId="3133D6F6" w14:textId="77777777" w:rsidR="0019537C" w:rsidRPr="00247F49" w:rsidRDefault="0019537C" w:rsidP="008B3CF0">
            <w:pPr>
              <w:keepNext/>
              <w:jc w:val="center"/>
              <w:rPr>
                <w:sz w:val="20"/>
                <w:szCs w:val="20"/>
              </w:rPr>
            </w:pPr>
            <w:r w:rsidRPr="00247F49">
              <w:rPr>
                <w:sz w:val="20"/>
                <w:szCs w:val="20"/>
              </w:rPr>
              <w:t>10</w:t>
            </w:r>
          </w:p>
        </w:tc>
      </w:tr>
      <w:tr w:rsidR="0019537C" w:rsidRPr="00247F49" w14:paraId="1FFDA286" w14:textId="77777777" w:rsidTr="00A3585E">
        <w:trPr>
          <w:trHeight w:val="20"/>
        </w:trPr>
        <w:tc>
          <w:tcPr>
            <w:tcW w:w="5670" w:type="dxa"/>
          </w:tcPr>
          <w:p w14:paraId="6ADA6822" w14:textId="77777777" w:rsidR="0019537C" w:rsidRPr="00247F49" w:rsidRDefault="0019537C" w:rsidP="008B3CF0">
            <w:pPr>
              <w:keepNext/>
              <w:jc w:val="right"/>
              <w:rPr>
                <w:sz w:val="20"/>
                <w:szCs w:val="20"/>
              </w:rPr>
            </w:pPr>
            <w:r w:rsidRPr="00247F49">
              <w:rPr>
                <w:sz w:val="20"/>
                <w:szCs w:val="20"/>
              </w:rPr>
              <w:t>Decreased potassium</w:t>
            </w:r>
          </w:p>
        </w:tc>
        <w:tc>
          <w:tcPr>
            <w:tcW w:w="1560" w:type="dxa"/>
          </w:tcPr>
          <w:p w14:paraId="57D9E31A" w14:textId="77777777" w:rsidR="0019537C" w:rsidRPr="00247F49" w:rsidRDefault="0019537C" w:rsidP="008B3CF0">
            <w:pPr>
              <w:keepNext/>
              <w:jc w:val="center"/>
              <w:rPr>
                <w:sz w:val="20"/>
                <w:szCs w:val="20"/>
              </w:rPr>
            </w:pPr>
            <w:r w:rsidRPr="00247F49">
              <w:rPr>
                <w:sz w:val="20"/>
                <w:szCs w:val="20"/>
              </w:rPr>
              <w:t>29</w:t>
            </w:r>
          </w:p>
        </w:tc>
        <w:tc>
          <w:tcPr>
            <w:tcW w:w="1559" w:type="dxa"/>
          </w:tcPr>
          <w:p w14:paraId="5CEA34EF" w14:textId="77777777" w:rsidR="0019537C" w:rsidRPr="00247F49" w:rsidRDefault="0019537C" w:rsidP="008B3CF0">
            <w:pPr>
              <w:keepNext/>
              <w:jc w:val="center"/>
              <w:rPr>
                <w:sz w:val="20"/>
                <w:szCs w:val="20"/>
              </w:rPr>
            </w:pPr>
            <w:r w:rsidRPr="00247F49">
              <w:rPr>
                <w:sz w:val="20"/>
                <w:szCs w:val="20"/>
              </w:rPr>
              <w:t>5.3</w:t>
            </w:r>
          </w:p>
        </w:tc>
      </w:tr>
      <w:tr w:rsidR="0019537C" w:rsidRPr="00247F49" w14:paraId="397B1E45" w14:textId="77777777" w:rsidTr="00A3585E">
        <w:trPr>
          <w:trHeight w:val="20"/>
        </w:trPr>
        <w:tc>
          <w:tcPr>
            <w:tcW w:w="5670" w:type="dxa"/>
          </w:tcPr>
          <w:p w14:paraId="60509F28" w14:textId="77777777" w:rsidR="0019537C" w:rsidRPr="00247F49" w:rsidRDefault="0019537C" w:rsidP="008B3CF0">
            <w:pPr>
              <w:keepNext/>
              <w:jc w:val="right"/>
              <w:rPr>
                <w:sz w:val="20"/>
                <w:szCs w:val="20"/>
              </w:rPr>
            </w:pPr>
            <w:r w:rsidRPr="00247F49">
              <w:rPr>
                <w:sz w:val="20"/>
                <w:szCs w:val="20"/>
              </w:rPr>
              <w:t>Increased alkaline phosphatase</w:t>
            </w:r>
          </w:p>
        </w:tc>
        <w:tc>
          <w:tcPr>
            <w:tcW w:w="1560" w:type="dxa"/>
          </w:tcPr>
          <w:p w14:paraId="0FF6AF61" w14:textId="77777777" w:rsidR="0019537C" w:rsidRPr="00247F49" w:rsidRDefault="0019537C" w:rsidP="008B3CF0">
            <w:pPr>
              <w:keepNext/>
              <w:jc w:val="center"/>
              <w:rPr>
                <w:sz w:val="20"/>
                <w:szCs w:val="20"/>
              </w:rPr>
            </w:pPr>
            <w:r w:rsidRPr="00247F49">
              <w:rPr>
                <w:sz w:val="20"/>
                <w:szCs w:val="20"/>
              </w:rPr>
              <w:t>25</w:t>
            </w:r>
          </w:p>
        </w:tc>
        <w:tc>
          <w:tcPr>
            <w:tcW w:w="1559" w:type="dxa"/>
          </w:tcPr>
          <w:p w14:paraId="05B2DAA8" w14:textId="77777777" w:rsidR="0019537C" w:rsidRPr="00247F49" w:rsidRDefault="0019537C" w:rsidP="008B3CF0">
            <w:pPr>
              <w:keepNext/>
              <w:jc w:val="center"/>
              <w:rPr>
                <w:sz w:val="20"/>
                <w:szCs w:val="20"/>
              </w:rPr>
            </w:pPr>
            <w:r w:rsidRPr="00247F49">
              <w:rPr>
                <w:sz w:val="20"/>
                <w:szCs w:val="20"/>
              </w:rPr>
              <w:t>1.8</w:t>
            </w:r>
          </w:p>
        </w:tc>
      </w:tr>
      <w:tr w:rsidR="0019537C" w:rsidRPr="00247F49" w14:paraId="6424CDC3" w14:textId="77777777" w:rsidTr="00A3585E">
        <w:trPr>
          <w:trHeight w:val="20"/>
        </w:trPr>
        <w:tc>
          <w:tcPr>
            <w:tcW w:w="5670" w:type="dxa"/>
          </w:tcPr>
          <w:p w14:paraId="43452298" w14:textId="77777777" w:rsidR="0019537C" w:rsidRPr="00247F49" w:rsidRDefault="0019537C" w:rsidP="008B3CF0">
            <w:pPr>
              <w:keepNext/>
              <w:jc w:val="right"/>
              <w:rPr>
                <w:sz w:val="20"/>
                <w:szCs w:val="20"/>
              </w:rPr>
            </w:pPr>
            <w:r w:rsidRPr="00247F49">
              <w:rPr>
                <w:sz w:val="20"/>
                <w:szCs w:val="20"/>
              </w:rPr>
              <w:t>Decreased albumin</w:t>
            </w:r>
          </w:p>
        </w:tc>
        <w:tc>
          <w:tcPr>
            <w:tcW w:w="1560" w:type="dxa"/>
          </w:tcPr>
          <w:p w14:paraId="4E4CFFC7" w14:textId="77777777" w:rsidR="0019537C" w:rsidRPr="00247F49" w:rsidRDefault="0019537C" w:rsidP="008B3CF0">
            <w:pPr>
              <w:keepNext/>
              <w:jc w:val="center"/>
              <w:rPr>
                <w:sz w:val="20"/>
                <w:szCs w:val="20"/>
              </w:rPr>
            </w:pPr>
            <w:r w:rsidRPr="00247F49">
              <w:rPr>
                <w:sz w:val="20"/>
                <w:szCs w:val="20"/>
              </w:rPr>
              <w:t>23</w:t>
            </w:r>
          </w:p>
        </w:tc>
        <w:tc>
          <w:tcPr>
            <w:tcW w:w="1559" w:type="dxa"/>
          </w:tcPr>
          <w:p w14:paraId="7AFD57F8" w14:textId="77777777" w:rsidR="0019537C" w:rsidRPr="00247F49" w:rsidRDefault="0019537C" w:rsidP="008B3CF0">
            <w:pPr>
              <w:keepNext/>
              <w:jc w:val="center"/>
              <w:rPr>
                <w:sz w:val="20"/>
                <w:szCs w:val="20"/>
              </w:rPr>
            </w:pPr>
            <w:r w:rsidRPr="00247F49">
              <w:rPr>
                <w:sz w:val="20"/>
                <w:szCs w:val="20"/>
              </w:rPr>
              <w:t>1.8</w:t>
            </w:r>
          </w:p>
        </w:tc>
      </w:tr>
      <w:tr w:rsidR="0019537C" w:rsidRPr="00247F49" w14:paraId="0A3FC643" w14:textId="77777777" w:rsidTr="00A3585E">
        <w:trPr>
          <w:trHeight w:val="20"/>
        </w:trPr>
        <w:tc>
          <w:tcPr>
            <w:tcW w:w="5670" w:type="dxa"/>
          </w:tcPr>
          <w:p w14:paraId="72F697AA" w14:textId="77777777" w:rsidR="0019537C" w:rsidRPr="00247F49" w:rsidRDefault="0019537C" w:rsidP="008B3CF0">
            <w:pPr>
              <w:keepNext/>
              <w:jc w:val="right"/>
              <w:rPr>
                <w:sz w:val="20"/>
                <w:szCs w:val="20"/>
              </w:rPr>
            </w:pPr>
            <w:r w:rsidRPr="00247F49">
              <w:rPr>
                <w:sz w:val="20"/>
                <w:szCs w:val="20"/>
              </w:rPr>
              <w:t>Decreased magnesium</w:t>
            </w:r>
          </w:p>
        </w:tc>
        <w:tc>
          <w:tcPr>
            <w:tcW w:w="1560" w:type="dxa"/>
          </w:tcPr>
          <w:p w14:paraId="79254F30" w14:textId="77777777" w:rsidR="0019537C" w:rsidRPr="00247F49" w:rsidRDefault="0019537C" w:rsidP="008B3CF0">
            <w:pPr>
              <w:keepNext/>
              <w:jc w:val="center"/>
              <w:rPr>
                <w:sz w:val="20"/>
                <w:szCs w:val="20"/>
              </w:rPr>
            </w:pPr>
            <w:r w:rsidRPr="00247F49">
              <w:rPr>
                <w:sz w:val="20"/>
                <w:szCs w:val="20"/>
              </w:rPr>
              <w:t>23</w:t>
            </w:r>
          </w:p>
        </w:tc>
        <w:tc>
          <w:tcPr>
            <w:tcW w:w="1559" w:type="dxa"/>
          </w:tcPr>
          <w:p w14:paraId="275BDD26" w14:textId="77777777" w:rsidR="0019537C" w:rsidRPr="00247F49" w:rsidRDefault="0019537C" w:rsidP="008B3CF0">
            <w:pPr>
              <w:keepNext/>
              <w:jc w:val="center"/>
              <w:rPr>
                <w:sz w:val="20"/>
                <w:szCs w:val="20"/>
              </w:rPr>
            </w:pPr>
            <w:r w:rsidRPr="00247F49">
              <w:rPr>
                <w:sz w:val="20"/>
                <w:szCs w:val="20"/>
              </w:rPr>
              <w:t>2.7</w:t>
            </w:r>
          </w:p>
        </w:tc>
      </w:tr>
      <w:tr w:rsidR="0019537C" w:rsidRPr="00247F49" w14:paraId="137DC590" w14:textId="77777777" w:rsidTr="00A3585E">
        <w:trPr>
          <w:trHeight w:val="20"/>
        </w:trPr>
        <w:tc>
          <w:tcPr>
            <w:tcW w:w="5670" w:type="dxa"/>
          </w:tcPr>
          <w:p w14:paraId="4BA5A872" w14:textId="77777777" w:rsidR="0019537C" w:rsidRPr="00247F49" w:rsidRDefault="0019537C" w:rsidP="008B3CF0">
            <w:pPr>
              <w:keepNext/>
              <w:jc w:val="right"/>
              <w:rPr>
                <w:sz w:val="20"/>
                <w:szCs w:val="20"/>
              </w:rPr>
            </w:pPr>
            <w:r w:rsidRPr="00247F49">
              <w:rPr>
                <w:sz w:val="20"/>
                <w:szCs w:val="20"/>
              </w:rPr>
              <w:t>Increased alanine aminotransferase</w:t>
            </w:r>
          </w:p>
        </w:tc>
        <w:tc>
          <w:tcPr>
            <w:tcW w:w="1560" w:type="dxa"/>
          </w:tcPr>
          <w:p w14:paraId="2D3BE86B" w14:textId="77777777" w:rsidR="0019537C" w:rsidRPr="00247F49" w:rsidRDefault="0019537C" w:rsidP="008B3CF0">
            <w:pPr>
              <w:keepNext/>
              <w:jc w:val="center"/>
              <w:rPr>
                <w:sz w:val="20"/>
                <w:szCs w:val="20"/>
              </w:rPr>
            </w:pPr>
            <w:r w:rsidRPr="00247F49">
              <w:rPr>
                <w:sz w:val="20"/>
                <w:szCs w:val="20"/>
              </w:rPr>
              <w:t>22</w:t>
            </w:r>
          </w:p>
        </w:tc>
        <w:tc>
          <w:tcPr>
            <w:tcW w:w="1559" w:type="dxa"/>
          </w:tcPr>
          <w:p w14:paraId="6E5023E4" w14:textId="77777777" w:rsidR="0019537C" w:rsidRPr="00247F49" w:rsidRDefault="0019537C" w:rsidP="008B3CF0">
            <w:pPr>
              <w:keepNext/>
              <w:jc w:val="center"/>
              <w:rPr>
                <w:sz w:val="20"/>
                <w:szCs w:val="20"/>
              </w:rPr>
            </w:pPr>
            <w:r w:rsidRPr="00247F49">
              <w:rPr>
                <w:sz w:val="20"/>
                <w:szCs w:val="20"/>
              </w:rPr>
              <w:t>2.7</w:t>
            </w:r>
          </w:p>
        </w:tc>
      </w:tr>
      <w:tr w:rsidR="0019537C" w:rsidRPr="00247F49" w14:paraId="6197AF36" w14:textId="77777777" w:rsidTr="00A3585E">
        <w:trPr>
          <w:trHeight w:val="20"/>
        </w:trPr>
        <w:tc>
          <w:tcPr>
            <w:tcW w:w="5670" w:type="dxa"/>
          </w:tcPr>
          <w:p w14:paraId="5B10CFCC" w14:textId="77777777" w:rsidR="0019537C" w:rsidRPr="00247F49" w:rsidRDefault="0019537C" w:rsidP="008B3CF0">
            <w:pPr>
              <w:keepNext/>
              <w:jc w:val="right"/>
              <w:rPr>
                <w:sz w:val="20"/>
                <w:szCs w:val="20"/>
              </w:rPr>
            </w:pPr>
            <w:r w:rsidRPr="00247F49">
              <w:rPr>
                <w:sz w:val="20"/>
                <w:szCs w:val="20"/>
              </w:rPr>
              <w:t>Increased aspartate aminotransferase</w:t>
            </w:r>
          </w:p>
        </w:tc>
        <w:tc>
          <w:tcPr>
            <w:tcW w:w="1560" w:type="dxa"/>
          </w:tcPr>
          <w:p w14:paraId="2F009E93" w14:textId="77777777" w:rsidR="0019537C" w:rsidRPr="00247F49" w:rsidRDefault="0019537C" w:rsidP="008B3CF0">
            <w:pPr>
              <w:keepNext/>
              <w:jc w:val="center"/>
              <w:rPr>
                <w:sz w:val="20"/>
                <w:szCs w:val="20"/>
              </w:rPr>
            </w:pPr>
            <w:r w:rsidRPr="00247F49">
              <w:rPr>
                <w:sz w:val="20"/>
                <w:szCs w:val="20"/>
              </w:rPr>
              <w:t>21</w:t>
            </w:r>
          </w:p>
        </w:tc>
        <w:tc>
          <w:tcPr>
            <w:tcW w:w="1559" w:type="dxa"/>
          </w:tcPr>
          <w:p w14:paraId="45D04299" w14:textId="77777777" w:rsidR="0019537C" w:rsidRPr="00247F49" w:rsidRDefault="0019537C" w:rsidP="008B3CF0">
            <w:pPr>
              <w:keepNext/>
              <w:jc w:val="center"/>
              <w:rPr>
                <w:sz w:val="20"/>
                <w:szCs w:val="20"/>
              </w:rPr>
            </w:pPr>
            <w:r w:rsidRPr="00247F49">
              <w:rPr>
                <w:sz w:val="20"/>
                <w:szCs w:val="20"/>
              </w:rPr>
              <w:t>1.8</w:t>
            </w:r>
          </w:p>
        </w:tc>
      </w:tr>
      <w:tr w:rsidR="0019537C" w:rsidRPr="00247F49" w14:paraId="14DF3D35" w14:textId="77777777" w:rsidTr="00A3585E">
        <w:trPr>
          <w:trHeight w:val="20"/>
        </w:trPr>
        <w:tc>
          <w:tcPr>
            <w:tcW w:w="5670" w:type="dxa"/>
          </w:tcPr>
          <w:p w14:paraId="13299D56" w14:textId="77777777" w:rsidR="0019537C" w:rsidRPr="00247F49" w:rsidRDefault="0019537C" w:rsidP="008B3CF0">
            <w:pPr>
              <w:keepNext/>
              <w:jc w:val="right"/>
              <w:rPr>
                <w:sz w:val="20"/>
                <w:szCs w:val="20"/>
              </w:rPr>
            </w:pPr>
            <w:r w:rsidRPr="00247F49">
              <w:rPr>
                <w:sz w:val="20"/>
                <w:szCs w:val="20"/>
              </w:rPr>
              <w:t>Decreased sodium</w:t>
            </w:r>
          </w:p>
        </w:tc>
        <w:tc>
          <w:tcPr>
            <w:tcW w:w="1560" w:type="dxa"/>
          </w:tcPr>
          <w:p w14:paraId="3E85A33D" w14:textId="77777777" w:rsidR="0019537C" w:rsidRPr="00247F49" w:rsidRDefault="0019537C" w:rsidP="008B3CF0">
            <w:pPr>
              <w:keepNext/>
              <w:jc w:val="center"/>
              <w:rPr>
                <w:sz w:val="20"/>
                <w:szCs w:val="20"/>
              </w:rPr>
            </w:pPr>
            <w:r w:rsidRPr="00247F49">
              <w:rPr>
                <w:sz w:val="20"/>
                <w:szCs w:val="20"/>
              </w:rPr>
              <w:t>20</w:t>
            </w:r>
          </w:p>
        </w:tc>
        <w:tc>
          <w:tcPr>
            <w:tcW w:w="1559" w:type="dxa"/>
          </w:tcPr>
          <w:p w14:paraId="27D44170" w14:textId="77777777" w:rsidR="0019537C" w:rsidRPr="00247F49" w:rsidRDefault="0019537C" w:rsidP="008B3CF0">
            <w:pPr>
              <w:keepNext/>
              <w:jc w:val="center"/>
              <w:rPr>
                <w:sz w:val="20"/>
                <w:szCs w:val="20"/>
              </w:rPr>
            </w:pPr>
            <w:r w:rsidRPr="00247F49">
              <w:rPr>
                <w:sz w:val="20"/>
                <w:szCs w:val="20"/>
              </w:rPr>
              <w:t>0.9</w:t>
            </w:r>
          </w:p>
        </w:tc>
      </w:tr>
    </w:tbl>
    <w:p w14:paraId="533BD3B9" w14:textId="77F1A08D" w:rsidR="0019537C" w:rsidRPr="00A3585E" w:rsidRDefault="0019537C" w:rsidP="00A3585E">
      <w:pPr>
        <w:pStyle w:val="TableDescription"/>
      </w:pPr>
      <w:r w:rsidRPr="00A3585E">
        <w:t xml:space="preserve">* The denominator used to calculate the rate varied from 93 to 113 based on the number of patients with a baseline and at least one post-treatment value. The laboratory abnormalities are values that reflect worsening </w:t>
      </w:r>
      <w:r w:rsidR="004659AE">
        <w:t>from Baseline</w:t>
      </w:r>
      <w:r w:rsidRPr="00A3585E">
        <w:t>.</w:t>
      </w:r>
    </w:p>
    <w:p w14:paraId="39364643" w14:textId="77777777" w:rsidR="0019537C" w:rsidRPr="00A3585E" w:rsidRDefault="0019537C" w:rsidP="00A3585E">
      <w:pPr>
        <w:pStyle w:val="Heading5"/>
      </w:pPr>
      <w:bookmarkStart w:id="115" w:name="_Ref96441858"/>
      <w:r w:rsidRPr="00A3585E">
        <w:t>Serious adverse events</w:t>
      </w:r>
      <w:bookmarkEnd w:id="115"/>
    </w:p>
    <w:p w14:paraId="72323AF3" w14:textId="41D79D6C" w:rsidR="0019537C" w:rsidRPr="00DA7BE9" w:rsidRDefault="0019537C" w:rsidP="0019537C">
      <w:r w:rsidRPr="00DA7BE9">
        <w:t xml:space="preserve">Serious adverse events were defined in the protocol </w:t>
      </w:r>
      <w:r>
        <w:t>as AEs that fulfil any of these critera</w:t>
      </w:r>
      <w:r w:rsidRPr="00DA7BE9">
        <w:t>:</w:t>
      </w:r>
    </w:p>
    <w:p w14:paraId="0C0C687A" w14:textId="733BB48C" w:rsidR="0019537C" w:rsidRPr="00A3585E" w:rsidRDefault="0019537C" w:rsidP="00A3585E">
      <w:pPr>
        <w:pStyle w:val="ListBullet"/>
        <w:rPr>
          <w:color w:val="auto"/>
        </w:rPr>
      </w:pPr>
      <w:r w:rsidRPr="00A3585E">
        <w:rPr>
          <w:color w:val="auto"/>
        </w:rPr>
        <w:t>Fatal or life</w:t>
      </w:r>
      <w:r w:rsidR="00247F49">
        <w:rPr>
          <w:color w:val="auto"/>
        </w:rPr>
        <w:t xml:space="preserve"> </w:t>
      </w:r>
      <w:r w:rsidRPr="00A3585E">
        <w:rPr>
          <w:color w:val="auto"/>
        </w:rPr>
        <w:t>threatening</w:t>
      </w:r>
    </w:p>
    <w:p w14:paraId="5310CEE2" w14:textId="77777777" w:rsidR="0019537C" w:rsidRPr="00A3585E" w:rsidRDefault="0019537C" w:rsidP="00A3585E">
      <w:pPr>
        <w:pStyle w:val="ListBullet"/>
        <w:rPr>
          <w:color w:val="auto"/>
        </w:rPr>
      </w:pPr>
      <w:r w:rsidRPr="00A3585E">
        <w:rPr>
          <w:color w:val="auto"/>
        </w:rPr>
        <w:t>Results in persistent or significant disability or incapacity</w:t>
      </w:r>
    </w:p>
    <w:p w14:paraId="46DDA7A4" w14:textId="77777777" w:rsidR="0019537C" w:rsidRPr="00A3585E" w:rsidRDefault="0019537C" w:rsidP="00A3585E">
      <w:pPr>
        <w:pStyle w:val="ListBullet"/>
        <w:rPr>
          <w:color w:val="auto"/>
        </w:rPr>
      </w:pPr>
      <w:r w:rsidRPr="00A3585E">
        <w:rPr>
          <w:color w:val="auto"/>
        </w:rPr>
        <w:t>Requires inpatient hospitalisation or prolongation of existing hospitalisation</w:t>
      </w:r>
    </w:p>
    <w:p w14:paraId="40751BDD" w14:textId="77777777" w:rsidR="0019537C" w:rsidRPr="00A3585E" w:rsidRDefault="0019537C" w:rsidP="00A3585E">
      <w:pPr>
        <w:pStyle w:val="ListBullet"/>
        <w:rPr>
          <w:color w:val="auto"/>
        </w:rPr>
      </w:pPr>
      <w:r w:rsidRPr="00A3585E">
        <w:rPr>
          <w:color w:val="auto"/>
        </w:rPr>
        <w:t>Congenital anomalies/birth defects</w:t>
      </w:r>
    </w:p>
    <w:p w14:paraId="67BACC98" w14:textId="77777777" w:rsidR="0019537C" w:rsidRPr="00A3585E" w:rsidRDefault="0019537C" w:rsidP="00A3585E">
      <w:pPr>
        <w:pStyle w:val="ListBullet"/>
        <w:rPr>
          <w:color w:val="auto"/>
        </w:rPr>
      </w:pPr>
      <w:r w:rsidRPr="00A3585E">
        <w:rPr>
          <w:color w:val="auto"/>
        </w:rPr>
        <w:t>New primary cancer</w:t>
      </w:r>
    </w:p>
    <w:p w14:paraId="0447BEDC" w14:textId="77777777" w:rsidR="0019537C" w:rsidRPr="00A3585E" w:rsidRDefault="0019537C" w:rsidP="00A3585E">
      <w:pPr>
        <w:pStyle w:val="ListBullet"/>
        <w:rPr>
          <w:color w:val="auto"/>
        </w:rPr>
      </w:pPr>
      <w:r w:rsidRPr="00A3585E">
        <w:rPr>
          <w:color w:val="auto"/>
        </w:rPr>
        <w:t>Important medical event</w:t>
      </w:r>
    </w:p>
    <w:p w14:paraId="4F71B704" w14:textId="548A5FF6" w:rsidR="0019537C" w:rsidRPr="00AF1942" w:rsidRDefault="00A3585E" w:rsidP="0019537C">
      <w:r w:rsidRPr="00DA7BE9">
        <w:t xml:space="preserve">Serious adverse events </w:t>
      </w:r>
      <w:r w:rsidR="0019537C" w:rsidRPr="005B15A1">
        <w:t>occurr</w:t>
      </w:r>
      <w:r w:rsidR="0019537C">
        <w:t>ed</w:t>
      </w:r>
      <w:r w:rsidR="0019537C" w:rsidRPr="005B15A1">
        <w:t xml:space="preserve"> in </w:t>
      </w:r>
      <w:r w:rsidR="0019537C">
        <w:t xml:space="preserve">41% of patients </w:t>
      </w:r>
      <w:r w:rsidR="0019537C" w:rsidRPr="005B15A1">
        <w:t>in the pooled safety population</w:t>
      </w:r>
      <w:r w:rsidR="0019537C">
        <w:t xml:space="preserve">, and </w:t>
      </w:r>
      <w:r w:rsidRPr="00DA7BE9">
        <w:t xml:space="preserve">Serious adverse events </w:t>
      </w:r>
      <w:r w:rsidR="0019537C">
        <w:t>that occurred</w:t>
      </w:r>
      <w:r w:rsidR="0019537C" w:rsidRPr="005B15A1">
        <w:t xml:space="preserve"> </w:t>
      </w:r>
      <w:r w:rsidR="0019537C">
        <w:t xml:space="preserve">in </w:t>
      </w:r>
      <w:r>
        <w:t xml:space="preserve">greater or equal to </w:t>
      </w:r>
      <w:r w:rsidR="0019537C" w:rsidRPr="005B15A1">
        <w:t xml:space="preserve">2% </w:t>
      </w:r>
      <w:r>
        <w:t xml:space="preserve">of patients </w:t>
      </w:r>
      <w:r w:rsidR="0019537C">
        <w:t>(ac</w:t>
      </w:r>
      <w:r w:rsidR="0019537C" w:rsidRPr="005B15A1">
        <w:t xml:space="preserve">cording to the </w:t>
      </w:r>
      <w:r w:rsidR="0019537C">
        <w:t xml:space="preserve">term groupings used for the </w:t>
      </w:r>
      <w:r w:rsidR="0019537C" w:rsidRPr="005B15A1">
        <w:t>regulatory safety review</w:t>
      </w:r>
      <w:r w:rsidR="0019537C">
        <w:t>)</w:t>
      </w:r>
      <w:r w:rsidR="0019537C" w:rsidRPr="005B15A1">
        <w:t xml:space="preserve"> included diarrhoea</w:t>
      </w:r>
      <w:r w:rsidR="0019537C">
        <w:t xml:space="preserve"> (GT)</w:t>
      </w:r>
      <w:r w:rsidR="0019537C" w:rsidRPr="005B15A1">
        <w:t>, dyspnoea, vomiting, pyrexia, acute kidney injury</w:t>
      </w:r>
      <w:r w:rsidR="0019537C">
        <w:t xml:space="preserve"> (GT)</w:t>
      </w:r>
      <w:r w:rsidR="0019537C" w:rsidRPr="005B15A1">
        <w:t>, nausea, pleural effusion</w:t>
      </w:r>
      <w:r w:rsidR="0019537C">
        <w:t xml:space="preserve"> (GT)</w:t>
      </w:r>
      <w:r w:rsidR="0019537C" w:rsidRPr="005B15A1">
        <w:t>, and cardiac failure</w:t>
      </w:r>
      <w:r w:rsidR="0019537C">
        <w:t xml:space="preserve"> (GT)</w:t>
      </w:r>
      <w:r w:rsidR="0019537C" w:rsidRPr="005B15A1">
        <w:t xml:space="preserve">. </w:t>
      </w:r>
      <w:r w:rsidR="0019537C">
        <w:t>The most common SAE was diarrhoea, occurring in 8% of patients.</w:t>
      </w:r>
    </w:p>
    <w:p w14:paraId="5886FE07" w14:textId="0AFCBB5E" w:rsidR="0019537C" w:rsidRPr="00A3585E" w:rsidRDefault="0019537C" w:rsidP="00A3585E">
      <w:pPr>
        <w:pStyle w:val="Heading5"/>
      </w:pPr>
      <w:r w:rsidRPr="00A3585E">
        <w:t>Adverse event of special interest</w:t>
      </w:r>
    </w:p>
    <w:p w14:paraId="4DCC29C2" w14:textId="5F3DDFD1" w:rsidR="0019537C" w:rsidRPr="00046F75" w:rsidRDefault="0019537C" w:rsidP="0019537C">
      <w:r>
        <w:t xml:space="preserve">The mechanism of action of mobocertinib is similar to other EGFR TKIs. The </w:t>
      </w:r>
      <w:r w:rsidR="00A3585E">
        <w:t>a</w:t>
      </w:r>
      <w:r w:rsidR="00A3585E" w:rsidRPr="00A3585E">
        <w:t>dverse events of special interest</w:t>
      </w:r>
      <w:r>
        <w:t xml:space="preserve"> nominated by the </w:t>
      </w:r>
      <w:r w:rsidR="00A3585E">
        <w:t>s</w:t>
      </w:r>
      <w:r>
        <w:t>ponsor in designing the trial were therefore based on the known toxicities of other EGFR TKIs, including pneumonitis/interstitial lung disease</w:t>
      </w:r>
      <w:r w:rsidR="00A3585E">
        <w:t>,</w:t>
      </w:r>
      <w:r>
        <w:t xml:space="preserve"> cardiac disorders (cardiac failure, cardiomyopathy, decrease in left ventricular ejection fraction), gastrointestinal toxicities (diarrhoea, nausea, and vomiting), stomatitis, amylase/lipase increases, and skin toxicities. The FDA conducted an independent assessment of these </w:t>
      </w:r>
      <w:r w:rsidR="00A3585E">
        <w:t>a</w:t>
      </w:r>
      <w:r w:rsidR="00A3585E" w:rsidRPr="00A3585E">
        <w:t xml:space="preserve">dverse </w:t>
      </w:r>
      <w:r w:rsidR="00A3585E" w:rsidRPr="00A3585E">
        <w:lastRenderedPageBreak/>
        <w:t>events of special interest</w:t>
      </w:r>
      <w:r>
        <w:t xml:space="preserve"> and other </w:t>
      </w:r>
      <w:r w:rsidR="00A3585E">
        <w:t>t</w:t>
      </w:r>
      <w:r w:rsidR="00A3585E" w:rsidRPr="00A3585E">
        <w:t>reatment emergent adverse events</w:t>
      </w:r>
      <w:r>
        <w:t xml:space="preserve"> of clinical interest. The </w:t>
      </w:r>
      <w:r w:rsidR="00A3585E">
        <w:t>s</w:t>
      </w:r>
      <w:r>
        <w:t xml:space="preserve">ponsor’s and the FDA reviewer’s findings regarding </w:t>
      </w:r>
      <w:r w:rsidR="00247F49">
        <w:t xml:space="preserve">adverse event of special interest </w:t>
      </w:r>
      <w:r>
        <w:t xml:space="preserve">are described </w:t>
      </w:r>
      <w:r w:rsidRPr="002647CC">
        <w:t xml:space="preserve">in detail </w:t>
      </w:r>
      <w:r>
        <w:t>in section 8.2.4.5 of the publicly available review document</w:t>
      </w:r>
      <w:r w:rsidR="00A3585E">
        <w:t>.</w:t>
      </w:r>
      <w:r w:rsidR="00A3585E">
        <w:fldChar w:fldCharType="begin"/>
      </w:r>
      <w:r w:rsidR="00A3585E">
        <w:instrText xml:space="preserve"> NOTEREF _Ref130385363 \f \h </w:instrText>
      </w:r>
      <w:r w:rsidR="00A3585E">
        <w:fldChar w:fldCharType="separate"/>
      </w:r>
      <w:r w:rsidR="00301E36" w:rsidRPr="00301E36">
        <w:rPr>
          <w:rStyle w:val="FootnoteReference"/>
        </w:rPr>
        <w:t>45</w:t>
      </w:r>
      <w:r w:rsidR="00A3585E">
        <w:fldChar w:fldCharType="end"/>
      </w:r>
      <w:r>
        <w:t xml:space="preserve"> A summary of each is outlined below.</w:t>
      </w:r>
    </w:p>
    <w:p w14:paraId="2C6AE1CD" w14:textId="78641F9D" w:rsidR="0019537C" w:rsidRPr="006005B9" w:rsidRDefault="0019537C" w:rsidP="006005B9">
      <w:pPr>
        <w:pStyle w:val="Heading6"/>
      </w:pPr>
      <w:r w:rsidRPr="006005B9">
        <w:t>QT prolongation</w:t>
      </w:r>
    </w:p>
    <w:p w14:paraId="1B6545A6" w14:textId="421145C1" w:rsidR="0019537C" w:rsidRPr="00046F75" w:rsidRDefault="0019537C" w:rsidP="0019537C">
      <w:r w:rsidRPr="00046F75">
        <w:t>Study 101 excluded patients with or at risk of QT prolongation/</w:t>
      </w:r>
      <w:r w:rsidR="00061EED" w:rsidRPr="00046F75">
        <w:t>torsades de pointes</w:t>
      </w:r>
      <w:r>
        <w:t>.</w:t>
      </w:r>
    </w:p>
    <w:p w14:paraId="172DB26C" w14:textId="59EC18FB" w:rsidR="0019537C" w:rsidRPr="00046F75" w:rsidRDefault="006005B9" w:rsidP="0019537C">
      <w:r>
        <w:t>T</w:t>
      </w:r>
      <w:r w:rsidRPr="00A3585E">
        <w:t>reatment</w:t>
      </w:r>
      <w:r w:rsidR="00061EED">
        <w:t>-</w:t>
      </w:r>
      <w:r w:rsidRPr="00A3585E">
        <w:t>emergent adverse events</w:t>
      </w:r>
      <w:r>
        <w:t xml:space="preserve"> </w:t>
      </w:r>
      <w:r w:rsidR="0019537C" w:rsidRPr="00046F75">
        <w:t>of QTc prolongation were recorded for 10% of patients in the primary safety population (</w:t>
      </w:r>
      <w:r w:rsidR="00247F49">
        <w:t>G</w:t>
      </w:r>
      <w:r w:rsidR="0019537C" w:rsidRPr="00046F75">
        <w:t>rade 3 for 3%).</w:t>
      </w:r>
      <w:r w:rsidR="0019537C">
        <w:t xml:space="preserve"> </w:t>
      </w:r>
      <w:r w:rsidR="0019537C" w:rsidRPr="00046F75">
        <w:t>With further follow</w:t>
      </w:r>
      <w:r>
        <w:t xml:space="preserve"> </w:t>
      </w:r>
      <w:r w:rsidR="0019537C" w:rsidRPr="00046F75">
        <w:t>up (90</w:t>
      </w:r>
      <w:r w:rsidR="00247F49">
        <w:t xml:space="preserve"> </w:t>
      </w:r>
      <w:r w:rsidR="0019537C" w:rsidRPr="00046F75">
        <w:t xml:space="preserve">day safety update; </w:t>
      </w:r>
      <w:r>
        <w:t>data cut off :</w:t>
      </w:r>
      <w:r w:rsidR="0019537C" w:rsidRPr="00046F75">
        <w:t xml:space="preserve">1 </w:t>
      </w:r>
      <w:r>
        <w:t>November</w:t>
      </w:r>
      <w:r w:rsidR="0019537C" w:rsidRPr="00046F75">
        <w:t xml:space="preserve"> 2020) the all</w:t>
      </w:r>
      <w:r w:rsidR="00247F49">
        <w:t xml:space="preserve"> </w:t>
      </w:r>
      <w:r w:rsidR="0019537C" w:rsidRPr="00046F75">
        <w:t xml:space="preserve">grade rate </w:t>
      </w:r>
      <w:r w:rsidR="0019537C">
        <w:t>rose to</w:t>
      </w:r>
      <w:r w:rsidR="0019537C" w:rsidRPr="00046F75">
        <w:t xml:space="preserve"> 12%</w:t>
      </w:r>
      <w:r w:rsidR="0019537C">
        <w:t>.</w:t>
      </w:r>
    </w:p>
    <w:p w14:paraId="4F2286CA" w14:textId="3CB3D10F" w:rsidR="0019537C" w:rsidRPr="004A338A" w:rsidRDefault="0019537C" w:rsidP="0019537C">
      <w:r w:rsidRPr="00046F75">
        <w:t xml:space="preserve">Torsades de </w:t>
      </w:r>
      <w:r w:rsidR="00061EED">
        <w:t>p</w:t>
      </w:r>
      <w:r w:rsidRPr="00046F75">
        <w:t xml:space="preserve">ointes with QT prolongation (confirmed on ECG) occurred in one patient (1%): a 74 year old female who was admitted to a cardiac </w:t>
      </w:r>
      <w:r w:rsidR="00247F49">
        <w:t>intensive care unit</w:t>
      </w:r>
      <w:r w:rsidRPr="00046F75">
        <w:t xml:space="preserve"> due to life threatening ventricular arrhythmias, in context of hypomagnesaemia (Grade 2 </w:t>
      </w:r>
      <w:r w:rsidR="00061EED">
        <w:t>(</w:t>
      </w:r>
      <w:r w:rsidRPr="00046F75">
        <w:t>1.73 mmol/L</w:t>
      </w:r>
      <w:r w:rsidR="00061EED">
        <w:t>)</w:t>
      </w:r>
      <w:r w:rsidRPr="00046F75">
        <w:t xml:space="preserve">) and hypokalaemia (Grade 2 [3 mmol/L]). She experienced multiple bouts of loss of consciousness due to ventricular tachycardia during her admission, required cardioversion multiple times and received a temporary venous pacemaker, but recovered and was discharged after about a week in hospital. </w:t>
      </w:r>
      <w:r w:rsidR="00E607D4" w:rsidRPr="00046F75">
        <w:t>Mobocertin</w:t>
      </w:r>
      <w:r w:rsidR="00E607D4">
        <w:t>ib</w:t>
      </w:r>
      <w:r w:rsidR="00E607D4" w:rsidRPr="00046F75">
        <w:t xml:space="preserve"> </w:t>
      </w:r>
      <w:r w:rsidRPr="00046F75">
        <w:t xml:space="preserve">was </w:t>
      </w:r>
      <w:r w:rsidRPr="004A338A">
        <w:t>permanently discontinued.</w:t>
      </w:r>
    </w:p>
    <w:p w14:paraId="7A99DE01" w14:textId="1A7ADE05" w:rsidR="0019537C" w:rsidRDefault="0019537C" w:rsidP="0019537C">
      <w:r w:rsidRPr="004A338A">
        <w:t>In context of the pharmacodynamic findings</w:t>
      </w:r>
      <w:r w:rsidR="006005B9">
        <w:t xml:space="preserve">, </w:t>
      </w:r>
      <w:r w:rsidRPr="004A338A">
        <w:t>the clinical</w:t>
      </w:r>
      <w:r>
        <w:t xml:space="preserve"> data are clearly suggestive of a mobocertinib</w:t>
      </w:r>
      <w:r w:rsidR="006005B9">
        <w:t xml:space="preserve"> </w:t>
      </w:r>
      <w:r>
        <w:t>attributable risk of clinically meaningful QT prolongation and life</w:t>
      </w:r>
      <w:r w:rsidR="006005B9">
        <w:t xml:space="preserve"> </w:t>
      </w:r>
      <w:r>
        <w:t>threatening arrhythmia.</w:t>
      </w:r>
    </w:p>
    <w:p w14:paraId="7BE6B868" w14:textId="067E39CB" w:rsidR="0019537C" w:rsidRPr="00046F75" w:rsidRDefault="0019537C" w:rsidP="0019537C">
      <w:r>
        <w:t xml:space="preserve">This risk warrants warning/precautionary text for QTc prolongation and </w:t>
      </w:r>
      <w:r w:rsidR="00061EED">
        <w:t>t</w:t>
      </w:r>
      <w:r>
        <w:t xml:space="preserve">orsades de </w:t>
      </w:r>
      <w:r w:rsidR="00061EED">
        <w:t>p</w:t>
      </w:r>
      <w:r>
        <w:t xml:space="preserve">ointes in the Australian Product Information. A </w:t>
      </w:r>
      <w:r w:rsidRPr="00560C5F">
        <w:t xml:space="preserve">post-market integrated analysis of QTc prolongation and related events from randomised clinical trials </w:t>
      </w:r>
      <w:bookmarkStart w:id="116" w:name="_Hlk102465354"/>
      <w:r w:rsidRPr="00560C5F">
        <w:t>is expected to be available in 2024 and its submission should be a condition of registration.</w:t>
      </w:r>
    </w:p>
    <w:bookmarkEnd w:id="116"/>
    <w:p w14:paraId="5D3D6B49" w14:textId="77777777" w:rsidR="0019537C" w:rsidRPr="006005B9" w:rsidRDefault="0019537C" w:rsidP="006005B9">
      <w:pPr>
        <w:pStyle w:val="Heading7"/>
        <w:rPr>
          <w:highlight w:val="yellow"/>
        </w:rPr>
      </w:pPr>
      <w:r w:rsidRPr="006005B9">
        <w:t xml:space="preserve">Non-QT cardiac conduction abnormalities </w:t>
      </w:r>
    </w:p>
    <w:p w14:paraId="1849B2F4" w14:textId="2EA955FA" w:rsidR="0019537C" w:rsidRDefault="0019537C" w:rsidP="00247F49">
      <w:pPr>
        <w:spacing w:before="120"/>
      </w:pPr>
      <w:r w:rsidRPr="00560C5F">
        <w:t xml:space="preserve">In addition to QT prolongation and </w:t>
      </w:r>
      <w:r w:rsidR="00061EED">
        <w:t>t</w:t>
      </w:r>
      <w:r w:rsidRPr="00560C5F">
        <w:t xml:space="preserve">orsades de </w:t>
      </w:r>
      <w:r w:rsidR="00061EED">
        <w:t>p</w:t>
      </w:r>
      <w:r w:rsidRPr="00560C5F">
        <w:t>ointes, other conduction abnormalities occurred in patients receiving mobocertinib. In the pooled safety population (n</w:t>
      </w:r>
      <w:r w:rsidR="006005B9">
        <w:t xml:space="preserve"> </w:t>
      </w:r>
      <w:r w:rsidRPr="00560C5F">
        <w:t>=</w:t>
      </w:r>
      <w:r w:rsidR="006005B9">
        <w:t xml:space="preserve"> </w:t>
      </w:r>
      <w:r w:rsidRPr="00560C5F">
        <w:t>256), there were single events of ventricular</w:t>
      </w:r>
      <w:r w:rsidRPr="00456210">
        <w:t xml:space="preserve"> tachycardia</w:t>
      </w:r>
      <w:r>
        <w:t xml:space="preserve">, </w:t>
      </w:r>
      <w:r w:rsidRPr="00456210">
        <w:t>first degree atrioventricular block</w:t>
      </w:r>
      <w:r>
        <w:t xml:space="preserve">, </w:t>
      </w:r>
      <w:r w:rsidRPr="00456210">
        <w:t>second degree atrioventricular block left bundle branch block, supraventricular extrasystoles and ventricular extrasystoles (</w:t>
      </w:r>
      <w:r>
        <w:t xml:space="preserve">each </w:t>
      </w:r>
      <w:r w:rsidRPr="00456210">
        <w:t>0.4%)</w:t>
      </w:r>
      <w:r>
        <w:t>, and 4 patients (1.6%) with atrial fibrillation.</w:t>
      </w:r>
    </w:p>
    <w:p w14:paraId="149DE303" w14:textId="615B6984" w:rsidR="006005B9" w:rsidRDefault="006005B9" w:rsidP="006005B9">
      <w:pPr>
        <w:ind w:left="720"/>
      </w:pPr>
      <w:r>
        <w:t>‘</w:t>
      </w:r>
      <w:r w:rsidR="0019537C" w:rsidRPr="006005B9">
        <w:t>One serious event of Grade 3 ventricular tachycardia occurred in a 64-year-old woman who was seen in the emergency department for a seizure approximately 3.5 months after starting treatment and a screening ECG showed non-sustained ventricular tachycardia. She was treated with amiodarone, and mobocertinib was held for 2 days at which time the event grade was decreased to Grade</w:t>
      </w:r>
      <w:r w:rsidR="00061EED">
        <w:t> </w:t>
      </w:r>
      <w:r w:rsidR="0019537C" w:rsidRPr="006005B9">
        <w:t>2. The event was attributed as possibly related to mobocertinib, although concomitant medications, tiotropium bromide or fluticasone which possess arrhythmic effects, could have contributed to the event.</w:t>
      </w:r>
      <w:r>
        <w:t>’</w:t>
      </w:r>
      <w:r>
        <w:fldChar w:fldCharType="begin"/>
      </w:r>
      <w:r>
        <w:instrText xml:space="preserve"> NOTEREF _Ref130385363 \f \h </w:instrText>
      </w:r>
      <w:r>
        <w:fldChar w:fldCharType="separate"/>
      </w:r>
      <w:r w:rsidR="00301E36" w:rsidRPr="00301E36">
        <w:rPr>
          <w:rStyle w:val="FootnoteReference"/>
        </w:rPr>
        <w:t>45</w:t>
      </w:r>
      <w:r>
        <w:fldChar w:fldCharType="end"/>
      </w:r>
    </w:p>
    <w:p w14:paraId="148C641E" w14:textId="1793D3D0" w:rsidR="0019537C" w:rsidRPr="00AB5544" w:rsidRDefault="0019537C" w:rsidP="0019537C">
      <w:r>
        <w:t>C</w:t>
      </w:r>
      <w:r w:rsidRPr="00456210">
        <w:t xml:space="preserve">ardiac conduction abnormalities other than QTc prolongation were </w:t>
      </w:r>
      <w:r>
        <w:t xml:space="preserve">generally </w:t>
      </w:r>
      <w:r w:rsidRPr="00456210">
        <w:t xml:space="preserve">mild, </w:t>
      </w:r>
      <w:r>
        <w:t>but a contributory effect of</w:t>
      </w:r>
      <w:r w:rsidRPr="00456210">
        <w:t xml:space="preserve"> mobocertinib </w:t>
      </w:r>
      <w:r>
        <w:t>can’t be ruled out</w:t>
      </w:r>
      <w:r w:rsidRPr="00456210">
        <w:t xml:space="preserve">. The </w:t>
      </w:r>
      <w:r w:rsidR="006005B9">
        <w:t>‘</w:t>
      </w:r>
      <w:r w:rsidRPr="007705B7">
        <w:rPr>
          <w:i/>
        </w:rPr>
        <w:t>Warnings and Precautions</w:t>
      </w:r>
      <w:r w:rsidR="006005B9" w:rsidRPr="007705B7">
        <w:rPr>
          <w:i/>
        </w:rPr>
        <w:t>’</w:t>
      </w:r>
      <w:r w:rsidRPr="00456210">
        <w:t xml:space="preserve"> section of </w:t>
      </w:r>
      <w:r>
        <w:t>the FDA label</w:t>
      </w:r>
      <w:r w:rsidRPr="00456210">
        <w:t xml:space="preserve"> for mobocertinib describes these events of cardiac conduction abnormalities</w:t>
      </w:r>
      <w:r>
        <w:t xml:space="preserve"> in concert with the QT prolongation information. Similar information should be included in the Australian PI, in section 4.8.</w:t>
      </w:r>
    </w:p>
    <w:p w14:paraId="73DEAAB2" w14:textId="0C2AD25E" w:rsidR="006005B9" w:rsidRPr="006005B9" w:rsidRDefault="006005B9" w:rsidP="006005B9">
      <w:pPr>
        <w:pStyle w:val="Heading6"/>
      </w:pPr>
      <w:r w:rsidRPr="006005B9">
        <w:t>Interstitial lung disease</w:t>
      </w:r>
    </w:p>
    <w:p w14:paraId="61874609" w14:textId="7B8DEC7A" w:rsidR="0019537C" w:rsidRDefault="006005B9" w:rsidP="0019537C">
      <w:r w:rsidRPr="006005B9">
        <w:t>Drug</w:t>
      </w:r>
      <w:r w:rsidR="00247F49">
        <w:t xml:space="preserve"> </w:t>
      </w:r>
      <w:r w:rsidRPr="006005B9">
        <w:t xml:space="preserve">induced interstitial lung disease </w:t>
      </w:r>
      <w:r w:rsidR="0019537C">
        <w:t xml:space="preserve">is known to be associated with other agents in this class. </w:t>
      </w:r>
      <w:r w:rsidR="0019537C" w:rsidRPr="00C91F1F">
        <w:t>In the pooled safety population (n</w:t>
      </w:r>
      <w:r>
        <w:t xml:space="preserve"> </w:t>
      </w:r>
      <w:r w:rsidR="0019537C" w:rsidRPr="00C91F1F">
        <w:t>=</w:t>
      </w:r>
      <w:r>
        <w:t xml:space="preserve"> </w:t>
      </w:r>
      <w:r w:rsidR="0019537C" w:rsidRPr="00C91F1F">
        <w:t xml:space="preserve">256), </w:t>
      </w:r>
      <w:r w:rsidR="0019537C">
        <w:t xml:space="preserve">according to the regulatory safety review, </w:t>
      </w:r>
      <w:r w:rsidRPr="006005B9">
        <w:t xml:space="preserve">interstitial </w:t>
      </w:r>
      <w:r w:rsidRPr="006005B9">
        <w:lastRenderedPageBreak/>
        <w:t>lung disease</w:t>
      </w:r>
      <w:r w:rsidR="0019537C">
        <w:t xml:space="preserve">/pneumonitis occurred in 10 patients (4.3%), of which half were at least </w:t>
      </w:r>
      <w:r>
        <w:t>G</w:t>
      </w:r>
      <w:r w:rsidR="0019537C">
        <w:t xml:space="preserve">rade 3 and three (30%) were fatal. </w:t>
      </w:r>
      <w:r w:rsidR="0019537C" w:rsidRPr="00C91F1F">
        <w:t>Mobocertinib was either interrupted or discontinued in all cases</w:t>
      </w:r>
      <w:r w:rsidR="0019537C">
        <w:t>. Two</w:t>
      </w:r>
      <w:r w:rsidR="0019537C" w:rsidRPr="00C91F1F">
        <w:t xml:space="preserve"> patients recovered. </w:t>
      </w:r>
      <w:r w:rsidR="0019537C">
        <w:t>One</w:t>
      </w:r>
      <w:r w:rsidR="0019537C" w:rsidRPr="00C91F1F">
        <w:t xml:space="preserve"> additional patient in the overall safety population (n</w:t>
      </w:r>
      <w:r>
        <w:t xml:space="preserve"> </w:t>
      </w:r>
      <w:r w:rsidR="0019537C" w:rsidRPr="00C91F1F">
        <w:t>=</w:t>
      </w:r>
      <w:r>
        <w:t xml:space="preserve"> </w:t>
      </w:r>
      <w:r w:rsidR="0019537C" w:rsidRPr="00C91F1F">
        <w:t xml:space="preserve">325) who received mobocertinib 120 mg once daily had a </w:t>
      </w:r>
      <w:r w:rsidR="0019537C">
        <w:t>fatal</w:t>
      </w:r>
      <w:r w:rsidR="0019537C" w:rsidRPr="00C91F1F">
        <w:t xml:space="preserve"> adverse event of pneumonitis.</w:t>
      </w:r>
    </w:p>
    <w:p w14:paraId="1D96C334" w14:textId="73E1A465" w:rsidR="0019537C" w:rsidRDefault="0019537C" w:rsidP="0019537C">
      <w:r>
        <w:t xml:space="preserve">The Australian PI should contain </w:t>
      </w:r>
      <w:r w:rsidR="00061EED">
        <w:t>w</w:t>
      </w:r>
      <w:r>
        <w:t>arning</w:t>
      </w:r>
      <w:r w:rsidR="00061EED">
        <w:t xml:space="preserve"> or p</w:t>
      </w:r>
      <w:r>
        <w:t xml:space="preserve">recaution text reflecting this risk and recommendations for discontinuation </w:t>
      </w:r>
      <w:r w:rsidRPr="00C91F1F">
        <w:t xml:space="preserve">of mobocertinib for confirmed cases of </w:t>
      </w:r>
      <w:r w:rsidR="006005B9" w:rsidRPr="006005B9">
        <w:t>interstitial lung disease</w:t>
      </w:r>
      <w:r>
        <w:t>.</w:t>
      </w:r>
    </w:p>
    <w:p w14:paraId="648CC7FD" w14:textId="79341BC1" w:rsidR="006005B9" w:rsidRPr="006005B9" w:rsidRDefault="006005B9" w:rsidP="006005B9">
      <w:pPr>
        <w:pStyle w:val="Heading6"/>
      </w:pPr>
      <w:r w:rsidRPr="006005B9">
        <w:t>Congestive heart failure</w:t>
      </w:r>
    </w:p>
    <w:p w14:paraId="07E114AC" w14:textId="15AE6376" w:rsidR="006005B9" w:rsidRDefault="006005B9" w:rsidP="006005B9">
      <w:r w:rsidRPr="001C55CC">
        <w:t xml:space="preserve">The </w:t>
      </w:r>
      <w:r>
        <w:t>regulatory safety</w:t>
      </w:r>
      <w:r w:rsidRPr="001C55CC">
        <w:t xml:space="preserve"> </w:t>
      </w:r>
      <w:r>
        <w:t>review identified eight patients with an adverse event consistent with cardiac failure in the overall safety population (n = 325), six of which were at least Grade 3 and two that were fatal. A summary narrative for the first fatal case is provided by the sponsor in the FDA multidisciplinary review:</w:t>
      </w:r>
      <w:r>
        <w:fldChar w:fldCharType="begin"/>
      </w:r>
      <w:r>
        <w:instrText xml:space="preserve"> NOTEREF _Ref130385363 \f \h </w:instrText>
      </w:r>
      <w:r>
        <w:fldChar w:fldCharType="separate"/>
      </w:r>
      <w:r w:rsidR="00301E36" w:rsidRPr="00301E36">
        <w:rPr>
          <w:rStyle w:val="FootnoteReference"/>
        </w:rPr>
        <w:t>45</w:t>
      </w:r>
      <w:r>
        <w:fldChar w:fldCharType="end"/>
      </w:r>
    </w:p>
    <w:p w14:paraId="60E2C334" w14:textId="326CB805" w:rsidR="006005B9" w:rsidRPr="006005B9" w:rsidRDefault="006005B9" w:rsidP="006005B9">
      <w:pPr>
        <w:ind w:left="720"/>
      </w:pPr>
      <w:r>
        <w:t>‘</w:t>
      </w:r>
      <w:r w:rsidRPr="006005B9">
        <w:t>A 68-year-old male patient (former smoker) experienced serious cardiac failure (Grade</w:t>
      </w:r>
      <w:r w:rsidR="00061EED">
        <w:t> </w:t>
      </w:r>
      <w:r w:rsidRPr="006005B9">
        <w:t>4) on Study Day 90 (study dosing was discontinued the day before this event). Cardiac failure was considered related to the study drug by the investigator and was ultimately fatal. The patient had a concurrent medical history of coronary artery disease without angina pectoris and a previous echocardiogram demonstrating an ejection fraction of 55% to 60%. On Study Day 90 the patient had nonserious Grade 3 tachycardia, deemed not related to study dosing; nonserious Grade 2 nausea and vomiting deemed related to study dosing; nonserious Grade 3 pneumonia and Grade 1 wheezing, both deemed not related to study dosing; nonserious creatinine increase, initially a Grade 1 on Study Day 16, progressing to Grade 2 on Study Day 90, and Grade 3 on Study Day 96. Grade 1 dehydration was noted on Study Day 29, advancing to Grade 2 on Study Day 90.</w:t>
      </w:r>
    </w:p>
    <w:p w14:paraId="76678EFC" w14:textId="451E9757" w:rsidR="006005B9" w:rsidRPr="006005B9" w:rsidRDefault="006005B9" w:rsidP="006005B9">
      <w:pPr>
        <w:ind w:left="720"/>
      </w:pPr>
      <w:r w:rsidRPr="006005B9">
        <w:t>At the time the patient presented with cardiac failure, an echocardiogram revealed a cardiomyopathy with an ejection fraction of 20%, borderline left ventricular dilation, and pulmonary hypertension. Troponin levels were 118. An electrocardiogram was fairly unremarkable and showed sinus tachycardia with a leftward axis and occasional premature ventricular contractions. The patient progressed to renal failure approximately 2 days after presenting with cardiac failure and dialysis treatment was initiated. The patient was treated with symptomatic measures for heart failure including but not limited to B1-agonist agent, anti-diuretics, IVF, and analgesics. The patient died on Study Day 97 due to worsening cardiac failure.</w:t>
      </w:r>
      <w:r>
        <w:t>’</w:t>
      </w:r>
    </w:p>
    <w:p w14:paraId="7DE5455E" w14:textId="77777777" w:rsidR="006005B9" w:rsidRDefault="006005B9" w:rsidP="006005B9">
      <w:r w:rsidRPr="001C55CC">
        <w:t>The second</w:t>
      </w:r>
      <w:r>
        <w:t xml:space="preserve"> fatal case was an event of respiratory failure, in which the narrative was consistent of cardiac failure:</w:t>
      </w:r>
    </w:p>
    <w:p w14:paraId="5FA30FAC" w14:textId="5CC37E6A" w:rsidR="006005B9" w:rsidRPr="006005B9" w:rsidRDefault="006005B9" w:rsidP="006005B9">
      <w:pPr>
        <w:ind w:left="720"/>
      </w:pPr>
      <w:r>
        <w:t>‘</w:t>
      </w:r>
      <w:r w:rsidR="00061EED">
        <w:t xml:space="preserve">A </w:t>
      </w:r>
      <w:r w:rsidRPr="006005B9">
        <w:t>63-year-old woman who developed dyspnea two weeks after starting treatment and was hospital</w:t>
      </w:r>
      <w:r w:rsidR="004659AE">
        <w:t>is</w:t>
      </w:r>
      <w:r w:rsidRPr="006005B9">
        <w:t>ed for tachycardia, hypoxia and lethargy. CXR showed unchanged pleural effusion and atelectasis; diagnosed with Klebsiella UTI; treated with antibiotics and steroids including empiric treatment for pneumocystis pneumonia. An ECHO the day of admission showed stress induced cardiomyopathy and decreased EF (no value reported) with worsening hypoxia. CT did not show any parenchymal process to explain acute hypoxia. Repeat echocardiograms showed worsening ventricular dysfunction with elevated BNP and troponin. The patient developed worsening hypotension requiring blood pressure support and she died due to Grade 5 respiratory failure 5 days after admission.</w:t>
      </w:r>
      <w:r>
        <w:t>’</w:t>
      </w:r>
    </w:p>
    <w:p w14:paraId="0D9D2250" w14:textId="18848439" w:rsidR="006005B9" w:rsidRPr="00452BF1" w:rsidRDefault="006005B9" w:rsidP="006005B9">
      <w:pPr>
        <w:rPr>
          <w:lang w:eastAsia="zh-TW"/>
        </w:rPr>
      </w:pPr>
      <w:r>
        <w:rPr>
          <w:lang w:eastAsia="zh-TW"/>
        </w:rPr>
        <w:t>The regulatory safety review notes:</w:t>
      </w:r>
      <w:r>
        <w:rPr>
          <w:lang w:eastAsia="zh-TW"/>
        </w:rPr>
        <w:fldChar w:fldCharType="begin"/>
      </w:r>
      <w:r>
        <w:rPr>
          <w:lang w:eastAsia="zh-TW"/>
        </w:rPr>
        <w:instrText xml:space="preserve"> NOTEREF _Ref130385363 \f \h </w:instrText>
      </w:r>
      <w:r>
        <w:rPr>
          <w:lang w:eastAsia="zh-TW"/>
        </w:rPr>
      </w:r>
      <w:r>
        <w:rPr>
          <w:lang w:eastAsia="zh-TW"/>
        </w:rPr>
        <w:fldChar w:fldCharType="separate"/>
      </w:r>
      <w:r w:rsidR="00301E36" w:rsidRPr="00301E36">
        <w:rPr>
          <w:rStyle w:val="FootnoteReference"/>
        </w:rPr>
        <w:t>45</w:t>
      </w:r>
      <w:r>
        <w:rPr>
          <w:lang w:eastAsia="zh-TW"/>
        </w:rPr>
        <w:fldChar w:fldCharType="end"/>
      </w:r>
      <w:r w:rsidRPr="00452BF1">
        <w:rPr>
          <w:lang w:eastAsia="zh-TW"/>
        </w:rPr>
        <w:t xml:space="preserve"> </w:t>
      </w:r>
    </w:p>
    <w:p w14:paraId="603A0EF5" w14:textId="78179794" w:rsidR="006005B9" w:rsidRPr="006005B9" w:rsidRDefault="006005B9" w:rsidP="006005B9">
      <w:pPr>
        <w:ind w:left="720"/>
      </w:pPr>
      <w:r>
        <w:lastRenderedPageBreak/>
        <w:t>‘</w:t>
      </w:r>
      <w:r w:rsidRPr="006005B9">
        <w:t>In the mobocertinib once daily population (n</w:t>
      </w:r>
      <w:r w:rsidR="00247F49">
        <w:t xml:space="preserve"> </w:t>
      </w:r>
      <w:r w:rsidRPr="006005B9">
        <w:t>=</w:t>
      </w:r>
      <w:r w:rsidR="00247F49">
        <w:t xml:space="preserve"> </w:t>
      </w:r>
      <w:r w:rsidRPr="006005B9">
        <w:t>256), cardiac failure occurred in 2.7% of patients including 1.2% Grade 3 reactions, 0.4% Grade 4 reactions, and one (0.4%) fatal case of cardiac failure.</w:t>
      </w:r>
    </w:p>
    <w:p w14:paraId="2E5CBA2D" w14:textId="51E7600A" w:rsidR="006005B9" w:rsidRPr="006005B9" w:rsidRDefault="006005B9" w:rsidP="006005B9">
      <w:pPr>
        <w:ind w:left="720"/>
      </w:pPr>
      <w:r w:rsidRPr="006005B9">
        <w:t>While the original protocol did not include screening assessments with ECHO or MUGA scans, all ongoing studies with mobocertinib include left ventricular ejection fraction monitoring given the identified risk of cardiac failure; this recommendation is also included in product labeling.</w:t>
      </w:r>
      <w:r>
        <w:t>’</w:t>
      </w:r>
    </w:p>
    <w:p w14:paraId="365F1CC7" w14:textId="49F43CE5" w:rsidR="006005B9" w:rsidRPr="00046F75" w:rsidRDefault="006005B9" w:rsidP="006005B9">
      <w:r>
        <w:t xml:space="preserve">The Australian PI should contain </w:t>
      </w:r>
      <w:r w:rsidR="00061EED">
        <w:t>w</w:t>
      </w:r>
      <w:r>
        <w:t>arning</w:t>
      </w:r>
      <w:r w:rsidR="00061EED">
        <w:t xml:space="preserve"> or p</w:t>
      </w:r>
      <w:r>
        <w:t xml:space="preserve">recaution text reflecting this risk and recommendations for discontinuation </w:t>
      </w:r>
      <w:r w:rsidRPr="00C91F1F">
        <w:t xml:space="preserve">of mobocertinib </w:t>
      </w:r>
      <w:r>
        <w:t xml:space="preserve">for ≥ Grade 2 heart failure or Grade 3 or 4 decreased ejection fraction. A </w:t>
      </w:r>
      <w:r w:rsidRPr="00560C5F">
        <w:t xml:space="preserve">post-market integrated analysis </w:t>
      </w:r>
      <w:r>
        <w:t>of cardiac failure</w:t>
      </w:r>
      <w:r w:rsidRPr="00560C5F">
        <w:t xml:space="preserve"> and related events from randomised clinical trials is expected to be available in 2024 and its submission should be a condition of registration.</w:t>
      </w:r>
    </w:p>
    <w:p w14:paraId="79DFBC41" w14:textId="195363EB" w:rsidR="006005B9" w:rsidRPr="006005B9" w:rsidRDefault="007A44DB" w:rsidP="006005B9">
      <w:pPr>
        <w:pStyle w:val="Heading6"/>
      </w:pPr>
      <w:r w:rsidRPr="006005B9">
        <w:t>G</w:t>
      </w:r>
      <w:r>
        <w:t>astrointestinal</w:t>
      </w:r>
      <w:r w:rsidR="006005B9" w:rsidRPr="006005B9">
        <w:t xml:space="preserve"> toxicity</w:t>
      </w:r>
    </w:p>
    <w:p w14:paraId="17461223" w14:textId="22370D58" w:rsidR="006005B9" w:rsidRPr="008853CF" w:rsidRDefault="006005B9" w:rsidP="006005B9">
      <w:r w:rsidRPr="008853CF">
        <w:t>Diarrhoea was the most common (and most common high</w:t>
      </w:r>
      <w:r w:rsidR="00F50933">
        <w:t xml:space="preserve"> </w:t>
      </w:r>
      <w:r w:rsidRPr="008853CF">
        <w:t xml:space="preserve">grade) </w:t>
      </w:r>
      <w:r w:rsidR="00560C21">
        <w:t>treatment</w:t>
      </w:r>
      <w:r w:rsidR="00061EED">
        <w:t>-</w:t>
      </w:r>
      <w:r w:rsidR="00560C21">
        <w:t>emergent adverse events</w:t>
      </w:r>
      <w:r w:rsidRPr="008853CF">
        <w:t>, and resulted in the most drug interruptions (44%), reductions (20%) and discontinuations (8%) in the primary safety population (n</w:t>
      </w:r>
      <w:r w:rsidR="00560C21">
        <w:t xml:space="preserve"> </w:t>
      </w:r>
      <w:r w:rsidRPr="008853CF">
        <w:t>=</w:t>
      </w:r>
      <w:r w:rsidR="00560C21">
        <w:t xml:space="preserve"> </w:t>
      </w:r>
      <w:r w:rsidRPr="008853CF">
        <w:t xml:space="preserve">114). Grade 3 diarrhoea occurred in 21% of patients and Grade 4 in 1 patient (1%). The median time to onset was </w:t>
      </w:r>
      <w:r w:rsidR="00560C21">
        <w:t>five</w:t>
      </w:r>
      <w:r w:rsidRPr="008853CF">
        <w:t xml:space="preserve"> days, and resolution was recorded in half of cases, with median time to resolution </w:t>
      </w:r>
      <w:r w:rsidR="00560C21">
        <w:t>three</w:t>
      </w:r>
      <w:r w:rsidRPr="008853CF">
        <w:t xml:space="preserve"> days. Introduction of loperamide</w:t>
      </w:r>
      <w:r>
        <w:t xml:space="preserve"> at first sign of diarrhoea</w:t>
      </w:r>
      <w:r w:rsidRPr="008853CF">
        <w:t xml:space="preserve"> to the study protocol </w:t>
      </w:r>
      <w:r>
        <w:t>appears to have reduced</w:t>
      </w:r>
      <w:r w:rsidRPr="008853CF">
        <w:t xml:space="preserve"> the </w:t>
      </w:r>
      <w:r>
        <w:t>need for</w:t>
      </w:r>
      <w:r w:rsidRPr="008853CF">
        <w:t xml:space="preserve"> dose reduction.</w:t>
      </w:r>
    </w:p>
    <w:p w14:paraId="76327A64" w14:textId="32F52AC2" w:rsidR="006005B9" w:rsidRDefault="006005B9" w:rsidP="006005B9">
      <w:r>
        <w:t xml:space="preserve">Stomatitis, vomiting, nausea, decreased appetite, weight decreased, abdominal pain and weight decreased were also very common in the primary safety population (see </w:t>
      </w:r>
      <w:r>
        <w:fldChar w:fldCharType="begin"/>
      </w:r>
      <w:r>
        <w:instrText xml:space="preserve"> REF _Ref102470139 \h </w:instrText>
      </w:r>
      <w:r>
        <w:fldChar w:fldCharType="separate"/>
      </w:r>
      <w:r w:rsidR="00301E36" w:rsidRPr="00877760">
        <w:t xml:space="preserve">Table </w:t>
      </w:r>
      <w:r w:rsidR="00301E36">
        <w:rPr>
          <w:noProof/>
        </w:rPr>
        <w:t>16</w:t>
      </w:r>
      <w:r>
        <w:fldChar w:fldCharType="end"/>
      </w:r>
      <w:r>
        <w:t>).</w:t>
      </w:r>
    </w:p>
    <w:p w14:paraId="098E3895" w14:textId="040BDA4D" w:rsidR="006005B9" w:rsidRPr="007705B7" w:rsidRDefault="006005B9" w:rsidP="00877760">
      <w:pPr>
        <w:pStyle w:val="TableTitle"/>
      </w:pPr>
      <w:bookmarkStart w:id="117" w:name="_Ref102470139"/>
      <w:r w:rsidRPr="00877760">
        <w:t xml:space="preserve">Table </w:t>
      </w:r>
      <w:r w:rsidR="00771A4B" w:rsidRPr="007705B7">
        <w:fldChar w:fldCharType="begin"/>
      </w:r>
      <w:r w:rsidR="00771A4B" w:rsidRPr="00877760">
        <w:instrText xml:space="preserve"> SEQ Table \* ARABIC </w:instrText>
      </w:r>
      <w:r w:rsidR="00771A4B" w:rsidRPr="007705B7">
        <w:fldChar w:fldCharType="separate"/>
      </w:r>
      <w:r w:rsidR="00301E36">
        <w:rPr>
          <w:noProof/>
        </w:rPr>
        <w:t>16</w:t>
      </w:r>
      <w:r w:rsidR="00771A4B" w:rsidRPr="007705B7">
        <w:fldChar w:fldCharType="end"/>
      </w:r>
      <w:bookmarkEnd w:id="117"/>
      <w:r w:rsidR="00877760" w:rsidRPr="00877760">
        <w:t>:</w:t>
      </w:r>
      <w:r w:rsidRPr="00877760">
        <w:t xml:space="preserve"> </w:t>
      </w:r>
      <w:r w:rsidR="00560C21" w:rsidRPr="00877760">
        <w:t>Gastrointestinal</w:t>
      </w:r>
      <w:r w:rsidRPr="00877760">
        <w:t xml:space="preserve"> toxicities in the primary safety population according to the </w:t>
      </w:r>
      <w:r w:rsidRPr="007705B7">
        <w:t>regulatory safety analysis (n</w:t>
      </w:r>
      <w:r w:rsidR="00560C21" w:rsidRPr="007705B7">
        <w:t xml:space="preserve"> </w:t>
      </w:r>
      <w:r w:rsidRPr="007705B7">
        <w:t>=</w:t>
      </w:r>
      <w:r w:rsidR="00560C21" w:rsidRPr="007705B7">
        <w:t xml:space="preserve"> </w:t>
      </w:r>
      <w:r w:rsidRPr="007705B7">
        <w:t xml:space="preserve">114) </w:t>
      </w:r>
    </w:p>
    <w:tbl>
      <w:tblPr>
        <w:tblStyle w:val="TableTGAblue"/>
        <w:tblW w:w="5000" w:type="pct"/>
        <w:tblLook w:val="01E0" w:firstRow="1" w:lastRow="1" w:firstColumn="1" w:lastColumn="1" w:noHBand="0" w:noVBand="0"/>
      </w:tblPr>
      <w:tblGrid>
        <w:gridCol w:w="1660"/>
        <w:gridCol w:w="680"/>
        <w:gridCol w:w="702"/>
        <w:gridCol w:w="538"/>
        <w:gridCol w:w="1403"/>
        <w:gridCol w:w="1276"/>
        <w:gridCol w:w="1885"/>
        <w:gridCol w:w="916"/>
      </w:tblGrid>
      <w:tr w:rsidR="007705B7" w:rsidRPr="007705B7" w14:paraId="02821669" w14:textId="77777777" w:rsidTr="007705B7">
        <w:trPr>
          <w:cnfStyle w:val="100000000000" w:firstRow="1" w:lastRow="0" w:firstColumn="0" w:lastColumn="0" w:oddVBand="0" w:evenVBand="0" w:oddHBand="0" w:evenHBand="0" w:firstRowFirstColumn="0" w:firstRowLastColumn="0" w:lastRowFirstColumn="0" w:lastRowLastColumn="0"/>
          <w:trHeight w:val="443"/>
        </w:trPr>
        <w:tc>
          <w:tcPr>
            <w:tcW w:w="162" w:type="pct"/>
            <w:vMerge w:val="restart"/>
            <w:tcBorders>
              <w:top w:val="single" w:sz="4" w:space="0" w:color="auto"/>
              <w:left w:val="single" w:sz="4" w:space="0" w:color="auto"/>
              <w:bottom w:val="single" w:sz="4" w:space="0" w:color="auto"/>
              <w:right w:val="single" w:sz="4" w:space="0" w:color="auto"/>
            </w:tcBorders>
          </w:tcPr>
          <w:p w14:paraId="301D4F1F" w14:textId="7D5D9E05" w:rsidR="006005B9" w:rsidRPr="007705B7" w:rsidRDefault="006005B9" w:rsidP="00560C21">
            <w:pPr>
              <w:pStyle w:val="Tabletext0"/>
              <w:ind w:left="0" w:right="0"/>
              <w:rPr>
                <w:b w:val="0"/>
                <w:bCs/>
                <w:szCs w:val="19"/>
                <w:lang w:eastAsia="en-US"/>
              </w:rPr>
            </w:pPr>
            <w:r w:rsidRPr="007705B7">
              <w:rPr>
                <w:b w:val="0"/>
                <w:bCs/>
                <w:szCs w:val="19"/>
                <w:lang w:eastAsia="en-US"/>
              </w:rPr>
              <w:t>Primary safety</w:t>
            </w:r>
            <w:r w:rsidR="00560C21" w:rsidRPr="007705B7">
              <w:rPr>
                <w:b w:val="0"/>
                <w:bCs/>
                <w:szCs w:val="19"/>
                <w:lang w:eastAsia="en-US"/>
              </w:rPr>
              <w:t xml:space="preserve"> </w:t>
            </w:r>
            <w:r w:rsidRPr="007705B7">
              <w:rPr>
                <w:b w:val="0"/>
                <w:bCs/>
                <w:szCs w:val="19"/>
                <w:lang w:eastAsia="en-US"/>
              </w:rPr>
              <w:t>population (n=114)</w:t>
            </w:r>
          </w:p>
        </w:tc>
        <w:tc>
          <w:tcPr>
            <w:tcW w:w="484" w:type="pct"/>
            <w:vMerge w:val="restart"/>
            <w:tcBorders>
              <w:top w:val="single" w:sz="4" w:space="0" w:color="auto"/>
              <w:left w:val="single" w:sz="4" w:space="0" w:color="auto"/>
              <w:bottom w:val="single" w:sz="4" w:space="0" w:color="auto"/>
              <w:right w:val="single" w:sz="4" w:space="0" w:color="auto"/>
            </w:tcBorders>
          </w:tcPr>
          <w:p w14:paraId="6F712B6E" w14:textId="33F72395" w:rsidR="006005B9" w:rsidRPr="007705B7" w:rsidRDefault="006005B9" w:rsidP="00560C21">
            <w:pPr>
              <w:pStyle w:val="Tabletext0"/>
              <w:ind w:left="0" w:right="0"/>
              <w:rPr>
                <w:b w:val="0"/>
                <w:bCs/>
                <w:szCs w:val="19"/>
                <w:lang w:eastAsia="en-US"/>
              </w:rPr>
            </w:pPr>
            <w:r w:rsidRPr="007705B7">
              <w:rPr>
                <w:b w:val="0"/>
                <w:bCs/>
                <w:szCs w:val="19"/>
                <w:lang w:eastAsia="en-US"/>
              </w:rPr>
              <w:t>All grade TEAE</w:t>
            </w:r>
            <w:r w:rsidR="00560C21" w:rsidRPr="007705B7">
              <w:rPr>
                <w:b w:val="0"/>
                <w:bCs/>
                <w:szCs w:val="19"/>
                <w:lang w:eastAsia="en-US"/>
              </w:rPr>
              <w:t xml:space="preserve"> </w:t>
            </w:r>
            <w:r w:rsidRPr="007705B7">
              <w:rPr>
                <w:b w:val="0"/>
                <w:bCs/>
                <w:szCs w:val="19"/>
                <w:lang w:eastAsia="en-US"/>
              </w:rPr>
              <w:t>(%)</w:t>
            </w:r>
          </w:p>
        </w:tc>
        <w:tc>
          <w:tcPr>
            <w:tcW w:w="557" w:type="pct"/>
            <w:vMerge w:val="restart"/>
            <w:tcBorders>
              <w:top w:val="single" w:sz="4" w:space="0" w:color="auto"/>
              <w:left w:val="single" w:sz="4" w:space="0" w:color="auto"/>
              <w:bottom w:val="single" w:sz="4" w:space="0" w:color="auto"/>
              <w:right w:val="single" w:sz="4" w:space="0" w:color="auto"/>
            </w:tcBorders>
          </w:tcPr>
          <w:p w14:paraId="315E15AE" w14:textId="77777777" w:rsidR="00560C21" w:rsidRPr="007705B7" w:rsidRDefault="006005B9" w:rsidP="00560C21">
            <w:pPr>
              <w:pStyle w:val="Tabletext0"/>
              <w:ind w:left="0" w:right="0"/>
              <w:rPr>
                <w:bCs/>
                <w:szCs w:val="19"/>
                <w:lang w:eastAsia="en-US"/>
              </w:rPr>
            </w:pPr>
            <w:r w:rsidRPr="007705B7">
              <w:rPr>
                <w:b w:val="0"/>
                <w:bCs/>
                <w:szCs w:val="19"/>
                <w:lang w:eastAsia="en-US"/>
              </w:rPr>
              <w:t>≥ Grade 3 TEAE</w:t>
            </w:r>
          </w:p>
          <w:p w14:paraId="639C0CA0" w14:textId="4EF8944C" w:rsidR="006005B9" w:rsidRPr="007705B7" w:rsidRDefault="006005B9" w:rsidP="00560C21">
            <w:pPr>
              <w:pStyle w:val="Tabletext0"/>
              <w:ind w:left="0" w:right="0"/>
              <w:rPr>
                <w:b w:val="0"/>
                <w:bCs/>
                <w:szCs w:val="19"/>
                <w:lang w:eastAsia="en-US"/>
              </w:rPr>
            </w:pPr>
            <w:r w:rsidRPr="007705B7">
              <w:rPr>
                <w:b w:val="0"/>
                <w:bCs/>
                <w:szCs w:val="19"/>
                <w:lang w:eastAsia="en-US"/>
              </w:rPr>
              <w:t>(%)</w:t>
            </w:r>
          </w:p>
        </w:tc>
        <w:tc>
          <w:tcPr>
            <w:tcW w:w="433" w:type="pct"/>
            <w:vMerge w:val="restart"/>
            <w:tcBorders>
              <w:top w:val="single" w:sz="4" w:space="0" w:color="auto"/>
              <w:left w:val="single" w:sz="4" w:space="0" w:color="auto"/>
              <w:bottom w:val="single" w:sz="4" w:space="0" w:color="auto"/>
              <w:right w:val="single" w:sz="4" w:space="0" w:color="auto"/>
            </w:tcBorders>
          </w:tcPr>
          <w:p w14:paraId="330A3455" w14:textId="77777777" w:rsidR="00560C21" w:rsidRPr="007705B7" w:rsidRDefault="006005B9" w:rsidP="00560C21">
            <w:pPr>
              <w:pStyle w:val="Tabletext0"/>
              <w:ind w:left="0" w:right="0"/>
              <w:rPr>
                <w:bCs/>
                <w:szCs w:val="19"/>
                <w:lang w:eastAsia="en-US"/>
              </w:rPr>
            </w:pPr>
            <w:r w:rsidRPr="007705B7">
              <w:rPr>
                <w:b w:val="0"/>
                <w:bCs/>
                <w:szCs w:val="19"/>
                <w:lang w:eastAsia="en-US"/>
              </w:rPr>
              <w:t>SAE</w:t>
            </w:r>
          </w:p>
          <w:p w14:paraId="749D4517" w14:textId="27318D65" w:rsidR="006005B9" w:rsidRPr="007705B7" w:rsidRDefault="006005B9" w:rsidP="00560C21">
            <w:pPr>
              <w:pStyle w:val="Tabletext0"/>
              <w:ind w:left="0" w:right="0"/>
              <w:rPr>
                <w:b w:val="0"/>
                <w:bCs/>
                <w:szCs w:val="19"/>
                <w:lang w:eastAsia="en-US"/>
              </w:rPr>
            </w:pPr>
            <w:r w:rsidRPr="007705B7">
              <w:rPr>
                <w:b w:val="0"/>
                <w:bCs/>
                <w:szCs w:val="19"/>
                <w:lang w:eastAsia="en-US"/>
              </w:rPr>
              <w:t>(%)</w:t>
            </w:r>
          </w:p>
        </w:tc>
        <w:tc>
          <w:tcPr>
            <w:tcW w:w="3202" w:type="pct"/>
            <w:gridSpan w:val="3"/>
            <w:tcBorders>
              <w:top w:val="single" w:sz="4" w:space="0" w:color="auto"/>
              <w:left w:val="single" w:sz="4" w:space="0" w:color="auto"/>
              <w:bottom w:val="single" w:sz="4" w:space="0" w:color="auto"/>
              <w:right w:val="single" w:sz="4" w:space="0" w:color="auto"/>
            </w:tcBorders>
          </w:tcPr>
          <w:p w14:paraId="507083EF" w14:textId="77777777" w:rsidR="006005B9" w:rsidRPr="007705B7" w:rsidRDefault="006005B9" w:rsidP="00560C21">
            <w:pPr>
              <w:pStyle w:val="Tabletext0"/>
              <w:ind w:left="0" w:right="0"/>
              <w:rPr>
                <w:b w:val="0"/>
                <w:bCs/>
                <w:szCs w:val="19"/>
                <w:lang w:eastAsia="en-US"/>
              </w:rPr>
            </w:pPr>
            <w:r w:rsidRPr="007705B7">
              <w:rPr>
                <w:b w:val="0"/>
                <w:bCs/>
                <w:szCs w:val="19"/>
                <w:lang w:eastAsia="en-US"/>
              </w:rPr>
              <w:t>Dose modifications (%)</w:t>
            </w:r>
          </w:p>
        </w:tc>
        <w:tc>
          <w:tcPr>
            <w:tcW w:w="162" w:type="pct"/>
            <w:vMerge w:val="restart"/>
            <w:tcBorders>
              <w:top w:val="single" w:sz="4" w:space="0" w:color="auto"/>
              <w:left w:val="single" w:sz="4" w:space="0" w:color="auto"/>
              <w:bottom w:val="single" w:sz="4" w:space="0" w:color="auto"/>
              <w:right w:val="single" w:sz="4" w:space="0" w:color="auto"/>
            </w:tcBorders>
          </w:tcPr>
          <w:p w14:paraId="078235FA" w14:textId="77777777" w:rsidR="006005B9" w:rsidRPr="007705B7" w:rsidRDefault="006005B9" w:rsidP="00560C21">
            <w:pPr>
              <w:pStyle w:val="Tabletext0"/>
              <w:ind w:left="0" w:right="0"/>
              <w:rPr>
                <w:b w:val="0"/>
                <w:bCs/>
                <w:szCs w:val="19"/>
                <w:lang w:eastAsia="en-US"/>
              </w:rPr>
            </w:pPr>
            <w:r w:rsidRPr="007705B7">
              <w:rPr>
                <w:b w:val="0"/>
                <w:bCs/>
                <w:szCs w:val="19"/>
                <w:lang w:eastAsia="en-US"/>
              </w:rPr>
              <w:t>All grade TEAEs</w:t>
            </w:r>
          </w:p>
          <w:p w14:paraId="295D7C9B" w14:textId="77777777" w:rsidR="006005B9" w:rsidRPr="007705B7" w:rsidRDefault="006005B9" w:rsidP="00560C21">
            <w:pPr>
              <w:pStyle w:val="Tabletext0"/>
              <w:ind w:left="0" w:right="0"/>
              <w:rPr>
                <w:b w:val="0"/>
                <w:bCs/>
                <w:szCs w:val="19"/>
                <w:lang w:eastAsia="en-US"/>
              </w:rPr>
            </w:pPr>
            <w:r w:rsidRPr="007705B7">
              <w:rPr>
                <w:b w:val="0"/>
                <w:bCs/>
                <w:szCs w:val="19"/>
                <w:lang w:eastAsia="en-US"/>
              </w:rPr>
              <w:t>resolved (%)</w:t>
            </w:r>
          </w:p>
        </w:tc>
      </w:tr>
      <w:tr w:rsidR="007705B7" w:rsidRPr="007705B7" w14:paraId="032530D9" w14:textId="77777777" w:rsidTr="007705B7">
        <w:trPr>
          <w:trHeight w:val="878"/>
        </w:trPr>
        <w:tc>
          <w:tcPr>
            <w:tcW w:w="162" w:type="pct"/>
            <w:vMerge/>
            <w:tcBorders>
              <w:top w:val="single" w:sz="4" w:space="0" w:color="auto"/>
              <w:left w:val="single" w:sz="4" w:space="0" w:color="auto"/>
              <w:bottom w:val="single" w:sz="4" w:space="0" w:color="auto"/>
              <w:right w:val="single" w:sz="4" w:space="0" w:color="auto"/>
            </w:tcBorders>
          </w:tcPr>
          <w:p w14:paraId="53A2744A" w14:textId="77777777" w:rsidR="006005B9" w:rsidRPr="007705B7" w:rsidRDefault="006005B9" w:rsidP="008B3CF0">
            <w:pPr>
              <w:pStyle w:val="Tabletext0"/>
              <w:jc w:val="right"/>
              <w:rPr>
                <w:bCs/>
                <w:szCs w:val="19"/>
              </w:rPr>
            </w:pPr>
          </w:p>
        </w:tc>
        <w:tc>
          <w:tcPr>
            <w:tcW w:w="484" w:type="pct"/>
            <w:vMerge/>
            <w:tcBorders>
              <w:top w:val="single" w:sz="4" w:space="0" w:color="auto"/>
              <w:left w:val="single" w:sz="4" w:space="0" w:color="auto"/>
              <w:bottom w:val="single" w:sz="4" w:space="0" w:color="auto"/>
              <w:right w:val="single" w:sz="4" w:space="0" w:color="auto"/>
            </w:tcBorders>
          </w:tcPr>
          <w:p w14:paraId="1A5412EE" w14:textId="77777777" w:rsidR="006005B9" w:rsidRPr="007705B7" w:rsidRDefault="006005B9" w:rsidP="008B3CF0">
            <w:pPr>
              <w:pStyle w:val="Tabletext0"/>
              <w:jc w:val="right"/>
              <w:rPr>
                <w:bCs/>
                <w:szCs w:val="19"/>
              </w:rPr>
            </w:pPr>
          </w:p>
        </w:tc>
        <w:tc>
          <w:tcPr>
            <w:tcW w:w="557" w:type="pct"/>
            <w:vMerge/>
            <w:tcBorders>
              <w:top w:val="single" w:sz="4" w:space="0" w:color="auto"/>
              <w:left w:val="single" w:sz="4" w:space="0" w:color="auto"/>
              <w:bottom w:val="single" w:sz="4" w:space="0" w:color="auto"/>
              <w:right w:val="single" w:sz="4" w:space="0" w:color="auto"/>
            </w:tcBorders>
          </w:tcPr>
          <w:p w14:paraId="2666E8FD" w14:textId="77777777" w:rsidR="006005B9" w:rsidRPr="007705B7" w:rsidRDefault="006005B9" w:rsidP="008B3CF0">
            <w:pPr>
              <w:pStyle w:val="Tabletext0"/>
              <w:jc w:val="right"/>
              <w:rPr>
                <w:bCs/>
                <w:szCs w:val="19"/>
              </w:rPr>
            </w:pPr>
          </w:p>
        </w:tc>
        <w:tc>
          <w:tcPr>
            <w:tcW w:w="433" w:type="pct"/>
            <w:vMerge/>
            <w:tcBorders>
              <w:top w:val="single" w:sz="4" w:space="0" w:color="auto"/>
              <w:left w:val="single" w:sz="4" w:space="0" w:color="auto"/>
              <w:bottom w:val="single" w:sz="4" w:space="0" w:color="auto"/>
              <w:right w:val="single" w:sz="4" w:space="0" w:color="auto"/>
            </w:tcBorders>
          </w:tcPr>
          <w:p w14:paraId="5504F20C" w14:textId="77777777" w:rsidR="006005B9" w:rsidRPr="007705B7" w:rsidRDefault="006005B9" w:rsidP="008B3CF0">
            <w:pPr>
              <w:pStyle w:val="Tabletext0"/>
              <w:jc w:val="right"/>
              <w:rPr>
                <w:bCs/>
                <w:szCs w:val="19"/>
              </w:rPr>
            </w:pPr>
          </w:p>
        </w:tc>
        <w:tc>
          <w:tcPr>
            <w:tcW w:w="1051" w:type="pct"/>
            <w:tcBorders>
              <w:top w:val="single" w:sz="4" w:space="0" w:color="auto"/>
              <w:left w:val="single" w:sz="4" w:space="0" w:color="auto"/>
              <w:bottom w:val="single" w:sz="4" w:space="0" w:color="auto"/>
              <w:right w:val="single" w:sz="4" w:space="0" w:color="auto"/>
            </w:tcBorders>
            <w:shd w:val="clear" w:color="auto" w:fill="006DA7"/>
          </w:tcPr>
          <w:p w14:paraId="39C6A2C8" w14:textId="57675B8A" w:rsidR="006005B9" w:rsidRPr="007705B7" w:rsidRDefault="006005B9" w:rsidP="00560C21">
            <w:pPr>
              <w:pStyle w:val="Tabletext0"/>
              <w:ind w:left="0"/>
              <w:rPr>
                <w:b/>
                <w:bCs/>
                <w:color w:val="FFFFFF" w:themeColor="background1"/>
                <w:szCs w:val="19"/>
              </w:rPr>
            </w:pPr>
            <w:r w:rsidRPr="007705B7">
              <w:rPr>
                <w:bCs/>
                <w:color w:val="FFFFFF" w:themeColor="background1"/>
                <w:szCs w:val="19"/>
                <w:lang w:eastAsia="en-US"/>
              </w:rPr>
              <w:t>Interruption</w:t>
            </w:r>
          </w:p>
        </w:tc>
        <w:tc>
          <w:tcPr>
            <w:tcW w:w="928" w:type="pct"/>
            <w:tcBorders>
              <w:top w:val="single" w:sz="4" w:space="0" w:color="auto"/>
              <w:left w:val="single" w:sz="4" w:space="0" w:color="auto"/>
              <w:bottom w:val="single" w:sz="4" w:space="0" w:color="auto"/>
              <w:right w:val="single" w:sz="4" w:space="0" w:color="auto"/>
            </w:tcBorders>
            <w:shd w:val="clear" w:color="auto" w:fill="006DA7"/>
          </w:tcPr>
          <w:p w14:paraId="145FA621" w14:textId="39323D53" w:rsidR="006005B9" w:rsidRPr="007705B7" w:rsidRDefault="006005B9" w:rsidP="00560C21">
            <w:pPr>
              <w:pStyle w:val="Tabletext0"/>
              <w:ind w:left="0"/>
              <w:rPr>
                <w:b/>
                <w:bCs/>
                <w:color w:val="FFFFFF" w:themeColor="background1"/>
                <w:szCs w:val="19"/>
              </w:rPr>
            </w:pPr>
            <w:r w:rsidRPr="007705B7">
              <w:rPr>
                <w:bCs/>
                <w:color w:val="FFFFFF" w:themeColor="background1"/>
                <w:szCs w:val="19"/>
                <w:lang w:eastAsia="en-US"/>
              </w:rPr>
              <w:t>Reduction</w:t>
            </w:r>
          </w:p>
        </w:tc>
        <w:tc>
          <w:tcPr>
            <w:tcW w:w="1223" w:type="pct"/>
            <w:tcBorders>
              <w:top w:val="single" w:sz="4" w:space="0" w:color="auto"/>
              <w:left w:val="single" w:sz="4" w:space="0" w:color="auto"/>
              <w:bottom w:val="single" w:sz="4" w:space="0" w:color="auto"/>
              <w:right w:val="single" w:sz="4" w:space="0" w:color="auto"/>
            </w:tcBorders>
            <w:shd w:val="clear" w:color="auto" w:fill="006DA7"/>
          </w:tcPr>
          <w:p w14:paraId="347500CD" w14:textId="3F3A433C" w:rsidR="006005B9" w:rsidRPr="007705B7" w:rsidRDefault="006005B9" w:rsidP="00560C21">
            <w:pPr>
              <w:pStyle w:val="Tabletext0"/>
              <w:ind w:left="0"/>
              <w:rPr>
                <w:bCs/>
                <w:color w:val="FFFFFF" w:themeColor="background1"/>
                <w:szCs w:val="19"/>
              </w:rPr>
            </w:pPr>
            <w:r w:rsidRPr="007705B7">
              <w:rPr>
                <w:bCs/>
                <w:color w:val="FFFFFF" w:themeColor="background1"/>
                <w:szCs w:val="19"/>
                <w:lang w:eastAsia="en-US"/>
              </w:rPr>
              <w:t>Discontinuation</w:t>
            </w:r>
          </w:p>
        </w:tc>
        <w:tc>
          <w:tcPr>
            <w:tcW w:w="162" w:type="pct"/>
            <w:vMerge/>
            <w:tcBorders>
              <w:top w:val="single" w:sz="4" w:space="0" w:color="auto"/>
              <w:left w:val="single" w:sz="4" w:space="0" w:color="auto"/>
            </w:tcBorders>
          </w:tcPr>
          <w:p w14:paraId="07AC96E3" w14:textId="77777777" w:rsidR="006005B9" w:rsidRPr="007705B7" w:rsidRDefault="006005B9" w:rsidP="008B3CF0">
            <w:pPr>
              <w:pStyle w:val="Tabletext0"/>
              <w:jc w:val="right"/>
              <w:rPr>
                <w:bCs/>
                <w:szCs w:val="19"/>
              </w:rPr>
            </w:pPr>
          </w:p>
        </w:tc>
      </w:tr>
      <w:tr w:rsidR="007705B7" w:rsidRPr="007705B7" w14:paraId="089B6F1D" w14:textId="77777777" w:rsidTr="007705B7">
        <w:trPr>
          <w:trHeight w:val="170"/>
        </w:trPr>
        <w:tc>
          <w:tcPr>
            <w:tcW w:w="162" w:type="pct"/>
            <w:tcBorders>
              <w:top w:val="single" w:sz="4" w:space="0" w:color="auto"/>
            </w:tcBorders>
          </w:tcPr>
          <w:p w14:paraId="44CFB904"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Diarrhoea</w:t>
            </w:r>
          </w:p>
        </w:tc>
        <w:tc>
          <w:tcPr>
            <w:tcW w:w="484" w:type="pct"/>
            <w:tcBorders>
              <w:top w:val="single" w:sz="4" w:space="0" w:color="auto"/>
            </w:tcBorders>
          </w:tcPr>
          <w:p w14:paraId="6FF9B388"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92</w:t>
            </w:r>
          </w:p>
        </w:tc>
        <w:tc>
          <w:tcPr>
            <w:tcW w:w="557" w:type="pct"/>
            <w:tcBorders>
              <w:top w:val="single" w:sz="4" w:space="0" w:color="auto"/>
            </w:tcBorders>
          </w:tcPr>
          <w:p w14:paraId="59695A85"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22</w:t>
            </w:r>
          </w:p>
        </w:tc>
        <w:tc>
          <w:tcPr>
            <w:tcW w:w="433" w:type="pct"/>
            <w:tcBorders>
              <w:top w:val="single" w:sz="4" w:space="0" w:color="auto"/>
            </w:tcBorders>
          </w:tcPr>
          <w:p w14:paraId="39C292B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8</w:t>
            </w:r>
          </w:p>
        </w:tc>
        <w:tc>
          <w:tcPr>
            <w:tcW w:w="1051" w:type="pct"/>
            <w:tcBorders>
              <w:top w:val="single" w:sz="4" w:space="0" w:color="auto"/>
            </w:tcBorders>
          </w:tcPr>
          <w:p w14:paraId="7883F7C8"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21</w:t>
            </w:r>
          </w:p>
        </w:tc>
        <w:tc>
          <w:tcPr>
            <w:tcW w:w="928" w:type="pct"/>
            <w:tcBorders>
              <w:top w:val="single" w:sz="4" w:space="0" w:color="auto"/>
            </w:tcBorders>
          </w:tcPr>
          <w:p w14:paraId="79C5AA6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10</w:t>
            </w:r>
          </w:p>
        </w:tc>
        <w:tc>
          <w:tcPr>
            <w:tcW w:w="1223" w:type="pct"/>
            <w:tcBorders>
              <w:top w:val="single" w:sz="4" w:space="0" w:color="auto"/>
            </w:tcBorders>
          </w:tcPr>
          <w:p w14:paraId="2F27A0F7"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4.4</w:t>
            </w:r>
          </w:p>
        </w:tc>
        <w:tc>
          <w:tcPr>
            <w:tcW w:w="162" w:type="pct"/>
          </w:tcPr>
          <w:p w14:paraId="1E56F255"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89</w:t>
            </w:r>
          </w:p>
        </w:tc>
      </w:tr>
      <w:tr w:rsidR="007705B7" w:rsidRPr="007705B7" w14:paraId="559CBACC" w14:textId="77777777" w:rsidTr="007705B7">
        <w:trPr>
          <w:trHeight w:val="170"/>
        </w:trPr>
        <w:tc>
          <w:tcPr>
            <w:tcW w:w="162" w:type="pct"/>
          </w:tcPr>
          <w:p w14:paraId="4E0262E8"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Stomatitis</w:t>
            </w:r>
          </w:p>
        </w:tc>
        <w:tc>
          <w:tcPr>
            <w:tcW w:w="484" w:type="pct"/>
          </w:tcPr>
          <w:p w14:paraId="4C994109"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46</w:t>
            </w:r>
          </w:p>
        </w:tc>
        <w:tc>
          <w:tcPr>
            <w:tcW w:w="557" w:type="pct"/>
          </w:tcPr>
          <w:p w14:paraId="2E60DF8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4.4</w:t>
            </w:r>
          </w:p>
        </w:tc>
        <w:tc>
          <w:tcPr>
            <w:tcW w:w="433" w:type="pct"/>
          </w:tcPr>
          <w:p w14:paraId="556CB934"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051" w:type="pct"/>
          </w:tcPr>
          <w:p w14:paraId="4709D456"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5</w:t>
            </w:r>
          </w:p>
        </w:tc>
        <w:tc>
          <w:tcPr>
            <w:tcW w:w="928" w:type="pct"/>
          </w:tcPr>
          <w:p w14:paraId="5F23B5E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2.6</w:t>
            </w:r>
          </w:p>
        </w:tc>
        <w:tc>
          <w:tcPr>
            <w:tcW w:w="1223" w:type="pct"/>
          </w:tcPr>
          <w:p w14:paraId="7806C791"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162" w:type="pct"/>
          </w:tcPr>
          <w:p w14:paraId="372305A7"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78</w:t>
            </w:r>
          </w:p>
        </w:tc>
      </w:tr>
      <w:tr w:rsidR="007705B7" w:rsidRPr="007705B7" w14:paraId="12A7FC43" w14:textId="77777777" w:rsidTr="007705B7">
        <w:trPr>
          <w:trHeight w:val="170"/>
        </w:trPr>
        <w:tc>
          <w:tcPr>
            <w:tcW w:w="162" w:type="pct"/>
          </w:tcPr>
          <w:p w14:paraId="78B709DC"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Vomiting</w:t>
            </w:r>
          </w:p>
        </w:tc>
        <w:tc>
          <w:tcPr>
            <w:tcW w:w="484" w:type="pct"/>
          </w:tcPr>
          <w:p w14:paraId="21023063"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40</w:t>
            </w:r>
          </w:p>
        </w:tc>
        <w:tc>
          <w:tcPr>
            <w:tcW w:w="557" w:type="pct"/>
          </w:tcPr>
          <w:p w14:paraId="6C071C5B"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2.6</w:t>
            </w:r>
          </w:p>
        </w:tc>
        <w:tc>
          <w:tcPr>
            <w:tcW w:w="433" w:type="pct"/>
          </w:tcPr>
          <w:p w14:paraId="67D7B974"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4.4</w:t>
            </w:r>
          </w:p>
        </w:tc>
        <w:tc>
          <w:tcPr>
            <w:tcW w:w="1051" w:type="pct"/>
          </w:tcPr>
          <w:p w14:paraId="59F294A5"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6</w:t>
            </w:r>
          </w:p>
        </w:tc>
        <w:tc>
          <w:tcPr>
            <w:tcW w:w="928" w:type="pct"/>
          </w:tcPr>
          <w:p w14:paraId="4A3D614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2.6</w:t>
            </w:r>
          </w:p>
        </w:tc>
        <w:tc>
          <w:tcPr>
            <w:tcW w:w="1223" w:type="pct"/>
          </w:tcPr>
          <w:p w14:paraId="2FCA74E8"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162" w:type="pct"/>
          </w:tcPr>
          <w:p w14:paraId="04F3A906"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86</w:t>
            </w:r>
          </w:p>
        </w:tc>
      </w:tr>
      <w:tr w:rsidR="007705B7" w:rsidRPr="007705B7" w14:paraId="5B3894F3" w14:textId="77777777" w:rsidTr="007705B7">
        <w:trPr>
          <w:trHeight w:val="170"/>
        </w:trPr>
        <w:tc>
          <w:tcPr>
            <w:tcW w:w="162" w:type="pct"/>
          </w:tcPr>
          <w:p w14:paraId="518548D7"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Nausea</w:t>
            </w:r>
          </w:p>
        </w:tc>
        <w:tc>
          <w:tcPr>
            <w:tcW w:w="484" w:type="pct"/>
          </w:tcPr>
          <w:p w14:paraId="01484A48"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37</w:t>
            </w:r>
          </w:p>
        </w:tc>
        <w:tc>
          <w:tcPr>
            <w:tcW w:w="557" w:type="pct"/>
          </w:tcPr>
          <w:p w14:paraId="4D566E64"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4.4</w:t>
            </w:r>
          </w:p>
        </w:tc>
        <w:tc>
          <w:tcPr>
            <w:tcW w:w="433" w:type="pct"/>
          </w:tcPr>
          <w:p w14:paraId="07D5E20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2.6</w:t>
            </w:r>
          </w:p>
        </w:tc>
        <w:tc>
          <w:tcPr>
            <w:tcW w:w="1051" w:type="pct"/>
          </w:tcPr>
          <w:p w14:paraId="334DC4FF"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7</w:t>
            </w:r>
          </w:p>
        </w:tc>
        <w:tc>
          <w:tcPr>
            <w:tcW w:w="928" w:type="pct"/>
          </w:tcPr>
          <w:p w14:paraId="498B2DE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5</w:t>
            </w:r>
          </w:p>
        </w:tc>
        <w:tc>
          <w:tcPr>
            <w:tcW w:w="1223" w:type="pct"/>
          </w:tcPr>
          <w:p w14:paraId="7B6D94E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3.5</w:t>
            </w:r>
          </w:p>
        </w:tc>
        <w:tc>
          <w:tcPr>
            <w:tcW w:w="162" w:type="pct"/>
          </w:tcPr>
          <w:p w14:paraId="35F6E193"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63</w:t>
            </w:r>
          </w:p>
        </w:tc>
      </w:tr>
      <w:tr w:rsidR="007705B7" w:rsidRPr="007705B7" w14:paraId="416B5E13" w14:textId="77777777" w:rsidTr="007705B7">
        <w:trPr>
          <w:trHeight w:val="170"/>
        </w:trPr>
        <w:tc>
          <w:tcPr>
            <w:tcW w:w="162" w:type="pct"/>
          </w:tcPr>
          <w:p w14:paraId="24B7123C"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Decreased appetite</w:t>
            </w:r>
          </w:p>
        </w:tc>
        <w:tc>
          <w:tcPr>
            <w:tcW w:w="484" w:type="pct"/>
          </w:tcPr>
          <w:p w14:paraId="1E43471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39</w:t>
            </w:r>
          </w:p>
        </w:tc>
        <w:tc>
          <w:tcPr>
            <w:tcW w:w="557" w:type="pct"/>
          </w:tcPr>
          <w:p w14:paraId="160BE9A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433" w:type="pct"/>
          </w:tcPr>
          <w:p w14:paraId="62101F8F"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1051" w:type="pct"/>
          </w:tcPr>
          <w:p w14:paraId="1F979402"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3.5</w:t>
            </w:r>
          </w:p>
        </w:tc>
        <w:tc>
          <w:tcPr>
            <w:tcW w:w="928" w:type="pct"/>
          </w:tcPr>
          <w:p w14:paraId="1515C927"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1223" w:type="pct"/>
          </w:tcPr>
          <w:p w14:paraId="7FD28806"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162" w:type="pct"/>
          </w:tcPr>
          <w:p w14:paraId="4AB94A7C"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57</w:t>
            </w:r>
          </w:p>
        </w:tc>
      </w:tr>
      <w:tr w:rsidR="007705B7" w:rsidRPr="007705B7" w14:paraId="2DA92F30" w14:textId="77777777" w:rsidTr="007705B7">
        <w:trPr>
          <w:trHeight w:val="170"/>
        </w:trPr>
        <w:tc>
          <w:tcPr>
            <w:tcW w:w="162" w:type="pct"/>
          </w:tcPr>
          <w:p w14:paraId="4F04CF60"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Weight decreased</w:t>
            </w:r>
          </w:p>
        </w:tc>
        <w:tc>
          <w:tcPr>
            <w:tcW w:w="484" w:type="pct"/>
          </w:tcPr>
          <w:p w14:paraId="069472D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21</w:t>
            </w:r>
          </w:p>
        </w:tc>
        <w:tc>
          <w:tcPr>
            <w:tcW w:w="557" w:type="pct"/>
          </w:tcPr>
          <w:p w14:paraId="08074BB9"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433" w:type="pct"/>
          </w:tcPr>
          <w:p w14:paraId="1AF0BDF8"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051" w:type="pct"/>
          </w:tcPr>
          <w:p w14:paraId="20B48AB1"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928" w:type="pct"/>
          </w:tcPr>
          <w:p w14:paraId="49397999"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1223" w:type="pct"/>
          </w:tcPr>
          <w:p w14:paraId="3CFABF7E"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162" w:type="pct"/>
          </w:tcPr>
          <w:p w14:paraId="7A91279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37</w:t>
            </w:r>
          </w:p>
        </w:tc>
      </w:tr>
      <w:tr w:rsidR="007705B7" w:rsidRPr="007705B7" w14:paraId="5B3B6490" w14:textId="77777777" w:rsidTr="007705B7">
        <w:trPr>
          <w:trHeight w:val="537"/>
        </w:trPr>
        <w:tc>
          <w:tcPr>
            <w:tcW w:w="162" w:type="pct"/>
          </w:tcPr>
          <w:p w14:paraId="4E84222C"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Abdominal pain</w:t>
            </w:r>
          </w:p>
        </w:tc>
        <w:tc>
          <w:tcPr>
            <w:tcW w:w="484" w:type="pct"/>
          </w:tcPr>
          <w:p w14:paraId="3E1FD4BE"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557" w:type="pct"/>
          </w:tcPr>
          <w:p w14:paraId="66313FEF"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433" w:type="pct"/>
          </w:tcPr>
          <w:p w14:paraId="0A6E9589"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1.8</w:t>
            </w:r>
          </w:p>
        </w:tc>
        <w:tc>
          <w:tcPr>
            <w:tcW w:w="1051" w:type="pct"/>
          </w:tcPr>
          <w:p w14:paraId="4F6B56D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928" w:type="pct"/>
          </w:tcPr>
          <w:p w14:paraId="63EFB7DE"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223" w:type="pct"/>
          </w:tcPr>
          <w:p w14:paraId="7E6DB535"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0.9</w:t>
            </w:r>
          </w:p>
        </w:tc>
        <w:tc>
          <w:tcPr>
            <w:tcW w:w="162" w:type="pct"/>
          </w:tcPr>
          <w:p w14:paraId="51CDB23B"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68</w:t>
            </w:r>
          </w:p>
        </w:tc>
      </w:tr>
      <w:tr w:rsidR="007705B7" w:rsidRPr="007705B7" w14:paraId="4D4480CE" w14:textId="77777777" w:rsidTr="007705B7">
        <w:trPr>
          <w:trHeight w:val="924"/>
        </w:trPr>
        <w:tc>
          <w:tcPr>
            <w:tcW w:w="162" w:type="pct"/>
          </w:tcPr>
          <w:p w14:paraId="108DCE11" w14:textId="77777777" w:rsidR="006005B9" w:rsidRPr="007705B7" w:rsidRDefault="006005B9" w:rsidP="007705B7">
            <w:pPr>
              <w:pStyle w:val="Tabletext0"/>
              <w:keepNext/>
              <w:ind w:left="0" w:right="0"/>
              <w:rPr>
                <w:color w:val="auto"/>
                <w:szCs w:val="19"/>
                <w:lang w:eastAsia="en-US"/>
              </w:rPr>
            </w:pPr>
            <w:r w:rsidRPr="007705B7">
              <w:rPr>
                <w:color w:val="auto"/>
                <w:szCs w:val="19"/>
                <w:lang w:eastAsia="en-US"/>
              </w:rPr>
              <w:t>Gastroesophageal reflux disease</w:t>
            </w:r>
          </w:p>
        </w:tc>
        <w:tc>
          <w:tcPr>
            <w:tcW w:w="484" w:type="pct"/>
          </w:tcPr>
          <w:p w14:paraId="2B272F47"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15</w:t>
            </w:r>
          </w:p>
        </w:tc>
        <w:tc>
          <w:tcPr>
            <w:tcW w:w="557" w:type="pct"/>
          </w:tcPr>
          <w:p w14:paraId="194D8D1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433" w:type="pct"/>
          </w:tcPr>
          <w:p w14:paraId="4F2B4E9A"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051" w:type="pct"/>
          </w:tcPr>
          <w:p w14:paraId="4B734535"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928" w:type="pct"/>
          </w:tcPr>
          <w:p w14:paraId="2032E53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223" w:type="pct"/>
          </w:tcPr>
          <w:p w14:paraId="5B91069D"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0</w:t>
            </w:r>
          </w:p>
        </w:tc>
        <w:tc>
          <w:tcPr>
            <w:tcW w:w="162" w:type="pct"/>
          </w:tcPr>
          <w:p w14:paraId="65B78A60" w14:textId="77777777" w:rsidR="006005B9" w:rsidRPr="007705B7" w:rsidRDefault="006005B9" w:rsidP="00560C21">
            <w:pPr>
              <w:pStyle w:val="Tabletext0"/>
              <w:keepNext/>
              <w:ind w:left="0" w:right="0"/>
              <w:jc w:val="center"/>
              <w:rPr>
                <w:color w:val="auto"/>
                <w:szCs w:val="19"/>
                <w:lang w:eastAsia="en-US"/>
              </w:rPr>
            </w:pPr>
            <w:r w:rsidRPr="007705B7">
              <w:rPr>
                <w:color w:val="auto"/>
                <w:szCs w:val="19"/>
                <w:lang w:eastAsia="en-US"/>
              </w:rPr>
              <w:t>47</w:t>
            </w:r>
          </w:p>
        </w:tc>
      </w:tr>
    </w:tbl>
    <w:p w14:paraId="580E494F" w14:textId="05492438" w:rsidR="006005B9" w:rsidRPr="00560C21" w:rsidRDefault="006005B9" w:rsidP="00560C21">
      <w:pPr>
        <w:pStyle w:val="Heading6"/>
      </w:pPr>
      <w:r w:rsidRPr="00560C21">
        <w:t>Acute kidney injury</w:t>
      </w:r>
    </w:p>
    <w:p w14:paraId="371F39CF" w14:textId="31DF53D6" w:rsidR="006005B9" w:rsidRDefault="006005B9" w:rsidP="006005B9">
      <w:r w:rsidRPr="00CC4EB0">
        <w:t>Treatment</w:t>
      </w:r>
      <w:r w:rsidR="00560C21">
        <w:t xml:space="preserve"> </w:t>
      </w:r>
      <w:r w:rsidRPr="00CC4EB0">
        <w:t>emergent adverse events of acute kidney injury</w:t>
      </w:r>
      <w:r>
        <w:t xml:space="preserve"> </w:t>
      </w:r>
      <w:r w:rsidRPr="00CC4EB0">
        <w:t>occurred in 7% of patients in the pooled safety population</w:t>
      </w:r>
      <w:r>
        <w:t xml:space="preserve"> (n</w:t>
      </w:r>
      <w:r w:rsidR="00560C21">
        <w:t xml:space="preserve"> </w:t>
      </w:r>
      <w:r>
        <w:t>=</w:t>
      </w:r>
      <w:r w:rsidR="00560C21">
        <w:t xml:space="preserve"> </w:t>
      </w:r>
      <w:r>
        <w:t xml:space="preserve">256), and were serious or </w:t>
      </w:r>
      <w:r w:rsidR="00560C21">
        <w:t>G</w:t>
      </w:r>
      <w:r>
        <w:t xml:space="preserve">rade 3 and higher in around 3% of patients. Dose interruption for </w:t>
      </w:r>
      <w:r w:rsidR="00560C21">
        <w:t xml:space="preserve">acute kidney injury </w:t>
      </w:r>
      <w:r>
        <w:t xml:space="preserve">occurred in 2% of patients, dose reduction in </w:t>
      </w:r>
      <w:r w:rsidR="00560C21">
        <w:t>one</w:t>
      </w:r>
      <w:r>
        <w:t xml:space="preserve"> patient and no discontinuations. In addition to events reported as </w:t>
      </w:r>
      <w:r w:rsidR="00877760">
        <w:t>t</w:t>
      </w:r>
      <w:r w:rsidR="00560C21" w:rsidRPr="00CC4EB0">
        <w:t>reatment</w:t>
      </w:r>
      <w:r w:rsidR="00560C21">
        <w:t xml:space="preserve"> </w:t>
      </w:r>
      <w:r w:rsidR="00560C21" w:rsidRPr="00CC4EB0">
        <w:t xml:space="preserve">emergent </w:t>
      </w:r>
      <w:r w:rsidR="00560C21" w:rsidRPr="00CC4EB0">
        <w:lastRenderedPageBreak/>
        <w:t>adverse events</w:t>
      </w:r>
      <w:r>
        <w:t>, according to serum biochemistry measurements, 52% of patients had worsening serum creatinine compared to baseline; 3% of these events were of Grade 3 or greater severity.</w:t>
      </w:r>
      <w:r w:rsidRPr="006467BF">
        <w:t xml:space="preserve"> </w:t>
      </w:r>
      <w:r w:rsidR="00560C21">
        <w:t>acute kidney injury</w:t>
      </w:r>
      <w:r>
        <w:t xml:space="preserve"> events were not strongly associated with diarrhoea and dehydration: 20% of </w:t>
      </w:r>
      <w:r w:rsidR="00560C21">
        <w:t>acute kidney injury</w:t>
      </w:r>
      <w:r>
        <w:t xml:space="preserve"> events occurred within 7 days of the onset of diarrhoea events.</w:t>
      </w:r>
    </w:p>
    <w:p w14:paraId="43F9996F" w14:textId="088E659D" w:rsidR="006005B9" w:rsidRDefault="006005B9" w:rsidP="006005B9">
      <w:r>
        <w:t>There was one fatal event of renal insufficiency that occurred 32 days after mobocertinib was discontinued due to disease progression in a 72</w:t>
      </w:r>
      <w:r w:rsidR="00F50933">
        <w:t xml:space="preserve"> </w:t>
      </w:r>
      <w:r>
        <w:t>year</w:t>
      </w:r>
      <w:r w:rsidR="00F50933">
        <w:t xml:space="preserve"> </w:t>
      </w:r>
      <w:r>
        <w:t>old male with a history of hypertension and diabetes mellitus (see page 190 of the multi-disciplinary review)</w:t>
      </w:r>
      <w:r w:rsidR="00560C21">
        <w:t>:</w:t>
      </w:r>
      <w:r w:rsidR="00560C21">
        <w:fldChar w:fldCharType="begin"/>
      </w:r>
      <w:r w:rsidR="00560C21">
        <w:instrText xml:space="preserve"> NOTEREF _Ref130385363 \f \h </w:instrText>
      </w:r>
      <w:r w:rsidR="00560C21">
        <w:fldChar w:fldCharType="separate"/>
      </w:r>
      <w:r w:rsidR="00301E36" w:rsidRPr="00301E36">
        <w:rPr>
          <w:rStyle w:val="FootnoteReference"/>
        </w:rPr>
        <w:t>45</w:t>
      </w:r>
      <w:r w:rsidR="00560C21">
        <w:fldChar w:fldCharType="end"/>
      </w:r>
    </w:p>
    <w:p w14:paraId="59800BFE" w14:textId="5FA01640" w:rsidR="006005B9" w:rsidRPr="00560C21" w:rsidRDefault="00560C21" w:rsidP="00560C21">
      <w:pPr>
        <w:ind w:left="720"/>
      </w:pPr>
      <w:bookmarkStart w:id="118" w:name="ARFcase"/>
      <w:r>
        <w:t>‘</w:t>
      </w:r>
      <w:r w:rsidR="00877760">
        <w:t>[the patient]</w:t>
      </w:r>
      <w:r w:rsidR="00877760" w:rsidRPr="00560C21">
        <w:t xml:space="preserve"> </w:t>
      </w:r>
      <w:r w:rsidR="006005B9" w:rsidRPr="00560C21">
        <w:t xml:space="preserve">had a normal creatinine </w:t>
      </w:r>
      <w:r w:rsidR="004659AE">
        <w:t>at Baseline</w:t>
      </w:r>
      <w:r w:rsidR="006005B9" w:rsidRPr="00560C21">
        <w:t xml:space="preserve"> and on Day 12 of treatment, he developed Grade 1 increased serum creatinine which worsened to Grade 2 on Day 113 of treatment and did not resolve; he also had intermittent Grade 1 TEAEs of increased BUN. He was on treatment for approximately 6.5 months, then discontinued mobocertinib due to disease progression. Two days after discontinuation of treatment, he developed incomplete intestinal obstruction with nausea, vomiting and no bowel movements. Four days later he developed Grade 4 renal insufficiency and he started dialysis. Evaluation of his ascites fluid showed evidence of adenocarcinoma cells, and he transitioned to hospice and died 13 days after admission. The investigator attributed the cause of death to Grade 5 renal insufficiency and discontinuation of treatment; however, it is possible that treatment with mobocertinib contributed to his renal insufficiency.</w:t>
      </w:r>
      <w:r>
        <w:t>’</w:t>
      </w:r>
    </w:p>
    <w:bookmarkEnd w:id="118"/>
    <w:p w14:paraId="2058F2DB" w14:textId="4F8D271A" w:rsidR="006005B9" w:rsidRPr="00443FC1" w:rsidRDefault="00560C21" w:rsidP="006005B9">
      <w:pPr>
        <w:rPr>
          <w:highlight w:val="yellow"/>
        </w:rPr>
      </w:pPr>
      <w:r>
        <w:t>Acute kidney injury</w:t>
      </w:r>
      <w:r w:rsidR="006005B9">
        <w:t xml:space="preserve"> is included minimally in the FDA product labelling: as a clinically relevant adverse reaction occurring in </w:t>
      </w:r>
      <w:r>
        <w:t xml:space="preserve">less than </w:t>
      </w:r>
      <w:r w:rsidR="006005B9">
        <w:t>10% of patients in the primary safety population. This information should be included in the Australian PI in a similar manner.</w:t>
      </w:r>
    </w:p>
    <w:p w14:paraId="0F697E66" w14:textId="77777777" w:rsidR="006005B9" w:rsidRPr="00560C21" w:rsidRDefault="006005B9" w:rsidP="00560C21">
      <w:pPr>
        <w:pStyle w:val="Heading6"/>
      </w:pPr>
      <w:r w:rsidRPr="00560C21">
        <w:t>Amylase/lipase increase</w:t>
      </w:r>
    </w:p>
    <w:p w14:paraId="5D22C36E" w14:textId="1B828977" w:rsidR="006005B9" w:rsidRDefault="006005B9" w:rsidP="006005B9">
      <w:r>
        <w:t xml:space="preserve">Elevations of amylase and lipase from </w:t>
      </w:r>
      <w:r w:rsidR="00560C21">
        <w:t>B</w:t>
      </w:r>
      <w:r>
        <w:t xml:space="preserve">aseline occurred in around a third of patients, based on laboratory assessments, but were not serious, generally resolved without dose modification and were not associated with reported events of pancreatitis. Of 17 patients with Grade 3 or 4 events of elevated amylase or lipase, </w:t>
      </w:r>
      <w:r w:rsidR="00560C21">
        <w:t>three</w:t>
      </w:r>
      <w:r>
        <w:t xml:space="preserve"> patients had elevated lipase alone, </w:t>
      </w:r>
      <w:r w:rsidR="00560C21">
        <w:t>three</w:t>
      </w:r>
      <w:r>
        <w:t xml:space="preserve"> patients had elevated amylase alone, and 11 patients had both elevated simultaneously (at least </w:t>
      </w:r>
      <w:r w:rsidR="00877760">
        <w:t>one patient</w:t>
      </w:r>
      <w:r>
        <w:t xml:space="preserve"> to Grade 3 or 4). </w:t>
      </w:r>
      <w:r w:rsidR="00560C21" w:rsidRPr="00CC4EB0">
        <w:t>Treatment</w:t>
      </w:r>
      <w:r w:rsidR="00560C21">
        <w:t xml:space="preserve"> </w:t>
      </w:r>
      <w:r w:rsidR="00560C21" w:rsidRPr="00CC4EB0">
        <w:t>emergent adverse events</w:t>
      </w:r>
      <w:r>
        <w:t xml:space="preserve"> during the </w:t>
      </w:r>
      <w:r w:rsidR="00F50933">
        <w:t xml:space="preserve">two </w:t>
      </w:r>
      <w:r>
        <w:t>week period around the event of high</w:t>
      </w:r>
      <w:r w:rsidR="00560C21">
        <w:t xml:space="preserve"> </w:t>
      </w:r>
      <w:r>
        <w:t>grade elevated amylase and/or lipase were reviewed: 3 of 17 had preceding events of abdominal pain; none were serious.</w:t>
      </w:r>
    </w:p>
    <w:p w14:paraId="19B02B87" w14:textId="0B52489D" w:rsidR="006005B9" w:rsidRDefault="006005B9" w:rsidP="006005B9">
      <w:r>
        <w:t xml:space="preserve">The following </w:t>
      </w:r>
      <w:r w:rsidR="00560C21">
        <w:t>three</w:t>
      </w:r>
      <w:r>
        <w:t xml:space="preserve"> patients had Grade 4 events of increased amylase or lipase</w:t>
      </w:r>
      <w:r w:rsidR="00560C21">
        <w:t>:</w:t>
      </w:r>
      <w:r w:rsidR="00560C21">
        <w:fldChar w:fldCharType="begin"/>
      </w:r>
      <w:r w:rsidR="00560C21">
        <w:instrText xml:space="preserve"> NOTEREF _Ref130385363 \f \h </w:instrText>
      </w:r>
      <w:r w:rsidR="00560C21">
        <w:fldChar w:fldCharType="separate"/>
      </w:r>
      <w:r w:rsidR="00301E36" w:rsidRPr="00301E36">
        <w:rPr>
          <w:rStyle w:val="FootnoteReference"/>
        </w:rPr>
        <w:t>45</w:t>
      </w:r>
      <w:r w:rsidR="00560C21">
        <w:fldChar w:fldCharType="end"/>
      </w:r>
    </w:p>
    <w:p w14:paraId="1682A859" w14:textId="313C5A72" w:rsidR="006005B9" w:rsidRPr="00560C21" w:rsidRDefault="00560C21" w:rsidP="00560C21">
      <w:pPr>
        <w:ind w:left="720"/>
      </w:pPr>
      <w:r>
        <w:t>‘</w:t>
      </w:r>
      <w:r w:rsidR="00877760">
        <w:t xml:space="preserve">A </w:t>
      </w:r>
      <w:r w:rsidR="006005B9" w:rsidRPr="00560C21">
        <w:t xml:space="preserve">53-year-old female with baseline Grade 3 amylase elevation of salivary source that remained elevated throughout treatment; on Study Day 220 she developed asymptomatic Grade 4 increased amylase and on the same day she came off treatment due to disease progression; she had other ongoing AEs of dry mouth, dysgeusia and diarrhea; there were no other symptoms related to increased amylase; the lipase levels throughout were low or normal; the outcome of the event was </w:t>
      </w:r>
      <w:r w:rsidR="00877760">
        <w:t>‘</w:t>
      </w:r>
      <w:r w:rsidR="006005B9" w:rsidRPr="00560C21">
        <w:t>unknown</w:t>
      </w:r>
      <w:r w:rsidR="00877760">
        <w:t>’</w:t>
      </w:r>
      <w:r w:rsidR="006005B9" w:rsidRPr="00560C21">
        <w:t>.</w:t>
      </w:r>
    </w:p>
    <w:p w14:paraId="2D810AB1" w14:textId="33666D2B" w:rsidR="006005B9" w:rsidRPr="00560C21" w:rsidRDefault="00877760" w:rsidP="00560C21">
      <w:pPr>
        <w:ind w:left="720"/>
      </w:pPr>
      <w:r>
        <w:t xml:space="preserve">A </w:t>
      </w:r>
      <w:r w:rsidR="006005B9" w:rsidRPr="00560C21">
        <w:t xml:space="preserve">66-year-old female with normal baseline amylase and lipase who developed intermittent events of elevated amylase and lipase throughout treatment. Starting on Study Day 57, she developed Grade 4 increased lipase with Grade 3 increased amylase; mobocertinib was held until approximately one week later when the events improved to Grade 2 severity and mobocertinib was restarted at a reduced dose of 120 mg. On Study Day 113, she experienced a second episode of asymptomatic Grade 4 increased lipase with Grade 1 increased amylase. There was no evidence of pancreatitis on CT imaging. Mobocertinib was held for one week, then restarted at the same dose when the increased lipase improved to Grade 3 severity. She had ongoing intermittent events of increased amylase and lipase between Study Days 120 to 295, ranging from Grades 1 to 3, which </w:t>
      </w:r>
      <w:r w:rsidR="006005B9" w:rsidRPr="00560C21">
        <w:lastRenderedPageBreak/>
        <w:t>were unresolved as of the last data cut-off date. As of the data cut- off date, treatment was ongoing with a partial tumor response.</w:t>
      </w:r>
    </w:p>
    <w:p w14:paraId="4A83F028" w14:textId="00977014" w:rsidR="006005B9" w:rsidRPr="00560C21" w:rsidRDefault="006005B9" w:rsidP="00560C21">
      <w:pPr>
        <w:ind w:left="720"/>
      </w:pPr>
      <w:r w:rsidRPr="00560C21">
        <w:t>63-year-old male with baseline Grade 1 amylase and lipase elevations who developed Grade 4 increased lipase and Grade 3 increased amylase on Study Day 15. Mobocertinib was held for 1 week until the events resolved, and mobocertinib was restarted at a reduced dose of 120 mg. On Study Day 29, he had recurrent Grade 3 increased lipase and Grade 1 increased amylase, and the dose was held until the lipase elevation improved to Grade 1; he then resumed mobocertinib at the same dose. On Study Day 71, he had recurrent Grade 3 increased lipase; the dose was held until resolution one week later, and he restarted mobocertinib at a reduced dose of 80 mg with no further events. He stopped treatment on Study Day 134 due to progressive disease.</w:t>
      </w:r>
      <w:r w:rsidR="00560C21">
        <w:t>’</w:t>
      </w:r>
    </w:p>
    <w:p w14:paraId="42A10FCA" w14:textId="77777777" w:rsidR="006005B9" w:rsidRPr="00560C21" w:rsidRDefault="006005B9" w:rsidP="00560C21">
      <w:pPr>
        <w:pStyle w:val="Heading6"/>
      </w:pPr>
      <w:r w:rsidRPr="00560C21">
        <w:t>Skin toxicities</w:t>
      </w:r>
    </w:p>
    <w:p w14:paraId="37E78962" w14:textId="1FA02DB4" w:rsidR="006005B9" w:rsidRDefault="006005B9" w:rsidP="006005B9">
      <w:r>
        <w:t>Rash was very common, occurring in 73% of patients in the pooled safety population (n</w:t>
      </w:r>
      <w:r w:rsidR="00560C21">
        <w:t xml:space="preserve"> </w:t>
      </w:r>
      <w:r>
        <w:t>=</w:t>
      </w:r>
      <w:r w:rsidR="00560C21">
        <w:t xml:space="preserve"> </w:t>
      </w:r>
      <w:r>
        <w:t>256).</w:t>
      </w:r>
    </w:p>
    <w:p w14:paraId="488E35A4" w14:textId="64D1CB39" w:rsidR="006005B9" w:rsidRDefault="006005B9" w:rsidP="006005B9">
      <w:r>
        <w:t>Palmar</w:t>
      </w:r>
      <w:r w:rsidR="00F50933">
        <w:t xml:space="preserve"> </w:t>
      </w:r>
      <w:r>
        <w:t>plantar erythrodysaesthesia</w:t>
      </w:r>
      <w:r w:rsidR="00560C21">
        <w:t xml:space="preserve"> </w:t>
      </w:r>
      <w:r>
        <w:t>is a known risk of TKIs, and occurred in 3</w:t>
      </w:r>
      <w:r w:rsidR="00F74310">
        <w:t xml:space="preserve"> to </w:t>
      </w:r>
      <w:r>
        <w:t>4% of patients across safety populations. Around 90% were Grades 1</w:t>
      </w:r>
      <w:r w:rsidR="007A44DB">
        <w:t xml:space="preserve"> to </w:t>
      </w:r>
      <w:r>
        <w:t xml:space="preserve">2 and none were serious. </w:t>
      </w:r>
      <w:r w:rsidR="00560C21">
        <w:t xml:space="preserve">Palmar-plantar erythrodysaesthesia </w:t>
      </w:r>
      <w:r>
        <w:t xml:space="preserve">is included in the FDA label as a clinically relevant adverse reaction occurring in </w:t>
      </w:r>
      <w:r w:rsidR="00F74310">
        <w:t xml:space="preserve">less than </w:t>
      </w:r>
      <w:r>
        <w:t>10% of patients in the primary safety population and should be included in the Australian PI.</w:t>
      </w:r>
    </w:p>
    <w:p w14:paraId="12ACA188" w14:textId="0D7C2331" w:rsidR="006005B9" w:rsidRDefault="006005B9" w:rsidP="006005B9">
      <w:r>
        <w:t xml:space="preserve">Paronychia is also a known risk of </w:t>
      </w:r>
      <w:r w:rsidRPr="00F50933">
        <w:t>EGFR</w:t>
      </w:r>
      <w:r w:rsidRPr="00560C21">
        <w:rPr>
          <w:i/>
          <w:iCs/>
        </w:rPr>
        <w:t xml:space="preserve"> </w:t>
      </w:r>
      <w:r>
        <w:t>TKIs. All</w:t>
      </w:r>
      <w:r w:rsidR="00F74310">
        <w:t xml:space="preserve"> </w:t>
      </w:r>
      <w:r>
        <w:t xml:space="preserve">grade </w:t>
      </w:r>
      <w:r w:rsidR="00F74310">
        <w:t>t</w:t>
      </w:r>
      <w:r w:rsidR="00F74310" w:rsidRPr="00CC4EB0">
        <w:t>reatment</w:t>
      </w:r>
      <w:r w:rsidR="00F74310">
        <w:t xml:space="preserve"> </w:t>
      </w:r>
      <w:r w:rsidR="00F74310" w:rsidRPr="00CC4EB0">
        <w:t>emergent adverse events</w:t>
      </w:r>
      <w:r>
        <w:t xml:space="preserve"> of the grouped term paronychia (including preferred terms paronychia, onychoclasis, nail disorder, onycholysis, onychalgia, nail infection, onychomycosis, onychomadesis, nail bed tenderness, nail discoloration and ingrowing nail) occurred in 32% of patients in the pooled safety population (n</w:t>
      </w:r>
      <w:r w:rsidR="00F74310">
        <w:t> </w:t>
      </w:r>
      <w:r>
        <w:t>=</w:t>
      </w:r>
      <w:r w:rsidR="00560C21">
        <w:t xml:space="preserve"> </w:t>
      </w:r>
      <w:r>
        <w:t>256). All events except for one were Grade 1 or 2.</w:t>
      </w:r>
    </w:p>
    <w:p w14:paraId="03BDA6CA" w14:textId="2DD8126B" w:rsidR="006005B9" w:rsidRPr="008E489F" w:rsidRDefault="006005B9" w:rsidP="006005B9">
      <w:r>
        <w:t xml:space="preserve">Other skin disorders were common, including dry skin in 30% of patients, pruritis in 18% and alopecia in 14%. All </w:t>
      </w:r>
      <w:r w:rsidR="00F74310">
        <w:t>t</w:t>
      </w:r>
      <w:r w:rsidR="00F74310" w:rsidRPr="00CC4EB0">
        <w:t>reatment</w:t>
      </w:r>
      <w:r w:rsidR="00F74310">
        <w:t xml:space="preserve"> </w:t>
      </w:r>
      <w:r w:rsidR="00F74310" w:rsidRPr="00CC4EB0">
        <w:t>emergent adverse events</w:t>
      </w:r>
      <w:r>
        <w:t xml:space="preserve"> were low grade and non-serious except one </w:t>
      </w:r>
      <w:r w:rsidR="00560C21">
        <w:t>G</w:t>
      </w:r>
      <w:r>
        <w:t xml:space="preserve">rade 3 event of pruritis; none required discontinuation except one </w:t>
      </w:r>
      <w:r w:rsidR="00560C21">
        <w:t>G</w:t>
      </w:r>
      <w:r>
        <w:t>rade 1 event of alopecia.</w:t>
      </w:r>
    </w:p>
    <w:p w14:paraId="1DB458B2" w14:textId="77777777" w:rsidR="006005B9" w:rsidRPr="00F74310" w:rsidRDefault="006005B9" w:rsidP="00F74310">
      <w:pPr>
        <w:pStyle w:val="Heading6"/>
      </w:pPr>
      <w:r w:rsidRPr="00F74310">
        <w:t>Ocular toxicities</w:t>
      </w:r>
    </w:p>
    <w:p w14:paraId="2ABB58D1" w14:textId="77777777" w:rsidR="006005B9" w:rsidRDefault="006005B9" w:rsidP="006005B9">
      <w:r w:rsidRPr="008E489F">
        <w:t>FDA performed a detailed review of eye disorders because ocular events, including conjunctival hyperemia, corneal opacity, discharge, thinning and/or atrophy of the corneal epithelium, were observed in non-clinical studies of mobocertinib.</w:t>
      </w:r>
      <w:r>
        <w:t xml:space="preserve"> Eye disorders occurred in 15% of patients and were all low grade, however one patient discontinued for an eye disorder:</w:t>
      </w:r>
    </w:p>
    <w:p w14:paraId="704B0D95" w14:textId="440E433B" w:rsidR="006005B9" w:rsidRPr="00F74310" w:rsidRDefault="00877760" w:rsidP="00F74310">
      <w:pPr>
        <w:ind w:left="720"/>
      </w:pPr>
      <w:r>
        <w:t>‘A</w:t>
      </w:r>
      <w:r w:rsidR="006005B9" w:rsidRPr="00F74310">
        <w:t>71-year-old female who developed Grade 1 events of increased lacrimation, eye discharge and blurry vision starting approximately 2 weeks after initiating mobocertinib. The investigator assessed the events as probably related to mobocertinib and mobocertinib was discontinued. The events did not resolve</w:t>
      </w:r>
      <w:r w:rsidR="00F74310">
        <w:t>.’</w:t>
      </w:r>
    </w:p>
    <w:p w14:paraId="0A550E29" w14:textId="60101697" w:rsidR="006005B9" w:rsidRPr="008E489F" w:rsidRDefault="006005B9" w:rsidP="006005B9">
      <w:pPr>
        <w:rPr>
          <w:highlight w:val="yellow"/>
        </w:rPr>
      </w:pPr>
      <w:r>
        <w:t>Whilst</w:t>
      </w:r>
      <w:r w:rsidRPr="008E489F">
        <w:t xml:space="preserve"> ocular toxicities </w:t>
      </w:r>
      <w:r>
        <w:t>were low grade, due to t</w:t>
      </w:r>
      <w:r w:rsidRPr="008E489F">
        <w:t xml:space="preserve">he evidence of ocular toxicity in non-clinical studies and </w:t>
      </w:r>
      <w:r>
        <w:t xml:space="preserve">the presence of ocular toxicities for other </w:t>
      </w:r>
      <w:r w:rsidRPr="00F50933">
        <w:t xml:space="preserve">EGFR </w:t>
      </w:r>
      <w:r>
        <w:t>TKIs</w:t>
      </w:r>
      <w:r w:rsidRPr="008E489F">
        <w:t xml:space="preserve">, </w:t>
      </w:r>
      <w:r>
        <w:t xml:space="preserve">FDA </w:t>
      </w:r>
      <w:r w:rsidRPr="008E489F">
        <w:t>consider</w:t>
      </w:r>
      <w:r>
        <w:t>ed</w:t>
      </w:r>
      <w:r w:rsidRPr="008E489F">
        <w:t xml:space="preserve"> ocular toxicity a clinically relevant adverse event</w:t>
      </w:r>
      <w:r>
        <w:t xml:space="preserve"> and included the grouped term their label. The Australian PI adverse event table should include this grouped term.</w:t>
      </w:r>
    </w:p>
    <w:p w14:paraId="7C0CE646" w14:textId="77777777" w:rsidR="006005B9" w:rsidRPr="00F74310" w:rsidRDefault="006005B9" w:rsidP="00F74310">
      <w:pPr>
        <w:pStyle w:val="Heading5"/>
      </w:pPr>
      <w:bookmarkStart w:id="119" w:name="_Ref102391910"/>
      <w:r w:rsidRPr="00F74310">
        <w:t>Cardiac safety</w:t>
      </w:r>
      <w:bookmarkEnd w:id="119"/>
    </w:p>
    <w:p w14:paraId="15EB1227" w14:textId="5A0EAE48" w:rsidR="006005B9" w:rsidRDefault="006005B9" w:rsidP="006005B9">
      <w:r>
        <w:t xml:space="preserve">The </w:t>
      </w:r>
      <w:r w:rsidR="00F74310">
        <w:t>s</w:t>
      </w:r>
      <w:r>
        <w:t>ponsor conducted a concentration-QTc model analysis, in which the e</w:t>
      </w:r>
      <w:r w:rsidRPr="001E03CD">
        <w:t>stimated weighted sum of mobocertinib, AP32960, and AP32914 plasma concentration was a</w:t>
      </w:r>
      <w:r>
        <w:t xml:space="preserve"> </w:t>
      </w:r>
      <w:r w:rsidRPr="001E03CD">
        <w:t xml:space="preserve">statistically </w:t>
      </w:r>
      <w:r w:rsidRPr="001E03CD">
        <w:lastRenderedPageBreak/>
        <w:t>significant predictor of QTcF and JTpeak.</w:t>
      </w:r>
      <w:r w:rsidR="00877760">
        <w:rPr>
          <w:rStyle w:val="FootnoteReference"/>
        </w:rPr>
        <w:footnoteReference w:id="79"/>
      </w:r>
      <w:r w:rsidRPr="001E03CD">
        <w:t xml:space="preserve"> The model</w:t>
      </w:r>
      <w:r w:rsidR="00F74310">
        <w:t xml:space="preserve"> </w:t>
      </w:r>
      <w:r w:rsidRPr="001E03CD">
        <w:t>based prediction of QTcF</w:t>
      </w:r>
      <w:r>
        <w:t xml:space="preserve"> </w:t>
      </w:r>
      <w:r w:rsidRPr="001E03CD">
        <w:t xml:space="preserve">interval change from </w:t>
      </w:r>
      <w:r w:rsidR="00F74310">
        <w:t>B</w:t>
      </w:r>
      <w:r w:rsidRPr="001E03CD">
        <w:t>aseline at the steady</w:t>
      </w:r>
      <w:r w:rsidR="00F74310">
        <w:t xml:space="preserve"> </w:t>
      </w:r>
      <w:r w:rsidRPr="001E03CD">
        <w:t>state C</w:t>
      </w:r>
      <w:r w:rsidRPr="00F74310">
        <w:rPr>
          <w:vertAlign w:val="subscript"/>
        </w:rPr>
        <w:t>max</w:t>
      </w:r>
      <w:r w:rsidRPr="001E03CD">
        <w:t xml:space="preserve"> following 160 mg </w:t>
      </w:r>
      <w:r w:rsidR="00F74310">
        <w:t>once daily</w:t>
      </w:r>
      <w:r w:rsidRPr="001E03CD">
        <w:t xml:space="preserve"> mobocertinib was</w:t>
      </w:r>
      <w:r>
        <w:t xml:space="preserve"> </w:t>
      </w:r>
      <w:r w:rsidRPr="001E03CD">
        <w:t>12.7 msec (90% CI: 8.69, 16.8). The corresponding prediction for the JTpeak interval change from</w:t>
      </w:r>
      <w:r>
        <w:t xml:space="preserve"> </w:t>
      </w:r>
      <w:r w:rsidR="00F74310">
        <w:t>B</w:t>
      </w:r>
      <w:r w:rsidRPr="001E03CD">
        <w:t xml:space="preserve">aseline was 11.1 msec (90% CI: 3.12, 18.9). </w:t>
      </w:r>
      <w:r>
        <w:t xml:space="preserve">The </w:t>
      </w:r>
      <w:r w:rsidR="00F74310">
        <w:t>s</w:t>
      </w:r>
      <w:r>
        <w:t>ponsor concluded that:</w:t>
      </w:r>
    </w:p>
    <w:p w14:paraId="76242C6B" w14:textId="675AEB20" w:rsidR="006005B9" w:rsidRPr="00F74310" w:rsidRDefault="00F74310" w:rsidP="00F74310">
      <w:pPr>
        <w:ind w:left="720"/>
      </w:pPr>
      <w:r>
        <w:t>‘</w:t>
      </w:r>
      <w:r w:rsidR="006005B9" w:rsidRPr="00F74310">
        <w:t>No statistically significant relationship was identified between concentration and the RR interval, supporting the lack of a clinically meaningful effect on heart rate.</w:t>
      </w:r>
      <w:r>
        <w:t>’</w:t>
      </w:r>
    </w:p>
    <w:p w14:paraId="64C9054C" w14:textId="1F53A3AA" w:rsidR="006005B9" w:rsidRPr="002647CC" w:rsidRDefault="006005B9" w:rsidP="006005B9">
      <w:r w:rsidRPr="002647CC">
        <w:t>The regulatory safety reviewer did not agree with the concentration</w:t>
      </w:r>
      <w:r w:rsidR="00F50933">
        <w:t xml:space="preserve"> </w:t>
      </w:r>
      <w:r w:rsidRPr="002647CC">
        <w:t>QTc analysis method used, however, because the effect of time on the QTc interval cannot be estimated with confidence in the absence of a placebo control. The reviewer’s analysis suggested that mobocertinib treatment is associated with a concentration dependent QTc prolongation effect. At therapeutic doses (160</w:t>
      </w:r>
      <w:r w:rsidR="00C636E8">
        <w:t> </w:t>
      </w:r>
      <w:r w:rsidRPr="002647CC">
        <w:t>mg</w:t>
      </w:r>
      <w:r w:rsidR="00C636E8">
        <w:t xml:space="preserve"> once daily</w:t>
      </w:r>
      <w:r w:rsidRPr="002647CC">
        <w:t xml:space="preserve">) of mobocertinib, mean increases in the QTc interval of 23 msec (UCL: 26 msec) were detected in the QT assessment by the FDA. For additional details, see the </w:t>
      </w:r>
      <w:r>
        <w:t xml:space="preserve">FDA </w:t>
      </w:r>
      <w:r w:rsidRPr="002647CC">
        <w:t>Interdisciplinary Review Team for Cardiac Safety Studies: QT Study Review</w:t>
      </w:r>
      <w:r w:rsidR="00C636E8">
        <w:t>.</w:t>
      </w:r>
      <w:r w:rsidR="00C636E8">
        <w:rPr>
          <w:rStyle w:val="FootnoteReference"/>
        </w:rPr>
        <w:footnoteReference w:id="80"/>
      </w:r>
    </w:p>
    <w:p w14:paraId="0EDD1B57" w14:textId="77777777" w:rsidR="006005B9" w:rsidRPr="002647CC" w:rsidRDefault="006005B9" w:rsidP="006005B9">
      <w:pPr>
        <w:pStyle w:val="Heading3"/>
        <w:rPr>
          <w:b w:val="0"/>
          <w:i/>
        </w:rPr>
      </w:pPr>
      <w:bookmarkStart w:id="120" w:name="_Ref96081018"/>
      <w:bookmarkStart w:id="121" w:name="_Toc132980324"/>
      <w:r w:rsidRPr="001F36DE">
        <w:t>Companion</w:t>
      </w:r>
      <w:r w:rsidRPr="002647CC">
        <w:t xml:space="preserve"> diagnostic considerations</w:t>
      </w:r>
      <w:bookmarkEnd w:id="120"/>
      <w:bookmarkEnd w:id="121"/>
    </w:p>
    <w:p w14:paraId="536E8D34" w14:textId="1830FD22" w:rsidR="006005B9" w:rsidRDefault="006005B9" w:rsidP="006005B9">
      <w:r w:rsidRPr="002647CC">
        <w:t xml:space="preserve">In Study 101, central determination of </w:t>
      </w:r>
      <w:r w:rsidRPr="00C636E8">
        <w:rPr>
          <w:i/>
          <w:iCs/>
        </w:rPr>
        <w:t>EGFR</w:t>
      </w:r>
      <w:r w:rsidRPr="002647CC">
        <w:t xml:space="preserve"> exon 20 insertion mutations was performed </w:t>
      </w:r>
      <w:r>
        <w:t>with</w:t>
      </w:r>
      <w:r w:rsidRPr="002647CC">
        <w:t xml:space="preserve"> local laboratory tests, </w:t>
      </w:r>
      <w:r>
        <w:t>using</w:t>
      </w:r>
      <w:r w:rsidRPr="002647CC">
        <w:t xml:space="preserve"> PCR and next generation sequencing</w:t>
      </w:r>
      <w:r>
        <w:t xml:space="preserve"> approaches</w:t>
      </w:r>
      <w:r w:rsidRPr="002647CC">
        <w:t xml:space="preserve">. </w:t>
      </w:r>
      <w:r>
        <w:t xml:space="preserve">The </w:t>
      </w:r>
      <w:r w:rsidRPr="002647CC">
        <w:t xml:space="preserve">ODxTT </w:t>
      </w:r>
      <w:r>
        <w:t>has been approved by FDA as a companion diagnostic,</w:t>
      </w:r>
      <w:r w:rsidRPr="002647CC">
        <w:t xml:space="preserve"> </w:t>
      </w:r>
      <w:r>
        <w:t>based on a dataset including</w:t>
      </w:r>
      <w:r w:rsidRPr="002647CC">
        <w:t xml:space="preserve"> results from a bridging study from the LLTs to the ODxTT</w:t>
      </w:r>
      <w:r>
        <w:t xml:space="preserve"> and a</w:t>
      </w:r>
      <w:r w:rsidRPr="002647CC">
        <w:t>nalytical validation studie</w:t>
      </w:r>
      <w:r w:rsidR="00C636E8">
        <w:t>s.</w:t>
      </w:r>
      <w:r w:rsidR="00C636E8">
        <w:rPr>
          <w:rStyle w:val="FootnoteReference"/>
        </w:rPr>
        <w:footnoteReference w:id="81"/>
      </w:r>
    </w:p>
    <w:p w14:paraId="532BF15C" w14:textId="4BA6236C" w:rsidR="006005B9" w:rsidRPr="00A24A00" w:rsidRDefault="006005B9" w:rsidP="006005B9">
      <w:pPr>
        <w:pStyle w:val="Heading3"/>
        <w:rPr>
          <w:i/>
          <w:iCs/>
        </w:rPr>
      </w:pPr>
      <w:bookmarkStart w:id="122" w:name="_Ref109662170"/>
      <w:bookmarkStart w:id="123" w:name="_Toc132980325"/>
      <w:bookmarkStart w:id="124" w:name="_Hlk109661912"/>
      <w:r w:rsidRPr="00A24A00">
        <w:t>Confirmatory data plan</w:t>
      </w:r>
      <w:bookmarkEnd w:id="122"/>
      <w:bookmarkEnd w:id="123"/>
    </w:p>
    <w:p w14:paraId="57D73EB9" w14:textId="3EA1E708" w:rsidR="006005B9" w:rsidRDefault="00C636E8" w:rsidP="006005B9">
      <w:r>
        <w:t xml:space="preserve">Study </w:t>
      </w:r>
      <w:r w:rsidR="006005B9">
        <w:t xml:space="preserve">TAK-788-3001 is a </w:t>
      </w:r>
      <w:r>
        <w:t>P</w:t>
      </w:r>
      <w:r w:rsidR="006005B9">
        <w:t xml:space="preserve">hase </w:t>
      </w:r>
      <w:r>
        <w:t>III</w:t>
      </w:r>
      <w:r w:rsidR="006005B9">
        <w:t>, open</w:t>
      </w:r>
      <w:r>
        <w:t xml:space="preserve"> </w:t>
      </w:r>
      <w:r w:rsidR="006005B9">
        <w:t xml:space="preserve">label, multicentre, randomised, controlled study to evaluate the efficacy and safety of mobocertinib, compared with platinum doublet chemotherapy, as first line systemic therapy for patients with locally advanced or metastatic NSCLC harbouring an </w:t>
      </w:r>
      <w:r w:rsidR="006005B9" w:rsidRPr="00C636E8">
        <w:rPr>
          <w:i/>
          <w:iCs/>
        </w:rPr>
        <w:t>EGFR</w:t>
      </w:r>
      <w:r w:rsidR="006005B9">
        <w:t xml:space="preserve"> exon20ins mutatio</w:t>
      </w:r>
      <w:r>
        <w:t>n.</w:t>
      </w:r>
      <w:r>
        <w:rPr>
          <w:rStyle w:val="FootnoteReference"/>
        </w:rPr>
        <w:footnoteReference w:id="82"/>
      </w:r>
      <w:r>
        <w:t xml:space="preserve"> </w:t>
      </w:r>
      <w:r w:rsidR="006005B9">
        <w:t xml:space="preserve">The enrolment of Study 3001 is ongoing, and the last patient is anticipated to be enrolled by the end of 2022. Patient accrual is consistent with planned projections, however, accrual of </w:t>
      </w:r>
      <w:r>
        <w:t xml:space="preserve">progression free survival </w:t>
      </w:r>
      <w:r w:rsidR="006005B9">
        <w:t>events is occurring slower than projections. The data cut</w:t>
      </w:r>
      <w:r>
        <w:t xml:space="preserve"> </w:t>
      </w:r>
      <w:r w:rsidR="006005B9">
        <w:t xml:space="preserve">off for interim analysis is anticipated to be in the first half of 2023, with it becoming the final analysis for </w:t>
      </w:r>
      <w:r>
        <w:t>progression free survival</w:t>
      </w:r>
      <w:r w:rsidR="006005B9">
        <w:t xml:space="preserve"> if reaching statistical significance at that time. If not, a final analysis of </w:t>
      </w:r>
      <w:r>
        <w:t>progression free survival</w:t>
      </w:r>
      <w:r w:rsidR="006005B9">
        <w:t xml:space="preserve"> is planned in the second half of 2023. These projected milestones may change with more mature data, as the study is event driven.</w:t>
      </w:r>
    </w:p>
    <w:p w14:paraId="2858B006" w14:textId="77777777" w:rsidR="00C22214" w:rsidRDefault="00C22214" w:rsidP="00C22214">
      <w:pPr>
        <w:pStyle w:val="Heading3"/>
        <w:rPr>
          <w:lang w:eastAsia="en-AU"/>
        </w:rPr>
      </w:pPr>
      <w:bookmarkStart w:id="125" w:name="_Toc314842514"/>
      <w:bookmarkStart w:id="126" w:name="_Toc103679298"/>
      <w:bookmarkStart w:id="127" w:name="_Toc132980326"/>
      <w:bookmarkEnd w:id="15"/>
      <w:bookmarkEnd w:id="16"/>
      <w:bookmarkEnd w:id="17"/>
      <w:bookmarkEnd w:id="124"/>
      <w:r>
        <w:rPr>
          <w:lang w:eastAsia="en-AU"/>
        </w:rPr>
        <w:t>Risk management plan</w:t>
      </w:r>
      <w:bookmarkEnd w:id="125"/>
      <w:bookmarkEnd w:id="126"/>
      <w:bookmarkEnd w:id="127"/>
    </w:p>
    <w:p w14:paraId="5133B76A" w14:textId="74A28187" w:rsidR="00034831" w:rsidRDefault="00034831" w:rsidP="00C22214">
      <w:bookmarkStart w:id="128" w:name="_Toc247691531"/>
      <w:bookmarkStart w:id="129" w:name="_Toc314842515"/>
      <w:r>
        <w:t>The sponsor</w:t>
      </w:r>
      <w:r w:rsidRPr="00034831">
        <w:t xml:space="preserve"> has submitted EU-</w:t>
      </w:r>
      <w:r>
        <w:t>risk management plan (</w:t>
      </w:r>
      <w:r w:rsidRPr="00034831">
        <w:t>RMP</w:t>
      </w:r>
      <w:r>
        <w:t>)</w:t>
      </w:r>
      <w:r w:rsidRPr="00034831">
        <w:t xml:space="preserve"> version 0.1 (dated 19 March 2021; </w:t>
      </w:r>
      <w:r>
        <w:t>data lock point (</w:t>
      </w:r>
      <w:r w:rsidRPr="00034831">
        <w:t>DLP</w:t>
      </w:r>
      <w:r>
        <w:t>)</w:t>
      </w:r>
      <w:r w:rsidRPr="00034831">
        <w:t xml:space="preserve"> 4 September 2020) and </w:t>
      </w:r>
      <w:r>
        <w:t>Australia specific annex (</w:t>
      </w:r>
      <w:r w:rsidRPr="00034831">
        <w:t>ASA</w:t>
      </w:r>
      <w:r>
        <w:t>)</w:t>
      </w:r>
      <w:r w:rsidRPr="00034831">
        <w:t xml:space="preserve"> version 1.0 (dated 8</w:t>
      </w:r>
      <w:r w:rsidR="00877760">
        <w:t> </w:t>
      </w:r>
      <w:r w:rsidRPr="00034831">
        <w:t xml:space="preserve">April 2021) in support of this application. </w:t>
      </w:r>
      <w:r>
        <w:t xml:space="preserve">In </w:t>
      </w:r>
      <w:r w:rsidRPr="00034831">
        <w:t>response</w:t>
      </w:r>
      <w:r>
        <w:t xml:space="preserve"> to TGA questions</w:t>
      </w:r>
      <w:r w:rsidRPr="00034831">
        <w:t xml:space="preserve">, the sponsor </w:t>
      </w:r>
      <w:r w:rsidRPr="00034831">
        <w:lastRenderedPageBreak/>
        <w:t>submitted EU-RMP version 0.3 (dated 11 February 2022; DLP 23 December 2020) and ASA version 2.0 (dated 14 February 2022) in support of this application.</w:t>
      </w:r>
    </w:p>
    <w:p w14:paraId="6EC2DCA5" w14:textId="5722974E" w:rsidR="00C22214" w:rsidRDefault="00C22214" w:rsidP="00C22214">
      <w:r>
        <w:t xml:space="preserve">The summary of safety concerns and their associated risk monitoring and mitigation strategies are summarised in </w:t>
      </w:r>
      <w:r w:rsidR="00034831">
        <w:fldChar w:fldCharType="begin"/>
      </w:r>
      <w:r w:rsidR="00034831">
        <w:instrText xml:space="preserve"> REF _Ref97629131 \h </w:instrText>
      </w:r>
      <w:r w:rsidR="00034831">
        <w:fldChar w:fldCharType="separate"/>
      </w:r>
      <w:r w:rsidR="00301E36">
        <w:t xml:space="preserve">Table </w:t>
      </w:r>
      <w:r w:rsidR="00301E36">
        <w:rPr>
          <w:noProof/>
        </w:rPr>
        <w:t>17</w:t>
      </w:r>
      <w:r w:rsidR="00034831">
        <w:fldChar w:fldCharType="end"/>
      </w:r>
      <w:r>
        <w:t xml:space="preserve">. Further information regarding the TGA’s risk management approach can be found in </w:t>
      </w:r>
      <w:hyperlink r:id="rId29" w:history="1">
        <w:r w:rsidRPr="0023444E">
          <w:rPr>
            <w:rStyle w:val="Hyperlink"/>
          </w:rPr>
          <w:t>risk management plans for medicines and biologicals</w:t>
        </w:r>
      </w:hyperlink>
      <w:r>
        <w:t xml:space="preserve"> and </w:t>
      </w:r>
      <w:hyperlink r:id="rId30" w:history="1">
        <w:r w:rsidRPr="0023444E">
          <w:rPr>
            <w:rStyle w:val="Hyperlink"/>
          </w:rPr>
          <w:t>the TGA's risk management approach</w:t>
        </w:r>
      </w:hyperlink>
      <w:r>
        <w:t>.</w:t>
      </w:r>
    </w:p>
    <w:p w14:paraId="449794C3" w14:textId="2CB10D1A" w:rsidR="00C22214" w:rsidRDefault="00C22214" w:rsidP="00C22214">
      <w:pPr>
        <w:pStyle w:val="TableTitle"/>
      </w:pPr>
      <w:bookmarkStart w:id="130" w:name="_Ref97629131"/>
      <w:r>
        <w:t xml:space="preserve">Table </w:t>
      </w:r>
      <w:r w:rsidR="003F5EF5">
        <w:fldChar w:fldCharType="begin"/>
      </w:r>
      <w:r w:rsidR="003F5EF5">
        <w:instrText xml:space="preserve"> SEQ Table \* ARABIC </w:instrText>
      </w:r>
      <w:r w:rsidR="003F5EF5">
        <w:fldChar w:fldCharType="separate"/>
      </w:r>
      <w:r w:rsidR="00301E36">
        <w:rPr>
          <w:noProof/>
        </w:rPr>
        <w:t>17</w:t>
      </w:r>
      <w:r w:rsidR="003F5EF5">
        <w:rPr>
          <w:noProof/>
        </w:rPr>
        <w:fldChar w:fldCharType="end"/>
      </w:r>
      <w:bookmarkEnd w:id="130"/>
      <w:r>
        <w:t>: Summary of safety concerns</w:t>
      </w:r>
    </w:p>
    <w:tbl>
      <w:tblPr>
        <w:tblStyle w:val="TableTGAblue"/>
        <w:tblW w:w="8926" w:type="dxa"/>
        <w:tblLayout w:type="fixed"/>
        <w:tblLook w:val="04A0" w:firstRow="1" w:lastRow="0" w:firstColumn="1" w:lastColumn="0" w:noHBand="0" w:noVBand="1"/>
      </w:tblPr>
      <w:tblGrid>
        <w:gridCol w:w="1555"/>
        <w:gridCol w:w="2126"/>
        <w:gridCol w:w="1276"/>
        <w:gridCol w:w="1417"/>
        <w:gridCol w:w="1134"/>
        <w:gridCol w:w="1418"/>
      </w:tblGrid>
      <w:tr w:rsidR="00034831" w:rsidRPr="00034831" w14:paraId="48B1F399" w14:textId="77777777" w:rsidTr="00243D0D">
        <w:trPr>
          <w:cnfStyle w:val="100000000000" w:firstRow="1" w:lastRow="0" w:firstColumn="0" w:lastColumn="0" w:oddVBand="0" w:evenVBand="0" w:oddHBand="0" w:evenHBand="0" w:firstRowFirstColumn="0" w:firstRowLastColumn="0" w:lastRowFirstColumn="0" w:lastRowLastColumn="0"/>
          <w:trHeight w:val="341"/>
        </w:trPr>
        <w:tc>
          <w:tcPr>
            <w:tcW w:w="3681" w:type="dxa"/>
            <w:gridSpan w:val="2"/>
            <w:vMerge w:val="restart"/>
            <w:tcBorders>
              <w:top w:val="single" w:sz="4" w:space="0" w:color="auto"/>
              <w:left w:val="single" w:sz="4" w:space="0" w:color="auto"/>
              <w:bottom w:val="single" w:sz="4" w:space="0" w:color="auto"/>
              <w:right w:val="single" w:sz="4" w:space="0" w:color="auto"/>
            </w:tcBorders>
          </w:tcPr>
          <w:p w14:paraId="63CBFFD0" w14:textId="77777777" w:rsidR="00034831" w:rsidRPr="00034831" w:rsidRDefault="00034831" w:rsidP="008B3CF0">
            <w:pPr>
              <w:pStyle w:val="Tabletext0"/>
              <w:rPr>
                <w:b w:val="0"/>
                <w:sz w:val="20"/>
                <w:szCs w:val="20"/>
              </w:rPr>
            </w:pPr>
            <w:r w:rsidRPr="00034831">
              <w:rPr>
                <w:sz w:val="20"/>
                <w:szCs w:val="20"/>
              </w:rPr>
              <w:t>Summary of safety concerns</w:t>
            </w:r>
          </w:p>
        </w:tc>
        <w:tc>
          <w:tcPr>
            <w:tcW w:w="2693" w:type="dxa"/>
            <w:gridSpan w:val="2"/>
            <w:tcBorders>
              <w:top w:val="single" w:sz="4" w:space="0" w:color="auto"/>
              <w:left w:val="single" w:sz="4" w:space="0" w:color="auto"/>
              <w:bottom w:val="single" w:sz="4" w:space="0" w:color="auto"/>
              <w:right w:val="single" w:sz="4" w:space="0" w:color="auto"/>
            </w:tcBorders>
          </w:tcPr>
          <w:p w14:paraId="2421B9A3" w14:textId="77777777" w:rsidR="00034831" w:rsidRPr="00034831" w:rsidRDefault="00034831" w:rsidP="00034831">
            <w:pPr>
              <w:pStyle w:val="Tabletext0"/>
              <w:ind w:left="0"/>
              <w:rPr>
                <w:b w:val="0"/>
                <w:sz w:val="20"/>
                <w:szCs w:val="20"/>
              </w:rPr>
            </w:pPr>
            <w:r w:rsidRPr="00034831">
              <w:rPr>
                <w:sz w:val="20"/>
                <w:szCs w:val="20"/>
              </w:rPr>
              <w:t>Pharmacovigilance</w:t>
            </w:r>
          </w:p>
        </w:tc>
        <w:tc>
          <w:tcPr>
            <w:tcW w:w="2552" w:type="dxa"/>
            <w:gridSpan w:val="2"/>
            <w:tcBorders>
              <w:top w:val="single" w:sz="4" w:space="0" w:color="auto"/>
              <w:left w:val="single" w:sz="4" w:space="0" w:color="auto"/>
              <w:bottom w:val="single" w:sz="4" w:space="0" w:color="auto"/>
              <w:right w:val="single" w:sz="4" w:space="0" w:color="auto"/>
            </w:tcBorders>
          </w:tcPr>
          <w:p w14:paraId="3CDB6B58" w14:textId="77777777" w:rsidR="00034831" w:rsidRPr="00034831" w:rsidRDefault="00034831" w:rsidP="00034831">
            <w:pPr>
              <w:pStyle w:val="Tabletext0"/>
              <w:ind w:left="0"/>
              <w:rPr>
                <w:b w:val="0"/>
                <w:sz w:val="20"/>
                <w:szCs w:val="20"/>
              </w:rPr>
            </w:pPr>
            <w:r w:rsidRPr="00034831">
              <w:rPr>
                <w:sz w:val="20"/>
                <w:szCs w:val="20"/>
              </w:rPr>
              <w:t>Risk Minimisation</w:t>
            </w:r>
          </w:p>
        </w:tc>
      </w:tr>
      <w:tr w:rsidR="00243D0D" w:rsidRPr="00034831" w14:paraId="78DE5AE7" w14:textId="77777777" w:rsidTr="00243D0D">
        <w:trPr>
          <w:trHeight w:val="404"/>
        </w:trPr>
        <w:tc>
          <w:tcPr>
            <w:tcW w:w="3681" w:type="dxa"/>
            <w:gridSpan w:val="2"/>
            <w:vMerge/>
            <w:tcBorders>
              <w:top w:val="single" w:sz="4" w:space="0" w:color="auto"/>
              <w:left w:val="single" w:sz="4" w:space="0" w:color="auto"/>
              <w:bottom w:val="single" w:sz="4" w:space="0" w:color="auto"/>
              <w:right w:val="single" w:sz="4" w:space="0" w:color="auto"/>
            </w:tcBorders>
            <w:shd w:val="clear" w:color="auto" w:fill="006DA7"/>
          </w:tcPr>
          <w:p w14:paraId="6DDB0C3F" w14:textId="77777777" w:rsidR="00034831" w:rsidRPr="00034831" w:rsidRDefault="00034831" w:rsidP="008B3CF0">
            <w:pPr>
              <w:pStyle w:val="Tabletext0"/>
              <w:rPr>
                <w:b/>
                <w:color w:val="FFFFFF" w:themeColor="background1"/>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0771BAA9" w14:textId="77777777" w:rsidR="00034831" w:rsidRPr="00034831" w:rsidRDefault="00034831" w:rsidP="00034831">
            <w:pPr>
              <w:pStyle w:val="Tabletext0"/>
              <w:ind w:left="0"/>
              <w:rPr>
                <w:color w:val="FFFFFF" w:themeColor="background1"/>
                <w:sz w:val="20"/>
                <w:szCs w:val="20"/>
              </w:rPr>
            </w:pPr>
            <w:r w:rsidRPr="00034831">
              <w:rPr>
                <w:color w:val="FFFFFF" w:themeColor="background1"/>
                <w:sz w:val="20"/>
                <w:szCs w:val="20"/>
              </w:rPr>
              <w:t>Routine</w:t>
            </w:r>
          </w:p>
        </w:tc>
        <w:tc>
          <w:tcPr>
            <w:tcW w:w="1417" w:type="dxa"/>
            <w:tcBorders>
              <w:top w:val="single" w:sz="4" w:space="0" w:color="auto"/>
              <w:left w:val="single" w:sz="4" w:space="0" w:color="auto"/>
              <w:bottom w:val="single" w:sz="4" w:space="0" w:color="auto"/>
              <w:right w:val="single" w:sz="4" w:space="0" w:color="auto"/>
            </w:tcBorders>
            <w:shd w:val="clear" w:color="auto" w:fill="006DA7"/>
          </w:tcPr>
          <w:p w14:paraId="31129CEB" w14:textId="77777777" w:rsidR="00034831" w:rsidRPr="00034831" w:rsidRDefault="00034831" w:rsidP="00034831">
            <w:pPr>
              <w:pStyle w:val="Tabletext0"/>
              <w:ind w:left="0"/>
              <w:rPr>
                <w:color w:val="FFFFFF" w:themeColor="background1"/>
                <w:sz w:val="20"/>
                <w:szCs w:val="20"/>
              </w:rPr>
            </w:pPr>
            <w:r w:rsidRPr="00034831">
              <w:rPr>
                <w:color w:val="FFFFFF" w:themeColor="background1"/>
                <w:sz w:val="20"/>
                <w:szCs w:val="20"/>
              </w:rPr>
              <w:t>Additional</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321AADB3" w14:textId="77777777" w:rsidR="00034831" w:rsidRPr="00034831" w:rsidRDefault="00034831" w:rsidP="00034831">
            <w:pPr>
              <w:pStyle w:val="Tabletext0"/>
              <w:ind w:left="0"/>
              <w:rPr>
                <w:color w:val="FFFFFF" w:themeColor="background1"/>
                <w:sz w:val="20"/>
                <w:szCs w:val="20"/>
              </w:rPr>
            </w:pPr>
            <w:r w:rsidRPr="00034831">
              <w:rPr>
                <w:color w:val="FFFFFF" w:themeColor="background1"/>
                <w:sz w:val="20"/>
                <w:szCs w:val="20"/>
              </w:rPr>
              <w:t>Routine</w:t>
            </w:r>
          </w:p>
        </w:tc>
        <w:tc>
          <w:tcPr>
            <w:tcW w:w="1418" w:type="dxa"/>
            <w:tcBorders>
              <w:top w:val="single" w:sz="4" w:space="0" w:color="auto"/>
              <w:left w:val="single" w:sz="4" w:space="0" w:color="auto"/>
              <w:bottom w:val="single" w:sz="4" w:space="0" w:color="auto"/>
              <w:right w:val="single" w:sz="4" w:space="0" w:color="auto"/>
            </w:tcBorders>
            <w:shd w:val="clear" w:color="auto" w:fill="006DA7"/>
          </w:tcPr>
          <w:p w14:paraId="44868D0F" w14:textId="77777777" w:rsidR="00034831" w:rsidRPr="00034831" w:rsidRDefault="00034831" w:rsidP="00034831">
            <w:pPr>
              <w:pStyle w:val="Tabletext0"/>
              <w:ind w:left="0"/>
              <w:rPr>
                <w:color w:val="FFFFFF" w:themeColor="background1"/>
                <w:sz w:val="20"/>
                <w:szCs w:val="20"/>
              </w:rPr>
            </w:pPr>
            <w:r w:rsidRPr="00034831">
              <w:rPr>
                <w:color w:val="FFFFFF" w:themeColor="background1"/>
                <w:sz w:val="20"/>
                <w:szCs w:val="20"/>
              </w:rPr>
              <w:t>Additional</w:t>
            </w:r>
          </w:p>
        </w:tc>
      </w:tr>
      <w:tr w:rsidR="00243D0D" w:rsidRPr="00034831" w14:paraId="5F02B48A" w14:textId="77777777" w:rsidTr="00243D0D">
        <w:trPr>
          <w:trHeight w:val="137"/>
        </w:trPr>
        <w:tc>
          <w:tcPr>
            <w:tcW w:w="1555" w:type="dxa"/>
            <w:vMerge w:val="restart"/>
            <w:tcBorders>
              <w:top w:val="single" w:sz="4" w:space="0" w:color="auto"/>
            </w:tcBorders>
          </w:tcPr>
          <w:p w14:paraId="055243B0" w14:textId="77777777" w:rsidR="00034831" w:rsidRPr="00034831" w:rsidRDefault="00034831" w:rsidP="00034831">
            <w:pPr>
              <w:pStyle w:val="Tabletext0"/>
              <w:ind w:left="0"/>
              <w:rPr>
                <w:b/>
                <w:sz w:val="20"/>
                <w:szCs w:val="20"/>
              </w:rPr>
            </w:pPr>
            <w:r w:rsidRPr="00034831">
              <w:rPr>
                <w:b/>
                <w:sz w:val="20"/>
                <w:szCs w:val="20"/>
              </w:rPr>
              <w:t>Important identified risks</w:t>
            </w:r>
          </w:p>
        </w:tc>
        <w:tc>
          <w:tcPr>
            <w:tcW w:w="2126" w:type="dxa"/>
            <w:tcBorders>
              <w:top w:val="single" w:sz="4" w:space="0" w:color="auto"/>
            </w:tcBorders>
          </w:tcPr>
          <w:p w14:paraId="49CFD9C4" w14:textId="77777777" w:rsidR="00243D0D" w:rsidRDefault="00034831" w:rsidP="00034831">
            <w:pPr>
              <w:pStyle w:val="Tabletext0"/>
              <w:ind w:left="0"/>
              <w:rPr>
                <w:sz w:val="20"/>
                <w:szCs w:val="20"/>
              </w:rPr>
            </w:pPr>
            <w:r w:rsidRPr="00034831">
              <w:rPr>
                <w:sz w:val="20"/>
                <w:szCs w:val="20"/>
              </w:rPr>
              <w:t>Pneumonitis/</w:t>
            </w:r>
          </w:p>
          <w:p w14:paraId="3FFB5C7A" w14:textId="5C692C28" w:rsidR="00034831" w:rsidRPr="00034831" w:rsidRDefault="00034831" w:rsidP="00034831">
            <w:pPr>
              <w:pStyle w:val="Tabletext0"/>
              <w:ind w:left="0"/>
              <w:rPr>
                <w:sz w:val="20"/>
                <w:szCs w:val="20"/>
              </w:rPr>
            </w:pPr>
            <w:r w:rsidRPr="00034831">
              <w:rPr>
                <w:sz w:val="20"/>
                <w:szCs w:val="20"/>
              </w:rPr>
              <w:t>Interstitial Lung Disease</w:t>
            </w:r>
          </w:p>
        </w:tc>
        <w:tc>
          <w:tcPr>
            <w:tcW w:w="1276" w:type="dxa"/>
            <w:tcBorders>
              <w:top w:val="single" w:sz="4" w:space="0" w:color="auto"/>
            </w:tcBorders>
          </w:tcPr>
          <w:p w14:paraId="29178E3C"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Borders>
              <w:top w:val="single" w:sz="4" w:space="0" w:color="auto"/>
            </w:tcBorders>
          </w:tcPr>
          <w:p w14:paraId="07B86C71" w14:textId="77777777" w:rsidR="00034831" w:rsidRPr="00034831" w:rsidRDefault="00034831" w:rsidP="008B3CF0">
            <w:pPr>
              <w:pStyle w:val="Tabletext0"/>
              <w:jc w:val="center"/>
              <w:rPr>
                <w:sz w:val="20"/>
                <w:szCs w:val="20"/>
              </w:rPr>
            </w:pPr>
            <w:r w:rsidRPr="00034831">
              <w:rPr>
                <w:sz w:val="20"/>
                <w:szCs w:val="20"/>
              </w:rPr>
              <w:sym w:font="Wingdings" w:char="F0FC"/>
            </w:r>
            <w:r w:rsidRPr="00034831">
              <w:rPr>
                <w:sz w:val="20"/>
                <w:szCs w:val="20"/>
              </w:rPr>
              <w:t>*</w:t>
            </w:r>
          </w:p>
        </w:tc>
        <w:tc>
          <w:tcPr>
            <w:tcW w:w="1134" w:type="dxa"/>
            <w:tcBorders>
              <w:top w:val="single" w:sz="4" w:space="0" w:color="auto"/>
            </w:tcBorders>
          </w:tcPr>
          <w:p w14:paraId="4924D9F5"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Borders>
              <w:top w:val="single" w:sz="4" w:space="0" w:color="auto"/>
            </w:tcBorders>
          </w:tcPr>
          <w:p w14:paraId="25CA5A9B"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41EC6B98" w14:textId="77777777" w:rsidTr="00243D0D">
        <w:trPr>
          <w:trHeight w:val="94"/>
        </w:trPr>
        <w:tc>
          <w:tcPr>
            <w:tcW w:w="1555" w:type="dxa"/>
            <w:vMerge/>
          </w:tcPr>
          <w:p w14:paraId="05D4EFDF" w14:textId="77777777" w:rsidR="00034831" w:rsidRPr="00034831" w:rsidRDefault="00034831" w:rsidP="008B3CF0">
            <w:pPr>
              <w:pStyle w:val="Tabletext0"/>
              <w:rPr>
                <w:b/>
                <w:sz w:val="20"/>
                <w:szCs w:val="20"/>
              </w:rPr>
            </w:pPr>
          </w:p>
        </w:tc>
        <w:tc>
          <w:tcPr>
            <w:tcW w:w="2126" w:type="dxa"/>
          </w:tcPr>
          <w:p w14:paraId="5502FA67" w14:textId="77777777" w:rsidR="00034831" w:rsidRPr="00034831" w:rsidRDefault="00034831" w:rsidP="00034831">
            <w:pPr>
              <w:pStyle w:val="Tabletext0"/>
              <w:ind w:left="0"/>
              <w:rPr>
                <w:sz w:val="20"/>
                <w:szCs w:val="20"/>
              </w:rPr>
            </w:pPr>
            <w:r w:rsidRPr="00034831">
              <w:rPr>
                <w:color w:val="auto"/>
                <w:sz w:val="20"/>
                <w:szCs w:val="20"/>
              </w:rPr>
              <w:t>Ventricular arrhythmias, including Torsades de pointes, due to QTc interval prolongation</w:t>
            </w:r>
          </w:p>
        </w:tc>
        <w:tc>
          <w:tcPr>
            <w:tcW w:w="1276" w:type="dxa"/>
          </w:tcPr>
          <w:p w14:paraId="6E4D2AB1"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216BAA02" w14:textId="77777777" w:rsidR="00034831" w:rsidRPr="00034831" w:rsidRDefault="00034831" w:rsidP="008B3CF0">
            <w:pPr>
              <w:pStyle w:val="Tabletext0"/>
              <w:jc w:val="center"/>
              <w:rPr>
                <w:sz w:val="20"/>
                <w:szCs w:val="20"/>
              </w:rPr>
            </w:pPr>
            <w:r w:rsidRPr="00034831">
              <w:rPr>
                <w:sz w:val="20"/>
                <w:szCs w:val="20"/>
              </w:rPr>
              <w:sym w:font="Wingdings" w:char="F0FC"/>
            </w:r>
            <w:r w:rsidRPr="00034831">
              <w:rPr>
                <w:sz w:val="20"/>
                <w:szCs w:val="20"/>
              </w:rPr>
              <w:t>*</w:t>
            </w:r>
          </w:p>
        </w:tc>
        <w:tc>
          <w:tcPr>
            <w:tcW w:w="1134" w:type="dxa"/>
          </w:tcPr>
          <w:p w14:paraId="3A65E32C"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Pr>
          <w:p w14:paraId="71C8DDA8"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4D381946" w14:textId="77777777" w:rsidTr="00243D0D">
        <w:trPr>
          <w:trHeight w:val="187"/>
        </w:trPr>
        <w:tc>
          <w:tcPr>
            <w:tcW w:w="1555" w:type="dxa"/>
            <w:vMerge/>
          </w:tcPr>
          <w:p w14:paraId="25E87FE9" w14:textId="77777777" w:rsidR="00034831" w:rsidRPr="00034831" w:rsidRDefault="00034831" w:rsidP="008B3CF0">
            <w:pPr>
              <w:pStyle w:val="Tabletext0"/>
              <w:rPr>
                <w:b/>
                <w:sz w:val="20"/>
                <w:szCs w:val="20"/>
              </w:rPr>
            </w:pPr>
          </w:p>
        </w:tc>
        <w:tc>
          <w:tcPr>
            <w:tcW w:w="2126" w:type="dxa"/>
          </w:tcPr>
          <w:p w14:paraId="637FD161" w14:textId="77777777" w:rsidR="00034831" w:rsidRPr="00034831" w:rsidRDefault="00034831" w:rsidP="00034831">
            <w:pPr>
              <w:pStyle w:val="Tabletext0"/>
              <w:ind w:left="0"/>
              <w:rPr>
                <w:sz w:val="20"/>
                <w:szCs w:val="20"/>
              </w:rPr>
            </w:pPr>
            <w:r w:rsidRPr="00034831">
              <w:rPr>
                <w:sz w:val="20"/>
                <w:szCs w:val="20"/>
              </w:rPr>
              <w:t>Cardiac failure</w:t>
            </w:r>
          </w:p>
        </w:tc>
        <w:tc>
          <w:tcPr>
            <w:tcW w:w="1276" w:type="dxa"/>
          </w:tcPr>
          <w:p w14:paraId="399057DF"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7187D37C" w14:textId="77777777" w:rsidR="00034831" w:rsidRPr="00034831" w:rsidRDefault="00034831" w:rsidP="008B3CF0">
            <w:pPr>
              <w:pStyle w:val="Tabletext0"/>
              <w:jc w:val="center"/>
              <w:rPr>
                <w:sz w:val="20"/>
                <w:szCs w:val="20"/>
              </w:rPr>
            </w:pPr>
            <w:r w:rsidRPr="00034831">
              <w:rPr>
                <w:sz w:val="20"/>
                <w:szCs w:val="20"/>
              </w:rPr>
              <w:sym w:font="Wingdings" w:char="F0FC"/>
            </w:r>
            <w:r w:rsidRPr="00034831">
              <w:rPr>
                <w:sz w:val="20"/>
                <w:szCs w:val="20"/>
              </w:rPr>
              <w:t>*</w:t>
            </w:r>
          </w:p>
        </w:tc>
        <w:tc>
          <w:tcPr>
            <w:tcW w:w="1134" w:type="dxa"/>
          </w:tcPr>
          <w:p w14:paraId="02C93536"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Pr>
          <w:p w14:paraId="7C0B0126"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1CC76F59" w14:textId="77777777" w:rsidTr="00243D0D">
        <w:trPr>
          <w:trHeight w:val="159"/>
        </w:trPr>
        <w:tc>
          <w:tcPr>
            <w:tcW w:w="1555" w:type="dxa"/>
          </w:tcPr>
          <w:p w14:paraId="7C2E76C1" w14:textId="77777777" w:rsidR="00034831" w:rsidRPr="00034831" w:rsidRDefault="00034831" w:rsidP="00034831">
            <w:pPr>
              <w:pStyle w:val="Tabletext0"/>
              <w:ind w:left="0"/>
              <w:rPr>
                <w:b/>
                <w:sz w:val="20"/>
                <w:szCs w:val="20"/>
              </w:rPr>
            </w:pPr>
            <w:r w:rsidRPr="00034831">
              <w:rPr>
                <w:b/>
                <w:sz w:val="20"/>
                <w:szCs w:val="20"/>
              </w:rPr>
              <w:t>Important potential risks</w:t>
            </w:r>
          </w:p>
        </w:tc>
        <w:tc>
          <w:tcPr>
            <w:tcW w:w="2126" w:type="dxa"/>
          </w:tcPr>
          <w:p w14:paraId="1D8ED2A3" w14:textId="64A4004C" w:rsidR="00034831" w:rsidRPr="00034831" w:rsidRDefault="00034831" w:rsidP="00034831">
            <w:pPr>
              <w:pStyle w:val="Tabletext0"/>
              <w:ind w:left="0"/>
              <w:rPr>
                <w:sz w:val="20"/>
                <w:szCs w:val="20"/>
              </w:rPr>
            </w:pPr>
            <w:r w:rsidRPr="00034831">
              <w:rPr>
                <w:sz w:val="20"/>
                <w:szCs w:val="20"/>
              </w:rPr>
              <w:t>Reproductive and developmental toxicity</w:t>
            </w:r>
          </w:p>
        </w:tc>
        <w:tc>
          <w:tcPr>
            <w:tcW w:w="1276" w:type="dxa"/>
          </w:tcPr>
          <w:p w14:paraId="0B3368E5"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4E4BDD13" w14:textId="77777777" w:rsidR="00034831" w:rsidRPr="00034831" w:rsidRDefault="00034831" w:rsidP="008B3CF0">
            <w:pPr>
              <w:pStyle w:val="Tabletext0"/>
              <w:jc w:val="center"/>
              <w:rPr>
                <w:sz w:val="20"/>
                <w:szCs w:val="20"/>
              </w:rPr>
            </w:pPr>
            <w:r w:rsidRPr="00034831">
              <w:rPr>
                <w:sz w:val="20"/>
                <w:szCs w:val="20"/>
              </w:rPr>
              <w:t>–</w:t>
            </w:r>
          </w:p>
        </w:tc>
        <w:tc>
          <w:tcPr>
            <w:tcW w:w="1134" w:type="dxa"/>
          </w:tcPr>
          <w:p w14:paraId="4F6D1178"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Pr>
          <w:p w14:paraId="26441431"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3875B252" w14:textId="77777777" w:rsidTr="00243D0D">
        <w:trPr>
          <w:trHeight w:val="178"/>
        </w:trPr>
        <w:tc>
          <w:tcPr>
            <w:tcW w:w="1555" w:type="dxa"/>
            <w:vMerge w:val="restart"/>
          </w:tcPr>
          <w:p w14:paraId="2A07711D" w14:textId="77777777" w:rsidR="00034831" w:rsidRPr="00034831" w:rsidRDefault="00034831" w:rsidP="00034831">
            <w:pPr>
              <w:pStyle w:val="Tabletext0"/>
              <w:ind w:left="0"/>
              <w:rPr>
                <w:b/>
                <w:sz w:val="20"/>
                <w:szCs w:val="20"/>
              </w:rPr>
            </w:pPr>
            <w:r w:rsidRPr="00034831">
              <w:rPr>
                <w:b/>
                <w:sz w:val="20"/>
                <w:szCs w:val="20"/>
              </w:rPr>
              <w:t>Missing information</w:t>
            </w:r>
          </w:p>
        </w:tc>
        <w:tc>
          <w:tcPr>
            <w:tcW w:w="2126" w:type="dxa"/>
          </w:tcPr>
          <w:p w14:paraId="7A8B3FD2" w14:textId="77777777" w:rsidR="00034831" w:rsidRPr="00034831" w:rsidRDefault="00034831" w:rsidP="00034831">
            <w:pPr>
              <w:pStyle w:val="Tabletext0"/>
              <w:ind w:left="0"/>
              <w:rPr>
                <w:sz w:val="20"/>
                <w:szCs w:val="20"/>
              </w:rPr>
            </w:pPr>
            <w:r w:rsidRPr="00034831">
              <w:rPr>
                <w:sz w:val="20"/>
                <w:szCs w:val="20"/>
              </w:rPr>
              <w:t>Use in patients with severe renal impairment</w:t>
            </w:r>
          </w:p>
        </w:tc>
        <w:tc>
          <w:tcPr>
            <w:tcW w:w="1276" w:type="dxa"/>
          </w:tcPr>
          <w:p w14:paraId="4B1C56C5"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1939AA98" w14:textId="77777777" w:rsidR="00034831" w:rsidRPr="00034831" w:rsidRDefault="00034831" w:rsidP="008B3CF0">
            <w:pPr>
              <w:pStyle w:val="Tabletext0"/>
              <w:jc w:val="center"/>
              <w:rPr>
                <w:sz w:val="20"/>
                <w:szCs w:val="20"/>
              </w:rPr>
            </w:pPr>
            <w:r w:rsidRPr="00034831">
              <w:rPr>
                <w:sz w:val="20"/>
                <w:szCs w:val="20"/>
              </w:rPr>
              <w:t>–</w:t>
            </w:r>
          </w:p>
        </w:tc>
        <w:tc>
          <w:tcPr>
            <w:tcW w:w="1134" w:type="dxa"/>
          </w:tcPr>
          <w:p w14:paraId="545259B1"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Pr>
          <w:p w14:paraId="7647B849"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26BBC3BA" w14:textId="77777777" w:rsidTr="00243D0D">
        <w:trPr>
          <w:trHeight w:val="103"/>
        </w:trPr>
        <w:tc>
          <w:tcPr>
            <w:tcW w:w="1555" w:type="dxa"/>
            <w:vMerge/>
          </w:tcPr>
          <w:p w14:paraId="1646B98D" w14:textId="77777777" w:rsidR="00034831" w:rsidRPr="00034831" w:rsidRDefault="00034831" w:rsidP="008B3CF0">
            <w:pPr>
              <w:pStyle w:val="Tabletext0"/>
              <w:rPr>
                <w:sz w:val="20"/>
                <w:szCs w:val="20"/>
              </w:rPr>
            </w:pPr>
          </w:p>
        </w:tc>
        <w:tc>
          <w:tcPr>
            <w:tcW w:w="2126" w:type="dxa"/>
          </w:tcPr>
          <w:p w14:paraId="32490DD2" w14:textId="77777777" w:rsidR="00034831" w:rsidRPr="00034831" w:rsidRDefault="00034831" w:rsidP="00034831">
            <w:pPr>
              <w:pStyle w:val="Tabletext0"/>
              <w:ind w:left="0"/>
              <w:rPr>
                <w:sz w:val="20"/>
                <w:szCs w:val="20"/>
              </w:rPr>
            </w:pPr>
            <w:r w:rsidRPr="00034831">
              <w:rPr>
                <w:sz w:val="20"/>
                <w:szCs w:val="20"/>
              </w:rPr>
              <w:t>Use in patients with moderate or severe hepatic impairment</w:t>
            </w:r>
          </w:p>
        </w:tc>
        <w:tc>
          <w:tcPr>
            <w:tcW w:w="1276" w:type="dxa"/>
          </w:tcPr>
          <w:p w14:paraId="37A40296"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2A041168" w14:textId="77777777" w:rsidR="00034831" w:rsidRPr="00034831" w:rsidRDefault="00034831" w:rsidP="008B3CF0">
            <w:pPr>
              <w:pStyle w:val="Tabletext0"/>
              <w:jc w:val="center"/>
              <w:rPr>
                <w:sz w:val="20"/>
                <w:szCs w:val="20"/>
              </w:rPr>
            </w:pPr>
            <w:r w:rsidRPr="00034831">
              <w:rPr>
                <w:sz w:val="20"/>
                <w:szCs w:val="20"/>
              </w:rPr>
              <w:t>–</w:t>
            </w:r>
          </w:p>
        </w:tc>
        <w:tc>
          <w:tcPr>
            <w:tcW w:w="1134" w:type="dxa"/>
          </w:tcPr>
          <w:p w14:paraId="791C7F3F"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8" w:type="dxa"/>
          </w:tcPr>
          <w:p w14:paraId="554A8421" w14:textId="77777777" w:rsidR="00034831" w:rsidRPr="00034831" w:rsidRDefault="00034831" w:rsidP="008B3CF0">
            <w:pPr>
              <w:pStyle w:val="Tabletext0"/>
              <w:jc w:val="center"/>
              <w:rPr>
                <w:sz w:val="20"/>
                <w:szCs w:val="20"/>
              </w:rPr>
            </w:pPr>
            <w:r w:rsidRPr="00034831">
              <w:rPr>
                <w:sz w:val="20"/>
                <w:szCs w:val="20"/>
              </w:rPr>
              <w:t>–</w:t>
            </w:r>
          </w:p>
        </w:tc>
      </w:tr>
      <w:tr w:rsidR="00243D0D" w:rsidRPr="00034831" w14:paraId="02FEDFB1" w14:textId="77777777" w:rsidTr="00243D0D">
        <w:trPr>
          <w:trHeight w:val="140"/>
        </w:trPr>
        <w:tc>
          <w:tcPr>
            <w:tcW w:w="1555" w:type="dxa"/>
            <w:vMerge/>
          </w:tcPr>
          <w:p w14:paraId="0C5072F7" w14:textId="77777777" w:rsidR="00034831" w:rsidRPr="00034831" w:rsidRDefault="00034831" w:rsidP="008B3CF0">
            <w:pPr>
              <w:pStyle w:val="Tabletext0"/>
              <w:rPr>
                <w:sz w:val="20"/>
                <w:szCs w:val="20"/>
              </w:rPr>
            </w:pPr>
          </w:p>
        </w:tc>
        <w:tc>
          <w:tcPr>
            <w:tcW w:w="2126" w:type="dxa"/>
          </w:tcPr>
          <w:p w14:paraId="055730A5" w14:textId="77777777" w:rsidR="00034831" w:rsidRPr="00034831" w:rsidRDefault="00034831" w:rsidP="00034831">
            <w:pPr>
              <w:pStyle w:val="Tabletext0"/>
              <w:ind w:left="0"/>
              <w:rPr>
                <w:sz w:val="20"/>
                <w:szCs w:val="20"/>
              </w:rPr>
            </w:pPr>
            <w:r w:rsidRPr="00034831">
              <w:rPr>
                <w:sz w:val="20"/>
                <w:szCs w:val="20"/>
              </w:rPr>
              <w:t>Long-term use</w:t>
            </w:r>
          </w:p>
        </w:tc>
        <w:tc>
          <w:tcPr>
            <w:tcW w:w="1276" w:type="dxa"/>
          </w:tcPr>
          <w:p w14:paraId="7CF1E548" w14:textId="77777777" w:rsidR="00034831" w:rsidRPr="00034831" w:rsidRDefault="00034831" w:rsidP="008B3CF0">
            <w:pPr>
              <w:pStyle w:val="Tabletext0"/>
              <w:jc w:val="center"/>
              <w:rPr>
                <w:sz w:val="20"/>
                <w:szCs w:val="20"/>
              </w:rPr>
            </w:pPr>
            <w:r w:rsidRPr="00034831">
              <w:rPr>
                <w:sz w:val="20"/>
                <w:szCs w:val="20"/>
              </w:rPr>
              <w:sym w:font="Wingdings" w:char="F0FC"/>
            </w:r>
          </w:p>
        </w:tc>
        <w:tc>
          <w:tcPr>
            <w:tcW w:w="1417" w:type="dxa"/>
          </w:tcPr>
          <w:p w14:paraId="66F5F5F6" w14:textId="77777777" w:rsidR="00034831" w:rsidRPr="00034831" w:rsidRDefault="00034831" w:rsidP="008B3CF0">
            <w:pPr>
              <w:pStyle w:val="Tabletext0"/>
              <w:jc w:val="center"/>
              <w:rPr>
                <w:sz w:val="20"/>
                <w:szCs w:val="20"/>
              </w:rPr>
            </w:pPr>
            <w:r w:rsidRPr="00034831">
              <w:rPr>
                <w:sz w:val="20"/>
                <w:szCs w:val="20"/>
              </w:rPr>
              <w:sym w:font="Wingdings" w:char="F0FC"/>
            </w:r>
            <w:r w:rsidRPr="00034831">
              <w:rPr>
                <w:sz w:val="20"/>
                <w:szCs w:val="20"/>
              </w:rPr>
              <w:t>*</w:t>
            </w:r>
          </w:p>
        </w:tc>
        <w:tc>
          <w:tcPr>
            <w:tcW w:w="1134" w:type="dxa"/>
          </w:tcPr>
          <w:p w14:paraId="04E9D37C" w14:textId="77777777" w:rsidR="00034831" w:rsidRPr="00034831" w:rsidRDefault="00034831" w:rsidP="008B3CF0">
            <w:pPr>
              <w:pStyle w:val="Tabletext0"/>
              <w:jc w:val="center"/>
              <w:rPr>
                <w:sz w:val="20"/>
                <w:szCs w:val="20"/>
              </w:rPr>
            </w:pPr>
            <w:r w:rsidRPr="00034831">
              <w:rPr>
                <w:sz w:val="20"/>
                <w:szCs w:val="20"/>
              </w:rPr>
              <w:t>–</w:t>
            </w:r>
          </w:p>
        </w:tc>
        <w:tc>
          <w:tcPr>
            <w:tcW w:w="1418" w:type="dxa"/>
          </w:tcPr>
          <w:p w14:paraId="1962EBDB" w14:textId="77777777" w:rsidR="00034831" w:rsidRPr="00034831" w:rsidRDefault="00034831" w:rsidP="008B3CF0">
            <w:pPr>
              <w:pStyle w:val="Tabletext0"/>
              <w:jc w:val="center"/>
              <w:rPr>
                <w:sz w:val="20"/>
                <w:szCs w:val="20"/>
              </w:rPr>
            </w:pPr>
            <w:r w:rsidRPr="00034831">
              <w:rPr>
                <w:sz w:val="20"/>
                <w:szCs w:val="20"/>
              </w:rPr>
              <w:t>–</w:t>
            </w:r>
          </w:p>
        </w:tc>
      </w:tr>
    </w:tbl>
    <w:p w14:paraId="074EA75B" w14:textId="01EA90B3" w:rsidR="00243D0D" w:rsidRDefault="00243D0D" w:rsidP="00243D0D">
      <w:pPr>
        <w:pStyle w:val="TableDescription"/>
      </w:pPr>
      <w:r w:rsidRPr="00CD3116">
        <w:t>*Study TAK-788-3001</w:t>
      </w:r>
    </w:p>
    <w:p w14:paraId="6F7710BE" w14:textId="11DC9867" w:rsidR="00243D0D" w:rsidRPr="00843400" w:rsidRDefault="00243D0D" w:rsidP="00F50933">
      <w:pPr>
        <w:spacing w:before="120"/>
      </w:pPr>
      <w:r w:rsidRPr="00DA0BE8">
        <w:t xml:space="preserve">The summary of safety concerns </w:t>
      </w:r>
      <w:r>
        <w:t>is</w:t>
      </w:r>
      <w:r w:rsidRPr="00843400">
        <w:t xml:space="preserve"> adequate</w:t>
      </w:r>
      <w:r>
        <w:t xml:space="preserve"> at second round of RMP evaluation</w:t>
      </w:r>
      <w:r w:rsidRPr="00843400">
        <w:t xml:space="preserve">. The Important Identified Risk </w:t>
      </w:r>
      <w:r>
        <w:t>‘</w:t>
      </w:r>
      <w:r w:rsidRPr="00843400">
        <w:t>QTc interval prolongation</w:t>
      </w:r>
      <w:r>
        <w:t>’ has been changed to ‘</w:t>
      </w:r>
      <w:r w:rsidRPr="00737120">
        <w:t>Ventricular arrhythmias, including Torsades de pointes, due to QTc interval prolongation</w:t>
      </w:r>
      <w:r>
        <w:t>.’ In addition, Missing Information ‘</w:t>
      </w:r>
      <w:r w:rsidRPr="00843400">
        <w:t>Drug-drug interactions with substrates of CYP3A</w:t>
      </w:r>
      <w:r>
        <w:t xml:space="preserve">’ has been removed following completion of Study </w:t>
      </w:r>
      <w:r w:rsidRPr="00843400">
        <w:t>TAK-788-1004</w:t>
      </w:r>
      <w:r>
        <w:t>.</w:t>
      </w:r>
    </w:p>
    <w:p w14:paraId="45CA3C30" w14:textId="2692C894" w:rsidR="00243D0D" w:rsidRPr="00F74992" w:rsidRDefault="00243D0D" w:rsidP="00243D0D">
      <w:r>
        <w:t>B</w:t>
      </w:r>
      <w:r w:rsidRPr="00DA0BE8">
        <w:t>oth routine and additional pharmacovigilance activities</w:t>
      </w:r>
      <w:r>
        <w:t xml:space="preserve"> are proposed</w:t>
      </w:r>
      <w:r w:rsidRPr="00F74992">
        <w:t xml:space="preserve">. Additional pharmacovigilance includes </w:t>
      </w:r>
      <w:r>
        <w:t xml:space="preserve">ongoing </w:t>
      </w:r>
      <w:r w:rsidRPr="00F74992">
        <w:t>Study TAK</w:t>
      </w:r>
      <w:r>
        <w:t>-</w:t>
      </w:r>
      <w:r w:rsidRPr="00F74992">
        <w:t>788-3001</w:t>
      </w:r>
      <w:r>
        <w:t xml:space="preserve">, which </w:t>
      </w:r>
      <w:r w:rsidRPr="00F74992">
        <w:t>will be</w:t>
      </w:r>
      <w:r>
        <w:t xml:space="preserve"> </w:t>
      </w:r>
      <w:r w:rsidRPr="00F74992">
        <w:t>used to</w:t>
      </w:r>
      <w:r>
        <w:t xml:space="preserve"> </w:t>
      </w:r>
      <w:r w:rsidRPr="00F74992">
        <w:t>further</w:t>
      </w:r>
      <w:r>
        <w:t xml:space="preserve"> </w:t>
      </w:r>
      <w:r w:rsidRPr="00F74992">
        <w:t>character</w:t>
      </w:r>
      <w:r w:rsidR="004659AE">
        <w:t>is</w:t>
      </w:r>
      <w:r w:rsidRPr="00F74992">
        <w:t>e</w:t>
      </w:r>
      <w:r>
        <w:t xml:space="preserve"> all </w:t>
      </w:r>
      <w:r w:rsidRPr="00F74992">
        <w:t>the importan</w:t>
      </w:r>
      <w:r>
        <w:t xml:space="preserve">t </w:t>
      </w:r>
      <w:r w:rsidRPr="00F74992">
        <w:t>identified</w:t>
      </w:r>
      <w:r>
        <w:t xml:space="preserve"> risks as well as Missing Information of long term use.</w:t>
      </w:r>
    </w:p>
    <w:p w14:paraId="5D9C43DC" w14:textId="0DCD13E7" w:rsidR="00034831" w:rsidRDefault="00243D0D" w:rsidP="00243D0D">
      <w:r w:rsidRPr="00DA0BE8">
        <w:t>Routine risk minimisation activities only are proposed. This is acceptable as mobocertinib is given orally and prescribed by specialists who are familiar with this class of medicines and their side effects.</w:t>
      </w:r>
    </w:p>
    <w:p w14:paraId="0F8140CA" w14:textId="3622C3AB" w:rsidR="00243D0D" w:rsidRDefault="00243D0D" w:rsidP="00243D0D">
      <w:pPr>
        <w:pStyle w:val="Heading4"/>
      </w:pPr>
      <w:bookmarkStart w:id="131" w:name="_Toc132980327"/>
      <w:r>
        <w:t>Proposed wording for conditions of registration</w:t>
      </w:r>
      <w:bookmarkEnd w:id="131"/>
    </w:p>
    <w:p w14:paraId="2AC9910E" w14:textId="77777777" w:rsidR="00243D0D" w:rsidRDefault="00243D0D" w:rsidP="00243D0D">
      <w:r>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14:paraId="11CE88DA" w14:textId="1C6F90BB" w:rsidR="00243D0D" w:rsidRDefault="00243D0D" w:rsidP="00243D0D">
      <w:r>
        <w:t>The suggested wording is:</w:t>
      </w:r>
    </w:p>
    <w:p w14:paraId="3B64CC1B" w14:textId="02C671B6" w:rsidR="00243D0D" w:rsidRDefault="00243D0D" w:rsidP="00243D0D">
      <w:pPr>
        <w:ind w:left="720"/>
      </w:pPr>
      <w:r>
        <w:lastRenderedPageBreak/>
        <w:t>‘The Exkivity EU-RMP (version 0.3, dated 11 February 2022, DLP 23 December 2020), with ASA (version 2.0, dated 14 February 2022), included with submission PM-2021-02546-1-4, and any subsequent revisions, as agreed with the TGA will be implemented in Australia.’</w:t>
      </w:r>
    </w:p>
    <w:p w14:paraId="24F6ECC8" w14:textId="77777777" w:rsidR="00243D0D" w:rsidRDefault="00243D0D" w:rsidP="00243D0D">
      <w:r>
        <w:t>The following wording is recommended for the PSUR requirement:</w:t>
      </w:r>
    </w:p>
    <w:p w14:paraId="2FE68308" w14:textId="2E1F9D57" w:rsidR="00243D0D" w:rsidRDefault="00243D0D" w:rsidP="00243D0D">
      <w:pPr>
        <w:ind w:left="720"/>
      </w:pPr>
      <w:r>
        <w:t xml:space="preserve">‘An obligatory component of risk management plans is routine pharmacovigilance. Routine pharmacovigilance includes the submission of periodic safety update reports (PSURs). </w:t>
      </w:r>
    </w:p>
    <w:p w14:paraId="393DA399" w14:textId="6B3D9666" w:rsidR="00243D0D" w:rsidRDefault="00243D0D" w:rsidP="00243D0D">
      <w:pPr>
        <w:ind w:left="720"/>
      </w:pPr>
      <w:r>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 </w:t>
      </w:r>
    </w:p>
    <w:p w14:paraId="0CB9E852" w14:textId="0351877D" w:rsidR="00243D0D" w:rsidRDefault="00243D0D" w:rsidP="00243D0D">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02305EE" w14:textId="7EA2AC69" w:rsidR="00243D0D" w:rsidRDefault="00243D0D" w:rsidP="00243D0D">
      <w:r>
        <w:t>As Exkivity is being considered for a provisional registration it should be included in the Black Triangle Scheme as a condition of registration. The following wording is recommended for the condition of registration:</w:t>
      </w:r>
    </w:p>
    <w:p w14:paraId="5AA727E4" w14:textId="7D41E514" w:rsidR="00243D0D" w:rsidRDefault="00243D0D" w:rsidP="00243D0D">
      <w:pPr>
        <w:ind w:left="720"/>
      </w:pPr>
      <w:r>
        <w:t>‘Exkivity (mobocertinib) is to be included in the Black Triangle Scheme. The PI and CMI for Exkivity must include the black triangle symbol and mandatory accompanying text for 5 years, or for the product’s entire period of provisional registration, whichever is longer.’</w:t>
      </w:r>
    </w:p>
    <w:p w14:paraId="59B24B04" w14:textId="28264DE5" w:rsidR="00243D0D" w:rsidRDefault="00243D0D" w:rsidP="00243D0D">
      <w:r>
        <w:t>As Exkivity is being considered for a provisional registration the following wording regarding confirmatory trial data is recommended for the condition of registration:</w:t>
      </w:r>
    </w:p>
    <w:p w14:paraId="27F4C3FA" w14:textId="3FA1E837" w:rsidR="00243D0D" w:rsidRDefault="00243D0D" w:rsidP="00243D0D">
      <w:pPr>
        <w:ind w:left="720"/>
      </w:pPr>
      <w:r>
        <w:t>‘Confirmatory trial data (as identified in the sponsor’s plan to submit comprehensive clinical data on the safety and efficacy of the medicine before the end of the 6 years that would start on the day that registration would commence) must be provided.</w:t>
      </w:r>
    </w:p>
    <w:p w14:paraId="740F1A65" w14:textId="17CBFEA0" w:rsidR="00243D0D" w:rsidRDefault="00243D0D" w:rsidP="00243D0D">
      <w:pPr>
        <w:ind w:left="720"/>
      </w:pPr>
      <w:r>
        <w:t>Specifically the sponsor must conduct studies as described in the clinical study plan in version 2.0 (dated 14 February 2022) of the ASA. The following study report should be submitted to TGA:</w:t>
      </w:r>
    </w:p>
    <w:p w14:paraId="027486F6" w14:textId="0150240D" w:rsidR="00243D0D" w:rsidRPr="00615A89" w:rsidRDefault="00243D0D" w:rsidP="00615A89">
      <w:pPr>
        <w:pStyle w:val="ListBullet"/>
        <w:ind w:left="709" w:firstLine="0"/>
        <w:rPr>
          <w:color w:val="auto"/>
        </w:rPr>
      </w:pPr>
      <w:r w:rsidRPr="00615A89">
        <w:rPr>
          <w:color w:val="auto"/>
        </w:rPr>
        <w:t>Study TAK-788-3001, fourth quarter of 2024’</w:t>
      </w:r>
    </w:p>
    <w:p w14:paraId="74A4F87F" w14:textId="77777777" w:rsidR="00C22214" w:rsidRDefault="00C22214" w:rsidP="00C22214">
      <w:pPr>
        <w:pStyle w:val="Heading3"/>
      </w:pPr>
      <w:bookmarkStart w:id="132" w:name="_Toc103679299"/>
      <w:bookmarkStart w:id="133" w:name="_Toc132980328"/>
      <w:r>
        <w:t>Risk-benefit analysis</w:t>
      </w:r>
      <w:bookmarkEnd w:id="128"/>
      <w:bookmarkEnd w:id="129"/>
      <w:bookmarkEnd w:id="132"/>
      <w:bookmarkEnd w:id="133"/>
    </w:p>
    <w:p w14:paraId="3A5974B7" w14:textId="77777777" w:rsidR="00F15456" w:rsidRDefault="00C22214" w:rsidP="00C636E8">
      <w:pPr>
        <w:pStyle w:val="Heading4"/>
      </w:pPr>
      <w:bookmarkStart w:id="134" w:name="_Toc98931932"/>
      <w:bookmarkStart w:id="135" w:name="_Toc132980329"/>
      <w:r>
        <w:t>Delegate’s considerations</w:t>
      </w:r>
      <w:bookmarkStart w:id="136" w:name="_Toc98931933"/>
      <w:bookmarkEnd w:id="134"/>
      <w:bookmarkEnd w:id="135"/>
    </w:p>
    <w:p w14:paraId="3916F296" w14:textId="71007A1C" w:rsidR="00C22214" w:rsidRDefault="00C22214" w:rsidP="00C636E8">
      <w:pPr>
        <w:pStyle w:val="Heading4"/>
      </w:pPr>
      <w:bookmarkStart w:id="137" w:name="_Toc132980330"/>
      <w:r w:rsidRPr="00D23139">
        <w:t>Proposed action</w:t>
      </w:r>
      <w:bookmarkEnd w:id="136"/>
      <w:bookmarkEnd w:id="137"/>
    </w:p>
    <w:p w14:paraId="73BDC981" w14:textId="43E706C9" w:rsidR="00C636E8" w:rsidRPr="00C636E8" w:rsidRDefault="00C636E8" w:rsidP="00C636E8">
      <w:r w:rsidRPr="00C636E8">
        <w:t xml:space="preserve">Overall, mobocertinib has demonstrated a clinically meaningful response rate and durability of responses when used to treat a condition for which there is unmet clinical need in Australia. The </w:t>
      </w:r>
      <w:r w:rsidRPr="00C636E8">
        <w:lastRenderedPageBreak/>
        <w:t xml:space="preserve">toxicity profile is acceptable, given the clinical setting, </w:t>
      </w:r>
      <w:r>
        <w:t>that is</w:t>
      </w:r>
      <w:r w:rsidRPr="00C636E8">
        <w:t xml:space="preserve"> for patients with a dire prognosis who have no other registered treatment option and for whom standard</w:t>
      </w:r>
      <w:r w:rsidR="00F50933">
        <w:t xml:space="preserve"> </w:t>
      </w:r>
      <w:r w:rsidRPr="00C636E8">
        <w:t>of</w:t>
      </w:r>
      <w:r w:rsidR="00F50933">
        <w:t xml:space="preserve"> </w:t>
      </w:r>
      <w:r w:rsidRPr="00C636E8">
        <w:t>care therapies are very limited. The benefit</w:t>
      </w:r>
      <w:r w:rsidR="00F50933">
        <w:t xml:space="preserve"> </w:t>
      </w:r>
      <w:r w:rsidRPr="00C636E8">
        <w:t>risk balance of provisional registration of mobocertinib for the proposed usage, taking into account the uncertainties, is positive.</w:t>
      </w:r>
    </w:p>
    <w:p w14:paraId="318CFABC" w14:textId="77777777" w:rsidR="00C22214" w:rsidRPr="00F73346" w:rsidRDefault="00C22214" w:rsidP="00C22214">
      <w:pPr>
        <w:pStyle w:val="Heading4"/>
      </w:pPr>
      <w:bookmarkStart w:id="138" w:name="_Toc98931936"/>
      <w:bookmarkStart w:id="139" w:name="_Toc132980331"/>
      <w:bookmarkStart w:id="140" w:name="_Toc247691532"/>
      <w:bookmarkStart w:id="141" w:name="_Toc314842516"/>
      <w:r w:rsidRPr="00F73346">
        <w:t>Advisory Committee considerations</w:t>
      </w:r>
      <w:bookmarkEnd w:id="138"/>
      <w:bookmarkEnd w:id="139"/>
    </w:p>
    <w:p w14:paraId="15E2951C" w14:textId="0F548B48" w:rsidR="00C22214" w:rsidRPr="007D53B6" w:rsidRDefault="00C22214" w:rsidP="00C22214">
      <w:r w:rsidRPr="00C65E63">
        <w:t xml:space="preserve">The Delegate did not refer this </w:t>
      </w:r>
      <w:r>
        <w:t>submission</w:t>
      </w:r>
      <w:r w:rsidRPr="00C65E63">
        <w:t xml:space="preserve"> to the Advisory Committee on Medicine</w:t>
      </w:r>
      <w:r w:rsidR="00C636E8">
        <w:t>s</w:t>
      </w:r>
      <w:r w:rsidRPr="00C65E63">
        <w:t xml:space="preserve"> for advice.</w:t>
      </w:r>
    </w:p>
    <w:p w14:paraId="307F236C" w14:textId="77777777" w:rsidR="00C22214" w:rsidRPr="002E238E" w:rsidRDefault="00C22214" w:rsidP="00C22214">
      <w:pPr>
        <w:pStyle w:val="Heading2"/>
      </w:pPr>
      <w:bookmarkStart w:id="142" w:name="_Toc103679300"/>
      <w:bookmarkStart w:id="143" w:name="_Toc132980332"/>
      <w:r>
        <w:t>Outcome</w:t>
      </w:r>
      <w:bookmarkEnd w:id="140"/>
      <w:bookmarkEnd w:id="141"/>
      <w:bookmarkEnd w:id="142"/>
      <w:bookmarkEnd w:id="143"/>
    </w:p>
    <w:p w14:paraId="4EF22939" w14:textId="0C3525BB" w:rsidR="00C22214" w:rsidRDefault="00C22214" w:rsidP="00C22214">
      <w:pPr>
        <w:spacing w:after="480"/>
      </w:pPr>
      <w:r>
        <w:t xml:space="preserve">Based on a review of quality, safety, and efficacy, the TGA approved the registration of </w:t>
      </w:r>
      <w:r w:rsidR="006C5B5B" w:rsidRPr="004A556D">
        <w:t>E</w:t>
      </w:r>
      <w:r w:rsidR="006C5B5B">
        <w:t>xkivity (</w:t>
      </w:r>
      <w:r w:rsidR="006C5B5B" w:rsidRPr="004A556D">
        <w:t>mobocertinib</w:t>
      </w:r>
      <w:r w:rsidR="006C5B5B" w:rsidRPr="00BD5DBD">
        <w:t xml:space="preserve">) </w:t>
      </w:r>
      <w:r w:rsidR="006C5B5B">
        <w:t>40 mg, capsule, blister pack</w:t>
      </w:r>
      <w:r>
        <w:t>, indicated for</w:t>
      </w:r>
      <w:r w:rsidR="006C5B5B">
        <w:t>:</w:t>
      </w:r>
    </w:p>
    <w:p w14:paraId="016315E0" w14:textId="7D167C0F" w:rsidR="006C5B5B" w:rsidRPr="006C5B5B" w:rsidRDefault="006C5B5B" w:rsidP="006C5B5B">
      <w:pPr>
        <w:ind w:left="720"/>
        <w:rPr>
          <w:i/>
          <w:iCs/>
        </w:rPr>
      </w:pPr>
      <w:r w:rsidRPr="006C5B5B">
        <w:rPr>
          <w:i/>
          <w:iCs/>
        </w:rPr>
        <w:t>E</w:t>
      </w:r>
      <w:r>
        <w:rPr>
          <w:i/>
          <w:iCs/>
        </w:rPr>
        <w:t xml:space="preserve">xkivity </w:t>
      </w:r>
      <w:r w:rsidRPr="006C5B5B">
        <w:rPr>
          <w:i/>
          <w:iCs/>
        </w:rPr>
        <w:t xml:space="preserve">has provisional approval in Australia for the treatment of patients with locally advanced or metastatic non-small cell lung cancer (NSCLC) that has an exon 20 insertion mutation of the epidermal growth factor receptor (EGFR), who have received prior platinum-based chemotherapy. </w:t>
      </w:r>
    </w:p>
    <w:p w14:paraId="6450284B" w14:textId="514AF5E2" w:rsidR="006C5B5B" w:rsidRDefault="006C5B5B" w:rsidP="006C5B5B">
      <w:pPr>
        <w:ind w:left="720"/>
      </w:pPr>
      <w:r w:rsidRPr="006C5B5B">
        <w:rPr>
          <w:i/>
          <w:iCs/>
        </w:rPr>
        <w:t>The decision to approve this indication has been made on the basis of objective response rate and duration of response in a single arm study. Continued approval of this indication depends on verification and description of benefit in a confirmatory study.</w:t>
      </w:r>
    </w:p>
    <w:p w14:paraId="6D25891E" w14:textId="77777777" w:rsidR="00C22214" w:rsidRPr="00D23139" w:rsidRDefault="00C22214" w:rsidP="00C22214">
      <w:pPr>
        <w:pStyle w:val="Heading3"/>
      </w:pPr>
      <w:bookmarkStart w:id="144" w:name="_Toc103679301"/>
      <w:bookmarkStart w:id="145" w:name="_Toc132980333"/>
      <w:r w:rsidRPr="00D23139">
        <w:t>Specific conditions of registration applying to these goods</w:t>
      </w:r>
      <w:bookmarkEnd w:id="144"/>
      <w:bookmarkEnd w:id="145"/>
    </w:p>
    <w:p w14:paraId="71780E40" w14:textId="44941636" w:rsidR="006C5B5B" w:rsidRPr="00300A67" w:rsidRDefault="00300A67" w:rsidP="006C5B5B">
      <w:pPr>
        <w:pStyle w:val="ListBullet"/>
        <w:rPr>
          <w:color w:val="auto"/>
        </w:rPr>
      </w:pPr>
      <w:r w:rsidRPr="004A556D">
        <w:t>E</w:t>
      </w:r>
      <w:r>
        <w:t>xkivity</w:t>
      </w:r>
      <w:r w:rsidR="006C5B5B" w:rsidRPr="00300A67">
        <w:rPr>
          <w:color w:val="auto"/>
        </w:rPr>
        <w:t xml:space="preserve"> (mobocertinib) is to be included in the Black Triangle Scheme. The PI and CMI for </w:t>
      </w:r>
      <w:r w:rsidRPr="004A556D">
        <w:t>E</w:t>
      </w:r>
      <w:r>
        <w:t>xkivity</w:t>
      </w:r>
      <w:r w:rsidR="006C5B5B" w:rsidRPr="00300A67">
        <w:rPr>
          <w:color w:val="auto"/>
        </w:rPr>
        <w:t xml:space="preserve"> must include the black triangle symbol and mandatory accompanying text for 5 years, or for the product’s entire period of provisional registration, whichever is longer.</w:t>
      </w:r>
    </w:p>
    <w:p w14:paraId="166910D4" w14:textId="3DE89722" w:rsidR="006C5B5B" w:rsidRPr="00300A67" w:rsidRDefault="006C5B5B" w:rsidP="006C5B5B">
      <w:pPr>
        <w:pStyle w:val="ListBullet"/>
        <w:rPr>
          <w:color w:val="auto"/>
        </w:rPr>
      </w:pPr>
      <w:r w:rsidRPr="00300A67">
        <w:rPr>
          <w:color w:val="auto"/>
        </w:rPr>
        <w:t xml:space="preserve">The </w:t>
      </w:r>
      <w:r w:rsidR="00300A67" w:rsidRPr="004A556D">
        <w:t>E</w:t>
      </w:r>
      <w:r w:rsidR="00300A67">
        <w:t>xkivity</w:t>
      </w:r>
      <w:r w:rsidRPr="00300A67">
        <w:rPr>
          <w:color w:val="auto"/>
        </w:rPr>
        <w:t xml:space="preserve"> EU-RMP (version 0.3, dated 11 February 2022, </w:t>
      </w:r>
      <w:r w:rsidR="00F50933">
        <w:rPr>
          <w:color w:val="auto"/>
        </w:rPr>
        <w:t xml:space="preserve">DLP </w:t>
      </w:r>
      <w:r w:rsidRPr="00300A67">
        <w:rPr>
          <w:color w:val="auto"/>
        </w:rPr>
        <w:t xml:space="preserve">23 December 2020), with </w:t>
      </w:r>
      <w:r w:rsidR="00F50933">
        <w:rPr>
          <w:color w:val="auto"/>
        </w:rPr>
        <w:t>ASA</w:t>
      </w:r>
      <w:r w:rsidRPr="00300A67">
        <w:rPr>
          <w:color w:val="auto"/>
        </w:rPr>
        <w:t xml:space="preserve"> (version 2.0, dated 14 February 2022), included with submission PM-2021-02546-1-4, and any subsequent revisions, as agreed with the TGA will be implemented in Australia.</w:t>
      </w:r>
    </w:p>
    <w:p w14:paraId="1A9163BD" w14:textId="0F36AD52" w:rsidR="00300A67" w:rsidRPr="00300A67" w:rsidRDefault="006C5B5B" w:rsidP="00300A67">
      <w:pPr>
        <w:pStyle w:val="ListBullet"/>
        <w:numPr>
          <w:ilvl w:val="0"/>
          <w:numId w:val="0"/>
        </w:numPr>
        <w:ind w:left="360"/>
        <w:rPr>
          <w:color w:val="auto"/>
          <w:szCs w:val="22"/>
        </w:rPr>
      </w:pPr>
      <w:r w:rsidRPr="00300A67">
        <w:rPr>
          <w:color w:val="auto"/>
          <w:szCs w:val="22"/>
        </w:rPr>
        <w:t>An obligatory component of risk management plans is routine pharmacovigilance. Routine pharmacovigilance includes the submission of periodic safety update reports (PSURs).</w:t>
      </w:r>
      <w:r w:rsidR="00300A67">
        <w:rPr>
          <w:color w:val="auto"/>
          <w:szCs w:val="22"/>
        </w:rPr>
        <w:t xml:space="preserve"> </w:t>
      </w:r>
      <w:r w:rsidRPr="00300A67">
        <w:rPr>
          <w:color w:val="auto"/>
          <w:szCs w:val="22"/>
        </w:rPr>
        <w:t>Unless agreed separately between the supplier who is the recipient of the approval and the TGA, the first report must be submitted to TGA no later than 15 calendar months after the date of th</w:t>
      </w:r>
      <w:r w:rsidR="00300A67">
        <w:rPr>
          <w:color w:val="auto"/>
          <w:szCs w:val="22"/>
        </w:rPr>
        <w:t>e</w:t>
      </w:r>
      <w:r w:rsidRPr="00300A67">
        <w:rPr>
          <w:color w:val="auto"/>
          <w:szCs w:val="22"/>
        </w:rPr>
        <w:t xml:space="preserve"> approval letter. The subsequent reports must be submitted no less frequently than annually from the date of the first submitted report until the period covered by such reports is not less than three years from the date of th</w:t>
      </w:r>
      <w:r w:rsidR="00300A67">
        <w:rPr>
          <w:color w:val="auto"/>
          <w:szCs w:val="22"/>
        </w:rPr>
        <w:t>e</w:t>
      </w:r>
      <w:r w:rsidRPr="00300A67">
        <w:rPr>
          <w:color w:val="auto"/>
          <w:szCs w:val="22"/>
        </w:rPr>
        <w:t xml:space="preserve"> approval letter, or the entire period of provisional registration, whichever is longer.</w:t>
      </w:r>
    </w:p>
    <w:p w14:paraId="32248BFA" w14:textId="56AC04B4" w:rsidR="006C5B5B" w:rsidRPr="00300A67" w:rsidRDefault="006C5B5B" w:rsidP="00300A67">
      <w:pPr>
        <w:pStyle w:val="ListBullet"/>
        <w:numPr>
          <w:ilvl w:val="0"/>
          <w:numId w:val="0"/>
        </w:numPr>
        <w:ind w:left="360"/>
        <w:rPr>
          <w:color w:val="auto"/>
          <w:szCs w:val="22"/>
        </w:rPr>
      </w:pPr>
      <w:r w:rsidRPr="00300A67">
        <w:rPr>
          <w:color w:val="auto"/>
          <w:szCs w:val="22"/>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38074CF" w14:textId="77777777" w:rsidR="00300A67" w:rsidRPr="00300A67" w:rsidRDefault="006C5B5B" w:rsidP="006C5B5B">
      <w:pPr>
        <w:pStyle w:val="ListBullet"/>
        <w:rPr>
          <w:color w:val="auto"/>
        </w:rPr>
      </w:pPr>
      <w:r w:rsidRPr="00300A67">
        <w:rPr>
          <w:color w:val="auto"/>
        </w:rPr>
        <w:t>Confirmatory trial data (as identified in the sponsor’s plan to submit comprehensive</w:t>
      </w:r>
      <w:r w:rsidR="00300A67" w:rsidRPr="00300A67">
        <w:rPr>
          <w:color w:val="auto"/>
        </w:rPr>
        <w:t xml:space="preserve"> </w:t>
      </w:r>
      <w:r w:rsidRPr="00300A67">
        <w:rPr>
          <w:color w:val="auto"/>
        </w:rPr>
        <w:t>clinical data on the safety and efficacy of the medicine before the end of the 6 years that</w:t>
      </w:r>
      <w:r w:rsidR="00300A67" w:rsidRPr="00300A67">
        <w:rPr>
          <w:color w:val="auto"/>
        </w:rPr>
        <w:t xml:space="preserve"> </w:t>
      </w:r>
      <w:r w:rsidRPr="00300A67">
        <w:rPr>
          <w:color w:val="auto"/>
        </w:rPr>
        <w:t>would start on the day that registration would commence) must be provided.</w:t>
      </w:r>
    </w:p>
    <w:p w14:paraId="3644DD62" w14:textId="64335F60" w:rsidR="006C5B5B" w:rsidRPr="00300A67" w:rsidRDefault="006C5B5B" w:rsidP="00300A67">
      <w:pPr>
        <w:pStyle w:val="ListBullet"/>
        <w:numPr>
          <w:ilvl w:val="0"/>
          <w:numId w:val="0"/>
        </w:numPr>
        <w:ind w:left="360"/>
        <w:rPr>
          <w:color w:val="auto"/>
        </w:rPr>
      </w:pPr>
      <w:r w:rsidRPr="00300A67">
        <w:rPr>
          <w:color w:val="auto"/>
          <w:szCs w:val="22"/>
        </w:rPr>
        <w:lastRenderedPageBreak/>
        <w:t xml:space="preserve">Specifically, the sponsor must conduct studies as described in the clinical study plan inversion 2.0 (dated 14 February 2022) of the </w:t>
      </w:r>
      <w:r w:rsidR="00300A67">
        <w:rPr>
          <w:color w:val="auto"/>
          <w:szCs w:val="22"/>
        </w:rPr>
        <w:t>ASA</w:t>
      </w:r>
      <w:r w:rsidRPr="00300A67">
        <w:rPr>
          <w:color w:val="auto"/>
          <w:szCs w:val="22"/>
        </w:rPr>
        <w:t>. The following</w:t>
      </w:r>
      <w:r w:rsidR="00E607D4">
        <w:rPr>
          <w:color w:val="auto"/>
          <w:szCs w:val="22"/>
        </w:rPr>
        <w:t xml:space="preserve"> </w:t>
      </w:r>
      <w:r w:rsidRPr="00300A67">
        <w:rPr>
          <w:color w:val="auto"/>
          <w:szCs w:val="22"/>
        </w:rPr>
        <w:t>should be submitted to TGA:</w:t>
      </w:r>
    </w:p>
    <w:p w14:paraId="11E06BE2" w14:textId="1EFAD2F6" w:rsidR="00300A67" w:rsidRPr="00300A67" w:rsidRDefault="006C5B5B" w:rsidP="006C5B5B">
      <w:pPr>
        <w:pStyle w:val="ListBullet2"/>
        <w:rPr>
          <w:color w:val="auto"/>
        </w:rPr>
      </w:pPr>
      <w:r w:rsidRPr="00300A67">
        <w:rPr>
          <w:color w:val="auto"/>
        </w:rPr>
        <w:t>All interim and final clinical study reports for Study TAK-788-3001 (interim and</w:t>
      </w:r>
      <w:r w:rsidR="00F50933">
        <w:rPr>
          <w:color w:val="auto"/>
        </w:rPr>
        <w:t xml:space="preserve"> </w:t>
      </w:r>
      <w:r w:rsidRPr="00300A67">
        <w:rPr>
          <w:color w:val="auto"/>
        </w:rPr>
        <w:t>final), with the next analysis expected to be performed in 2023.</w:t>
      </w:r>
    </w:p>
    <w:p w14:paraId="1918461B" w14:textId="177BF884" w:rsidR="006C5B5B" w:rsidRPr="00300A67" w:rsidRDefault="006C5B5B" w:rsidP="00300A67">
      <w:pPr>
        <w:pStyle w:val="ListBullet2"/>
        <w:numPr>
          <w:ilvl w:val="0"/>
          <w:numId w:val="0"/>
        </w:numPr>
        <w:ind w:left="850"/>
        <w:rPr>
          <w:color w:val="auto"/>
        </w:rPr>
      </w:pPr>
      <w:r w:rsidRPr="00300A67">
        <w:rPr>
          <w:color w:val="auto"/>
          <w:szCs w:val="22"/>
        </w:rPr>
        <w:t>Further guidance for sponsors is available on the TGA website.</w:t>
      </w:r>
    </w:p>
    <w:p w14:paraId="07DC468B" w14:textId="3114BE3D" w:rsidR="006C5B5B" w:rsidRPr="00300A67" w:rsidRDefault="006C5B5B" w:rsidP="006C5B5B">
      <w:pPr>
        <w:pStyle w:val="ListBullet"/>
        <w:rPr>
          <w:color w:val="auto"/>
        </w:rPr>
      </w:pPr>
      <w:r w:rsidRPr="00300A67">
        <w:rPr>
          <w:color w:val="auto"/>
        </w:rPr>
        <w:t xml:space="preserve">Submit post-market assessments to better characterise the risks of QTc prolongation/Torsades de Pointes and cardiac failure. Expected availability </w:t>
      </w:r>
      <w:r w:rsidR="00300A67">
        <w:rPr>
          <w:color w:val="auto"/>
        </w:rPr>
        <w:t xml:space="preserve">first quarter of </w:t>
      </w:r>
      <w:r w:rsidRPr="00300A67">
        <w:rPr>
          <w:color w:val="auto"/>
        </w:rPr>
        <w:t>2024.</w:t>
      </w:r>
    </w:p>
    <w:p w14:paraId="2281879F" w14:textId="4AB8A52B" w:rsidR="006C5B5B" w:rsidRPr="00300A67" w:rsidRDefault="006C5B5B" w:rsidP="006C5B5B">
      <w:pPr>
        <w:pStyle w:val="ListBullet"/>
        <w:rPr>
          <w:color w:val="auto"/>
        </w:rPr>
      </w:pPr>
      <w:r w:rsidRPr="00300A67">
        <w:rPr>
          <w:color w:val="auto"/>
        </w:rPr>
        <w:t xml:space="preserve">Submit the results of </w:t>
      </w:r>
      <w:r w:rsidR="00F50933">
        <w:rPr>
          <w:color w:val="auto"/>
        </w:rPr>
        <w:t>S</w:t>
      </w:r>
      <w:r w:rsidRPr="00300A67">
        <w:rPr>
          <w:color w:val="auto"/>
        </w:rPr>
        <w:t xml:space="preserve">tudy TAK-788-1007 with regard to the effect of severe renal impairment on mobocertinib pharmacokinetics. Expected availability </w:t>
      </w:r>
      <w:r w:rsidR="00300A67">
        <w:rPr>
          <w:color w:val="auto"/>
        </w:rPr>
        <w:t>first quarter of</w:t>
      </w:r>
      <w:r w:rsidRPr="00300A67">
        <w:rPr>
          <w:color w:val="auto"/>
        </w:rPr>
        <w:t xml:space="preserve"> 2023.</w:t>
      </w:r>
    </w:p>
    <w:p w14:paraId="70A32806" w14:textId="694C0729" w:rsidR="006C5B5B" w:rsidRPr="00300A67" w:rsidRDefault="006C5B5B" w:rsidP="006C5B5B">
      <w:pPr>
        <w:pStyle w:val="ListBullet"/>
        <w:rPr>
          <w:color w:val="auto"/>
        </w:rPr>
      </w:pPr>
      <w:r w:rsidRPr="00300A67">
        <w:rPr>
          <w:color w:val="auto"/>
        </w:rPr>
        <w:t xml:space="preserve">Submit the results of </w:t>
      </w:r>
      <w:r w:rsidR="00F50933">
        <w:rPr>
          <w:color w:val="auto"/>
        </w:rPr>
        <w:t>S</w:t>
      </w:r>
      <w:r w:rsidRPr="00300A67">
        <w:rPr>
          <w:color w:val="auto"/>
        </w:rPr>
        <w:t xml:space="preserve">tudy TAK-788-1008 with regard to the effect of moderate to severe hepatic impairment on mobocertinib pharmacokinetics. Expected availability </w:t>
      </w:r>
      <w:r w:rsidR="00300A67">
        <w:rPr>
          <w:color w:val="auto"/>
        </w:rPr>
        <w:t>fourth quarter of</w:t>
      </w:r>
      <w:r w:rsidRPr="00300A67">
        <w:rPr>
          <w:color w:val="auto"/>
        </w:rPr>
        <w:t xml:space="preserve"> 2022.</w:t>
      </w:r>
    </w:p>
    <w:p w14:paraId="07BB91BA" w14:textId="532992F9" w:rsidR="006C5B5B" w:rsidRPr="00300A67" w:rsidRDefault="006C5B5B" w:rsidP="006C5B5B">
      <w:pPr>
        <w:pStyle w:val="ListBullet"/>
        <w:rPr>
          <w:color w:val="auto"/>
        </w:rPr>
      </w:pPr>
      <w:r w:rsidRPr="00300A67">
        <w:rPr>
          <w:color w:val="auto"/>
        </w:rPr>
        <w:t xml:space="preserve">Submit the results of a clinical study with regard to the effects of concurrent administration of mobocertinib on the pharmacokinetics of a BRCP substrates. Expected availability </w:t>
      </w:r>
      <w:r w:rsidR="00300A67">
        <w:rPr>
          <w:color w:val="auto"/>
        </w:rPr>
        <w:t xml:space="preserve">fourth quarter of </w:t>
      </w:r>
      <w:r w:rsidRPr="00300A67">
        <w:rPr>
          <w:color w:val="auto"/>
        </w:rPr>
        <w:t>2022.</w:t>
      </w:r>
    </w:p>
    <w:p w14:paraId="451DC3FC" w14:textId="77777777" w:rsidR="00C22214" w:rsidRDefault="00C22214" w:rsidP="00C22214">
      <w:pPr>
        <w:pStyle w:val="Heading2"/>
      </w:pPr>
      <w:bookmarkStart w:id="146" w:name="_Toc103679303"/>
      <w:bookmarkStart w:id="147" w:name="_Toc132980334"/>
      <w:r>
        <w:t>Attachment 1. Product Information</w:t>
      </w:r>
      <w:bookmarkEnd w:id="146"/>
      <w:bookmarkEnd w:id="147"/>
    </w:p>
    <w:p w14:paraId="21F47164" w14:textId="65137E59" w:rsidR="00C22214" w:rsidRDefault="00C22214" w:rsidP="00C22214">
      <w:r w:rsidRPr="002B3624">
        <w:t xml:space="preserve">The </w:t>
      </w:r>
      <w:r>
        <w:t>PI</w:t>
      </w:r>
      <w:r w:rsidRPr="002B3624">
        <w:t xml:space="preserve"> for</w:t>
      </w:r>
      <w:r w:rsidR="00300A67">
        <w:t xml:space="preserve"> Exkivity </w:t>
      </w:r>
      <w:r>
        <w:t xml:space="preserve">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31" w:history="1">
        <w:r w:rsidRPr="008A698E">
          <w:rPr>
            <w:rStyle w:val="Hyperlink"/>
          </w:rPr>
          <w:t>PI/CMI search facility.</w:t>
        </w:r>
      </w:hyperlink>
      <w:r>
        <w:t xml:space="preserve"> </w:t>
      </w:r>
    </w:p>
    <w:p w14:paraId="53357BF3" w14:textId="36E05DF0" w:rsidR="00C22214" w:rsidRDefault="00C22214" w:rsidP="00C636E8">
      <w:pPr>
        <w:autoSpaceDE w:val="0"/>
        <w:autoSpaceDN w:val="0"/>
        <w:adjustRightInd w:val="0"/>
        <w:spacing w:after="0"/>
        <w:sectPr w:rsidR="00C22214" w:rsidSect="008B3CF0">
          <w:headerReference w:type="default" r:id="rId32"/>
          <w:footerReference w:type="default" r:id="rId33"/>
          <w:pgSz w:w="11906" w:h="16838" w:code="9"/>
          <w:pgMar w:top="1134" w:right="1418" w:bottom="1361" w:left="1418" w:header="573" w:footer="567" w:gutter="0"/>
          <w:cols w:space="708"/>
          <w:docGrid w:linePitch="360"/>
        </w:sectPr>
      </w:pPr>
      <w:r w:rsidRPr="00C80137">
        <w:rPr>
          <w:b/>
        </w:rPr>
        <w:br w:type="page"/>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8B3CF0">
        <w:trPr>
          <w:trHeight w:hRule="exact" w:val="565"/>
          <w:jc w:val="center"/>
        </w:trPr>
        <w:tc>
          <w:tcPr>
            <w:tcW w:w="9145" w:type="dxa"/>
          </w:tcPr>
          <w:bookmarkEnd w:id="3"/>
          <w:bookmarkEnd w:id="4"/>
          <w:p w14:paraId="7E090B86" w14:textId="77777777" w:rsidR="00F02AEC" w:rsidRPr="00215D48" w:rsidRDefault="00F02AEC" w:rsidP="008B3CF0">
            <w:pPr>
              <w:pStyle w:val="TGASignoff"/>
            </w:pPr>
            <w:r w:rsidRPr="00215D48">
              <w:lastRenderedPageBreak/>
              <w:t>Therapeutic Goods Administration</w:t>
            </w:r>
          </w:p>
        </w:tc>
      </w:tr>
      <w:tr w:rsidR="00F02AEC" w:rsidRPr="00856E88" w14:paraId="70F47EA1" w14:textId="77777777" w:rsidTr="008B3CF0">
        <w:trPr>
          <w:trHeight w:val="963"/>
          <w:jc w:val="center"/>
        </w:trPr>
        <w:tc>
          <w:tcPr>
            <w:tcW w:w="9145" w:type="dxa"/>
            <w:tcMar>
              <w:top w:w="28" w:type="dxa"/>
            </w:tcMar>
          </w:tcPr>
          <w:p w14:paraId="3491EBCD" w14:textId="77777777" w:rsidR="00F02AEC" w:rsidRPr="00215D48" w:rsidRDefault="00F02AEC" w:rsidP="008B3CF0">
            <w:pPr>
              <w:pStyle w:val="Address"/>
              <w:jc w:val="center"/>
            </w:pPr>
            <w:r w:rsidRPr="00215D48">
              <w:t>PO Box 100 Woden ACT 2606 Australia</w:t>
            </w:r>
          </w:p>
          <w:p w14:paraId="5D0FE0E7" w14:textId="4373DBF6" w:rsidR="00F02AEC" w:rsidRPr="00E81BB4" w:rsidRDefault="00F02AEC">
            <w:pPr>
              <w:pStyle w:val="Address"/>
              <w:jc w:val="center"/>
              <w:rPr>
                <w:sz w:val="22"/>
                <w:szCs w:val="22"/>
              </w:rPr>
            </w:pPr>
            <w:r w:rsidRPr="00E81BB4">
              <w:t xml:space="preserve">Email: </w:t>
            </w:r>
            <w:hyperlink r:id="rId34" w:history="1">
              <w:r w:rsidRPr="00E81BB4">
                <w:rPr>
                  <w:rStyle w:val="Hyperlink"/>
                </w:rPr>
                <w:t>info@tga.gov.au</w:t>
              </w:r>
            </w:hyperlink>
            <w:r w:rsidRPr="00E81BB4">
              <w:t xml:space="preserve">  Phone: 1800 020 653  Fax: 02 6203 1605</w:t>
            </w:r>
          </w:p>
          <w:p w14:paraId="4533D80F" w14:textId="4ECA4D19" w:rsidR="00F02AEC" w:rsidRPr="00E81BB4" w:rsidRDefault="003F5EF5">
            <w:pPr>
              <w:pStyle w:val="Address"/>
              <w:jc w:val="center"/>
              <w:rPr>
                <w:rStyle w:val="Hyperlink"/>
                <w:b/>
                <w:color w:val="auto"/>
                <w:sz w:val="22"/>
              </w:rPr>
            </w:pPr>
            <w:hyperlink r:id="rId35" w:history="1">
              <w:r w:rsidR="00F02AEC" w:rsidRPr="00E81BB4">
                <w:rPr>
                  <w:rStyle w:val="Hyperlink"/>
                  <w:b/>
                </w:rPr>
                <w:t>https://www.tga.gov.au</w:t>
              </w:r>
            </w:hyperlink>
          </w:p>
        </w:tc>
      </w:tr>
      <w:tr w:rsidR="00F02AEC" w:rsidRPr="00215D48" w14:paraId="2AD74347" w14:textId="77777777" w:rsidTr="008B3CF0">
        <w:trPr>
          <w:trHeight w:val="251"/>
          <w:jc w:val="center"/>
        </w:trPr>
        <w:tc>
          <w:tcPr>
            <w:tcW w:w="9145" w:type="dxa"/>
            <w:tcMar>
              <w:top w:w="28" w:type="dxa"/>
            </w:tcMar>
          </w:tcPr>
          <w:p w14:paraId="6EAAD5C1" w14:textId="77777777" w:rsidR="00F02AEC" w:rsidRPr="00215D48" w:rsidRDefault="00F02AEC" w:rsidP="008B3CF0">
            <w:pPr>
              <w:pStyle w:val="Address"/>
              <w:jc w:val="center"/>
            </w:pPr>
            <w:r w:rsidRPr="00215D48">
              <w:t>Reference/Publication #</w:t>
            </w:r>
          </w:p>
        </w:tc>
      </w:tr>
    </w:tbl>
    <w:p w14:paraId="788B80FD" w14:textId="77777777" w:rsidR="008B3CF0" w:rsidRDefault="008B3CF0"/>
    <w:sectPr w:rsidR="008B3CF0" w:rsidSect="008B3CF0">
      <w:headerReference w:type="first" r:id="rId36"/>
      <w:footerReference w:type="first" r:id="rId3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D23B" w14:textId="77777777" w:rsidR="00543EBC" w:rsidRDefault="00543EBC" w:rsidP="00F02AEC">
      <w:pPr>
        <w:spacing w:after="0" w:line="240" w:lineRule="auto"/>
      </w:pPr>
      <w:r>
        <w:separator/>
      </w:r>
    </w:p>
  </w:endnote>
  <w:endnote w:type="continuationSeparator" w:id="0">
    <w:p w14:paraId="3A68ADCF" w14:textId="77777777" w:rsidR="00543EBC" w:rsidRDefault="00543EB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3DDA" w14:textId="77777777" w:rsidR="00E81BB4" w:rsidRDefault="00E81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73418" w:rsidRPr="00257138" w14:paraId="162D69C2" w14:textId="77777777" w:rsidTr="008B3CF0">
      <w:trPr>
        <w:trHeight w:val="423"/>
      </w:trPr>
      <w:tc>
        <w:tcPr>
          <w:tcW w:w="4360" w:type="dxa"/>
          <w:tcBorders>
            <w:top w:val="single" w:sz="4" w:space="0" w:color="auto"/>
          </w:tcBorders>
        </w:tcPr>
        <w:p w14:paraId="32E1B782" w14:textId="2B0E0380" w:rsidR="00D73418" w:rsidRDefault="00D73418" w:rsidP="008B3CF0">
          <w:pPr>
            <w:pStyle w:val="Footer"/>
          </w:pPr>
        </w:p>
        <w:p w14:paraId="1849C07C" w14:textId="77777777" w:rsidR="00D73418" w:rsidRPr="00257138" w:rsidRDefault="00D73418" w:rsidP="008B3CF0">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D73418" w:rsidRDefault="00D73418" w:rsidP="008B3CF0">
              <w:pPr>
                <w:pStyle w:val="Footer"/>
                <w:jc w:val="right"/>
              </w:pPr>
            </w:p>
            <w:p w14:paraId="5EDE6DF6" w14:textId="77777777" w:rsidR="00D73418" w:rsidRPr="00257138" w:rsidRDefault="00D73418" w:rsidP="008B3CF0">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3F5EF5">
                <w:fldChar w:fldCharType="begin"/>
              </w:r>
              <w:r w:rsidR="003F5EF5">
                <w:instrText xml:space="preserve"> NUMPAGES  </w:instrText>
              </w:r>
              <w:r w:rsidR="003F5EF5">
                <w:fldChar w:fldCharType="separate"/>
              </w:r>
              <w:r>
                <w:rPr>
                  <w:noProof/>
                </w:rPr>
                <w:t>2</w:t>
              </w:r>
              <w:r w:rsidR="003F5EF5">
                <w:rPr>
                  <w:noProof/>
                </w:rPr>
                <w:fldChar w:fldCharType="end"/>
              </w:r>
            </w:p>
          </w:sdtContent>
        </w:sdt>
      </w:tc>
    </w:tr>
    <w:tr w:rsidR="00D73418" w:rsidRPr="00257138" w14:paraId="280F09C8" w14:textId="77777777" w:rsidTr="008B3CF0">
      <w:trPr>
        <w:trHeight w:val="263"/>
      </w:trPr>
      <w:tc>
        <w:tcPr>
          <w:tcW w:w="4360" w:type="dxa"/>
        </w:tcPr>
        <w:p w14:paraId="673F06D3" w14:textId="77777777" w:rsidR="00D73418" w:rsidRPr="00257138" w:rsidRDefault="00D73418" w:rsidP="008B3CF0">
          <w:pPr>
            <w:pStyle w:val="Footer"/>
          </w:pPr>
          <w:r w:rsidRPr="00257138">
            <w:t xml:space="preserve">V1.0 </w:t>
          </w:r>
          <w:r>
            <w:t>Month</w:t>
          </w:r>
          <w:r w:rsidRPr="00257138">
            <w:t xml:space="preserve"> 201</w:t>
          </w:r>
          <w:r>
            <w:t>2</w:t>
          </w:r>
        </w:p>
      </w:tc>
      <w:tc>
        <w:tcPr>
          <w:tcW w:w="4360" w:type="dxa"/>
        </w:tcPr>
        <w:p w14:paraId="77F5B433" w14:textId="77777777" w:rsidR="00D73418" w:rsidRPr="00257138" w:rsidRDefault="00D73418" w:rsidP="008B3CF0">
          <w:pPr>
            <w:pStyle w:val="Footer"/>
            <w:jc w:val="right"/>
          </w:pPr>
        </w:p>
      </w:tc>
    </w:tr>
  </w:tbl>
  <w:p w14:paraId="63F6FDDE" w14:textId="77777777" w:rsidR="00D73418" w:rsidRPr="00826007" w:rsidRDefault="00D73418" w:rsidP="008B3CF0">
    <w:pPr>
      <w:pStyle w:val="Footer"/>
      <w:tabs>
        <w:tab w:val="left" w:pos="7620"/>
        <w:tab w:val="right" w:pos="8504"/>
      </w:tabs>
    </w:pPr>
  </w:p>
  <w:p w14:paraId="0692DE8F" w14:textId="77777777" w:rsidR="00D73418" w:rsidRDefault="00D734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37863F8E" w:rsidR="00D73418" w:rsidRDefault="00D73418" w:rsidP="008B3CF0">
    <w:pPr>
      <w:pStyle w:val="Footer"/>
      <w:ind w:left="-1701"/>
    </w:pPr>
    <w:r w:rsidRPr="002B29B2">
      <w:t xml:space="preserve"> </w:t>
    </w:r>
  </w:p>
  <w:p w14:paraId="7DEE81C9" w14:textId="77777777" w:rsidR="00D73418" w:rsidRDefault="00D734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D73418" w:rsidRPr="004A3084" w14:paraId="6266BC33" w14:textId="77777777" w:rsidTr="008B2C83">
      <w:trPr>
        <w:trHeight w:val="334"/>
      </w:trPr>
      <w:tc>
        <w:tcPr>
          <w:tcW w:w="7338" w:type="dxa"/>
          <w:tcBorders>
            <w:top w:val="single" w:sz="4" w:space="0" w:color="auto"/>
          </w:tcBorders>
        </w:tcPr>
        <w:p w14:paraId="3C421323" w14:textId="562A3EFE" w:rsidR="00D73418" w:rsidRPr="004A3084" w:rsidRDefault="00D73418" w:rsidP="008B3CF0">
          <w:pPr>
            <w:pStyle w:val="Footer"/>
          </w:pPr>
          <w:r w:rsidRPr="00487162">
            <w:t>AusPA</w:t>
          </w:r>
          <w:r>
            <w:t xml:space="preserve">R – </w:t>
          </w:r>
          <w:r w:rsidRPr="004A556D">
            <w:t>E</w:t>
          </w:r>
          <w:r>
            <w:t>xkivity -</w:t>
          </w:r>
          <w:r w:rsidRPr="00460036">
            <w:t xml:space="preserve"> </w:t>
          </w:r>
          <w:r w:rsidRPr="004A556D">
            <w:t>mobocertinib</w:t>
          </w:r>
          <w:r w:rsidRPr="00460036">
            <w:t xml:space="preserve"> </w:t>
          </w:r>
          <w:r>
            <w:t xml:space="preserve">- </w:t>
          </w:r>
          <w:r w:rsidRPr="004A556D">
            <w:t>Takeda Pharmaceuticals</w:t>
          </w:r>
          <w:r>
            <w:t xml:space="preserve"> Australia Pty Ltd - </w:t>
          </w:r>
          <w:r w:rsidRPr="004A556D">
            <w:t>PM-2021-02546-1-4</w:t>
          </w:r>
          <w:r>
            <w:br/>
          </w:r>
          <w:r w:rsidR="00E81BB4">
            <w:t>FINAL</w:t>
          </w:r>
          <w:r w:rsidRPr="00487162">
            <w:t xml:space="preserve"> </w:t>
          </w:r>
          <w:r w:rsidR="00E81BB4">
            <w:t>21</w:t>
          </w:r>
          <w:r>
            <w:t xml:space="preserve"> April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67ECC597" w:rsidR="00D73418" w:rsidRPr="004A3084" w:rsidRDefault="00D73418" w:rsidP="008B3CF0">
              <w:pPr>
                <w:pStyle w:val="Footer"/>
                <w:jc w:val="right"/>
              </w:pPr>
              <w:r w:rsidRPr="004A3084">
                <w:t xml:space="preserve">Page </w:t>
              </w:r>
              <w:r>
                <w:fldChar w:fldCharType="begin"/>
              </w:r>
              <w:r>
                <w:instrText xml:space="preserve"> PAGE </w:instrText>
              </w:r>
              <w:r>
                <w:fldChar w:fldCharType="separate"/>
              </w:r>
              <w:r w:rsidR="009B5F91">
                <w:rPr>
                  <w:noProof/>
                </w:rPr>
                <w:t>7</w:t>
              </w:r>
              <w:r>
                <w:rPr>
                  <w:noProof/>
                </w:rPr>
                <w:fldChar w:fldCharType="end"/>
              </w:r>
              <w:r w:rsidRPr="004A3084">
                <w:t xml:space="preserve"> of </w:t>
              </w:r>
              <w:r w:rsidR="003F5EF5">
                <w:fldChar w:fldCharType="begin"/>
              </w:r>
              <w:r w:rsidR="003F5EF5">
                <w:instrText xml:space="preserve"> NUMPAGES  </w:instrText>
              </w:r>
              <w:r w:rsidR="003F5EF5">
                <w:fldChar w:fldCharType="separate"/>
              </w:r>
              <w:r w:rsidR="009B5F91">
                <w:rPr>
                  <w:noProof/>
                </w:rPr>
                <w:t>49</w:t>
              </w:r>
              <w:r w:rsidR="003F5EF5">
                <w:rPr>
                  <w:noProof/>
                </w:rPr>
                <w:fldChar w:fldCharType="end"/>
              </w:r>
            </w:p>
          </w:sdtContent>
        </w:sdt>
      </w:tc>
    </w:tr>
  </w:tbl>
  <w:p w14:paraId="1A4EDE60" w14:textId="77777777" w:rsidR="00D73418" w:rsidRPr="00826007" w:rsidRDefault="00D73418" w:rsidP="008B3CF0">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D73418" w:rsidRPr="008E3C43" w:rsidRDefault="00D73418" w:rsidP="008B3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5552" w14:textId="77777777" w:rsidR="00543EBC" w:rsidRDefault="00543EBC" w:rsidP="00F02AEC">
      <w:pPr>
        <w:spacing w:after="0" w:line="240" w:lineRule="auto"/>
      </w:pPr>
      <w:r>
        <w:separator/>
      </w:r>
    </w:p>
  </w:footnote>
  <w:footnote w:type="continuationSeparator" w:id="0">
    <w:p w14:paraId="4D3E6555" w14:textId="77777777" w:rsidR="00543EBC" w:rsidRDefault="00543EBC" w:rsidP="00F02AEC">
      <w:pPr>
        <w:spacing w:after="0" w:line="240" w:lineRule="auto"/>
      </w:pPr>
      <w:r>
        <w:continuationSeparator/>
      </w:r>
    </w:p>
  </w:footnote>
  <w:footnote w:id="1">
    <w:p w14:paraId="7AF7D7C9" w14:textId="77777777" w:rsidR="00D73418" w:rsidRPr="00A93DC6" w:rsidRDefault="00D73418" w:rsidP="0019537C">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3CC33EDB" w14:textId="77777777" w:rsidR="00D73418" w:rsidRDefault="00D73418" w:rsidP="0019537C">
      <w:pPr>
        <w:pStyle w:val="FootnoteText"/>
      </w:pPr>
      <w:r>
        <w:rPr>
          <w:rStyle w:val="FootnoteReference"/>
        </w:rPr>
        <w:footnoteRef/>
      </w:r>
      <w:r>
        <w:t xml:space="preserve"> </w:t>
      </w:r>
      <w:r w:rsidRPr="00167DE0">
        <w:t>Sung H, Ferlay J, Siegel RL, Laversanne M, Soerjomataram I, Jemal A, Bray F. Global Cancer Statistics 2020: GLOBOCAN Estimates of Incidence and Mortality Worldwide for 36 Cancers in 185 Countries. CA Cancer J Clin. 2021 May;71(3):209-249</w:t>
      </w:r>
    </w:p>
  </w:footnote>
  <w:footnote w:id="3">
    <w:p w14:paraId="294F1E84" w14:textId="77777777" w:rsidR="00D73418" w:rsidRDefault="00D73418" w:rsidP="0019537C">
      <w:pPr>
        <w:pStyle w:val="FootnoteText"/>
      </w:pPr>
      <w:r>
        <w:rPr>
          <w:rStyle w:val="FootnoteReference"/>
        </w:rPr>
        <w:footnoteRef/>
      </w:r>
      <w:r>
        <w:t xml:space="preserve"> </w:t>
      </w:r>
      <w:r>
        <w:rPr>
          <w:lang w:eastAsia="ja-JP"/>
        </w:rPr>
        <w:t>Estimates for 2021, based on actual mortality to 2019</w:t>
      </w:r>
      <w:r w:rsidRPr="00050F6E">
        <w:rPr>
          <w:lang w:eastAsia="ja-JP"/>
        </w:rPr>
        <w:t xml:space="preserve"> </w:t>
      </w:r>
      <w:r>
        <w:rPr>
          <w:lang w:eastAsia="ja-JP"/>
        </w:rPr>
        <w:t>and incidence to 2017.</w:t>
      </w:r>
    </w:p>
  </w:footnote>
  <w:footnote w:id="4">
    <w:p w14:paraId="5B528851" w14:textId="77777777" w:rsidR="00D73418" w:rsidRDefault="00D73418" w:rsidP="0019537C">
      <w:pPr>
        <w:pStyle w:val="FootnoteText"/>
      </w:pPr>
      <w:r>
        <w:rPr>
          <w:rStyle w:val="FootnoteReference"/>
        </w:rPr>
        <w:footnoteRef/>
      </w:r>
      <w:r>
        <w:t xml:space="preserve"> </w:t>
      </w:r>
      <w:r w:rsidRPr="0056221A">
        <w:t>Chen Z, Fillmore CM, Hammerman PS, Kim CF, Wong KK. Non-small-cell lung cancers: a heterogeneous set of diseases. Nat Rev Cancer. 2014 Aug;14(8):535-46.</w:t>
      </w:r>
    </w:p>
  </w:footnote>
  <w:footnote w:id="5">
    <w:p w14:paraId="08446784" w14:textId="77777777" w:rsidR="00D73418" w:rsidRDefault="00D73418" w:rsidP="0019537C">
      <w:pPr>
        <w:pStyle w:val="FootnoteText"/>
      </w:pPr>
      <w:r>
        <w:rPr>
          <w:rStyle w:val="FootnoteReference"/>
        </w:rPr>
        <w:footnoteRef/>
      </w:r>
      <w:r>
        <w:t xml:space="preserve"> </w:t>
      </w:r>
      <w:r w:rsidRPr="000878F9">
        <w:t>Walters S, Maringe C, Coleman MP, Peake MD, Butler J, Young N, et al. Lung cancer survival and stage at diagnosis in Australia, Canada, Denmark, Norway, Sweden and the UK: a population-based study, 2004-2007. Thorax. 2013;68(6):551-64.</w:t>
      </w:r>
    </w:p>
  </w:footnote>
  <w:footnote w:id="6">
    <w:p w14:paraId="4343EF7F" w14:textId="77777777" w:rsidR="00D73418" w:rsidRDefault="00D73418" w:rsidP="0019537C">
      <w:pPr>
        <w:pStyle w:val="FootnoteText"/>
      </w:pPr>
      <w:r>
        <w:rPr>
          <w:rStyle w:val="FootnoteReference"/>
        </w:rPr>
        <w:footnoteRef/>
      </w:r>
      <w:r w:rsidRPr="00E81BB4">
        <w:rPr>
          <w:lang w:val="fr-FR"/>
        </w:rPr>
        <w:t xml:space="preserve"> Lu T, Yang X, Huang Y, et al. </w:t>
      </w:r>
      <w:r w:rsidRPr="00E7614A">
        <w:t>Trends in the incidence, treatment, and survival of patients with lung cancer in the last four decades. Cancer Manag Res. 2019;11:943-953. Published 2019 Jan 21.</w:t>
      </w:r>
    </w:p>
  </w:footnote>
  <w:footnote w:id="7">
    <w:p w14:paraId="2047ABFD" w14:textId="77777777" w:rsidR="00D73418" w:rsidRDefault="00D73418" w:rsidP="0019537C">
      <w:pPr>
        <w:pStyle w:val="FootnoteText"/>
      </w:pPr>
      <w:r>
        <w:rPr>
          <w:rStyle w:val="FootnoteReference"/>
        </w:rPr>
        <w:footnoteRef/>
      </w:r>
      <w:r>
        <w:t xml:space="preserve"> </w:t>
      </w:r>
      <w:r w:rsidRPr="00167DE0">
        <w:t>Molina JR, Yang P, Cassivi SD, Schild SE, Adjei AA. Non-small cell lung cancer: epidemiology, risk factors, treatment, and survivorship. Mayo Clin Proc 2008;83(5):584-94.</w:t>
      </w:r>
    </w:p>
  </w:footnote>
  <w:footnote w:id="8">
    <w:p w14:paraId="789DBC02" w14:textId="77777777" w:rsidR="00D73418" w:rsidRDefault="00D73418" w:rsidP="0019537C">
      <w:pPr>
        <w:pStyle w:val="FootnoteText"/>
      </w:pPr>
      <w:r>
        <w:rPr>
          <w:rStyle w:val="FootnoteReference"/>
        </w:rPr>
        <w:footnoteRef/>
      </w:r>
      <w:r>
        <w:t xml:space="preserve"> </w:t>
      </w:r>
      <w:r w:rsidRPr="00A616A3">
        <w:t>Shi Y, Au JS, Thongprasert S, Srinivasan S, Tsai CM, Khoa MT, Heeroma K, Itoh Y, Cornelio G, Yang PC. A prospective, molecular epidemiology study of EGFR mutations in Asian patients with advanced non-small-cell lung cancer of adenocarcinoma histology (PIONEER). J Thorac Oncol. 2014 Feb;9(2):154-62.</w:t>
      </w:r>
    </w:p>
  </w:footnote>
  <w:footnote w:id="9">
    <w:p w14:paraId="56429448" w14:textId="77777777" w:rsidR="00D73418" w:rsidRDefault="00D73418" w:rsidP="0019537C">
      <w:pPr>
        <w:pStyle w:val="FootnoteText"/>
      </w:pPr>
      <w:r>
        <w:rPr>
          <w:rStyle w:val="FootnoteReference"/>
        </w:rPr>
        <w:footnoteRef/>
      </w:r>
      <w:r>
        <w:t xml:space="preserve"> Joshi A, Zanwar S, Noronha V, et al. EGFR mutation in squamous cell carcinoma of the lung: does it carry the same connotation as in adenocarcinomas?. Onco Targets Ther. 2017;10:1859-1863. Published 2017 Mar 28</w:t>
      </w:r>
    </w:p>
  </w:footnote>
  <w:footnote w:id="10">
    <w:p w14:paraId="533F7C3A" w14:textId="77777777" w:rsidR="00D73418" w:rsidRPr="00E607D4" w:rsidRDefault="00D73418" w:rsidP="0019537C">
      <w:pPr>
        <w:pStyle w:val="FootnoteText"/>
        <w:rPr>
          <w:lang w:val="es-ES"/>
        </w:rPr>
      </w:pPr>
      <w:r>
        <w:rPr>
          <w:rStyle w:val="FootnoteReference"/>
        </w:rPr>
        <w:footnoteRef/>
      </w:r>
      <w:r>
        <w:t xml:space="preserve"> </w:t>
      </w:r>
      <w:r w:rsidRPr="008A640D">
        <w:t xml:space="preserve">Jin R, Peng L, Shou J, Wang J, Jin Y, Liang F, Zhao J, Wu M, Li Q, Zhang B, Wu X, Lan F, Xia L, Yan J, Shao Y, Stebbing J, Shen H, Li W, Xia Y. EGFR-Mutated Squamous Cell Lung Cancer and Its Association With Outcomes. </w:t>
      </w:r>
      <w:r w:rsidRPr="00E607D4">
        <w:rPr>
          <w:lang w:val="es-ES"/>
        </w:rPr>
        <w:t>Front Oncol. 2021 Jun 14;11:680804</w:t>
      </w:r>
    </w:p>
  </w:footnote>
  <w:footnote w:id="11">
    <w:p w14:paraId="458D9064" w14:textId="77777777" w:rsidR="00D73418" w:rsidRDefault="00D73418" w:rsidP="0019537C">
      <w:pPr>
        <w:pStyle w:val="FootnoteText"/>
      </w:pPr>
      <w:r>
        <w:rPr>
          <w:rStyle w:val="FootnoteReference"/>
        </w:rPr>
        <w:footnoteRef/>
      </w:r>
      <w:r w:rsidRPr="00E607D4">
        <w:rPr>
          <w:lang w:val="es-ES"/>
        </w:rPr>
        <w:t xml:space="preserve"> Graham RP, Treece AL, Lindeman NI, Vasalos P, Shan M, Jennings LJ, Rimm DL. </w:t>
      </w:r>
      <w:r w:rsidRPr="008A640D">
        <w:t>Worldwide Frequency of Commonly Detected EGFR Mutations. Arch Pathol Lab Med. 2018 Feb;142(2):163-167</w:t>
      </w:r>
    </w:p>
  </w:footnote>
  <w:footnote w:id="12">
    <w:p w14:paraId="62E92591" w14:textId="77777777" w:rsidR="00D73418" w:rsidRDefault="00D73418" w:rsidP="0019537C">
      <w:r>
        <w:rPr>
          <w:rStyle w:val="FootnoteReference"/>
        </w:rPr>
        <w:footnoteRef/>
      </w:r>
      <w:r>
        <w:t xml:space="preserve"> </w:t>
      </w:r>
      <w:r w:rsidRPr="00CD0EB1">
        <w:rPr>
          <w:rStyle w:val="FootnoteTextChar"/>
        </w:rPr>
        <w:t>Shigematsu H and Gazdar AF, Somatic mutations of epidermal growth factor receptor signaling pathway in lung cancers, Int. J. Cancer 118 (2006) 257–262.</w:t>
      </w:r>
    </w:p>
  </w:footnote>
  <w:footnote w:id="13">
    <w:p w14:paraId="25531254" w14:textId="77777777" w:rsidR="00D73418" w:rsidRDefault="00D73418" w:rsidP="0019537C">
      <w:pPr>
        <w:pStyle w:val="FootnoteText"/>
      </w:pPr>
      <w:r>
        <w:rPr>
          <w:rStyle w:val="FootnoteReference"/>
        </w:rPr>
        <w:footnoteRef/>
      </w:r>
      <w:r>
        <w:t xml:space="preserve"> </w:t>
      </w:r>
      <w:r w:rsidRPr="00C210F7">
        <w:t>Sharma, S., Bell, D., Settleman, J. et al. Epidermal growth factor receptor mutations in lung cancer. Nat Rev Cancer 7, 169–181 (2007).</w:t>
      </w:r>
    </w:p>
  </w:footnote>
  <w:footnote w:id="14">
    <w:p w14:paraId="7EF2F482" w14:textId="77777777" w:rsidR="00D73418" w:rsidRDefault="00D73418" w:rsidP="0019537C">
      <w:pPr>
        <w:pStyle w:val="FootnoteText"/>
      </w:pPr>
      <w:r>
        <w:rPr>
          <w:rStyle w:val="FootnoteReference"/>
        </w:rPr>
        <w:footnoteRef/>
      </w:r>
      <w:r>
        <w:t xml:space="preserve"> </w:t>
      </w:r>
      <w:r w:rsidRPr="00A10A6F">
        <w:t>Roengvoraphoj M, Tsongalis GJ, Dragnev KH, Rigas JR. Epidermal growth factor receptor tyrosine kinase inhibitors as initial therapy for non-small cell lung cancer: focus on epidermal growth factor receptor mutation testing and mutation-positive patients. Cancer Treat Rev. 2013 Dec;39(8):839-50.</w:t>
      </w:r>
    </w:p>
  </w:footnote>
  <w:footnote w:id="15">
    <w:p w14:paraId="499B10D1" w14:textId="77777777" w:rsidR="00D73418" w:rsidRDefault="00D73418" w:rsidP="0019537C">
      <w:pPr>
        <w:pStyle w:val="FootnoteText"/>
      </w:pPr>
      <w:r>
        <w:rPr>
          <w:rStyle w:val="FootnoteReference"/>
        </w:rPr>
        <w:footnoteRef/>
      </w:r>
      <w:r w:rsidRPr="00E81BB4">
        <w:rPr>
          <w:lang w:val="es-ES"/>
        </w:rPr>
        <w:t xml:space="preserve"> Jordan EJ, Kim HR, Arcila ME, et al. </w:t>
      </w:r>
      <w:r w:rsidRPr="00CD0EB1">
        <w:t>Prospective comprehensive molecular characterization of lung adenocarcinomas for efficient patient matching to approved and emerging therapies. Cancer Discov. 2017;7:596–609.</w:t>
      </w:r>
    </w:p>
  </w:footnote>
  <w:footnote w:id="16">
    <w:p w14:paraId="5CE109DA" w14:textId="77777777" w:rsidR="00D73418" w:rsidRDefault="00D73418" w:rsidP="0019537C">
      <w:pPr>
        <w:pStyle w:val="FootnoteText"/>
      </w:pPr>
      <w:r>
        <w:rPr>
          <w:rStyle w:val="FootnoteReference"/>
        </w:rPr>
        <w:footnoteRef/>
      </w:r>
      <w:r>
        <w:t xml:space="preserve"> </w:t>
      </w:r>
      <w:r w:rsidRPr="00CD0EB1">
        <w:t>Kosaka T, Yatabe Y, Endoh H, Kuwano H, Takahashi T, Mitsudomi T. Mutations of the epidermal growth factor receptor gene in lung cancer: biological and clinical implications. Cancer Res. 2004 Dec 15;64(24):8919-23.</w:t>
      </w:r>
    </w:p>
  </w:footnote>
  <w:footnote w:id="17">
    <w:p w14:paraId="4043C790" w14:textId="77777777" w:rsidR="00D73418" w:rsidRDefault="00D73418" w:rsidP="0019537C">
      <w:pPr>
        <w:pStyle w:val="FootnoteText"/>
      </w:pPr>
      <w:r>
        <w:rPr>
          <w:rStyle w:val="FootnoteReference"/>
        </w:rPr>
        <w:footnoteRef/>
      </w:r>
      <w:r>
        <w:t xml:space="preserve"> </w:t>
      </w:r>
      <w:r w:rsidRPr="00CD0EB1">
        <w:t>Riess JW, Gandara DR, Frampton GM, Madison R, Peled N, Bufill JA, et al. Diverse EGFR Exon 20 insertions and co-occurring molecular alterations identified by comprehensive genomic profiling of NSCLC. J Thorac Oncol 2018;13:1560–8.</w:t>
      </w:r>
    </w:p>
  </w:footnote>
  <w:footnote w:id="18">
    <w:p w14:paraId="034BB137" w14:textId="77777777" w:rsidR="00D73418" w:rsidRDefault="00D73418" w:rsidP="0019537C">
      <w:pPr>
        <w:pStyle w:val="FootnoteText"/>
      </w:pPr>
      <w:r>
        <w:rPr>
          <w:rStyle w:val="FootnoteReference"/>
        </w:rPr>
        <w:footnoteRef/>
      </w:r>
      <w:r w:rsidRPr="00E81BB4">
        <w:rPr>
          <w:lang w:val="fr-FR"/>
        </w:rPr>
        <w:t xml:space="preserve"> Cheng L, Alexander RE, Maclennan GT et al. </w:t>
      </w:r>
      <w:r w:rsidRPr="00CD0EB1">
        <w:t>Molecular pathology of lung cancer: key to personalized medicine Mod Pathol, 25 (3) (2012), pp. 347-369</w:t>
      </w:r>
    </w:p>
  </w:footnote>
  <w:footnote w:id="19">
    <w:p w14:paraId="09DA2C8D" w14:textId="77777777" w:rsidR="00D73418" w:rsidRDefault="00D73418" w:rsidP="0019537C">
      <w:pPr>
        <w:pStyle w:val="FootnoteText"/>
      </w:pPr>
      <w:r>
        <w:rPr>
          <w:rStyle w:val="FootnoteReference"/>
        </w:rPr>
        <w:footnoteRef/>
      </w:r>
      <w:r>
        <w:t xml:space="preserve"> </w:t>
      </w:r>
      <w:r w:rsidRPr="00CD0EB1">
        <w:t>Li K, Yang M, Liang N, Li S. Determining EGFR-TKI sensitivity of G719X and other uncommon EGFR mutations in non-small cell lung cancer: Perplexity and solution (Review). Oncol Rep. 2017;37(3):1347-1358.</w:t>
      </w:r>
    </w:p>
  </w:footnote>
  <w:footnote w:id="20">
    <w:p w14:paraId="11EBDF17" w14:textId="77777777" w:rsidR="00D73418" w:rsidRDefault="00D73418" w:rsidP="0019537C">
      <w:pPr>
        <w:pStyle w:val="FootnoteText"/>
      </w:pPr>
      <w:r>
        <w:rPr>
          <w:rStyle w:val="FootnoteReference"/>
        </w:rPr>
        <w:footnoteRef/>
      </w:r>
      <w:r>
        <w:t xml:space="preserve"> </w:t>
      </w:r>
      <w:r w:rsidRPr="00CD0EB1">
        <w:t>O'Kane GM, Bradbury PA, Feld R, Leighl NB, Liu G, Pisters KM, Kamel-Reid S, Tsao MS, Shepherd FA. Uncommon EGFR mutations in advanced non-small cell lung cancer. Lung Cancer. 2017 Jul;109:137-144.</w:t>
      </w:r>
    </w:p>
  </w:footnote>
  <w:footnote w:id="21">
    <w:p w14:paraId="20DA32DD" w14:textId="77777777" w:rsidR="00D73418" w:rsidRDefault="00D73418" w:rsidP="0019537C">
      <w:pPr>
        <w:pStyle w:val="FootnoteText"/>
      </w:pPr>
      <w:r>
        <w:rPr>
          <w:rStyle w:val="FootnoteReference"/>
        </w:rPr>
        <w:footnoteRef/>
      </w:r>
      <w:r>
        <w:t xml:space="preserve"> </w:t>
      </w:r>
      <w:r w:rsidRPr="00CD0EB1">
        <w:t>Remon J, Hendriks LEL, Cardona AF, Besse B. EGFR exon 20 insertions in advanced non-small cell lung cancer: A new history begins. Cancer Treat Rev. 2020 Nov;90:102105.</w:t>
      </w:r>
    </w:p>
  </w:footnote>
  <w:footnote w:id="22">
    <w:p w14:paraId="6DDE17BE" w14:textId="77777777" w:rsidR="00D73418" w:rsidRDefault="00D73418" w:rsidP="0019537C">
      <w:pPr>
        <w:pStyle w:val="FootnoteText"/>
      </w:pPr>
      <w:r>
        <w:rPr>
          <w:rStyle w:val="FootnoteReference"/>
        </w:rPr>
        <w:footnoteRef/>
      </w:r>
      <w:r>
        <w:t xml:space="preserve"> </w:t>
      </w:r>
      <w:r w:rsidRPr="00F21C37">
        <w:t>Walters S, Maringe C, Coleman MP, Peake MD, Butler J, Young N, et al. Lung cancer survival and stage at diagnosis in Australia, Canada, Denmark, Norway, Sweden and the UK: a population-based study, 2004-2007. Thorax. 2013;68(6):551-64.</w:t>
      </w:r>
    </w:p>
  </w:footnote>
  <w:footnote w:id="23">
    <w:p w14:paraId="7C41D935" w14:textId="77777777" w:rsidR="00D73418" w:rsidRDefault="00D73418" w:rsidP="0019537C">
      <w:pPr>
        <w:pStyle w:val="FootnoteText"/>
      </w:pPr>
      <w:r>
        <w:rPr>
          <w:rStyle w:val="FootnoteReference"/>
        </w:rPr>
        <w:footnoteRef/>
      </w:r>
      <w:r>
        <w:t xml:space="preserve"> </w:t>
      </w:r>
      <w:r w:rsidRPr="00F21C37">
        <w:t>Pignon JP, Tribodet H, Scagliotti GV, Douillard JY, Shepherd FA, Stephens RJ, Dunant A, Torri V, Rosell R, Seymour L, Spiro SG, Rolland E, Fossati R, Aubert D, Ding K, Waller D, Le Chevalier T; LACE Collaborative Group. Lung adjuvant cisplatin evaluation: a pooled analysis by the LACE Collaborative Group. J Clin Oncol. 2008 Jul 20;26(21):3552-9.</w:t>
      </w:r>
    </w:p>
  </w:footnote>
  <w:footnote w:id="24">
    <w:p w14:paraId="0536AE2F" w14:textId="77777777" w:rsidR="00D73418" w:rsidRDefault="00D73418" w:rsidP="0019537C">
      <w:pPr>
        <w:pStyle w:val="FootnoteText"/>
      </w:pPr>
      <w:r>
        <w:rPr>
          <w:rStyle w:val="FootnoteReference"/>
        </w:rPr>
        <w:footnoteRef/>
      </w:r>
      <w:r>
        <w:t xml:space="preserve"> </w:t>
      </w:r>
      <w:r w:rsidRPr="00F21C37">
        <w:t>Lilenbaum RC (2020). Systemic chemotherapy for advanced non-small cell lung cancer. Last updated 4 Feb 2020.</w:t>
      </w:r>
    </w:p>
  </w:footnote>
  <w:footnote w:id="25">
    <w:p w14:paraId="1DC4F228" w14:textId="77777777" w:rsidR="00D73418" w:rsidRDefault="00D73418" w:rsidP="0019537C">
      <w:pPr>
        <w:pStyle w:val="FootnoteText"/>
      </w:pPr>
      <w:r>
        <w:rPr>
          <w:rStyle w:val="FootnoteReference"/>
        </w:rPr>
        <w:footnoteRef/>
      </w:r>
      <w:r>
        <w:t xml:space="preserve"> </w:t>
      </w:r>
      <w:r w:rsidRPr="000A1780">
        <w:t>National Comprehensive Cancer Network (NCCN). NCCN Clinical Practice Guidelines in Oncology. Non-Small Cell Lung Cancer. Version 1.2022. December 7, 2021. Fort Washington (PA): National Comprehensive Cancer Network; 2022. Accessed 28/02/2022</w:t>
      </w:r>
    </w:p>
  </w:footnote>
  <w:footnote w:id="26">
    <w:p w14:paraId="278A9B09" w14:textId="77777777" w:rsidR="00D73418" w:rsidRDefault="00D73418" w:rsidP="0019537C">
      <w:pPr>
        <w:pStyle w:val="FootnoteText"/>
      </w:pPr>
      <w:r>
        <w:rPr>
          <w:rStyle w:val="FootnoteReference"/>
        </w:rPr>
        <w:footnoteRef/>
      </w:r>
      <w:r>
        <w:t xml:space="preserve"> </w:t>
      </w:r>
      <w:r w:rsidRPr="000A1780">
        <w:t>Hanna NH, Robinson AG, Temin S, Baker S Jr, Brahmer JR, Ellis PM, Gaspar LE, Haddad RY, Hesketh PJ, Jain D, Jaiyesimi I, Johnson DH, Leighl NB, Moffitt PR, Phillips T, Riely GJ, Rosell R, Schiller JH, Schneider BJ, Singh N, Spigel DR, Tashbar J, Masters G. Therapy for Stage IV Non-Small-Cell Lung Cancer With Driver Alterations: ASCO and OH (CCO) Joint Guideline Update. J Clin Oncol. 2021 Mar 20;39(9):1040-1091. doi: 10.1200/JCO.20.03570. Epub 2021 Feb 16. Erratum in: J Clin Oncol. 2021 Aug 1;39(22):2520. PMID: 33591844.</w:t>
      </w:r>
    </w:p>
  </w:footnote>
  <w:footnote w:id="27">
    <w:p w14:paraId="0B6A6C15" w14:textId="18C0C8D8" w:rsidR="00D73418" w:rsidRDefault="00D73418" w:rsidP="0019537C">
      <w:pPr>
        <w:pStyle w:val="FootnoteText"/>
      </w:pPr>
      <w:r>
        <w:rPr>
          <w:rStyle w:val="FootnoteReference"/>
        </w:rPr>
        <w:footnoteRef/>
      </w:r>
      <w:r>
        <w:t xml:space="preserve"> </w:t>
      </w:r>
      <w:r w:rsidRPr="000A1780">
        <w:t xml:space="preserve">Langer CJ, Gadgeel SM, Borghaei H, Papadimitrakopoulou VA, Patnaik A, Powell SF, Gentzler RD, Martins RG, Stevenson JP, Jalal SI, Panwalkar A, Yang JC, Gubens M, Sequist LV, Awad MM, Fiore J, Ge Y, Raftopoulos H, Gandhi L; KEYNOTE-021 investigators. Carboplatin and pemetrexed with or without pembrolizumab for advanced, non-squamous non-small-cell lung cancer: a randomised, </w:t>
      </w:r>
      <w:r>
        <w:t>P</w:t>
      </w:r>
      <w:r w:rsidRPr="000A1780">
        <w:t xml:space="preserve">hase </w:t>
      </w:r>
      <w:r>
        <w:t>II</w:t>
      </w:r>
      <w:r w:rsidRPr="000A1780">
        <w:t xml:space="preserve"> cohort of the open-label KEYNOTE-021 study. Lancet Oncol. 2016 Nov;17(11):1497-1508. doi: 10.1016/S1470-2045(16)30498-3. Epub 2016 Oct 10. PMID: 27745820; PMCID: PMC6886237.</w:t>
      </w:r>
    </w:p>
  </w:footnote>
  <w:footnote w:id="28">
    <w:p w14:paraId="0CC123DE" w14:textId="77777777" w:rsidR="00D73418" w:rsidRDefault="00D73418" w:rsidP="0019537C">
      <w:pPr>
        <w:pStyle w:val="FootnoteText"/>
      </w:pPr>
      <w:r>
        <w:rPr>
          <w:rStyle w:val="FootnoteReference"/>
        </w:rPr>
        <w:footnoteRef/>
      </w:r>
      <w:r>
        <w:t xml:space="preserve"> </w:t>
      </w:r>
      <w:r w:rsidRPr="000A1780">
        <w:t>Paz-Ares L, Luft A, Vicente D, Tafreshi A, Gümüş M, Mazières J, Hermes B, Çay Şenler F, Csőszi T, Fülöp A, Rodríguez-Cid J, Wilson J, Sugawara S, Kato T, Lee KH, Cheng Y, Novello S, Halmos B, Li X, Lubiniecki GM, Piperdi B, Kowalski DM; KEYNOTE-407 Investigators. Pembrolizumab plus Chemotherapy for Squamous Non-Small-Cell Lung Cancer. N Engl J Med. 2018 Nov 22;379(21):2040-2051. doi: 10.1056/NEJMoa1810865. Epub 2018 Sep 25. PMID: 30280635.</w:t>
      </w:r>
    </w:p>
  </w:footnote>
  <w:footnote w:id="29">
    <w:p w14:paraId="6889C500" w14:textId="77777777" w:rsidR="00D73418" w:rsidRDefault="00D73418" w:rsidP="0019537C">
      <w:pPr>
        <w:pStyle w:val="FootnoteText"/>
      </w:pPr>
      <w:r>
        <w:rPr>
          <w:rStyle w:val="FootnoteReference"/>
        </w:rPr>
        <w:footnoteRef/>
      </w:r>
      <w:r>
        <w:t xml:space="preserve"> </w:t>
      </w:r>
      <w:r w:rsidRPr="000A1780">
        <w:t>Gandhi L, Rodríguez-Abreu D, Gadgeel S, Esteban E, Felip E, De Angelis F, Domine M, Clingan P, Hochmair MJ, Powell SF, Cheng SY, Bischoff HG, Peled N, Grossi F, Jennens RR, Reck M, Hui R, Garon EB, Boyer M, Rubio-Viqueira B, Novello S, Kurata T, Gray JE, Vida J, Wei Z, Yang J, Raftopoulos H, Pietanza MC, Garassino MC; KEYNOTE-189 Investigators. Pembrolizumab plus Chemotherapy in Metastatic Non-Small-Cell Lung Cancer. N Engl J Med. 2018 May 31;378(22):2078-2092. doi: 10.1056/NEJMoa1801005. Epub 2018 Apr 16. PMID: 29658856.</w:t>
      </w:r>
    </w:p>
  </w:footnote>
  <w:footnote w:id="30">
    <w:p w14:paraId="08578A8A" w14:textId="53D66EC6" w:rsidR="00D73418" w:rsidRDefault="00D73418" w:rsidP="0019537C">
      <w:pPr>
        <w:pStyle w:val="FootnoteText"/>
      </w:pPr>
      <w:r>
        <w:rPr>
          <w:rStyle w:val="FootnoteReference"/>
        </w:rPr>
        <w:footnoteRef/>
      </w:r>
      <w:r>
        <w:t xml:space="preserve"> </w:t>
      </w:r>
      <w:r w:rsidRPr="000A1780">
        <w:t xml:space="preserve">Mok TSK, Wu YL, Kudaba I, Kowalski DM, Cho BC, Turna HZ, Castro G Jr, Srimuninnimit V, Laktionov KK, Bondarenko I, Kubota K, Lubiniecki GM, Zhang J, Kush D, Lopes G; KEYNOTE-042 Investigators. Pembrolizumab versus chemotherapy for previously untreated, PD-L1-expressing, locally advanced or metastatic non-small-cell lung cancer (KEYNOTE-042): a randomised, open-label, controlled, </w:t>
      </w:r>
      <w:r>
        <w:t>P</w:t>
      </w:r>
      <w:r w:rsidRPr="000A1780">
        <w:t xml:space="preserve">hase </w:t>
      </w:r>
      <w:r>
        <w:t>III</w:t>
      </w:r>
      <w:r w:rsidRPr="000A1780">
        <w:t xml:space="preserve"> trial. Lancet. 2019 May 4;393(10183):1819-1830. doi: 10.1016/S0140-6736(18)32409-7. Epub 2019 Apr 4. PMID: 30955977.</w:t>
      </w:r>
    </w:p>
  </w:footnote>
  <w:footnote w:id="31">
    <w:p w14:paraId="216A7513" w14:textId="77777777" w:rsidR="00D73418" w:rsidRDefault="00D73418" w:rsidP="0019537C">
      <w:pPr>
        <w:pStyle w:val="FootnoteText"/>
      </w:pPr>
      <w:r>
        <w:rPr>
          <w:rStyle w:val="FootnoteReference"/>
        </w:rPr>
        <w:footnoteRef/>
      </w:r>
      <w:r>
        <w:t xml:space="preserve"> </w:t>
      </w:r>
      <w:r w:rsidRPr="000A1780">
        <w:t>Hanna NH, Schneider BJ, Temin S, Baker S Jr, Brahmer J, Ellis PM, Gaspar LE, Haddad RY, Hesketh PJ, Jain D, Jaiyesimi I, Johnson DH, Leighl NB, Phillips T, Riely GJ, Robinson AG, Rosell R, Schiller JH, Singh N, Spigel DR, Stabler JO, Tashbar J, Masters G. Therapy for Stage IV Non-Small-Cell Lung Cancer Without Driver Alterations: ASCO and OH (CCO) Joint Guideline Update. J Clin Oncol. 2020 May 10;38(14):1608-1632. doi: 10.1200/JCO.19.03022. Epub 2020 Jan 28. PMID: 31990617.</w:t>
      </w:r>
    </w:p>
  </w:footnote>
  <w:footnote w:id="32">
    <w:p w14:paraId="08BB78C9" w14:textId="37F4DD74" w:rsidR="00D73418" w:rsidRDefault="00D73418">
      <w:pPr>
        <w:pStyle w:val="FootnoteText"/>
      </w:pPr>
      <w:r>
        <w:rPr>
          <w:rStyle w:val="FootnoteReference"/>
        </w:rPr>
        <w:footnoteRef/>
      </w:r>
      <w:r>
        <w:t xml:space="preserve"> </w:t>
      </w:r>
      <w:r w:rsidRPr="001A6EB0">
        <w:t>Castro GD, Kudaba I, Wu Y, et al</w:t>
      </w:r>
      <w:r>
        <w:t xml:space="preserve">. </w:t>
      </w:r>
      <w:r w:rsidRPr="001A6EB0">
        <w:t>363 KEYNOTE-042 5-year survival update: pembrolizumab versus chemotherapy in patients with previously untreated, PD-L1–positive, locally advanced or metastatic non–small-cell lung cancerJournal for ImmunoTherapy of Cancer 2021;9:</w:t>
      </w:r>
    </w:p>
  </w:footnote>
  <w:footnote w:id="33">
    <w:p w14:paraId="407A176F" w14:textId="47E07B9D" w:rsidR="00D73418" w:rsidRDefault="00D73418">
      <w:pPr>
        <w:pStyle w:val="FootnoteText"/>
      </w:pPr>
      <w:r>
        <w:rPr>
          <w:rStyle w:val="FootnoteReference"/>
        </w:rPr>
        <w:footnoteRef/>
      </w:r>
      <w:r>
        <w:t xml:space="preserve"> </w:t>
      </w:r>
      <w:r w:rsidRPr="001A6EB0">
        <w:t>Awad MM, Gadgeel SM, Borghaei H, Patnaik A, Yang JC, Powell SF, Gentzler RD, Martins RG, Stevenson JP, Altan M, Jalal SI, Panwalkar A, Gubens M, Sequist LV, Saraf S, Zhao B, Piperdi B, Langer CJ. Long-Term Overall Survival From KEYNOTE-021 Cohort G: Pemetrexed and Carboplatin With or Without Pembrolizumab as First-Line Therapy for Advanced Nonsquamous NSCLC. J Thorac Oncol. 2021 Jan;16(1):162-168.</w:t>
      </w:r>
    </w:p>
  </w:footnote>
  <w:footnote w:id="34">
    <w:p w14:paraId="137FAA69" w14:textId="09F31306" w:rsidR="00D73418" w:rsidRDefault="00D73418">
      <w:pPr>
        <w:pStyle w:val="FootnoteText"/>
      </w:pPr>
      <w:r>
        <w:rPr>
          <w:rStyle w:val="FootnoteReference"/>
        </w:rPr>
        <w:footnoteRef/>
      </w:r>
      <w:r>
        <w:t xml:space="preserve"> </w:t>
      </w:r>
      <w:r w:rsidRPr="001A6EB0">
        <w:t>Rodríguez-Abreu D, Powell SF, Hochmair MJ, Gadgeel S, Esteban E, Felip E, Speranza G, De Angelis F, Dómine M, Cheng SY, Bischoff HG, Peled N, Reck M, Hui R, Garon EB, Boyer M, Kurata T, Yang J, Pietanza MC, Souza F, Garassino MC. Pemetrexed plus platinum with or without pembrolizumab in patients with previously untreated metastatic nonsquamous NSCLC: protocol-specified final analysis from KEYNOTE-189. Ann Oncol. 2021 Jul;32(7):881-895</w:t>
      </w:r>
    </w:p>
  </w:footnote>
  <w:footnote w:id="35">
    <w:p w14:paraId="14414EFC" w14:textId="4D2D909D" w:rsidR="00D73418" w:rsidRDefault="00D73418">
      <w:pPr>
        <w:pStyle w:val="FootnoteText"/>
      </w:pPr>
      <w:r>
        <w:rPr>
          <w:rStyle w:val="FootnoteReference"/>
        </w:rPr>
        <w:footnoteRef/>
      </w:r>
      <w:r>
        <w:t xml:space="preserve"> </w:t>
      </w:r>
      <w:r w:rsidRPr="001A6EB0">
        <w:t>Robinson AG, Vicente D, Tafreshi A, Parra HS, Mazieres J, Cicin I, et al. 97o First-Line Pembrolizumab Plus Chemotherapy for Patients With Advanced Squamous NSCLC: 3-Year Follow-Up From KEYNOTE-407. J Thorac Oncol (2021) 16(4):S748–S9.</w:t>
      </w:r>
    </w:p>
  </w:footnote>
  <w:footnote w:id="36">
    <w:p w14:paraId="0C1A2270" w14:textId="77777777" w:rsidR="00D73418" w:rsidRDefault="00D73418" w:rsidP="0019537C">
      <w:pPr>
        <w:pStyle w:val="FootnoteText"/>
      </w:pPr>
      <w:r>
        <w:rPr>
          <w:rStyle w:val="FootnoteReference"/>
        </w:rPr>
        <w:footnoteRef/>
      </w:r>
      <w:r>
        <w:t xml:space="preserve"> </w:t>
      </w:r>
      <w:r w:rsidRPr="00484415">
        <w:t>Erlotinib</w:t>
      </w:r>
      <w:r>
        <w:t xml:space="preserve"> was first registered in Australia on 30 January 2006. ARTG number: 114714.</w:t>
      </w:r>
    </w:p>
  </w:footnote>
  <w:footnote w:id="37">
    <w:p w14:paraId="61A7CF91" w14:textId="77777777" w:rsidR="00D73418" w:rsidRDefault="00D73418" w:rsidP="0019537C">
      <w:pPr>
        <w:pStyle w:val="FootnoteText"/>
      </w:pPr>
      <w:r>
        <w:rPr>
          <w:rStyle w:val="FootnoteReference"/>
        </w:rPr>
        <w:footnoteRef/>
      </w:r>
      <w:r>
        <w:t xml:space="preserve"> G</w:t>
      </w:r>
      <w:r w:rsidRPr="00484415">
        <w:t>efitinib</w:t>
      </w:r>
      <w:r>
        <w:t xml:space="preserve"> was first registered in Australia on </w:t>
      </w:r>
      <w:r w:rsidRPr="00A469B0">
        <w:t>28 April 2003</w:t>
      </w:r>
      <w:r>
        <w:t>. ARTG number: 90010.</w:t>
      </w:r>
    </w:p>
  </w:footnote>
  <w:footnote w:id="38">
    <w:p w14:paraId="7DD2E64F" w14:textId="77777777" w:rsidR="00D73418" w:rsidRDefault="00D73418" w:rsidP="0019537C">
      <w:pPr>
        <w:pStyle w:val="FootnoteText"/>
      </w:pPr>
      <w:r>
        <w:rPr>
          <w:rStyle w:val="FootnoteReference"/>
        </w:rPr>
        <w:footnoteRef/>
      </w:r>
      <w:r>
        <w:t xml:space="preserve"> A</w:t>
      </w:r>
      <w:r w:rsidRPr="00A469B0">
        <w:t>fatinib</w:t>
      </w:r>
      <w:r>
        <w:t xml:space="preserve"> was first registered in Australia on 7 November 2013. ARTG number: 201314.</w:t>
      </w:r>
    </w:p>
  </w:footnote>
  <w:footnote w:id="39">
    <w:p w14:paraId="1EDA4F79" w14:textId="77777777" w:rsidR="00D73418" w:rsidRDefault="00D73418" w:rsidP="0019537C">
      <w:pPr>
        <w:pStyle w:val="FootnoteText"/>
      </w:pPr>
      <w:r>
        <w:rPr>
          <w:rStyle w:val="FootnoteReference"/>
        </w:rPr>
        <w:footnoteRef/>
      </w:r>
      <w:r>
        <w:t xml:space="preserve"> Osimertinib was first registered in Australia on 3 August 2016. ARTG number: 255492.</w:t>
      </w:r>
    </w:p>
  </w:footnote>
  <w:footnote w:id="40">
    <w:p w14:paraId="3827A8A7" w14:textId="77777777" w:rsidR="00D73418" w:rsidRDefault="00D73418" w:rsidP="0019537C">
      <w:pPr>
        <w:pStyle w:val="FootnoteText"/>
      </w:pPr>
      <w:r>
        <w:rPr>
          <w:rStyle w:val="FootnoteReference"/>
        </w:rPr>
        <w:footnoteRef/>
      </w:r>
      <w:r w:rsidRPr="00E81BB4">
        <w:rPr>
          <w:lang w:val="fr-FR"/>
        </w:rPr>
        <w:t xml:space="preserve"> John T, Akamatsu H, Delmonte A, et al. </w:t>
      </w:r>
      <w:r w:rsidRPr="00786CB7">
        <w:t>EGFR mutation analysis for prospective patient selection in AURA3 phase III trial of osimertinib versus platinum-pemetrexed in patients with EGFR T790M-positive advanced non-small-cell lung cancer. Lung Cancer 2018;126:133-138.</w:t>
      </w:r>
    </w:p>
  </w:footnote>
  <w:footnote w:id="41">
    <w:p w14:paraId="647DE462" w14:textId="0C78B37F" w:rsidR="00D73418" w:rsidRDefault="00D73418" w:rsidP="0019537C">
      <w:pPr>
        <w:pStyle w:val="FootnoteText"/>
      </w:pPr>
      <w:r>
        <w:rPr>
          <w:rStyle w:val="FootnoteReference"/>
        </w:rPr>
        <w:footnoteRef/>
      </w:r>
      <w:r>
        <w:t xml:space="preserve"> </w:t>
      </w:r>
      <w:r w:rsidRPr="00786CB7">
        <w:t>Yang JC, Sequist LV, Geater SL, Tsai CM, Mok TS, Schuler M, Yamamoto N, Yu CJ, Ou SH, Zhou C, Massey D, Zazulina V, Wu YL. Clinical activity of afatinib in patients with advanced non-small-cell lung cancer harbouring uncommon EGFR mutations: a combined post-hoc analysis of LUX-Lung 2, LUX-Lung 3, and LUX-Lung 6. Lancet Oncol. 2015 Jul;16(7):830-8.</w:t>
      </w:r>
    </w:p>
  </w:footnote>
  <w:footnote w:id="42">
    <w:p w14:paraId="4CAF7C03" w14:textId="77777777" w:rsidR="00D73418" w:rsidRDefault="00D73418" w:rsidP="0019537C">
      <w:pPr>
        <w:pStyle w:val="FootnoteText"/>
      </w:pPr>
      <w:r>
        <w:rPr>
          <w:rStyle w:val="FootnoteReference"/>
        </w:rPr>
        <w:footnoteRef/>
      </w:r>
      <w:r>
        <w:t xml:space="preserve"> </w:t>
      </w:r>
      <w:r w:rsidRPr="00786CB7">
        <w:t>Cho JH, Lim SH, An HJ, et al. Osimertinib for Patients With Non-Small-Cell Lung Cancer Harboring Uncommon EGFR Mutations: A Multicenter, Open-Label, Phase II Trial (KCSG-LU15-09). J Clin Oncol. 2020;38(5):488-495.</w:t>
      </w:r>
    </w:p>
  </w:footnote>
  <w:footnote w:id="43">
    <w:p w14:paraId="033554F6" w14:textId="77777777" w:rsidR="00D73418" w:rsidRDefault="00D73418" w:rsidP="0019537C">
      <w:pPr>
        <w:pStyle w:val="FootnoteText"/>
      </w:pPr>
      <w:r>
        <w:rPr>
          <w:rStyle w:val="FootnoteReference"/>
        </w:rPr>
        <w:footnoteRef/>
      </w:r>
      <w:r>
        <w:t xml:space="preserve"> </w:t>
      </w:r>
      <w:r w:rsidRPr="00A469B0">
        <w:t>Oxnard GR, Lo PC, Nishino M, Dahlberg SE, Lindeman NI, Butaney M, et al. Natural history and molecular characteristics of lung cancers harboring EGFR exon 20 insertions. J Thorac Oncol 2013;8:179–84.</w:t>
      </w:r>
    </w:p>
  </w:footnote>
  <w:footnote w:id="44">
    <w:p w14:paraId="30091AFD" w14:textId="0D8ABA13" w:rsidR="00D73418" w:rsidRDefault="00D73418" w:rsidP="0019537C">
      <w:pPr>
        <w:pStyle w:val="FootnoteText"/>
      </w:pPr>
      <w:r>
        <w:rPr>
          <w:rStyle w:val="FootnoteReference"/>
        </w:rPr>
        <w:footnoteRef/>
      </w:r>
      <w:r>
        <w:t xml:space="preserve"> </w:t>
      </w:r>
      <w:r w:rsidRPr="00A469B0">
        <w:t>Sousa AC, Silveira C, Janeiro A, Malveiro S, Oliveira AR, Felizardo M, Nogueira F, Teixeira E, Martins J, Carmo-Fonseca M. Detection of rare and novel EGFR mutations in NSCLC patients: Implications for treatment-decision. Lung Cancer. 2020 Jan;139:35-40..</w:t>
      </w:r>
    </w:p>
  </w:footnote>
  <w:footnote w:id="45">
    <w:p w14:paraId="27ABBCB1" w14:textId="123D1B9C" w:rsidR="00D73418" w:rsidRDefault="00D73418" w:rsidP="0019537C">
      <w:pPr>
        <w:pStyle w:val="FootnoteText"/>
      </w:pPr>
      <w:r>
        <w:rPr>
          <w:rStyle w:val="FootnoteReference"/>
        </w:rPr>
        <w:footnoteRef/>
      </w:r>
      <w:r>
        <w:t xml:space="preserve"> </w:t>
      </w:r>
      <w:r w:rsidR="00C436DF">
        <w:t xml:space="preserve">US </w:t>
      </w:r>
      <w:r w:rsidRPr="00A469B0">
        <w:t xml:space="preserve">FDA multi-disciplinary review for </w:t>
      </w:r>
      <w:r w:rsidR="00C436DF" w:rsidRPr="00A469B0">
        <w:t>Exkivity</w:t>
      </w:r>
      <w:r w:rsidRPr="00A469B0">
        <w:t xml:space="preserve">. Accessed </w:t>
      </w:r>
      <w:r>
        <w:t xml:space="preserve">4 March </w:t>
      </w:r>
      <w:r w:rsidRPr="00A469B0">
        <w:t xml:space="preserve">2022 at: </w:t>
      </w:r>
      <w:hyperlink r:id="rId1" w:history="1">
        <w:r w:rsidR="00C436DF" w:rsidRPr="000C6524">
          <w:rPr>
            <w:rStyle w:val="Hyperlink"/>
          </w:rPr>
          <w:t>https://www.accessdata.fda.gov/drugsatfda_docs/nda/2021/215310Orig1s000MultidisciplineR.pdf</w:t>
        </w:r>
      </w:hyperlink>
      <w:r w:rsidR="00C436DF">
        <w:t xml:space="preserve"> </w:t>
      </w:r>
    </w:p>
  </w:footnote>
  <w:footnote w:id="46">
    <w:p w14:paraId="02729A50" w14:textId="7FCA30C4" w:rsidR="00D73418" w:rsidRDefault="00D73418" w:rsidP="0019537C">
      <w:pPr>
        <w:pStyle w:val="FootnoteText"/>
      </w:pPr>
      <w:r>
        <w:rPr>
          <w:rStyle w:val="FootnoteReference"/>
        </w:rPr>
        <w:footnoteRef/>
      </w:r>
      <w:r>
        <w:t xml:space="preserve"> </w:t>
      </w:r>
      <w:r w:rsidRPr="00A469B0">
        <w:t xml:space="preserve">Ramalingam SS, Zhou C, Kim TM, et al. . Mobocertinib (TAK-788) in EGFR exon 20 insertion (ex20ins)+ metastatic NSCLC (mNSCLC): additional results from platinum-pretreated patients (pts) and EXCLAIM cohort of </w:t>
      </w:r>
      <w:r>
        <w:t>P</w:t>
      </w:r>
      <w:r w:rsidRPr="00A469B0">
        <w:t>hase 1/2 study [abstract]. J Clin Oncol. 2021;39(15)(suppl):9014.</w:t>
      </w:r>
    </w:p>
  </w:footnote>
  <w:footnote w:id="47">
    <w:p w14:paraId="01969189" w14:textId="77777777" w:rsidR="00D73418" w:rsidRDefault="00D73418" w:rsidP="0019537C">
      <w:pPr>
        <w:pStyle w:val="FootnoteText"/>
      </w:pPr>
      <w:r>
        <w:rPr>
          <w:rStyle w:val="FootnoteReference"/>
        </w:rPr>
        <w:footnoteRef/>
      </w:r>
      <w:r>
        <w:t xml:space="preserve"> </w:t>
      </w:r>
      <w:r w:rsidRPr="00A469B0">
        <w:t>Park K, Haura EB, Leighl NB, Mitchell P, Shu CA, Girard N, Viteri S, Han JY, Kim SW, Lee CK, Sabari JK, Spira AI, Yang TY, Kim DW, Lee KH, Sanborn RE, Trigo J, Goto K, Lee JS, Yang JC, Govindan R, Bauml JM, Garrido P, Krebs MG, Reckamp KL, Xie J, Curtin JC, Haddish-Berhane N, Roshak A, Millington D, Lorenzini P, Thayu M, Knoblauch RE, Cho BC. Amivantamab in EGFR Exon 20 Insertion-Mutated Non-Small-Cell Lung Cancer Progressing on Platinum Chemotherapy: Initial Results From the CHRYSALIS Phase I Study. J Clin Oncol. 2021 Oct 20;39(30):3391-3402.</w:t>
      </w:r>
    </w:p>
  </w:footnote>
  <w:footnote w:id="48">
    <w:p w14:paraId="0859D72B" w14:textId="77777777" w:rsidR="00D73418" w:rsidRDefault="00D73418" w:rsidP="0019537C">
      <w:pPr>
        <w:pStyle w:val="FootnoteText"/>
      </w:pPr>
      <w:r>
        <w:rPr>
          <w:rStyle w:val="FootnoteReference"/>
        </w:rPr>
        <w:footnoteRef/>
      </w:r>
      <w:r>
        <w:t xml:space="preserve"> </w:t>
      </w:r>
      <w:r w:rsidRPr="0065515F">
        <w:t>Landau, M. &amp; Ben-Tal, N. Dynamic equilibrium between multiple active and inactive conformations explains regulation and oncogenic mutations in ErbB receptors. Biochim. Biophys. Acta 1785, 12–31 (2008).</w:t>
      </w:r>
    </w:p>
  </w:footnote>
  <w:footnote w:id="49">
    <w:p w14:paraId="79A03F0A" w14:textId="77777777" w:rsidR="00D73418" w:rsidRDefault="00D73418" w:rsidP="0019537C">
      <w:pPr>
        <w:pStyle w:val="FootnoteText"/>
      </w:pPr>
      <w:r>
        <w:rPr>
          <w:rStyle w:val="FootnoteReference"/>
        </w:rPr>
        <w:footnoteRef/>
      </w:r>
      <w:r>
        <w:t xml:space="preserve"> </w:t>
      </w:r>
      <w:r w:rsidRPr="0065515F">
        <w:t>Eck, M. J. &amp; Yun, C. H. Structural and mechanistic underpinnings of the differential drug sensitivity of EGFR mutations in non-small cell lung cancer. Biochim. Et. Biophys. Acta 1804, 559–566 (2010).</w:t>
      </w:r>
    </w:p>
  </w:footnote>
  <w:footnote w:id="50">
    <w:p w14:paraId="139F5914" w14:textId="77777777" w:rsidR="00D73418" w:rsidRDefault="00D73418" w:rsidP="0019537C">
      <w:pPr>
        <w:pStyle w:val="FootnoteText"/>
      </w:pPr>
      <w:r>
        <w:rPr>
          <w:rStyle w:val="FootnoteReference"/>
        </w:rPr>
        <w:footnoteRef/>
      </w:r>
      <w:r>
        <w:t xml:space="preserve"> </w:t>
      </w:r>
      <w:r w:rsidRPr="0065515F">
        <w:t>Vyse, S., Huang, P.H. Targeting EGFR exon 20 insertion mutations in non-small cell lung cancer. Sig Transduct Target Ther 4, 5 (2019).</w:t>
      </w:r>
    </w:p>
  </w:footnote>
  <w:footnote w:id="51">
    <w:p w14:paraId="63291647" w14:textId="77777777" w:rsidR="00D73418" w:rsidRDefault="00D73418" w:rsidP="0019537C">
      <w:pPr>
        <w:pStyle w:val="FootnoteText"/>
      </w:pPr>
      <w:r>
        <w:rPr>
          <w:rStyle w:val="FootnoteReference"/>
        </w:rPr>
        <w:footnoteRef/>
      </w:r>
      <w:r>
        <w:t xml:space="preserve"> </w:t>
      </w:r>
      <w:r w:rsidRPr="0065515F">
        <w:t>Weinstein, I. B. &amp; Joe, A. Oncogene addiction. Cancer Res. 68, 3077–3080 (2008).</w:t>
      </w:r>
    </w:p>
  </w:footnote>
  <w:footnote w:id="52">
    <w:p w14:paraId="3A487C9B" w14:textId="77777777" w:rsidR="00D73418" w:rsidRDefault="00D73418" w:rsidP="0019537C">
      <w:pPr>
        <w:pStyle w:val="FootnoteText"/>
      </w:pPr>
      <w:r>
        <w:rPr>
          <w:rStyle w:val="FootnoteReference"/>
        </w:rPr>
        <w:footnoteRef/>
      </w:r>
      <w:r>
        <w:t xml:space="preserve"> </w:t>
      </w:r>
      <w:r w:rsidRPr="0065515F">
        <w:t>Carey, K. D. et al. Kinetic analysis of epidermal growth factor receptor somatic mutant proteins shows increased sensitivity to the epidermal growth factor receptor tyrosine kinase inhibitor, erlotinib. Cancer Res. 66, 8163–8171 (2006).</w:t>
      </w:r>
    </w:p>
  </w:footnote>
  <w:footnote w:id="53">
    <w:p w14:paraId="09E125D9" w14:textId="77777777" w:rsidR="00D73418" w:rsidRPr="00E81BB4" w:rsidRDefault="00D73418" w:rsidP="0019537C">
      <w:pPr>
        <w:pStyle w:val="FootnoteText"/>
        <w:rPr>
          <w:lang w:val="es-ES"/>
        </w:rPr>
      </w:pPr>
      <w:r>
        <w:rPr>
          <w:rStyle w:val="FootnoteReference"/>
        </w:rPr>
        <w:footnoteRef/>
      </w:r>
      <w:r>
        <w:t xml:space="preserve"> </w:t>
      </w:r>
      <w:r w:rsidRPr="00360289">
        <w:t xml:space="preserve">Yun, C.-H. et al. The T790M mutation in EGFR kinase causes drug resistance by increasing the affinity for ATP. </w:t>
      </w:r>
      <w:r w:rsidRPr="00E81BB4">
        <w:rPr>
          <w:lang w:val="es-ES"/>
        </w:rPr>
        <w:t>Proc. Natl Acad. Sci. 105, 2070–2075 (2008).</w:t>
      </w:r>
    </w:p>
  </w:footnote>
  <w:footnote w:id="54">
    <w:p w14:paraId="1D7599A6" w14:textId="77777777" w:rsidR="00D73418" w:rsidRDefault="00D73418" w:rsidP="0019537C">
      <w:pPr>
        <w:pStyle w:val="FootnoteText"/>
      </w:pPr>
      <w:r>
        <w:rPr>
          <w:rStyle w:val="FootnoteReference"/>
        </w:rPr>
        <w:footnoteRef/>
      </w:r>
      <w:r w:rsidRPr="00E607D4">
        <w:rPr>
          <w:lang w:val="es-ES"/>
        </w:rPr>
        <w:t xml:space="preserve"> Yasuda H, Park E, Yun CH, et al. </w:t>
      </w:r>
      <w:r w:rsidRPr="00360289">
        <w:t>Structural, biochemical, and clinical characterization of epidermal growth factor receptor (EGFR) exon 20 insertion mutations in lung cancer [published correction appears in Sci Transl Med. 2014 Feb 26;6(225):225er1]. Sci Transl Med. 2013;5(216):216ra177</w:t>
      </w:r>
    </w:p>
  </w:footnote>
  <w:footnote w:id="55">
    <w:p w14:paraId="43944866" w14:textId="77777777" w:rsidR="00D73418" w:rsidRDefault="00D73418" w:rsidP="0019537C">
      <w:pPr>
        <w:pStyle w:val="FootnoteText"/>
      </w:pPr>
      <w:r>
        <w:rPr>
          <w:rStyle w:val="FootnoteReference"/>
        </w:rPr>
        <w:footnoteRef/>
      </w:r>
      <w:r>
        <w:t xml:space="preserve"> </w:t>
      </w:r>
      <w:r w:rsidRPr="00360289">
        <w:t>Robichaux, J. P. et al. Mechanisms and clinical activity of an EGFR and HER2 exon 20-selective kinase inhibitor in non-small cell lung cancer. Nat. Med. 24, 638–646 (2018).</w:t>
      </w:r>
    </w:p>
  </w:footnote>
  <w:footnote w:id="56">
    <w:p w14:paraId="2AAA5BC1" w14:textId="77777777" w:rsidR="00D73418" w:rsidRDefault="00D73418" w:rsidP="0019537C">
      <w:pPr>
        <w:pStyle w:val="FootnoteText"/>
      </w:pPr>
      <w:r>
        <w:rPr>
          <w:rStyle w:val="FootnoteReference"/>
        </w:rPr>
        <w:footnoteRef/>
      </w:r>
      <w:r>
        <w:t xml:space="preserve"> </w:t>
      </w:r>
      <w:r w:rsidRPr="00360289">
        <w:t>Arcila, M. E. et al. EGFR exon 20 insertion mutations in lung adenocarcinomas: prevalence, molecular heterogeneity, and clinicopathologic characteristics. Mol. Cancer Ther. 12, 220–229 (2013).</w:t>
      </w:r>
    </w:p>
  </w:footnote>
  <w:footnote w:id="57">
    <w:p w14:paraId="648EC7C3" w14:textId="77777777" w:rsidR="00D73418" w:rsidRDefault="00D73418" w:rsidP="0019537C">
      <w:pPr>
        <w:pStyle w:val="FootnoteText"/>
      </w:pPr>
      <w:r>
        <w:rPr>
          <w:rStyle w:val="FootnoteReference"/>
        </w:rPr>
        <w:footnoteRef/>
      </w:r>
      <w:r>
        <w:t xml:space="preserve"> </w:t>
      </w:r>
      <w:r w:rsidRPr="00360289">
        <w:t>Voon, P. J., Tsui, D. W. Y., Rosenfeld, N. &amp; Chin, T. M. Letter to Editor: EGFR Exon 20 Insertion A763-Y764insFQEA and response to Erlotinib. Mol. Cancer Ther. 12, 20–25 (2013).</w:t>
      </w:r>
    </w:p>
  </w:footnote>
  <w:footnote w:id="58">
    <w:p w14:paraId="54927D13" w14:textId="77777777" w:rsidR="00D73418" w:rsidRDefault="00D73418" w:rsidP="0019537C">
      <w:pPr>
        <w:pStyle w:val="FootnoteText"/>
      </w:pPr>
      <w:r>
        <w:rPr>
          <w:rStyle w:val="FootnoteReference"/>
        </w:rPr>
        <w:footnoteRef/>
      </w:r>
      <w:r w:rsidRPr="00E81BB4">
        <w:rPr>
          <w:lang w:val="es-ES"/>
        </w:rPr>
        <w:t xml:space="preserve"> Wu J-Y, Yu C-J, Shih J-Y. </w:t>
      </w:r>
      <w:r w:rsidRPr="00360289">
        <w:t>Effectiveness of treatments for advanced non-small-cell lung cancer with exon 20 insertion epidermal growth factor receptor mutations. Clin Lung Cancer 2019;20:e620–30.</w:t>
      </w:r>
    </w:p>
  </w:footnote>
  <w:footnote w:id="59">
    <w:p w14:paraId="12D517B3" w14:textId="77777777" w:rsidR="00D73418" w:rsidRDefault="00D73418" w:rsidP="0019537C">
      <w:pPr>
        <w:pStyle w:val="FootnoteText"/>
      </w:pPr>
      <w:r>
        <w:rPr>
          <w:rStyle w:val="FootnoteReference"/>
        </w:rPr>
        <w:footnoteRef/>
      </w:r>
      <w:r>
        <w:t xml:space="preserve"> </w:t>
      </w:r>
      <w:r w:rsidRPr="00B61F96">
        <w:t>Yang GJ, Li J, Xu HY, Sun Y, Liu L, Li HS, Yang L, Zhang Y, Li GH, Wang Y. Osimertinib for Chinese advanced non-small cell lung cancer patients harboring diverse EGFR exon 20 insertion mutations. Lung Cancer. 2021 Feb;152:39-48. doi: 10.1016/j.lungcan.2020.11.027. Epub 2020 Dec 4. PMID: 33341538.</w:t>
      </w:r>
    </w:p>
  </w:footnote>
  <w:footnote w:id="60">
    <w:p w14:paraId="13FAE0AF" w14:textId="77777777" w:rsidR="00D73418" w:rsidRDefault="00D73418" w:rsidP="0019537C">
      <w:pPr>
        <w:pStyle w:val="FootnoteText"/>
      </w:pPr>
      <w:r>
        <w:rPr>
          <w:rStyle w:val="FootnoteReference"/>
        </w:rPr>
        <w:footnoteRef/>
      </w:r>
      <w:r>
        <w:t xml:space="preserve"> </w:t>
      </w:r>
      <w:r w:rsidRPr="00B61F96">
        <w:t>Cai Y, Wang Y, Sun J, et al. Successful treatment of a patient with NSCLC carrying uncommon compound EGFR G719X and S768I mutations using osimertinib: A case report. J Int Med Res. 2020;48(6):300060520928793. doi:10.1177/0300060520928793</w:t>
      </w:r>
    </w:p>
  </w:footnote>
  <w:footnote w:id="61">
    <w:p w14:paraId="1A8A44F6" w14:textId="77777777" w:rsidR="00D73418" w:rsidRDefault="00D73418" w:rsidP="0019537C">
      <w:pPr>
        <w:pStyle w:val="FootnoteText"/>
      </w:pPr>
      <w:r>
        <w:rPr>
          <w:rStyle w:val="FootnoteReference"/>
        </w:rPr>
        <w:footnoteRef/>
      </w:r>
      <w:r>
        <w:t xml:space="preserve"> </w:t>
      </w:r>
      <w:r w:rsidRPr="00711EF2">
        <w:t>FDA approval announcement. Accessed 04/03/2022 at https://www.fda.gov/drugs/resources-information-approved-drugs/fda-grants-accelerated-approval-mobocertinib-metastatic-non-small-cell-lung-cancer-egfr-exon-20</w:t>
      </w:r>
    </w:p>
  </w:footnote>
  <w:footnote w:id="62">
    <w:p w14:paraId="45844B5D" w14:textId="77777777" w:rsidR="00D73418" w:rsidRDefault="00D73418" w:rsidP="0019537C">
      <w:pPr>
        <w:pStyle w:val="FootnoteText"/>
      </w:pPr>
      <w:r>
        <w:rPr>
          <w:rStyle w:val="FootnoteReference"/>
        </w:rPr>
        <w:footnoteRef/>
      </w:r>
      <w:r>
        <w:t xml:space="preserve"> </w:t>
      </w:r>
      <w:r w:rsidRPr="00711EF2">
        <w:t>FDA approval package for EXKIVITY. Accessed 04/03/2022 at: https://www.accessdata.fda.gov/drugsatfda_docs/nda/2021/215310Orig1s000TOC.cfm</w:t>
      </w:r>
    </w:p>
  </w:footnote>
  <w:footnote w:id="63">
    <w:p w14:paraId="7F4BF8E3" w14:textId="77777777" w:rsidR="00D73418" w:rsidRDefault="00D73418" w:rsidP="0019537C">
      <w:pPr>
        <w:pStyle w:val="FootnoteText"/>
      </w:pPr>
      <w:r>
        <w:rPr>
          <w:rStyle w:val="FootnoteReference"/>
        </w:rPr>
        <w:footnoteRef/>
      </w:r>
      <w:r>
        <w:t xml:space="preserve"> </w:t>
      </w:r>
      <w:r w:rsidRPr="00711EF2">
        <w:t>FDA approval letter for EXKIVITY. Accessed 04/03/2022 at: https://www.accessdata.fda.gov/drugsatfda_docs/appletter/2021/215310Orig1s000ltr.pdf</w:t>
      </w:r>
    </w:p>
  </w:footnote>
  <w:footnote w:id="64">
    <w:p w14:paraId="1D7409B9" w14:textId="7E61D589" w:rsidR="00D73418" w:rsidRDefault="00D73418">
      <w:pPr>
        <w:pStyle w:val="FootnoteText"/>
      </w:pPr>
      <w:r>
        <w:rPr>
          <w:rStyle w:val="FootnoteReference"/>
        </w:rPr>
        <w:footnoteRef/>
      </w:r>
      <w:r>
        <w:t xml:space="preserve"> CPMP/ICH/286/95: </w:t>
      </w:r>
      <w:r w:rsidRPr="0041417C">
        <w:t>Non-clinical safety studies for the conduct of human clinical trials for pharmaceuticals - Scientific guideline</w:t>
      </w:r>
    </w:p>
  </w:footnote>
  <w:footnote w:id="65">
    <w:p w14:paraId="3820082E" w14:textId="50F16F2E" w:rsidR="00D73418" w:rsidRDefault="00D73418">
      <w:pPr>
        <w:pStyle w:val="FootnoteText"/>
      </w:pPr>
      <w:r>
        <w:rPr>
          <w:rStyle w:val="FootnoteReference"/>
        </w:rPr>
        <w:footnoteRef/>
      </w:r>
      <w:r>
        <w:t xml:space="preserve"> EMA/CHMP/ICH/646107/2008: </w:t>
      </w:r>
      <w:r w:rsidRPr="0041417C">
        <w:t>Non-clinical evaluation for anticancer pharmaceuticals - Scientific guideline</w:t>
      </w:r>
    </w:p>
  </w:footnote>
  <w:footnote w:id="66">
    <w:p w14:paraId="20980EF5" w14:textId="77777777" w:rsidR="00D73418" w:rsidRDefault="00D73418" w:rsidP="0019537C">
      <w:pPr>
        <w:pStyle w:val="FootnoteText"/>
      </w:pPr>
      <w:r>
        <w:rPr>
          <w:rStyle w:val="FootnoteReference"/>
        </w:rPr>
        <w:footnoteRef/>
      </w:r>
      <w:r>
        <w:t xml:space="preserve"> </w:t>
      </w:r>
      <w:r w:rsidRPr="00475C7F">
        <w:t xml:space="preserve">The </w:t>
      </w:r>
      <w:r w:rsidRPr="00E81BB4">
        <w:rPr>
          <w:b/>
        </w:rPr>
        <w:t xml:space="preserve">QT interval </w:t>
      </w:r>
      <w:r w:rsidRPr="00475C7F">
        <w:t>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67">
    <w:p w14:paraId="04829577" w14:textId="3346637D" w:rsidR="00D73418" w:rsidRDefault="00D73418" w:rsidP="0019537C">
      <w:pPr>
        <w:pStyle w:val="FootnoteText"/>
      </w:pPr>
      <w:r>
        <w:rPr>
          <w:rStyle w:val="FootnoteReference"/>
        </w:rPr>
        <w:footnoteRef/>
      </w:r>
      <w:r>
        <w:t xml:space="preserve"> </w:t>
      </w:r>
      <w:r w:rsidRPr="00E81BB4">
        <w:rPr>
          <w:b/>
        </w:rPr>
        <w:t>Pregnancy Category D</w:t>
      </w:r>
      <w:r>
        <w:t xml:space="preserve">: </w:t>
      </w:r>
      <w:r w:rsidRPr="003F71BE">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68">
    <w:p w14:paraId="20AC9C25" w14:textId="77777777" w:rsidR="00D73418" w:rsidRDefault="00D73418" w:rsidP="0019537C">
      <w:pPr>
        <w:pStyle w:val="FootnoteText"/>
      </w:pPr>
      <w:r>
        <w:rPr>
          <w:rStyle w:val="FootnoteReference"/>
        </w:rPr>
        <w:footnoteRef/>
      </w:r>
      <w:r>
        <w:t xml:space="preserve"> </w:t>
      </w:r>
      <w:r w:rsidRPr="00E81BB4">
        <w:rPr>
          <w:b/>
        </w:rPr>
        <w:t>Cytochrome P450</w:t>
      </w:r>
      <w:r>
        <w:t xml:space="preserve"> (</w:t>
      </w:r>
      <w:r w:rsidRPr="00E81BB4">
        <w:rPr>
          <w:b/>
        </w:rPr>
        <w:t>CYP</w:t>
      </w:r>
      <w:r>
        <w:t xml:space="preserve">) </w:t>
      </w:r>
      <w:r w:rsidRPr="00E81BB4">
        <w:rPr>
          <w:b/>
        </w:rPr>
        <w:t>enzymes</w:t>
      </w:r>
      <w:r>
        <w:t xml:space="preserve"> are the major enzymes involved in drug metabolism, accounting for large part of the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69">
    <w:p w14:paraId="18EF0DD6" w14:textId="33E9A105" w:rsidR="00D73418" w:rsidRDefault="00D73418" w:rsidP="0019537C">
      <w:pPr>
        <w:pStyle w:val="FootnoteText"/>
      </w:pPr>
      <w:r>
        <w:rPr>
          <w:rStyle w:val="FootnoteReference"/>
        </w:rPr>
        <w:footnoteRef/>
      </w:r>
      <w:r>
        <w:t xml:space="preserve"> </w:t>
      </w:r>
      <w:r w:rsidR="005424BC">
        <w:t xml:space="preserve">US </w:t>
      </w:r>
      <w:r w:rsidRPr="00627D94">
        <w:t xml:space="preserve">FDA Interdisciplinary Review Team for Cardiac Safety Studies. QT Study Review. Page 26 of </w:t>
      </w:r>
      <w:r w:rsidR="005424BC">
        <w:t>‘</w:t>
      </w:r>
      <w:r w:rsidRPr="00627D94">
        <w:t>Other Review(s) (PDF).</w:t>
      </w:r>
      <w:r w:rsidR="005424BC">
        <w:t>’</w:t>
      </w:r>
      <w:r w:rsidRPr="00627D94">
        <w:t xml:space="preserve"> Accessed </w:t>
      </w:r>
      <w:r w:rsidR="005424BC">
        <w:t>2 May 2022</w:t>
      </w:r>
      <w:r w:rsidRPr="00627D94">
        <w:t xml:space="preserve"> at: </w:t>
      </w:r>
      <w:hyperlink r:id="rId2" w:history="1">
        <w:r w:rsidR="005424BC" w:rsidRPr="000C6524">
          <w:rPr>
            <w:rStyle w:val="Hyperlink"/>
          </w:rPr>
          <w:t>https://www.accessdata.fda.gov/drugsatfda_docs/nda/2021/215310Orig1s000OtherR.pdf</w:t>
        </w:r>
      </w:hyperlink>
      <w:r w:rsidR="005424BC">
        <w:t xml:space="preserve"> </w:t>
      </w:r>
    </w:p>
  </w:footnote>
  <w:footnote w:id="70">
    <w:p w14:paraId="25F28EC7" w14:textId="77777777" w:rsidR="00D73418" w:rsidRDefault="00D73418" w:rsidP="0019537C">
      <w:pPr>
        <w:pStyle w:val="FootnoteText"/>
      </w:pPr>
      <w:r>
        <w:rPr>
          <w:rStyle w:val="FootnoteReference"/>
        </w:rPr>
        <w:footnoteRef/>
      </w:r>
      <w:r w:rsidRPr="00E607D4">
        <w:rPr>
          <w:lang w:val="fr-FR"/>
        </w:rPr>
        <w:t xml:space="preserve"> Zhou C, Ramalingam SS, Kim TM, et al. </w:t>
      </w:r>
      <w:r w:rsidRPr="00475C7F">
        <w:t>Treatment Outcomes and Safety of Mobocertinib in Platinum-Pretreated Patients With EGFR Exon 20 Insertion-Positive Metastatic Non-Small Cell Lung Cancer: A Phase 1/2 Open-label Nonrandomized Clinical Trial [published correction appears in JAMA Oncol. 2022 Feb 24;:]. JAMA Oncol. 2021;7(12):e214761</w:t>
      </w:r>
    </w:p>
  </w:footnote>
  <w:footnote w:id="71">
    <w:p w14:paraId="655C3F6F" w14:textId="4EE5960D" w:rsidR="00D73418" w:rsidRDefault="00D73418" w:rsidP="0019537C">
      <w:pPr>
        <w:pStyle w:val="FootnoteText"/>
      </w:pPr>
      <w:r>
        <w:rPr>
          <w:rStyle w:val="FootnoteReference"/>
        </w:rPr>
        <w:footnoteRef/>
      </w:r>
      <w:r>
        <w:t xml:space="preserve"> </w:t>
      </w:r>
      <w:r w:rsidR="005424BC">
        <w:t xml:space="preserve">US </w:t>
      </w:r>
      <w:r w:rsidRPr="00CB4F76">
        <w:t xml:space="preserve">FDA approved label for </w:t>
      </w:r>
      <w:r w:rsidR="005424BC" w:rsidRPr="00CB4F76">
        <w:t>Exkivity</w:t>
      </w:r>
      <w:r w:rsidRPr="00CB4F76">
        <w:t>. Accessed 7</w:t>
      </w:r>
      <w:r w:rsidR="005424BC">
        <w:t xml:space="preserve"> March </w:t>
      </w:r>
      <w:r w:rsidRPr="00CB4F76">
        <w:t xml:space="preserve">2022 at: </w:t>
      </w:r>
      <w:hyperlink r:id="rId3" w:history="1">
        <w:r w:rsidR="005424BC" w:rsidRPr="000C6524">
          <w:rPr>
            <w:rStyle w:val="Hyperlink"/>
          </w:rPr>
          <w:t>https://www.accessdata.fda.gov/drugsatfda_docs/label/2021/215310s000lbl.pdf</w:t>
        </w:r>
      </w:hyperlink>
      <w:r w:rsidR="005424BC">
        <w:t xml:space="preserve"> </w:t>
      </w:r>
    </w:p>
  </w:footnote>
  <w:footnote w:id="72">
    <w:p w14:paraId="1EFA68AE" w14:textId="77777777" w:rsidR="00D73418" w:rsidRDefault="00D73418" w:rsidP="0019537C">
      <w:pPr>
        <w:pStyle w:val="FootnoteText"/>
      </w:pPr>
      <w:r>
        <w:rPr>
          <w:rStyle w:val="FootnoteReference"/>
        </w:rPr>
        <w:footnoteRef/>
      </w:r>
      <w:r>
        <w:t xml:space="preserve"> </w:t>
      </w:r>
      <w:r w:rsidRPr="0062234F">
        <w:t>Eisenhauer EA, Therasse P, Bogaerts J, Schwartz LH, Sargent D, Ford R, Dancey J, Arbuck S, Gwyther S, Mooney M, Rubinstein L, Shankar L, Dodd L, Kaplan R, Lacombe D, Verweij J. New response evaluation criteria in solid tumours: revised RECIST guideline (version 1.1). Eur J Cancer. 2009 Jan;45(2):228-47.</w:t>
      </w:r>
    </w:p>
  </w:footnote>
  <w:footnote w:id="73">
    <w:p w14:paraId="078EAF82" w14:textId="77777777" w:rsidR="00D73418" w:rsidRDefault="00D73418" w:rsidP="0019537C">
      <w:pPr>
        <w:pStyle w:val="FootnoteText"/>
      </w:pPr>
      <w:r>
        <w:rPr>
          <w:rStyle w:val="FootnoteReference"/>
        </w:rPr>
        <w:footnoteRef/>
      </w:r>
      <w:r>
        <w:t xml:space="preserve"> </w:t>
      </w:r>
      <w:r w:rsidRPr="0062234F">
        <w:t>The Response Evaluation Criteria In Solid Tumours (RECIST)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footnote>
  <w:footnote w:id="74">
    <w:p w14:paraId="5236A3AF" w14:textId="647A33F9" w:rsidR="00D73418" w:rsidRDefault="00D73418">
      <w:pPr>
        <w:pStyle w:val="FootnoteText"/>
      </w:pPr>
      <w:r>
        <w:rPr>
          <w:rStyle w:val="FootnoteReference"/>
        </w:rPr>
        <w:footnoteRef/>
      </w:r>
      <w:r>
        <w:t xml:space="preserve"> Confirmed responses are those that persist on repeat imaging 4 weeks (allowing a minus 3-day time window) or more after initial response.</w:t>
      </w:r>
    </w:p>
  </w:footnote>
  <w:footnote w:id="75">
    <w:p w14:paraId="1165D77E" w14:textId="58BA4C35" w:rsidR="00D73418" w:rsidRDefault="00D73418">
      <w:pPr>
        <w:pStyle w:val="FootnoteText"/>
      </w:pPr>
      <w:r>
        <w:rPr>
          <w:rStyle w:val="FootnoteReference"/>
        </w:rPr>
        <w:footnoteRef/>
      </w:r>
      <w:r>
        <w:t xml:space="preserve"> </w:t>
      </w:r>
      <w:r w:rsidRPr="00E400A0">
        <w:t>Kaplan, E. L., and Paul Meier. “Nonparametric Estimation from Incomplete Observations.” Journal of the American Statistical Association, vol. 53, no. 282, [American Statistical Association, Taylor &amp; Francis, Ltd.], 1958, pp. 457–81,</w:t>
      </w:r>
    </w:p>
  </w:footnote>
  <w:footnote w:id="76">
    <w:p w14:paraId="7FDFD107" w14:textId="77777777" w:rsidR="00D73418" w:rsidRDefault="00D73418" w:rsidP="007B7F9D">
      <w:pPr>
        <w:pStyle w:val="FootnoteText"/>
      </w:pPr>
      <w:r>
        <w:rPr>
          <w:rStyle w:val="FootnoteReference"/>
        </w:rPr>
        <w:footnoteRef/>
      </w:r>
      <w:r>
        <w:t xml:space="preserve"> Eastern Cooperative Oncology Group Performance Status (ECOG PS):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4862E6A3" w14:textId="77777777" w:rsidR="00D73418" w:rsidRDefault="00D73418" w:rsidP="007B7F9D">
      <w:pPr>
        <w:pStyle w:val="FootnoteText"/>
      </w:pPr>
      <w:r>
        <w:t>0 - Fully active, able to carry on all pre-disease performance without restriction</w:t>
      </w:r>
    </w:p>
    <w:p w14:paraId="1536E70A" w14:textId="77777777" w:rsidR="00D73418" w:rsidRDefault="00D73418" w:rsidP="007B7F9D">
      <w:pPr>
        <w:pStyle w:val="FootnoteText"/>
      </w:pPr>
      <w:r>
        <w:t>1- Restricted in physically strenuous activity but ambulatory and able to carry out work of a light or sedentary nature, for example, light house work, office work</w:t>
      </w:r>
    </w:p>
    <w:p w14:paraId="764A2CB7" w14:textId="77777777" w:rsidR="00D73418" w:rsidRDefault="00D73418" w:rsidP="007B7F9D">
      <w:pPr>
        <w:pStyle w:val="FootnoteText"/>
      </w:pPr>
      <w:r>
        <w:t>2 - Ambulatory and capable of all selfcare but unable to carry out any work activities. Up and about more than 50% of waking hours</w:t>
      </w:r>
    </w:p>
    <w:p w14:paraId="16A270A1" w14:textId="77777777" w:rsidR="00D73418" w:rsidRDefault="00D73418" w:rsidP="007B7F9D">
      <w:pPr>
        <w:pStyle w:val="FootnoteText"/>
      </w:pPr>
      <w:r>
        <w:t>3 - Capable of only limited selfcare, confined to bed or chair more than 50% of waking hours</w:t>
      </w:r>
    </w:p>
    <w:p w14:paraId="70C7859C" w14:textId="77777777" w:rsidR="00D73418" w:rsidRDefault="00D73418" w:rsidP="007B7F9D">
      <w:pPr>
        <w:pStyle w:val="FootnoteText"/>
      </w:pPr>
      <w:r>
        <w:t>4 - Completely disabled. Cannot carry on any selfcare. Totally confined to bed or chair</w:t>
      </w:r>
    </w:p>
    <w:p w14:paraId="54FB736E" w14:textId="315DA98F" w:rsidR="00D73418" w:rsidRDefault="00D73418" w:rsidP="007B7F9D">
      <w:pPr>
        <w:pStyle w:val="FootnoteText"/>
      </w:pPr>
      <w:r>
        <w:t>5 – Dead</w:t>
      </w:r>
    </w:p>
  </w:footnote>
  <w:footnote w:id="77">
    <w:p w14:paraId="0514EC1D" w14:textId="77777777" w:rsidR="00D73418" w:rsidRDefault="00D73418" w:rsidP="0019537C">
      <w:pPr>
        <w:pStyle w:val="FootnoteText"/>
      </w:pPr>
      <w:r>
        <w:rPr>
          <w:rStyle w:val="FootnoteReference"/>
        </w:rPr>
        <w:footnoteRef/>
      </w:r>
      <w:r>
        <w:t xml:space="preserve"> 30 patients across the overall safety population discontinued treatment due to “</w:t>
      </w:r>
      <w:r w:rsidRPr="00046609">
        <w:t>Other</w:t>
      </w:r>
      <w:r>
        <w:t>”</w:t>
      </w:r>
      <w:r w:rsidRPr="00046609">
        <w:t xml:space="preserve"> reasons</w:t>
      </w:r>
      <w:r>
        <w:t xml:space="preserve"> - these included death (n=10), p</w:t>
      </w:r>
      <w:r w:rsidRPr="00046609">
        <w:t>hysician decision</w:t>
      </w:r>
      <w:r>
        <w:t xml:space="preserve"> (n=13) </w:t>
      </w:r>
      <w:r w:rsidRPr="00046609">
        <w:t xml:space="preserve">and </w:t>
      </w:r>
      <w:r>
        <w:t>not reported (n=</w:t>
      </w:r>
      <w:r w:rsidRPr="00046609">
        <w:t>7</w:t>
      </w:r>
      <w:r>
        <w:t>).</w:t>
      </w:r>
    </w:p>
  </w:footnote>
  <w:footnote w:id="78">
    <w:p w14:paraId="0EB2CD69" w14:textId="7FD159D1" w:rsidR="00D73418" w:rsidRPr="004659AE" w:rsidRDefault="00D73418" w:rsidP="004659AE">
      <w:pPr>
        <w:pStyle w:val="FootnoteText"/>
        <w:rPr>
          <w:rStyle w:val="FootnoteReference"/>
        </w:rPr>
      </w:pPr>
    </w:p>
  </w:footnote>
  <w:footnote w:id="79">
    <w:p w14:paraId="1BD8E6D0" w14:textId="64B526DB" w:rsidR="00877760" w:rsidRDefault="00877760" w:rsidP="00877760">
      <w:pPr>
        <w:pStyle w:val="FootnoteText"/>
      </w:pPr>
      <w:r>
        <w:rPr>
          <w:rStyle w:val="FootnoteReference"/>
        </w:rPr>
        <w:footnoteRef/>
      </w:r>
      <w:r>
        <w:t xml:space="preserve"> The J-Tpeak interval is the time from the end of the QRS complex to the peak of the T-wave, corresponding to</w:t>
      </w:r>
    </w:p>
    <w:p w14:paraId="0040DEB8" w14:textId="67B7484B" w:rsidR="00877760" w:rsidRPr="00E81BB4" w:rsidRDefault="00877760" w:rsidP="00877760">
      <w:pPr>
        <w:pStyle w:val="FootnoteText"/>
        <w:rPr>
          <w:lang w:val="en-GB"/>
        </w:rPr>
      </w:pPr>
      <w:r>
        <w:t>early repolarization.</w:t>
      </w:r>
    </w:p>
  </w:footnote>
  <w:footnote w:id="80">
    <w:p w14:paraId="78BB522E" w14:textId="22F4CB71" w:rsidR="00D73418" w:rsidRDefault="00D73418">
      <w:pPr>
        <w:pStyle w:val="FootnoteText"/>
      </w:pPr>
      <w:r>
        <w:rPr>
          <w:rStyle w:val="FootnoteReference"/>
        </w:rPr>
        <w:footnoteRef/>
      </w:r>
      <w:r>
        <w:t xml:space="preserve"> </w:t>
      </w:r>
      <w:r w:rsidRPr="00C636E8">
        <w:t>FDA Interdisciplinary Review Team for Cardiac Safety Studies. QT Study Review. Page 26 of “Other Review(s) (PDF).” Accessed 02/05/2022 at: https://www.accessdata.fda.gov/drugsatfda_docs/nda/2021/215310Orig1s000OtherR.pdf</w:t>
      </w:r>
    </w:p>
  </w:footnote>
  <w:footnote w:id="81">
    <w:p w14:paraId="36F8391F" w14:textId="77777777" w:rsidR="00D73418" w:rsidRDefault="00D73418" w:rsidP="00C636E8">
      <w:pPr>
        <w:pStyle w:val="FootnoteText"/>
      </w:pPr>
      <w:r>
        <w:rPr>
          <w:rStyle w:val="FootnoteReference"/>
        </w:rPr>
        <w:footnoteRef/>
      </w:r>
      <w:r>
        <w:t xml:space="preserve"> Premarket approval details for Oncomine Dx Target Test (ODxT Test). PMA number: P160045</w:t>
      </w:r>
    </w:p>
    <w:p w14:paraId="32CAD18B" w14:textId="6BB432AD" w:rsidR="00D73418" w:rsidRDefault="00D73418" w:rsidP="00C636E8">
      <w:pPr>
        <w:pStyle w:val="FootnoteText"/>
      </w:pPr>
      <w:r>
        <w:t>Supplement Number: S029. Accessed 02/05/2022 at: https://www.accessdata.fda.gov/scripts/cdrh/cfdocs/cfpma/pma.cfm?id=P160045S029</w:t>
      </w:r>
    </w:p>
  </w:footnote>
  <w:footnote w:id="82">
    <w:p w14:paraId="1D0DEECD" w14:textId="178478E3" w:rsidR="00D73418" w:rsidRDefault="00D73418">
      <w:pPr>
        <w:pStyle w:val="FootnoteText"/>
      </w:pPr>
      <w:r>
        <w:rPr>
          <w:rStyle w:val="FootnoteReference"/>
        </w:rPr>
        <w:footnoteRef/>
      </w:r>
      <w:r>
        <w:t xml:space="preserve"> </w:t>
      </w:r>
      <w:r w:rsidRPr="00C636E8">
        <w:t>https://clinicaltrials.gov/ct2/show/NCT04129502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97FE" w14:textId="77777777" w:rsidR="00E81BB4" w:rsidRDefault="00E81B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6F78D039" w:rsidR="00D73418" w:rsidRPr="00CB0550" w:rsidRDefault="00D73418" w:rsidP="00CB0550">
    <w:pPr>
      <w:pStyle w:val="Header"/>
      <w:jc w:val="left"/>
    </w:pPr>
  </w:p>
  <w:p w14:paraId="7336898A" w14:textId="77777777" w:rsidR="00D73418" w:rsidRDefault="00D734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73418" w:rsidRPr="002B29B2" w14:paraId="3E15C3BC" w14:textId="77777777" w:rsidTr="008B3CF0">
      <w:trPr>
        <w:trHeight w:hRule="exact" w:val="8845"/>
      </w:trPr>
      <w:tc>
        <w:tcPr>
          <w:tcW w:w="11964" w:type="dxa"/>
          <w:vAlign w:val="center"/>
        </w:tcPr>
        <w:p w14:paraId="6FDE4BFB" w14:textId="35651EF7" w:rsidR="00D73418" w:rsidRPr="002B29B2" w:rsidRDefault="003F5EF5" w:rsidP="008B3CF0">
          <w:pPr>
            <w:ind w:left="-57"/>
            <w:rPr>
              <w:noProof/>
            </w:rPr>
          </w:pPr>
          <w:sdt>
            <w:sdtPr>
              <w:rPr>
                <w:noProof/>
              </w:rPr>
              <w:id w:val="1926993388"/>
              <w:showingPlcHdr/>
              <w:picture/>
            </w:sdtPr>
            <w:sdtEndPr/>
            <w:sdtContent>
              <w:r w:rsidR="00D7341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D73418" w:rsidRDefault="00D73418" w:rsidP="008B3CF0">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441ACB" w14:textId="77777777" w:rsidR="00D73418" w:rsidRDefault="00D7341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D73418" w:rsidRDefault="00D73418" w:rsidP="008B3CF0">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D73418" w:rsidRPr="00FE501F" w:rsidRDefault="00D73418" w:rsidP="008B3CF0">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CFA956"/>
    <w:multiLevelType w:val="hybridMultilevel"/>
    <w:tmpl w:val="0F21E1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2F87B14"/>
    <w:multiLevelType w:val="hybridMultilevel"/>
    <w:tmpl w:val="9F3AEE62"/>
    <w:lvl w:ilvl="0" w:tplc="939C5AB0">
      <w:start w:val="19"/>
      <w:numFmt w:val="bullet"/>
      <w:lvlText w:val="-"/>
      <w:lvlJc w:val="left"/>
      <w:pPr>
        <w:ind w:left="720" w:hanging="360"/>
      </w:pPr>
      <w:rPr>
        <w:rFonts w:ascii="Cambria" w:eastAsia="Cambria" w:hAnsi="Cambria"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AEF08D6"/>
    <w:multiLevelType w:val="hybridMultilevel"/>
    <w:tmpl w:val="EA126D3C"/>
    <w:lvl w:ilvl="0" w:tplc="A4ACFE2A">
      <w:start w:val="1"/>
      <w:numFmt w:val="bullet"/>
      <w:pStyle w:val="Tabletextbulleted"/>
      <w:lvlText w:val=""/>
      <w:lvlJc w:val="left"/>
      <w:pPr>
        <w:ind w:left="360" w:hanging="360"/>
      </w:pPr>
      <w:rPr>
        <w:rFonts w:ascii="Symbol" w:hAnsi="Symbol" w:hint="default"/>
      </w:rPr>
    </w:lvl>
    <w:lvl w:ilvl="1" w:tplc="36A0E50C">
      <w:numFmt w:val="bullet"/>
      <w:lvlText w:val="•"/>
      <w:lvlJc w:val="left"/>
      <w:pPr>
        <w:ind w:left="1080" w:hanging="360"/>
      </w:pPr>
      <w:rPr>
        <w:rFonts w:ascii="Cambria" w:eastAsia="Cambria"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382A2C"/>
    <w:multiLevelType w:val="hybridMultilevel"/>
    <w:tmpl w:val="4436535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953030D"/>
    <w:multiLevelType w:val="hybridMultilevel"/>
    <w:tmpl w:val="8BA227F8"/>
    <w:lvl w:ilvl="0" w:tplc="5AD8AE2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707690"/>
    <w:multiLevelType w:val="hybridMultilevel"/>
    <w:tmpl w:val="1546A780"/>
    <w:lvl w:ilvl="0" w:tplc="5AD8AE2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BD3D6E"/>
    <w:multiLevelType w:val="hybridMultilevel"/>
    <w:tmpl w:val="D99A6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A783A"/>
    <w:multiLevelType w:val="hybridMultilevel"/>
    <w:tmpl w:val="3AFE76DE"/>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681938"/>
    <w:multiLevelType w:val="hybridMultilevel"/>
    <w:tmpl w:val="A34C2012"/>
    <w:lvl w:ilvl="0" w:tplc="1D8001F0">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657461"/>
    <w:multiLevelType w:val="hybridMultilevel"/>
    <w:tmpl w:val="1B864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7A6954"/>
    <w:multiLevelType w:val="hybridMultilevel"/>
    <w:tmpl w:val="F9C46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053015"/>
    <w:multiLevelType w:val="hybridMultilevel"/>
    <w:tmpl w:val="96DE265A"/>
    <w:lvl w:ilvl="0" w:tplc="5AD8AE2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856225"/>
    <w:multiLevelType w:val="hybridMultilevel"/>
    <w:tmpl w:val="F6EC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5"/>
  </w:num>
  <w:num w:numId="5">
    <w:abstractNumId w:val="8"/>
  </w:num>
  <w:num w:numId="6">
    <w:abstractNumId w:val="14"/>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6"/>
  </w:num>
  <w:num w:numId="9">
    <w:abstractNumId w:val="19"/>
  </w:num>
  <w:num w:numId="10">
    <w:abstractNumId w:val="13"/>
  </w:num>
  <w:num w:numId="11">
    <w:abstractNumId w:val="6"/>
  </w:num>
  <w:num w:numId="12">
    <w:abstractNumId w:val="20"/>
  </w:num>
  <w:num w:numId="13">
    <w:abstractNumId w:val="3"/>
  </w:num>
  <w:num w:numId="14">
    <w:abstractNumId w:val="18"/>
  </w:num>
  <w:num w:numId="15">
    <w:abstractNumId w:val="1"/>
  </w:num>
  <w:num w:numId="16">
    <w:abstractNumId w:val="12"/>
  </w:num>
  <w:num w:numId="17">
    <w:abstractNumId w:val="17"/>
  </w:num>
  <w:num w:numId="18">
    <w:abstractNumId w:val="10"/>
  </w:num>
  <w:num w:numId="19">
    <w:abstractNumId w:val="9"/>
  </w:num>
  <w:num w:numId="20">
    <w:abstractNumId w:val="7"/>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34831"/>
    <w:rsid w:val="000529BA"/>
    <w:rsid w:val="00061EED"/>
    <w:rsid w:val="00094B81"/>
    <w:rsid w:val="0012473C"/>
    <w:rsid w:val="00175CD8"/>
    <w:rsid w:val="001839C4"/>
    <w:rsid w:val="0019537C"/>
    <w:rsid w:val="001A2795"/>
    <w:rsid w:val="001A6EB0"/>
    <w:rsid w:val="001D207D"/>
    <w:rsid w:val="001E1B13"/>
    <w:rsid w:val="001E70AC"/>
    <w:rsid w:val="00243D0D"/>
    <w:rsid w:val="00247F49"/>
    <w:rsid w:val="00260384"/>
    <w:rsid w:val="00287119"/>
    <w:rsid w:val="0029007D"/>
    <w:rsid w:val="002B57C9"/>
    <w:rsid w:val="002C5E29"/>
    <w:rsid w:val="003008D8"/>
    <w:rsid w:val="00300A67"/>
    <w:rsid w:val="00301E36"/>
    <w:rsid w:val="00324B33"/>
    <w:rsid w:val="00346EC2"/>
    <w:rsid w:val="0035444D"/>
    <w:rsid w:val="00365723"/>
    <w:rsid w:val="003F5EF5"/>
    <w:rsid w:val="0041417C"/>
    <w:rsid w:val="004246B8"/>
    <w:rsid w:val="0043654D"/>
    <w:rsid w:val="004659AE"/>
    <w:rsid w:val="00472838"/>
    <w:rsid w:val="004D06B5"/>
    <w:rsid w:val="00502E6C"/>
    <w:rsid w:val="00520345"/>
    <w:rsid w:val="005424BC"/>
    <w:rsid w:val="00543EBC"/>
    <w:rsid w:val="00560C21"/>
    <w:rsid w:val="0056766D"/>
    <w:rsid w:val="0058575E"/>
    <w:rsid w:val="005A1F89"/>
    <w:rsid w:val="006005B9"/>
    <w:rsid w:val="00615A89"/>
    <w:rsid w:val="0061763C"/>
    <w:rsid w:val="00637F0D"/>
    <w:rsid w:val="006412C5"/>
    <w:rsid w:val="006A1F0B"/>
    <w:rsid w:val="006C5B5B"/>
    <w:rsid w:val="006E2449"/>
    <w:rsid w:val="00703E86"/>
    <w:rsid w:val="00713D4B"/>
    <w:rsid w:val="0071671D"/>
    <w:rsid w:val="00746990"/>
    <w:rsid w:val="007705B7"/>
    <w:rsid w:val="00771A4B"/>
    <w:rsid w:val="007A44DB"/>
    <w:rsid w:val="007B7F9D"/>
    <w:rsid w:val="007F0A77"/>
    <w:rsid w:val="008329DB"/>
    <w:rsid w:val="00856E88"/>
    <w:rsid w:val="00857AAC"/>
    <w:rsid w:val="00877760"/>
    <w:rsid w:val="0088295E"/>
    <w:rsid w:val="008A1158"/>
    <w:rsid w:val="008B2C83"/>
    <w:rsid w:val="008B3CF0"/>
    <w:rsid w:val="008F4E86"/>
    <w:rsid w:val="00930D58"/>
    <w:rsid w:val="00946AD8"/>
    <w:rsid w:val="00980B21"/>
    <w:rsid w:val="00990387"/>
    <w:rsid w:val="009B5F91"/>
    <w:rsid w:val="00A3585E"/>
    <w:rsid w:val="00A6757D"/>
    <w:rsid w:val="00AA2F71"/>
    <w:rsid w:val="00AA2F8C"/>
    <w:rsid w:val="00AB7CBF"/>
    <w:rsid w:val="00AE53DD"/>
    <w:rsid w:val="00B12861"/>
    <w:rsid w:val="00B46BC0"/>
    <w:rsid w:val="00B50F4E"/>
    <w:rsid w:val="00C22214"/>
    <w:rsid w:val="00C26E3A"/>
    <w:rsid w:val="00C436DF"/>
    <w:rsid w:val="00C636E8"/>
    <w:rsid w:val="00CB0550"/>
    <w:rsid w:val="00D078BE"/>
    <w:rsid w:val="00D13F8A"/>
    <w:rsid w:val="00D331F5"/>
    <w:rsid w:val="00D73418"/>
    <w:rsid w:val="00D918D5"/>
    <w:rsid w:val="00E400A0"/>
    <w:rsid w:val="00E53D3F"/>
    <w:rsid w:val="00E607D4"/>
    <w:rsid w:val="00E81BB4"/>
    <w:rsid w:val="00EA034A"/>
    <w:rsid w:val="00ED232E"/>
    <w:rsid w:val="00EE5427"/>
    <w:rsid w:val="00F02AEC"/>
    <w:rsid w:val="00F134DF"/>
    <w:rsid w:val="00F15456"/>
    <w:rsid w:val="00F157FC"/>
    <w:rsid w:val="00F235C6"/>
    <w:rsid w:val="00F24793"/>
    <w:rsid w:val="00F44961"/>
    <w:rsid w:val="00F50933"/>
    <w:rsid w:val="00F57334"/>
    <w:rsid w:val="00F74310"/>
    <w:rsid w:val="00F97D0B"/>
    <w:rsid w:val="00FA49C3"/>
    <w:rsid w:val="00FB6D36"/>
    <w:rsid w:val="00FD229D"/>
    <w:rsid w:val="00FE7F3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37C"/>
    <w:rPr>
      <w:rFonts w:ascii="Cambria" w:hAnsi="Cambria"/>
      <w:sz w:val="22"/>
    </w:rPr>
  </w:style>
  <w:style w:type="paragraph" w:styleId="Heading1">
    <w:name w:val="heading 1"/>
    <w:basedOn w:val="Heading2"/>
    <w:next w:val="Normal"/>
    <w:link w:val="Heading1Char"/>
    <w:qFormat/>
    <w:rsid w:val="0019537C"/>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9537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B12861"/>
    <w:pPr>
      <w:numPr>
        <w:numId w:val="1"/>
      </w:numPr>
      <w:spacing w:before="120" w:after="180" w:line="240" w:lineRule="atLeast"/>
    </w:pPr>
    <w:rPr>
      <w:rFonts w:eastAsia="Cambria" w:cs="Times New Roman"/>
      <w:color w:val="333F48"/>
    </w:rPr>
  </w:style>
  <w:style w:type="paragraph" w:styleId="ListBullet2">
    <w:name w:val="List Bullet 2"/>
    <w:basedOn w:val="Normal"/>
    <w:uiPriority w:val="99"/>
    <w:qFormat/>
    <w:rsid w:val="00B12861"/>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99"/>
    <w:qFormat/>
    <w:rsid w:val="00B12861"/>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B46BC0"/>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B12861"/>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19537C"/>
    <w:pPr>
      <w:keepLines/>
      <w:spacing w:after="0" w:line="240" w:lineRule="atLeast"/>
    </w:pPr>
    <w:rPr>
      <w:rFonts w:eastAsia="Cambria" w:cs="Times New Roman"/>
      <w:color w:val="000000" w:themeColor="text1"/>
      <w:sz w:val="18"/>
    </w:rPr>
  </w:style>
  <w:style w:type="character" w:customStyle="1" w:styleId="FootnoteTextChar">
    <w:name w:val="Footnote Text Char"/>
    <w:basedOn w:val="DefaultParagraphFont"/>
    <w:link w:val="FootnoteText"/>
    <w:uiPriority w:val="99"/>
    <w:rsid w:val="0019537C"/>
    <w:rPr>
      <w:rFonts w:ascii="Cambria" w:eastAsia="Cambria" w:hAnsi="Cambria" w:cs="Times New Roman"/>
      <w:color w:val="000000" w:themeColor="text1"/>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rsid w:val="0056766D"/>
    <w:pPr>
      <w:spacing w:before="120" w:after="0" w:line="240" w:lineRule="auto"/>
    </w:pPr>
    <w:rPr>
      <w:rFonts w:eastAsia="Cambria" w:cs="Times New Roman"/>
      <w:sz w:val="19"/>
      <w:szCs w:val="19"/>
    </w:rPr>
  </w:style>
  <w:style w:type="paragraph" w:styleId="EndnoteText">
    <w:name w:val="endnote text"/>
    <w:basedOn w:val="Normal"/>
    <w:link w:val="EndnoteTextChar"/>
    <w:uiPriority w:val="99"/>
    <w:unhideWhenUsed/>
    <w:rsid w:val="00C636E8"/>
    <w:pPr>
      <w:spacing w:after="0" w:line="240" w:lineRule="auto"/>
    </w:pPr>
    <w:rPr>
      <w:sz w:val="20"/>
    </w:rPr>
  </w:style>
  <w:style w:type="character" w:customStyle="1" w:styleId="EndnoteTextChar">
    <w:name w:val="Endnote Text Char"/>
    <w:basedOn w:val="DefaultParagraphFont"/>
    <w:link w:val="EndnoteText"/>
    <w:uiPriority w:val="99"/>
    <w:rsid w:val="00C636E8"/>
    <w:rPr>
      <w:rFonts w:ascii="Cambria" w:hAnsi="Cambria"/>
    </w:rPr>
  </w:style>
  <w:style w:type="character" w:styleId="EndnoteReference">
    <w:name w:val="endnote reference"/>
    <w:basedOn w:val="DefaultParagraphFont"/>
    <w:uiPriority w:val="99"/>
    <w:unhideWhenUsed/>
    <w:rsid w:val="0019537C"/>
    <w:rPr>
      <w:vertAlign w:val="superscript"/>
    </w:rPr>
  </w:style>
  <w:style w:type="paragraph" w:customStyle="1" w:styleId="FigureTitle">
    <w:name w:val="Figure Title"/>
    <w:basedOn w:val="Normal"/>
    <w:qFormat/>
    <w:rsid w:val="0019537C"/>
    <w:pPr>
      <w:spacing w:before="120"/>
    </w:pPr>
    <w:rPr>
      <w:b/>
      <w:noProof/>
    </w:rPr>
  </w:style>
  <w:style w:type="paragraph" w:customStyle="1" w:styleId="FigureDescription">
    <w:name w:val="Figure Description"/>
    <w:basedOn w:val="FigureTitle"/>
    <w:qFormat/>
    <w:rsid w:val="0019537C"/>
    <w:rPr>
      <w:sz w:val="19"/>
    </w:rPr>
  </w:style>
  <w:style w:type="character" w:customStyle="1" w:styleId="Heading1Char">
    <w:name w:val="Heading 1 Char"/>
    <w:basedOn w:val="DefaultParagraphFont"/>
    <w:link w:val="Heading1"/>
    <w:rsid w:val="0019537C"/>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19537C"/>
    <w:rPr>
      <w:rFonts w:asciiTheme="majorHAnsi" w:eastAsiaTheme="majorEastAsia" w:hAnsiTheme="majorHAnsi" w:cstheme="majorBidi"/>
      <w:i/>
      <w:iCs/>
      <w:color w:val="1F3763" w:themeColor="accent1" w:themeShade="7F"/>
      <w:sz w:val="22"/>
    </w:rPr>
  </w:style>
  <w:style w:type="character" w:styleId="CommentReference">
    <w:name w:val="annotation reference"/>
    <w:basedOn w:val="DefaultParagraphFont"/>
    <w:uiPriority w:val="99"/>
    <w:semiHidden/>
    <w:unhideWhenUsed/>
    <w:rsid w:val="0019537C"/>
    <w:rPr>
      <w:sz w:val="16"/>
      <w:szCs w:val="16"/>
    </w:rPr>
  </w:style>
  <w:style w:type="paragraph" w:styleId="CommentText">
    <w:name w:val="annotation text"/>
    <w:basedOn w:val="Normal"/>
    <w:link w:val="CommentTextChar"/>
    <w:uiPriority w:val="99"/>
    <w:unhideWhenUsed/>
    <w:rsid w:val="0019537C"/>
    <w:pPr>
      <w:spacing w:before="120" w:line="240" w:lineRule="auto"/>
    </w:pPr>
  </w:style>
  <w:style w:type="character" w:customStyle="1" w:styleId="CommentTextChar">
    <w:name w:val="Comment Text Char"/>
    <w:basedOn w:val="DefaultParagraphFont"/>
    <w:link w:val="CommentText"/>
    <w:uiPriority w:val="99"/>
    <w:rsid w:val="0019537C"/>
    <w:rPr>
      <w:rFonts w:ascii="Cambria" w:hAnsi="Cambria"/>
      <w:sz w:val="22"/>
    </w:rPr>
  </w:style>
  <w:style w:type="paragraph" w:styleId="CommentSubject">
    <w:name w:val="annotation subject"/>
    <w:basedOn w:val="CommentText"/>
    <w:next w:val="CommentText"/>
    <w:link w:val="CommentSubjectChar"/>
    <w:uiPriority w:val="99"/>
    <w:semiHidden/>
    <w:unhideWhenUsed/>
    <w:rsid w:val="0019537C"/>
    <w:rPr>
      <w:b/>
      <w:bCs/>
    </w:rPr>
  </w:style>
  <w:style w:type="character" w:customStyle="1" w:styleId="CommentSubjectChar">
    <w:name w:val="Comment Subject Char"/>
    <w:basedOn w:val="CommentTextChar"/>
    <w:link w:val="CommentSubject"/>
    <w:uiPriority w:val="99"/>
    <w:semiHidden/>
    <w:rsid w:val="0019537C"/>
    <w:rPr>
      <w:rFonts w:ascii="Cambria" w:hAnsi="Cambria"/>
      <w:b/>
      <w:bCs/>
      <w:sz w:val="22"/>
    </w:rPr>
  </w:style>
  <w:style w:type="paragraph" w:styleId="BalloonText">
    <w:name w:val="Balloon Text"/>
    <w:basedOn w:val="Normal"/>
    <w:link w:val="BalloonTextChar"/>
    <w:uiPriority w:val="99"/>
    <w:semiHidden/>
    <w:unhideWhenUsed/>
    <w:rsid w:val="0019537C"/>
    <w:pPr>
      <w:spacing w:before="12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37C"/>
    <w:rPr>
      <w:rFonts w:ascii="Segoe UI" w:hAnsi="Segoe UI" w:cs="Segoe UI"/>
      <w:sz w:val="18"/>
      <w:szCs w:val="18"/>
    </w:rPr>
  </w:style>
  <w:style w:type="character" w:styleId="FollowedHyperlink">
    <w:name w:val="FollowedHyperlink"/>
    <w:basedOn w:val="DefaultParagraphFont"/>
    <w:uiPriority w:val="99"/>
    <w:semiHidden/>
    <w:unhideWhenUsed/>
    <w:rsid w:val="0019537C"/>
    <w:rPr>
      <w:color w:val="954F72" w:themeColor="followedHyperlink"/>
      <w:u w:val="single"/>
    </w:rPr>
  </w:style>
  <w:style w:type="paragraph" w:styleId="Revision">
    <w:name w:val="Revision"/>
    <w:hidden/>
    <w:uiPriority w:val="99"/>
    <w:semiHidden/>
    <w:rsid w:val="0019537C"/>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19537C"/>
    <w:rPr>
      <w:color w:val="605E5C"/>
      <w:shd w:val="clear" w:color="auto" w:fill="E1DFDD"/>
    </w:rPr>
  </w:style>
  <w:style w:type="paragraph" w:customStyle="1" w:styleId="TableText">
    <w:name w:val="Table Text"/>
    <w:basedOn w:val="FootnoteText"/>
    <w:qFormat/>
    <w:rsid w:val="0019537C"/>
    <w:pPr>
      <w:spacing w:before="120"/>
    </w:pPr>
    <w:rPr>
      <w:color w:val="auto"/>
      <w:sz w:val="20"/>
      <w:lang w:val="en-GB"/>
    </w:rPr>
  </w:style>
  <w:style w:type="paragraph" w:styleId="Caption">
    <w:name w:val="caption"/>
    <w:basedOn w:val="Normal"/>
    <w:next w:val="Normal"/>
    <w:uiPriority w:val="35"/>
    <w:rsid w:val="0019537C"/>
    <w:pPr>
      <w:spacing w:before="120" w:line="240" w:lineRule="atLeast"/>
    </w:pPr>
    <w:rPr>
      <w:rFonts w:eastAsia="Cambria" w:cs="Times New Roman"/>
      <w:sz w:val="19"/>
      <w:szCs w:val="18"/>
    </w:rPr>
  </w:style>
  <w:style w:type="paragraph" w:customStyle="1" w:styleId="Quotation">
    <w:name w:val="Quotation"/>
    <w:basedOn w:val="Normal"/>
    <w:next w:val="Normal"/>
    <w:uiPriority w:val="4"/>
    <w:qFormat/>
    <w:rsid w:val="0019537C"/>
    <w:pPr>
      <w:spacing w:before="120" w:after="180" w:line="240" w:lineRule="atLeast"/>
      <w:ind w:left="425"/>
    </w:pPr>
    <w:rPr>
      <w:rFonts w:eastAsiaTheme="minorEastAsia"/>
      <w:sz w:val="20"/>
      <w:szCs w:val="22"/>
      <w:lang w:eastAsia="zh-TW"/>
    </w:rPr>
  </w:style>
  <w:style w:type="paragraph" w:customStyle="1" w:styleId="TableCaption">
    <w:name w:val="Table Caption"/>
    <w:basedOn w:val="Normal"/>
    <w:qFormat/>
    <w:rsid w:val="0019537C"/>
    <w:pPr>
      <w:adjustRightInd w:val="0"/>
      <w:snapToGrid w:val="0"/>
      <w:spacing w:before="120" w:after="0" w:line="240" w:lineRule="auto"/>
    </w:pPr>
    <w:rPr>
      <w:rFonts w:eastAsia="MS Mincho" w:cs="Times New Roman"/>
      <w:sz w:val="17"/>
      <w:lang w:eastAsia="ja-JP"/>
    </w:rPr>
  </w:style>
  <w:style w:type="paragraph" w:styleId="ListParagraph">
    <w:name w:val="List Paragraph"/>
    <w:basedOn w:val="Normal"/>
    <w:link w:val="ListParagraphChar"/>
    <w:uiPriority w:val="34"/>
    <w:qFormat/>
    <w:rsid w:val="0019537C"/>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rsid w:val="0019537C"/>
    <w:rPr>
      <w:rFonts w:ascii="Cambria" w:eastAsia="MS Mincho" w:hAnsi="Cambria" w:cs="Times New Roman"/>
      <w:sz w:val="22"/>
      <w:lang w:eastAsia="ja-JP"/>
    </w:rPr>
  </w:style>
  <w:style w:type="paragraph" w:customStyle="1" w:styleId="AxisLabel">
    <w:name w:val="Axis Label"/>
    <w:basedOn w:val="Normal"/>
    <w:qFormat/>
    <w:rsid w:val="0019537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19537C"/>
    <w:pPr>
      <w:spacing w:before="120" w:after="0" w:line="240" w:lineRule="auto"/>
    </w:pPr>
    <w:rPr>
      <w:rFonts w:ascii="Arial" w:eastAsia="Cambria" w:hAnsi="Arial" w:cs="Times New Roman"/>
      <w:sz w:val="16"/>
      <w:szCs w:val="22"/>
    </w:rPr>
  </w:style>
  <w:style w:type="paragraph" w:customStyle="1" w:styleId="Contents">
    <w:name w:val="Contents"/>
    <w:basedOn w:val="Normal"/>
    <w:rsid w:val="0019537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19537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19537C"/>
    <w:pPr>
      <w:spacing w:before="120" w:line="240" w:lineRule="atLeast"/>
    </w:pPr>
    <w:rPr>
      <w:rFonts w:eastAsia="Cambria" w:cs="Times New Roman"/>
      <w:sz w:val="14"/>
      <w:szCs w:val="22"/>
    </w:rPr>
  </w:style>
  <w:style w:type="table" w:styleId="LightShading-Accent2">
    <w:name w:val="Light Shading Accent 2"/>
    <w:basedOn w:val="TableNormal"/>
    <w:uiPriority w:val="60"/>
    <w:rsid w:val="0019537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19537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19537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19537C"/>
    <w:rPr>
      <w:color w:val="808080"/>
    </w:rPr>
  </w:style>
  <w:style w:type="paragraph" w:customStyle="1" w:styleId="Reference">
    <w:name w:val="Reference"/>
    <w:basedOn w:val="Normal"/>
    <w:rsid w:val="0019537C"/>
    <w:pPr>
      <w:spacing w:before="40" w:after="0" w:line="180" w:lineRule="atLeast"/>
      <w:ind w:hanging="170"/>
    </w:pPr>
    <w:rPr>
      <w:rFonts w:eastAsia="Cambria" w:cs="Times New Roman"/>
      <w:sz w:val="19"/>
      <w:szCs w:val="22"/>
    </w:rPr>
  </w:style>
  <w:style w:type="table" w:customStyle="1" w:styleId="TableTGAblack">
    <w:name w:val="Table TGA black"/>
    <w:basedOn w:val="TableNormal"/>
    <w:uiPriority w:val="99"/>
    <w:rsid w:val="0019537C"/>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19537C"/>
    <w:pPr>
      <w:framePr w:wrap="around" w:hAnchor="text"/>
      <w:spacing w:before="480" w:after="0" w:line="276" w:lineRule="auto"/>
      <w:outlineLvl w:val="9"/>
    </w:pPr>
    <w:rPr>
      <w:rFonts w:cstheme="minorBidi"/>
      <w:color w:val="002035"/>
      <w:sz w:val="28"/>
      <w:lang w:val="en-US"/>
    </w:rPr>
  </w:style>
  <w:style w:type="paragraph" w:customStyle="1" w:styleId="Comment">
    <w:name w:val="Comment"/>
    <w:basedOn w:val="Normal"/>
    <w:next w:val="Normal"/>
    <w:uiPriority w:val="1"/>
    <w:qFormat/>
    <w:rsid w:val="0019537C"/>
    <w:pPr>
      <w:spacing w:before="120" w:line="240" w:lineRule="atLeast"/>
      <w:ind w:left="992" w:hanging="992"/>
    </w:pPr>
    <w:rPr>
      <w:rFonts w:eastAsia="Cambria" w:cs="Times New Roman"/>
      <w:szCs w:val="22"/>
    </w:rPr>
  </w:style>
  <w:style w:type="paragraph" w:customStyle="1" w:styleId="FigureCaption">
    <w:name w:val="Figure Caption"/>
    <w:basedOn w:val="Normal"/>
    <w:qFormat/>
    <w:rsid w:val="0019537C"/>
    <w:pPr>
      <w:adjustRightInd w:val="0"/>
      <w:snapToGrid w:val="0"/>
      <w:spacing w:before="180" w:after="180" w:line="240" w:lineRule="atLeast"/>
    </w:pPr>
    <w:rPr>
      <w:rFonts w:eastAsia="MS Mincho" w:cs="Times New Roman"/>
      <w:lang w:eastAsia="ja-JP"/>
    </w:rPr>
  </w:style>
  <w:style w:type="table" w:customStyle="1" w:styleId="TableTGA2">
    <w:name w:val="Table TGA 2"/>
    <w:basedOn w:val="TableNormal"/>
    <w:uiPriority w:val="99"/>
    <w:rsid w:val="0019537C"/>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19537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19537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rsid w:val="0019537C"/>
    <w:rPr>
      <w:rFonts w:ascii="Arial" w:hAnsi="Arial"/>
      <w:color w:val="002C47"/>
      <w:sz w:val="14"/>
    </w:rPr>
  </w:style>
  <w:style w:type="paragraph" w:customStyle="1" w:styleId="BodyCopy">
    <w:name w:val="Body Copy"/>
    <w:basedOn w:val="Normal"/>
    <w:qFormat/>
    <w:rsid w:val="0019537C"/>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19537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19537C"/>
    <w:rPr>
      <w:rFonts w:ascii="Cambria" w:eastAsia="Times New Roman" w:hAnsi="Cambria" w:cs="Times New Roman"/>
      <w:snapToGrid w:val="0"/>
      <w:kern w:val="16"/>
      <w:sz w:val="23"/>
      <w:szCs w:val="24"/>
    </w:rPr>
  </w:style>
  <w:style w:type="paragraph" w:customStyle="1" w:styleId="Bulletpoint">
    <w:name w:val="Bullet point"/>
    <w:basedOn w:val="Standard"/>
    <w:rsid w:val="0019537C"/>
    <w:pPr>
      <w:numPr>
        <w:numId w:val="10"/>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19537C"/>
    <w:pPr>
      <w:keepNext/>
      <w:spacing w:after="120"/>
    </w:pPr>
    <w:rPr>
      <w:b/>
      <w:i/>
      <w:kern w:val="2"/>
      <w:sz w:val="22"/>
    </w:rPr>
  </w:style>
  <w:style w:type="paragraph" w:customStyle="1" w:styleId="Tabletextbulleted">
    <w:name w:val="Table text (bulleted)"/>
    <w:basedOn w:val="Normal"/>
    <w:uiPriority w:val="1"/>
    <w:qFormat/>
    <w:rsid w:val="008F4E86"/>
    <w:pPr>
      <w:numPr>
        <w:numId w:val="11"/>
      </w:numPr>
      <w:spacing w:after="0" w:line="240" w:lineRule="auto"/>
      <w:ind w:right="170"/>
    </w:pPr>
    <w:rPr>
      <w:rFonts w:eastAsia="Cambria" w:cs="Times New Roman"/>
      <w:color w:val="000000" w:themeColor="text1"/>
      <w:sz w:val="19"/>
      <w:szCs w:val="21"/>
      <w:lang w:eastAsia="en-AU"/>
    </w:rPr>
  </w:style>
  <w:style w:type="paragraph" w:customStyle="1" w:styleId="TableParagraph">
    <w:name w:val="Table Paragraph"/>
    <w:basedOn w:val="Normal"/>
    <w:uiPriority w:val="1"/>
    <w:qFormat/>
    <w:rsid w:val="0019537C"/>
    <w:pPr>
      <w:widowControl w:val="0"/>
      <w:autoSpaceDE w:val="0"/>
      <w:autoSpaceDN w:val="0"/>
      <w:spacing w:after="0" w:line="240" w:lineRule="auto"/>
    </w:pPr>
    <w:rPr>
      <w:rFonts w:ascii="Calibri" w:eastAsia="Calibri" w:hAnsi="Calibri" w:cs="Calibri"/>
      <w:szCs w:val="22"/>
      <w:lang w:val="en-US"/>
    </w:rPr>
  </w:style>
  <w:style w:type="paragraph" w:customStyle="1" w:styleId="Bulletlist">
    <w:name w:val="Bullet list"/>
    <w:basedOn w:val="Standard"/>
    <w:link w:val="BulletlistChar"/>
    <w:qFormat/>
    <w:rsid w:val="0019537C"/>
    <w:pPr>
      <w:numPr>
        <w:numId w:val="15"/>
      </w:numPr>
      <w:spacing w:after="180"/>
      <w:ind w:left="426" w:hanging="284"/>
    </w:pPr>
    <w:rPr>
      <w:kern w:val="2"/>
    </w:rPr>
  </w:style>
  <w:style w:type="character" w:customStyle="1" w:styleId="BulletlistChar">
    <w:name w:val="Bullet list Char"/>
    <w:basedOn w:val="StandardChar"/>
    <w:link w:val="Bulletlist"/>
    <w:rsid w:val="0019537C"/>
    <w:rPr>
      <w:rFonts w:ascii="Cambria" w:eastAsia="Times New Roman" w:hAnsi="Cambria" w:cs="Times New Roman"/>
      <w:snapToGrid w:val="0"/>
      <w:kern w:val="2"/>
      <w:sz w:val="23"/>
      <w:szCs w:val="24"/>
    </w:rPr>
  </w:style>
  <w:style w:type="paragraph" w:styleId="BodyText">
    <w:name w:val="Body Text"/>
    <w:basedOn w:val="Normal"/>
    <w:link w:val="BodyTextChar"/>
    <w:uiPriority w:val="1"/>
    <w:qFormat/>
    <w:rsid w:val="0019537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9537C"/>
    <w:rPr>
      <w:rFonts w:ascii="Times New Roman" w:eastAsia="Times New Roman" w:hAnsi="Times New Roman" w:cs="Times New Roman"/>
      <w:sz w:val="24"/>
      <w:szCs w:val="24"/>
      <w:lang w:val="en-US"/>
    </w:rPr>
  </w:style>
  <w:style w:type="paragraph" w:customStyle="1" w:styleId="Tabletext0">
    <w:name w:val="Table text"/>
    <w:basedOn w:val="Normal"/>
    <w:link w:val="TabletextChar"/>
    <w:qFormat/>
    <w:rsid w:val="006005B9"/>
    <w:pPr>
      <w:spacing w:after="0" w:line="240" w:lineRule="auto"/>
    </w:pPr>
    <w:rPr>
      <w:rFonts w:eastAsia="Cambria" w:cs="Times New Roman"/>
      <w:sz w:val="19"/>
      <w:szCs w:val="22"/>
    </w:rPr>
  </w:style>
  <w:style w:type="character" w:customStyle="1" w:styleId="TabletextChar">
    <w:name w:val="Table text Char"/>
    <w:basedOn w:val="DefaultParagraphFont"/>
    <w:link w:val="Tabletext0"/>
    <w:rsid w:val="006005B9"/>
    <w:rPr>
      <w:rFonts w:ascii="Cambria" w:eastAsia="Cambria" w:hAnsi="Cambria" w:cs="Times New Roman"/>
      <w:sz w:val="19"/>
      <w:szCs w:val="22"/>
    </w:rPr>
  </w:style>
  <w:style w:type="paragraph" w:customStyle="1" w:styleId="Default">
    <w:name w:val="Default"/>
    <w:rsid w:val="006C5B5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tga.gov.au/picmi-search-facilit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ga.gov.au/black-triangle-scheme" TargetMode="External"/><Relationship Id="rId25" Type="http://schemas.openxmlformats.org/officeDocument/2006/relationships/hyperlink" Target="https://www.tga.gov.au/products/australian-register-therapeutic-goods-artg/consumer-medicines-information-cmi"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image" Target="media/image6.png"/><Relationship Id="rId29" Type="http://schemas.openxmlformats.org/officeDocument/2006/relationships/hyperlink" Target="https://www.tga.gov.au/publication/risk-management-plans-medicines-and-biologic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roducts/australian-register-therapeutic-goods-artg/product-information-one" TargetMode="External"/><Relationship Id="rId32" Type="http://schemas.openxmlformats.org/officeDocument/2006/relationships/header" Target="header4.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products/australian-register-therapeutic-goods-artg/product-information-one" TargetMode="External"/><Relationship Id="rId28" Type="http://schemas.openxmlformats.org/officeDocument/2006/relationships/image" Target="media/image8.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tga.gov.au/picmi-search-facilit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project-orbis" TargetMode="External"/><Relationship Id="rId27" Type="http://schemas.openxmlformats.org/officeDocument/2006/relationships/hyperlink" Target="https://www.tga.gov.au/provisional-approval-pathway-prescription-medicines" TargetMode="External"/><Relationship Id="rId30" Type="http://schemas.openxmlformats.org/officeDocument/2006/relationships/hyperlink" Target="https://www.tga.gov.au/tgas-risk-management-approach" TargetMode="External"/><Relationship Id="rId35"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drugsatfda_docs/label/2021/215310s000lbl.pdf" TargetMode="External"/><Relationship Id="rId2" Type="http://schemas.openxmlformats.org/officeDocument/2006/relationships/hyperlink" Target="https://www.accessdata.fda.gov/drugsatfda_docs/nda/2021/215310Orig1s000OtherR.pdf" TargetMode="External"/><Relationship Id="rId1" Type="http://schemas.openxmlformats.org/officeDocument/2006/relationships/hyperlink" Target="https://www.accessdata.fda.gov/drugsatfda_docs/nda/2021/215310Orig1s000MultidisciplineR.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5C8B1-E736-49AD-BD6D-38A16FE8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48</Pages>
  <Words>16061</Words>
  <Characters>89621</Characters>
  <Application>Microsoft Office Word</Application>
  <DocSecurity>0</DocSecurity>
  <Lines>2489</Lines>
  <Paragraphs>1732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103950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Exkivity</dc:title>
  <dc:subject>Prescription medicine regulation</dc:subject>
  <dc:creator>Therapeutic Goods Administration</dc:creator>
  <cp:keywords/>
  <dc:description/>
  <cp:lastModifiedBy>PITKIN, Brendan</cp:lastModifiedBy>
  <cp:revision>8</cp:revision>
  <dcterms:created xsi:type="dcterms:W3CDTF">2023-04-21T04:31:00Z</dcterms:created>
  <dcterms:modified xsi:type="dcterms:W3CDTF">2023-05-11T05:46:00Z</dcterms:modified>
</cp:coreProperties>
</file>