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C651" w14:textId="77777777" w:rsidR="00260FE5" w:rsidRDefault="003436C9">
      <w:pPr>
        <w:tabs>
          <w:tab w:val="left" w:pos="284"/>
        </w:tabs>
        <w:spacing w:after="480"/>
        <w:rPr>
          <w:rFonts w:asciiTheme="majorHAnsi" w:hAnsiTheme="majorHAnsi"/>
          <w:sz w:val="22"/>
        </w:rPr>
      </w:pPr>
      <w:r>
        <w:rPr>
          <w:noProof/>
        </w:rPr>
        <mc:AlternateContent>
          <mc:Choice Requires="wps">
            <w:drawing>
              <wp:inline distT="0" distB="0" distL="0" distR="0" wp14:anchorId="2832C8C1" wp14:editId="2832C8C2">
                <wp:extent cx="252095" cy="252095"/>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2C906" w14:textId="77777777" w:rsidR="00260FE5" w:rsidRDefault="003436C9">
                            <w:pPr>
                              <w:spacing w:before="0" w:after="0"/>
                              <w:rPr>
                                <w:rFonts w:ascii="Wingdings 3" w:hAnsi="Wingdings 3"/>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832C8C1" id="_x0000_t202" coordsize="21600,21600" o:spt="202" path="m,l,21600r21600,l21600,xe">
                <v:stroke joinstyle="miter"/>
                <v:path gradientshapeok="t" o:connecttype="rect"/>
              </v:shapetype>
              <v:shape id="Text Box 6"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832C906" w14:textId="77777777" w:rsidR="00260FE5" w:rsidRDefault="003436C9">
                      <w:pPr>
                        <w:spacing w:before="0" w:after="0"/>
                        <w:rPr>
                          <w:rFonts w:ascii="Wingdings 3" w:hAnsi="Wingdings 3"/>
                        </w:rPr>
                      </w:pPr>
                      <w:r>
                        <w:rPr>
                          <w:rFonts w:ascii="SimSun" w:eastAsia="SimSun" w:hAnsi="SimSun" w:cs="Arial" w:hint="eastAsia"/>
                          <w:sz w:val="40"/>
                        </w:rPr>
                        <w:t>▼</w:t>
                      </w:r>
                    </w:p>
                  </w:txbxContent>
                </v:textbox>
                <w10:anchorlock/>
              </v:shape>
            </w:pict>
          </mc:Fallback>
        </mc:AlternateContent>
      </w:r>
      <w:r>
        <w:rPr>
          <w:rFonts w:asciiTheme="majorHAnsi" w:hAnsiTheme="majorHAnsi"/>
          <w:sz w:val="22"/>
        </w:rPr>
        <w:t xml:space="preserve">This medicinal product is subject to additional monitoring in Australia. This will allow quick identification of new safety information. Healthcare professionals are asked to report any suspected adverse events at </w:t>
      </w:r>
      <w:hyperlink r:id="rId11" w:history="1">
        <w:r>
          <w:rPr>
            <w:rStyle w:val="Hyperlink"/>
            <w:rFonts w:asciiTheme="majorHAnsi" w:hAnsiTheme="majorHAnsi"/>
            <w:color w:val="auto"/>
            <w:sz w:val="22"/>
          </w:rPr>
          <w:t>www.tga.gov.au/reporting-problems</w:t>
        </w:r>
      </w:hyperlink>
      <w:r>
        <w:rPr>
          <w:rFonts w:asciiTheme="majorHAnsi" w:hAnsiTheme="majorHAnsi"/>
          <w:sz w:val="22"/>
        </w:rPr>
        <w:t>.</w:t>
      </w:r>
    </w:p>
    <w:p w14:paraId="2832C652" w14:textId="77777777" w:rsidR="00260FE5" w:rsidRDefault="003436C9">
      <w:pPr>
        <w:pStyle w:val="MainHeading"/>
        <w:spacing w:after="120"/>
        <w:rPr>
          <w:bCs/>
        </w:rPr>
      </w:pPr>
      <w:r>
        <w:t>AUSTRALIAN PRODUCT INFORMATION</w:t>
      </w:r>
    </w:p>
    <w:p w14:paraId="2832C653" w14:textId="42CFA200" w:rsidR="00260FE5" w:rsidRDefault="003436C9">
      <w:pPr>
        <w:jc w:val="center"/>
        <w:rPr>
          <w:b/>
          <w:bCs/>
        </w:rPr>
      </w:pPr>
      <w:r>
        <w:rPr>
          <w:b/>
          <w:bCs/>
        </w:rPr>
        <w:t>EXKIVITY</w:t>
      </w:r>
      <w:r w:rsidR="00F8464C">
        <w:rPr>
          <w:rFonts w:cs="Times New Roman"/>
          <w:b/>
          <w:bCs/>
          <w:sz w:val="22"/>
          <w:vertAlign w:val="superscript"/>
        </w:rPr>
        <w:t>®</w:t>
      </w:r>
      <w:r>
        <w:rPr>
          <w:b/>
          <w:bCs/>
        </w:rPr>
        <w:t xml:space="preserve"> (mobocertinib)</w:t>
      </w:r>
    </w:p>
    <w:p w14:paraId="2832C654" w14:textId="77777777" w:rsidR="00260FE5" w:rsidRDefault="003436C9">
      <w:pPr>
        <w:pStyle w:val="Heading2"/>
      </w:pPr>
      <w:r>
        <w:t>1</w:t>
      </w:r>
      <w:r>
        <w:tab/>
        <w:t xml:space="preserve">NAME OF THE MEDICINE </w:t>
      </w:r>
    </w:p>
    <w:p w14:paraId="2832C655" w14:textId="77777777" w:rsidR="00260FE5" w:rsidRDefault="003436C9">
      <w:r>
        <w:t>Mobocertinib.</w:t>
      </w:r>
    </w:p>
    <w:p w14:paraId="2832C656" w14:textId="77777777" w:rsidR="00260FE5" w:rsidRDefault="003436C9">
      <w:pPr>
        <w:pStyle w:val="Heading2"/>
      </w:pPr>
      <w:r>
        <w:t>2</w:t>
      </w:r>
      <w:r>
        <w:tab/>
        <w:t>QUALITATIVE AND QUANTITATIVE COMPOSITION</w:t>
      </w:r>
    </w:p>
    <w:p w14:paraId="2832C657" w14:textId="77777777" w:rsidR="00260FE5" w:rsidRDefault="003436C9">
      <w:r>
        <w:t xml:space="preserve">Each EXKIVITY capsule contains mobocertinib succinate equivalent to 40 mg of mobocertinib base. For the full list of excipients, see </w:t>
      </w:r>
      <w:r>
        <w:rPr>
          <w:i/>
          <w:iCs/>
        </w:rPr>
        <w:t>List of excipients</w:t>
      </w:r>
      <w:r>
        <w:t xml:space="preserve"> (6.1).</w:t>
      </w:r>
    </w:p>
    <w:p w14:paraId="2832C658" w14:textId="77777777" w:rsidR="00260FE5" w:rsidRDefault="003436C9">
      <w:pPr>
        <w:pStyle w:val="Heading2"/>
      </w:pPr>
      <w:r>
        <w:t>3</w:t>
      </w:r>
      <w:r>
        <w:tab/>
        <w:t>PHARMACEUTICAL FORM</w:t>
      </w:r>
    </w:p>
    <w:p w14:paraId="2832C659" w14:textId="77777777" w:rsidR="00260FE5" w:rsidRDefault="003436C9">
      <w:r>
        <w:t>Hard capsule.</w:t>
      </w:r>
    </w:p>
    <w:p w14:paraId="2832C65A" w14:textId="77777777" w:rsidR="00260FE5" w:rsidRDefault="003436C9">
      <w:pPr>
        <w:pStyle w:val="Heading3"/>
      </w:pPr>
      <w:r>
        <w:t>Appearance</w:t>
      </w:r>
    </w:p>
    <w:p w14:paraId="2832C65B" w14:textId="77777777" w:rsidR="00260FE5" w:rsidRDefault="003436C9">
      <w:r>
        <w:t>EXKIVITY 40 mg capsule: White, size 2, imprinted with “MB788” on the cap and “40mg” on the body in black ink.</w:t>
      </w:r>
    </w:p>
    <w:p w14:paraId="2832C65C" w14:textId="77777777" w:rsidR="00260FE5" w:rsidRDefault="003436C9">
      <w:pPr>
        <w:pStyle w:val="Heading2"/>
      </w:pPr>
      <w:r>
        <w:t>4</w:t>
      </w:r>
      <w:r>
        <w:tab/>
        <w:t>CLINICAL PARTICULARS</w:t>
      </w:r>
    </w:p>
    <w:p w14:paraId="2832C65D" w14:textId="77777777" w:rsidR="00260FE5" w:rsidRDefault="003436C9">
      <w:pPr>
        <w:pStyle w:val="Heading2"/>
        <w:rPr>
          <w:caps/>
        </w:rPr>
      </w:pPr>
      <w:r>
        <w:t>4.1</w:t>
      </w:r>
      <w:r>
        <w:tab/>
        <w:t>THERAPEUTIC</w:t>
      </w:r>
      <w:r>
        <w:rPr>
          <w:caps/>
        </w:rPr>
        <w:t xml:space="preserve"> INDICATIONS</w:t>
      </w:r>
    </w:p>
    <w:p w14:paraId="2832C65E" w14:textId="77777777" w:rsidR="00260FE5" w:rsidRDefault="003436C9">
      <w:r>
        <w:t xml:space="preserve">EXKIVITY has </w:t>
      </w:r>
      <w:r>
        <w:rPr>
          <w:b/>
          <w:bCs/>
        </w:rPr>
        <w:t>provisional</w:t>
      </w:r>
      <w:r>
        <w:t xml:space="preserve"> </w:t>
      </w:r>
      <w:r>
        <w:rPr>
          <w:b/>
          <w:bCs/>
        </w:rPr>
        <w:t>approval</w:t>
      </w:r>
      <w:r>
        <w:t xml:space="preserve"> in Australia for the treatment of patients with locally advanced or metastatic non-small cell lung cancer (NSCLC) that has an exon 20 insertion mutation of the epidermal growth factor receptor (EGFR), who have received prior platinum-based chemotherapy.</w:t>
      </w:r>
    </w:p>
    <w:p w14:paraId="2832C65F" w14:textId="77777777" w:rsidR="00260FE5" w:rsidRDefault="003436C9">
      <w:r>
        <w:t xml:space="preserve">The decision to approve this indication has been made </w:t>
      </w:r>
      <w:proofErr w:type="gramStart"/>
      <w:r>
        <w:t>on the basis of</w:t>
      </w:r>
      <w:proofErr w:type="gramEnd"/>
      <w:r>
        <w:t xml:space="preserve"> objective response rate and duration of response in a single arm study. Continued approval of this indication depends on verification and description of benefit in a confirmatory study.</w:t>
      </w:r>
    </w:p>
    <w:p w14:paraId="2832C660" w14:textId="77777777" w:rsidR="00260FE5" w:rsidRDefault="003436C9">
      <w:pPr>
        <w:pStyle w:val="Heading2"/>
      </w:pPr>
      <w:r>
        <w:t>4.2</w:t>
      </w:r>
      <w:r>
        <w:tab/>
        <w:t xml:space="preserve">DOSE AND METHOD OF ADMINISTRATION </w:t>
      </w:r>
    </w:p>
    <w:p w14:paraId="2832C661" w14:textId="77777777" w:rsidR="00260FE5" w:rsidRDefault="003436C9">
      <w:pPr>
        <w:pStyle w:val="Heading3"/>
      </w:pPr>
      <w:r>
        <w:t>Recommended dose</w:t>
      </w:r>
    </w:p>
    <w:p w14:paraId="2832C662" w14:textId="77777777" w:rsidR="00260FE5" w:rsidRDefault="003436C9">
      <w:r>
        <w:t>The recommended dosage of EXKIVITY is 160 mg orally once daily, continued until disease progression or unacceptable toxicity.</w:t>
      </w:r>
    </w:p>
    <w:p w14:paraId="2832C663" w14:textId="77777777" w:rsidR="00260FE5" w:rsidRDefault="003436C9">
      <w:r>
        <w:lastRenderedPageBreak/>
        <w:t xml:space="preserve">EXKIVITY should be taken at approximately the same time each day; and can be taken with or without food. </w:t>
      </w:r>
    </w:p>
    <w:p w14:paraId="2832C664" w14:textId="77777777" w:rsidR="00260FE5" w:rsidRDefault="003436C9">
      <w:r>
        <w:t xml:space="preserve">Swallow EXKIVITY capsules whole. Do not open, </w:t>
      </w:r>
      <w:proofErr w:type="gramStart"/>
      <w:r>
        <w:t>chew</w:t>
      </w:r>
      <w:proofErr w:type="gramEnd"/>
      <w:r>
        <w:t xml:space="preserve"> or dissolve the contents of the capsules.</w:t>
      </w:r>
    </w:p>
    <w:p w14:paraId="2832C665" w14:textId="77777777" w:rsidR="00260FE5" w:rsidRDefault="003436C9">
      <w:r>
        <w:t>If a dose is missed by more than 6 hours, skip the dose on that day. Resume the usual dosing on the following day at the regularly scheduled time.</w:t>
      </w:r>
    </w:p>
    <w:p w14:paraId="2832C666" w14:textId="77777777" w:rsidR="00260FE5" w:rsidRDefault="003436C9">
      <w:r>
        <w:t xml:space="preserve">If vomiting occurs after taking a dose, </w:t>
      </w:r>
      <w:bookmarkStart w:id="0" w:name="_Hlk87282023"/>
      <w:r>
        <w:t>do not repeat the dose. Resume the usual dosing on the following day at the regularly scheduled time.</w:t>
      </w:r>
      <w:bookmarkEnd w:id="0"/>
    </w:p>
    <w:p w14:paraId="2832C667" w14:textId="77777777" w:rsidR="00260FE5" w:rsidRDefault="003436C9">
      <w:pPr>
        <w:pStyle w:val="Heading3"/>
      </w:pPr>
      <w:r>
        <w:t>Dose modifications for adverse reactions</w:t>
      </w:r>
    </w:p>
    <w:p w14:paraId="2832C668" w14:textId="77777777" w:rsidR="00260FE5" w:rsidRDefault="003436C9">
      <w:r>
        <w:t xml:space="preserve">EXKIVITY dose levels for dose reduction for the management of adverse reactions are summarised in </w:t>
      </w:r>
      <w:r>
        <w:rPr>
          <w:i/>
          <w:iCs/>
        </w:rPr>
        <w:t>Table 1</w:t>
      </w:r>
      <w:r>
        <w:t xml:space="preserve">. </w:t>
      </w:r>
    </w:p>
    <w:tbl>
      <w:tblPr>
        <w:tblStyle w:val="TableGrid"/>
        <w:tblW w:w="0" w:type="auto"/>
        <w:tblLook w:val="04A0" w:firstRow="1" w:lastRow="0" w:firstColumn="1" w:lastColumn="0" w:noHBand="0" w:noVBand="1"/>
      </w:tblPr>
      <w:tblGrid>
        <w:gridCol w:w="4538"/>
        <w:gridCol w:w="4478"/>
      </w:tblGrid>
      <w:tr w:rsidR="00260FE5" w14:paraId="2832C66A" w14:textId="77777777">
        <w:trPr>
          <w:trHeight w:val="359"/>
        </w:trPr>
        <w:tc>
          <w:tcPr>
            <w:tcW w:w="9016" w:type="dxa"/>
            <w:gridSpan w:val="2"/>
            <w:vAlign w:val="center"/>
          </w:tcPr>
          <w:p w14:paraId="2832C669" w14:textId="77777777" w:rsidR="00260FE5" w:rsidRDefault="003436C9">
            <w:pPr>
              <w:pStyle w:val="Tabletitle"/>
              <w:rPr>
                <w:lang w:eastAsia="ja-JP"/>
              </w:rPr>
            </w:pPr>
            <w:r>
              <w:t xml:space="preserve">Table 1: Recommended dose levels for EXKIVITY dose reduction </w:t>
            </w:r>
          </w:p>
        </w:tc>
      </w:tr>
      <w:tr w:rsidR="00260FE5" w14:paraId="2832C66D" w14:textId="77777777">
        <w:trPr>
          <w:trHeight w:val="375"/>
        </w:trPr>
        <w:tc>
          <w:tcPr>
            <w:tcW w:w="4538" w:type="dxa"/>
            <w:vAlign w:val="center"/>
          </w:tcPr>
          <w:p w14:paraId="2832C66B" w14:textId="77777777" w:rsidR="00260FE5" w:rsidRDefault="003436C9">
            <w:pPr>
              <w:pStyle w:val="Tabletext1"/>
              <w:rPr>
                <w:b/>
                <w:bCs/>
              </w:rPr>
            </w:pPr>
            <w:r>
              <w:rPr>
                <w:b/>
                <w:bCs/>
              </w:rPr>
              <w:t>Dose reduction</w:t>
            </w:r>
          </w:p>
        </w:tc>
        <w:tc>
          <w:tcPr>
            <w:tcW w:w="4478" w:type="dxa"/>
            <w:vAlign w:val="center"/>
          </w:tcPr>
          <w:p w14:paraId="2832C66C" w14:textId="77777777" w:rsidR="00260FE5" w:rsidRDefault="003436C9">
            <w:pPr>
              <w:pStyle w:val="Tabletext1"/>
              <w:rPr>
                <w:b/>
                <w:bCs/>
              </w:rPr>
            </w:pPr>
            <w:r>
              <w:rPr>
                <w:b/>
                <w:bCs/>
              </w:rPr>
              <w:t>Dose level</w:t>
            </w:r>
          </w:p>
        </w:tc>
      </w:tr>
      <w:tr w:rsidR="00260FE5" w14:paraId="2832C670" w14:textId="77777777">
        <w:trPr>
          <w:trHeight w:val="375"/>
        </w:trPr>
        <w:tc>
          <w:tcPr>
            <w:tcW w:w="4538" w:type="dxa"/>
            <w:vAlign w:val="center"/>
          </w:tcPr>
          <w:p w14:paraId="2832C66E" w14:textId="77777777" w:rsidR="00260FE5" w:rsidRDefault="003436C9">
            <w:pPr>
              <w:pStyle w:val="Tabletext1"/>
            </w:pPr>
            <w:r>
              <w:t>No reduction (starting dose)</w:t>
            </w:r>
          </w:p>
        </w:tc>
        <w:tc>
          <w:tcPr>
            <w:tcW w:w="4478" w:type="dxa"/>
            <w:vAlign w:val="center"/>
          </w:tcPr>
          <w:p w14:paraId="2832C66F" w14:textId="77777777" w:rsidR="00260FE5" w:rsidRDefault="003436C9">
            <w:pPr>
              <w:pStyle w:val="Tabletext1"/>
            </w:pPr>
            <w:r>
              <w:t>160 mg once daily</w:t>
            </w:r>
          </w:p>
        </w:tc>
      </w:tr>
      <w:tr w:rsidR="00260FE5" w14:paraId="2832C673" w14:textId="77777777">
        <w:trPr>
          <w:trHeight w:val="375"/>
        </w:trPr>
        <w:tc>
          <w:tcPr>
            <w:tcW w:w="4538" w:type="dxa"/>
            <w:vAlign w:val="center"/>
          </w:tcPr>
          <w:p w14:paraId="2832C671" w14:textId="77777777" w:rsidR="00260FE5" w:rsidRDefault="003436C9">
            <w:pPr>
              <w:pStyle w:val="Tabletext1"/>
            </w:pPr>
            <w:r>
              <w:t>First dose reduction</w:t>
            </w:r>
          </w:p>
        </w:tc>
        <w:tc>
          <w:tcPr>
            <w:tcW w:w="4478" w:type="dxa"/>
            <w:vAlign w:val="center"/>
          </w:tcPr>
          <w:p w14:paraId="2832C672" w14:textId="77777777" w:rsidR="00260FE5" w:rsidRDefault="003436C9">
            <w:pPr>
              <w:pStyle w:val="Tabletext1"/>
            </w:pPr>
            <w:r>
              <w:t>120 mg once daily</w:t>
            </w:r>
          </w:p>
        </w:tc>
      </w:tr>
      <w:tr w:rsidR="00260FE5" w14:paraId="2832C676" w14:textId="77777777">
        <w:trPr>
          <w:trHeight w:val="364"/>
        </w:trPr>
        <w:tc>
          <w:tcPr>
            <w:tcW w:w="4538" w:type="dxa"/>
            <w:vAlign w:val="center"/>
          </w:tcPr>
          <w:p w14:paraId="2832C674" w14:textId="77777777" w:rsidR="00260FE5" w:rsidRDefault="003436C9">
            <w:pPr>
              <w:pStyle w:val="Tabletext1"/>
            </w:pPr>
            <w:r>
              <w:t>Second dose reduction</w:t>
            </w:r>
          </w:p>
        </w:tc>
        <w:tc>
          <w:tcPr>
            <w:tcW w:w="4478" w:type="dxa"/>
            <w:vAlign w:val="center"/>
          </w:tcPr>
          <w:p w14:paraId="2832C675" w14:textId="77777777" w:rsidR="00260FE5" w:rsidRDefault="003436C9">
            <w:pPr>
              <w:pStyle w:val="Tabletext1"/>
            </w:pPr>
            <w:r>
              <w:t>80 mg once daily</w:t>
            </w:r>
          </w:p>
        </w:tc>
      </w:tr>
    </w:tbl>
    <w:p w14:paraId="2832C677" w14:textId="77777777" w:rsidR="00260FE5" w:rsidRDefault="003436C9">
      <w:r>
        <w:t xml:space="preserve">Recommended dose modifications of EXKIVITY for the management of adverse reactions are provided in </w:t>
      </w:r>
      <w:r>
        <w:rPr>
          <w:i/>
          <w:iCs/>
        </w:rPr>
        <w:t>Table 2</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295"/>
        <w:gridCol w:w="4088"/>
      </w:tblGrid>
      <w:tr w:rsidR="00260FE5" w14:paraId="2832C679" w14:textId="77777777">
        <w:tc>
          <w:tcPr>
            <w:tcW w:w="5000" w:type="pct"/>
            <w:gridSpan w:val="3"/>
            <w:tcBorders>
              <w:top w:val="single" w:sz="4" w:space="0" w:color="auto"/>
              <w:left w:val="single" w:sz="4" w:space="0" w:color="auto"/>
              <w:bottom w:val="single" w:sz="4" w:space="0" w:color="auto"/>
              <w:right w:val="single" w:sz="4" w:space="0" w:color="auto"/>
            </w:tcBorders>
          </w:tcPr>
          <w:p w14:paraId="2832C678" w14:textId="77777777" w:rsidR="00260FE5" w:rsidRDefault="003436C9">
            <w:pPr>
              <w:pStyle w:val="Tabletitle"/>
              <w:rPr>
                <w:rFonts w:eastAsia="Calibri"/>
              </w:rPr>
            </w:pPr>
            <w:bookmarkStart w:id="1" w:name="_Hlk103858018"/>
            <w:r>
              <w:rPr>
                <w:rFonts w:eastAsia="Calibri"/>
              </w:rPr>
              <w:t>Table 2. Recommended EXKIVITY dose modifications for adverse reactions</w:t>
            </w:r>
          </w:p>
        </w:tc>
      </w:tr>
      <w:tr w:rsidR="00260FE5" w14:paraId="2832C67D" w14:textId="77777777">
        <w:tc>
          <w:tcPr>
            <w:tcW w:w="1460" w:type="pct"/>
            <w:tcBorders>
              <w:top w:val="single" w:sz="4" w:space="0" w:color="auto"/>
            </w:tcBorders>
          </w:tcPr>
          <w:p w14:paraId="2832C67A" w14:textId="77777777" w:rsidR="00260FE5" w:rsidRDefault="003436C9">
            <w:pPr>
              <w:pStyle w:val="CCDSBodytext"/>
              <w:spacing w:line="240" w:lineRule="auto"/>
              <w:rPr>
                <w:rFonts w:eastAsia="Calibri"/>
                <w:b/>
                <w:bCs/>
              </w:rPr>
            </w:pPr>
            <w:r>
              <w:rPr>
                <w:rFonts w:eastAsia="Calibri"/>
                <w:b/>
                <w:bCs/>
              </w:rPr>
              <w:t>Adverse reaction</w:t>
            </w:r>
          </w:p>
        </w:tc>
        <w:tc>
          <w:tcPr>
            <w:tcW w:w="1273" w:type="pct"/>
            <w:tcBorders>
              <w:top w:val="single" w:sz="4" w:space="0" w:color="auto"/>
            </w:tcBorders>
            <w:shd w:val="clear" w:color="auto" w:fill="auto"/>
          </w:tcPr>
          <w:p w14:paraId="2832C67B" w14:textId="77777777" w:rsidR="00260FE5" w:rsidRDefault="003436C9">
            <w:pPr>
              <w:pStyle w:val="CCDSBodytext"/>
              <w:spacing w:line="240" w:lineRule="auto"/>
              <w:rPr>
                <w:rFonts w:eastAsia="Calibri"/>
                <w:b/>
                <w:bCs/>
              </w:rPr>
            </w:pPr>
            <w:r>
              <w:rPr>
                <w:rFonts w:eastAsia="Calibri"/>
                <w:b/>
                <w:bCs/>
              </w:rPr>
              <w:t>Severity*</w:t>
            </w:r>
          </w:p>
        </w:tc>
        <w:tc>
          <w:tcPr>
            <w:tcW w:w="2267" w:type="pct"/>
            <w:tcBorders>
              <w:top w:val="single" w:sz="4" w:space="0" w:color="auto"/>
            </w:tcBorders>
            <w:shd w:val="clear" w:color="auto" w:fill="auto"/>
          </w:tcPr>
          <w:p w14:paraId="2832C67C" w14:textId="77777777" w:rsidR="00260FE5" w:rsidRDefault="003436C9">
            <w:pPr>
              <w:pStyle w:val="CCDSBodytext"/>
              <w:spacing w:line="240" w:lineRule="auto"/>
              <w:rPr>
                <w:rFonts w:eastAsia="Calibri"/>
                <w:b/>
                <w:bCs/>
              </w:rPr>
            </w:pPr>
            <w:r>
              <w:rPr>
                <w:rFonts w:eastAsia="Calibri"/>
                <w:b/>
                <w:bCs/>
              </w:rPr>
              <w:t>Dose modification</w:t>
            </w:r>
          </w:p>
        </w:tc>
      </w:tr>
      <w:tr w:rsidR="00260FE5" w14:paraId="2832C689" w14:textId="77777777">
        <w:trPr>
          <w:trHeight w:val="818"/>
        </w:trPr>
        <w:tc>
          <w:tcPr>
            <w:tcW w:w="1460" w:type="pct"/>
            <w:vMerge w:val="restart"/>
          </w:tcPr>
          <w:p w14:paraId="2832C67E" w14:textId="77777777" w:rsidR="00260FE5" w:rsidRDefault="003436C9">
            <w:pPr>
              <w:pStyle w:val="Tabletext1"/>
            </w:pPr>
            <w:r>
              <w:t>QTc interval prolongation [see</w:t>
            </w:r>
            <w:r w:rsidRPr="00EC701A">
              <w:rPr>
                <w:i/>
                <w:iCs/>
              </w:rPr>
              <w:t xml:space="preserve"> Special warnings and precautions for use </w:t>
            </w:r>
            <w:r>
              <w:t>(4.4)]</w:t>
            </w:r>
          </w:p>
          <w:p w14:paraId="2832C67F" w14:textId="77777777" w:rsidR="00260FE5" w:rsidRDefault="00260FE5">
            <w:pPr>
              <w:spacing w:before="0" w:after="0"/>
              <w:rPr>
                <w:rFonts w:eastAsia="Calibri"/>
                <w:lang w:val="en-US"/>
              </w:rPr>
            </w:pPr>
          </w:p>
        </w:tc>
        <w:tc>
          <w:tcPr>
            <w:tcW w:w="1273" w:type="pct"/>
            <w:shd w:val="clear" w:color="auto" w:fill="auto"/>
          </w:tcPr>
          <w:p w14:paraId="2832C680" w14:textId="77777777" w:rsidR="00260FE5" w:rsidRDefault="003436C9">
            <w:pPr>
              <w:spacing w:before="0" w:after="0"/>
              <w:rPr>
                <w:rFonts w:eastAsia="Calibri"/>
                <w:lang w:val="en-US"/>
              </w:rPr>
            </w:pPr>
            <w:r>
              <w:rPr>
                <w:rFonts w:eastAsia="Calibri"/>
                <w:lang w:val="en-US"/>
              </w:rPr>
              <w:t>Grade 2 (QTc interval 481</w:t>
            </w:r>
            <w:r>
              <w:rPr>
                <w:rFonts w:eastAsia="Calibri"/>
                <w:lang w:val="en-US"/>
              </w:rPr>
              <w:noBreakHyphen/>
              <w:t>500 msec)</w:t>
            </w:r>
          </w:p>
          <w:p w14:paraId="2832C681" w14:textId="77777777" w:rsidR="00260FE5" w:rsidRDefault="00260FE5">
            <w:pPr>
              <w:spacing w:before="0" w:after="0"/>
              <w:rPr>
                <w:rFonts w:eastAsia="Calibri"/>
                <w:lang w:val="en-US"/>
              </w:rPr>
            </w:pPr>
          </w:p>
        </w:tc>
        <w:tc>
          <w:tcPr>
            <w:tcW w:w="2267" w:type="pct"/>
            <w:shd w:val="clear" w:color="auto" w:fill="auto"/>
          </w:tcPr>
          <w:p w14:paraId="2832C682" w14:textId="77777777" w:rsidR="00260FE5" w:rsidRPr="00DD00A6" w:rsidRDefault="003436C9">
            <w:pPr>
              <w:spacing w:before="0" w:after="0"/>
              <w:rPr>
                <w:rFonts w:eastAsia="Calibri" w:cs="Times New Roman"/>
                <w:spacing w:val="0"/>
                <w:u w:val="single"/>
                <w:lang w:val="en-US"/>
              </w:rPr>
            </w:pPr>
            <w:r w:rsidRPr="00DD00A6">
              <w:rPr>
                <w:rFonts w:eastAsia="Calibri" w:cs="Times New Roman"/>
                <w:u w:val="single"/>
                <w:lang w:val="en-US"/>
              </w:rPr>
              <w:t>First occurrence</w:t>
            </w:r>
          </w:p>
          <w:p w14:paraId="2832C683"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Withhold EXKIVITY until ≤ Grade 1 or baseline.</w:t>
            </w:r>
          </w:p>
          <w:p w14:paraId="2832C684"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Upon recovery, resume EXKIVITY at the same dose.</w:t>
            </w:r>
          </w:p>
          <w:p w14:paraId="2832C685" w14:textId="77777777" w:rsidR="00260FE5" w:rsidRPr="00DD00A6" w:rsidRDefault="003436C9">
            <w:pPr>
              <w:spacing w:before="0" w:after="0"/>
              <w:rPr>
                <w:rFonts w:eastAsia="Calibri" w:cs="Times New Roman"/>
                <w:spacing w:val="0"/>
                <w:u w:val="single"/>
                <w:lang w:val="en-US"/>
              </w:rPr>
            </w:pPr>
            <w:r w:rsidRPr="00DD00A6">
              <w:rPr>
                <w:rFonts w:eastAsia="Calibri" w:cs="Times New Roman"/>
                <w:u w:val="single"/>
                <w:lang w:val="en-US"/>
              </w:rPr>
              <w:t>Recurrence</w:t>
            </w:r>
          </w:p>
          <w:p w14:paraId="2832C686"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Withhold EXKIVITY until ≤ Grade 1 or baseline.</w:t>
            </w:r>
          </w:p>
          <w:p w14:paraId="2832C687"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Upon recovery, resume EXKIVITY at the next lower dose or permanently discontinue EXKIVITY.</w:t>
            </w:r>
          </w:p>
          <w:p w14:paraId="2832C688" w14:textId="77777777" w:rsidR="00260FE5" w:rsidRDefault="00260FE5">
            <w:pPr>
              <w:spacing w:before="0" w:after="0"/>
              <w:rPr>
                <w:rFonts w:eastAsia="Calibri"/>
                <w:lang w:val="en-US"/>
              </w:rPr>
            </w:pPr>
          </w:p>
        </w:tc>
      </w:tr>
      <w:tr w:rsidR="00260FE5" w14:paraId="2832C693" w14:textId="77777777">
        <w:trPr>
          <w:trHeight w:val="818"/>
        </w:trPr>
        <w:tc>
          <w:tcPr>
            <w:tcW w:w="1460" w:type="pct"/>
            <w:vMerge/>
          </w:tcPr>
          <w:p w14:paraId="2832C68A" w14:textId="77777777" w:rsidR="00260FE5" w:rsidRDefault="00260FE5">
            <w:pPr>
              <w:spacing w:before="0" w:after="0"/>
              <w:rPr>
                <w:rFonts w:eastAsia="Calibri"/>
                <w:lang w:val="en-US"/>
              </w:rPr>
            </w:pPr>
          </w:p>
        </w:tc>
        <w:tc>
          <w:tcPr>
            <w:tcW w:w="1273" w:type="pct"/>
            <w:shd w:val="clear" w:color="auto" w:fill="auto"/>
          </w:tcPr>
          <w:p w14:paraId="2832C68B" w14:textId="77777777" w:rsidR="00260FE5" w:rsidRDefault="003436C9">
            <w:pPr>
              <w:spacing w:before="0" w:after="0"/>
              <w:rPr>
                <w:rFonts w:eastAsia="Calibri"/>
                <w:lang w:val="en-US"/>
              </w:rPr>
            </w:pPr>
            <w:r>
              <w:rPr>
                <w:rFonts w:eastAsia="Calibri"/>
                <w:lang w:val="en-US"/>
              </w:rPr>
              <w:t>Grade 3 (QTc interval ≥501 msec or QTc interval increase of &gt;60 msec from baseline)</w:t>
            </w:r>
          </w:p>
          <w:p w14:paraId="2832C68C" w14:textId="77777777" w:rsidR="00260FE5" w:rsidRDefault="00260FE5">
            <w:pPr>
              <w:spacing w:before="0" w:after="0"/>
              <w:rPr>
                <w:rFonts w:eastAsia="Calibri"/>
                <w:lang w:val="en-US"/>
              </w:rPr>
            </w:pPr>
          </w:p>
        </w:tc>
        <w:tc>
          <w:tcPr>
            <w:tcW w:w="2267" w:type="pct"/>
            <w:shd w:val="clear" w:color="auto" w:fill="auto"/>
          </w:tcPr>
          <w:p w14:paraId="2832C68D" w14:textId="77777777" w:rsidR="00260FE5" w:rsidRPr="00DD00A6" w:rsidRDefault="003436C9">
            <w:pPr>
              <w:spacing w:before="0" w:after="0"/>
              <w:rPr>
                <w:rFonts w:eastAsia="Calibri" w:cs="Times New Roman"/>
                <w:spacing w:val="0"/>
                <w:u w:val="single"/>
                <w:lang w:val="en-US"/>
              </w:rPr>
            </w:pPr>
            <w:r w:rsidRPr="00DD00A6">
              <w:rPr>
                <w:rFonts w:eastAsia="Calibri" w:cs="Times New Roman"/>
                <w:u w:val="single"/>
                <w:lang w:val="en-US"/>
              </w:rPr>
              <w:t>First occurrence</w:t>
            </w:r>
          </w:p>
          <w:p w14:paraId="2832C68E"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Withhold EXKIVITY until ≤ Grade 1 or baseline.</w:t>
            </w:r>
          </w:p>
          <w:p w14:paraId="2832C68F"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Upon recovery, resume EXKIVITY at the next lower dose or permanently discontinue EXKIVITY.</w:t>
            </w:r>
          </w:p>
          <w:p w14:paraId="2832C690" w14:textId="77777777" w:rsidR="00260FE5" w:rsidRPr="00DD00A6" w:rsidRDefault="003436C9">
            <w:pPr>
              <w:spacing w:before="0" w:after="0"/>
              <w:rPr>
                <w:rFonts w:eastAsia="Calibri" w:cs="Times New Roman"/>
                <w:spacing w:val="0"/>
                <w:u w:val="single"/>
                <w:lang w:val="en-US"/>
              </w:rPr>
            </w:pPr>
            <w:r w:rsidRPr="00DD00A6">
              <w:rPr>
                <w:rFonts w:eastAsia="Calibri" w:cs="Times New Roman"/>
                <w:u w:val="single"/>
                <w:lang w:val="en-US"/>
              </w:rPr>
              <w:lastRenderedPageBreak/>
              <w:t>Recurrence</w:t>
            </w:r>
          </w:p>
          <w:p w14:paraId="2832C691"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Permanently discontinue EXKIVITY.</w:t>
            </w:r>
          </w:p>
          <w:p w14:paraId="2832C692" w14:textId="77777777" w:rsidR="00260FE5" w:rsidRPr="00DD00A6" w:rsidRDefault="00260FE5">
            <w:pPr>
              <w:spacing w:before="0" w:after="0"/>
              <w:rPr>
                <w:rFonts w:eastAsia="Calibri" w:cs="Times New Roman"/>
                <w:lang w:val="en-US"/>
              </w:rPr>
            </w:pPr>
          </w:p>
        </w:tc>
      </w:tr>
      <w:tr w:rsidR="00260FE5" w14:paraId="2832C698" w14:textId="77777777">
        <w:trPr>
          <w:trHeight w:val="818"/>
        </w:trPr>
        <w:tc>
          <w:tcPr>
            <w:tcW w:w="1460" w:type="pct"/>
            <w:vMerge/>
          </w:tcPr>
          <w:p w14:paraId="2832C694" w14:textId="77777777" w:rsidR="00260FE5" w:rsidRDefault="00260FE5">
            <w:pPr>
              <w:spacing w:before="0" w:after="0"/>
              <w:rPr>
                <w:rFonts w:eastAsia="Calibri"/>
                <w:lang w:val="en-US"/>
              </w:rPr>
            </w:pPr>
          </w:p>
        </w:tc>
        <w:tc>
          <w:tcPr>
            <w:tcW w:w="1273" w:type="pct"/>
            <w:shd w:val="clear" w:color="auto" w:fill="auto"/>
          </w:tcPr>
          <w:p w14:paraId="2832C695" w14:textId="77777777" w:rsidR="00260FE5" w:rsidRDefault="003436C9">
            <w:pPr>
              <w:spacing w:before="0" w:after="0"/>
              <w:rPr>
                <w:rFonts w:eastAsia="Calibri"/>
                <w:lang w:val="en-US"/>
              </w:rPr>
            </w:pPr>
            <w:r>
              <w:rPr>
                <w:rFonts w:eastAsia="Calibri"/>
                <w:lang w:val="en-US"/>
              </w:rPr>
              <w:t>Grade 4 (</w:t>
            </w:r>
            <w:proofErr w:type="spellStart"/>
            <w:r>
              <w:rPr>
                <w:rFonts w:eastAsia="Calibri"/>
                <w:lang w:val="en-US"/>
              </w:rPr>
              <w:t>Torsades</w:t>
            </w:r>
            <w:proofErr w:type="spellEnd"/>
            <w:r>
              <w:rPr>
                <w:rFonts w:eastAsia="Calibri"/>
                <w:lang w:val="en-US"/>
              </w:rPr>
              <w:t xml:space="preserve"> de Pointes; polymorphic ventricular tachycardia; signs/symptoms of serious arrhythmia)</w:t>
            </w:r>
          </w:p>
          <w:p w14:paraId="2832C696" w14:textId="77777777" w:rsidR="00260FE5" w:rsidRDefault="00260FE5">
            <w:pPr>
              <w:spacing w:before="0" w:after="0"/>
              <w:rPr>
                <w:rFonts w:eastAsia="Calibri"/>
                <w:lang w:val="en-US"/>
              </w:rPr>
            </w:pPr>
          </w:p>
        </w:tc>
        <w:tc>
          <w:tcPr>
            <w:tcW w:w="2267" w:type="pct"/>
            <w:shd w:val="clear" w:color="auto" w:fill="auto"/>
          </w:tcPr>
          <w:p w14:paraId="2832C697"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Permanently discontinue EXKIVITY.</w:t>
            </w:r>
          </w:p>
        </w:tc>
      </w:tr>
      <w:tr w:rsidR="00260FE5" w14:paraId="2832C69F" w14:textId="77777777">
        <w:trPr>
          <w:trHeight w:val="818"/>
        </w:trPr>
        <w:tc>
          <w:tcPr>
            <w:tcW w:w="1460" w:type="pct"/>
          </w:tcPr>
          <w:p w14:paraId="2832C699" w14:textId="77777777" w:rsidR="00260FE5" w:rsidRDefault="003436C9">
            <w:pPr>
              <w:spacing w:before="0" w:after="0"/>
              <w:rPr>
                <w:rFonts w:eastAsia="Calibri"/>
                <w:iCs/>
                <w:lang w:val="en-US"/>
              </w:rPr>
            </w:pPr>
            <w:r>
              <w:rPr>
                <w:rFonts w:eastAsia="Calibri"/>
                <w:lang w:val="en-US"/>
              </w:rPr>
              <w:t xml:space="preserve">Interstitial lung disease (ILD)/pneumonitis </w:t>
            </w:r>
            <w:r>
              <w:rPr>
                <w:rFonts w:eastAsia="Calibri"/>
              </w:rPr>
              <w:t xml:space="preserve">[see </w:t>
            </w:r>
            <w:r>
              <w:rPr>
                <w:rFonts w:eastAsia="Calibri"/>
                <w:i/>
                <w:iCs/>
              </w:rPr>
              <w:t xml:space="preserve">Special warnings and precautions for use </w:t>
            </w:r>
            <w:r>
              <w:rPr>
                <w:rFonts w:eastAsia="Calibri"/>
              </w:rPr>
              <w:t>(4.4)]</w:t>
            </w:r>
          </w:p>
          <w:p w14:paraId="2832C69A" w14:textId="77777777" w:rsidR="00260FE5" w:rsidRDefault="00260FE5">
            <w:pPr>
              <w:spacing w:before="0" w:after="0"/>
              <w:rPr>
                <w:rFonts w:eastAsia="Calibri"/>
                <w:lang w:val="en-US"/>
              </w:rPr>
            </w:pPr>
          </w:p>
        </w:tc>
        <w:tc>
          <w:tcPr>
            <w:tcW w:w="1273" w:type="pct"/>
            <w:shd w:val="clear" w:color="auto" w:fill="auto"/>
          </w:tcPr>
          <w:p w14:paraId="2832C69B" w14:textId="77777777" w:rsidR="00260FE5" w:rsidRDefault="003436C9">
            <w:pPr>
              <w:spacing w:before="0" w:after="0"/>
              <w:rPr>
                <w:rFonts w:eastAsia="Calibri"/>
                <w:lang w:val="en-US"/>
              </w:rPr>
            </w:pPr>
            <w:r>
              <w:rPr>
                <w:rFonts w:eastAsia="Calibri"/>
                <w:lang w:val="en-US"/>
              </w:rPr>
              <w:t>Any grade</w:t>
            </w:r>
          </w:p>
        </w:tc>
        <w:tc>
          <w:tcPr>
            <w:tcW w:w="2267" w:type="pct"/>
            <w:shd w:val="clear" w:color="auto" w:fill="auto"/>
          </w:tcPr>
          <w:p w14:paraId="2832C69C"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Withhold EXKVITY if ILD/pneumonitis is suspected.</w:t>
            </w:r>
          </w:p>
          <w:p w14:paraId="2832C69D"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Calibri" w:hAnsi="Times New Roman" w:cs="Times New Roman"/>
                <w:lang w:val="en-US"/>
              </w:rPr>
              <w:t>Permanently discontinue EXKIVITY if ILD/pneumonitis is confirmed.</w:t>
            </w:r>
          </w:p>
          <w:p w14:paraId="2832C69E" w14:textId="77777777" w:rsidR="00260FE5" w:rsidRPr="00DD00A6" w:rsidRDefault="00260FE5">
            <w:pPr>
              <w:spacing w:before="0" w:after="0"/>
              <w:rPr>
                <w:rFonts w:eastAsia="Calibri" w:cs="Times New Roman"/>
                <w:lang w:val="en-US"/>
              </w:rPr>
            </w:pPr>
          </w:p>
        </w:tc>
      </w:tr>
      <w:tr w:rsidR="00260FE5" w14:paraId="2832C6A7" w14:textId="77777777">
        <w:trPr>
          <w:trHeight w:val="818"/>
        </w:trPr>
        <w:tc>
          <w:tcPr>
            <w:tcW w:w="1460" w:type="pct"/>
            <w:vMerge w:val="restart"/>
          </w:tcPr>
          <w:p w14:paraId="2832C6A0" w14:textId="77777777" w:rsidR="00260FE5" w:rsidRDefault="003436C9">
            <w:pPr>
              <w:spacing w:before="0" w:after="0"/>
              <w:rPr>
                <w:rFonts w:eastAsia="Calibri"/>
                <w:lang w:val="en-US"/>
              </w:rPr>
            </w:pPr>
            <w:r>
              <w:rPr>
                <w:rFonts w:eastAsia="Calibri"/>
                <w:lang w:val="en-US"/>
              </w:rPr>
              <w:t xml:space="preserve">Decreased ejection fraction or cardiac failure </w:t>
            </w:r>
            <w:r>
              <w:rPr>
                <w:rFonts w:eastAsia="Calibri"/>
              </w:rPr>
              <w:t>[</w:t>
            </w:r>
            <w:r w:rsidRPr="00EC701A">
              <w:rPr>
                <w:rFonts w:eastAsia="Calibri"/>
                <w:i/>
                <w:iCs/>
              </w:rPr>
              <w:t>see</w:t>
            </w:r>
            <w:r>
              <w:rPr>
                <w:rFonts w:eastAsia="Calibri"/>
                <w:i/>
                <w:iCs/>
              </w:rPr>
              <w:t xml:space="preserve"> Special warnings and precautions for use </w:t>
            </w:r>
            <w:r>
              <w:rPr>
                <w:rFonts w:eastAsia="Calibri"/>
              </w:rPr>
              <w:t>(4.4)]</w:t>
            </w:r>
          </w:p>
          <w:p w14:paraId="2832C6A1" w14:textId="77777777" w:rsidR="00260FE5" w:rsidRDefault="003436C9">
            <w:pPr>
              <w:spacing w:before="0" w:after="0"/>
              <w:rPr>
                <w:rFonts w:eastAsia="Calibri"/>
                <w:lang w:val="en-US"/>
              </w:rPr>
            </w:pPr>
            <w:r>
              <w:rPr>
                <w:rFonts w:eastAsia="Calibri"/>
                <w:lang w:val="en-US"/>
              </w:rPr>
              <w:t xml:space="preserve"> </w:t>
            </w:r>
          </w:p>
        </w:tc>
        <w:tc>
          <w:tcPr>
            <w:tcW w:w="1273" w:type="pct"/>
            <w:tcBorders>
              <w:bottom w:val="single" w:sz="4" w:space="0" w:color="auto"/>
            </w:tcBorders>
            <w:shd w:val="clear" w:color="auto" w:fill="auto"/>
          </w:tcPr>
          <w:p w14:paraId="2832C6A2" w14:textId="77777777" w:rsidR="00260FE5" w:rsidRDefault="003436C9">
            <w:pPr>
              <w:spacing w:before="0" w:after="0"/>
              <w:rPr>
                <w:rFonts w:eastAsia="Calibri"/>
                <w:lang w:val="en-US"/>
              </w:rPr>
            </w:pPr>
            <w:r>
              <w:rPr>
                <w:rFonts w:eastAsia="Calibri"/>
                <w:lang w:val="en-US"/>
              </w:rPr>
              <w:t>Grade 2 decreased ejection fraction</w:t>
            </w:r>
          </w:p>
        </w:tc>
        <w:tc>
          <w:tcPr>
            <w:tcW w:w="2267" w:type="pct"/>
            <w:tcBorders>
              <w:bottom w:val="single" w:sz="4" w:space="0" w:color="auto"/>
            </w:tcBorders>
            <w:shd w:val="clear" w:color="auto" w:fill="auto"/>
          </w:tcPr>
          <w:p w14:paraId="2832C6A3" w14:textId="77777777" w:rsidR="00260FE5" w:rsidRPr="00DD00A6" w:rsidRDefault="003436C9">
            <w:pPr>
              <w:pStyle w:val="ListParagraph"/>
              <w:numPr>
                <w:ilvl w:val="0"/>
                <w:numId w:val="30"/>
              </w:numPr>
              <w:spacing w:before="0" w:after="0"/>
              <w:rPr>
                <w:rFonts w:ascii="Times New Roman" w:eastAsia="Segoe UI" w:hAnsi="Times New Roman" w:cs="Times New Roman"/>
                <w:lang w:val="en-US"/>
              </w:rPr>
            </w:pPr>
            <w:r w:rsidRPr="00DD00A6">
              <w:rPr>
                <w:rFonts w:ascii="Times New Roman" w:eastAsia="Segoe UI" w:hAnsi="Times New Roman" w:cs="Times New Roman"/>
                <w:lang w:val="en-US"/>
              </w:rPr>
              <w:t>Withhold EXKIVITY until ≤</w:t>
            </w:r>
            <w:r w:rsidRPr="00DD00A6">
              <w:rPr>
                <w:rFonts w:ascii="Times New Roman" w:eastAsia="Calibri" w:hAnsi="Times New Roman" w:cs="Times New Roman"/>
                <w:lang w:val="en-US"/>
              </w:rPr>
              <w:t> </w:t>
            </w:r>
            <w:r w:rsidRPr="00DD00A6">
              <w:rPr>
                <w:rFonts w:ascii="Times New Roman" w:eastAsia="Segoe UI" w:hAnsi="Times New Roman" w:cs="Times New Roman"/>
                <w:lang w:val="en-US"/>
              </w:rPr>
              <w:t>Grade 1 or baseline.</w:t>
            </w:r>
          </w:p>
          <w:p w14:paraId="2832C6A4" w14:textId="77777777" w:rsidR="00260FE5" w:rsidRPr="00DD00A6" w:rsidRDefault="003436C9">
            <w:pPr>
              <w:pStyle w:val="ListParagraph"/>
              <w:numPr>
                <w:ilvl w:val="0"/>
                <w:numId w:val="30"/>
              </w:numPr>
              <w:spacing w:before="0" w:after="0"/>
              <w:rPr>
                <w:rFonts w:ascii="Times New Roman" w:eastAsia="Segoe UI" w:hAnsi="Times New Roman" w:cs="Times New Roman"/>
                <w:lang w:val="en-US"/>
              </w:rPr>
            </w:pPr>
            <w:r w:rsidRPr="00DD00A6">
              <w:rPr>
                <w:rFonts w:ascii="Times New Roman" w:eastAsia="Segoe UI" w:hAnsi="Times New Roman" w:cs="Times New Roman"/>
                <w:lang w:val="en-US"/>
              </w:rPr>
              <w:t>If recovered to ≤</w:t>
            </w:r>
            <w:r w:rsidRPr="00DD00A6">
              <w:rPr>
                <w:rFonts w:ascii="Times New Roman" w:eastAsia="Calibri" w:hAnsi="Times New Roman" w:cs="Times New Roman"/>
                <w:lang w:val="en-US"/>
              </w:rPr>
              <w:t> </w:t>
            </w:r>
            <w:r w:rsidRPr="00DD00A6">
              <w:rPr>
                <w:rFonts w:ascii="Times New Roman" w:eastAsia="Segoe UI" w:hAnsi="Times New Roman" w:cs="Times New Roman"/>
                <w:lang w:val="en-US"/>
              </w:rPr>
              <w:t>Grade 1 or baseline within 2 weeks, resume EXKIVITY at the same dose or the next lower dose.</w:t>
            </w:r>
          </w:p>
          <w:p w14:paraId="2832C6A5" w14:textId="77777777" w:rsidR="00260FE5" w:rsidRPr="00DD00A6" w:rsidRDefault="003436C9">
            <w:pPr>
              <w:pStyle w:val="ListParagraph"/>
              <w:numPr>
                <w:ilvl w:val="0"/>
                <w:numId w:val="30"/>
              </w:numPr>
              <w:spacing w:before="0" w:after="0"/>
              <w:rPr>
                <w:rFonts w:ascii="Times New Roman" w:eastAsia="Calibri" w:hAnsi="Times New Roman" w:cs="Times New Roman"/>
                <w:lang w:val="en-US"/>
              </w:rPr>
            </w:pPr>
            <w:r w:rsidRPr="00DD00A6">
              <w:rPr>
                <w:rFonts w:ascii="Times New Roman" w:eastAsia="Segoe UI" w:hAnsi="Times New Roman" w:cs="Times New Roman"/>
                <w:lang w:val="en-US"/>
              </w:rPr>
              <w:t>If not recovered to ≤</w:t>
            </w:r>
            <w:r w:rsidRPr="00DD00A6">
              <w:rPr>
                <w:rFonts w:ascii="Times New Roman" w:eastAsia="Calibri" w:hAnsi="Times New Roman" w:cs="Times New Roman"/>
                <w:lang w:val="en-US"/>
              </w:rPr>
              <w:t> </w:t>
            </w:r>
            <w:r w:rsidRPr="00DD00A6">
              <w:rPr>
                <w:rFonts w:ascii="Times New Roman" w:eastAsia="Segoe UI" w:hAnsi="Times New Roman" w:cs="Times New Roman"/>
                <w:lang w:val="en-US"/>
              </w:rPr>
              <w:t>Grade 1 or baseline within 2 weeks, permanently discontinue EXKIVITY.</w:t>
            </w:r>
          </w:p>
          <w:p w14:paraId="2832C6A6" w14:textId="77777777" w:rsidR="00260FE5" w:rsidRPr="00DD00A6" w:rsidRDefault="00260FE5">
            <w:pPr>
              <w:spacing w:before="0" w:after="0"/>
              <w:rPr>
                <w:rFonts w:eastAsia="Calibri" w:cs="Times New Roman"/>
                <w:lang w:val="en-US"/>
              </w:rPr>
            </w:pPr>
          </w:p>
        </w:tc>
      </w:tr>
      <w:tr w:rsidR="00260FE5" w14:paraId="2832C6AB" w14:textId="77777777">
        <w:trPr>
          <w:trHeight w:val="818"/>
        </w:trPr>
        <w:tc>
          <w:tcPr>
            <w:tcW w:w="1460" w:type="pct"/>
            <w:vMerge/>
          </w:tcPr>
          <w:p w14:paraId="2832C6A8" w14:textId="77777777" w:rsidR="00260FE5" w:rsidRDefault="00260FE5">
            <w:pPr>
              <w:spacing w:before="0" w:after="0"/>
              <w:rPr>
                <w:rFonts w:eastAsia="Calibri"/>
                <w:lang w:val="en-US"/>
              </w:rPr>
            </w:pPr>
          </w:p>
        </w:tc>
        <w:tc>
          <w:tcPr>
            <w:tcW w:w="1273" w:type="pct"/>
            <w:tcBorders>
              <w:bottom w:val="single" w:sz="4" w:space="0" w:color="auto"/>
            </w:tcBorders>
            <w:shd w:val="clear" w:color="auto" w:fill="auto"/>
          </w:tcPr>
          <w:p w14:paraId="2832C6A9" w14:textId="77777777" w:rsidR="00260FE5" w:rsidRDefault="003436C9">
            <w:pPr>
              <w:spacing w:before="0" w:after="0"/>
              <w:rPr>
                <w:rFonts w:eastAsia="Calibri"/>
                <w:lang w:val="en-US"/>
              </w:rPr>
            </w:pPr>
            <w:r>
              <w:rPr>
                <w:rFonts w:eastAsia="Calibri"/>
                <w:lang w:val="en-US"/>
              </w:rPr>
              <w:t>≥ Grade 2 cardiac failure or Grade 3 or 4 decreased ejection fraction</w:t>
            </w:r>
          </w:p>
        </w:tc>
        <w:tc>
          <w:tcPr>
            <w:tcW w:w="2267" w:type="pct"/>
            <w:tcBorders>
              <w:bottom w:val="single" w:sz="4" w:space="0" w:color="auto"/>
            </w:tcBorders>
            <w:shd w:val="clear" w:color="auto" w:fill="auto"/>
          </w:tcPr>
          <w:p w14:paraId="2832C6AA" w14:textId="77777777" w:rsidR="00260FE5" w:rsidRPr="0041054E" w:rsidRDefault="003436C9">
            <w:pPr>
              <w:pStyle w:val="ListParagraph"/>
              <w:numPr>
                <w:ilvl w:val="0"/>
                <w:numId w:val="30"/>
              </w:numPr>
              <w:spacing w:before="0" w:after="0"/>
              <w:rPr>
                <w:rFonts w:ascii="Times New Roman" w:eastAsia="Calibri" w:hAnsi="Times New Roman" w:cs="Times New Roman"/>
                <w:lang w:val="en-US"/>
              </w:rPr>
            </w:pPr>
            <w:r w:rsidRPr="0041054E">
              <w:rPr>
                <w:rFonts w:ascii="Times New Roman" w:eastAsia="Segoe UI" w:hAnsi="Times New Roman" w:cs="Times New Roman"/>
                <w:lang w:val="en-US"/>
              </w:rPr>
              <w:t>Permanently discontinue EXKIVITY.</w:t>
            </w:r>
          </w:p>
        </w:tc>
      </w:tr>
      <w:tr w:rsidR="00260FE5" w14:paraId="2832C6B1" w14:textId="77777777">
        <w:trPr>
          <w:trHeight w:val="1268"/>
        </w:trPr>
        <w:tc>
          <w:tcPr>
            <w:tcW w:w="1460" w:type="pct"/>
            <w:vMerge w:val="restart"/>
          </w:tcPr>
          <w:p w14:paraId="2832C6AC" w14:textId="77777777" w:rsidR="00260FE5" w:rsidRDefault="003436C9">
            <w:pPr>
              <w:spacing w:before="0" w:after="0"/>
              <w:rPr>
                <w:rFonts w:eastAsia="Calibri"/>
                <w:lang w:val="en-US"/>
              </w:rPr>
            </w:pPr>
            <w:proofErr w:type="spellStart"/>
            <w:r>
              <w:rPr>
                <w:rFonts w:eastAsia="Calibri"/>
                <w:lang w:val="en-US"/>
              </w:rPr>
              <w:t>Diarrhoea</w:t>
            </w:r>
            <w:proofErr w:type="spellEnd"/>
            <w:r>
              <w:rPr>
                <w:rFonts w:eastAsia="Calibri"/>
                <w:lang w:val="en-US"/>
              </w:rPr>
              <w:t xml:space="preserve"> </w:t>
            </w:r>
            <w:r>
              <w:rPr>
                <w:rFonts w:eastAsia="Calibri"/>
              </w:rPr>
              <w:t>[see</w:t>
            </w:r>
            <w:r w:rsidRPr="00EC701A">
              <w:rPr>
                <w:rFonts w:eastAsia="Calibri"/>
                <w:i/>
                <w:iCs/>
              </w:rPr>
              <w:t xml:space="preserve"> Special warnings and precautions for use </w:t>
            </w:r>
            <w:r>
              <w:rPr>
                <w:rFonts w:eastAsia="Calibri"/>
              </w:rPr>
              <w:t>(4.4)]</w:t>
            </w:r>
          </w:p>
          <w:p w14:paraId="2832C6AD" w14:textId="77777777" w:rsidR="00260FE5" w:rsidRDefault="00260FE5">
            <w:pPr>
              <w:spacing w:before="0" w:after="0"/>
              <w:rPr>
                <w:rFonts w:eastAsia="Calibri"/>
                <w:lang w:val="en-US"/>
              </w:rPr>
            </w:pPr>
          </w:p>
        </w:tc>
        <w:tc>
          <w:tcPr>
            <w:tcW w:w="1273" w:type="pct"/>
            <w:shd w:val="clear" w:color="auto" w:fill="auto"/>
          </w:tcPr>
          <w:p w14:paraId="2832C6AE" w14:textId="77777777" w:rsidR="00260FE5" w:rsidRDefault="003436C9">
            <w:pPr>
              <w:spacing w:before="0" w:after="0"/>
              <w:rPr>
                <w:rFonts w:eastAsia="Calibri"/>
                <w:lang w:val="en-US"/>
              </w:rPr>
            </w:pPr>
            <w:r>
              <w:rPr>
                <w:rFonts w:eastAsia="Calibri"/>
                <w:lang w:val="en-US"/>
              </w:rPr>
              <w:t>Grade 1, or first occurrence of tolerable Grade 2</w:t>
            </w:r>
          </w:p>
          <w:p w14:paraId="2832C6AF" w14:textId="77777777" w:rsidR="00260FE5" w:rsidRDefault="00260FE5">
            <w:pPr>
              <w:spacing w:before="0" w:after="0"/>
              <w:rPr>
                <w:rFonts w:eastAsia="Calibri"/>
                <w:lang w:val="en-US"/>
              </w:rPr>
            </w:pPr>
          </w:p>
        </w:tc>
        <w:tc>
          <w:tcPr>
            <w:tcW w:w="2267" w:type="pct"/>
            <w:shd w:val="clear" w:color="auto" w:fill="auto"/>
          </w:tcPr>
          <w:p w14:paraId="2832C6B0" w14:textId="77777777" w:rsidR="00260FE5" w:rsidRPr="0041054E" w:rsidRDefault="003436C9">
            <w:pPr>
              <w:pStyle w:val="ListParagraph"/>
              <w:numPr>
                <w:ilvl w:val="0"/>
                <w:numId w:val="30"/>
              </w:numPr>
              <w:spacing w:before="0" w:after="0"/>
              <w:rPr>
                <w:rFonts w:ascii="Times New Roman" w:eastAsia="Segoe UI" w:hAnsi="Times New Roman" w:cs="Times New Roman"/>
                <w:lang w:val="en-US"/>
              </w:rPr>
            </w:pPr>
            <w:r w:rsidRPr="0041054E">
              <w:rPr>
                <w:rFonts w:ascii="Times New Roman" w:eastAsia="Segoe UI" w:hAnsi="Times New Roman" w:cs="Times New Roman"/>
                <w:lang w:val="en-US"/>
              </w:rPr>
              <w:t xml:space="preserve">No dose modification is required. Initiate treatment with anti-diarrheal medicinal products (e.g., loperamide) at first onset of </w:t>
            </w:r>
            <w:proofErr w:type="spellStart"/>
            <w:r w:rsidRPr="0041054E">
              <w:rPr>
                <w:rFonts w:ascii="Times New Roman" w:eastAsia="Segoe UI" w:hAnsi="Times New Roman" w:cs="Times New Roman"/>
                <w:lang w:val="en-US"/>
              </w:rPr>
              <w:t>diarrhoea</w:t>
            </w:r>
            <w:proofErr w:type="spellEnd"/>
            <w:r w:rsidRPr="0041054E">
              <w:rPr>
                <w:rFonts w:ascii="Times New Roman" w:eastAsia="Segoe UI" w:hAnsi="Times New Roman" w:cs="Times New Roman"/>
                <w:lang w:val="en-US"/>
              </w:rPr>
              <w:t>.</w:t>
            </w:r>
          </w:p>
        </w:tc>
      </w:tr>
      <w:tr w:rsidR="00260FE5" w14:paraId="2832C6B6" w14:textId="77777777">
        <w:trPr>
          <w:trHeight w:val="1267"/>
        </w:trPr>
        <w:tc>
          <w:tcPr>
            <w:tcW w:w="1460" w:type="pct"/>
            <w:vMerge/>
          </w:tcPr>
          <w:p w14:paraId="2832C6B2" w14:textId="77777777" w:rsidR="00260FE5" w:rsidRDefault="00260FE5">
            <w:pPr>
              <w:spacing w:before="0" w:after="0"/>
              <w:rPr>
                <w:rFonts w:eastAsia="Calibri"/>
                <w:lang w:val="en-US"/>
              </w:rPr>
            </w:pPr>
          </w:p>
        </w:tc>
        <w:tc>
          <w:tcPr>
            <w:tcW w:w="1273" w:type="pct"/>
            <w:shd w:val="clear" w:color="auto" w:fill="auto"/>
          </w:tcPr>
          <w:p w14:paraId="2832C6B3" w14:textId="77777777" w:rsidR="00260FE5" w:rsidRDefault="003436C9">
            <w:pPr>
              <w:spacing w:before="0" w:after="0"/>
              <w:rPr>
                <w:rFonts w:eastAsia="Calibri"/>
                <w:lang w:val="en-US"/>
              </w:rPr>
            </w:pPr>
            <w:r>
              <w:rPr>
                <w:rFonts w:eastAsia="Calibri"/>
                <w:lang w:val="en-US"/>
              </w:rPr>
              <w:t>Intolerable or recurrent Grade 2, or any Grade 3</w:t>
            </w:r>
          </w:p>
        </w:tc>
        <w:tc>
          <w:tcPr>
            <w:tcW w:w="2267" w:type="pct"/>
            <w:shd w:val="clear" w:color="auto" w:fill="auto"/>
          </w:tcPr>
          <w:p w14:paraId="2832C6B4" w14:textId="77777777" w:rsidR="00260FE5" w:rsidRPr="0041054E" w:rsidRDefault="003436C9">
            <w:pPr>
              <w:pStyle w:val="ListParagraph"/>
              <w:numPr>
                <w:ilvl w:val="0"/>
                <w:numId w:val="30"/>
              </w:numPr>
              <w:spacing w:before="0" w:after="0"/>
              <w:rPr>
                <w:rFonts w:ascii="Times New Roman" w:eastAsia="DengXian" w:hAnsi="Times New Roman" w:cs="Times New Roman"/>
                <w:lang w:val="en-US"/>
              </w:rPr>
            </w:pPr>
            <w:r w:rsidRPr="0041054E">
              <w:rPr>
                <w:rFonts w:ascii="Times New Roman" w:eastAsia="Calibri" w:hAnsi="Times New Roman" w:cs="Times New Roman"/>
                <w:lang w:val="en-US"/>
              </w:rPr>
              <w:t xml:space="preserve">Withhold EXKIVITY until recovery to </w:t>
            </w:r>
            <w:r w:rsidRPr="0041054E">
              <w:rPr>
                <w:rFonts w:ascii="Times New Roman" w:eastAsia="Segoe UI" w:hAnsi="Times New Roman" w:cs="Times New Roman"/>
                <w:lang w:val="en-US"/>
              </w:rPr>
              <w:t>≤</w:t>
            </w:r>
            <w:r w:rsidRPr="0041054E">
              <w:rPr>
                <w:rFonts w:ascii="Times New Roman" w:eastAsia="Calibri" w:hAnsi="Times New Roman" w:cs="Times New Roman"/>
                <w:lang w:val="en-US"/>
              </w:rPr>
              <w:t> </w:t>
            </w:r>
            <w:r w:rsidRPr="0041054E">
              <w:rPr>
                <w:rFonts w:ascii="Times New Roman" w:eastAsia="Segoe UI" w:hAnsi="Times New Roman" w:cs="Times New Roman"/>
                <w:lang w:val="en-US"/>
              </w:rPr>
              <w:t>Grade 1.</w:t>
            </w:r>
            <w:r w:rsidRPr="0041054E">
              <w:rPr>
                <w:rFonts w:ascii="Times New Roman" w:eastAsia="Calibri" w:hAnsi="Times New Roman" w:cs="Times New Roman"/>
                <w:lang w:val="en-US"/>
              </w:rPr>
              <w:t xml:space="preserve"> </w:t>
            </w:r>
          </w:p>
          <w:p w14:paraId="2832C6B5" w14:textId="77777777" w:rsidR="00260FE5" w:rsidRPr="0041054E" w:rsidRDefault="003436C9">
            <w:pPr>
              <w:pStyle w:val="ListParagraph"/>
              <w:numPr>
                <w:ilvl w:val="0"/>
                <w:numId w:val="30"/>
              </w:numPr>
              <w:spacing w:before="0" w:after="0"/>
              <w:rPr>
                <w:rFonts w:ascii="Times New Roman" w:eastAsia="DengXian" w:hAnsi="Times New Roman" w:cs="Times New Roman"/>
                <w:lang w:val="en-US"/>
              </w:rPr>
            </w:pPr>
            <w:r w:rsidRPr="0041054E">
              <w:rPr>
                <w:rFonts w:ascii="Times New Roman" w:eastAsia="Calibri" w:hAnsi="Times New Roman" w:cs="Times New Roman"/>
                <w:lang w:val="en-US"/>
              </w:rPr>
              <w:t>Resume EXKIVITY at the same dose or the next lower dose.</w:t>
            </w:r>
          </w:p>
        </w:tc>
      </w:tr>
      <w:tr w:rsidR="00260FE5" w14:paraId="2832C6C1" w14:textId="77777777">
        <w:trPr>
          <w:trHeight w:val="818"/>
        </w:trPr>
        <w:tc>
          <w:tcPr>
            <w:tcW w:w="1460" w:type="pct"/>
            <w:vMerge/>
          </w:tcPr>
          <w:p w14:paraId="2832C6B7" w14:textId="77777777" w:rsidR="00260FE5" w:rsidRDefault="00260FE5">
            <w:pPr>
              <w:spacing w:before="0" w:after="0"/>
              <w:rPr>
                <w:rFonts w:eastAsia="Calibri"/>
                <w:lang w:val="en-US"/>
              </w:rPr>
            </w:pPr>
          </w:p>
        </w:tc>
        <w:tc>
          <w:tcPr>
            <w:tcW w:w="1273" w:type="pct"/>
            <w:tcBorders>
              <w:bottom w:val="single" w:sz="4" w:space="0" w:color="auto"/>
            </w:tcBorders>
            <w:shd w:val="clear" w:color="auto" w:fill="auto"/>
          </w:tcPr>
          <w:p w14:paraId="2832C6B8" w14:textId="77777777" w:rsidR="00260FE5" w:rsidRDefault="003436C9">
            <w:pPr>
              <w:spacing w:before="0" w:after="0"/>
              <w:rPr>
                <w:rFonts w:eastAsia="Calibri"/>
                <w:lang w:val="en-US"/>
              </w:rPr>
            </w:pPr>
            <w:r>
              <w:rPr>
                <w:rFonts w:eastAsia="Calibri"/>
                <w:lang w:val="en-US"/>
              </w:rPr>
              <w:t>Grade 4</w:t>
            </w:r>
          </w:p>
        </w:tc>
        <w:tc>
          <w:tcPr>
            <w:tcW w:w="2267" w:type="pct"/>
            <w:tcBorders>
              <w:bottom w:val="single" w:sz="4" w:space="0" w:color="auto"/>
            </w:tcBorders>
            <w:shd w:val="clear" w:color="auto" w:fill="auto"/>
          </w:tcPr>
          <w:p w14:paraId="2832C6B9" w14:textId="77777777" w:rsidR="00260FE5" w:rsidRPr="0041054E" w:rsidRDefault="003436C9">
            <w:pPr>
              <w:spacing w:before="0" w:after="0"/>
              <w:rPr>
                <w:rFonts w:eastAsia="Calibri" w:cs="Times New Roman"/>
                <w:spacing w:val="0"/>
                <w:u w:val="single"/>
                <w:lang w:val="en-US"/>
              </w:rPr>
            </w:pPr>
            <w:r w:rsidRPr="0041054E">
              <w:rPr>
                <w:rFonts w:eastAsia="Calibri" w:cs="Times New Roman"/>
                <w:u w:val="single"/>
                <w:lang w:val="en-US"/>
              </w:rPr>
              <w:t>First occurrence</w:t>
            </w:r>
          </w:p>
          <w:p w14:paraId="2832C6BA" w14:textId="77777777" w:rsidR="00260FE5" w:rsidRPr="0041054E" w:rsidRDefault="003436C9">
            <w:pPr>
              <w:pStyle w:val="ListParagraph"/>
              <w:numPr>
                <w:ilvl w:val="0"/>
                <w:numId w:val="30"/>
              </w:numPr>
              <w:spacing w:before="0" w:after="0"/>
              <w:rPr>
                <w:rFonts w:ascii="Times New Roman" w:eastAsia="Calibri" w:hAnsi="Times New Roman" w:cs="Times New Roman"/>
                <w:lang w:val="en-US"/>
              </w:rPr>
            </w:pPr>
            <w:r w:rsidRPr="0041054E">
              <w:rPr>
                <w:rFonts w:ascii="Times New Roman" w:eastAsia="Calibri" w:hAnsi="Times New Roman" w:cs="Times New Roman"/>
                <w:lang w:val="en-US"/>
              </w:rPr>
              <w:t xml:space="preserve">Withhold EXKIVITY until recovery to </w:t>
            </w:r>
            <w:r w:rsidRPr="0041054E">
              <w:rPr>
                <w:rFonts w:ascii="Times New Roman" w:eastAsia="Segoe UI" w:hAnsi="Times New Roman" w:cs="Times New Roman"/>
                <w:lang w:val="en-US"/>
              </w:rPr>
              <w:t>≤</w:t>
            </w:r>
            <w:r w:rsidRPr="0041054E">
              <w:rPr>
                <w:rFonts w:ascii="Times New Roman" w:eastAsia="Calibri" w:hAnsi="Times New Roman" w:cs="Times New Roman"/>
                <w:lang w:val="en-US"/>
              </w:rPr>
              <w:t xml:space="preserve"> Grade 1. </w:t>
            </w:r>
          </w:p>
          <w:p w14:paraId="2832C6BB" w14:textId="77777777" w:rsidR="00260FE5" w:rsidRPr="0041054E" w:rsidRDefault="003436C9">
            <w:pPr>
              <w:pStyle w:val="ListParagraph"/>
              <w:numPr>
                <w:ilvl w:val="0"/>
                <w:numId w:val="30"/>
              </w:numPr>
              <w:spacing w:before="0" w:after="0"/>
              <w:rPr>
                <w:rFonts w:ascii="Times New Roman" w:eastAsia="Calibri" w:hAnsi="Times New Roman" w:cs="Times New Roman"/>
                <w:lang w:val="en-US"/>
              </w:rPr>
            </w:pPr>
            <w:r w:rsidRPr="0041054E">
              <w:rPr>
                <w:rFonts w:ascii="Times New Roman" w:eastAsia="Calibri" w:hAnsi="Times New Roman" w:cs="Times New Roman"/>
                <w:lang w:val="en-US"/>
              </w:rPr>
              <w:lastRenderedPageBreak/>
              <w:t xml:space="preserve">If recovered within 2 weeks, resume EXKIVITY at the next lower dose.  </w:t>
            </w:r>
          </w:p>
          <w:p w14:paraId="2832C6BC" w14:textId="77777777" w:rsidR="00260FE5" w:rsidRPr="0041054E" w:rsidRDefault="003436C9">
            <w:pPr>
              <w:pStyle w:val="ListParagraph"/>
              <w:numPr>
                <w:ilvl w:val="0"/>
                <w:numId w:val="30"/>
              </w:numPr>
              <w:spacing w:before="0" w:after="0"/>
              <w:rPr>
                <w:rFonts w:ascii="Times New Roman" w:eastAsia="Calibri" w:hAnsi="Times New Roman" w:cs="Times New Roman"/>
                <w:lang w:val="en-US"/>
              </w:rPr>
            </w:pPr>
            <w:r w:rsidRPr="0041054E">
              <w:rPr>
                <w:rFonts w:ascii="Times New Roman" w:eastAsia="Calibri" w:hAnsi="Times New Roman" w:cs="Times New Roman"/>
                <w:lang w:val="en-US"/>
              </w:rPr>
              <w:t xml:space="preserve">If not recovered to </w:t>
            </w:r>
            <w:r w:rsidRPr="0041054E">
              <w:rPr>
                <w:rFonts w:ascii="Times New Roman" w:eastAsia="Segoe UI" w:hAnsi="Times New Roman" w:cs="Times New Roman"/>
                <w:lang w:val="en-US"/>
              </w:rPr>
              <w:t>≤</w:t>
            </w:r>
            <w:r w:rsidRPr="0041054E">
              <w:rPr>
                <w:rFonts w:ascii="Times New Roman" w:eastAsia="Calibri" w:hAnsi="Times New Roman" w:cs="Times New Roman"/>
                <w:lang w:val="en-US"/>
              </w:rPr>
              <w:t xml:space="preserve"> Grade 1 within 2 weeks, permanently discontinue EXKIVITY </w:t>
            </w:r>
          </w:p>
          <w:p w14:paraId="2832C6BD" w14:textId="77777777" w:rsidR="00260FE5" w:rsidRPr="0041054E" w:rsidRDefault="00260FE5">
            <w:pPr>
              <w:spacing w:before="0" w:after="0"/>
              <w:rPr>
                <w:rFonts w:eastAsia="Calibri" w:cs="Times New Roman"/>
                <w:lang w:val="en-US"/>
              </w:rPr>
            </w:pPr>
          </w:p>
          <w:p w14:paraId="2832C6BE" w14:textId="77777777" w:rsidR="00260FE5" w:rsidRPr="0041054E" w:rsidRDefault="003436C9">
            <w:pPr>
              <w:spacing w:before="0" w:after="0"/>
              <w:rPr>
                <w:rFonts w:eastAsia="Calibri" w:cs="Times New Roman"/>
                <w:spacing w:val="0"/>
                <w:u w:val="single"/>
                <w:lang w:val="en-US"/>
              </w:rPr>
            </w:pPr>
            <w:r w:rsidRPr="0041054E">
              <w:rPr>
                <w:rFonts w:eastAsia="Calibri" w:cs="Times New Roman"/>
                <w:u w:val="single"/>
                <w:lang w:val="en-US"/>
              </w:rPr>
              <w:t>Recurrence</w:t>
            </w:r>
          </w:p>
          <w:p w14:paraId="2832C6BF" w14:textId="77777777" w:rsidR="00260FE5" w:rsidRPr="0041054E" w:rsidRDefault="003436C9">
            <w:pPr>
              <w:pStyle w:val="ListParagraph"/>
              <w:numPr>
                <w:ilvl w:val="0"/>
                <w:numId w:val="30"/>
              </w:numPr>
              <w:spacing w:before="0" w:after="0"/>
              <w:rPr>
                <w:rFonts w:ascii="Times New Roman" w:eastAsia="Calibri" w:hAnsi="Times New Roman" w:cs="Times New Roman"/>
                <w:lang w:val="en-US"/>
              </w:rPr>
            </w:pPr>
            <w:r w:rsidRPr="0041054E">
              <w:rPr>
                <w:rFonts w:ascii="Times New Roman" w:eastAsia="Calibri" w:hAnsi="Times New Roman" w:cs="Times New Roman"/>
                <w:lang w:val="en-US"/>
              </w:rPr>
              <w:t>Permanently discontinue EXKIVITY.</w:t>
            </w:r>
          </w:p>
          <w:p w14:paraId="2832C6C0" w14:textId="77777777" w:rsidR="00260FE5" w:rsidRPr="0041054E" w:rsidRDefault="00260FE5">
            <w:pPr>
              <w:spacing w:before="0" w:after="0"/>
              <w:rPr>
                <w:rFonts w:eastAsia="Calibri" w:cs="Times New Roman"/>
                <w:lang w:val="en-US"/>
              </w:rPr>
            </w:pPr>
          </w:p>
        </w:tc>
      </w:tr>
      <w:tr w:rsidR="00260FE5" w14:paraId="2832C6C8" w14:textId="77777777">
        <w:trPr>
          <w:trHeight w:val="782"/>
        </w:trPr>
        <w:tc>
          <w:tcPr>
            <w:tcW w:w="1460" w:type="pct"/>
            <w:vMerge w:val="restart"/>
          </w:tcPr>
          <w:p w14:paraId="2832C6C2" w14:textId="748012D8" w:rsidR="00260FE5" w:rsidRDefault="003436C9">
            <w:pPr>
              <w:rPr>
                <w:rFonts w:eastAsia="Calibri"/>
                <w:lang w:val="en-US"/>
              </w:rPr>
            </w:pPr>
            <w:r>
              <w:rPr>
                <w:rFonts w:eastAsia="Calibri"/>
                <w:lang w:val="en-US"/>
              </w:rPr>
              <w:lastRenderedPageBreak/>
              <w:t>Amylase/lipase elevation [see</w:t>
            </w:r>
            <w:r w:rsidRPr="00EC701A">
              <w:rPr>
                <w:rFonts w:eastAsia="Calibri"/>
                <w:i/>
                <w:iCs/>
                <w:lang w:val="en-US"/>
              </w:rPr>
              <w:t xml:space="preserve"> Adverse </w:t>
            </w:r>
            <w:r>
              <w:rPr>
                <w:rFonts w:eastAsia="Calibri"/>
                <w:i/>
                <w:iCs/>
                <w:lang w:val="en-US"/>
              </w:rPr>
              <w:t>e</w:t>
            </w:r>
            <w:r w:rsidRPr="00EC701A">
              <w:rPr>
                <w:rFonts w:eastAsia="Calibri"/>
                <w:i/>
                <w:iCs/>
                <w:lang w:val="en-US"/>
              </w:rPr>
              <w:t xml:space="preserve">ffects </w:t>
            </w:r>
            <w:r>
              <w:rPr>
                <w:rFonts w:eastAsia="Calibri"/>
                <w:lang w:val="en-US"/>
              </w:rPr>
              <w:t>(4.8)]</w:t>
            </w:r>
          </w:p>
          <w:p w14:paraId="2832C6C3" w14:textId="77777777" w:rsidR="00260FE5" w:rsidRDefault="00260FE5">
            <w:pPr>
              <w:rPr>
                <w:rFonts w:eastAsia="Calibri"/>
                <w:lang w:val="en-US"/>
              </w:rPr>
            </w:pPr>
          </w:p>
          <w:p w14:paraId="2832C6C4" w14:textId="77777777" w:rsidR="00260FE5" w:rsidRDefault="00260FE5">
            <w:pPr>
              <w:rPr>
                <w:rFonts w:eastAsia="Calibri"/>
                <w:lang w:val="en-US"/>
              </w:rPr>
            </w:pPr>
          </w:p>
        </w:tc>
        <w:tc>
          <w:tcPr>
            <w:tcW w:w="1273" w:type="pct"/>
            <w:shd w:val="clear" w:color="auto" w:fill="auto"/>
          </w:tcPr>
          <w:p w14:paraId="2832C6C5" w14:textId="77777777" w:rsidR="00260FE5" w:rsidRDefault="003436C9">
            <w:pPr>
              <w:rPr>
                <w:rFonts w:eastAsia="Calibri"/>
                <w:lang w:val="en-US"/>
              </w:rPr>
            </w:pPr>
            <w:r>
              <w:rPr>
                <w:rFonts w:eastAsia="TimesNewRoman"/>
                <w:lang w:val="en-US"/>
              </w:rPr>
              <w:t>Grade 2 (&gt;2.0 - 5.0 x ULN and asymptomatic)</w:t>
            </w:r>
          </w:p>
        </w:tc>
        <w:tc>
          <w:tcPr>
            <w:tcW w:w="2267" w:type="pct"/>
            <w:shd w:val="clear" w:color="auto" w:fill="auto"/>
          </w:tcPr>
          <w:p w14:paraId="2832C6C6" w14:textId="77777777" w:rsidR="00260FE5" w:rsidRPr="00EA45E9" w:rsidRDefault="003436C9">
            <w:pPr>
              <w:pStyle w:val="ListParagraph"/>
              <w:numPr>
                <w:ilvl w:val="0"/>
                <w:numId w:val="30"/>
              </w:numPr>
              <w:spacing w:before="0" w:after="0"/>
              <w:rPr>
                <w:rFonts w:ascii="Times New Roman" w:eastAsia="Calibri" w:hAnsi="Times New Roman" w:cs="Times New Roman"/>
                <w:lang w:val="en-GB"/>
              </w:rPr>
            </w:pPr>
            <w:r w:rsidRPr="00EA45E9">
              <w:rPr>
                <w:rFonts w:ascii="Times New Roman" w:eastAsia="Calibri" w:hAnsi="Times New Roman" w:cs="Times New Roman"/>
                <w:lang w:val="en-GB"/>
              </w:rPr>
              <w:t>Continue EXKIVITY at the same dose or the next lower dose.</w:t>
            </w:r>
          </w:p>
          <w:p w14:paraId="2832C6C7" w14:textId="77777777" w:rsidR="00260FE5" w:rsidRPr="00EA45E9" w:rsidRDefault="00260FE5">
            <w:pPr>
              <w:rPr>
                <w:rFonts w:eastAsia="Calibri" w:cs="Times New Roman"/>
                <w:lang w:val="en-GB"/>
              </w:rPr>
            </w:pPr>
          </w:p>
        </w:tc>
      </w:tr>
      <w:tr w:rsidR="00260FE5" w14:paraId="2832C6D0" w14:textId="77777777">
        <w:trPr>
          <w:trHeight w:val="1169"/>
        </w:trPr>
        <w:tc>
          <w:tcPr>
            <w:tcW w:w="1460" w:type="pct"/>
            <w:vMerge/>
          </w:tcPr>
          <w:p w14:paraId="2832C6C9" w14:textId="77777777" w:rsidR="00260FE5" w:rsidRDefault="00260FE5">
            <w:pPr>
              <w:rPr>
                <w:rFonts w:eastAsia="Calibri"/>
                <w:lang w:val="en-US"/>
              </w:rPr>
            </w:pPr>
          </w:p>
        </w:tc>
        <w:tc>
          <w:tcPr>
            <w:tcW w:w="1273" w:type="pct"/>
            <w:shd w:val="clear" w:color="auto" w:fill="auto"/>
          </w:tcPr>
          <w:p w14:paraId="2832C6CA" w14:textId="77777777" w:rsidR="00260FE5" w:rsidRDefault="003436C9">
            <w:pPr>
              <w:rPr>
                <w:rFonts w:eastAsia="Calibri"/>
                <w:lang w:val="en-US"/>
              </w:rPr>
            </w:pPr>
            <w:r>
              <w:rPr>
                <w:rFonts w:eastAsia="Calibri"/>
                <w:lang w:val="en-US"/>
              </w:rPr>
              <w:t xml:space="preserve">Asymptomatic Grade 3 </w:t>
            </w:r>
            <w:r>
              <w:rPr>
                <w:rFonts w:eastAsia="TimesNewRoman"/>
                <w:lang w:val="en-US"/>
              </w:rPr>
              <w:t>(&gt;5.0 × ULN)</w:t>
            </w:r>
          </w:p>
          <w:p w14:paraId="2832C6CB" w14:textId="77777777" w:rsidR="00260FE5" w:rsidRDefault="00260FE5">
            <w:pPr>
              <w:rPr>
                <w:rFonts w:eastAsia="Calibri"/>
                <w:lang w:val="en-US"/>
              </w:rPr>
            </w:pPr>
          </w:p>
        </w:tc>
        <w:tc>
          <w:tcPr>
            <w:tcW w:w="2267" w:type="pct"/>
            <w:shd w:val="clear" w:color="auto" w:fill="auto"/>
          </w:tcPr>
          <w:p w14:paraId="2832C6CC" w14:textId="77777777" w:rsidR="00260FE5" w:rsidRPr="00EA45E9" w:rsidRDefault="003436C9">
            <w:pPr>
              <w:pStyle w:val="ListParagraph"/>
              <w:numPr>
                <w:ilvl w:val="0"/>
                <w:numId w:val="30"/>
              </w:numPr>
              <w:spacing w:before="0" w:after="0"/>
              <w:rPr>
                <w:rFonts w:ascii="Times New Roman" w:eastAsia="TimesNewRoman" w:hAnsi="Times New Roman" w:cs="Times New Roman"/>
                <w:lang w:val="en-US"/>
              </w:rPr>
            </w:pPr>
            <w:r w:rsidRPr="00EA45E9">
              <w:rPr>
                <w:rFonts w:ascii="Times New Roman" w:eastAsia="Calibri" w:hAnsi="Times New Roman" w:cs="Times New Roman"/>
                <w:lang w:val="en-US"/>
              </w:rPr>
              <w:t xml:space="preserve">Withhold EXKIVITY until recovery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1.</w:t>
            </w:r>
          </w:p>
          <w:p w14:paraId="2832C6CD"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TimesNewRoman" w:hAnsi="Times New Roman" w:cs="Times New Roman"/>
                <w:lang w:val="en-US"/>
              </w:rPr>
              <w:t>If recovered within 2 weeks,</w:t>
            </w:r>
            <w:r w:rsidRPr="00EA45E9">
              <w:rPr>
                <w:rFonts w:ascii="Times New Roman" w:eastAsia="Calibri" w:hAnsi="Times New Roman" w:cs="Times New Roman"/>
                <w:lang w:val="en-US"/>
              </w:rPr>
              <w:t xml:space="preserve"> resume EXKIVITY at the same dose or the next lower dose.</w:t>
            </w:r>
          </w:p>
          <w:p w14:paraId="2832C6CE"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 xml:space="preserve">If not recovered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1 within 2 weeks, permanently discontinue EXKIVITY.</w:t>
            </w:r>
          </w:p>
          <w:p w14:paraId="2832C6CF" w14:textId="77777777" w:rsidR="00260FE5" w:rsidRPr="00EA45E9" w:rsidRDefault="00260FE5">
            <w:pPr>
              <w:rPr>
                <w:rFonts w:eastAsia="Calibri" w:cs="Times New Roman"/>
                <w:lang w:val="en-US"/>
              </w:rPr>
            </w:pPr>
          </w:p>
        </w:tc>
      </w:tr>
      <w:tr w:rsidR="00260FE5" w14:paraId="2832C6D7" w14:textId="77777777">
        <w:trPr>
          <w:trHeight w:val="341"/>
        </w:trPr>
        <w:tc>
          <w:tcPr>
            <w:tcW w:w="1460" w:type="pct"/>
            <w:vMerge/>
          </w:tcPr>
          <w:p w14:paraId="2832C6D1" w14:textId="77777777" w:rsidR="00260FE5" w:rsidRDefault="00260FE5">
            <w:pPr>
              <w:rPr>
                <w:rFonts w:eastAsia="Calibri"/>
                <w:lang w:val="en-US"/>
              </w:rPr>
            </w:pPr>
          </w:p>
        </w:tc>
        <w:tc>
          <w:tcPr>
            <w:tcW w:w="1273" w:type="pct"/>
            <w:shd w:val="clear" w:color="auto" w:fill="auto"/>
          </w:tcPr>
          <w:p w14:paraId="2832C6D2" w14:textId="77777777" w:rsidR="00260FE5" w:rsidRDefault="003436C9">
            <w:pPr>
              <w:rPr>
                <w:rFonts w:eastAsia="Calibri"/>
                <w:lang w:val="en-US"/>
              </w:rPr>
            </w:pPr>
            <w:r>
              <w:rPr>
                <w:rFonts w:eastAsia="Calibri"/>
                <w:lang w:val="en-US"/>
              </w:rPr>
              <w:t>Symptomatic Grade 3 or Grade 4</w:t>
            </w:r>
          </w:p>
        </w:tc>
        <w:tc>
          <w:tcPr>
            <w:tcW w:w="2267" w:type="pct"/>
            <w:shd w:val="clear" w:color="auto" w:fill="auto"/>
          </w:tcPr>
          <w:p w14:paraId="2832C6D3" w14:textId="77777777" w:rsidR="00260FE5" w:rsidRPr="00EA45E9" w:rsidRDefault="003436C9">
            <w:pPr>
              <w:pStyle w:val="ListParagraph"/>
              <w:numPr>
                <w:ilvl w:val="0"/>
                <w:numId w:val="30"/>
              </w:numPr>
              <w:spacing w:before="0" w:after="0"/>
              <w:rPr>
                <w:rFonts w:ascii="Times New Roman" w:eastAsia="DengXian" w:hAnsi="Times New Roman" w:cs="Times New Roman"/>
                <w:lang w:val="en-US"/>
              </w:rPr>
            </w:pPr>
            <w:r w:rsidRPr="00EA45E9">
              <w:rPr>
                <w:rFonts w:ascii="Times New Roman" w:eastAsia="Calibri" w:hAnsi="Times New Roman" w:cs="Times New Roman"/>
                <w:lang w:val="en-US"/>
              </w:rPr>
              <w:t xml:space="preserve">Withhold EXKIVITY until recovery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1</w:t>
            </w:r>
            <w:r w:rsidRPr="00EA45E9">
              <w:rPr>
                <w:rFonts w:ascii="Times New Roman" w:eastAsia="TimesNewRoman" w:hAnsi="Times New Roman" w:cs="Times New Roman"/>
                <w:lang w:val="en-US"/>
              </w:rPr>
              <w:t>.</w:t>
            </w:r>
          </w:p>
          <w:p w14:paraId="2832C6D4" w14:textId="77777777" w:rsidR="00260FE5" w:rsidRPr="00EA45E9" w:rsidRDefault="003436C9">
            <w:pPr>
              <w:pStyle w:val="ListParagraph"/>
              <w:numPr>
                <w:ilvl w:val="0"/>
                <w:numId w:val="30"/>
              </w:numPr>
              <w:spacing w:before="0" w:after="0"/>
              <w:rPr>
                <w:rFonts w:ascii="Times New Roman" w:eastAsia="DengXian" w:hAnsi="Times New Roman" w:cs="Times New Roman"/>
                <w:lang w:val="en-US"/>
              </w:rPr>
            </w:pPr>
            <w:r w:rsidRPr="00EA45E9">
              <w:rPr>
                <w:rFonts w:ascii="Times New Roman" w:eastAsia="Calibri" w:hAnsi="Times New Roman" w:cs="Times New Roman"/>
                <w:lang w:val="en-US"/>
              </w:rPr>
              <w:t>If recovered within 2 weeks, resume EXKIVITY at the next lower dose.</w:t>
            </w:r>
          </w:p>
          <w:p w14:paraId="2832C6D5"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 xml:space="preserve">If not recovered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1 within 2 weeks, permanently discontinue EXKIVITY</w:t>
            </w:r>
          </w:p>
          <w:p w14:paraId="2832C6D6" w14:textId="77777777" w:rsidR="00260FE5" w:rsidRPr="00EA45E9" w:rsidRDefault="00260FE5">
            <w:pPr>
              <w:rPr>
                <w:rFonts w:eastAsia="Calibri" w:cs="Times New Roman"/>
                <w:lang w:val="en-US"/>
              </w:rPr>
            </w:pPr>
          </w:p>
        </w:tc>
      </w:tr>
      <w:tr w:rsidR="00260FE5" w14:paraId="2832C6E0" w14:textId="77777777">
        <w:trPr>
          <w:trHeight w:val="1484"/>
        </w:trPr>
        <w:tc>
          <w:tcPr>
            <w:tcW w:w="1460" w:type="pct"/>
            <w:vMerge w:val="restart"/>
          </w:tcPr>
          <w:p w14:paraId="2832C6D8" w14:textId="28BEB3A2" w:rsidR="00260FE5" w:rsidRDefault="003436C9">
            <w:pPr>
              <w:rPr>
                <w:rFonts w:eastAsia="Calibri"/>
                <w:lang w:val="en-US"/>
              </w:rPr>
            </w:pPr>
            <w:r>
              <w:rPr>
                <w:rFonts w:eastAsia="Calibri"/>
                <w:lang w:val="en-US"/>
              </w:rPr>
              <w:t>Other non-</w:t>
            </w:r>
            <w:proofErr w:type="spellStart"/>
            <w:r>
              <w:rPr>
                <w:rFonts w:eastAsia="Calibri"/>
                <w:lang w:val="en-US"/>
              </w:rPr>
              <w:t>haematologic</w:t>
            </w:r>
            <w:proofErr w:type="spellEnd"/>
            <w:r>
              <w:rPr>
                <w:rFonts w:eastAsia="Calibri"/>
                <w:lang w:val="en-US"/>
              </w:rPr>
              <w:t xml:space="preserve"> toxicity </w:t>
            </w:r>
            <w:r>
              <w:rPr>
                <w:rFonts w:eastAsia="Calibri"/>
                <w:i/>
                <w:iCs/>
                <w:lang w:val="en-US"/>
              </w:rPr>
              <w:t>[</w:t>
            </w:r>
            <w:r>
              <w:rPr>
                <w:rFonts w:eastAsia="Calibri"/>
                <w:lang w:val="en-US"/>
              </w:rPr>
              <w:t>see</w:t>
            </w:r>
            <w:r>
              <w:rPr>
                <w:rFonts w:eastAsia="Calibri"/>
                <w:i/>
                <w:iCs/>
                <w:lang w:val="en-US"/>
              </w:rPr>
              <w:t xml:space="preserve"> Adverse effects </w:t>
            </w:r>
            <w:r w:rsidRPr="00EC701A">
              <w:rPr>
                <w:rFonts w:eastAsia="Calibri"/>
                <w:lang w:val="en-US"/>
              </w:rPr>
              <w:t>(4.8)</w:t>
            </w:r>
            <w:r>
              <w:rPr>
                <w:rFonts w:eastAsia="Calibri"/>
                <w:i/>
                <w:iCs/>
                <w:lang w:val="en-US"/>
              </w:rPr>
              <w:t>]</w:t>
            </w:r>
          </w:p>
          <w:p w14:paraId="2832C6D9" w14:textId="77777777" w:rsidR="00260FE5" w:rsidRDefault="00260FE5">
            <w:pPr>
              <w:rPr>
                <w:rFonts w:eastAsia="Calibri"/>
                <w:lang w:val="en-US"/>
              </w:rPr>
            </w:pPr>
          </w:p>
          <w:p w14:paraId="2832C6DA" w14:textId="77777777" w:rsidR="00260FE5" w:rsidRDefault="00260FE5">
            <w:pPr>
              <w:rPr>
                <w:rFonts w:eastAsia="Calibri"/>
                <w:lang w:val="en-US"/>
              </w:rPr>
            </w:pPr>
          </w:p>
        </w:tc>
        <w:tc>
          <w:tcPr>
            <w:tcW w:w="1273" w:type="pct"/>
            <w:shd w:val="clear" w:color="auto" w:fill="auto"/>
          </w:tcPr>
          <w:p w14:paraId="2832C6DB" w14:textId="36FE0C45" w:rsidR="00260FE5" w:rsidRDefault="003436C9">
            <w:pPr>
              <w:rPr>
                <w:rFonts w:eastAsia="Calibri"/>
                <w:lang w:val="en-US"/>
              </w:rPr>
            </w:pPr>
            <w:r>
              <w:rPr>
                <w:rFonts w:eastAsia="Calibri"/>
                <w:lang w:val="en-US"/>
              </w:rPr>
              <w:t>Intolerable or recurrent Grade 2 or Grade 3</w:t>
            </w:r>
          </w:p>
          <w:p w14:paraId="2832C6DC" w14:textId="77777777" w:rsidR="00260FE5" w:rsidRDefault="00260FE5">
            <w:pPr>
              <w:rPr>
                <w:rFonts w:eastAsia="Calibri"/>
                <w:lang w:val="en-US"/>
              </w:rPr>
            </w:pPr>
          </w:p>
        </w:tc>
        <w:tc>
          <w:tcPr>
            <w:tcW w:w="2267" w:type="pct"/>
            <w:shd w:val="clear" w:color="auto" w:fill="auto"/>
          </w:tcPr>
          <w:p w14:paraId="2832C6DD"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 xml:space="preserve">Withhold EXKIVITY until recovery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1.</w:t>
            </w:r>
          </w:p>
          <w:p w14:paraId="2832C6DE"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 xml:space="preserve">Resume EXKIVITY at the same dose or the next lower dose. </w:t>
            </w:r>
          </w:p>
          <w:p w14:paraId="2832C6DF" w14:textId="77777777" w:rsidR="00260FE5" w:rsidRPr="00EA45E9" w:rsidRDefault="00260FE5">
            <w:pPr>
              <w:rPr>
                <w:rFonts w:eastAsia="Calibri" w:cs="Times New Roman"/>
                <w:lang w:val="en-US"/>
              </w:rPr>
            </w:pPr>
          </w:p>
        </w:tc>
      </w:tr>
      <w:tr w:rsidR="00260FE5" w14:paraId="2832C6E5" w14:textId="77777777">
        <w:trPr>
          <w:trHeight w:val="1205"/>
        </w:trPr>
        <w:tc>
          <w:tcPr>
            <w:tcW w:w="1460" w:type="pct"/>
            <w:vMerge/>
          </w:tcPr>
          <w:p w14:paraId="2832C6E1" w14:textId="77777777" w:rsidR="00260FE5" w:rsidRDefault="00260FE5">
            <w:pPr>
              <w:rPr>
                <w:rFonts w:eastAsia="Calibri"/>
                <w:lang w:val="en-US"/>
              </w:rPr>
            </w:pPr>
          </w:p>
        </w:tc>
        <w:tc>
          <w:tcPr>
            <w:tcW w:w="1273" w:type="pct"/>
            <w:tcBorders>
              <w:bottom w:val="single" w:sz="4" w:space="0" w:color="auto"/>
            </w:tcBorders>
            <w:shd w:val="clear" w:color="auto" w:fill="auto"/>
          </w:tcPr>
          <w:p w14:paraId="2832C6E2" w14:textId="77777777" w:rsidR="00260FE5" w:rsidRDefault="003436C9">
            <w:pPr>
              <w:rPr>
                <w:rFonts w:eastAsia="Calibri"/>
                <w:lang w:val="en-US"/>
              </w:rPr>
            </w:pPr>
            <w:r>
              <w:rPr>
                <w:rFonts w:eastAsia="Calibri"/>
                <w:lang w:val="en-US"/>
              </w:rPr>
              <w:t>Grade 4</w:t>
            </w:r>
          </w:p>
        </w:tc>
        <w:tc>
          <w:tcPr>
            <w:tcW w:w="2267" w:type="pct"/>
            <w:tcBorders>
              <w:bottom w:val="single" w:sz="4" w:space="0" w:color="auto"/>
            </w:tcBorders>
            <w:shd w:val="clear" w:color="auto" w:fill="auto"/>
          </w:tcPr>
          <w:p w14:paraId="2832C6E3"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Withhold EXKIVITY until recovery to ≤ Grade 1.</w:t>
            </w:r>
          </w:p>
          <w:p w14:paraId="2832C6E4"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Resume EXKIVITY at the next lower dose or consider permanent discontinuation of EXKIVITY.</w:t>
            </w:r>
          </w:p>
        </w:tc>
      </w:tr>
      <w:tr w:rsidR="00260FE5" w14:paraId="2832C6ED" w14:textId="77777777">
        <w:trPr>
          <w:trHeight w:val="818"/>
        </w:trPr>
        <w:tc>
          <w:tcPr>
            <w:tcW w:w="1460" w:type="pct"/>
            <w:vMerge w:val="restart"/>
          </w:tcPr>
          <w:p w14:paraId="2832C6E6" w14:textId="4B29724E" w:rsidR="00260FE5" w:rsidRDefault="003436C9">
            <w:pPr>
              <w:rPr>
                <w:rFonts w:eastAsia="Calibri"/>
                <w:lang w:val="en-US"/>
              </w:rPr>
            </w:pPr>
            <w:proofErr w:type="spellStart"/>
            <w:r>
              <w:rPr>
                <w:rFonts w:eastAsia="Calibri"/>
                <w:lang w:val="en-US"/>
              </w:rPr>
              <w:lastRenderedPageBreak/>
              <w:t>Haematologic</w:t>
            </w:r>
            <w:proofErr w:type="spellEnd"/>
            <w:r>
              <w:rPr>
                <w:rFonts w:eastAsia="Calibri"/>
                <w:lang w:val="en-US"/>
              </w:rPr>
              <w:t xml:space="preserve"> toxicity [see</w:t>
            </w:r>
            <w:r w:rsidRPr="00EC701A">
              <w:rPr>
                <w:rFonts w:eastAsia="Calibri"/>
                <w:i/>
                <w:iCs/>
                <w:lang w:val="en-US"/>
              </w:rPr>
              <w:t xml:space="preserve"> Adverse </w:t>
            </w:r>
            <w:r>
              <w:rPr>
                <w:rFonts w:eastAsia="Calibri"/>
                <w:i/>
                <w:iCs/>
                <w:lang w:val="en-US"/>
              </w:rPr>
              <w:t>e</w:t>
            </w:r>
            <w:r w:rsidRPr="00EC701A">
              <w:rPr>
                <w:rFonts w:eastAsia="Calibri"/>
                <w:i/>
                <w:iCs/>
                <w:lang w:val="en-US"/>
              </w:rPr>
              <w:t xml:space="preserve">ffects </w:t>
            </w:r>
            <w:r>
              <w:rPr>
                <w:rFonts w:eastAsia="Calibri"/>
                <w:lang w:val="en-US"/>
              </w:rPr>
              <w:t>(4.8)]</w:t>
            </w:r>
          </w:p>
          <w:p w14:paraId="2832C6E7" w14:textId="77777777" w:rsidR="00260FE5" w:rsidRDefault="00260FE5">
            <w:pPr>
              <w:rPr>
                <w:rFonts w:eastAsia="Calibri"/>
                <w:lang w:val="en-US"/>
              </w:rPr>
            </w:pPr>
          </w:p>
          <w:p w14:paraId="2832C6E8" w14:textId="77777777" w:rsidR="00260FE5" w:rsidRDefault="00260FE5">
            <w:pPr>
              <w:rPr>
                <w:rFonts w:eastAsia="Calibri"/>
                <w:lang w:val="en-US"/>
              </w:rPr>
            </w:pPr>
          </w:p>
        </w:tc>
        <w:tc>
          <w:tcPr>
            <w:tcW w:w="1273" w:type="pct"/>
            <w:tcBorders>
              <w:bottom w:val="single" w:sz="4" w:space="0" w:color="auto"/>
            </w:tcBorders>
            <w:shd w:val="clear" w:color="auto" w:fill="auto"/>
          </w:tcPr>
          <w:p w14:paraId="2832C6E9" w14:textId="77777777" w:rsidR="00260FE5" w:rsidRDefault="003436C9">
            <w:pPr>
              <w:rPr>
                <w:rFonts w:eastAsia="Calibri"/>
                <w:lang w:val="en-US"/>
              </w:rPr>
            </w:pPr>
            <w:r>
              <w:rPr>
                <w:rFonts w:eastAsia="Calibri"/>
                <w:lang w:val="en-US"/>
              </w:rPr>
              <w:t>Grade 3</w:t>
            </w:r>
          </w:p>
        </w:tc>
        <w:tc>
          <w:tcPr>
            <w:tcW w:w="2267" w:type="pct"/>
            <w:tcBorders>
              <w:bottom w:val="single" w:sz="4" w:space="0" w:color="auto"/>
            </w:tcBorders>
            <w:shd w:val="clear" w:color="auto" w:fill="auto"/>
          </w:tcPr>
          <w:p w14:paraId="2832C6EA"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 xml:space="preserve">Withhold EXKIVITY until recovery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2.</w:t>
            </w:r>
          </w:p>
          <w:p w14:paraId="2832C6EB"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Resume EXKIVITY at the same dose or the next lower dose.</w:t>
            </w:r>
          </w:p>
          <w:p w14:paraId="2832C6EC" w14:textId="77777777" w:rsidR="00260FE5" w:rsidRPr="00EA45E9" w:rsidRDefault="00260FE5">
            <w:pPr>
              <w:rPr>
                <w:rFonts w:eastAsia="Calibri" w:cs="Times New Roman"/>
                <w:lang w:val="en-US"/>
              </w:rPr>
            </w:pPr>
          </w:p>
        </w:tc>
      </w:tr>
      <w:tr w:rsidR="00260FE5" w14:paraId="2832C6F3" w14:textId="77777777">
        <w:trPr>
          <w:trHeight w:val="818"/>
        </w:trPr>
        <w:tc>
          <w:tcPr>
            <w:tcW w:w="1460" w:type="pct"/>
            <w:vMerge/>
            <w:tcBorders>
              <w:bottom w:val="single" w:sz="4" w:space="0" w:color="auto"/>
            </w:tcBorders>
          </w:tcPr>
          <w:p w14:paraId="2832C6EE" w14:textId="77777777" w:rsidR="00260FE5" w:rsidRDefault="00260FE5">
            <w:pPr>
              <w:rPr>
                <w:rFonts w:eastAsia="Calibri"/>
                <w:lang w:val="en-US"/>
              </w:rPr>
            </w:pPr>
          </w:p>
        </w:tc>
        <w:tc>
          <w:tcPr>
            <w:tcW w:w="1273" w:type="pct"/>
            <w:tcBorders>
              <w:bottom w:val="single" w:sz="4" w:space="0" w:color="auto"/>
            </w:tcBorders>
            <w:shd w:val="clear" w:color="auto" w:fill="auto"/>
          </w:tcPr>
          <w:p w14:paraId="2832C6EF" w14:textId="77777777" w:rsidR="00260FE5" w:rsidRDefault="003436C9">
            <w:pPr>
              <w:rPr>
                <w:rFonts w:eastAsia="Calibri"/>
                <w:lang w:val="en-US"/>
              </w:rPr>
            </w:pPr>
            <w:r>
              <w:rPr>
                <w:rFonts w:eastAsia="Calibri"/>
                <w:lang w:val="en-US"/>
              </w:rPr>
              <w:t>Grade 4</w:t>
            </w:r>
          </w:p>
        </w:tc>
        <w:tc>
          <w:tcPr>
            <w:tcW w:w="2267" w:type="pct"/>
            <w:tcBorders>
              <w:bottom w:val="single" w:sz="4" w:space="0" w:color="auto"/>
            </w:tcBorders>
            <w:shd w:val="clear" w:color="auto" w:fill="auto"/>
          </w:tcPr>
          <w:p w14:paraId="2832C6F0"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 xml:space="preserve">Withhold EXKIVITY until recovery to </w:t>
            </w:r>
            <w:r w:rsidRPr="00EA45E9">
              <w:rPr>
                <w:rFonts w:ascii="Times New Roman" w:eastAsia="SimSun" w:hAnsi="Times New Roman" w:cs="Times New Roman"/>
                <w:lang w:val="en-US"/>
              </w:rPr>
              <w:t>≤</w:t>
            </w:r>
            <w:r w:rsidRPr="00EA45E9">
              <w:rPr>
                <w:rFonts w:ascii="Times New Roman" w:eastAsia="Calibri" w:hAnsi="Times New Roman" w:cs="Times New Roman"/>
                <w:lang w:val="en-US"/>
              </w:rPr>
              <w:t> Grade 1.</w:t>
            </w:r>
          </w:p>
          <w:p w14:paraId="2832C6F1" w14:textId="77777777" w:rsidR="00260FE5" w:rsidRPr="00EA45E9" w:rsidRDefault="003436C9">
            <w:pPr>
              <w:pStyle w:val="ListParagraph"/>
              <w:numPr>
                <w:ilvl w:val="0"/>
                <w:numId w:val="30"/>
              </w:numPr>
              <w:spacing w:before="0" w:after="0"/>
              <w:rPr>
                <w:rFonts w:ascii="Times New Roman" w:eastAsia="Calibri" w:hAnsi="Times New Roman" w:cs="Times New Roman"/>
                <w:lang w:val="en-US"/>
              </w:rPr>
            </w:pPr>
            <w:r w:rsidRPr="00EA45E9">
              <w:rPr>
                <w:rFonts w:ascii="Times New Roman" w:eastAsia="Calibri" w:hAnsi="Times New Roman" w:cs="Times New Roman"/>
                <w:lang w:val="en-US"/>
              </w:rPr>
              <w:t>Resume EXKIVITY at the next lower dose or consider permanent discontinuation of EXKIVITY.</w:t>
            </w:r>
          </w:p>
          <w:p w14:paraId="2832C6F2" w14:textId="77777777" w:rsidR="00260FE5" w:rsidRPr="00EA45E9" w:rsidRDefault="00260FE5">
            <w:pPr>
              <w:rPr>
                <w:rFonts w:eastAsia="Calibri" w:cs="Times New Roman"/>
                <w:lang w:val="en-US"/>
              </w:rPr>
            </w:pPr>
          </w:p>
        </w:tc>
      </w:tr>
      <w:tr w:rsidR="00260FE5" w14:paraId="2832C6F6" w14:textId="77777777">
        <w:trPr>
          <w:trHeight w:val="521"/>
        </w:trPr>
        <w:tc>
          <w:tcPr>
            <w:tcW w:w="5000" w:type="pct"/>
            <w:gridSpan w:val="3"/>
            <w:tcBorders>
              <w:left w:val="nil"/>
              <w:bottom w:val="nil"/>
              <w:right w:val="nil"/>
            </w:tcBorders>
          </w:tcPr>
          <w:p w14:paraId="2832C6F4" w14:textId="77777777" w:rsidR="00260FE5" w:rsidRDefault="003436C9">
            <w:pPr>
              <w:rPr>
                <w:rFonts w:eastAsia="Calibri"/>
                <w:sz w:val="20"/>
                <w:szCs w:val="20"/>
                <w:lang w:val="en-US"/>
              </w:rPr>
            </w:pPr>
            <w:r>
              <w:rPr>
                <w:rFonts w:eastAsia="Calibri"/>
                <w:sz w:val="20"/>
                <w:szCs w:val="20"/>
                <w:lang w:val="en-US"/>
              </w:rPr>
              <w:t>ULN = upper limit of normal</w:t>
            </w:r>
          </w:p>
          <w:p w14:paraId="2832C6F5" w14:textId="77777777" w:rsidR="00260FE5" w:rsidRDefault="003436C9">
            <w:pPr>
              <w:rPr>
                <w:rFonts w:eastAsia="Calibri"/>
                <w:lang w:val="en-US"/>
              </w:rPr>
            </w:pPr>
            <w:r>
              <w:rPr>
                <w:rFonts w:eastAsia="Calibri"/>
                <w:sz w:val="20"/>
                <w:szCs w:val="20"/>
                <w:lang w:val="en-US"/>
              </w:rPr>
              <w:t>* Graded per National Cancer Institute Common Terminology Criteria for Adverse Events. Version 5.0 (NCI CTCAE v5).</w:t>
            </w:r>
          </w:p>
        </w:tc>
      </w:tr>
    </w:tbl>
    <w:bookmarkEnd w:id="1"/>
    <w:p w14:paraId="2832C6F7" w14:textId="77777777" w:rsidR="00260FE5" w:rsidRDefault="003436C9">
      <w:pPr>
        <w:pStyle w:val="Heading3"/>
      </w:pPr>
      <w:r>
        <w:t>Dose modifications for moderate CYP3A inhibitors</w:t>
      </w:r>
    </w:p>
    <w:p w14:paraId="2832C6F8" w14:textId="54E7081C" w:rsidR="00260FE5" w:rsidRDefault="003436C9">
      <w:r>
        <w:t>Avoid coadministration of moderate CYP3A inhibitors during treatment with EXKIVITY [see</w:t>
      </w:r>
      <w:r>
        <w:rPr>
          <w:i/>
          <w:iCs/>
        </w:rPr>
        <w:t xml:space="preserve"> Interactions with other medicines and other forms of interactions </w:t>
      </w:r>
      <w:r>
        <w:t>(4.5) and</w:t>
      </w:r>
      <w:r>
        <w:rPr>
          <w:i/>
          <w:iCs/>
        </w:rPr>
        <w:t xml:space="preserve"> Pharmacological properties </w:t>
      </w:r>
      <w:r>
        <w:t xml:space="preserve">(5.2)]. If coadministration of a moderate CYP3A inhibitor cannot be avoided, reduce the EXKIVITY once daily dose by approximately 50% (i.e., from 160 to 80 mg, 120 to 40 mg, or 80 to 40 mg) and monitor the QTc interval more frequently. After discontinuation of the </w:t>
      </w:r>
      <w:proofErr w:type="spellStart"/>
      <w:r>
        <w:t>coadministered</w:t>
      </w:r>
      <w:proofErr w:type="spellEnd"/>
      <w:r>
        <w:t xml:space="preserve"> moderate CYP3A inhibitor, wait for 3 to 5 elimination half-lives for the moderate CYP3A inhibitor before resuming the original EXKIVITY dose.</w:t>
      </w:r>
    </w:p>
    <w:p w14:paraId="2832C6F9" w14:textId="77777777" w:rsidR="00260FE5" w:rsidRDefault="003436C9">
      <w:pPr>
        <w:pStyle w:val="Heading2"/>
      </w:pPr>
      <w:r>
        <w:t xml:space="preserve">4.3 </w:t>
      </w:r>
      <w:r>
        <w:tab/>
        <w:t>CONTRAINDICATIONS</w:t>
      </w:r>
    </w:p>
    <w:p w14:paraId="2832C6FA" w14:textId="77777777" w:rsidR="00260FE5" w:rsidRDefault="003436C9">
      <w:r>
        <w:t>None.</w:t>
      </w:r>
    </w:p>
    <w:p w14:paraId="2832C6FB" w14:textId="77777777" w:rsidR="00260FE5" w:rsidRDefault="003436C9">
      <w:pPr>
        <w:pStyle w:val="Heading2"/>
      </w:pPr>
      <w:r>
        <w:t xml:space="preserve">4.4 </w:t>
      </w:r>
      <w:r>
        <w:tab/>
        <w:t>SPECIAL WARNINGS AND PRECAUTIONS FOR USE</w:t>
      </w:r>
    </w:p>
    <w:p w14:paraId="2832C6FC" w14:textId="77777777" w:rsidR="00260FE5" w:rsidRDefault="003436C9">
      <w:pPr>
        <w:pStyle w:val="Heading3"/>
      </w:pPr>
      <w:r>
        <w:t>QTc prolongation and Torsades de Pointes</w:t>
      </w:r>
    </w:p>
    <w:p w14:paraId="2832C6FD" w14:textId="77777777" w:rsidR="00260FE5" w:rsidRDefault="003436C9">
      <w:r>
        <w:t>EXKIVITY can cause life-threatening prolongation of the heart rate-corrected QT (QTc) interval, including resultant arrhythmias. In the subset (n=250) of the pooled EXKIVITY safety population who had a baseline and at least one subsequent electrocardiogram (ECG), an increase of at least 60 msec from baseline QTc occurred in 11% of patients and a QTc interval longer than 500 msec occurred in 1.2% [see</w:t>
      </w:r>
      <w:r>
        <w:rPr>
          <w:i/>
          <w:iCs/>
        </w:rPr>
        <w:t xml:space="preserve"> Pharmacological properties </w:t>
      </w:r>
      <w:r>
        <w:t xml:space="preserve">(5.1)]. Grade 4 Torsades de Pointes occurred in 1 patient (0.4%). Clinical trials of EXKIVITY did not enrol patients with baseline QTc greater than 470 msec. </w:t>
      </w:r>
    </w:p>
    <w:p w14:paraId="2832C6FE" w14:textId="77777777" w:rsidR="00260FE5" w:rsidRDefault="003436C9">
      <w:r>
        <w:t xml:space="preserve">Assess QTc and electrolytes at baseline and correct abnormalities in sodium, potassium, calcium, and magnesium prior to initiating EXKIVITY. Monitor QTc and electrolytes periodically during treatment. Increase monitoring frequency in patients with risk factors for QTc prolongation, such as patients with congenital long QT syndrome, heart disease, or electrolyte abnormalities. Avoid coadministration of other substances which are known to </w:t>
      </w:r>
      <w:r>
        <w:lastRenderedPageBreak/>
        <w:t>prolong the QTc interval. Avoid coadministration of strong or moderate CYP3A inhibitors with EXKIVITY, which may further prolong the QTc interval [see</w:t>
      </w:r>
      <w:r>
        <w:rPr>
          <w:i/>
          <w:iCs/>
        </w:rPr>
        <w:t xml:space="preserve"> Interactions with other medicines and other forms of interactions </w:t>
      </w:r>
      <w:r>
        <w:t xml:space="preserve">(4.5)]. </w:t>
      </w:r>
    </w:p>
    <w:p w14:paraId="2832C6FF" w14:textId="77777777" w:rsidR="00260FE5" w:rsidRDefault="003436C9">
      <w:r>
        <w:t>Withhold, reduce the dose, or permanently discontinue EXKIVITY based on the severity of the QT prolongation [see</w:t>
      </w:r>
      <w:r>
        <w:rPr>
          <w:i/>
          <w:iCs/>
        </w:rPr>
        <w:t xml:space="preserve"> Dose and method of administration </w:t>
      </w:r>
      <w:r>
        <w:t>(4.2)].</w:t>
      </w:r>
    </w:p>
    <w:p w14:paraId="2832C700" w14:textId="77777777" w:rsidR="00260FE5" w:rsidRDefault="003436C9">
      <w:pPr>
        <w:pStyle w:val="Heading3"/>
      </w:pPr>
      <w:r>
        <w:t>Interstitial lung disease/pneumonitis</w:t>
      </w:r>
    </w:p>
    <w:p w14:paraId="2832C701" w14:textId="77777777" w:rsidR="00260FE5" w:rsidRDefault="003436C9">
      <w:r>
        <w:t xml:space="preserve">EXKIVITY can cause interstitial lung disease (ILD)/pneumonitis, which can be fatal. In the pooled EXKIVITY safety population [see </w:t>
      </w:r>
      <w:r>
        <w:rPr>
          <w:i/>
          <w:iCs/>
        </w:rPr>
        <w:t xml:space="preserve">Adverse effects </w:t>
      </w:r>
      <w:r>
        <w:t>(4.8)], ILD/pneumonitis occurred in 4.3% of patients, including a 0.8% rate of Grade 3 events, one (0.4%) Grade 4 event, and 3 (1.2%) fatal events.</w:t>
      </w:r>
    </w:p>
    <w:p w14:paraId="2832C702" w14:textId="77777777" w:rsidR="00260FE5" w:rsidRDefault="003436C9">
      <w:r>
        <w:t xml:space="preserve">Monitor patients for new or worsening pulmonary symptoms indicative of ILD/pneumonitis. </w:t>
      </w:r>
      <w:r>
        <w:cr/>
        <w:t>Immediately withhold EXKIVITY in patients with suspected ILD/pneumonitis and permanently discontinue EXKIVITY if ILD/pneumonitis is confirmed [see</w:t>
      </w:r>
      <w:r>
        <w:rPr>
          <w:i/>
          <w:iCs/>
        </w:rPr>
        <w:t xml:space="preserve"> Dose and method of administration </w:t>
      </w:r>
      <w:r>
        <w:t>(4.2)].</w:t>
      </w:r>
    </w:p>
    <w:p w14:paraId="2832C703" w14:textId="77777777" w:rsidR="00260FE5" w:rsidRDefault="00260FE5">
      <w:pPr>
        <w:spacing w:before="0" w:after="200" w:line="276" w:lineRule="auto"/>
        <w:rPr>
          <w:rFonts w:eastAsiaTheme="majorEastAsia" w:cs="Times New Roman"/>
          <w:b/>
          <w:bCs/>
          <w:szCs w:val="24"/>
        </w:rPr>
      </w:pPr>
    </w:p>
    <w:p w14:paraId="2832C704" w14:textId="3E2F0000" w:rsidR="00260FE5" w:rsidRDefault="003436C9">
      <w:pPr>
        <w:pStyle w:val="Heading3"/>
      </w:pPr>
      <w:r>
        <w:t>Cardiac failure</w:t>
      </w:r>
    </w:p>
    <w:p w14:paraId="2832C705" w14:textId="77777777" w:rsidR="00260FE5" w:rsidRDefault="003436C9">
      <w:r>
        <w:t xml:space="preserve">EXKIVITY can cause cardiac toxicity (including decreased ejection fraction, </w:t>
      </w:r>
      <w:proofErr w:type="gramStart"/>
      <w:r>
        <w:t>cardiomyopathy</w:t>
      </w:r>
      <w:proofErr w:type="gramEnd"/>
      <w:r>
        <w:t xml:space="preserve"> and congestive cardiac failure), resulting in cardiac failure, which can be fatal. In the pooled EXKIVITY safety population [see </w:t>
      </w:r>
      <w:r>
        <w:rPr>
          <w:i/>
          <w:iCs/>
        </w:rPr>
        <w:t xml:space="preserve">Adverse effects </w:t>
      </w:r>
      <w:r>
        <w:t>(4.8)], cardiac failure occurred in 2.7% of patients, including a 1.2% rate of Grade 3 events, one (0.4%) Grade 4 event, and one (0.4%) fatal case of heart failure.</w:t>
      </w:r>
    </w:p>
    <w:p w14:paraId="2832C706" w14:textId="77777777" w:rsidR="00260FE5" w:rsidRDefault="003436C9">
      <w:pPr>
        <w:spacing w:before="0" w:after="200" w:line="276" w:lineRule="auto"/>
        <w:rPr>
          <w:rFonts w:eastAsiaTheme="majorEastAsia" w:cs="Times New Roman"/>
          <w:b/>
          <w:bCs/>
          <w:szCs w:val="24"/>
        </w:rPr>
      </w:pPr>
      <w:r>
        <w:t>Monitor cardiac function, including left ventricular ejection fraction, at baseline and during treatment. Withhold, reduce the dose, or permanently discontinue EXKIVITY based on the severity of cardiac failure [see</w:t>
      </w:r>
      <w:r>
        <w:rPr>
          <w:i/>
          <w:iCs/>
        </w:rPr>
        <w:t xml:space="preserve"> Dose and method of administration </w:t>
      </w:r>
      <w:r>
        <w:t>(4.2)].</w:t>
      </w:r>
    </w:p>
    <w:p w14:paraId="2832C707" w14:textId="77777777" w:rsidR="00260FE5" w:rsidRDefault="003436C9">
      <w:pPr>
        <w:pStyle w:val="Heading3"/>
      </w:pPr>
      <w:r>
        <w:t>Diarrhoea</w:t>
      </w:r>
    </w:p>
    <w:p w14:paraId="2832C708" w14:textId="77777777" w:rsidR="00260FE5" w:rsidRDefault="003436C9">
      <w:r>
        <w:t>EXKIVITY can cause diarrhoea, which can be severe. In the pooled EXKIVITY safety population [see</w:t>
      </w:r>
      <w:r>
        <w:rPr>
          <w:i/>
          <w:iCs/>
        </w:rPr>
        <w:t xml:space="preserve"> Adverse effects </w:t>
      </w:r>
      <w:r>
        <w:t xml:space="preserve">(4.8)], diarrhoea occurred in 93% of patients, Grade 3 diarrhoea occurred in 20% of patients, and Grade 4 diarrhoea occurred in 1 patient (0.4%). The median time to first onset of diarrhoea was five days but could occur as soon as 24 hours after administration of EXKIVITY. In the forty-eight percent of patients whose diarrhoea resolved, the median time to resolution was three days. </w:t>
      </w:r>
    </w:p>
    <w:p w14:paraId="2832C709" w14:textId="77777777" w:rsidR="00260FE5" w:rsidRDefault="003436C9">
      <w:r>
        <w:t xml:space="preserve">To avoid dehydration, electrolyte imbalance, and renal impairment, treat diarrhoea promptly. Advise patients to start an anti-diarrhoeal agent (e.g., loperamide) at the first sign of diarrhoea or increased stool frequency, and to increase fluid and electrolyte intake. </w:t>
      </w:r>
    </w:p>
    <w:p w14:paraId="2832C70A" w14:textId="77777777" w:rsidR="00260FE5" w:rsidRDefault="003436C9">
      <w:r>
        <w:t xml:space="preserve">Monitor electrolytes, and withhold, reduce the </w:t>
      </w:r>
      <w:proofErr w:type="gramStart"/>
      <w:r>
        <w:t>dose</w:t>
      </w:r>
      <w:proofErr w:type="gramEnd"/>
      <w:r>
        <w:t xml:space="preserve"> or permanently discontinue EXKIVITY based on diarrhoea severity [see</w:t>
      </w:r>
      <w:r>
        <w:rPr>
          <w:i/>
          <w:iCs/>
        </w:rPr>
        <w:t xml:space="preserve"> Dose and method of administration </w:t>
      </w:r>
      <w:r>
        <w:t>(4.2)].</w:t>
      </w:r>
    </w:p>
    <w:p w14:paraId="2832C70B" w14:textId="5C1788BC" w:rsidR="00260FE5" w:rsidRDefault="003436C9" w:rsidP="00A90FCB">
      <w:pPr>
        <w:pStyle w:val="Heading3"/>
        <w:pageBreakBefore/>
      </w:pPr>
      <w:r>
        <w:lastRenderedPageBreak/>
        <w:t>Embryo-</w:t>
      </w:r>
      <w:proofErr w:type="spellStart"/>
      <w:r>
        <w:t>fetal</w:t>
      </w:r>
      <w:proofErr w:type="spellEnd"/>
      <w:r>
        <w:t xml:space="preserve"> toxicity</w:t>
      </w:r>
    </w:p>
    <w:p w14:paraId="2832C70C" w14:textId="0DE5781B" w:rsidR="00260FE5" w:rsidRDefault="003436C9">
      <w:r>
        <w:t xml:space="preserve">Based on its mechanism of action and data from animal studies, EXKIVITY can cause </w:t>
      </w:r>
      <w:proofErr w:type="spellStart"/>
      <w:r>
        <w:t>fetal</w:t>
      </w:r>
      <w:proofErr w:type="spellEnd"/>
      <w:r>
        <w:t xml:space="preserve"> harm when administered during pregnancy.</w:t>
      </w:r>
    </w:p>
    <w:p w14:paraId="2832C70D" w14:textId="02EAC971" w:rsidR="00260FE5" w:rsidRDefault="003436C9">
      <w:r>
        <w:t xml:space="preserve">Advise pregnant patients of the potential risk to a </w:t>
      </w:r>
      <w:proofErr w:type="spellStart"/>
      <w:r>
        <w:t>fetus</w:t>
      </w:r>
      <w:proofErr w:type="spellEnd"/>
      <w:r>
        <w:t xml:space="preserve">. Advise females of reproductive potential to use effective non-hormonal contraception during treatment with EXKIVITY [see </w:t>
      </w:r>
      <w:r w:rsidRPr="00EC701A">
        <w:rPr>
          <w:i/>
          <w:iCs/>
        </w:rPr>
        <w:t xml:space="preserve">Interactions </w:t>
      </w:r>
      <w:r>
        <w:rPr>
          <w:i/>
          <w:iCs/>
        </w:rPr>
        <w:t>w</w:t>
      </w:r>
      <w:r w:rsidRPr="00EC701A">
        <w:rPr>
          <w:i/>
          <w:iCs/>
        </w:rPr>
        <w:t xml:space="preserve">ith </w:t>
      </w:r>
      <w:r>
        <w:rPr>
          <w:i/>
          <w:iCs/>
        </w:rPr>
        <w:t>o</w:t>
      </w:r>
      <w:r w:rsidRPr="00EC701A">
        <w:rPr>
          <w:i/>
          <w:iCs/>
        </w:rPr>
        <w:t xml:space="preserve">ther </w:t>
      </w:r>
      <w:r>
        <w:rPr>
          <w:i/>
          <w:iCs/>
        </w:rPr>
        <w:t>m</w:t>
      </w:r>
      <w:r w:rsidRPr="00EC701A">
        <w:rPr>
          <w:i/>
          <w:iCs/>
        </w:rPr>
        <w:t xml:space="preserve">edicines </w:t>
      </w:r>
      <w:r>
        <w:rPr>
          <w:i/>
          <w:iCs/>
        </w:rPr>
        <w:t>a</w:t>
      </w:r>
      <w:r w:rsidRPr="00EC701A">
        <w:rPr>
          <w:i/>
          <w:iCs/>
        </w:rPr>
        <w:t xml:space="preserve">nd </w:t>
      </w:r>
      <w:r>
        <w:rPr>
          <w:i/>
          <w:iCs/>
        </w:rPr>
        <w:t>o</w:t>
      </w:r>
      <w:r w:rsidRPr="00EC701A">
        <w:rPr>
          <w:i/>
          <w:iCs/>
        </w:rPr>
        <w:t xml:space="preserve">ther </w:t>
      </w:r>
      <w:r>
        <w:rPr>
          <w:i/>
          <w:iCs/>
        </w:rPr>
        <w:t>f</w:t>
      </w:r>
      <w:r w:rsidRPr="00EC701A">
        <w:rPr>
          <w:i/>
          <w:iCs/>
        </w:rPr>
        <w:t xml:space="preserve">orms </w:t>
      </w:r>
      <w:r>
        <w:rPr>
          <w:i/>
          <w:iCs/>
        </w:rPr>
        <w:t>o</w:t>
      </w:r>
      <w:r w:rsidRPr="00EC701A">
        <w:rPr>
          <w:i/>
          <w:iCs/>
        </w:rPr>
        <w:t xml:space="preserve">f </w:t>
      </w:r>
      <w:r>
        <w:rPr>
          <w:i/>
          <w:iCs/>
        </w:rPr>
        <w:t>i</w:t>
      </w:r>
      <w:r w:rsidRPr="00EC701A">
        <w:rPr>
          <w:i/>
          <w:iCs/>
        </w:rPr>
        <w:t>nteractions</w:t>
      </w:r>
      <w:r>
        <w:t xml:space="preserve"> (4.5)] and for one month following the final dose. Advise male patients with female partners of reproductive potential to use effective contraception during treatment with EXKIVITY and for one week following the final dose of EXKIVITY [see </w:t>
      </w:r>
      <w:r w:rsidRPr="00EC701A">
        <w:rPr>
          <w:i/>
          <w:iCs/>
        </w:rPr>
        <w:t xml:space="preserve">Fertility, </w:t>
      </w:r>
      <w:proofErr w:type="gramStart"/>
      <w:r>
        <w:rPr>
          <w:i/>
          <w:iCs/>
        </w:rPr>
        <w:t>p</w:t>
      </w:r>
      <w:r w:rsidRPr="00EC701A">
        <w:rPr>
          <w:i/>
          <w:iCs/>
        </w:rPr>
        <w:t>regnancy</w:t>
      </w:r>
      <w:proofErr w:type="gramEnd"/>
      <w:r w:rsidRPr="00EC701A">
        <w:rPr>
          <w:i/>
          <w:iCs/>
        </w:rPr>
        <w:t xml:space="preserve"> and </w:t>
      </w:r>
      <w:r>
        <w:rPr>
          <w:i/>
          <w:iCs/>
        </w:rPr>
        <w:t>l</w:t>
      </w:r>
      <w:r w:rsidRPr="00EC701A">
        <w:rPr>
          <w:i/>
          <w:iCs/>
        </w:rPr>
        <w:t>actation</w:t>
      </w:r>
      <w:r>
        <w:t xml:space="preserve"> (4.6)].</w:t>
      </w:r>
    </w:p>
    <w:p w14:paraId="2832C70E" w14:textId="77777777" w:rsidR="00260FE5" w:rsidRDefault="003436C9">
      <w:pPr>
        <w:pStyle w:val="Heading3"/>
      </w:pPr>
      <w:r>
        <w:t>Use in hepatic impairment</w:t>
      </w:r>
    </w:p>
    <w:p w14:paraId="2832C70F" w14:textId="77777777" w:rsidR="00260FE5" w:rsidRDefault="003436C9">
      <w:r>
        <w:t>No dose adjustment is recommended for patients with mild hepatic impairment. Mobocertinib has not been studied in patients with moderate or severe hepatic impairment [see</w:t>
      </w:r>
      <w:r>
        <w:rPr>
          <w:i/>
          <w:iCs/>
        </w:rPr>
        <w:t xml:space="preserve"> Pharmacological properties</w:t>
      </w:r>
      <w:r>
        <w:t xml:space="preserve"> (5.2)].</w:t>
      </w:r>
    </w:p>
    <w:p w14:paraId="2832C710" w14:textId="77777777" w:rsidR="00260FE5" w:rsidRDefault="003436C9">
      <w:pPr>
        <w:pStyle w:val="Heading3"/>
      </w:pPr>
      <w:r>
        <w:t>Use in renal impairment</w:t>
      </w:r>
    </w:p>
    <w:p w14:paraId="2832C711" w14:textId="77777777" w:rsidR="00260FE5" w:rsidRDefault="003436C9">
      <w:r>
        <w:t xml:space="preserve">No dose adjustment is recommended for patients with mild or moderate renal impairment. Mobocertinib has not been studied in patients with severe renal impairment [see </w:t>
      </w:r>
      <w:r>
        <w:rPr>
          <w:i/>
          <w:iCs/>
        </w:rPr>
        <w:t>Pharmacological properties</w:t>
      </w:r>
      <w:r>
        <w:t xml:space="preserve"> (5.2)].</w:t>
      </w:r>
    </w:p>
    <w:p w14:paraId="2832C712" w14:textId="77777777" w:rsidR="00260FE5" w:rsidRDefault="003436C9">
      <w:pPr>
        <w:pStyle w:val="Heading3"/>
      </w:pPr>
      <w:r>
        <w:t>Use in the elderly</w:t>
      </w:r>
    </w:p>
    <w:p w14:paraId="2832C713" w14:textId="77777777" w:rsidR="00260FE5" w:rsidRDefault="003436C9">
      <w:r>
        <w:rPr>
          <w:rFonts w:eastAsia="Calibri"/>
        </w:rPr>
        <w:t xml:space="preserve">Of the 114 patients treated with EXKIVITY in clinical studies, 37% were at least 65 years of age, and 7% were at least 75 years of age. No overall differences in efficacy were observed for patients ≥ 65 years of age compared to younger adult patients. Exploratory analysis suggests a higher incidence of Grade 3 and 4 adverse reactions (69% vs 47%) and serious adverse reactions (64% vs 35%) in patients ≥ 65 years of age, compared to younger adult patients. </w:t>
      </w:r>
    </w:p>
    <w:p w14:paraId="2832C715" w14:textId="77777777" w:rsidR="00260FE5" w:rsidRDefault="003436C9">
      <w:pPr>
        <w:pStyle w:val="Heading3"/>
      </w:pPr>
      <w:r>
        <w:t xml:space="preserve">Paediatric use </w:t>
      </w:r>
    </w:p>
    <w:p w14:paraId="2832C716" w14:textId="77777777" w:rsidR="00260FE5" w:rsidRDefault="003436C9">
      <w:pPr>
        <w:rPr>
          <w:rFonts w:eastAsiaTheme="majorEastAsia"/>
        </w:rPr>
      </w:pPr>
      <w:r>
        <w:t>The safety and effectiveness of EXKIVITY in paediatric patients have not been established.</w:t>
      </w:r>
    </w:p>
    <w:p w14:paraId="2832C717" w14:textId="77777777" w:rsidR="00260FE5" w:rsidRDefault="003436C9">
      <w:pPr>
        <w:pStyle w:val="Heading3"/>
      </w:pPr>
      <w:r>
        <w:t>Effects on laboratory tests</w:t>
      </w:r>
    </w:p>
    <w:p w14:paraId="2832C718" w14:textId="130C2CFE" w:rsidR="00180D9D" w:rsidRDefault="003436C9">
      <w:r>
        <w:t xml:space="preserve">See </w:t>
      </w:r>
      <w:r>
        <w:rPr>
          <w:i/>
          <w:iCs/>
        </w:rPr>
        <w:t>Adverse effects (undesirable effects)</w:t>
      </w:r>
      <w:r>
        <w:t xml:space="preserve"> (4.8).</w:t>
      </w:r>
    </w:p>
    <w:p w14:paraId="5526B6FB" w14:textId="77777777" w:rsidR="00180D9D" w:rsidRDefault="00180D9D">
      <w:pPr>
        <w:spacing w:before="0" w:after="200" w:line="276" w:lineRule="auto"/>
      </w:pPr>
      <w:r>
        <w:br w:type="page"/>
      </w:r>
    </w:p>
    <w:p w14:paraId="0F38D9E7" w14:textId="77777777" w:rsidR="00260FE5" w:rsidRDefault="00260FE5"/>
    <w:p w14:paraId="2832C719" w14:textId="77777777" w:rsidR="00260FE5" w:rsidRDefault="003436C9">
      <w:pPr>
        <w:pStyle w:val="Heading2"/>
      </w:pPr>
      <w:bookmarkStart w:id="2" w:name="_Hlk94026721"/>
      <w:r>
        <w:t>4.5</w:t>
      </w:r>
      <w:r>
        <w:tab/>
        <w:t xml:space="preserve">INTERACTIONS WITH OTHER MEDICINES AND OTHER FORMS OF INTERACTIONS </w:t>
      </w:r>
      <w:bookmarkStart w:id="3" w:name="_Toc261438368"/>
      <w:bookmarkEnd w:id="2"/>
    </w:p>
    <w:p w14:paraId="2832C71A" w14:textId="77777777" w:rsidR="00260FE5" w:rsidRDefault="003436C9">
      <w:pPr>
        <w:pStyle w:val="Heading3"/>
        <w:rPr>
          <w:b w:val="0"/>
        </w:rPr>
      </w:pPr>
      <w:r>
        <w:t>Effect of other drugs on EXKIVITY</w:t>
      </w:r>
    </w:p>
    <w:p w14:paraId="2832C71B" w14:textId="77777777" w:rsidR="00260FE5" w:rsidRDefault="003436C9">
      <w:pPr>
        <w:pStyle w:val="Heading4"/>
      </w:pPr>
      <w:r>
        <w:t>Strong or moderate CYP3A inhibitors</w:t>
      </w:r>
    </w:p>
    <w:p w14:paraId="2832C71C" w14:textId="77777777" w:rsidR="00260FE5" w:rsidRDefault="003436C9">
      <w:r>
        <w:t xml:space="preserve">Plasma concentrations of mobocertinib are increased when EXKIVITY is </w:t>
      </w:r>
      <w:proofErr w:type="spellStart"/>
      <w:r>
        <w:t>coadministered</w:t>
      </w:r>
      <w:proofErr w:type="spellEnd"/>
      <w:r>
        <w:t xml:space="preserve"> with a strong or moderate CYP3A inhibitor [see</w:t>
      </w:r>
      <w:r>
        <w:rPr>
          <w:i/>
          <w:iCs/>
        </w:rPr>
        <w:t xml:space="preserve"> Drug interaction studies</w:t>
      </w:r>
      <w:r>
        <w:t>, below], which may increase the risk of adverse reactions, including QTc interval prolongation [see</w:t>
      </w:r>
      <w:r>
        <w:rPr>
          <w:i/>
          <w:iCs/>
        </w:rPr>
        <w:t xml:space="preserve"> Special warnings and precautions for use</w:t>
      </w:r>
      <w:r>
        <w:t xml:space="preserve"> (4.4)].</w:t>
      </w:r>
    </w:p>
    <w:p w14:paraId="2832C71D" w14:textId="77777777" w:rsidR="00260FE5" w:rsidRDefault="003436C9">
      <w:r>
        <w:t xml:space="preserve">Avoid coadministration of strong or moderate CYP3A inhibitors with EXKIVITY. If coadministration of a moderate CYP3A inhibitor cannot be avoided, reduce the EXKIVITY dose [see </w:t>
      </w:r>
      <w:r>
        <w:rPr>
          <w:i/>
          <w:iCs/>
        </w:rPr>
        <w:t xml:space="preserve">Dose and method of administration </w:t>
      </w:r>
      <w:r>
        <w:t>(4.2)] and monitor the QTc interval more frequently with ECGs [see</w:t>
      </w:r>
      <w:r>
        <w:rPr>
          <w:i/>
          <w:iCs/>
        </w:rPr>
        <w:t xml:space="preserve"> Special warnings and precautions for use </w:t>
      </w:r>
      <w:r>
        <w:t>(4.4)].</w:t>
      </w:r>
    </w:p>
    <w:p w14:paraId="2832C71E" w14:textId="77777777" w:rsidR="00260FE5" w:rsidRDefault="003436C9">
      <w:pPr>
        <w:pStyle w:val="Heading4"/>
      </w:pPr>
      <w:r>
        <w:t>Strong or moderate CYP3A inducers</w:t>
      </w:r>
    </w:p>
    <w:p w14:paraId="2832C71F" w14:textId="77777777" w:rsidR="00260FE5" w:rsidRDefault="003436C9">
      <w:r>
        <w:t xml:space="preserve">Plasma concentrations of mobocertinib are decreased when EXKIVITY is </w:t>
      </w:r>
      <w:proofErr w:type="spellStart"/>
      <w:r>
        <w:t>coadministered</w:t>
      </w:r>
      <w:proofErr w:type="spellEnd"/>
      <w:r>
        <w:t xml:space="preserve"> with a strong or moderate CYP3A inducer, which may decrease the efficacy of EXKIVITY [see </w:t>
      </w:r>
      <w:r>
        <w:rPr>
          <w:i/>
          <w:iCs/>
        </w:rPr>
        <w:t>Drug interaction studies</w:t>
      </w:r>
      <w:r>
        <w:t>, below].</w:t>
      </w:r>
    </w:p>
    <w:p w14:paraId="2832C720" w14:textId="77777777" w:rsidR="00260FE5" w:rsidRDefault="003436C9">
      <w:r>
        <w:t>Avoid coadministration of strong or moderate CYP3A inducers with EXKIVITY.</w:t>
      </w:r>
    </w:p>
    <w:p w14:paraId="2832C721" w14:textId="77777777" w:rsidR="00260FE5" w:rsidRDefault="003436C9">
      <w:pPr>
        <w:pStyle w:val="Heading3"/>
      </w:pPr>
      <w:r>
        <w:t>Effect of EXKIVITY on other drugs</w:t>
      </w:r>
    </w:p>
    <w:p w14:paraId="2832C722" w14:textId="77777777" w:rsidR="00260FE5" w:rsidRDefault="003436C9">
      <w:pPr>
        <w:pStyle w:val="Heading4"/>
      </w:pPr>
      <w:r>
        <w:t>CYP3A substrates</w:t>
      </w:r>
    </w:p>
    <w:p w14:paraId="2832C723" w14:textId="77777777" w:rsidR="00260FE5" w:rsidRDefault="003436C9">
      <w:r>
        <w:t xml:space="preserve">Plasma concentrations of CYP3A substrates may be decreased when they are </w:t>
      </w:r>
      <w:proofErr w:type="spellStart"/>
      <w:r>
        <w:t>coadministered</w:t>
      </w:r>
      <w:proofErr w:type="spellEnd"/>
      <w:r>
        <w:t xml:space="preserve"> with EXKIVITY, which may reduce their efficacy [see </w:t>
      </w:r>
      <w:r>
        <w:rPr>
          <w:i/>
          <w:iCs/>
        </w:rPr>
        <w:t>Drug interaction studies</w:t>
      </w:r>
      <w:r>
        <w:t>, below].</w:t>
      </w:r>
    </w:p>
    <w:p w14:paraId="2832C724" w14:textId="77777777" w:rsidR="00260FE5" w:rsidRDefault="003436C9">
      <w:r>
        <w:t xml:space="preserve">Avoid coadministration of hormonal contraceptives with EXKIVITY [see </w:t>
      </w:r>
      <w:r>
        <w:rPr>
          <w:i/>
          <w:iCs/>
        </w:rPr>
        <w:t>Special warnings and precautions for use</w:t>
      </w:r>
      <w:r>
        <w:t xml:space="preserve"> (4.4), and </w:t>
      </w:r>
      <w:r>
        <w:rPr>
          <w:i/>
          <w:iCs/>
        </w:rPr>
        <w:t xml:space="preserve">Fertility, </w:t>
      </w:r>
      <w:proofErr w:type="gramStart"/>
      <w:r>
        <w:rPr>
          <w:i/>
          <w:iCs/>
        </w:rPr>
        <w:t>pregnancy</w:t>
      </w:r>
      <w:proofErr w:type="gramEnd"/>
      <w:r>
        <w:rPr>
          <w:i/>
          <w:iCs/>
        </w:rPr>
        <w:t xml:space="preserve"> and lactation</w:t>
      </w:r>
      <w:r>
        <w:t xml:space="preserve"> (4.6)].</w:t>
      </w:r>
    </w:p>
    <w:p w14:paraId="2832C725" w14:textId="77777777" w:rsidR="00260FE5" w:rsidRDefault="003436C9">
      <w:r>
        <w:t>Avoid coadministration of EXKIVITY with other CYP3A substrates where minimal concentration changes may lead to serious therapeutic failures. If coadministration is unavoidable, increase the CYP3A substrate dose in accordance with the approved Product Information.</w:t>
      </w:r>
    </w:p>
    <w:p w14:paraId="2832C726" w14:textId="77777777" w:rsidR="00260FE5" w:rsidRDefault="003436C9">
      <w:pPr>
        <w:pStyle w:val="Heading3"/>
      </w:pPr>
      <w:r>
        <w:t>Substances that prolong the QTc interval</w:t>
      </w:r>
    </w:p>
    <w:p w14:paraId="2832C727" w14:textId="77777777" w:rsidR="00260FE5" w:rsidRDefault="003436C9">
      <w:r>
        <w:t xml:space="preserve">Coadministration of EXKIVITY with other substances known to prolong the QTc interval may increase the risk of life-threatening QTc interval prolongation [see </w:t>
      </w:r>
      <w:r>
        <w:rPr>
          <w:i/>
          <w:iCs/>
        </w:rPr>
        <w:t>Special warnings and precautions for use</w:t>
      </w:r>
      <w:r>
        <w:t xml:space="preserve"> (4.4), and </w:t>
      </w:r>
      <w:r>
        <w:rPr>
          <w:i/>
          <w:iCs/>
        </w:rPr>
        <w:t>Pharmacological properties</w:t>
      </w:r>
      <w:r>
        <w:t xml:space="preserve"> (5.1)].</w:t>
      </w:r>
    </w:p>
    <w:p w14:paraId="2832C728" w14:textId="77777777" w:rsidR="00260FE5" w:rsidRDefault="003436C9">
      <w:r>
        <w:t xml:space="preserve">Avoid coadministration of other substances known to prolong the QTc interval with EXKIVITY. If coadministration is unavoidable, monitor the QTc interval more frequently with ECGs [see </w:t>
      </w:r>
      <w:r>
        <w:rPr>
          <w:i/>
          <w:iCs/>
        </w:rPr>
        <w:t>Special warnings and precautions for use</w:t>
      </w:r>
      <w:r>
        <w:t xml:space="preserve"> (4.4)].</w:t>
      </w:r>
    </w:p>
    <w:p w14:paraId="2832C72A" w14:textId="77777777" w:rsidR="00260FE5" w:rsidRDefault="003436C9" w:rsidP="00A90FCB">
      <w:pPr>
        <w:pStyle w:val="Heading3"/>
        <w:pageBreakBefore/>
      </w:pPr>
      <w:r>
        <w:lastRenderedPageBreak/>
        <w:t>Drug interaction studies</w:t>
      </w:r>
    </w:p>
    <w:p w14:paraId="2832C72B" w14:textId="77777777" w:rsidR="00260FE5" w:rsidRDefault="003436C9">
      <w:pPr>
        <w:pStyle w:val="Heading4"/>
        <w:rPr>
          <w:i w:val="0"/>
        </w:rPr>
      </w:pPr>
      <w:r>
        <w:t>Clinical studies and model-informed approaches</w:t>
      </w:r>
    </w:p>
    <w:p w14:paraId="2832C72C" w14:textId="77777777" w:rsidR="00260FE5" w:rsidRDefault="003436C9">
      <w:pPr>
        <w:pStyle w:val="Heading5"/>
      </w:pPr>
      <w:r>
        <w:t>Effect of CYP3A inhibitors on mobocertinib</w:t>
      </w:r>
    </w:p>
    <w:p w14:paraId="2832C72D" w14:textId="77777777" w:rsidR="00260FE5" w:rsidRDefault="003436C9">
      <w:bookmarkStart w:id="4" w:name="_Hlk58396622"/>
      <w:r>
        <w:t>Coadministration of EXKIVITY with multiple doses of itraconazole or ketoconazole (strong CYP3A inhibitors) is predicted to increase the steady-state combined molar AUC</w:t>
      </w:r>
      <w:r>
        <w:rPr>
          <w:vertAlign w:val="subscript"/>
        </w:rPr>
        <w:t>24</w:t>
      </w:r>
      <w:r>
        <w:t xml:space="preserve"> of mobocertinib and its active metabolites by 374 to 419%.</w:t>
      </w:r>
    </w:p>
    <w:p w14:paraId="2832C72E" w14:textId="77777777" w:rsidR="00260FE5" w:rsidRDefault="003436C9">
      <w:r>
        <w:t>Coadministration of EXKIVITY with multiple doses of erythromycin or fluconazole (moderate CYP3A inhibitors) is predicted to increase the steady-state combined molar AUC</w:t>
      </w:r>
      <w:r>
        <w:rPr>
          <w:vertAlign w:val="subscript"/>
        </w:rPr>
        <w:t>24</w:t>
      </w:r>
      <w:r>
        <w:t xml:space="preserve"> of mobocertinib and its active metabolites by 116 to 135%.</w:t>
      </w:r>
    </w:p>
    <w:bookmarkEnd w:id="4"/>
    <w:p w14:paraId="2832C72F" w14:textId="77777777" w:rsidR="00260FE5" w:rsidRDefault="003436C9">
      <w:pPr>
        <w:pStyle w:val="Heading5"/>
      </w:pPr>
      <w:r>
        <w:t>Effect of CYP3A inducers on mobocertinib</w:t>
      </w:r>
    </w:p>
    <w:p w14:paraId="2832C730" w14:textId="77777777" w:rsidR="00260FE5" w:rsidRDefault="003436C9">
      <w:r>
        <w:t>Coadministration of EXKIVITY with multiple doses of rifampicin (a strong CYP3A inducer) is predicted to decrease the steady-state combined molar AUC</w:t>
      </w:r>
      <w:r>
        <w:rPr>
          <w:vertAlign w:val="subscript"/>
        </w:rPr>
        <w:t>24</w:t>
      </w:r>
      <w:r>
        <w:t xml:space="preserve"> of mobocertinib and its active metabolites by 92%.</w:t>
      </w:r>
    </w:p>
    <w:p w14:paraId="2832C731" w14:textId="77777777" w:rsidR="00260FE5" w:rsidRDefault="003436C9">
      <w:r>
        <w:t>Coadministration of EXKIVITY with multiple doses of efavirenz (a moderate CYP3A inducer) is predicted to decrease the steady-state combined molar AUC</w:t>
      </w:r>
      <w:r>
        <w:rPr>
          <w:vertAlign w:val="subscript"/>
        </w:rPr>
        <w:t>24</w:t>
      </w:r>
      <w:r>
        <w:t xml:space="preserve"> of mobocertinib and its active metabolites by 58%.</w:t>
      </w:r>
    </w:p>
    <w:p w14:paraId="2832C732" w14:textId="77777777" w:rsidR="00260FE5" w:rsidRDefault="003436C9">
      <w:pPr>
        <w:pStyle w:val="Heading5"/>
      </w:pPr>
      <w:r>
        <w:t>Effect of mobocertinib on CYP3A substrates</w:t>
      </w:r>
    </w:p>
    <w:p w14:paraId="2832C733" w14:textId="77777777" w:rsidR="00260FE5" w:rsidRDefault="003436C9">
      <w:r>
        <w:t>Coadministration of EXKIVITY 160 mg once daily with oral or intravenous midazolam (a CYP3A substrate) decreased the AUC</w:t>
      </w:r>
      <w:r>
        <w:rPr>
          <w:vertAlign w:val="subscript"/>
        </w:rPr>
        <w:t>inf</w:t>
      </w:r>
      <w:r>
        <w:t xml:space="preserve"> of midazolam by 32% and 16%, respectively.</w:t>
      </w:r>
    </w:p>
    <w:p w14:paraId="2832C734" w14:textId="77777777" w:rsidR="00260FE5" w:rsidRDefault="003436C9">
      <w:pPr>
        <w:pStyle w:val="Heading5"/>
      </w:pPr>
      <w:r>
        <w:t xml:space="preserve">Effect of </w:t>
      </w:r>
      <w:proofErr w:type="spellStart"/>
      <w:r>
        <w:t>mobocertinib</w:t>
      </w:r>
      <w:proofErr w:type="spellEnd"/>
      <w:r>
        <w:t xml:space="preserve"> on P-</w:t>
      </w:r>
      <w:proofErr w:type="spellStart"/>
      <w:r>
        <w:t>gp</w:t>
      </w:r>
      <w:proofErr w:type="spellEnd"/>
      <w:r>
        <w:t xml:space="preserve"> substrates</w:t>
      </w:r>
    </w:p>
    <w:p w14:paraId="2832C735" w14:textId="77777777" w:rsidR="00260FE5" w:rsidRDefault="003436C9">
      <w:r>
        <w:t>Coadministration of EXKIVITY 160 mg once daily is predicted to have no clinically meaningful effect on the pharmacokinetics of P-</w:t>
      </w:r>
      <w:proofErr w:type="spellStart"/>
      <w:r>
        <w:t>gp</w:t>
      </w:r>
      <w:proofErr w:type="spellEnd"/>
      <w:r>
        <w:t xml:space="preserve"> substrates (such as digoxin or dabigatran </w:t>
      </w:r>
      <w:proofErr w:type="spellStart"/>
      <w:r>
        <w:t>etexilate</w:t>
      </w:r>
      <w:proofErr w:type="spellEnd"/>
      <w:r>
        <w:t xml:space="preserve">). </w:t>
      </w:r>
    </w:p>
    <w:p w14:paraId="2832C736" w14:textId="77777777" w:rsidR="00260FE5" w:rsidRDefault="003436C9">
      <w:pPr>
        <w:pStyle w:val="Heading5"/>
      </w:pPr>
      <w:r>
        <w:t>Effect of mobocertinib on BCRP substrates</w:t>
      </w:r>
    </w:p>
    <w:p w14:paraId="2832C737" w14:textId="77777777" w:rsidR="00260FE5" w:rsidRDefault="003436C9">
      <w:r>
        <w:t xml:space="preserve">The clinical significance of changes in the pharmacokinetics of BCRP substrates (such as sulfasalazine) when </w:t>
      </w:r>
      <w:proofErr w:type="spellStart"/>
      <w:r>
        <w:t>coadministered</w:t>
      </w:r>
      <w:proofErr w:type="spellEnd"/>
      <w:r>
        <w:t xml:space="preserve"> with multiple doses of EXKIVITY is unknown.</w:t>
      </w:r>
    </w:p>
    <w:p w14:paraId="2832C738" w14:textId="77777777" w:rsidR="00260FE5" w:rsidRDefault="003436C9">
      <w:pPr>
        <w:pStyle w:val="Heading4"/>
        <w:rPr>
          <w:i w:val="0"/>
          <w:iCs w:val="0"/>
        </w:rPr>
      </w:pPr>
      <w:r>
        <w:t>In vitro studies</w:t>
      </w:r>
    </w:p>
    <w:p w14:paraId="2832C739" w14:textId="77777777" w:rsidR="00260FE5" w:rsidRDefault="003436C9">
      <w:pPr>
        <w:pStyle w:val="Heading5"/>
        <w:rPr>
          <w:rFonts w:eastAsiaTheme="minorHAnsi"/>
          <w:i w:val="0"/>
        </w:rPr>
      </w:pPr>
      <w:r>
        <w:rPr>
          <w:rFonts w:eastAsiaTheme="minorHAnsi"/>
        </w:rPr>
        <w:t>CYP enzymes</w:t>
      </w:r>
    </w:p>
    <w:p w14:paraId="2832C73A" w14:textId="77777777" w:rsidR="00260FE5" w:rsidRDefault="003436C9">
      <w:pPr>
        <w:rPr>
          <w:rFonts w:eastAsiaTheme="minorHAnsi"/>
        </w:rPr>
      </w:pPr>
      <w:r>
        <w:rPr>
          <w:rFonts w:eastAsiaTheme="minorHAnsi"/>
        </w:rPr>
        <w:t>Mobocertinib, AP32960, an</w:t>
      </w:r>
      <w:r>
        <w:t xml:space="preserve">d AP32914 are time-dependent inhibitors and inducers of CYP3A, with the net effect being weak induction in vivo. </w:t>
      </w:r>
      <w:r>
        <w:rPr>
          <w:rFonts w:eastAsiaTheme="minorHAnsi"/>
        </w:rPr>
        <w:t xml:space="preserve">Mobocertinib, </w:t>
      </w:r>
      <w:r>
        <w:t xml:space="preserve">AP32960, and AP32914 </w:t>
      </w:r>
      <w:r>
        <w:rPr>
          <w:rFonts w:eastAsiaTheme="minorHAnsi"/>
          <w:spacing w:val="0"/>
        </w:rPr>
        <w:t>do not inhibit CYP1A2, 2B6, 2C8, 2C9, 2C19, or 2D6 at clinically relevant concentrations.</w:t>
      </w:r>
    </w:p>
    <w:p w14:paraId="2832C73B" w14:textId="77777777" w:rsidR="00260FE5" w:rsidRDefault="003436C9">
      <w:pPr>
        <w:pStyle w:val="Heading5"/>
        <w:rPr>
          <w:rFonts w:eastAsiaTheme="minorHAnsi"/>
          <w:i w:val="0"/>
        </w:rPr>
      </w:pPr>
      <w:r>
        <w:rPr>
          <w:rFonts w:eastAsiaTheme="minorHAnsi"/>
        </w:rPr>
        <w:t>Transporter systems</w:t>
      </w:r>
    </w:p>
    <w:p w14:paraId="2832C73C" w14:textId="77777777" w:rsidR="00260FE5" w:rsidRDefault="003436C9">
      <w:pPr>
        <w:rPr>
          <w:rFonts w:eastAsiaTheme="minorHAnsi"/>
        </w:rPr>
      </w:pPr>
      <w:r>
        <w:rPr>
          <w:rFonts w:eastAsiaTheme="minorHAnsi"/>
        </w:rPr>
        <w:t>Mobocertinib is an</w:t>
      </w:r>
      <w:r>
        <w:t xml:space="preserve"> </w:t>
      </w:r>
      <w:r>
        <w:rPr>
          <w:rFonts w:eastAsiaTheme="minorHAnsi"/>
        </w:rPr>
        <w:t>inhibitor of P-</w:t>
      </w:r>
      <w:proofErr w:type="spellStart"/>
      <w:r>
        <w:rPr>
          <w:rFonts w:eastAsiaTheme="minorHAnsi"/>
        </w:rPr>
        <w:t>gp</w:t>
      </w:r>
      <w:proofErr w:type="spellEnd"/>
      <w:r>
        <w:rPr>
          <w:rFonts w:eastAsiaTheme="minorHAnsi"/>
        </w:rPr>
        <w:t xml:space="preserve"> and BCRP. At clinically relevant conce</w:t>
      </w:r>
      <w:r>
        <w:t xml:space="preserve">ntrations, </w:t>
      </w:r>
      <w:r>
        <w:rPr>
          <w:rFonts w:eastAsiaTheme="minorHAnsi"/>
        </w:rPr>
        <w:t>mobocertinib does not inhibit BSEP, MATE1, MATE2-K, MRP2, OATP1B1, OATP1B3, OAT1, OAT3, OCT1, or OCT</w:t>
      </w:r>
      <w:r>
        <w:t>2.</w:t>
      </w:r>
    </w:p>
    <w:p w14:paraId="2832C73D" w14:textId="77777777" w:rsidR="00260FE5" w:rsidRDefault="003436C9">
      <w:pPr>
        <w:rPr>
          <w:rFonts w:eastAsiaTheme="minorHAnsi"/>
        </w:rPr>
      </w:pPr>
      <w:r>
        <w:rPr>
          <w:rFonts w:eastAsiaTheme="minorHAnsi"/>
        </w:rPr>
        <w:t>Mobocertinib is a substrate o</w:t>
      </w:r>
      <w:r>
        <w:t>f P-</w:t>
      </w:r>
      <w:proofErr w:type="spellStart"/>
      <w:r>
        <w:rPr>
          <w:rFonts w:eastAsiaTheme="minorHAnsi"/>
        </w:rPr>
        <w:t>gp</w:t>
      </w:r>
      <w:proofErr w:type="spellEnd"/>
      <w:r>
        <w:rPr>
          <w:rFonts w:eastAsiaTheme="minorHAnsi"/>
        </w:rPr>
        <w:t xml:space="preserve">. Given </w:t>
      </w:r>
      <w:r>
        <w:t xml:space="preserve">that </w:t>
      </w:r>
      <w:r>
        <w:rPr>
          <w:rFonts w:eastAsiaTheme="minorHAnsi"/>
        </w:rPr>
        <w:t>mobocertinib exhibits high solubilit</w:t>
      </w:r>
      <w:r>
        <w:t>y</w:t>
      </w:r>
      <w:r>
        <w:rPr>
          <w:rFonts w:eastAsiaTheme="minorHAnsi"/>
        </w:rPr>
        <w:t xml:space="preserve"> and high permeability in vitro, P-</w:t>
      </w:r>
      <w:proofErr w:type="spellStart"/>
      <w:r>
        <w:rPr>
          <w:rFonts w:eastAsiaTheme="minorHAnsi"/>
        </w:rPr>
        <w:t>gp</w:t>
      </w:r>
      <w:proofErr w:type="spellEnd"/>
      <w:r>
        <w:rPr>
          <w:rFonts w:eastAsiaTheme="minorHAnsi"/>
        </w:rPr>
        <w:t xml:space="preserve"> inhibitors are unl</w:t>
      </w:r>
      <w:r>
        <w:t xml:space="preserve">ikely to increase plasma concentrations of </w:t>
      </w:r>
      <w:r>
        <w:rPr>
          <w:rFonts w:eastAsiaTheme="minorHAnsi"/>
        </w:rPr>
        <w:t>mobocertinib.</w:t>
      </w:r>
    </w:p>
    <w:p w14:paraId="2832C73E" w14:textId="77777777" w:rsidR="00260FE5" w:rsidRDefault="003436C9">
      <w:r>
        <w:rPr>
          <w:rFonts w:eastAsiaTheme="minorHAnsi"/>
        </w:rPr>
        <w:lastRenderedPageBreak/>
        <w:t xml:space="preserve">Mobocertinib is not a substrate of BCRP, OATP1B1, </w:t>
      </w:r>
      <w:r>
        <w:t xml:space="preserve">or </w:t>
      </w:r>
      <w:r>
        <w:rPr>
          <w:rFonts w:eastAsiaTheme="minorHAnsi"/>
        </w:rPr>
        <w:t>OATP1B3.</w:t>
      </w:r>
      <w:bookmarkEnd w:id="3"/>
    </w:p>
    <w:p w14:paraId="2832C73F" w14:textId="705ECD7D" w:rsidR="00260FE5" w:rsidRDefault="00260FE5">
      <w:pPr>
        <w:spacing w:before="0" w:after="200" w:line="276" w:lineRule="auto"/>
        <w:rPr>
          <w:rFonts w:cs="Times New Roman"/>
          <w:b/>
          <w:smallCaps/>
          <w:szCs w:val="24"/>
        </w:rPr>
      </w:pPr>
    </w:p>
    <w:p w14:paraId="2832C740" w14:textId="77777777" w:rsidR="00260FE5" w:rsidRDefault="003436C9">
      <w:pPr>
        <w:pStyle w:val="Heading2"/>
      </w:pPr>
      <w:r>
        <w:t>4.6</w:t>
      </w:r>
      <w:r>
        <w:tab/>
        <w:t xml:space="preserve">FERTILITY, PREGNANCY AND LACTATION </w:t>
      </w:r>
    </w:p>
    <w:p w14:paraId="2832C741" w14:textId="77777777" w:rsidR="00260FE5" w:rsidRDefault="003436C9">
      <w:pPr>
        <w:pStyle w:val="Heading3"/>
      </w:pPr>
      <w:r>
        <w:t>Effects on fertility</w:t>
      </w:r>
    </w:p>
    <w:p w14:paraId="2832C742" w14:textId="77777777" w:rsidR="00260FE5" w:rsidRDefault="003436C9">
      <w:pPr>
        <w:rPr>
          <w:rFonts w:eastAsia="Calibri"/>
          <w:iCs/>
        </w:rPr>
      </w:pPr>
      <w:r>
        <w:rPr>
          <w:rFonts w:eastAsia="Calibri"/>
        </w:rPr>
        <w:t xml:space="preserve">EXKIVITY can cause </w:t>
      </w:r>
      <w:proofErr w:type="spellStart"/>
      <w:r>
        <w:rPr>
          <w:rFonts w:eastAsia="Calibri"/>
        </w:rPr>
        <w:t>fetal</w:t>
      </w:r>
      <w:proofErr w:type="spellEnd"/>
      <w:r>
        <w:rPr>
          <w:rFonts w:eastAsia="Calibri"/>
        </w:rPr>
        <w:t xml:space="preserve"> harm when administered during pregnancy [see </w:t>
      </w:r>
      <w:r>
        <w:rPr>
          <w:rFonts w:eastAsia="Calibri"/>
          <w:i/>
          <w:iCs/>
        </w:rPr>
        <w:t>Use in pregnancy</w:t>
      </w:r>
      <w:r>
        <w:rPr>
          <w:rFonts w:eastAsia="Calibri"/>
        </w:rPr>
        <w:t>, below].</w:t>
      </w:r>
    </w:p>
    <w:p w14:paraId="2832C743" w14:textId="77777777" w:rsidR="00260FE5" w:rsidRDefault="003436C9">
      <w:pPr>
        <w:pStyle w:val="Heading4"/>
      </w:pPr>
      <w:r>
        <w:t>Pregnancy testing</w:t>
      </w:r>
    </w:p>
    <w:p w14:paraId="2832C744" w14:textId="77777777" w:rsidR="00260FE5" w:rsidRDefault="003436C9">
      <w:pPr>
        <w:rPr>
          <w:rFonts w:eastAsia="Calibri"/>
        </w:rPr>
      </w:pPr>
      <w:r>
        <w:rPr>
          <w:rFonts w:eastAsia="Calibri"/>
        </w:rPr>
        <w:t>Verify pregnancy status prior to initiating EXKIVITY.</w:t>
      </w:r>
    </w:p>
    <w:p w14:paraId="2832C745" w14:textId="77777777" w:rsidR="00260FE5" w:rsidRDefault="003436C9">
      <w:pPr>
        <w:pStyle w:val="Heading4"/>
      </w:pPr>
      <w:r>
        <w:t>Contraception</w:t>
      </w:r>
    </w:p>
    <w:p w14:paraId="2832C746" w14:textId="77777777" w:rsidR="00260FE5" w:rsidRDefault="003436C9">
      <w:pPr>
        <w:pStyle w:val="Heading5"/>
      </w:pPr>
      <w:r>
        <w:t>Females</w:t>
      </w:r>
    </w:p>
    <w:p w14:paraId="2832C747" w14:textId="77777777" w:rsidR="00260FE5" w:rsidRDefault="003436C9">
      <w:r>
        <w:rPr>
          <w:rFonts w:eastAsia="Calibri"/>
        </w:rPr>
        <w:t xml:space="preserve">Advise females of reproductive potential to use effective non-hormonal contraception during treatment with EXKIVITY and for at least one month following the final dose. EXKIVITY may render hormonal contraceptives ineffective [see </w:t>
      </w:r>
      <w:r>
        <w:rPr>
          <w:i/>
          <w:iCs/>
        </w:rPr>
        <w:t>Interactions with other medicines and other forms of interactions</w:t>
      </w:r>
      <w:r>
        <w:t xml:space="preserve"> (4.5)</w:t>
      </w:r>
      <w:r>
        <w:rPr>
          <w:rFonts w:eastAsia="Calibri"/>
        </w:rPr>
        <w:t>].</w:t>
      </w:r>
    </w:p>
    <w:p w14:paraId="2832C748" w14:textId="77777777" w:rsidR="00260FE5" w:rsidRDefault="003436C9">
      <w:pPr>
        <w:pStyle w:val="Heading5"/>
      </w:pPr>
      <w:r>
        <w:t>Males</w:t>
      </w:r>
    </w:p>
    <w:p w14:paraId="2832C749" w14:textId="77777777" w:rsidR="00260FE5" w:rsidRDefault="003436C9">
      <w:pPr>
        <w:rPr>
          <w:rFonts w:eastAsia="Calibri"/>
          <w:i/>
        </w:rPr>
      </w:pPr>
      <w:r>
        <w:rPr>
          <w:rFonts w:eastAsia="Calibri"/>
        </w:rPr>
        <w:t>Advise males with female partners of reproductive potential to use effective contraception during treatment with EXKIVITY and for at least one week following the final dose.</w:t>
      </w:r>
    </w:p>
    <w:p w14:paraId="2832C74A" w14:textId="77777777" w:rsidR="00260FE5" w:rsidRDefault="003436C9">
      <w:pPr>
        <w:pStyle w:val="Heading4"/>
      </w:pPr>
      <w:r>
        <w:t>Infertility</w:t>
      </w:r>
    </w:p>
    <w:p w14:paraId="2832C74B" w14:textId="77777777" w:rsidR="00260FE5" w:rsidRDefault="003436C9">
      <w:r>
        <w:t xml:space="preserve">Based on animal data, mobocertinib may impair fertility in males and females of reproductive potential [see </w:t>
      </w:r>
      <w:r>
        <w:rPr>
          <w:i/>
          <w:iCs/>
        </w:rPr>
        <w:t>Preclinical safety data</w:t>
      </w:r>
      <w:r>
        <w:t xml:space="preserve"> (5.3)].</w:t>
      </w:r>
    </w:p>
    <w:p w14:paraId="2832C74C" w14:textId="77777777" w:rsidR="00260FE5" w:rsidRDefault="003436C9">
      <w:pPr>
        <w:pStyle w:val="Heading3"/>
      </w:pPr>
      <w:r>
        <w:t>Use in pregnancy</w:t>
      </w:r>
    </w:p>
    <w:p w14:paraId="2832C74D" w14:textId="77777777" w:rsidR="00260FE5" w:rsidRDefault="003436C9">
      <w:r>
        <w:t>Pregnancy Category D.</w:t>
      </w:r>
    </w:p>
    <w:p w14:paraId="2832C74E" w14:textId="77777777" w:rsidR="00260FE5" w:rsidRDefault="003436C9">
      <w:pPr>
        <w:rPr>
          <w:rFonts w:eastAsia="Calibri"/>
        </w:rPr>
      </w:pPr>
      <w:r>
        <w:rPr>
          <w:rFonts w:eastAsia="Calibri"/>
        </w:rPr>
        <w:t xml:space="preserve">There are no human data available on the use of EXKIVITY in pregnancy, however, based on its mechanism of action [see </w:t>
      </w:r>
      <w:r>
        <w:rPr>
          <w:rFonts w:eastAsia="Calibri"/>
          <w:i/>
          <w:iCs/>
        </w:rPr>
        <w:t>Pharmacological properties</w:t>
      </w:r>
      <w:r>
        <w:rPr>
          <w:rFonts w:eastAsia="Calibri"/>
        </w:rPr>
        <w:t xml:space="preserve"> (5.1)] and data from animal studies, EXKIVITY can cause </w:t>
      </w:r>
      <w:proofErr w:type="spellStart"/>
      <w:r>
        <w:rPr>
          <w:rFonts w:eastAsia="Calibri"/>
        </w:rPr>
        <w:t>fetal</w:t>
      </w:r>
      <w:proofErr w:type="spellEnd"/>
      <w:r>
        <w:rPr>
          <w:rFonts w:eastAsia="Calibri"/>
        </w:rPr>
        <w:t xml:space="preserve"> harm when administered during pregnancy. Advise patients of the potential risk to a </w:t>
      </w:r>
      <w:proofErr w:type="spellStart"/>
      <w:r>
        <w:rPr>
          <w:rFonts w:eastAsia="Calibri"/>
        </w:rPr>
        <w:t>fetus</w:t>
      </w:r>
      <w:proofErr w:type="spellEnd"/>
      <w:r>
        <w:rPr>
          <w:rFonts w:eastAsia="Calibri"/>
        </w:rPr>
        <w:t>.</w:t>
      </w:r>
    </w:p>
    <w:p w14:paraId="2832C74F" w14:textId="77777777" w:rsidR="00260FE5" w:rsidRDefault="003436C9">
      <w:r>
        <w:rPr>
          <w:rFonts w:eastAsia="Calibri"/>
        </w:rPr>
        <w:t>In an embryo-</w:t>
      </w:r>
      <w:proofErr w:type="spellStart"/>
      <w:r>
        <w:rPr>
          <w:rFonts w:eastAsia="Calibri"/>
        </w:rPr>
        <w:t>fetal</w:t>
      </w:r>
      <w:proofErr w:type="spellEnd"/>
      <w:r>
        <w:rPr>
          <w:rFonts w:eastAsia="Calibri"/>
        </w:rPr>
        <w:t xml:space="preserve"> development study, oral administration of mobocertinib once daily to pregnant rats during the period of organogenesis resulted in maternal toxicity (reduced body weight gain and food consumption) at 10 mg/kg (approximately 1.7 times the human exposure at the recommended clinical dose). Adverse effects on embryo-</w:t>
      </w:r>
      <w:proofErr w:type="spellStart"/>
      <w:r>
        <w:rPr>
          <w:rFonts w:eastAsia="Calibri"/>
        </w:rPr>
        <w:t>fetal</w:t>
      </w:r>
      <w:proofErr w:type="spellEnd"/>
      <w:r>
        <w:rPr>
          <w:rFonts w:eastAsia="Calibri"/>
        </w:rPr>
        <w:t xml:space="preserve"> development at this dose level, included embryo-</w:t>
      </w:r>
      <w:proofErr w:type="spellStart"/>
      <w:r>
        <w:rPr>
          <w:rFonts w:eastAsia="Calibri"/>
        </w:rPr>
        <w:t>fetal</w:t>
      </w:r>
      <w:proofErr w:type="spellEnd"/>
      <w:r>
        <w:rPr>
          <w:rFonts w:eastAsia="Calibri"/>
        </w:rPr>
        <w:t xml:space="preserve"> death and effects on </w:t>
      </w:r>
      <w:proofErr w:type="spellStart"/>
      <w:r>
        <w:rPr>
          <w:rFonts w:eastAsia="Calibri"/>
        </w:rPr>
        <w:t>fetal</w:t>
      </w:r>
      <w:proofErr w:type="spellEnd"/>
      <w:r>
        <w:rPr>
          <w:rFonts w:eastAsia="Calibri"/>
        </w:rPr>
        <w:t xml:space="preserve"> growth (decreased </w:t>
      </w:r>
      <w:proofErr w:type="spellStart"/>
      <w:r>
        <w:rPr>
          <w:rFonts w:eastAsia="Calibri"/>
        </w:rPr>
        <w:t>fetal</w:t>
      </w:r>
      <w:proofErr w:type="spellEnd"/>
      <w:r>
        <w:rPr>
          <w:rFonts w:eastAsia="Calibri"/>
        </w:rPr>
        <w:t xml:space="preserve"> weights). There was no clear evidence of teratogenicity (</w:t>
      </w:r>
      <w:proofErr w:type="spellStart"/>
      <w:r>
        <w:rPr>
          <w:rFonts w:eastAsia="Calibri"/>
        </w:rPr>
        <w:t>fetal</w:t>
      </w:r>
      <w:proofErr w:type="spellEnd"/>
      <w:r>
        <w:rPr>
          <w:rFonts w:eastAsia="Calibri"/>
        </w:rPr>
        <w:t xml:space="preserve"> malformations) at this dose level, which was the highest tested.</w:t>
      </w:r>
    </w:p>
    <w:p w14:paraId="2832C750" w14:textId="77777777" w:rsidR="00260FE5" w:rsidRDefault="003436C9" w:rsidP="00A90FCB">
      <w:pPr>
        <w:pStyle w:val="Heading3"/>
        <w:pageBreakBefore/>
      </w:pPr>
      <w:r>
        <w:lastRenderedPageBreak/>
        <w:t>Use in lactation</w:t>
      </w:r>
    </w:p>
    <w:p w14:paraId="2832C751" w14:textId="77777777" w:rsidR="00260FE5" w:rsidRDefault="003436C9">
      <w:r>
        <w:rPr>
          <w:rFonts w:eastAsia="Calibri"/>
        </w:rPr>
        <w:t>There are no data on the presence of mobocertinib or its metabolites in human milk, or their effects on a breastfed child or on milk production. Because of the potential for serious adverse reactions in a breastfed child, advise patients not to breastfeed during treatment with EXKIVITY and for one week following the final dose.</w:t>
      </w:r>
    </w:p>
    <w:p w14:paraId="2832C752" w14:textId="77777777" w:rsidR="00260FE5" w:rsidRDefault="003436C9">
      <w:pPr>
        <w:pStyle w:val="Heading2"/>
      </w:pPr>
      <w:r>
        <w:t>4.7</w:t>
      </w:r>
      <w:r>
        <w:tab/>
        <w:t xml:space="preserve">EFFECTS ON ABILITY TO DRIVE AND USE MACHINES </w:t>
      </w:r>
    </w:p>
    <w:p w14:paraId="2832C753" w14:textId="77777777" w:rsidR="00260FE5" w:rsidRDefault="003436C9">
      <w:r>
        <w:t>There are no data on the effect of mobocertinib on the ability to drive or operate machinery.  Fatigue has been observed in clinical trials. Advise patients not to drive or operate machines if they experience fatigue while taking mobocertinib.</w:t>
      </w:r>
    </w:p>
    <w:p w14:paraId="2832C754" w14:textId="77777777" w:rsidR="00260FE5" w:rsidRDefault="003436C9">
      <w:pPr>
        <w:pStyle w:val="Heading2"/>
      </w:pPr>
      <w:r>
        <w:t>4.8</w:t>
      </w:r>
      <w:r>
        <w:tab/>
        <w:t xml:space="preserve">ADVERSE EFFECTS (UNDESIRABLE EFFECTS) </w:t>
      </w:r>
    </w:p>
    <w:p w14:paraId="2832C755" w14:textId="77777777" w:rsidR="00260FE5" w:rsidRDefault="003436C9">
      <w:bookmarkStart w:id="5" w:name="_Hlk103688173"/>
      <w:r>
        <w:t>The following clinically significant adverse reactions are described elsewhere in the Product Information:</w:t>
      </w:r>
    </w:p>
    <w:p w14:paraId="2832C756" w14:textId="77777777" w:rsidR="00260FE5" w:rsidRDefault="003436C9">
      <w:pPr>
        <w:pStyle w:val="ListParagraph"/>
        <w:numPr>
          <w:ilvl w:val="0"/>
          <w:numId w:val="20"/>
        </w:numPr>
        <w:rPr>
          <w:iCs/>
        </w:rPr>
      </w:pPr>
      <w:r>
        <w:rPr>
          <w:iCs/>
        </w:rPr>
        <w:t xml:space="preserve">QTc prolongation [see </w:t>
      </w:r>
      <w:r>
        <w:t>Special warnings and precautions for use</w:t>
      </w:r>
      <w:r>
        <w:rPr>
          <w:iCs/>
        </w:rPr>
        <w:t xml:space="preserve"> (4.4)] </w:t>
      </w:r>
    </w:p>
    <w:p w14:paraId="2832C757" w14:textId="77777777" w:rsidR="00260FE5" w:rsidRDefault="003436C9">
      <w:pPr>
        <w:pStyle w:val="ListParagraph"/>
        <w:numPr>
          <w:ilvl w:val="0"/>
          <w:numId w:val="20"/>
        </w:numPr>
        <w:rPr>
          <w:iCs/>
        </w:rPr>
      </w:pPr>
      <w:r>
        <w:t xml:space="preserve">Interstitial lung disease/pneumonitis </w:t>
      </w:r>
      <w:r>
        <w:rPr>
          <w:iCs/>
        </w:rPr>
        <w:t xml:space="preserve">[see </w:t>
      </w:r>
      <w:r>
        <w:rPr>
          <w:i/>
        </w:rPr>
        <w:t>Special warnings and precautions for use</w:t>
      </w:r>
      <w:r>
        <w:rPr>
          <w:iCs/>
        </w:rPr>
        <w:t xml:space="preserve"> (4.4)]</w:t>
      </w:r>
    </w:p>
    <w:p w14:paraId="2832C758" w14:textId="77777777" w:rsidR="00260FE5" w:rsidRDefault="003436C9">
      <w:pPr>
        <w:pStyle w:val="ListParagraph"/>
        <w:numPr>
          <w:ilvl w:val="0"/>
          <w:numId w:val="20"/>
        </w:numPr>
      </w:pPr>
      <w:r>
        <w:t xml:space="preserve">Cardiac failure [see </w:t>
      </w:r>
      <w:r>
        <w:rPr>
          <w:i/>
        </w:rPr>
        <w:t>Special warnings and precautions for use</w:t>
      </w:r>
      <w:r>
        <w:t xml:space="preserve"> (4.4)] </w:t>
      </w:r>
    </w:p>
    <w:p w14:paraId="2832C759" w14:textId="77777777" w:rsidR="00260FE5" w:rsidRDefault="003436C9">
      <w:pPr>
        <w:pStyle w:val="ListParagraph"/>
        <w:numPr>
          <w:ilvl w:val="0"/>
          <w:numId w:val="20"/>
        </w:numPr>
      </w:pPr>
      <w:r>
        <w:t xml:space="preserve">Diarrhoea [see </w:t>
      </w:r>
      <w:r>
        <w:rPr>
          <w:i/>
        </w:rPr>
        <w:t>Special warnings and precautions for use</w:t>
      </w:r>
      <w:r>
        <w:t xml:space="preserve"> (4.4)] </w:t>
      </w:r>
    </w:p>
    <w:p w14:paraId="2832C75A" w14:textId="77777777" w:rsidR="00260FE5" w:rsidRDefault="003436C9">
      <w:pPr>
        <w:pStyle w:val="Heading3"/>
      </w:pPr>
      <w:r>
        <w:t>Clinical trials experience</w:t>
      </w:r>
    </w:p>
    <w:p w14:paraId="2832C75B" w14:textId="77777777" w:rsidR="00260FE5" w:rsidRDefault="003436C9">
      <w:pPr>
        <w:rPr>
          <w:shd w:val="clear" w:color="auto" w:fill="FFFFFF" w:themeFill="background1"/>
        </w:rPr>
      </w:pPr>
      <w:r>
        <w:t>Because clinical trials are conducted under widely varying conditions, adverse reaction rates observed in the clinical trials of a drug cannot be directly compared to rates in the clinical trials of another drug and may not reflect the rates observed in practice</w:t>
      </w:r>
      <w:r>
        <w:rPr>
          <w:shd w:val="clear" w:color="auto" w:fill="FFFFFF" w:themeFill="background1"/>
        </w:rPr>
        <w:t>.</w:t>
      </w:r>
    </w:p>
    <w:p w14:paraId="2832C75C" w14:textId="77777777" w:rsidR="00260FE5" w:rsidRDefault="003436C9">
      <w:bookmarkStart w:id="6" w:name="_Hlk62809193"/>
      <w:r>
        <w:t xml:space="preserve">The pooled EXKIVITY safety population described in </w:t>
      </w:r>
      <w:r>
        <w:rPr>
          <w:i/>
        </w:rPr>
        <w:t>Special warnings and precautions for use</w:t>
      </w:r>
      <w:r>
        <w:t xml:space="preserve"> (4.4) reflects exposure to EXKIVITY as a single agent at a dose of 160 mg orally once daily in 256 patients, including 114 patients from Study AP32788-15-101 with locally advanced or metastatic NSCLC harbouring an EGFR exon 20 insertion mutation, and patients with other solid tumours. Forty-eight percent (48%) were exposed for 6 months or longer and 12% were exposed for greater than one year. The most common (&gt;20%) adverse reactions were diarrhoea, rash, nausea, stomatitis, vomiting, decreased appetite, paronychia, fatigue, dry skin, and musculoskeletal pain. The most common (≥2%) Grade 3 or 4 laboratory abnormalities were decreased lymphocytes, increased amylase, increased lipase, decreased potassium, decreased haemoglobin, increased creatinine, and decreased magnesium. </w:t>
      </w:r>
    </w:p>
    <w:p w14:paraId="2832C75D" w14:textId="77777777" w:rsidR="00260FE5" w:rsidRDefault="003436C9">
      <w:pPr>
        <w:pStyle w:val="Heading3"/>
      </w:pPr>
      <w:r>
        <w:t>Locally advanced or metastatic NSCLC harbouring an EGFR exon 20 insertion mutation, that has been previously treated with platinum-based chemotherapy</w:t>
      </w:r>
    </w:p>
    <w:p w14:paraId="2832C75E" w14:textId="77777777" w:rsidR="00260FE5" w:rsidRDefault="003436C9">
      <w:r>
        <w:t xml:space="preserve">The safety of EXKIVITY was evaluated in a subset of patients in Study AP32788-15-101 who had locally advanced or metastatic NSCLC harbouring an EGFR exon 20 insertion mutation, and who had received prior platinum-based chemotherapy [see </w:t>
      </w:r>
      <w:r>
        <w:rPr>
          <w:i/>
          <w:iCs/>
        </w:rPr>
        <w:t>Pharmacodynamic properties – Clinical trials</w:t>
      </w:r>
      <w:r>
        <w:t xml:space="preserve"> (5.1)]. Patients with a history of interstitial lung disease; drug-related pneumonitis, radiation pneumonitis that required steroid treatment; significant, uncontrolled, </w:t>
      </w:r>
      <w:r>
        <w:lastRenderedPageBreak/>
        <w:t>active cardiovascular disease; or prolonged QTc interval were excluded from enrolment in this trial.</w:t>
      </w:r>
    </w:p>
    <w:p w14:paraId="2832C75F" w14:textId="77777777" w:rsidR="00260FE5" w:rsidRDefault="003436C9">
      <w:r>
        <w:t xml:space="preserve">A total of 114 patients received EXKIVITY 160 mg once daily until disease progression or unacceptable toxicity; 60% were exposed for 6 months or longer and 14% were exposed for longer than a year. </w:t>
      </w:r>
    </w:p>
    <w:p w14:paraId="2832C760" w14:textId="77777777" w:rsidR="00260FE5" w:rsidRDefault="003436C9">
      <w:r>
        <w:t xml:space="preserve">Serious adverse reactions occurred in 46% of patients who received EXKIVITY. Serious adverse reactions in ≥2% of patients included diarrhoea, dyspnoea, vomiting, pyrexia, acute kidney injury, nausea, pleural effusion, and cardiac failure. Fatal adverse reactions occurred in 1.8% of patients who received EXKIVITY, including cardiac failure (0.9%), and pneumonitis (0.9%). </w:t>
      </w:r>
    </w:p>
    <w:p w14:paraId="2832C761" w14:textId="77777777" w:rsidR="00260FE5" w:rsidRDefault="003436C9">
      <w:r>
        <w:t xml:space="preserve">Permanent discontinuation due to an adverse reaction occurred in 17% of patients who received EXKIVITY. Diarrhoea and nausea each led to permanent discontinuation of EXKIVITY in at least 2% of patients. </w:t>
      </w:r>
    </w:p>
    <w:p w14:paraId="2832C762" w14:textId="77777777" w:rsidR="00260FE5" w:rsidRDefault="003436C9">
      <w:r>
        <w:t xml:space="preserve">Dose interruptions of EXKIVITY due to an adverse reaction occurred in 51% of patients. Adverse reactions which necessitated dose interruption in &gt;5% of patients included diarrhoea, </w:t>
      </w:r>
      <w:proofErr w:type="gramStart"/>
      <w:r>
        <w:t>nausea</w:t>
      </w:r>
      <w:proofErr w:type="gramEnd"/>
      <w:r>
        <w:t xml:space="preserve"> and vomiting. </w:t>
      </w:r>
    </w:p>
    <w:p w14:paraId="2832C763" w14:textId="77777777" w:rsidR="00260FE5" w:rsidRDefault="003436C9">
      <w:r>
        <w:t>Dose reductions of EXKIVITY due to an adverse reaction occurred in 25% of patients. The only adverse reaction that led to dose reduction in &gt;5% of patients was diarrhoea.</w:t>
      </w:r>
    </w:p>
    <w:p w14:paraId="2832C764" w14:textId="77777777" w:rsidR="00260FE5" w:rsidRDefault="003436C9">
      <w:r>
        <w:rPr>
          <w:i/>
          <w:iCs/>
        </w:rPr>
        <w:t>Table 3</w:t>
      </w:r>
      <w:r>
        <w:t xml:space="preserve"> summarises the adverse reactions in Study AP32788-15-101. </w:t>
      </w:r>
      <w:bookmarkEnd w:id="6"/>
    </w:p>
    <w:p w14:paraId="7D264F46" w14:textId="77777777" w:rsidR="00440780" w:rsidRDefault="00440780">
      <w:pPr>
        <w:spacing w:before="0" w:after="200" w:line="276" w:lineRule="auto"/>
        <w:rPr>
          <w:rFonts w:cs="Times New Roman"/>
          <w:b/>
          <w:bCs/>
          <w:szCs w:val="24"/>
          <w:lang w:val="en-GB"/>
        </w:rPr>
      </w:pPr>
      <w:r>
        <w:br w:type="page"/>
      </w:r>
    </w:p>
    <w:p w14:paraId="2832C765" w14:textId="5A25F49F" w:rsidR="00260FE5" w:rsidRDefault="003436C9">
      <w:pPr>
        <w:pStyle w:val="Tabletitle"/>
      </w:pPr>
      <w:r>
        <w:lastRenderedPageBreak/>
        <w:t>Table 3. Adverse reactions that occurred in at least 10% of patients with NSCLC harbouring an EGFR exon 20 insertion mutation, whose disease had progressed on or after platinum-based chemotherapy, and who received mobocertinib in Study AP32788-15-101</w:t>
      </w:r>
    </w:p>
    <w:p w14:paraId="2832C766" w14:textId="77777777" w:rsidR="00260FE5" w:rsidRDefault="00260FE5">
      <w:pPr>
        <w:pStyle w:val="Tabletitle"/>
      </w:pPr>
    </w:p>
    <w:tbl>
      <w:tblPr>
        <w:tblStyle w:val="TableGrid"/>
        <w:tblW w:w="9116" w:type="dxa"/>
        <w:jc w:val="center"/>
        <w:tblLook w:val="04A0" w:firstRow="1" w:lastRow="0" w:firstColumn="1" w:lastColumn="0" w:noHBand="0" w:noVBand="1"/>
      </w:tblPr>
      <w:tblGrid>
        <w:gridCol w:w="5310"/>
        <w:gridCol w:w="1980"/>
        <w:gridCol w:w="1826"/>
      </w:tblGrid>
      <w:tr w:rsidR="00260FE5" w14:paraId="2832C76A" w14:textId="77777777">
        <w:trPr>
          <w:trHeight w:val="259"/>
          <w:jc w:val="center"/>
        </w:trPr>
        <w:tc>
          <w:tcPr>
            <w:tcW w:w="5310" w:type="dxa"/>
            <w:vMerge w:val="restart"/>
            <w:vAlign w:val="center"/>
          </w:tcPr>
          <w:p w14:paraId="2832C767" w14:textId="77777777" w:rsidR="00260FE5" w:rsidRDefault="003436C9">
            <w:pPr>
              <w:keepNext/>
              <w:spacing w:before="40" w:after="40"/>
              <w:jc w:val="center"/>
              <w:rPr>
                <w:rFonts w:cs="Times New Roman"/>
                <w:b/>
                <w:spacing w:val="0"/>
                <w:szCs w:val="24"/>
              </w:rPr>
            </w:pPr>
            <w:r>
              <w:rPr>
                <w:rFonts w:cs="Times New Roman"/>
                <w:b/>
                <w:spacing w:val="0"/>
                <w:szCs w:val="24"/>
              </w:rPr>
              <w:t>Adverse Reaction</w:t>
            </w:r>
          </w:p>
        </w:tc>
        <w:tc>
          <w:tcPr>
            <w:tcW w:w="3806" w:type="dxa"/>
            <w:gridSpan w:val="2"/>
          </w:tcPr>
          <w:p w14:paraId="2832C768" w14:textId="77777777" w:rsidR="00260FE5" w:rsidRDefault="003436C9">
            <w:pPr>
              <w:keepNext/>
              <w:spacing w:before="40" w:after="0"/>
              <w:jc w:val="center"/>
              <w:rPr>
                <w:rFonts w:cs="Times New Roman"/>
                <w:b/>
                <w:spacing w:val="0"/>
                <w:szCs w:val="24"/>
              </w:rPr>
            </w:pPr>
            <w:r>
              <w:rPr>
                <w:rFonts w:cs="Times New Roman"/>
                <w:b/>
                <w:spacing w:val="0"/>
                <w:szCs w:val="24"/>
              </w:rPr>
              <w:t>EXKIVITY</w:t>
            </w:r>
          </w:p>
          <w:p w14:paraId="2832C769" w14:textId="77777777" w:rsidR="00260FE5" w:rsidRDefault="003436C9">
            <w:pPr>
              <w:keepNext/>
              <w:spacing w:before="0" w:after="40"/>
              <w:jc w:val="center"/>
              <w:rPr>
                <w:rFonts w:cs="Times New Roman"/>
                <w:b/>
                <w:spacing w:val="0"/>
                <w:szCs w:val="24"/>
              </w:rPr>
            </w:pPr>
            <w:r>
              <w:rPr>
                <w:rFonts w:cs="Times New Roman"/>
                <w:b/>
                <w:spacing w:val="0"/>
                <w:szCs w:val="24"/>
              </w:rPr>
              <w:t>(N = 114)</w:t>
            </w:r>
          </w:p>
        </w:tc>
      </w:tr>
      <w:tr w:rsidR="00260FE5" w14:paraId="2832C770" w14:textId="77777777">
        <w:trPr>
          <w:trHeight w:val="259"/>
          <w:jc w:val="center"/>
        </w:trPr>
        <w:tc>
          <w:tcPr>
            <w:tcW w:w="5310" w:type="dxa"/>
            <w:vMerge/>
          </w:tcPr>
          <w:p w14:paraId="2832C76B" w14:textId="77777777" w:rsidR="00260FE5" w:rsidRDefault="00260FE5">
            <w:pPr>
              <w:spacing w:before="40" w:after="40"/>
              <w:rPr>
                <w:rFonts w:cs="Times New Roman"/>
                <w:b/>
                <w:spacing w:val="0"/>
                <w:szCs w:val="24"/>
              </w:rPr>
            </w:pPr>
          </w:p>
        </w:tc>
        <w:tc>
          <w:tcPr>
            <w:tcW w:w="1980" w:type="dxa"/>
          </w:tcPr>
          <w:p w14:paraId="2832C76C" w14:textId="77777777" w:rsidR="00260FE5" w:rsidRDefault="003436C9">
            <w:pPr>
              <w:spacing w:before="40" w:after="0"/>
              <w:jc w:val="center"/>
              <w:rPr>
                <w:rFonts w:cs="Times New Roman"/>
                <w:b/>
                <w:spacing w:val="0"/>
                <w:szCs w:val="24"/>
              </w:rPr>
            </w:pPr>
            <w:r>
              <w:rPr>
                <w:rFonts w:cs="Times New Roman"/>
                <w:b/>
                <w:spacing w:val="0"/>
                <w:szCs w:val="24"/>
              </w:rPr>
              <w:t>All Grades*</w:t>
            </w:r>
          </w:p>
          <w:p w14:paraId="2832C76D" w14:textId="77777777" w:rsidR="00260FE5" w:rsidRDefault="003436C9">
            <w:pPr>
              <w:spacing w:before="0" w:after="40"/>
              <w:jc w:val="center"/>
              <w:rPr>
                <w:rFonts w:cs="Times New Roman"/>
                <w:b/>
                <w:spacing w:val="0"/>
                <w:szCs w:val="24"/>
              </w:rPr>
            </w:pPr>
            <w:r>
              <w:rPr>
                <w:rFonts w:cs="Times New Roman"/>
                <w:b/>
                <w:spacing w:val="0"/>
                <w:szCs w:val="24"/>
              </w:rPr>
              <w:t>(%)</w:t>
            </w:r>
          </w:p>
        </w:tc>
        <w:tc>
          <w:tcPr>
            <w:tcW w:w="1826" w:type="dxa"/>
          </w:tcPr>
          <w:p w14:paraId="2832C76E" w14:textId="77777777" w:rsidR="00260FE5" w:rsidRDefault="003436C9">
            <w:pPr>
              <w:spacing w:before="40" w:after="0"/>
              <w:jc w:val="center"/>
              <w:rPr>
                <w:rFonts w:cs="Times New Roman"/>
                <w:b/>
                <w:spacing w:val="0"/>
                <w:szCs w:val="24"/>
              </w:rPr>
            </w:pPr>
            <w:r>
              <w:rPr>
                <w:rFonts w:cs="Times New Roman"/>
                <w:b/>
                <w:spacing w:val="0"/>
                <w:szCs w:val="24"/>
              </w:rPr>
              <w:t>Grade 3 or 4</w:t>
            </w:r>
          </w:p>
          <w:p w14:paraId="2832C76F" w14:textId="77777777" w:rsidR="00260FE5" w:rsidRDefault="003436C9">
            <w:pPr>
              <w:spacing w:before="0" w:after="40"/>
              <w:jc w:val="center"/>
              <w:rPr>
                <w:rFonts w:cs="Times New Roman"/>
                <w:b/>
                <w:spacing w:val="0"/>
                <w:szCs w:val="24"/>
              </w:rPr>
            </w:pPr>
            <w:r>
              <w:rPr>
                <w:rFonts w:cs="Times New Roman"/>
                <w:b/>
                <w:spacing w:val="0"/>
                <w:szCs w:val="24"/>
              </w:rPr>
              <w:t>(%)</w:t>
            </w:r>
          </w:p>
        </w:tc>
      </w:tr>
      <w:tr w:rsidR="00260FE5" w14:paraId="2832C772" w14:textId="77777777">
        <w:trPr>
          <w:trHeight w:val="259"/>
          <w:jc w:val="center"/>
        </w:trPr>
        <w:tc>
          <w:tcPr>
            <w:tcW w:w="9116" w:type="dxa"/>
            <w:gridSpan w:val="3"/>
          </w:tcPr>
          <w:p w14:paraId="2832C771" w14:textId="1CC4157C" w:rsidR="00260FE5" w:rsidRDefault="003436C9">
            <w:pPr>
              <w:spacing w:before="40" w:after="40"/>
              <w:rPr>
                <w:rFonts w:cs="Times New Roman"/>
                <w:i/>
                <w:spacing w:val="0"/>
                <w:szCs w:val="24"/>
              </w:rPr>
            </w:pPr>
            <w:r>
              <w:rPr>
                <w:rFonts w:cs="Times New Roman"/>
                <w:b/>
                <w:spacing w:val="0"/>
                <w:szCs w:val="24"/>
              </w:rPr>
              <w:t>Gastrointestinal disorders</w:t>
            </w:r>
          </w:p>
        </w:tc>
      </w:tr>
      <w:tr w:rsidR="00260FE5" w14:paraId="2832C776" w14:textId="77777777">
        <w:trPr>
          <w:trHeight w:val="259"/>
          <w:jc w:val="center"/>
        </w:trPr>
        <w:tc>
          <w:tcPr>
            <w:tcW w:w="5310" w:type="dxa"/>
          </w:tcPr>
          <w:p w14:paraId="2832C773" w14:textId="77777777" w:rsidR="00260FE5" w:rsidRDefault="003436C9">
            <w:pPr>
              <w:spacing w:before="40" w:after="40"/>
              <w:ind w:left="720"/>
              <w:rPr>
                <w:rFonts w:cs="Times New Roman"/>
                <w:i/>
                <w:spacing w:val="0"/>
                <w:szCs w:val="24"/>
              </w:rPr>
            </w:pPr>
            <w:r>
              <w:rPr>
                <w:rFonts w:cs="Times New Roman"/>
                <w:spacing w:val="0"/>
                <w:szCs w:val="24"/>
              </w:rPr>
              <w:t>Diarrhoea</w:t>
            </w:r>
          </w:p>
        </w:tc>
        <w:tc>
          <w:tcPr>
            <w:tcW w:w="1980" w:type="dxa"/>
          </w:tcPr>
          <w:p w14:paraId="2832C774" w14:textId="77777777" w:rsidR="00260FE5" w:rsidRDefault="003436C9">
            <w:pPr>
              <w:spacing w:before="40" w:after="40"/>
              <w:jc w:val="center"/>
              <w:rPr>
                <w:rFonts w:cs="Times New Roman"/>
                <w:spacing w:val="0"/>
                <w:szCs w:val="24"/>
              </w:rPr>
            </w:pPr>
            <w:r>
              <w:rPr>
                <w:rFonts w:cs="Times New Roman"/>
                <w:spacing w:val="0"/>
                <w:szCs w:val="24"/>
              </w:rPr>
              <w:t>92</w:t>
            </w:r>
          </w:p>
        </w:tc>
        <w:tc>
          <w:tcPr>
            <w:tcW w:w="1826" w:type="dxa"/>
          </w:tcPr>
          <w:p w14:paraId="2832C775" w14:textId="77777777" w:rsidR="00260FE5" w:rsidRDefault="003436C9">
            <w:pPr>
              <w:spacing w:before="40" w:after="40"/>
              <w:jc w:val="center"/>
              <w:rPr>
                <w:rFonts w:cs="Times New Roman"/>
                <w:spacing w:val="0"/>
                <w:szCs w:val="24"/>
              </w:rPr>
            </w:pPr>
            <w:r>
              <w:rPr>
                <w:rFonts w:cs="Times New Roman"/>
                <w:spacing w:val="0"/>
                <w:szCs w:val="24"/>
              </w:rPr>
              <w:t>22</w:t>
            </w:r>
          </w:p>
        </w:tc>
      </w:tr>
      <w:tr w:rsidR="00260FE5" w14:paraId="2832C77A" w14:textId="77777777">
        <w:trPr>
          <w:trHeight w:val="259"/>
          <w:jc w:val="center"/>
        </w:trPr>
        <w:tc>
          <w:tcPr>
            <w:tcW w:w="5310" w:type="dxa"/>
          </w:tcPr>
          <w:p w14:paraId="2832C777" w14:textId="77777777" w:rsidR="00260FE5" w:rsidRDefault="003436C9">
            <w:pPr>
              <w:spacing w:before="40" w:after="40"/>
              <w:ind w:left="720"/>
              <w:rPr>
                <w:rFonts w:cs="Times New Roman"/>
                <w:i/>
                <w:spacing w:val="0"/>
                <w:szCs w:val="24"/>
              </w:rPr>
            </w:pPr>
            <w:proofErr w:type="spellStart"/>
            <w:r>
              <w:rPr>
                <w:rFonts w:cs="Times New Roman"/>
                <w:spacing w:val="0"/>
                <w:szCs w:val="24"/>
              </w:rPr>
              <w:t>Stomatitis</w:t>
            </w:r>
            <w:r>
              <w:rPr>
                <w:rFonts w:cs="Times New Roman"/>
                <w:spacing w:val="0"/>
                <w:szCs w:val="24"/>
                <w:vertAlign w:val="superscript"/>
              </w:rPr>
              <w:t>a</w:t>
            </w:r>
            <w:proofErr w:type="spellEnd"/>
          </w:p>
        </w:tc>
        <w:tc>
          <w:tcPr>
            <w:tcW w:w="1980" w:type="dxa"/>
          </w:tcPr>
          <w:p w14:paraId="2832C778" w14:textId="77777777" w:rsidR="00260FE5" w:rsidRDefault="003436C9">
            <w:pPr>
              <w:spacing w:before="40" w:after="40"/>
              <w:jc w:val="center"/>
              <w:rPr>
                <w:rFonts w:cs="Times New Roman"/>
                <w:spacing w:val="0"/>
                <w:szCs w:val="24"/>
              </w:rPr>
            </w:pPr>
            <w:r>
              <w:rPr>
                <w:rFonts w:cs="Times New Roman"/>
                <w:spacing w:val="0"/>
                <w:szCs w:val="24"/>
              </w:rPr>
              <w:t>46</w:t>
            </w:r>
          </w:p>
        </w:tc>
        <w:tc>
          <w:tcPr>
            <w:tcW w:w="1826" w:type="dxa"/>
          </w:tcPr>
          <w:p w14:paraId="2832C779" w14:textId="77777777" w:rsidR="00260FE5" w:rsidRDefault="003436C9">
            <w:pPr>
              <w:spacing w:before="40" w:after="40"/>
              <w:jc w:val="center"/>
              <w:rPr>
                <w:rFonts w:cs="Times New Roman"/>
                <w:spacing w:val="0"/>
                <w:szCs w:val="24"/>
              </w:rPr>
            </w:pPr>
            <w:r>
              <w:rPr>
                <w:rFonts w:cs="Times New Roman"/>
                <w:spacing w:val="0"/>
                <w:szCs w:val="24"/>
              </w:rPr>
              <w:t>4.4</w:t>
            </w:r>
            <w:r>
              <w:rPr>
                <w:rFonts w:cs="Times New Roman"/>
                <w:spacing w:val="0"/>
                <w:szCs w:val="24"/>
                <w:vertAlign w:val="superscript"/>
              </w:rPr>
              <w:t>**</w:t>
            </w:r>
          </w:p>
        </w:tc>
      </w:tr>
      <w:tr w:rsidR="00260FE5" w14:paraId="2832C77E" w14:textId="77777777">
        <w:trPr>
          <w:trHeight w:val="259"/>
          <w:jc w:val="center"/>
        </w:trPr>
        <w:tc>
          <w:tcPr>
            <w:tcW w:w="5310" w:type="dxa"/>
          </w:tcPr>
          <w:p w14:paraId="2832C77B" w14:textId="77777777" w:rsidR="00260FE5" w:rsidRDefault="003436C9">
            <w:pPr>
              <w:spacing w:before="40" w:after="40"/>
              <w:ind w:left="720"/>
              <w:rPr>
                <w:rFonts w:cs="Times New Roman"/>
                <w:i/>
                <w:spacing w:val="0"/>
                <w:szCs w:val="24"/>
              </w:rPr>
            </w:pPr>
            <w:r>
              <w:rPr>
                <w:rFonts w:cs="Times New Roman"/>
                <w:spacing w:val="0"/>
                <w:szCs w:val="24"/>
              </w:rPr>
              <w:t>Vomiting</w:t>
            </w:r>
          </w:p>
        </w:tc>
        <w:tc>
          <w:tcPr>
            <w:tcW w:w="1980" w:type="dxa"/>
          </w:tcPr>
          <w:p w14:paraId="2832C77C" w14:textId="77777777" w:rsidR="00260FE5" w:rsidRDefault="003436C9">
            <w:pPr>
              <w:spacing w:before="40" w:after="40"/>
              <w:jc w:val="center"/>
              <w:rPr>
                <w:rFonts w:cs="Times New Roman"/>
                <w:spacing w:val="0"/>
                <w:szCs w:val="24"/>
              </w:rPr>
            </w:pPr>
            <w:r>
              <w:rPr>
                <w:rFonts w:cs="Times New Roman"/>
                <w:spacing w:val="0"/>
                <w:szCs w:val="24"/>
              </w:rPr>
              <w:t>40</w:t>
            </w:r>
          </w:p>
        </w:tc>
        <w:tc>
          <w:tcPr>
            <w:tcW w:w="1826" w:type="dxa"/>
          </w:tcPr>
          <w:p w14:paraId="2832C77D" w14:textId="77777777" w:rsidR="00260FE5" w:rsidRDefault="003436C9">
            <w:pPr>
              <w:spacing w:before="40" w:after="40"/>
              <w:jc w:val="center"/>
              <w:rPr>
                <w:rFonts w:cs="Times New Roman"/>
                <w:spacing w:val="0"/>
                <w:szCs w:val="24"/>
              </w:rPr>
            </w:pPr>
            <w:r>
              <w:rPr>
                <w:rFonts w:cs="Times New Roman"/>
                <w:spacing w:val="0"/>
                <w:szCs w:val="24"/>
              </w:rPr>
              <w:t>2.6</w:t>
            </w:r>
            <w:r>
              <w:rPr>
                <w:rFonts w:cs="Times New Roman"/>
                <w:spacing w:val="0"/>
                <w:szCs w:val="24"/>
                <w:vertAlign w:val="superscript"/>
              </w:rPr>
              <w:t>**</w:t>
            </w:r>
          </w:p>
        </w:tc>
      </w:tr>
      <w:tr w:rsidR="00260FE5" w14:paraId="2832C782" w14:textId="77777777">
        <w:trPr>
          <w:trHeight w:val="259"/>
          <w:jc w:val="center"/>
        </w:trPr>
        <w:tc>
          <w:tcPr>
            <w:tcW w:w="5310" w:type="dxa"/>
          </w:tcPr>
          <w:p w14:paraId="2832C77F" w14:textId="77777777" w:rsidR="00260FE5" w:rsidRDefault="003436C9">
            <w:pPr>
              <w:spacing w:before="40" w:after="40"/>
              <w:ind w:left="720"/>
              <w:rPr>
                <w:rFonts w:cs="Times New Roman"/>
                <w:spacing w:val="0"/>
                <w:szCs w:val="24"/>
              </w:rPr>
            </w:pPr>
            <w:r>
              <w:rPr>
                <w:rFonts w:cs="Times New Roman"/>
                <w:spacing w:val="0"/>
                <w:szCs w:val="24"/>
              </w:rPr>
              <w:t>Decreased appetite</w:t>
            </w:r>
          </w:p>
        </w:tc>
        <w:tc>
          <w:tcPr>
            <w:tcW w:w="1980" w:type="dxa"/>
          </w:tcPr>
          <w:p w14:paraId="2832C780" w14:textId="77777777" w:rsidR="00260FE5" w:rsidRDefault="003436C9">
            <w:pPr>
              <w:spacing w:before="40" w:after="40"/>
              <w:jc w:val="center"/>
              <w:rPr>
                <w:rFonts w:cs="Times New Roman"/>
                <w:spacing w:val="0"/>
                <w:szCs w:val="24"/>
              </w:rPr>
            </w:pPr>
            <w:r>
              <w:rPr>
                <w:rFonts w:cs="Times New Roman"/>
                <w:spacing w:val="0"/>
                <w:szCs w:val="24"/>
              </w:rPr>
              <w:t>39</w:t>
            </w:r>
          </w:p>
        </w:tc>
        <w:tc>
          <w:tcPr>
            <w:tcW w:w="1826" w:type="dxa"/>
          </w:tcPr>
          <w:p w14:paraId="2832C781" w14:textId="77777777" w:rsidR="00260FE5" w:rsidRDefault="003436C9">
            <w:pPr>
              <w:spacing w:before="40" w:after="40"/>
              <w:jc w:val="center"/>
              <w:rPr>
                <w:rFonts w:cs="Times New Roman"/>
                <w:spacing w:val="0"/>
                <w:szCs w:val="24"/>
              </w:rPr>
            </w:pPr>
            <w:r>
              <w:rPr>
                <w:rFonts w:cs="Times New Roman"/>
                <w:spacing w:val="0"/>
                <w:szCs w:val="24"/>
              </w:rPr>
              <w:t>0.9</w:t>
            </w:r>
            <w:r>
              <w:rPr>
                <w:rFonts w:cs="Times New Roman"/>
                <w:spacing w:val="0"/>
                <w:szCs w:val="24"/>
                <w:vertAlign w:val="superscript"/>
              </w:rPr>
              <w:t>**</w:t>
            </w:r>
          </w:p>
        </w:tc>
      </w:tr>
      <w:tr w:rsidR="00260FE5" w14:paraId="2832C786" w14:textId="77777777">
        <w:trPr>
          <w:trHeight w:val="259"/>
          <w:jc w:val="center"/>
        </w:trPr>
        <w:tc>
          <w:tcPr>
            <w:tcW w:w="5310" w:type="dxa"/>
          </w:tcPr>
          <w:p w14:paraId="2832C783" w14:textId="77777777" w:rsidR="00260FE5" w:rsidRDefault="003436C9">
            <w:pPr>
              <w:spacing w:before="40" w:after="40"/>
              <w:ind w:left="720"/>
              <w:rPr>
                <w:rFonts w:cs="Times New Roman"/>
                <w:i/>
                <w:spacing w:val="0"/>
                <w:szCs w:val="24"/>
              </w:rPr>
            </w:pPr>
            <w:r>
              <w:rPr>
                <w:rFonts w:cs="Times New Roman"/>
                <w:spacing w:val="0"/>
                <w:szCs w:val="24"/>
              </w:rPr>
              <w:t>Nausea</w:t>
            </w:r>
          </w:p>
        </w:tc>
        <w:tc>
          <w:tcPr>
            <w:tcW w:w="1980" w:type="dxa"/>
          </w:tcPr>
          <w:p w14:paraId="2832C784" w14:textId="77777777" w:rsidR="00260FE5" w:rsidRDefault="003436C9">
            <w:pPr>
              <w:spacing w:before="40" w:after="40"/>
              <w:jc w:val="center"/>
              <w:rPr>
                <w:rFonts w:cs="Times New Roman"/>
                <w:spacing w:val="0"/>
                <w:szCs w:val="24"/>
              </w:rPr>
            </w:pPr>
            <w:r>
              <w:rPr>
                <w:rFonts w:cs="Times New Roman"/>
                <w:spacing w:val="0"/>
                <w:szCs w:val="24"/>
              </w:rPr>
              <w:t>37</w:t>
            </w:r>
          </w:p>
        </w:tc>
        <w:tc>
          <w:tcPr>
            <w:tcW w:w="1826" w:type="dxa"/>
          </w:tcPr>
          <w:p w14:paraId="2832C785" w14:textId="77777777" w:rsidR="00260FE5" w:rsidRDefault="003436C9">
            <w:pPr>
              <w:spacing w:before="40" w:after="40"/>
              <w:jc w:val="center"/>
              <w:rPr>
                <w:rFonts w:cs="Times New Roman"/>
                <w:spacing w:val="0"/>
                <w:szCs w:val="24"/>
              </w:rPr>
            </w:pPr>
            <w:r>
              <w:rPr>
                <w:rFonts w:cs="Times New Roman"/>
                <w:spacing w:val="0"/>
                <w:szCs w:val="24"/>
              </w:rPr>
              <w:t>4.4</w:t>
            </w:r>
            <w:r>
              <w:rPr>
                <w:rFonts w:cs="Times New Roman"/>
                <w:spacing w:val="0"/>
                <w:szCs w:val="24"/>
                <w:vertAlign w:val="superscript"/>
              </w:rPr>
              <w:t>**</w:t>
            </w:r>
          </w:p>
        </w:tc>
      </w:tr>
      <w:tr w:rsidR="00260FE5" w14:paraId="2832C78A" w14:textId="77777777">
        <w:trPr>
          <w:trHeight w:val="259"/>
          <w:jc w:val="center"/>
        </w:trPr>
        <w:tc>
          <w:tcPr>
            <w:tcW w:w="5310" w:type="dxa"/>
          </w:tcPr>
          <w:p w14:paraId="2832C787" w14:textId="77777777" w:rsidR="00260FE5" w:rsidRDefault="003436C9">
            <w:pPr>
              <w:spacing w:before="40" w:after="40"/>
              <w:ind w:left="720"/>
              <w:rPr>
                <w:rFonts w:cs="Times New Roman"/>
                <w:spacing w:val="0"/>
                <w:szCs w:val="24"/>
              </w:rPr>
            </w:pPr>
            <w:r>
              <w:rPr>
                <w:rFonts w:cs="Times New Roman"/>
                <w:spacing w:val="0"/>
                <w:szCs w:val="24"/>
              </w:rPr>
              <w:t>Decreased weight</w:t>
            </w:r>
          </w:p>
        </w:tc>
        <w:tc>
          <w:tcPr>
            <w:tcW w:w="1980" w:type="dxa"/>
          </w:tcPr>
          <w:p w14:paraId="2832C788" w14:textId="77777777" w:rsidR="00260FE5" w:rsidRDefault="003436C9">
            <w:pPr>
              <w:spacing w:before="40" w:after="40"/>
              <w:jc w:val="center"/>
              <w:rPr>
                <w:rFonts w:cs="Times New Roman"/>
                <w:spacing w:val="0"/>
                <w:szCs w:val="24"/>
              </w:rPr>
            </w:pPr>
            <w:r>
              <w:rPr>
                <w:rFonts w:cs="Times New Roman"/>
                <w:spacing w:val="0"/>
                <w:szCs w:val="24"/>
              </w:rPr>
              <w:t>21</w:t>
            </w:r>
          </w:p>
        </w:tc>
        <w:tc>
          <w:tcPr>
            <w:tcW w:w="1826" w:type="dxa"/>
          </w:tcPr>
          <w:p w14:paraId="2832C789" w14:textId="77777777" w:rsidR="00260FE5" w:rsidRDefault="003436C9">
            <w:pPr>
              <w:spacing w:before="40" w:after="40"/>
              <w:jc w:val="center"/>
              <w:rPr>
                <w:rFonts w:cs="Times New Roman"/>
                <w:spacing w:val="0"/>
                <w:szCs w:val="24"/>
              </w:rPr>
            </w:pPr>
            <w:r>
              <w:rPr>
                <w:rFonts w:cs="Times New Roman"/>
                <w:spacing w:val="0"/>
                <w:szCs w:val="24"/>
              </w:rPr>
              <w:t>0</w:t>
            </w:r>
          </w:p>
        </w:tc>
      </w:tr>
      <w:tr w:rsidR="00260FE5" w14:paraId="2832C78E" w14:textId="77777777">
        <w:trPr>
          <w:trHeight w:val="259"/>
          <w:jc w:val="center"/>
        </w:trPr>
        <w:tc>
          <w:tcPr>
            <w:tcW w:w="5310" w:type="dxa"/>
          </w:tcPr>
          <w:p w14:paraId="2832C78B" w14:textId="77777777" w:rsidR="00260FE5" w:rsidRDefault="003436C9">
            <w:pPr>
              <w:spacing w:before="40" w:after="40"/>
              <w:ind w:left="720"/>
              <w:rPr>
                <w:rFonts w:cs="Times New Roman"/>
                <w:spacing w:val="0"/>
                <w:szCs w:val="24"/>
                <w:vertAlign w:val="superscript"/>
              </w:rPr>
            </w:pPr>
            <w:r>
              <w:rPr>
                <w:rFonts w:cs="Times New Roman"/>
                <w:spacing w:val="0"/>
                <w:szCs w:val="24"/>
              </w:rPr>
              <w:t xml:space="preserve">Abdominal </w:t>
            </w:r>
            <w:proofErr w:type="spellStart"/>
            <w:r>
              <w:rPr>
                <w:rFonts w:cs="Times New Roman"/>
                <w:spacing w:val="0"/>
                <w:szCs w:val="24"/>
              </w:rPr>
              <w:t>pain</w:t>
            </w:r>
            <w:r>
              <w:rPr>
                <w:rFonts w:cs="Times New Roman"/>
                <w:spacing w:val="0"/>
                <w:szCs w:val="24"/>
                <w:vertAlign w:val="superscript"/>
              </w:rPr>
              <w:t>b</w:t>
            </w:r>
            <w:proofErr w:type="spellEnd"/>
          </w:p>
        </w:tc>
        <w:tc>
          <w:tcPr>
            <w:tcW w:w="1980" w:type="dxa"/>
          </w:tcPr>
          <w:p w14:paraId="2832C78C" w14:textId="77777777" w:rsidR="00260FE5" w:rsidRDefault="003436C9">
            <w:pPr>
              <w:spacing w:before="40" w:after="40"/>
              <w:jc w:val="center"/>
              <w:rPr>
                <w:rFonts w:cs="Times New Roman"/>
                <w:spacing w:val="0"/>
                <w:szCs w:val="24"/>
              </w:rPr>
            </w:pPr>
            <w:r>
              <w:rPr>
                <w:rFonts w:cs="Times New Roman"/>
                <w:spacing w:val="0"/>
                <w:szCs w:val="24"/>
              </w:rPr>
              <w:t>18</w:t>
            </w:r>
          </w:p>
        </w:tc>
        <w:tc>
          <w:tcPr>
            <w:tcW w:w="1826" w:type="dxa"/>
          </w:tcPr>
          <w:p w14:paraId="2832C78D" w14:textId="77777777" w:rsidR="00260FE5" w:rsidRDefault="003436C9">
            <w:pPr>
              <w:spacing w:before="40" w:after="40"/>
              <w:jc w:val="center"/>
              <w:rPr>
                <w:rFonts w:cs="Times New Roman"/>
                <w:spacing w:val="0"/>
                <w:szCs w:val="24"/>
              </w:rPr>
            </w:pPr>
            <w:r>
              <w:rPr>
                <w:rFonts w:cs="Times New Roman"/>
                <w:spacing w:val="0"/>
                <w:szCs w:val="24"/>
              </w:rPr>
              <w:t>1.8</w:t>
            </w:r>
            <w:r>
              <w:rPr>
                <w:rFonts w:cs="Times New Roman"/>
                <w:spacing w:val="0"/>
                <w:szCs w:val="24"/>
                <w:vertAlign w:val="superscript"/>
              </w:rPr>
              <w:t>**</w:t>
            </w:r>
          </w:p>
        </w:tc>
      </w:tr>
      <w:tr w:rsidR="00260FE5" w14:paraId="2832C792" w14:textId="77777777">
        <w:trPr>
          <w:trHeight w:val="259"/>
          <w:jc w:val="center"/>
        </w:trPr>
        <w:tc>
          <w:tcPr>
            <w:tcW w:w="5310" w:type="dxa"/>
          </w:tcPr>
          <w:p w14:paraId="2832C78F" w14:textId="77777777" w:rsidR="00260FE5" w:rsidRDefault="003436C9">
            <w:pPr>
              <w:spacing w:before="40" w:after="40"/>
              <w:ind w:left="720"/>
              <w:rPr>
                <w:rFonts w:cs="Times New Roman"/>
                <w:spacing w:val="0"/>
                <w:szCs w:val="24"/>
              </w:rPr>
            </w:pPr>
            <w:r>
              <w:rPr>
                <w:rFonts w:cs="Times New Roman"/>
                <w:spacing w:val="0"/>
                <w:szCs w:val="24"/>
              </w:rPr>
              <w:t>Gastroesophageal reflux disease</w:t>
            </w:r>
          </w:p>
        </w:tc>
        <w:tc>
          <w:tcPr>
            <w:tcW w:w="1980" w:type="dxa"/>
          </w:tcPr>
          <w:p w14:paraId="2832C790" w14:textId="77777777" w:rsidR="00260FE5" w:rsidRDefault="003436C9">
            <w:pPr>
              <w:spacing w:before="40" w:after="40"/>
              <w:jc w:val="center"/>
              <w:rPr>
                <w:rFonts w:cs="Times New Roman"/>
                <w:spacing w:val="0"/>
                <w:szCs w:val="24"/>
              </w:rPr>
            </w:pPr>
            <w:r>
              <w:rPr>
                <w:rFonts w:cs="Times New Roman"/>
                <w:spacing w:val="0"/>
                <w:szCs w:val="24"/>
              </w:rPr>
              <w:t>15</w:t>
            </w:r>
          </w:p>
        </w:tc>
        <w:tc>
          <w:tcPr>
            <w:tcW w:w="1826" w:type="dxa"/>
          </w:tcPr>
          <w:p w14:paraId="2832C791" w14:textId="77777777" w:rsidR="00260FE5" w:rsidRDefault="003436C9">
            <w:pPr>
              <w:spacing w:before="40" w:after="40"/>
              <w:jc w:val="center"/>
              <w:rPr>
                <w:rFonts w:cs="Times New Roman"/>
                <w:spacing w:val="0"/>
                <w:szCs w:val="24"/>
              </w:rPr>
            </w:pPr>
            <w:r>
              <w:rPr>
                <w:rFonts w:cs="Times New Roman"/>
                <w:spacing w:val="0"/>
                <w:szCs w:val="24"/>
              </w:rPr>
              <w:t>0</w:t>
            </w:r>
          </w:p>
        </w:tc>
      </w:tr>
      <w:tr w:rsidR="00260FE5" w14:paraId="2832C796" w14:textId="77777777">
        <w:trPr>
          <w:trHeight w:val="259"/>
          <w:jc w:val="center"/>
        </w:trPr>
        <w:tc>
          <w:tcPr>
            <w:tcW w:w="5310" w:type="dxa"/>
          </w:tcPr>
          <w:p w14:paraId="2832C793" w14:textId="77777777" w:rsidR="00260FE5" w:rsidRDefault="003436C9">
            <w:pPr>
              <w:spacing w:before="40" w:after="40"/>
              <w:ind w:left="720"/>
              <w:rPr>
                <w:rFonts w:cs="Times New Roman"/>
                <w:spacing w:val="0"/>
                <w:szCs w:val="24"/>
              </w:rPr>
            </w:pPr>
            <w:r>
              <w:rPr>
                <w:rFonts w:cs="Times New Roman"/>
                <w:spacing w:val="0"/>
                <w:szCs w:val="24"/>
              </w:rPr>
              <w:t>Dyspepsia</w:t>
            </w:r>
          </w:p>
        </w:tc>
        <w:tc>
          <w:tcPr>
            <w:tcW w:w="1980" w:type="dxa"/>
          </w:tcPr>
          <w:p w14:paraId="2832C794" w14:textId="77777777" w:rsidR="00260FE5" w:rsidRDefault="003436C9">
            <w:pPr>
              <w:spacing w:before="40" w:after="40"/>
              <w:jc w:val="center"/>
              <w:rPr>
                <w:rFonts w:cs="Times New Roman"/>
                <w:spacing w:val="0"/>
                <w:szCs w:val="24"/>
              </w:rPr>
            </w:pPr>
            <w:r>
              <w:rPr>
                <w:rFonts w:cs="Times New Roman"/>
                <w:spacing w:val="0"/>
                <w:szCs w:val="24"/>
              </w:rPr>
              <w:t>11</w:t>
            </w:r>
          </w:p>
        </w:tc>
        <w:tc>
          <w:tcPr>
            <w:tcW w:w="1826" w:type="dxa"/>
          </w:tcPr>
          <w:p w14:paraId="2832C795" w14:textId="77777777" w:rsidR="00260FE5" w:rsidRDefault="003436C9">
            <w:pPr>
              <w:spacing w:before="40" w:after="40"/>
              <w:jc w:val="center"/>
              <w:rPr>
                <w:rFonts w:cs="Times New Roman"/>
                <w:spacing w:val="0"/>
                <w:szCs w:val="24"/>
              </w:rPr>
            </w:pPr>
            <w:r>
              <w:rPr>
                <w:rFonts w:cs="Times New Roman"/>
                <w:spacing w:val="0"/>
                <w:szCs w:val="24"/>
              </w:rPr>
              <w:t>0</w:t>
            </w:r>
          </w:p>
        </w:tc>
      </w:tr>
      <w:tr w:rsidR="00260FE5" w14:paraId="2832C798" w14:textId="77777777">
        <w:trPr>
          <w:trHeight w:val="317"/>
          <w:jc w:val="center"/>
        </w:trPr>
        <w:tc>
          <w:tcPr>
            <w:tcW w:w="9116" w:type="dxa"/>
            <w:gridSpan w:val="3"/>
          </w:tcPr>
          <w:p w14:paraId="2832C797" w14:textId="6D411F86" w:rsidR="00260FE5" w:rsidRDefault="003436C9">
            <w:pPr>
              <w:spacing w:before="40" w:after="40"/>
              <w:rPr>
                <w:rFonts w:cs="Times New Roman"/>
                <w:spacing w:val="0"/>
                <w:szCs w:val="24"/>
              </w:rPr>
            </w:pPr>
            <w:r>
              <w:rPr>
                <w:rFonts w:cs="Times New Roman"/>
                <w:b/>
                <w:spacing w:val="0"/>
                <w:szCs w:val="24"/>
              </w:rPr>
              <w:t>Skin and subcutaneous tissue disorders</w:t>
            </w:r>
          </w:p>
        </w:tc>
      </w:tr>
      <w:tr w:rsidR="00260FE5" w14:paraId="2832C79C" w14:textId="77777777">
        <w:trPr>
          <w:trHeight w:val="259"/>
          <w:jc w:val="center"/>
        </w:trPr>
        <w:tc>
          <w:tcPr>
            <w:tcW w:w="5310" w:type="dxa"/>
          </w:tcPr>
          <w:p w14:paraId="2832C799" w14:textId="77777777" w:rsidR="00260FE5" w:rsidRDefault="003436C9">
            <w:pPr>
              <w:spacing w:before="40" w:after="40"/>
              <w:ind w:left="720"/>
              <w:rPr>
                <w:rFonts w:cs="Times New Roman"/>
                <w:spacing w:val="0"/>
                <w:szCs w:val="24"/>
              </w:rPr>
            </w:pPr>
            <w:proofErr w:type="spellStart"/>
            <w:r>
              <w:rPr>
                <w:rFonts w:cs="Times New Roman"/>
                <w:spacing w:val="0"/>
                <w:szCs w:val="24"/>
              </w:rPr>
              <w:t>Rash</w:t>
            </w:r>
            <w:r>
              <w:rPr>
                <w:rFonts w:cs="Times New Roman"/>
                <w:spacing w:val="0"/>
                <w:szCs w:val="24"/>
                <w:vertAlign w:val="superscript"/>
              </w:rPr>
              <w:t>c</w:t>
            </w:r>
            <w:proofErr w:type="spellEnd"/>
          </w:p>
        </w:tc>
        <w:tc>
          <w:tcPr>
            <w:tcW w:w="1980" w:type="dxa"/>
          </w:tcPr>
          <w:p w14:paraId="2832C79A" w14:textId="77777777" w:rsidR="00260FE5" w:rsidRDefault="003436C9">
            <w:pPr>
              <w:spacing w:before="40" w:after="40"/>
              <w:jc w:val="center"/>
              <w:rPr>
                <w:rFonts w:cs="Times New Roman"/>
                <w:spacing w:val="0"/>
                <w:szCs w:val="24"/>
              </w:rPr>
            </w:pPr>
            <w:r>
              <w:rPr>
                <w:rFonts w:cs="Times New Roman"/>
                <w:spacing w:val="0"/>
                <w:szCs w:val="24"/>
              </w:rPr>
              <w:t>78</w:t>
            </w:r>
          </w:p>
        </w:tc>
        <w:tc>
          <w:tcPr>
            <w:tcW w:w="1826" w:type="dxa"/>
          </w:tcPr>
          <w:p w14:paraId="2832C79B" w14:textId="77777777" w:rsidR="00260FE5" w:rsidRDefault="003436C9">
            <w:pPr>
              <w:spacing w:before="40" w:after="40"/>
              <w:jc w:val="center"/>
              <w:rPr>
                <w:rFonts w:cs="Times New Roman"/>
                <w:spacing w:val="0"/>
                <w:szCs w:val="24"/>
              </w:rPr>
            </w:pPr>
            <w:r>
              <w:rPr>
                <w:rFonts w:cs="Times New Roman"/>
                <w:spacing w:val="0"/>
                <w:szCs w:val="24"/>
              </w:rPr>
              <w:t>1.8</w:t>
            </w:r>
            <w:r>
              <w:rPr>
                <w:rFonts w:cs="Times New Roman"/>
                <w:spacing w:val="0"/>
                <w:szCs w:val="24"/>
                <w:vertAlign w:val="superscript"/>
              </w:rPr>
              <w:t>**</w:t>
            </w:r>
          </w:p>
        </w:tc>
      </w:tr>
      <w:tr w:rsidR="00260FE5" w14:paraId="2832C7A0" w14:textId="77777777">
        <w:trPr>
          <w:trHeight w:val="259"/>
          <w:jc w:val="center"/>
        </w:trPr>
        <w:tc>
          <w:tcPr>
            <w:tcW w:w="5310" w:type="dxa"/>
          </w:tcPr>
          <w:p w14:paraId="2832C79D" w14:textId="77777777" w:rsidR="00260FE5" w:rsidRDefault="003436C9">
            <w:pPr>
              <w:spacing w:before="40" w:after="40"/>
              <w:ind w:left="720"/>
              <w:rPr>
                <w:rFonts w:cs="Times New Roman"/>
                <w:spacing w:val="0"/>
                <w:szCs w:val="24"/>
              </w:rPr>
            </w:pPr>
            <w:proofErr w:type="spellStart"/>
            <w:r>
              <w:rPr>
                <w:rFonts w:cs="Times New Roman"/>
                <w:spacing w:val="0"/>
                <w:szCs w:val="24"/>
              </w:rPr>
              <w:t>Paronychia</w:t>
            </w:r>
            <w:r>
              <w:rPr>
                <w:rFonts w:cs="Times New Roman"/>
                <w:spacing w:val="0"/>
                <w:szCs w:val="24"/>
                <w:vertAlign w:val="superscript"/>
              </w:rPr>
              <w:t>d</w:t>
            </w:r>
            <w:proofErr w:type="spellEnd"/>
          </w:p>
        </w:tc>
        <w:tc>
          <w:tcPr>
            <w:tcW w:w="1980" w:type="dxa"/>
          </w:tcPr>
          <w:p w14:paraId="2832C79E" w14:textId="77777777" w:rsidR="00260FE5" w:rsidRDefault="003436C9">
            <w:pPr>
              <w:spacing w:before="40" w:after="40"/>
              <w:jc w:val="center"/>
              <w:rPr>
                <w:rFonts w:cs="Times New Roman"/>
                <w:spacing w:val="0"/>
                <w:szCs w:val="24"/>
              </w:rPr>
            </w:pPr>
            <w:r>
              <w:rPr>
                <w:rFonts w:cs="Times New Roman"/>
                <w:spacing w:val="0"/>
                <w:szCs w:val="24"/>
              </w:rPr>
              <w:t>39</w:t>
            </w:r>
          </w:p>
        </w:tc>
        <w:tc>
          <w:tcPr>
            <w:tcW w:w="1826" w:type="dxa"/>
          </w:tcPr>
          <w:p w14:paraId="2832C79F" w14:textId="77777777" w:rsidR="00260FE5" w:rsidRDefault="003436C9">
            <w:pPr>
              <w:spacing w:before="40" w:after="40"/>
              <w:jc w:val="center"/>
              <w:rPr>
                <w:rFonts w:cs="Times New Roman"/>
                <w:spacing w:val="0"/>
                <w:szCs w:val="24"/>
              </w:rPr>
            </w:pPr>
            <w:r>
              <w:rPr>
                <w:rFonts w:cs="Times New Roman"/>
                <w:spacing w:val="0"/>
                <w:szCs w:val="24"/>
              </w:rPr>
              <w:t>0.9</w:t>
            </w:r>
            <w:r>
              <w:rPr>
                <w:rFonts w:cs="Times New Roman"/>
                <w:spacing w:val="0"/>
                <w:szCs w:val="24"/>
                <w:vertAlign w:val="superscript"/>
              </w:rPr>
              <w:t>**</w:t>
            </w:r>
          </w:p>
        </w:tc>
      </w:tr>
      <w:tr w:rsidR="00260FE5" w14:paraId="2832C7A4" w14:textId="77777777">
        <w:trPr>
          <w:trHeight w:val="259"/>
          <w:jc w:val="center"/>
        </w:trPr>
        <w:tc>
          <w:tcPr>
            <w:tcW w:w="5310" w:type="dxa"/>
          </w:tcPr>
          <w:p w14:paraId="2832C7A1" w14:textId="77777777" w:rsidR="00260FE5" w:rsidRDefault="003436C9">
            <w:pPr>
              <w:spacing w:before="40" w:after="40"/>
              <w:ind w:left="720"/>
              <w:rPr>
                <w:rFonts w:cs="Times New Roman"/>
                <w:spacing w:val="0"/>
                <w:szCs w:val="24"/>
              </w:rPr>
            </w:pPr>
            <w:r>
              <w:rPr>
                <w:rFonts w:cs="Times New Roman"/>
                <w:spacing w:val="0"/>
                <w:szCs w:val="24"/>
              </w:rPr>
              <w:t>Dry skin</w:t>
            </w:r>
          </w:p>
        </w:tc>
        <w:tc>
          <w:tcPr>
            <w:tcW w:w="1980" w:type="dxa"/>
          </w:tcPr>
          <w:p w14:paraId="2832C7A2" w14:textId="77777777" w:rsidR="00260FE5" w:rsidRDefault="003436C9">
            <w:pPr>
              <w:spacing w:before="40" w:after="40"/>
              <w:jc w:val="center"/>
              <w:rPr>
                <w:rFonts w:cs="Times New Roman"/>
                <w:spacing w:val="0"/>
                <w:szCs w:val="24"/>
              </w:rPr>
            </w:pPr>
            <w:r>
              <w:rPr>
                <w:rFonts w:cs="Times New Roman"/>
                <w:spacing w:val="0"/>
                <w:szCs w:val="24"/>
              </w:rPr>
              <w:t>32</w:t>
            </w:r>
          </w:p>
        </w:tc>
        <w:tc>
          <w:tcPr>
            <w:tcW w:w="1826" w:type="dxa"/>
          </w:tcPr>
          <w:p w14:paraId="2832C7A3" w14:textId="77777777" w:rsidR="00260FE5" w:rsidRDefault="003436C9">
            <w:pPr>
              <w:spacing w:before="40" w:after="40"/>
              <w:jc w:val="center"/>
              <w:rPr>
                <w:rFonts w:cs="Times New Roman"/>
                <w:spacing w:val="0"/>
                <w:szCs w:val="24"/>
              </w:rPr>
            </w:pPr>
            <w:r>
              <w:rPr>
                <w:rFonts w:cs="Times New Roman"/>
                <w:spacing w:val="0"/>
                <w:szCs w:val="24"/>
              </w:rPr>
              <w:t>0</w:t>
            </w:r>
          </w:p>
        </w:tc>
      </w:tr>
      <w:tr w:rsidR="00260FE5" w14:paraId="2832C7A8" w14:textId="77777777">
        <w:trPr>
          <w:trHeight w:val="259"/>
          <w:jc w:val="center"/>
        </w:trPr>
        <w:tc>
          <w:tcPr>
            <w:tcW w:w="5310" w:type="dxa"/>
          </w:tcPr>
          <w:p w14:paraId="2832C7A5" w14:textId="77777777" w:rsidR="00260FE5" w:rsidRDefault="003436C9">
            <w:pPr>
              <w:spacing w:before="40" w:after="40"/>
              <w:ind w:left="720"/>
              <w:rPr>
                <w:rFonts w:cs="Times New Roman"/>
                <w:spacing w:val="0"/>
                <w:szCs w:val="24"/>
              </w:rPr>
            </w:pPr>
            <w:r>
              <w:rPr>
                <w:rFonts w:cs="Times New Roman"/>
                <w:spacing w:val="0"/>
                <w:szCs w:val="24"/>
              </w:rPr>
              <w:t>Pruritus</w:t>
            </w:r>
          </w:p>
        </w:tc>
        <w:tc>
          <w:tcPr>
            <w:tcW w:w="1980" w:type="dxa"/>
          </w:tcPr>
          <w:p w14:paraId="2832C7A6" w14:textId="77777777" w:rsidR="00260FE5" w:rsidRDefault="003436C9">
            <w:pPr>
              <w:spacing w:before="40" w:after="40"/>
              <w:jc w:val="center"/>
              <w:rPr>
                <w:rFonts w:cs="Times New Roman"/>
                <w:spacing w:val="0"/>
                <w:szCs w:val="24"/>
              </w:rPr>
            </w:pPr>
            <w:r>
              <w:rPr>
                <w:rFonts w:cs="Times New Roman"/>
                <w:spacing w:val="0"/>
                <w:szCs w:val="24"/>
              </w:rPr>
              <w:t>24</w:t>
            </w:r>
          </w:p>
        </w:tc>
        <w:tc>
          <w:tcPr>
            <w:tcW w:w="1826" w:type="dxa"/>
          </w:tcPr>
          <w:p w14:paraId="2832C7A7" w14:textId="77777777" w:rsidR="00260FE5" w:rsidRDefault="003436C9">
            <w:pPr>
              <w:spacing w:before="40" w:after="40"/>
              <w:jc w:val="center"/>
              <w:rPr>
                <w:rFonts w:cs="Times New Roman"/>
                <w:spacing w:val="0"/>
                <w:szCs w:val="24"/>
              </w:rPr>
            </w:pPr>
            <w:r>
              <w:rPr>
                <w:rFonts w:cs="Times New Roman"/>
                <w:spacing w:val="0"/>
                <w:szCs w:val="24"/>
              </w:rPr>
              <w:t>0.9</w:t>
            </w:r>
            <w:r>
              <w:rPr>
                <w:rFonts w:cs="Times New Roman"/>
                <w:spacing w:val="0"/>
                <w:szCs w:val="24"/>
                <w:vertAlign w:val="superscript"/>
              </w:rPr>
              <w:t>**</w:t>
            </w:r>
          </w:p>
        </w:tc>
      </w:tr>
      <w:tr w:rsidR="00260FE5" w14:paraId="2832C7AC" w14:textId="77777777">
        <w:trPr>
          <w:trHeight w:val="259"/>
          <w:jc w:val="center"/>
        </w:trPr>
        <w:tc>
          <w:tcPr>
            <w:tcW w:w="5310" w:type="dxa"/>
          </w:tcPr>
          <w:p w14:paraId="2832C7A9" w14:textId="77777777" w:rsidR="00260FE5" w:rsidRDefault="003436C9">
            <w:pPr>
              <w:spacing w:before="40" w:after="40"/>
              <w:ind w:left="720"/>
              <w:rPr>
                <w:rFonts w:cs="Times New Roman"/>
                <w:spacing w:val="0"/>
                <w:szCs w:val="24"/>
              </w:rPr>
            </w:pPr>
            <w:r>
              <w:rPr>
                <w:rFonts w:cs="Times New Roman"/>
                <w:spacing w:val="0"/>
                <w:szCs w:val="24"/>
              </w:rPr>
              <w:t>Alopecia</w:t>
            </w:r>
          </w:p>
        </w:tc>
        <w:tc>
          <w:tcPr>
            <w:tcW w:w="1980" w:type="dxa"/>
          </w:tcPr>
          <w:p w14:paraId="2832C7AA" w14:textId="77777777" w:rsidR="00260FE5" w:rsidRDefault="003436C9">
            <w:pPr>
              <w:spacing w:before="40" w:after="40"/>
              <w:jc w:val="center"/>
              <w:rPr>
                <w:rFonts w:cs="Times New Roman"/>
                <w:spacing w:val="0"/>
                <w:szCs w:val="24"/>
              </w:rPr>
            </w:pPr>
            <w:r>
              <w:rPr>
                <w:rFonts w:cs="Times New Roman"/>
                <w:spacing w:val="0"/>
                <w:szCs w:val="24"/>
              </w:rPr>
              <w:t>19</w:t>
            </w:r>
          </w:p>
        </w:tc>
        <w:tc>
          <w:tcPr>
            <w:tcW w:w="1826" w:type="dxa"/>
          </w:tcPr>
          <w:p w14:paraId="2832C7AB" w14:textId="77777777" w:rsidR="00260FE5" w:rsidRDefault="003436C9">
            <w:pPr>
              <w:spacing w:before="40" w:after="40"/>
              <w:jc w:val="center"/>
              <w:rPr>
                <w:rFonts w:cs="Times New Roman"/>
                <w:spacing w:val="0"/>
                <w:szCs w:val="24"/>
              </w:rPr>
            </w:pPr>
            <w:r>
              <w:rPr>
                <w:rFonts w:cs="Times New Roman"/>
                <w:spacing w:val="0"/>
                <w:szCs w:val="24"/>
              </w:rPr>
              <w:t>0</w:t>
            </w:r>
          </w:p>
        </w:tc>
      </w:tr>
      <w:tr w:rsidR="00260FE5" w14:paraId="2832C7AE" w14:textId="77777777">
        <w:trPr>
          <w:trHeight w:val="259"/>
          <w:jc w:val="center"/>
        </w:trPr>
        <w:tc>
          <w:tcPr>
            <w:tcW w:w="9116" w:type="dxa"/>
            <w:gridSpan w:val="3"/>
          </w:tcPr>
          <w:p w14:paraId="2832C7AD" w14:textId="5E66F688" w:rsidR="00260FE5" w:rsidRDefault="003436C9">
            <w:pPr>
              <w:spacing w:before="40" w:after="40"/>
              <w:rPr>
                <w:rFonts w:cs="Times New Roman"/>
                <w:spacing w:val="0"/>
                <w:szCs w:val="24"/>
              </w:rPr>
            </w:pPr>
            <w:r>
              <w:rPr>
                <w:rFonts w:cs="Times New Roman"/>
                <w:b/>
                <w:spacing w:val="0"/>
                <w:szCs w:val="24"/>
              </w:rPr>
              <w:t>Musculoskeletal and connective tissue disorders</w:t>
            </w:r>
          </w:p>
        </w:tc>
      </w:tr>
      <w:tr w:rsidR="00260FE5" w14:paraId="2832C7B2" w14:textId="77777777">
        <w:trPr>
          <w:trHeight w:val="259"/>
          <w:jc w:val="center"/>
        </w:trPr>
        <w:tc>
          <w:tcPr>
            <w:tcW w:w="5310" w:type="dxa"/>
          </w:tcPr>
          <w:p w14:paraId="2832C7AF" w14:textId="77777777" w:rsidR="00260FE5" w:rsidRDefault="003436C9">
            <w:pPr>
              <w:spacing w:before="40" w:after="40"/>
              <w:ind w:left="720"/>
              <w:rPr>
                <w:rFonts w:cs="Times New Roman"/>
                <w:spacing w:val="0"/>
                <w:szCs w:val="24"/>
              </w:rPr>
            </w:pPr>
            <w:r>
              <w:rPr>
                <w:rFonts w:cs="Times New Roman"/>
                <w:spacing w:val="0"/>
                <w:szCs w:val="24"/>
              </w:rPr>
              <w:t xml:space="preserve">Musculoskeletal </w:t>
            </w:r>
            <w:proofErr w:type="spellStart"/>
            <w:r>
              <w:rPr>
                <w:rFonts w:cs="Times New Roman"/>
                <w:spacing w:val="0"/>
                <w:szCs w:val="24"/>
              </w:rPr>
              <w:t>pain</w:t>
            </w:r>
            <w:r>
              <w:rPr>
                <w:rFonts w:cs="Times New Roman"/>
                <w:spacing w:val="0"/>
                <w:szCs w:val="24"/>
                <w:vertAlign w:val="superscript"/>
              </w:rPr>
              <w:t>e</w:t>
            </w:r>
            <w:proofErr w:type="spellEnd"/>
          </w:p>
        </w:tc>
        <w:tc>
          <w:tcPr>
            <w:tcW w:w="1980" w:type="dxa"/>
          </w:tcPr>
          <w:p w14:paraId="2832C7B0" w14:textId="77777777" w:rsidR="00260FE5" w:rsidRDefault="003436C9">
            <w:pPr>
              <w:spacing w:before="40" w:after="40"/>
              <w:jc w:val="center"/>
              <w:rPr>
                <w:rFonts w:cs="Times New Roman"/>
                <w:spacing w:val="0"/>
                <w:szCs w:val="24"/>
              </w:rPr>
            </w:pPr>
            <w:r>
              <w:rPr>
                <w:rFonts w:cs="Times New Roman"/>
                <w:bCs/>
                <w:spacing w:val="0"/>
                <w:szCs w:val="24"/>
              </w:rPr>
              <w:t>34</w:t>
            </w:r>
          </w:p>
        </w:tc>
        <w:tc>
          <w:tcPr>
            <w:tcW w:w="1826" w:type="dxa"/>
          </w:tcPr>
          <w:p w14:paraId="2832C7B1" w14:textId="77777777" w:rsidR="00260FE5" w:rsidRDefault="003436C9">
            <w:pPr>
              <w:spacing w:before="40" w:after="40"/>
              <w:jc w:val="center"/>
              <w:rPr>
                <w:rFonts w:cs="Times New Roman"/>
                <w:spacing w:val="0"/>
                <w:szCs w:val="24"/>
              </w:rPr>
            </w:pPr>
            <w:r>
              <w:rPr>
                <w:rFonts w:cs="Times New Roman"/>
                <w:bCs/>
                <w:spacing w:val="0"/>
                <w:szCs w:val="24"/>
              </w:rPr>
              <w:t>2.6</w:t>
            </w:r>
            <w:r>
              <w:rPr>
                <w:rFonts w:cs="Times New Roman"/>
                <w:spacing w:val="0"/>
                <w:szCs w:val="24"/>
                <w:vertAlign w:val="superscript"/>
              </w:rPr>
              <w:t>**</w:t>
            </w:r>
          </w:p>
        </w:tc>
      </w:tr>
      <w:tr w:rsidR="00260FE5" w14:paraId="2832C7B4" w14:textId="77777777">
        <w:trPr>
          <w:trHeight w:val="259"/>
          <w:jc w:val="center"/>
        </w:trPr>
        <w:tc>
          <w:tcPr>
            <w:tcW w:w="9116" w:type="dxa"/>
            <w:gridSpan w:val="3"/>
          </w:tcPr>
          <w:p w14:paraId="2832C7B3" w14:textId="2129CD6D" w:rsidR="00260FE5" w:rsidRDefault="003436C9">
            <w:pPr>
              <w:spacing w:before="40" w:after="40"/>
              <w:rPr>
                <w:rFonts w:cs="Times New Roman"/>
                <w:bCs/>
                <w:spacing w:val="0"/>
                <w:szCs w:val="24"/>
              </w:rPr>
            </w:pPr>
            <w:r>
              <w:rPr>
                <w:rFonts w:cs="Times New Roman"/>
                <w:b/>
                <w:spacing w:val="0"/>
                <w:szCs w:val="24"/>
              </w:rPr>
              <w:t>General disorders and administration site conditions</w:t>
            </w:r>
          </w:p>
        </w:tc>
      </w:tr>
      <w:tr w:rsidR="00260FE5" w14:paraId="2832C7B8" w14:textId="77777777">
        <w:trPr>
          <w:trHeight w:val="259"/>
          <w:jc w:val="center"/>
        </w:trPr>
        <w:tc>
          <w:tcPr>
            <w:tcW w:w="5310" w:type="dxa"/>
          </w:tcPr>
          <w:p w14:paraId="2832C7B5" w14:textId="77777777" w:rsidR="00260FE5" w:rsidRDefault="003436C9">
            <w:pPr>
              <w:spacing w:before="40" w:after="40"/>
              <w:ind w:left="720"/>
              <w:rPr>
                <w:rFonts w:cs="Times New Roman"/>
                <w:spacing w:val="0"/>
                <w:szCs w:val="24"/>
              </w:rPr>
            </w:pPr>
            <w:proofErr w:type="spellStart"/>
            <w:r>
              <w:rPr>
                <w:rFonts w:cs="Times New Roman"/>
                <w:spacing w:val="0"/>
                <w:szCs w:val="24"/>
              </w:rPr>
              <w:t>Fatigue</w:t>
            </w:r>
            <w:r>
              <w:rPr>
                <w:rFonts w:cs="Times New Roman"/>
                <w:spacing w:val="0"/>
                <w:szCs w:val="24"/>
                <w:vertAlign w:val="superscript"/>
              </w:rPr>
              <w:t>f</w:t>
            </w:r>
            <w:proofErr w:type="spellEnd"/>
          </w:p>
        </w:tc>
        <w:tc>
          <w:tcPr>
            <w:tcW w:w="1980" w:type="dxa"/>
          </w:tcPr>
          <w:p w14:paraId="2832C7B6" w14:textId="77777777" w:rsidR="00260FE5" w:rsidRDefault="003436C9">
            <w:pPr>
              <w:spacing w:before="40" w:after="40"/>
              <w:jc w:val="center"/>
              <w:rPr>
                <w:rFonts w:cs="Times New Roman"/>
                <w:bCs/>
                <w:spacing w:val="0"/>
                <w:szCs w:val="24"/>
              </w:rPr>
            </w:pPr>
            <w:r>
              <w:rPr>
                <w:rFonts w:cs="Times New Roman"/>
                <w:bCs/>
                <w:spacing w:val="0"/>
                <w:szCs w:val="24"/>
              </w:rPr>
              <w:t>29</w:t>
            </w:r>
          </w:p>
        </w:tc>
        <w:tc>
          <w:tcPr>
            <w:tcW w:w="1826" w:type="dxa"/>
          </w:tcPr>
          <w:p w14:paraId="2832C7B7" w14:textId="77777777" w:rsidR="00260FE5" w:rsidRDefault="003436C9">
            <w:pPr>
              <w:spacing w:before="40" w:after="40"/>
              <w:jc w:val="center"/>
              <w:rPr>
                <w:rFonts w:cs="Times New Roman"/>
                <w:bCs/>
                <w:spacing w:val="0"/>
                <w:szCs w:val="24"/>
              </w:rPr>
            </w:pPr>
            <w:r>
              <w:rPr>
                <w:rFonts w:cs="Times New Roman"/>
                <w:bCs/>
                <w:spacing w:val="0"/>
                <w:szCs w:val="24"/>
              </w:rPr>
              <w:t>3.5</w:t>
            </w:r>
            <w:r>
              <w:rPr>
                <w:rFonts w:cs="Times New Roman"/>
                <w:spacing w:val="0"/>
                <w:szCs w:val="24"/>
                <w:vertAlign w:val="superscript"/>
              </w:rPr>
              <w:t>**</w:t>
            </w:r>
          </w:p>
        </w:tc>
      </w:tr>
      <w:tr w:rsidR="00260FE5" w14:paraId="2832C7BA" w14:textId="77777777">
        <w:trPr>
          <w:trHeight w:val="259"/>
          <w:jc w:val="center"/>
        </w:trPr>
        <w:tc>
          <w:tcPr>
            <w:tcW w:w="9116" w:type="dxa"/>
            <w:gridSpan w:val="3"/>
          </w:tcPr>
          <w:p w14:paraId="2832C7B9" w14:textId="30B9909C" w:rsidR="00260FE5" w:rsidRDefault="003436C9">
            <w:pPr>
              <w:spacing w:before="40" w:after="40"/>
              <w:rPr>
                <w:rFonts w:cs="Times New Roman"/>
                <w:spacing w:val="0"/>
                <w:szCs w:val="24"/>
              </w:rPr>
            </w:pPr>
            <w:r>
              <w:rPr>
                <w:rFonts w:cs="Times New Roman"/>
                <w:b/>
                <w:spacing w:val="0"/>
                <w:szCs w:val="24"/>
              </w:rPr>
              <w:t xml:space="preserve">Respiratory, </w:t>
            </w:r>
            <w:proofErr w:type="gramStart"/>
            <w:r>
              <w:rPr>
                <w:rFonts w:cs="Times New Roman"/>
                <w:b/>
                <w:spacing w:val="0"/>
                <w:szCs w:val="24"/>
              </w:rPr>
              <w:t>thoracic</w:t>
            </w:r>
            <w:proofErr w:type="gramEnd"/>
            <w:r>
              <w:rPr>
                <w:rFonts w:cs="Times New Roman"/>
                <w:b/>
                <w:spacing w:val="0"/>
                <w:szCs w:val="24"/>
              </w:rPr>
              <w:t xml:space="preserve"> and mediastinal disorders</w:t>
            </w:r>
          </w:p>
        </w:tc>
      </w:tr>
      <w:tr w:rsidR="00260FE5" w14:paraId="2832C7BE" w14:textId="77777777">
        <w:trPr>
          <w:trHeight w:val="259"/>
          <w:jc w:val="center"/>
        </w:trPr>
        <w:tc>
          <w:tcPr>
            <w:tcW w:w="5310" w:type="dxa"/>
          </w:tcPr>
          <w:p w14:paraId="2832C7BB" w14:textId="77777777" w:rsidR="00260FE5" w:rsidRDefault="003436C9">
            <w:pPr>
              <w:spacing w:before="40" w:after="40"/>
              <w:ind w:left="720"/>
              <w:rPr>
                <w:rFonts w:cs="Times New Roman"/>
                <w:spacing w:val="0"/>
                <w:szCs w:val="24"/>
              </w:rPr>
            </w:pPr>
            <w:proofErr w:type="spellStart"/>
            <w:r>
              <w:rPr>
                <w:rFonts w:cs="Times New Roman"/>
                <w:spacing w:val="0"/>
                <w:szCs w:val="24"/>
              </w:rPr>
              <w:t>Cough</w:t>
            </w:r>
            <w:r>
              <w:rPr>
                <w:rFonts w:cs="Times New Roman"/>
                <w:spacing w:val="0"/>
                <w:szCs w:val="24"/>
                <w:vertAlign w:val="superscript"/>
              </w:rPr>
              <w:t>g</w:t>
            </w:r>
            <w:proofErr w:type="spellEnd"/>
          </w:p>
        </w:tc>
        <w:tc>
          <w:tcPr>
            <w:tcW w:w="1980" w:type="dxa"/>
          </w:tcPr>
          <w:p w14:paraId="2832C7BC" w14:textId="77777777" w:rsidR="00260FE5" w:rsidRDefault="003436C9">
            <w:pPr>
              <w:spacing w:before="40" w:after="40"/>
              <w:jc w:val="center"/>
              <w:rPr>
                <w:rFonts w:cs="Times New Roman"/>
                <w:spacing w:val="0"/>
                <w:szCs w:val="24"/>
              </w:rPr>
            </w:pPr>
            <w:r>
              <w:rPr>
                <w:rFonts w:cs="Times New Roman"/>
                <w:bCs/>
                <w:spacing w:val="0"/>
                <w:szCs w:val="24"/>
              </w:rPr>
              <w:t>24</w:t>
            </w:r>
          </w:p>
        </w:tc>
        <w:tc>
          <w:tcPr>
            <w:tcW w:w="1826" w:type="dxa"/>
          </w:tcPr>
          <w:p w14:paraId="2832C7BD" w14:textId="77777777" w:rsidR="00260FE5" w:rsidRDefault="003436C9">
            <w:pPr>
              <w:spacing w:before="40" w:after="40"/>
              <w:jc w:val="center"/>
              <w:rPr>
                <w:rFonts w:cs="Times New Roman"/>
                <w:spacing w:val="0"/>
                <w:szCs w:val="24"/>
              </w:rPr>
            </w:pPr>
            <w:r>
              <w:rPr>
                <w:rFonts w:cs="Times New Roman"/>
                <w:bCs/>
                <w:spacing w:val="0"/>
                <w:szCs w:val="24"/>
              </w:rPr>
              <w:t>0</w:t>
            </w:r>
          </w:p>
        </w:tc>
      </w:tr>
      <w:tr w:rsidR="00260FE5" w14:paraId="2832C7C2" w14:textId="77777777">
        <w:trPr>
          <w:trHeight w:val="259"/>
          <w:jc w:val="center"/>
        </w:trPr>
        <w:tc>
          <w:tcPr>
            <w:tcW w:w="5310" w:type="dxa"/>
          </w:tcPr>
          <w:p w14:paraId="2832C7BF" w14:textId="77777777" w:rsidR="00260FE5" w:rsidRDefault="003436C9">
            <w:pPr>
              <w:spacing w:before="40" w:after="40"/>
              <w:ind w:left="720"/>
              <w:rPr>
                <w:rFonts w:cs="Times New Roman"/>
                <w:spacing w:val="0"/>
                <w:szCs w:val="24"/>
              </w:rPr>
            </w:pPr>
            <w:r>
              <w:rPr>
                <w:rFonts w:cs="Times New Roman"/>
                <w:spacing w:val="0"/>
                <w:szCs w:val="24"/>
              </w:rPr>
              <w:t xml:space="preserve">Upper respiratory tract </w:t>
            </w:r>
            <w:proofErr w:type="spellStart"/>
            <w:r>
              <w:rPr>
                <w:rFonts w:cs="Times New Roman"/>
                <w:spacing w:val="0"/>
                <w:szCs w:val="24"/>
              </w:rPr>
              <w:t>infection</w:t>
            </w:r>
            <w:r>
              <w:rPr>
                <w:rFonts w:cs="Times New Roman"/>
                <w:spacing w:val="0"/>
                <w:szCs w:val="24"/>
                <w:vertAlign w:val="superscript"/>
              </w:rPr>
              <w:t>h</w:t>
            </w:r>
            <w:proofErr w:type="spellEnd"/>
          </w:p>
        </w:tc>
        <w:tc>
          <w:tcPr>
            <w:tcW w:w="1980" w:type="dxa"/>
          </w:tcPr>
          <w:p w14:paraId="2832C7C0" w14:textId="77777777" w:rsidR="00260FE5" w:rsidRDefault="003436C9">
            <w:pPr>
              <w:spacing w:before="40" w:after="40"/>
              <w:jc w:val="center"/>
              <w:rPr>
                <w:rFonts w:cs="Times New Roman"/>
                <w:spacing w:val="0"/>
                <w:szCs w:val="24"/>
              </w:rPr>
            </w:pPr>
            <w:r>
              <w:rPr>
                <w:rFonts w:cs="Times New Roman"/>
                <w:bCs/>
                <w:spacing w:val="0"/>
                <w:szCs w:val="24"/>
              </w:rPr>
              <w:t>16</w:t>
            </w:r>
          </w:p>
        </w:tc>
        <w:tc>
          <w:tcPr>
            <w:tcW w:w="1826" w:type="dxa"/>
          </w:tcPr>
          <w:p w14:paraId="2832C7C1" w14:textId="77777777" w:rsidR="00260FE5" w:rsidRDefault="003436C9">
            <w:pPr>
              <w:spacing w:before="40" w:after="40"/>
              <w:jc w:val="center"/>
              <w:rPr>
                <w:rFonts w:cs="Times New Roman"/>
                <w:spacing w:val="0"/>
                <w:szCs w:val="24"/>
              </w:rPr>
            </w:pPr>
            <w:r>
              <w:rPr>
                <w:rFonts w:cs="Times New Roman"/>
                <w:bCs/>
                <w:spacing w:val="0"/>
                <w:szCs w:val="24"/>
              </w:rPr>
              <w:t>0</w:t>
            </w:r>
          </w:p>
        </w:tc>
      </w:tr>
      <w:tr w:rsidR="00260FE5" w14:paraId="2832C7C6" w14:textId="77777777">
        <w:trPr>
          <w:trHeight w:val="259"/>
          <w:jc w:val="center"/>
        </w:trPr>
        <w:tc>
          <w:tcPr>
            <w:tcW w:w="5310" w:type="dxa"/>
          </w:tcPr>
          <w:p w14:paraId="2832C7C3" w14:textId="77777777" w:rsidR="00260FE5" w:rsidRDefault="003436C9">
            <w:pPr>
              <w:spacing w:before="40" w:after="40"/>
              <w:ind w:left="720"/>
              <w:rPr>
                <w:rFonts w:cs="Times New Roman"/>
                <w:spacing w:val="0"/>
                <w:szCs w:val="24"/>
              </w:rPr>
            </w:pPr>
            <w:proofErr w:type="spellStart"/>
            <w:r>
              <w:rPr>
                <w:rFonts w:cs="Times New Roman"/>
                <w:spacing w:val="0"/>
                <w:szCs w:val="24"/>
              </w:rPr>
              <w:t>Dyspnoea</w:t>
            </w:r>
            <w:r>
              <w:rPr>
                <w:rFonts w:cs="Times New Roman"/>
                <w:spacing w:val="0"/>
                <w:szCs w:val="24"/>
                <w:vertAlign w:val="superscript"/>
              </w:rPr>
              <w:t>i</w:t>
            </w:r>
            <w:proofErr w:type="spellEnd"/>
          </w:p>
        </w:tc>
        <w:tc>
          <w:tcPr>
            <w:tcW w:w="1980" w:type="dxa"/>
          </w:tcPr>
          <w:p w14:paraId="2832C7C4" w14:textId="77777777" w:rsidR="00260FE5" w:rsidRDefault="003436C9">
            <w:pPr>
              <w:spacing w:before="40" w:after="40"/>
              <w:jc w:val="center"/>
              <w:rPr>
                <w:rFonts w:cs="Times New Roman"/>
                <w:spacing w:val="0"/>
                <w:szCs w:val="24"/>
              </w:rPr>
            </w:pPr>
            <w:r>
              <w:rPr>
                <w:rFonts w:cs="Times New Roman"/>
                <w:bCs/>
                <w:spacing w:val="0"/>
                <w:szCs w:val="24"/>
              </w:rPr>
              <w:t>15</w:t>
            </w:r>
          </w:p>
        </w:tc>
        <w:tc>
          <w:tcPr>
            <w:tcW w:w="1826" w:type="dxa"/>
          </w:tcPr>
          <w:p w14:paraId="2832C7C5" w14:textId="77777777" w:rsidR="00260FE5" w:rsidRDefault="003436C9">
            <w:pPr>
              <w:spacing w:before="40" w:after="40"/>
              <w:jc w:val="center"/>
              <w:rPr>
                <w:rFonts w:cs="Times New Roman"/>
                <w:spacing w:val="0"/>
                <w:szCs w:val="24"/>
              </w:rPr>
            </w:pPr>
            <w:r>
              <w:rPr>
                <w:rFonts w:cs="Times New Roman"/>
                <w:bCs/>
                <w:spacing w:val="0"/>
                <w:szCs w:val="24"/>
              </w:rPr>
              <w:t>4.4</w:t>
            </w:r>
          </w:p>
        </w:tc>
      </w:tr>
      <w:tr w:rsidR="00260FE5" w14:paraId="2832C7CA" w14:textId="77777777">
        <w:trPr>
          <w:trHeight w:val="259"/>
          <w:jc w:val="center"/>
        </w:trPr>
        <w:tc>
          <w:tcPr>
            <w:tcW w:w="5310" w:type="dxa"/>
          </w:tcPr>
          <w:p w14:paraId="2832C7C7" w14:textId="77777777" w:rsidR="00260FE5" w:rsidRDefault="003436C9">
            <w:pPr>
              <w:spacing w:before="40" w:after="40"/>
              <w:ind w:left="720"/>
              <w:rPr>
                <w:rFonts w:cs="Times New Roman"/>
                <w:spacing w:val="0"/>
                <w:szCs w:val="24"/>
              </w:rPr>
            </w:pPr>
            <w:r>
              <w:rPr>
                <w:rFonts w:cs="Times New Roman"/>
                <w:spacing w:val="0"/>
                <w:szCs w:val="24"/>
              </w:rPr>
              <w:t>Rhinorrhoea</w:t>
            </w:r>
          </w:p>
        </w:tc>
        <w:tc>
          <w:tcPr>
            <w:tcW w:w="1980" w:type="dxa"/>
          </w:tcPr>
          <w:p w14:paraId="2832C7C8" w14:textId="77777777" w:rsidR="00260FE5" w:rsidRDefault="003436C9">
            <w:pPr>
              <w:spacing w:before="40" w:after="40"/>
              <w:jc w:val="center"/>
              <w:rPr>
                <w:rFonts w:cs="Times New Roman"/>
                <w:spacing w:val="0"/>
                <w:szCs w:val="24"/>
              </w:rPr>
            </w:pPr>
            <w:r>
              <w:rPr>
                <w:rFonts w:cs="Times New Roman"/>
                <w:bCs/>
                <w:spacing w:val="0"/>
                <w:szCs w:val="24"/>
              </w:rPr>
              <w:t>13</w:t>
            </w:r>
          </w:p>
        </w:tc>
        <w:tc>
          <w:tcPr>
            <w:tcW w:w="1826" w:type="dxa"/>
          </w:tcPr>
          <w:p w14:paraId="2832C7C9" w14:textId="77777777" w:rsidR="00260FE5" w:rsidRDefault="003436C9">
            <w:pPr>
              <w:spacing w:before="40" w:after="40"/>
              <w:jc w:val="center"/>
              <w:rPr>
                <w:rFonts w:cs="Times New Roman"/>
                <w:spacing w:val="0"/>
                <w:szCs w:val="24"/>
              </w:rPr>
            </w:pPr>
            <w:r>
              <w:rPr>
                <w:rFonts w:cs="Times New Roman"/>
                <w:bCs/>
                <w:spacing w:val="0"/>
                <w:szCs w:val="24"/>
              </w:rPr>
              <w:t>0</w:t>
            </w:r>
          </w:p>
        </w:tc>
      </w:tr>
      <w:tr w:rsidR="00260FE5" w14:paraId="2832C7CC" w14:textId="77777777">
        <w:trPr>
          <w:trHeight w:val="259"/>
          <w:jc w:val="center"/>
        </w:trPr>
        <w:tc>
          <w:tcPr>
            <w:tcW w:w="9116" w:type="dxa"/>
            <w:gridSpan w:val="3"/>
          </w:tcPr>
          <w:p w14:paraId="2832C7CB" w14:textId="59ED6B0A" w:rsidR="00260FE5" w:rsidRDefault="003436C9">
            <w:pPr>
              <w:spacing w:before="40" w:after="40"/>
              <w:rPr>
                <w:rFonts w:cs="Times New Roman"/>
                <w:bCs/>
                <w:spacing w:val="0"/>
                <w:szCs w:val="24"/>
              </w:rPr>
            </w:pPr>
            <w:r>
              <w:rPr>
                <w:rFonts w:cs="Times New Roman"/>
                <w:b/>
                <w:bCs/>
                <w:spacing w:val="0"/>
                <w:szCs w:val="24"/>
              </w:rPr>
              <w:t>Eye disorders</w:t>
            </w:r>
          </w:p>
        </w:tc>
      </w:tr>
      <w:tr w:rsidR="00260FE5" w14:paraId="2832C7D0" w14:textId="77777777">
        <w:trPr>
          <w:trHeight w:val="259"/>
          <w:jc w:val="center"/>
        </w:trPr>
        <w:tc>
          <w:tcPr>
            <w:tcW w:w="5310" w:type="dxa"/>
          </w:tcPr>
          <w:p w14:paraId="2832C7CD" w14:textId="04304B95" w:rsidR="00260FE5" w:rsidRDefault="003436C9">
            <w:pPr>
              <w:spacing w:before="40" w:after="40"/>
              <w:ind w:left="720"/>
              <w:rPr>
                <w:rFonts w:cs="Times New Roman"/>
                <w:spacing w:val="0"/>
                <w:szCs w:val="24"/>
              </w:rPr>
            </w:pPr>
            <w:r>
              <w:rPr>
                <w:rFonts w:cs="Times New Roman"/>
                <w:spacing w:val="0"/>
                <w:szCs w:val="24"/>
              </w:rPr>
              <w:t xml:space="preserve">Ocular </w:t>
            </w:r>
            <w:proofErr w:type="spellStart"/>
            <w:r>
              <w:rPr>
                <w:rFonts w:cs="Times New Roman"/>
                <w:spacing w:val="0"/>
                <w:szCs w:val="24"/>
              </w:rPr>
              <w:t>toxicity</w:t>
            </w:r>
            <w:r>
              <w:rPr>
                <w:rFonts w:cs="Times New Roman"/>
                <w:spacing w:val="0"/>
                <w:szCs w:val="24"/>
                <w:vertAlign w:val="superscript"/>
              </w:rPr>
              <w:t>j</w:t>
            </w:r>
            <w:proofErr w:type="spellEnd"/>
          </w:p>
        </w:tc>
        <w:tc>
          <w:tcPr>
            <w:tcW w:w="1980" w:type="dxa"/>
          </w:tcPr>
          <w:p w14:paraId="2832C7CE" w14:textId="77777777" w:rsidR="00260FE5" w:rsidRDefault="003436C9">
            <w:pPr>
              <w:spacing w:before="40" w:after="40"/>
              <w:jc w:val="center"/>
              <w:rPr>
                <w:rFonts w:cs="Times New Roman"/>
                <w:bCs/>
                <w:spacing w:val="0"/>
                <w:szCs w:val="24"/>
              </w:rPr>
            </w:pPr>
            <w:r>
              <w:rPr>
                <w:rFonts w:cs="Times New Roman"/>
                <w:bCs/>
                <w:spacing w:val="0"/>
                <w:szCs w:val="24"/>
              </w:rPr>
              <w:t>11</w:t>
            </w:r>
          </w:p>
        </w:tc>
        <w:tc>
          <w:tcPr>
            <w:tcW w:w="1826" w:type="dxa"/>
          </w:tcPr>
          <w:p w14:paraId="2832C7CF" w14:textId="77777777" w:rsidR="00260FE5" w:rsidRDefault="003436C9">
            <w:pPr>
              <w:spacing w:before="40" w:after="40"/>
              <w:jc w:val="center"/>
              <w:rPr>
                <w:rFonts w:cs="Times New Roman"/>
                <w:bCs/>
                <w:spacing w:val="0"/>
                <w:szCs w:val="24"/>
              </w:rPr>
            </w:pPr>
            <w:r>
              <w:rPr>
                <w:rFonts w:cs="Times New Roman"/>
                <w:bCs/>
                <w:spacing w:val="0"/>
                <w:szCs w:val="24"/>
              </w:rPr>
              <w:t>0</w:t>
            </w:r>
          </w:p>
        </w:tc>
      </w:tr>
      <w:tr w:rsidR="00260FE5" w14:paraId="2832C7D2" w14:textId="77777777">
        <w:trPr>
          <w:trHeight w:val="259"/>
          <w:jc w:val="center"/>
        </w:trPr>
        <w:tc>
          <w:tcPr>
            <w:tcW w:w="9116" w:type="dxa"/>
            <w:gridSpan w:val="3"/>
          </w:tcPr>
          <w:p w14:paraId="2832C7D1" w14:textId="4BD04AA6" w:rsidR="00260FE5" w:rsidRDefault="003436C9">
            <w:pPr>
              <w:spacing w:before="40" w:after="40"/>
              <w:rPr>
                <w:rFonts w:cs="Times New Roman"/>
                <w:b/>
                <w:spacing w:val="0"/>
                <w:szCs w:val="24"/>
              </w:rPr>
            </w:pPr>
            <w:r>
              <w:rPr>
                <w:rFonts w:cs="Times New Roman"/>
                <w:b/>
                <w:spacing w:val="0"/>
                <w:szCs w:val="24"/>
              </w:rPr>
              <w:t>Cardiac disorders</w:t>
            </w:r>
          </w:p>
        </w:tc>
      </w:tr>
      <w:tr w:rsidR="00260FE5" w14:paraId="2832C7D6" w14:textId="77777777">
        <w:trPr>
          <w:trHeight w:val="259"/>
          <w:jc w:val="center"/>
        </w:trPr>
        <w:tc>
          <w:tcPr>
            <w:tcW w:w="5310" w:type="dxa"/>
          </w:tcPr>
          <w:p w14:paraId="2832C7D3" w14:textId="77777777" w:rsidR="00260FE5" w:rsidRDefault="003436C9">
            <w:pPr>
              <w:spacing w:before="40" w:after="40"/>
              <w:ind w:left="720"/>
              <w:rPr>
                <w:rFonts w:cs="Times New Roman"/>
                <w:spacing w:val="0"/>
                <w:szCs w:val="24"/>
              </w:rPr>
            </w:pPr>
            <w:r>
              <w:rPr>
                <w:rFonts w:cs="Times New Roman"/>
                <w:spacing w:val="0"/>
                <w:szCs w:val="24"/>
              </w:rPr>
              <w:lastRenderedPageBreak/>
              <w:t xml:space="preserve">QTc interval </w:t>
            </w:r>
            <w:proofErr w:type="spellStart"/>
            <w:r>
              <w:rPr>
                <w:rFonts w:cs="Times New Roman"/>
                <w:spacing w:val="0"/>
                <w:szCs w:val="24"/>
              </w:rPr>
              <w:t>prolongation</w:t>
            </w:r>
            <w:r>
              <w:rPr>
                <w:rFonts w:cs="Times New Roman"/>
                <w:spacing w:val="0"/>
                <w:szCs w:val="24"/>
                <w:vertAlign w:val="superscript"/>
              </w:rPr>
              <w:t>k</w:t>
            </w:r>
            <w:proofErr w:type="spellEnd"/>
          </w:p>
        </w:tc>
        <w:tc>
          <w:tcPr>
            <w:tcW w:w="1980" w:type="dxa"/>
          </w:tcPr>
          <w:p w14:paraId="2832C7D4" w14:textId="77777777" w:rsidR="00260FE5" w:rsidRDefault="003436C9">
            <w:pPr>
              <w:spacing w:before="40" w:after="40"/>
              <w:jc w:val="center"/>
              <w:rPr>
                <w:rFonts w:cs="Times New Roman"/>
                <w:spacing w:val="0"/>
                <w:szCs w:val="24"/>
              </w:rPr>
            </w:pPr>
            <w:r>
              <w:rPr>
                <w:rFonts w:cs="Times New Roman"/>
                <w:spacing w:val="0"/>
                <w:szCs w:val="24"/>
              </w:rPr>
              <w:t>10</w:t>
            </w:r>
          </w:p>
        </w:tc>
        <w:tc>
          <w:tcPr>
            <w:tcW w:w="1826" w:type="dxa"/>
          </w:tcPr>
          <w:p w14:paraId="2832C7D5" w14:textId="77777777" w:rsidR="00260FE5" w:rsidRDefault="003436C9">
            <w:pPr>
              <w:spacing w:before="40" w:after="40"/>
              <w:jc w:val="center"/>
              <w:rPr>
                <w:rFonts w:cs="Times New Roman"/>
                <w:spacing w:val="0"/>
                <w:szCs w:val="24"/>
              </w:rPr>
            </w:pPr>
            <w:r>
              <w:rPr>
                <w:rFonts w:cs="Times New Roman"/>
                <w:spacing w:val="0"/>
                <w:szCs w:val="24"/>
              </w:rPr>
              <w:t>3.5</w:t>
            </w:r>
          </w:p>
        </w:tc>
      </w:tr>
      <w:tr w:rsidR="00260FE5" w14:paraId="2832C7DA" w14:textId="77777777">
        <w:trPr>
          <w:trHeight w:val="259"/>
          <w:jc w:val="center"/>
        </w:trPr>
        <w:tc>
          <w:tcPr>
            <w:tcW w:w="5310" w:type="dxa"/>
          </w:tcPr>
          <w:p w14:paraId="2832C7D7" w14:textId="77777777" w:rsidR="00260FE5" w:rsidRDefault="003436C9">
            <w:pPr>
              <w:spacing w:before="40" w:after="40"/>
              <w:ind w:left="720"/>
              <w:rPr>
                <w:rFonts w:cs="Times New Roman"/>
                <w:spacing w:val="0"/>
                <w:szCs w:val="24"/>
                <w:vertAlign w:val="superscript"/>
              </w:rPr>
            </w:pPr>
            <w:proofErr w:type="spellStart"/>
            <w:r>
              <w:rPr>
                <w:rFonts w:cs="Times New Roman"/>
                <w:spacing w:val="0"/>
                <w:szCs w:val="24"/>
              </w:rPr>
              <w:t>Hypertension</w:t>
            </w:r>
            <w:r>
              <w:rPr>
                <w:rFonts w:cs="Times New Roman"/>
                <w:spacing w:val="0"/>
                <w:szCs w:val="24"/>
                <w:vertAlign w:val="superscript"/>
              </w:rPr>
              <w:t>l</w:t>
            </w:r>
            <w:proofErr w:type="spellEnd"/>
          </w:p>
        </w:tc>
        <w:tc>
          <w:tcPr>
            <w:tcW w:w="1980" w:type="dxa"/>
          </w:tcPr>
          <w:p w14:paraId="2832C7D8" w14:textId="77777777" w:rsidR="00260FE5" w:rsidRDefault="003436C9">
            <w:pPr>
              <w:spacing w:before="40" w:after="40"/>
              <w:jc w:val="center"/>
              <w:rPr>
                <w:rFonts w:cs="Times New Roman"/>
                <w:spacing w:val="0"/>
                <w:szCs w:val="24"/>
              </w:rPr>
            </w:pPr>
            <w:r>
              <w:rPr>
                <w:rFonts w:cs="Times New Roman"/>
                <w:spacing w:val="0"/>
                <w:szCs w:val="24"/>
              </w:rPr>
              <w:t>10</w:t>
            </w:r>
          </w:p>
        </w:tc>
        <w:tc>
          <w:tcPr>
            <w:tcW w:w="1826" w:type="dxa"/>
          </w:tcPr>
          <w:p w14:paraId="2832C7D9" w14:textId="77777777" w:rsidR="00260FE5" w:rsidRDefault="003436C9">
            <w:pPr>
              <w:spacing w:before="40" w:after="40"/>
              <w:jc w:val="center"/>
              <w:rPr>
                <w:rFonts w:cs="Times New Roman"/>
                <w:spacing w:val="0"/>
                <w:szCs w:val="24"/>
              </w:rPr>
            </w:pPr>
            <w:r>
              <w:rPr>
                <w:rFonts w:cs="Times New Roman"/>
                <w:spacing w:val="0"/>
                <w:szCs w:val="24"/>
              </w:rPr>
              <w:t>4.4</w:t>
            </w:r>
            <w:r>
              <w:rPr>
                <w:rFonts w:cs="Times New Roman"/>
                <w:spacing w:val="0"/>
                <w:szCs w:val="24"/>
                <w:vertAlign w:val="superscript"/>
              </w:rPr>
              <w:t>**</w:t>
            </w:r>
          </w:p>
        </w:tc>
      </w:tr>
      <w:tr w:rsidR="00260FE5" w14:paraId="2832C7DC" w14:textId="77777777">
        <w:trPr>
          <w:trHeight w:val="259"/>
          <w:jc w:val="center"/>
        </w:trPr>
        <w:tc>
          <w:tcPr>
            <w:tcW w:w="9116" w:type="dxa"/>
            <w:gridSpan w:val="3"/>
          </w:tcPr>
          <w:p w14:paraId="2832C7DB" w14:textId="17FBC1AC" w:rsidR="00260FE5" w:rsidRDefault="003436C9">
            <w:pPr>
              <w:spacing w:before="40" w:after="40"/>
              <w:rPr>
                <w:rFonts w:cs="Times New Roman"/>
                <w:bCs/>
                <w:spacing w:val="0"/>
                <w:szCs w:val="24"/>
              </w:rPr>
            </w:pPr>
            <w:r>
              <w:rPr>
                <w:rFonts w:cs="Times New Roman"/>
                <w:b/>
                <w:spacing w:val="0"/>
                <w:szCs w:val="24"/>
              </w:rPr>
              <w:t>Nervous system disorders</w:t>
            </w:r>
          </w:p>
        </w:tc>
      </w:tr>
      <w:tr w:rsidR="00260FE5" w14:paraId="2832C7E0" w14:textId="77777777">
        <w:trPr>
          <w:trHeight w:val="259"/>
          <w:jc w:val="center"/>
        </w:trPr>
        <w:tc>
          <w:tcPr>
            <w:tcW w:w="5310" w:type="dxa"/>
          </w:tcPr>
          <w:p w14:paraId="2832C7DD" w14:textId="77777777" w:rsidR="00260FE5" w:rsidRDefault="003436C9">
            <w:pPr>
              <w:spacing w:before="40" w:after="40"/>
              <w:ind w:left="720"/>
              <w:rPr>
                <w:rFonts w:cs="Times New Roman"/>
                <w:spacing w:val="0"/>
                <w:szCs w:val="24"/>
              </w:rPr>
            </w:pPr>
            <w:r>
              <w:rPr>
                <w:rFonts w:cs="Times New Roman"/>
                <w:spacing w:val="0"/>
                <w:szCs w:val="24"/>
              </w:rPr>
              <w:t>Headache</w:t>
            </w:r>
          </w:p>
        </w:tc>
        <w:tc>
          <w:tcPr>
            <w:tcW w:w="1980" w:type="dxa"/>
          </w:tcPr>
          <w:p w14:paraId="2832C7DE" w14:textId="77777777" w:rsidR="00260FE5" w:rsidRDefault="003436C9">
            <w:pPr>
              <w:spacing w:before="40" w:after="40"/>
              <w:jc w:val="center"/>
              <w:rPr>
                <w:rFonts w:cs="Times New Roman"/>
                <w:bCs/>
                <w:spacing w:val="0"/>
                <w:szCs w:val="24"/>
              </w:rPr>
            </w:pPr>
            <w:r>
              <w:rPr>
                <w:rFonts w:cs="Times New Roman"/>
                <w:bCs/>
                <w:spacing w:val="0"/>
                <w:szCs w:val="24"/>
              </w:rPr>
              <w:t>10</w:t>
            </w:r>
          </w:p>
        </w:tc>
        <w:tc>
          <w:tcPr>
            <w:tcW w:w="1826" w:type="dxa"/>
          </w:tcPr>
          <w:p w14:paraId="2832C7DF" w14:textId="77777777" w:rsidR="00260FE5" w:rsidRDefault="003436C9">
            <w:pPr>
              <w:spacing w:before="40" w:after="40"/>
              <w:jc w:val="center"/>
              <w:rPr>
                <w:rFonts w:cs="Times New Roman"/>
                <w:bCs/>
                <w:spacing w:val="0"/>
                <w:szCs w:val="24"/>
              </w:rPr>
            </w:pPr>
            <w:r>
              <w:rPr>
                <w:rFonts w:cs="Times New Roman"/>
                <w:bCs/>
                <w:spacing w:val="0"/>
                <w:szCs w:val="24"/>
              </w:rPr>
              <w:t>0</w:t>
            </w:r>
          </w:p>
        </w:tc>
      </w:tr>
    </w:tbl>
    <w:p w14:paraId="2832C7E1" w14:textId="77777777" w:rsidR="00260FE5" w:rsidRDefault="003436C9">
      <w:pPr>
        <w:widowControl w:val="0"/>
        <w:tabs>
          <w:tab w:val="left" w:pos="90"/>
          <w:tab w:val="left" w:pos="270"/>
          <w:tab w:val="left" w:pos="540"/>
        </w:tabs>
        <w:spacing w:before="40"/>
        <w:ind w:left="540" w:right="90" w:hanging="450"/>
        <w:rPr>
          <w:rFonts w:ascii="Arial" w:hAnsi="Arial" w:cs="Arial"/>
          <w:sz w:val="20"/>
          <w:szCs w:val="20"/>
        </w:rPr>
      </w:pPr>
      <w:r>
        <w:rPr>
          <w:rFonts w:ascii="Arial" w:hAnsi="Arial" w:cs="Arial"/>
          <w:sz w:val="20"/>
          <w:szCs w:val="20"/>
        </w:rPr>
        <w:t>*</w:t>
      </w:r>
      <w:r>
        <w:rPr>
          <w:rFonts w:ascii="Arial" w:hAnsi="Arial" w:cs="Arial"/>
          <w:sz w:val="20"/>
          <w:szCs w:val="20"/>
        </w:rPr>
        <w:tab/>
        <w:t xml:space="preserve"> Graded according to National Cancer Institute Common Terminology Criteria for Adverse Events (NCI CTCAE 5)</w:t>
      </w:r>
    </w:p>
    <w:p w14:paraId="2832C7E2"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rPr>
        <w:t>**</w:t>
      </w:r>
      <w:r>
        <w:rPr>
          <w:sz w:val="20"/>
          <w:szCs w:val="20"/>
        </w:rPr>
        <w:tab/>
        <w:t xml:space="preserve"> </w:t>
      </w:r>
      <w:r>
        <w:rPr>
          <w:rFonts w:ascii="Arial" w:hAnsi="Arial" w:cs="Arial"/>
          <w:sz w:val="20"/>
          <w:szCs w:val="20"/>
        </w:rPr>
        <w:t>Events of Grade 3 only (no Grade 4 occurred)</w:t>
      </w:r>
    </w:p>
    <w:p w14:paraId="2832C7E3"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a</w:t>
      </w:r>
      <w:r>
        <w:rPr>
          <w:rFonts w:ascii="Arial" w:hAnsi="Arial" w:cs="Arial"/>
          <w:sz w:val="20"/>
          <w:szCs w:val="20"/>
        </w:rPr>
        <w:tab/>
        <w:t>Stomatitis includes angular cheilitis, aphthous ulcer, cheilitis, mouth ulceration, mucosal inflammation, odynophagia, and stomatitis.</w:t>
      </w:r>
    </w:p>
    <w:p w14:paraId="2832C7E4"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b</w:t>
      </w:r>
      <w:r>
        <w:rPr>
          <w:rFonts w:ascii="Arial" w:hAnsi="Arial" w:cs="Arial"/>
          <w:sz w:val="20"/>
          <w:szCs w:val="20"/>
        </w:rPr>
        <w:tab/>
        <w:t>Abdominal pain includes abdominal discomfort, abdominal pain, abdominal pain upper, abdominal tenderness, and gastrointestinal pain.</w:t>
      </w:r>
    </w:p>
    <w:p w14:paraId="2832C7E5"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c</w:t>
      </w:r>
      <w:r>
        <w:rPr>
          <w:rFonts w:ascii="Arial" w:hAnsi="Arial" w:cs="Arial"/>
          <w:sz w:val="20"/>
          <w:szCs w:val="20"/>
        </w:rPr>
        <w:tab/>
        <w:t xml:space="preserve">Rash includes acne, dermatitis, dermatitis acneiform, rash, rash macular, rash maculo-papular, rash </w:t>
      </w:r>
      <w:proofErr w:type="spellStart"/>
      <w:r>
        <w:rPr>
          <w:rFonts w:ascii="Arial" w:hAnsi="Arial" w:cs="Arial"/>
          <w:sz w:val="20"/>
          <w:szCs w:val="20"/>
        </w:rPr>
        <w:t>papular</w:t>
      </w:r>
      <w:proofErr w:type="spellEnd"/>
      <w:r>
        <w:rPr>
          <w:rFonts w:ascii="Arial" w:hAnsi="Arial" w:cs="Arial"/>
          <w:sz w:val="20"/>
          <w:szCs w:val="20"/>
        </w:rPr>
        <w:t>, rash pruritic, rash pustular, and urticaria.</w:t>
      </w:r>
    </w:p>
    <w:p w14:paraId="2832C7E6"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d</w:t>
      </w:r>
      <w:r>
        <w:rPr>
          <w:rFonts w:ascii="Arial" w:hAnsi="Arial" w:cs="Arial"/>
          <w:sz w:val="20"/>
          <w:szCs w:val="20"/>
        </w:rPr>
        <w:tab/>
        <w:t>Paronychia includes nail bed tenderness, nail disorder, nail infection, onycholysis, and paronychia.</w:t>
      </w:r>
    </w:p>
    <w:p w14:paraId="2832C7E7"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e</w:t>
      </w:r>
      <w:r>
        <w:rPr>
          <w:rFonts w:ascii="Arial" w:hAnsi="Arial" w:cs="Arial"/>
          <w:sz w:val="20"/>
          <w:szCs w:val="20"/>
        </w:rPr>
        <w:tab/>
        <w:t>Musculoskeletal pain includes arthralgia, back pain, musculoskeletal chest pain, musculoskeletal discomfort, musculoskeletal pain, myalgia, neck pain, non-cardiac chest pain, pain in extremity, and spinal pain.</w:t>
      </w:r>
    </w:p>
    <w:p w14:paraId="2832C7E8"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f</w:t>
      </w:r>
      <w:r>
        <w:rPr>
          <w:rFonts w:ascii="Arial" w:hAnsi="Arial" w:cs="Arial"/>
          <w:sz w:val="20"/>
          <w:szCs w:val="20"/>
        </w:rPr>
        <w:tab/>
        <w:t>Fatigue includes asthenia, and fatigue.</w:t>
      </w:r>
    </w:p>
    <w:p w14:paraId="2832C7E9"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g</w:t>
      </w:r>
      <w:r>
        <w:rPr>
          <w:rFonts w:ascii="Arial" w:hAnsi="Arial" w:cs="Arial"/>
          <w:sz w:val="20"/>
          <w:szCs w:val="20"/>
        </w:rPr>
        <w:tab/>
        <w:t>Cough includes cough, productive cough, and upper-airway cough syndrome.</w:t>
      </w:r>
    </w:p>
    <w:p w14:paraId="2832C7EA"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h</w:t>
      </w:r>
      <w:r>
        <w:rPr>
          <w:rFonts w:ascii="Arial" w:hAnsi="Arial" w:cs="Arial"/>
          <w:sz w:val="20"/>
          <w:szCs w:val="20"/>
        </w:rPr>
        <w:tab/>
        <w:t>Upper respiratory tract infection includes nasopharyngitis, pharyngitis, respiratory tract infection, rhinitis, sinusitis, and upper respiratory tract infection.</w:t>
      </w:r>
    </w:p>
    <w:p w14:paraId="2832C7EB"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proofErr w:type="spellStart"/>
      <w:r>
        <w:rPr>
          <w:rFonts w:ascii="Arial" w:hAnsi="Arial" w:cs="Arial"/>
          <w:sz w:val="20"/>
          <w:szCs w:val="20"/>
          <w:vertAlign w:val="superscript"/>
        </w:rPr>
        <w:t>i</w:t>
      </w:r>
      <w:proofErr w:type="spellEnd"/>
      <w:r>
        <w:rPr>
          <w:rFonts w:ascii="Arial" w:hAnsi="Arial" w:cs="Arial"/>
          <w:sz w:val="20"/>
          <w:szCs w:val="20"/>
        </w:rPr>
        <w:tab/>
        <w:t>Dyspnoea includes dyspnoea, and dyspnoea exertional.</w:t>
      </w:r>
    </w:p>
    <w:p w14:paraId="2832C7EC"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j</w:t>
      </w:r>
      <w:r>
        <w:rPr>
          <w:rFonts w:ascii="Arial" w:hAnsi="Arial" w:cs="Arial"/>
          <w:sz w:val="20"/>
          <w:szCs w:val="20"/>
        </w:rPr>
        <w:tab/>
        <w:t xml:space="preserve">Ocular toxicity includes dry eye, eye pruritis, abnormal sensation in eye, eye discharge, blepharitis, trichiasis, conjunctival </w:t>
      </w:r>
      <w:proofErr w:type="spellStart"/>
      <w:r>
        <w:rPr>
          <w:rFonts w:ascii="Arial" w:hAnsi="Arial" w:cs="Arial"/>
          <w:sz w:val="20"/>
          <w:szCs w:val="20"/>
        </w:rPr>
        <w:t>hemorrhage</w:t>
      </w:r>
      <w:proofErr w:type="spellEnd"/>
      <w:r>
        <w:rPr>
          <w:rFonts w:ascii="Arial" w:hAnsi="Arial" w:cs="Arial"/>
          <w:sz w:val="20"/>
          <w:szCs w:val="20"/>
        </w:rPr>
        <w:t xml:space="preserve">, vitreous floaters, blurred </w:t>
      </w:r>
      <w:proofErr w:type="gramStart"/>
      <w:r>
        <w:rPr>
          <w:rFonts w:ascii="Arial" w:hAnsi="Arial" w:cs="Arial"/>
          <w:sz w:val="20"/>
          <w:szCs w:val="20"/>
        </w:rPr>
        <w:t>vision</w:t>
      </w:r>
      <w:proofErr w:type="gramEnd"/>
      <w:r>
        <w:rPr>
          <w:rFonts w:ascii="Arial" w:hAnsi="Arial" w:cs="Arial"/>
          <w:sz w:val="20"/>
          <w:szCs w:val="20"/>
        </w:rPr>
        <w:t xml:space="preserve"> and corneal oedema.</w:t>
      </w:r>
    </w:p>
    <w:p w14:paraId="2832C7ED" w14:textId="77777777" w:rsidR="00260FE5" w:rsidRDefault="003436C9">
      <w:pPr>
        <w:widowControl w:val="0"/>
        <w:tabs>
          <w:tab w:val="left" w:pos="90"/>
          <w:tab w:val="left" w:pos="270"/>
          <w:tab w:val="left" w:pos="540"/>
        </w:tabs>
        <w:spacing w:before="40"/>
        <w:ind w:left="270" w:right="90" w:hanging="180"/>
        <w:rPr>
          <w:rFonts w:ascii="Arial" w:hAnsi="Arial" w:cs="Arial"/>
          <w:sz w:val="20"/>
          <w:szCs w:val="20"/>
        </w:rPr>
      </w:pPr>
      <w:r>
        <w:rPr>
          <w:rFonts w:ascii="Arial" w:hAnsi="Arial" w:cs="Arial"/>
          <w:sz w:val="20"/>
          <w:szCs w:val="20"/>
          <w:vertAlign w:val="superscript"/>
        </w:rPr>
        <w:t>k</w:t>
      </w:r>
      <w:r>
        <w:rPr>
          <w:rFonts w:ascii="Arial" w:hAnsi="Arial" w:cs="Arial"/>
          <w:sz w:val="20"/>
          <w:szCs w:val="20"/>
        </w:rPr>
        <w:tab/>
        <w:t>QTc interval prolongation includes electrocardiogram QT prolonged, and ventricular arrhythmia.</w:t>
      </w:r>
    </w:p>
    <w:p w14:paraId="2832C7EE" w14:textId="77777777" w:rsidR="00260FE5" w:rsidRDefault="003436C9">
      <w:pPr>
        <w:widowControl w:val="0"/>
        <w:tabs>
          <w:tab w:val="left" w:pos="90"/>
          <w:tab w:val="left" w:pos="270"/>
          <w:tab w:val="left" w:pos="540"/>
        </w:tabs>
        <w:spacing w:before="40"/>
        <w:ind w:left="273" w:right="86" w:hanging="187"/>
        <w:rPr>
          <w:rFonts w:ascii="Arial" w:hAnsi="Arial" w:cs="Arial"/>
          <w:sz w:val="20"/>
          <w:szCs w:val="20"/>
        </w:rPr>
      </w:pPr>
      <w:proofErr w:type="gramStart"/>
      <w:r>
        <w:rPr>
          <w:rFonts w:ascii="Arial" w:hAnsi="Arial" w:cs="Arial"/>
          <w:sz w:val="20"/>
          <w:szCs w:val="20"/>
          <w:vertAlign w:val="superscript"/>
        </w:rPr>
        <w:t xml:space="preserve">l </w:t>
      </w:r>
      <w:r>
        <w:rPr>
          <w:rFonts w:ascii="Arial" w:hAnsi="Arial" w:cs="Arial"/>
          <w:sz w:val="20"/>
          <w:szCs w:val="20"/>
        </w:rPr>
        <w:t xml:space="preserve"> Hypertension</w:t>
      </w:r>
      <w:proofErr w:type="gramEnd"/>
      <w:r>
        <w:rPr>
          <w:rFonts w:ascii="Arial" w:hAnsi="Arial" w:cs="Arial"/>
          <w:sz w:val="20"/>
          <w:szCs w:val="20"/>
        </w:rPr>
        <w:t xml:space="preserve"> includes blood pressure increased, and hypertension.</w:t>
      </w:r>
    </w:p>
    <w:p w14:paraId="2832C7EF" w14:textId="77777777" w:rsidR="00260FE5" w:rsidRDefault="00260FE5">
      <w:pPr>
        <w:pStyle w:val="Heading3"/>
      </w:pPr>
    </w:p>
    <w:p w14:paraId="2832C7F0" w14:textId="77777777" w:rsidR="00260FE5" w:rsidRDefault="003436C9">
      <w:r>
        <w:t xml:space="preserve">Clinically relevant adverse reactions in &lt;10% of patients receiving EXKIVITY included oedema (9%), acute kidney injury (8%), peripheral neuropathy (7%), palmar-plantar </w:t>
      </w:r>
      <w:proofErr w:type="spellStart"/>
      <w:r>
        <w:t>erythrodysaesthesia</w:t>
      </w:r>
      <w:proofErr w:type="spellEnd"/>
      <w:r>
        <w:t xml:space="preserve"> (4.4%), pneumonitis (2.6%) and cardiac failure (2.6%).</w:t>
      </w:r>
    </w:p>
    <w:p w14:paraId="2832C7F1" w14:textId="77777777" w:rsidR="00260FE5" w:rsidRDefault="003436C9">
      <w:r>
        <w:rPr>
          <w:i/>
          <w:iCs/>
        </w:rPr>
        <w:t>Table 4</w:t>
      </w:r>
      <w:r>
        <w:t xml:space="preserve"> summarises the laboratory abnormalities in Study AP32788-15-101. </w:t>
      </w:r>
      <w:r>
        <w:cr/>
      </w:r>
    </w:p>
    <w:p w14:paraId="2832C7F2" w14:textId="77777777" w:rsidR="00260FE5" w:rsidRDefault="003436C9" w:rsidP="00A90FCB">
      <w:pPr>
        <w:pStyle w:val="Tabletitle"/>
        <w:pageBreakBefore/>
      </w:pPr>
      <w:r>
        <w:lastRenderedPageBreak/>
        <w:t xml:space="preserve">Table 4. Select laboratory abnormalities that worsened from baseline in at least 20% of patients with NSCLC harbouring an EGFR exon 20 insertion mutation, whose disease had progressed on or after platinum-based chemotherapy, and who received mobocertinib in Study AP32788-15-101 </w:t>
      </w:r>
    </w:p>
    <w:p w14:paraId="2832C7F3" w14:textId="77777777" w:rsidR="00260FE5" w:rsidRDefault="00260FE5">
      <w:pPr>
        <w:pStyle w:val="Tabletitle"/>
      </w:pPr>
    </w:p>
    <w:tbl>
      <w:tblPr>
        <w:tblStyle w:val="TableGrid"/>
        <w:tblW w:w="0" w:type="auto"/>
        <w:jc w:val="center"/>
        <w:tblLook w:val="04A0" w:firstRow="1" w:lastRow="0" w:firstColumn="1" w:lastColumn="0" w:noHBand="0" w:noVBand="1"/>
      </w:tblPr>
      <w:tblGrid>
        <w:gridCol w:w="4474"/>
        <w:gridCol w:w="2395"/>
        <w:gridCol w:w="2147"/>
      </w:tblGrid>
      <w:tr w:rsidR="00260FE5" w14:paraId="2832C7F7" w14:textId="77777777">
        <w:trPr>
          <w:jc w:val="center"/>
        </w:trPr>
        <w:tc>
          <w:tcPr>
            <w:tcW w:w="4474" w:type="dxa"/>
            <w:vMerge w:val="restart"/>
            <w:vAlign w:val="center"/>
          </w:tcPr>
          <w:p w14:paraId="2832C7F4" w14:textId="30419F94" w:rsidR="00260FE5" w:rsidRDefault="003436C9">
            <w:pPr>
              <w:pStyle w:val="Default"/>
              <w:ind w:left="-110" w:right="-825" w:hanging="807"/>
              <w:jc w:val="center"/>
              <w:rPr>
                <w:rFonts w:ascii="Times New Roman" w:hAnsi="Times New Roman" w:cs="Times New Roman"/>
                <w:b/>
              </w:rPr>
            </w:pPr>
            <w:r>
              <w:rPr>
                <w:rFonts w:ascii="Times New Roman" w:hAnsi="Times New Roman" w:cs="Times New Roman"/>
                <w:b/>
                <w:bCs/>
              </w:rPr>
              <w:t>Laboratory abnormality</w:t>
            </w:r>
          </w:p>
        </w:tc>
        <w:tc>
          <w:tcPr>
            <w:tcW w:w="4542" w:type="dxa"/>
            <w:gridSpan w:val="2"/>
            <w:vAlign w:val="center"/>
          </w:tcPr>
          <w:p w14:paraId="2832C7F5" w14:textId="77777777" w:rsidR="00260FE5" w:rsidRDefault="003436C9">
            <w:pPr>
              <w:spacing w:before="40"/>
              <w:ind w:left="-200" w:right="-110" w:hanging="90"/>
              <w:jc w:val="center"/>
              <w:rPr>
                <w:rFonts w:cs="Times New Roman"/>
                <w:b/>
                <w:szCs w:val="24"/>
              </w:rPr>
            </w:pPr>
            <w:r>
              <w:rPr>
                <w:rFonts w:cs="Times New Roman"/>
                <w:b/>
                <w:szCs w:val="24"/>
              </w:rPr>
              <w:t>EXKIVITY**</w:t>
            </w:r>
          </w:p>
          <w:p w14:paraId="2832C7F6" w14:textId="77777777" w:rsidR="00260FE5" w:rsidRDefault="003436C9">
            <w:pPr>
              <w:spacing w:after="40"/>
              <w:ind w:hanging="110"/>
              <w:jc w:val="center"/>
              <w:rPr>
                <w:rFonts w:cs="Times New Roman"/>
                <w:b/>
                <w:szCs w:val="24"/>
              </w:rPr>
            </w:pPr>
            <w:r>
              <w:rPr>
                <w:rFonts w:cs="Times New Roman"/>
                <w:b/>
                <w:szCs w:val="24"/>
              </w:rPr>
              <w:t>(N = 114)</w:t>
            </w:r>
          </w:p>
        </w:tc>
      </w:tr>
      <w:tr w:rsidR="00260FE5" w14:paraId="2832C7FD" w14:textId="77777777">
        <w:trPr>
          <w:jc w:val="center"/>
        </w:trPr>
        <w:tc>
          <w:tcPr>
            <w:tcW w:w="4474" w:type="dxa"/>
            <w:vMerge/>
          </w:tcPr>
          <w:p w14:paraId="2832C7F8" w14:textId="77777777" w:rsidR="00260FE5" w:rsidRDefault="00260FE5">
            <w:pPr>
              <w:ind w:hanging="1167"/>
              <w:rPr>
                <w:rFonts w:cs="Times New Roman"/>
                <w:szCs w:val="24"/>
              </w:rPr>
            </w:pPr>
          </w:p>
        </w:tc>
        <w:tc>
          <w:tcPr>
            <w:tcW w:w="2395" w:type="dxa"/>
          </w:tcPr>
          <w:p w14:paraId="2832C7F9" w14:textId="77777777" w:rsidR="00260FE5" w:rsidRDefault="003436C9">
            <w:pPr>
              <w:spacing w:before="40"/>
              <w:ind w:hanging="101"/>
              <w:jc w:val="center"/>
              <w:rPr>
                <w:rFonts w:cs="Times New Roman"/>
                <w:b/>
                <w:szCs w:val="24"/>
              </w:rPr>
            </w:pPr>
            <w:r>
              <w:rPr>
                <w:rFonts w:cs="Times New Roman"/>
                <w:b/>
                <w:szCs w:val="24"/>
              </w:rPr>
              <w:t>All Grades*</w:t>
            </w:r>
          </w:p>
          <w:p w14:paraId="2832C7FA" w14:textId="77777777" w:rsidR="00260FE5" w:rsidRDefault="003436C9">
            <w:pPr>
              <w:spacing w:after="40"/>
              <w:ind w:hanging="101"/>
              <w:jc w:val="center"/>
              <w:rPr>
                <w:rFonts w:cs="Times New Roman"/>
                <w:b/>
                <w:szCs w:val="24"/>
              </w:rPr>
            </w:pPr>
            <w:r>
              <w:rPr>
                <w:rFonts w:cs="Times New Roman"/>
                <w:b/>
                <w:szCs w:val="24"/>
              </w:rPr>
              <w:t>(%)</w:t>
            </w:r>
          </w:p>
        </w:tc>
        <w:tc>
          <w:tcPr>
            <w:tcW w:w="2147" w:type="dxa"/>
          </w:tcPr>
          <w:p w14:paraId="2832C7FB" w14:textId="77777777" w:rsidR="00260FE5" w:rsidRDefault="003436C9">
            <w:pPr>
              <w:spacing w:before="40"/>
              <w:ind w:left="-101" w:right="-101" w:hanging="115"/>
              <w:jc w:val="center"/>
              <w:rPr>
                <w:rFonts w:cs="Times New Roman"/>
                <w:b/>
                <w:szCs w:val="24"/>
              </w:rPr>
            </w:pPr>
            <w:r>
              <w:rPr>
                <w:rFonts w:cs="Times New Roman"/>
                <w:b/>
                <w:szCs w:val="24"/>
              </w:rPr>
              <w:t>Grade 3 or 4</w:t>
            </w:r>
          </w:p>
          <w:p w14:paraId="2832C7FC" w14:textId="77777777" w:rsidR="00260FE5" w:rsidRDefault="003436C9">
            <w:pPr>
              <w:spacing w:after="40"/>
              <w:ind w:left="-101" w:right="-101" w:hanging="115"/>
              <w:jc w:val="center"/>
              <w:rPr>
                <w:rFonts w:cs="Times New Roman"/>
                <w:b/>
                <w:szCs w:val="24"/>
              </w:rPr>
            </w:pPr>
            <w:r>
              <w:rPr>
                <w:rFonts w:cs="Times New Roman"/>
                <w:b/>
                <w:szCs w:val="24"/>
              </w:rPr>
              <w:t>(%)</w:t>
            </w:r>
          </w:p>
        </w:tc>
      </w:tr>
      <w:tr w:rsidR="00260FE5" w14:paraId="2832C7FF" w14:textId="77777777">
        <w:trPr>
          <w:jc w:val="center"/>
        </w:trPr>
        <w:tc>
          <w:tcPr>
            <w:tcW w:w="9016" w:type="dxa"/>
            <w:gridSpan w:val="3"/>
          </w:tcPr>
          <w:p w14:paraId="2832C7FE" w14:textId="77777777" w:rsidR="00260FE5" w:rsidRDefault="003436C9">
            <w:pPr>
              <w:spacing w:before="40" w:after="40"/>
              <w:rPr>
                <w:rFonts w:cs="Times New Roman"/>
                <w:i/>
                <w:szCs w:val="24"/>
              </w:rPr>
            </w:pPr>
            <w:r>
              <w:rPr>
                <w:rFonts w:cs="Times New Roman"/>
                <w:b/>
                <w:bCs/>
                <w:szCs w:val="24"/>
              </w:rPr>
              <w:t>Haematology</w:t>
            </w:r>
          </w:p>
        </w:tc>
      </w:tr>
      <w:tr w:rsidR="00260FE5" w14:paraId="2832C803" w14:textId="77777777">
        <w:trPr>
          <w:jc w:val="center"/>
        </w:trPr>
        <w:tc>
          <w:tcPr>
            <w:tcW w:w="4474" w:type="dxa"/>
          </w:tcPr>
          <w:p w14:paraId="2832C800" w14:textId="77777777" w:rsidR="00260FE5" w:rsidRDefault="003436C9">
            <w:pPr>
              <w:spacing w:before="40" w:after="40"/>
              <w:ind w:left="720" w:hanging="20"/>
              <w:rPr>
                <w:rFonts w:cs="Times New Roman"/>
                <w:szCs w:val="24"/>
              </w:rPr>
            </w:pPr>
            <w:r>
              <w:rPr>
                <w:rFonts w:cs="Times New Roman"/>
                <w:szCs w:val="24"/>
              </w:rPr>
              <w:t>Decreased red blood cells</w:t>
            </w:r>
          </w:p>
        </w:tc>
        <w:tc>
          <w:tcPr>
            <w:tcW w:w="2395" w:type="dxa"/>
          </w:tcPr>
          <w:p w14:paraId="2832C801" w14:textId="77777777" w:rsidR="00260FE5" w:rsidRDefault="003436C9">
            <w:pPr>
              <w:spacing w:before="40" w:after="40"/>
              <w:ind w:hanging="105"/>
              <w:jc w:val="center"/>
              <w:rPr>
                <w:rFonts w:cs="Times New Roman"/>
                <w:szCs w:val="24"/>
              </w:rPr>
            </w:pPr>
            <w:r>
              <w:rPr>
                <w:rFonts w:cs="Times New Roman"/>
                <w:szCs w:val="24"/>
              </w:rPr>
              <w:t>59</w:t>
            </w:r>
          </w:p>
        </w:tc>
        <w:tc>
          <w:tcPr>
            <w:tcW w:w="2147" w:type="dxa"/>
          </w:tcPr>
          <w:p w14:paraId="2832C802" w14:textId="77777777" w:rsidR="00260FE5" w:rsidRDefault="003436C9">
            <w:pPr>
              <w:spacing w:before="40" w:after="40"/>
              <w:ind w:left="-111"/>
              <w:jc w:val="center"/>
              <w:rPr>
                <w:rFonts w:cs="Times New Roman"/>
                <w:szCs w:val="24"/>
              </w:rPr>
            </w:pPr>
            <w:r>
              <w:rPr>
                <w:rFonts w:cs="Times New Roman"/>
                <w:szCs w:val="24"/>
              </w:rPr>
              <w:t>3.5</w:t>
            </w:r>
          </w:p>
        </w:tc>
      </w:tr>
      <w:tr w:rsidR="00260FE5" w14:paraId="2832C807" w14:textId="77777777">
        <w:trPr>
          <w:jc w:val="center"/>
        </w:trPr>
        <w:tc>
          <w:tcPr>
            <w:tcW w:w="4474" w:type="dxa"/>
          </w:tcPr>
          <w:p w14:paraId="2832C804" w14:textId="77777777" w:rsidR="00260FE5" w:rsidRDefault="003436C9">
            <w:pPr>
              <w:spacing w:before="40" w:after="40"/>
              <w:ind w:left="720" w:hanging="20"/>
              <w:rPr>
                <w:rFonts w:cs="Times New Roman"/>
                <w:szCs w:val="24"/>
              </w:rPr>
            </w:pPr>
            <w:r>
              <w:rPr>
                <w:rFonts w:cs="Times New Roman"/>
                <w:szCs w:val="24"/>
              </w:rPr>
              <w:t>Decreased lymphocytes</w:t>
            </w:r>
          </w:p>
        </w:tc>
        <w:tc>
          <w:tcPr>
            <w:tcW w:w="2395" w:type="dxa"/>
          </w:tcPr>
          <w:p w14:paraId="2832C805" w14:textId="77777777" w:rsidR="00260FE5" w:rsidRDefault="003436C9">
            <w:pPr>
              <w:spacing w:before="40" w:after="40"/>
              <w:ind w:hanging="105"/>
              <w:jc w:val="center"/>
              <w:rPr>
                <w:rFonts w:cs="Times New Roman"/>
                <w:szCs w:val="24"/>
              </w:rPr>
            </w:pPr>
            <w:r>
              <w:rPr>
                <w:rFonts w:cs="Times New Roman"/>
                <w:szCs w:val="24"/>
              </w:rPr>
              <w:t>52</w:t>
            </w:r>
          </w:p>
        </w:tc>
        <w:tc>
          <w:tcPr>
            <w:tcW w:w="2147" w:type="dxa"/>
          </w:tcPr>
          <w:p w14:paraId="2832C806" w14:textId="77777777" w:rsidR="00260FE5" w:rsidRDefault="003436C9">
            <w:pPr>
              <w:spacing w:before="40" w:after="40"/>
              <w:ind w:left="-111"/>
              <w:jc w:val="center"/>
              <w:rPr>
                <w:rFonts w:cs="Times New Roman"/>
                <w:szCs w:val="24"/>
              </w:rPr>
            </w:pPr>
            <w:r>
              <w:rPr>
                <w:rFonts w:cs="Times New Roman"/>
                <w:szCs w:val="24"/>
              </w:rPr>
              <w:t>15</w:t>
            </w:r>
          </w:p>
        </w:tc>
      </w:tr>
      <w:tr w:rsidR="00260FE5" w14:paraId="2832C80B" w14:textId="77777777">
        <w:trPr>
          <w:jc w:val="center"/>
        </w:trPr>
        <w:tc>
          <w:tcPr>
            <w:tcW w:w="4474" w:type="dxa"/>
          </w:tcPr>
          <w:p w14:paraId="2832C808" w14:textId="77777777" w:rsidR="00260FE5" w:rsidRDefault="003436C9">
            <w:pPr>
              <w:spacing w:before="40" w:after="40"/>
              <w:ind w:left="720" w:hanging="20"/>
              <w:rPr>
                <w:rFonts w:cs="Times New Roman"/>
                <w:szCs w:val="24"/>
              </w:rPr>
            </w:pPr>
            <w:r>
              <w:rPr>
                <w:rFonts w:cs="Times New Roman"/>
                <w:szCs w:val="24"/>
              </w:rPr>
              <w:t>Decreased platelets</w:t>
            </w:r>
          </w:p>
        </w:tc>
        <w:tc>
          <w:tcPr>
            <w:tcW w:w="2395" w:type="dxa"/>
          </w:tcPr>
          <w:p w14:paraId="2832C809" w14:textId="77777777" w:rsidR="00260FE5" w:rsidRDefault="003436C9">
            <w:pPr>
              <w:spacing w:before="40" w:after="40"/>
              <w:ind w:hanging="105"/>
              <w:jc w:val="center"/>
              <w:rPr>
                <w:rFonts w:cs="Times New Roman"/>
                <w:szCs w:val="24"/>
              </w:rPr>
            </w:pPr>
            <w:r>
              <w:rPr>
                <w:rFonts w:cs="Times New Roman"/>
                <w:szCs w:val="24"/>
              </w:rPr>
              <w:t>26</w:t>
            </w:r>
          </w:p>
        </w:tc>
        <w:tc>
          <w:tcPr>
            <w:tcW w:w="2147" w:type="dxa"/>
          </w:tcPr>
          <w:p w14:paraId="2832C80A" w14:textId="77777777" w:rsidR="00260FE5" w:rsidRDefault="003436C9">
            <w:pPr>
              <w:spacing w:before="40" w:after="40"/>
              <w:ind w:left="-111"/>
              <w:jc w:val="center"/>
              <w:rPr>
                <w:rFonts w:cs="Times New Roman"/>
                <w:szCs w:val="24"/>
              </w:rPr>
            </w:pPr>
            <w:r>
              <w:rPr>
                <w:rFonts w:cs="Times New Roman"/>
                <w:szCs w:val="24"/>
              </w:rPr>
              <w:t>0.9</w:t>
            </w:r>
          </w:p>
        </w:tc>
      </w:tr>
      <w:tr w:rsidR="00260FE5" w14:paraId="2832C80F" w14:textId="77777777">
        <w:trPr>
          <w:jc w:val="center"/>
        </w:trPr>
        <w:tc>
          <w:tcPr>
            <w:tcW w:w="4474" w:type="dxa"/>
          </w:tcPr>
          <w:p w14:paraId="2832C80C" w14:textId="77777777" w:rsidR="00260FE5" w:rsidRDefault="003436C9">
            <w:pPr>
              <w:spacing w:before="40" w:after="40"/>
              <w:ind w:left="720" w:hanging="20"/>
              <w:rPr>
                <w:rFonts w:cs="Times New Roman"/>
                <w:szCs w:val="24"/>
              </w:rPr>
            </w:pPr>
            <w:r>
              <w:rPr>
                <w:rFonts w:cs="Times New Roman"/>
                <w:szCs w:val="24"/>
              </w:rPr>
              <w:t>Decreased leukocytes</w:t>
            </w:r>
          </w:p>
        </w:tc>
        <w:tc>
          <w:tcPr>
            <w:tcW w:w="2395" w:type="dxa"/>
          </w:tcPr>
          <w:p w14:paraId="2832C80D" w14:textId="77777777" w:rsidR="00260FE5" w:rsidRDefault="003436C9">
            <w:pPr>
              <w:spacing w:before="40" w:after="40"/>
              <w:ind w:hanging="105"/>
              <w:jc w:val="center"/>
              <w:rPr>
                <w:rFonts w:cs="Times New Roman"/>
                <w:szCs w:val="24"/>
              </w:rPr>
            </w:pPr>
            <w:r>
              <w:rPr>
                <w:rFonts w:cs="Times New Roman"/>
                <w:szCs w:val="24"/>
              </w:rPr>
              <w:t>25</w:t>
            </w:r>
          </w:p>
        </w:tc>
        <w:tc>
          <w:tcPr>
            <w:tcW w:w="2147" w:type="dxa"/>
          </w:tcPr>
          <w:p w14:paraId="2832C80E" w14:textId="77777777" w:rsidR="00260FE5" w:rsidRDefault="003436C9">
            <w:pPr>
              <w:spacing w:before="40" w:after="40"/>
              <w:ind w:left="-111"/>
              <w:jc w:val="center"/>
              <w:rPr>
                <w:rFonts w:cs="Times New Roman"/>
                <w:szCs w:val="24"/>
              </w:rPr>
            </w:pPr>
            <w:r>
              <w:rPr>
                <w:rFonts w:cs="Times New Roman"/>
                <w:szCs w:val="24"/>
              </w:rPr>
              <w:t>0</w:t>
            </w:r>
          </w:p>
        </w:tc>
      </w:tr>
      <w:tr w:rsidR="00260FE5" w14:paraId="2832C811" w14:textId="77777777">
        <w:trPr>
          <w:jc w:val="center"/>
        </w:trPr>
        <w:tc>
          <w:tcPr>
            <w:tcW w:w="9016" w:type="dxa"/>
            <w:gridSpan w:val="3"/>
          </w:tcPr>
          <w:p w14:paraId="2832C810" w14:textId="77777777" w:rsidR="00260FE5" w:rsidRDefault="003436C9">
            <w:pPr>
              <w:spacing w:before="40" w:after="40"/>
              <w:rPr>
                <w:rFonts w:cs="Times New Roman"/>
                <w:szCs w:val="24"/>
              </w:rPr>
            </w:pPr>
            <w:r>
              <w:rPr>
                <w:rFonts w:cs="Times New Roman"/>
                <w:b/>
                <w:bCs/>
                <w:szCs w:val="24"/>
              </w:rPr>
              <w:t>Chemistry</w:t>
            </w:r>
          </w:p>
        </w:tc>
      </w:tr>
      <w:tr w:rsidR="00260FE5" w14:paraId="2832C815" w14:textId="77777777">
        <w:trPr>
          <w:jc w:val="center"/>
        </w:trPr>
        <w:tc>
          <w:tcPr>
            <w:tcW w:w="4474" w:type="dxa"/>
          </w:tcPr>
          <w:p w14:paraId="2832C812" w14:textId="77777777" w:rsidR="00260FE5" w:rsidRDefault="003436C9">
            <w:pPr>
              <w:spacing w:before="40" w:after="40"/>
              <w:ind w:left="720" w:hanging="20"/>
              <w:rPr>
                <w:rFonts w:cs="Times New Roman"/>
                <w:szCs w:val="24"/>
              </w:rPr>
            </w:pPr>
            <w:r>
              <w:rPr>
                <w:rFonts w:cs="Times New Roman"/>
                <w:szCs w:val="24"/>
              </w:rPr>
              <w:t>Increased creatinine</w:t>
            </w:r>
          </w:p>
        </w:tc>
        <w:tc>
          <w:tcPr>
            <w:tcW w:w="2395" w:type="dxa"/>
          </w:tcPr>
          <w:p w14:paraId="2832C813" w14:textId="77777777" w:rsidR="00260FE5" w:rsidRDefault="003436C9">
            <w:pPr>
              <w:spacing w:before="40" w:after="40"/>
              <w:ind w:hanging="105"/>
              <w:jc w:val="center"/>
              <w:rPr>
                <w:rFonts w:cs="Times New Roman"/>
                <w:szCs w:val="24"/>
              </w:rPr>
            </w:pPr>
            <w:r>
              <w:rPr>
                <w:rFonts w:cs="Times New Roman"/>
                <w:szCs w:val="24"/>
              </w:rPr>
              <w:t>52</w:t>
            </w:r>
          </w:p>
        </w:tc>
        <w:tc>
          <w:tcPr>
            <w:tcW w:w="2147" w:type="dxa"/>
          </w:tcPr>
          <w:p w14:paraId="2832C814" w14:textId="77777777" w:rsidR="00260FE5" w:rsidRDefault="003436C9">
            <w:pPr>
              <w:spacing w:before="40" w:after="40"/>
              <w:ind w:left="-111"/>
              <w:jc w:val="center"/>
              <w:rPr>
                <w:rFonts w:cs="Times New Roman"/>
                <w:szCs w:val="24"/>
              </w:rPr>
            </w:pPr>
            <w:r>
              <w:rPr>
                <w:rFonts w:cs="Times New Roman"/>
                <w:szCs w:val="24"/>
              </w:rPr>
              <w:t>2.7</w:t>
            </w:r>
          </w:p>
        </w:tc>
      </w:tr>
      <w:tr w:rsidR="00260FE5" w14:paraId="2832C819" w14:textId="77777777">
        <w:trPr>
          <w:jc w:val="center"/>
        </w:trPr>
        <w:tc>
          <w:tcPr>
            <w:tcW w:w="4474" w:type="dxa"/>
          </w:tcPr>
          <w:p w14:paraId="2832C816" w14:textId="77777777" w:rsidR="00260FE5" w:rsidRDefault="003436C9">
            <w:pPr>
              <w:spacing w:before="40" w:after="40"/>
              <w:ind w:left="720" w:hanging="20"/>
              <w:rPr>
                <w:rFonts w:cs="Times New Roman"/>
                <w:szCs w:val="24"/>
              </w:rPr>
            </w:pPr>
            <w:r>
              <w:rPr>
                <w:rFonts w:cs="Times New Roman"/>
                <w:szCs w:val="24"/>
              </w:rPr>
              <w:t>Increased amylase</w:t>
            </w:r>
          </w:p>
        </w:tc>
        <w:tc>
          <w:tcPr>
            <w:tcW w:w="2395" w:type="dxa"/>
          </w:tcPr>
          <w:p w14:paraId="2832C817" w14:textId="77777777" w:rsidR="00260FE5" w:rsidRDefault="003436C9">
            <w:pPr>
              <w:spacing w:before="40" w:after="40"/>
              <w:ind w:hanging="105"/>
              <w:jc w:val="center"/>
              <w:rPr>
                <w:rFonts w:cs="Times New Roman"/>
                <w:szCs w:val="24"/>
              </w:rPr>
            </w:pPr>
            <w:r>
              <w:rPr>
                <w:rFonts w:cs="Times New Roman"/>
                <w:szCs w:val="24"/>
              </w:rPr>
              <w:t>40</w:t>
            </w:r>
          </w:p>
        </w:tc>
        <w:tc>
          <w:tcPr>
            <w:tcW w:w="2147" w:type="dxa"/>
          </w:tcPr>
          <w:p w14:paraId="2832C818" w14:textId="77777777" w:rsidR="00260FE5" w:rsidRDefault="003436C9">
            <w:pPr>
              <w:spacing w:before="40" w:after="40"/>
              <w:ind w:left="-111"/>
              <w:jc w:val="center"/>
              <w:rPr>
                <w:rFonts w:cs="Times New Roman"/>
                <w:szCs w:val="24"/>
              </w:rPr>
            </w:pPr>
            <w:r>
              <w:rPr>
                <w:rFonts w:cs="Times New Roman"/>
                <w:szCs w:val="24"/>
              </w:rPr>
              <w:t>13</w:t>
            </w:r>
          </w:p>
        </w:tc>
      </w:tr>
      <w:tr w:rsidR="00260FE5" w14:paraId="2832C81D" w14:textId="77777777">
        <w:trPr>
          <w:jc w:val="center"/>
        </w:trPr>
        <w:tc>
          <w:tcPr>
            <w:tcW w:w="4474" w:type="dxa"/>
          </w:tcPr>
          <w:p w14:paraId="2832C81A" w14:textId="77777777" w:rsidR="00260FE5" w:rsidRDefault="003436C9">
            <w:pPr>
              <w:spacing w:before="40" w:after="40"/>
              <w:ind w:left="720" w:hanging="20"/>
              <w:rPr>
                <w:rFonts w:cs="Times New Roman"/>
                <w:szCs w:val="24"/>
              </w:rPr>
            </w:pPr>
            <w:r>
              <w:rPr>
                <w:rFonts w:cs="Times New Roman"/>
                <w:szCs w:val="24"/>
              </w:rPr>
              <w:t>Increased lipase</w:t>
            </w:r>
          </w:p>
        </w:tc>
        <w:tc>
          <w:tcPr>
            <w:tcW w:w="2395" w:type="dxa"/>
          </w:tcPr>
          <w:p w14:paraId="2832C81B" w14:textId="77777777" w:rsidR="00260FE5" w:rsidRDefault="003436C9">
            <w:pPr>
              <w:spacing w:before="40" w:after="40"/>
              <w:ind w:hanging="105"/>
              <w:jc w:val="center"/>
              <w:rPr>
                <w:rFonts w:cs="Times New Roman"/>
                <w:szCs w:val="24"/>
              </w:rPr>
            </w:pPr>
            <w:r>
              <w:rPr>
                <w:rFonts w:cs="Times New Roman"/>
                <w:szCs w:val="24"/>
              </w:rPr>
              <w:t>35</w:t>
            </w:r>
          </w:p>
        </w:tc>
        <w:tc>
          <w:tcPr>
            <w:tcW w:w="2147" w:type="dxa"/>
          </w:tcPr>
          <w:p w14:paraId="2832C81C" w14:textId="77777777" w:rsidR="00260FE5" w:rsidRDefault="003436C9">
            <w:pPr>
              <w:spacing w:before="40" w:after="40"/>
              <w:ind w:left="-111"/>
              <w:jc w:val="center"/>
              <w:rPr>
                <w:rFonts w:cs="Times New Roman"/>
                <w:szCs w:val="24"/>
              </w:rPr>
            </w:pPr>
            <w:r>
              <w:rPr>
                <w:rFonts w:cs="Times New Roman"/>
                <w:szCs w:val="24"/>
              </w:rPr>
              <w:t>10</w:t>
            </w:r>
          </w:p>
        </w:tc>
      </w:tr>
      <w:tr w:rsidR="00260FE5" w14:paraId="2832C821" w14:textId="77777777">
        <w:trPr>
          <w:jc w:val="center"/>
        </w:trPr>
        <w:tc>
          <w:tcPr>
            <w:tcW w:w="4474" w:type="dxa"/>
          </w:tcPr>
          <w:p w14:paraId="2832C81E" w14:textId="77777777" w:rsidR="00260FE5" w:rsidRDefault="003436C9">
            <w:pPr>
              <w:spacing w:before="40" w:after="40"/>
              <w:ind w:left="720" w:hanging="20"/>
              <w:rPr>
                <w:rFonts w:cs="Times New Roman"/>
                <w:szCs w:val="24"/>
              </w:rPr>
            </w:pPr>
            <w:r>
              <w:rPr>
                <w:rFonts w:cs="Times New Roman"/>
                <w:szCs w:val="24"/>
              </w:rPr>
              <w:t>Decreased potassium</w:t>
            </w:r>
          </w:p>
        </w:tc>
        <w:tc>
          <w:tcPr>
            <w:tcW w:w="2395" w:type="dxa"/>
          </w:tcPr>
          <w:p w14:paraId="2832C81F" w14:textId="77777777" w:rsidR="00260FE5" w:rsidRDefault="003436C9">
            <w:pPr>
              <w:spacing w:before="40" w:after="40"/>
              <w:ind w:hanging="105"/>
              <w:jc w:val="center"/>
              <w:rPr>
                <w:rFonts w:cs="Times New Roman"/>
                <w:szCs w:val="24"/>
              </w:rPr>
            </w:pPr>
            <w:r>
              <w:rPr>
                <w:rFonts w:cs="Times New Roman"/>
                <w:szCs w:val="24"/>
              </w:rPr>
              <w:t>29</w:t>
            </w:r>
          </w:p>
        </w:tc>
        <w:tc>
          <w:tcPr>
            <w:tcW w:w="2147" w:type="dxa"/>
          </w:tcPr>
          <w:p w14:paraId="2832C820" w14:textId="77777777" w:rsidR="00260FE5" w:rsidRDefault="003436C9">
            <w:pPr>
              <w:spacing w:before="40" w:after="40"/>
              <w:ind w:left="-111"/>
              <w:jc w:val="center"/>
              <w:rPr>
                <w:rFonts w:cs="Times New Roman"/>
                <w:szCs w:val="24"/>
              </w:rPr>
            </w:pPr>
            <w:r>
              <w:rPr>
                <w:rFonts w:cs="Times New Roman"/>
                <w:szCs w:val="24"/>
              </w:rPr>
              <w:t>5.3</w:t>
            </w:r>
          </w:p>
        </w:tc>
      </w:tr>
      <w:tr w:rsidR="00260FE5" w14:paraId="2832C825" w14:textId="77777777">
        <w:trPr>
          <w:jc w:val="center"/>
        </w:trPr>
        <w:tc>
          <w:tcPr>
            <w:tcW w:w="4474" w:type="dxa"/>
          </w:tcPr>
          <w:p w14:paraId="2832C822" w14:textId="77777777" w:rsidR="00260FE5" w:rsidRDefault="003436C9">
            <w:pPr>
              <w:spacing w:before="40" w:after="40"/>
              <w:ind w:left="720" w:hanging="20"/>
              <w:rPr>
                <w:rFonts w:cs="Times New Roman"/>
                <w:szCs w:val="24"/>
              </w:rPr>
            </w:pPr>
            <w:r>
              <w:rPr>
                <w:rFonts w:cs="Times New Roman"/>
                <w:szCs w:val="24"/>
              </w:rPr>
              <w:t>Increased alkaline phosphatase</w:t>
            </w:r>
          </w:p>
        </w:tc>
        <w:tc>
          <w:tcPr>
            <w:tcW w:w="2395" w:type="dxa"/>
          </w:tcPr>
          <w:p w14:paraId="2832C823" w14:textId="77777777" w:rsidR="00260FE5" w:rsidRDefault="003436C9">
            <w:pPr>
              <w:spacing w:before="40" w:after="40"/>
              <w:ind w:hanging="105"/>
              <w:jc w:val="center"/>
              <w:rPr>
                <w:rFonts w:cs="Times New Roman"/>
                <w:szCs w:val="24"/>
              </w:rPr>
            </w:pPr>
            <w:r>
              <w:rPr>
                <w:rFonts w:cs="Times New Roman"/>
                <w:szCs w:val="24"/>
              </w:rPr>
              <w:t>25</w:t>
            </w:r>
          </w:p>
        </w:tc>
        <w:tc>
          <w:tcPr>
            <w:tcW w:w="2147" w:type="dxa"/>
          </w:tcPr>
          <w:p w14:paraId="2832C824" w14:textId="77777777" w:rsidR="00260FE5" w:rsidRDefault="003436C9">
            <w:pPr>
              <w:spacing w:before="40" w:after="40"/>
              <w:ind w:left="-111"/>
              <w:jc w:val="center"/>
              <w:rPr>
                <w:rFonts w:cs="Times New Roman"/>
                <w:szCs w:val="24"/>
              </w:rPr>
            </w:pPr>
            <w:r>
              <w:rPr>
                <w:rFonts w:cs="Times New Roman"/>
                <w:szCs w:val="24"/>
              </w:rPr>
              <w:t>1.8</w:t>
            </w:r>
          </w:p>
        </w:tc>
      </w:tr>
      <w:tr w:rsidR="00260FE5" w14:paraId="2832C829" w14:textId="77777777">
        <w:trPr>
          <w:jc w:val="center"/>
        </w:trPr>
        <w:tc>
          <w:tcPr>
            <w:tcW w:w="4474" w:type="dxa"/>
          </w:tcPr>
          <w:p w14:paraId="2832C826" w14:textId="77777777" w:rsidR="00260FE5" w:rsidRDefault="003436C9">
            <w:pPr>
              <w:spacing w:before="40" w:after="40"/>
              <w:ind w:left="720" w:hanging="20"/>
              <w:rPr>
                <w:rFonts w:cs="Times New Roman"/>
                <w:szCs w:val="24"/>
              </w:rPr>
            </w:pPr>
            <w:r>
              <w:rPr>
                <w:rFonts w:cs="Times New Roman"/>
                <w:szCs w:val="24"/>
              </w:rPr>
              <w:t>Decreased albumin</w:t>
            </w:r>
          </w:p>
        </w:tc>
        <w:tc>
          <w:tcPr>
            <w:tcW w:w="2395" w:type="dxa"/>
          </w:tcPr>
          <w:p w14:paraId="2832C827" w14:textId="77777777" w:rsidR="00260FE5" w:rsidRDefault="003436C9">
            <w:pPr>
              <w:spacing w:before="40" w:after="40"/>
              <w:ind w:hanging="105"/>
              <w:jc w:val="center"/>
              <w:rPr>
                <w:rFonts w:cs="Times New Roman"/>
                <w:szCs w:val="24"/>
              </w:rPr>
            </w:pPr>
            <w:r>
              <w:rPr>
                <w:rFonts w:cs="Times New Roman"/>
                <w:szCs w:val="24"/>
              </w:rPr>
              <w:t>23</w:t>
            </w:r>
          </w:p>
        </w:tc>
        <w:tc>
          <w:tcPr>
            <w:tcW w:w="2147" w:type="dxa"/>
          </w:tcPr>
          <w:p w14:paraId="2832C828" w14:textId="77777777" w:rsidR="00260FE5" w:rsidRDefault="003436C9">
            <w:pPr>
              <w:spacing w:before="40" w:after="40"/>
              <w:ind w:left="-111"/>
              <w:jc w:val="center"/>
              <w:rPr>
                <w:rFonts w:cs="Times New Roman"/>
                <w:szCs w:val="24"/>
              </w:rPr>
            </w:pPr>
            <w:r>
              <w:rPr>
                <w:rFonts w:cs="Times New Roman"/>
                <w:szCs w:val="24"/>
              </w:rPr>
              <w:t>1.8</w:t>
            </w:r>
          </w:p>
        </w:tc>
      </w:tr>
      <w:tr w:rsidR="00260FE5" w14:paraId="2832C82D" w14:textId="77777777">
        <w:trPr>
          <w:jc w:val="center"/>
        </w:trPr>
        <w:tc>
          <w:tcPr>
            <w:tcW w:w="4474" w:type="dxa"/>
          </w:tcPr>
          <w:p w14:paraId="2832C82A" w14:textId="77777777" w:rsidR="00260FE5" w:rsidRDefault="003436C9">
            <w:pPr>
              <w:spacing w:before="40" w:after="40"/>
              <w:ind w:left="720" w:hanging="20"/>
              <w:rPr>
                <w:rFonts w:cs="Times New Roman"/>
                <w:szCs w:val="24"/>
              </w:rPr>
            </w:pPr>
            <w:r>
              <w:rPr>
                <w:rFonts w:cs="Times New Roman"/>
                <w:szCs w:val="24"/>
              </w:rPr>
              <w:t>Decreased magnesium</w:t>
            </w:r>
          </w:p>
        </w:tc>
        <w:tc>
          <w:tcPr>
            <w:tcW w:w="2395" w:type="dxa"/>
          </w:tcPr>
          <w:p w14:paraId="2832C82B" w14:textId="77777777" w:rsidR="00260FE5" w:rsidRDefault="003436C9">
            <w:pPr>
              <w:spacing w:before="40" w:after="40"/>
              <w:ind w:hanging="105"/>
              <w:jc w:val="center"/>
              <w:rPr>
                <w:rFonts w:cs="Times New Roman"/>
                <w:szCs w:val="24"/>
              </w:rPr>
            </w:pPr>
            <w:r>
              <w:rPr>
                <w:rFonts w:cs="Times New Roman"/>
                <w:szCs w:val="24"/>
              </w:rPr>
              <w:t>23</w:t>
            </w:r>
          </w:p>
        </w:tc>
        <w:tc>
          <w:tcPr>
            <w:tcW w:w="2147" w:type="dxa"/>
          </w:tcPr>
          <w:p w14:paraId="2832C82C" w14:textId="77777777" w:rsidR="00260FE5" w:rsidRDefault="003436C9">
            <w:pPr>
              <w:spacing w:before="40" w:after="40"/>
              <w:ind w:left="-111"/>
              <w:jc w:val="center"/>
              <w:rPr>
                <w:rFonts w:cs="Times New Roman"/>
                <w:szCs w:val="24"/>
              </w:rPr>
            </w:pPr>
            <w:r>
              <w:rPr>
                <w:rFonts w:cs="Times New Roman"/>
                <w:szCs w:val="24"/>
              </w:rPr>
              <w:t>2.7</w:t>
            </w:r>
          </w:p>
        </w:tc>
      </w:tr>
      <w:tr w:rsidR="00260FE5" w14:paraId="2832C831" w14:textId="77777777">
        <w:trPr>
          <w:jc w:val="center"/>
        </w:trPr>
        <w:tc>
          <w:tcPr>
            <w:tcW w:w="4474" w:type="dxa"/>
          </w:tcPr>
          <w:p w14:paraId="2832C82E" w14:textId="77777777" w:rsidR="00260FE5" w:rsidRDefault="003436C9">
            <w:pPr>
              <w:spacing w:before="40" w:after="40"/>
              <w:ind w:left="720" w:hanging="20"/>
              <w:rPr>
                <w:rFonts w:cs="Times New Roman"/>
                <w:szCs w:val="24"/>
              </w:rPr>
            </w:pPr>
            <w:r>
              <w:rPr>
                <w:rFonts w:cs="Times New Roman"/>
                <w:szCs w:val="24"/>
              </w:rPr>
              <w:t>Increased alanine aminotransferase</w:t>
            </w:r>
          </w:p>
        </w:tc>
        <w:tc>
          <w:tcPr>
            <w:tcW w:w="2395" w:type="dxa"/>
          </w:tcPr>
          <w:p w14:paraId="2832C82F" w14:textId="77777777" w:rsidR="00260FE5" w:rsidRDefault="003436C9">
            <w:pPr>
              <w:spacing w:before="40" w:after="40"/>
              <w:ind w:hanging="105"/>
              <w:jc w:val="center"/>
              <w:rPr>
                <w:rFonts w:cs="Times New Roman"/>
                <w:szCs w:val="24"/>
              </w:rPr>
            </w:pPr>
            <w:r>
              <w:rPr>
                <w:rFonts w:cs="Times New Roman"/>
                <w:szCs w:val="24"/>
              </w:rPr>
              <w:t>22</w:t>
            </w:r>
          </w:p>
        </w:tc>
        <w:tc>
          <w:tcPr>
            <w:tcW w:w="2147" w:type="dxa"/>
          </w:tcPr>
          <w:p w14:paraId="2832C830" w14:textId="77777777" w:rsidR="00260FE5" w:rsidRDefault="003436C9">
            <w:pPr>
              <w:spacing w:before="40" w:after="40"/>
              <w:ind w:left="-111"/>
              <w:jc w:val="center"/>
              <w:rPr>
                <w:rFonts w:cs="Times New Roman"/>
                <w:szCs w:val="24"/>
              </w:rPr>
            </w:pPr>
            <w:r>
              <w:rPr>
                <w:rFonts w:cs="Times New Roman"/>
                <w:szCs w:val="24"/>
              </w:rPr>
              <w:t>2.7</w:t>
            </w:r>
          </w:p>
        </w:tc>
      </w:tr>
      <w:tr w:rsidR="00260FE5" w14:paraId="2832C835" w14:textId="77777777">
        <w:trPr>
          <w:jc w:val="center"/>
        </w:trPr>
        <w:tc>
          <w:tcPr>
            <w:tcW w:w="4474" w:type="dxa"/>
          </w:tcPr>
          <w:p w14:paraId="2832C832" w14:textId="77777777" w:rsidR="00260FE5" w:rsidRDefault="003436C9">
            <w:pPr>
              <w:spacing w:before="40" w:after="40"/>
              <w:ind w:left="720" w:hanging="20"/>
              <w:rPr>
                <w:rFonts w:cs="Times New Roman"/>
                <w:szCs w:val="24"/>
              </w:rPr>
            </w:pPr>
            <w:r>
              <w:rPr>
                <w:rFonts w:cs="Times New Roman"/>
                <w:szCs w:val="24"/>
              </w:rPr>
              <w:t>Increased aspartate aminotransferase</w:t>
            </w:r>
          </w:p>
        </w:tc>
        <w:tc>
          <w:tcPr>
            <w:tcW w:w="2395" w:type="dxa"/>
          </w:tcPr>
          <w:p w14:paraId="2832C833" w14:textId="77777777" w:rsidR="00260FE5" w:rsidRDefault="003436C9">
            <w:pPr>
              <w:spacing w:before="40" w:after="40"/>
              <w:ind w:hanging="105"/>
              <w:jc w:val="center"/>
              <w:rPr>
                <w:rFonts w:cs="Times New Roman"/>
                <w:szCs w:val="24"/>
              </w:rPr>
            </w:pPr>
            <w:r>
              <w:rPr>
                <w:rFonts w:cs="Times New Roman"/>
                <w:szCs w:val="24"/>
              </w:rPr>
              <w:t>21</w:t>
            </w:r>
          </w:p>
        </w:tc>
        <w:tc>
          <w:tcPr>
            <w:tcW w:w="2147" w:type="dxa"/>
          </w:tcPr>
          <w:p w14:paraId="2832C834" w14:textId="77777777" w:rsidR="00260FE5" w:rsidRDefault="003436C9">
            <w:pPr>
              <w:spacing w:before="40" w:after="40"/>
              <w:ind w:left="-111"/>
              <w:jc w:val="center"/>
              <w:rPr>
                <w:rFonts w:cs="Times New Roman"/>
                <w:szCs w:val="24"/>
              </w:rPr>
            </w:pPr>
            <w:r>
              <w:rPr>
                <w:rFonts w:cs="Times New Roman"/>
                <w:szCs w:val="24"/>
              </w:rPr>
              <w:t>1.8</w:t>
            </w:r>
          </w:p>
        </w:tc>
      </w:tr>
      <w:tr w:rsidR="00260FE5" w14:paraId="2832C839" w14:textId="77777777">
        <w:trPr>
          <w:jc w:val="center"/>
        </w:trPr>
        <w:tc>
          <w:tcPr>
            <w:tcW w:w="4474" w:type="dxa"/>
          </w:tcPr>
          <w:p w14:paraId="2832C836" w14:textId="77777777" w:rsidR="00260FE5" w:rsidRDefault="003436C9">
            <w:pPr>
              <w:spacing w:before="40" w:after="40"/>
              <w:ind w:left="720" w:hanging="20"/>
              <w:rPr>
                <w:rFonts w:cs="Times New Roman"/>
                <w:szCs w:val="24"/>
              </w:rPr>
            </w:pPr>
            <w:r>
              <w:rPr>
                <w:rFonts w:cs="Times New Roman"/>
                <w:szCs w:val="24"/>
              </w:rPr>
              <w:t>Decreased sodium</w:t>
            </w:r>
          </w:p>
        </w:tc>
        <w:tc>
          <w:tcPr>
            <w:tcW w:w="2395" w:type="dxa"/>
          </w:tcPr>
          <w:p w14:paraId="2832C837" w14:textId="77777777" w:rsidR="00260FE5" w:rsidRDefault="003436C9">
            <w:pPr>
              <w:spacing w:before="40" w:after="40"/>
              <w:ind w:hanging="105"/>
              <w:jc w:val="center"/>
              <w:rPr>
                <w:rFonts w:cs="Times New Roman"/>
                <w:szCs w:val="24"/>
              </w:rPr>
            </w:pPr>
            <w:r>
              <w:rPr>
                <w:rFonts w:cs="Times New Roman"/>
                <w:szCs w:val="24"/>
              </w:rPr>
              <w:t>20</w:t>
            </w:r>
          </w:p>
        </w:tc>
        <w:tc>
          <w:tcPr>
            <w:tcW w:w="2147" w:type="dxa"/>
          </w:tcPr>
          <w:p w14:paraId="2832C838" w14:textId="77777777" w:rsidR="00260FE5" w:rsidRDefault="003436C9">
            <w:pPr>
              <w:spacing w:before="40" w:after="40"/>
              <w:ind w:left="-111"/>
              <w:jc w:val="center"/>
              <w:rPr>
                <w:rFonts w:cs="Times New Roman"/>
                <w:szCs w:val="24"/>
              </w:rPr>
            </w:pPr>
            <w:r>
              <w:rPr>
                <w:rFonts w:cs="Times New Roman"/>
                <w:szCs w:val="24"/>
              </w:rPr>
              <w:t>0.9</w:t>
            </w:r>
          </w:p>
        </w:tc>
      </w:tr>
    </w:tbl>
    <w:p w14:paraId="2832C83A" w14:textId="77777777" w:rsidR="00260FE5" w:rsidRDefault="003436C9">
      <w:pPr>
        <w:shd w:val="clear" w:color="auto" w:fill="FFFFFF" w:themeFill="background1"/>
        <w:tabs>
          <w:tab w:val="left" w:pos="0"/>
          <w:tab w:val="left" w:pos="360"/>
        </w:tabs>
        <w:spacing w:before="40"/>
        <w:ind w:left="270" w:hanging="180"/>
        <w:rPr>
          <w:rFonts w:cs="Times New Roman"/>
          <w:sz w:val="20"/>
          <w:szCs w:val="20"/>
        </w:rPr>
      </w:pPr>
      <w:r>
        <w:rPr>
          <w:rFonts w:cs="Times New Roman"/>
          <w:sz w:val="20"/>
          <w:szCs w:val="20"/>
        </w:rPr>
        <w:t>* Grades per NCI CTCAE v5.0</w:t>
      </w:r>
    </w:p>
    <w:p w14:paraId="2832C83B" w14:textId="77777777" w:rsidR="00260FE5" w:rsidRDefault="003436C9">
      <w:pPr>
        <w:pStyle w:val="CommentText"/>
        <w:tabs>
          <w:tab w:val="left" w:pos="270"/>
        </w:tabs>
        <w:spacing w:before="40"/>
        <w:ind w:left="270" w:hanging="270"/>
        <w:rPr>
          <w:rFonts w:ascii="Times New Roman" w:hAnsi="Times New Roman" w:cs="Times New Roman"/>
        </w:rPr>
      </w:pPr>
      <w:r>
        <w:rPr>
          <w:rFonts w:ascii="Times New Roman" w:hAnsi="Times New Roman" w:cs="Times New Roman"/>
        </w:rPr>
        <w:t>** The denominator used to calculate the rate varied from 93 to 113 based on the number of patients with a baseline and at least one post-treatment value. The laboratory abnormalities are values that reflect worsening from baseline.</w:t>
      </w:r>
    </w:p>
    <w:bookmarkEnd w:id="5"/>
    <w:p w14:paraId="2832C83C" w14:textId="77777777" w:rsidR="00260FE5" w:rsidRDefault="003436C9">
      <w:pPr>
        <w:pStyle w:val="Heading3"/>
        <w:spacing w:before="0" w:after="120"/>
        <w:rPr>
          <w:b w:val="0"/>
          <w:bCs w:val="0"/>
          <w:u w:val="single"/>
        </w:rPr>
      </w:pPr>
      <w:r>
        <w:rPr>
          <w:b w:val="0"/>
          <w:bCs w:val="0"/>
          <w:u w:val="single"/>
        </w:rPr>
        <w:t>Description of selected adverse reactions</w:t>
      </w:r>
    </w:p>
    <w:p w14:paraId="2832C83D" w14:textId="77777777" w:rsidR="00260FE5" w:rsidRDefault="003436C9">
      <w:pPr>
        <w:spacing w:after="0"/>
        <w:rPr>
          <w:i/>
          <w:iCs/>
        </w:rPr>
      </w:pPr>
      <w:r>
        <w:rPr>
          <w:i/>
          <w:iCs/>
        </w:rPr>
        <w:t>Non-QT conduction abnormalities</w:t>
      </w:r>
    </w:p>
    <w:p w14:paraId="2832C83E" w14:textId="77777777" w:rsidR="00260FE5" w:rsidRDefault="003436C9">
      <w:pPr>
        <w:spacing w:before="0"/>
      </w:pPr>
      <w:r>
        <w:t xml:space="preserve">Other than QT prolongation [see </w:t>
      </w:r>
      <w:r>
        <w:rPr>
          <w:i/>
          <w:iCs/>
        </w:rPr>
        <w:t>Warnings and special precautions for use</w:t>
      </w:r>
      <w:r>
        <w:t xml:space="preserve"> (4.4)], other events of cardiac conduction abnormality that occurred in patients receiving EXKIVITY in the pooled safety population (N=256) were atrial fibrillation (1.6%), ventricular tachycardia (0.4%), first degree atrioventricular block (0.4%), second degree atrioventricular block (0.4%), left bundle branch block (0.4%), supraventricular extrasystoles (0.4%) and ventricular extrasystoles (0.4%).</w:t>
      </w:r>
      <w:r>
        <w:rPr>
          <w:rFonts w:eastAsia="SimSun" w:cs="Times New Roman"/>
          <w:szCs w:val="24"/>
        </w:rPr>
        <w:t xml:space="preserve"> </w:t>
      </w:r>
      <w:r>
        <w:t>The causality of these events to mobocertinib has not been established.</w:t>
      </w:r>
    </w:p>
    <w:p w14:paraId="2832C83F" w14:textId="77777777" w:rsidR="00260FE5" w:rsidRDefault="00260FE5"/>
    <w:p w14:paraId="2832C840" w14:textId="77777777" w:rsidR="00260FE5" w:rsidRDefault="003436C9" w:rsidP="00A90FCB">
      <w:pPr>
        <w:pStyle w:val="Heading3"/>
        <w:pageBreakBefore/>
      </w:pPr>
      <w:r>
        <w:lastRenderedPageBreak/>
        <w:t>Reporting suspected adverse effects</w:t>
      </w:r>
    </w:p>
    <w:p w14:paraId="2832C841" w14:textId="77777777" w:rsidR="00260FE5" w:rsidRDefault="003436C9">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Pr>
            <w:rStyle w:val="Hyperlink"/>
            <w:rFonts w:cs="Times New Roman"/>
            <w:color w:val="auto"/>
            <w:szCs w:val="24"/>
          </w:rPr>
          <w:t>http://www.tga.gov.au/reporting-problems</w:t>
        </w:r>
      </w:hyperlink>
      <w:r>
        <w:t>.</w:t>
      </w:r>
    </w:p>
    <w:p w14:paraId="2832C842" w14:textId="77777777" w:rsidR="00260FE5" w:rsidRDefault="003436C9">
      <w:pPr>
        <w:pStyle w:val="Heading2"/>
      </w:pPr>
      <w:r>
        <w:t>4.9</w:t>
      </w:r>
      <w:r>
        <w:tab/>
        <w:t xml:space="preserve">OVERDOSE </w:t>
      </w:r>
    </w:p>
    <w:p w14:paraId="2832C843" w14:textId="77777777" w:rsidR="00260FE5" w:rsidRDefault="003436C9">
      <w:r>
        <w:t xml:space="preserve">There is no known specific antidote for overdose with EXKIVITY. In the event of an overdose, monitor the patient for adverse reactions </w:t>
      </w:r>
      <w:r>
        <w:rPr>
          <w:i/>
          <w:iCs/>
        </w:rPr>
        <w:t>[see Adverse Effects (4.8)]</w:t>
      </w:r>
      <w:r>
        <w:t xml:space="preserve"> and provide appropriate supportive care.</w:t>
      </w:r>
    </w:p>
    <w:p w14:paraId="2832C844" w14:textId="77777777" w:rsidR="00260FE5" w:rsidRDefault="003436C9">
      <w:r>
        <w:t>For information on the management of overdose, contact the Poisons Information Centre telephone: 131126 (Australia).</w:t>
      </w:r>
    </w:p>
    <w:p w14:paraId="2832C845" w14:textId="77777777" w:rsidR="00260FE5" w:rsidRDefault="003436C9">
      <w:pPr>
        <w:pStyle w:val="Heading2"/>
      </w:pPr>
      <w:r>
        <w:t>5</w:t>
      </w:r>
      <w:r>
        <w:tab/>
        <w:t xml:space="preserve">PHARMACOLOGICAL PROPERTIES </w:t>
      </w:r>
    </w:p>
    <w:p w14:paraId="2832C846" w14:textId="77777777" w:rsidR="00260FE5" w:rsidRDefault="003436C9">
      <w:pPr>
        <w:pStyle w:val="Heading2"/>
      </w:pPr>
      <w:r>
        <w:t>5.1</w:t>
      </w:r>
      <w:r>
        <w:tab/>
        <w:t xml:space="preserve">PHARMACODYNAMIC PROPERTIES </w:t>
      </w:r>
    </w:p>
    <w:p w14:paraId="2832C847" w14:textId="77777777" w:rsidR="00260FE5" w:rsidRDefault="003436C9">
      <w:pPr>
        <w:pStyle w:val="Heading3"/>
      </w:pPr>
      <w:r>
        <w:t>Mechanism of action</w:t>
      </w:r>
    </w:p>
    <w:p w14:paraId="2832C848" w14:textId="77777777" w:rsidR="00260FE5" w:rsidRDefault="003436C9">
      <w:r>
        <w:t xml:space="preserve">Mobocertinib is a kinase inhibitor of the epidermal growth factor receptor (EGFR) that irreversibly binds to and inhibits EGFR harbouring an exon 20 insertion mutation at lower concentrations than wild type (WT)-EGFR. Two </w:t>
      </w:r>
      <w:proofErr w:type="gramStart"/>
      <w:r>
        <w:t>pharmacologically-active</w:t>
      </w:r>
      <w:proofErr w:type="gramEnd"/>
      <w:r>
        <w:t xml:space="preserve"> metabolites (AP32960 and AP32914) with similar inhibitory profiles to mobocertinib have been identified in the plasma after oral administration of mobocertinib. </w:t>
      </w:r>
      <w:r>
        <w:rPr>
          <w:i/>
          <w:iCs/>
        </w:rPr>
        <w:t>In vitro</w:t>
      </w:r>
      <w:r>
        <w:t>, mobocertinib also inhibited the activity of EGFR family members (HER2 and HER4), and one additional kinase (BLK) at clinically relevant concentrations (IC</w:t>
      </w:r>
      <w:r>
        <w:rPr>
          <w:vertAlign w:val="subscript"/>
        </w:rPr>
        <w:t>50</w:t>
      </w:r>
      <w:r>
        <w:t xml:space="preserve"> values &lt;2 </w:t>
      </w:r>
      <w:proofErr w:type="spellStart"/>
      <w:r>
        <w:t>nM</w:t>
      </w:r>
      <w:proofErr w:type="spellEnd"/>
      <w:r>
        <w:t>).</w:t>
      </w:r>
    </w:p>
    <w:p w14:paraId="2832C849" w14:textId="77777777" w:rsidR="00260FE5" w:rsidRDefault="003436C9">
      <w:r>
        <w:t xml:space="preserve">In cell culture models, mobocertinib inhibited the proliferation of cells driven by different EGFR exon 20 insertion mutation variants at 1.5- to 10-fold lower concentrations than those required for WT-EGFR signalling inhibition. </w:t>
      </w:r>
    </w:p>
    <w:p w14:paraId="2832C84A" w14:textId="77777777" w:rsidR="00260FE5" w:rsidRDefault="003436C9">
      <w:r>
        <w:t xml:space="preserve">In murine tumour implantation models, mobocertinib demonstrated anti-tumour activity against xenografts carrying either the [NPH] or the [ASV] EGFR exon 20 insertion mutation. </w:t>
      </w:r>
    </w:p>
    <w:p w14:paraId="2832C84B" w14:textId="77777777" w:rsidR="00260FE5" w:rsidRDefault="003436C9">
      <w:pPr>
        <w:pStyle w:val="Heading3"/>
      </w:pPr>
      <w:r>
        <w:t>Pharmacodynamic effects</w:t>
      </w:r>
    </w:p>
    <w:p w14:paraId="2832C84C" w14:textId="77777777" w:rsidR="00260FE5" w:rsidRDefault="003436C9">
      <w:r>
        <w:t>Mobocertinib exposure-response relationships and the time course of pharmacodynamic response are unknown.</w:t>
      </w:r>
    </w:p>
    <w:p w14:paraId="2832C84D" w14:textId="77777777" w:rsidR="00260FE5" w:rsidRDefault="003436C9">
      <w:pPr>
        <w:pStyle w:val="Heading4"/>
      </w:pPr>
      <w:r>
        <w:t>Cardiac electrophysiology</w:t>
      </w:r>
    </w:p>
    <w:p w14:paraId="2832C84E" w14:textId="77777777" w:rsidR="00260FE5" w:rsidRDefault="003436C9">
      <w:pPr>
        <w:pStyle w:val="Heading4"/>
        <w:rPr>
          <w:rFonts w:eastAsia="Times New Roman" w:cstheme="minorBidi"/>
          <w:i w:val="0"/>
          <w:iCs w:val="0"/>
          <w:szCs w:val="22"/>
          <w:u w:val="none"/>
        </w:rPr>
      </w:pPr>
      <w:r>
        <w:rPr>
          <w:rFonts w:eastAsia="Times New Roman" w:cstheme="minorBidi"/>
          <w:i w:val="0"/>
          <w:iCs w:val="0"/>
          <w:szCs w:val="22"/>
          <w:u w:val="none"/>
        </w:rPr>
        <w:t>The largest mean increase in QTc was 23.0 msec (upper confidence interval limit: 25.5 msec) following administration of EXKIVITY at the recommended dose of 160 mg once daily.</w:t>
      </w:r>
    </w:p>
    <w:p w14:paraId="2832C84F" w14:textId="77777777" w:rsidR="00260FE5" w:rsidRDefault="003436C9">
      <w:pPr>
        <w:pStyle w:val="Heading4"/>
      </w:pPr>
      <w:r>
        <w:rPr>
          <w:rFonts w:eastAsia="Times New Roman" w:cstheme="minorBidi"/>
          <w:i w:val="0"/>
          <w:iCs w:val="0"/>
          <w:szCs w:val="22"/>
          <w:u w:val="none"/>
        </w:rPr>
        <w:t>The largest mean increase in the PR interval was 12.4 msec (upper confidence interval limit: 15.0 msec). PR interval prolongation &gt;220 msec occurred in 5% of patients taking EXKIVITY 160 mg once daily.</w:t>
      </w:r>
    </w:p>
    <w:p w14:paraId="2832C850" w14:textId="77777777" w:rsidR="00260FE5" w:rsidRDefault="003436C9">
      <w:pPr>
        <w:pStyle w:val="Heading3"/>
      </w:pPr>
      <w:r>
        <w:lastRenderedPageBreak/>
        <w:t>Clinical trials</w:t>
      </w:r>
    </w:p>
    <w:p w14:paraId="2832C851" w14:textId="77777777" w:rsidR="00260FE5" w:rsidRDefault="003436C9">
      <w:pPr>
        <w:pStyle w:val="Heading4"/>
      </w:pPr>
      <w:proofErr w:type="gramStart"/>
      <w:r>
        <w:t>Previously-treated</w:t>
      </w:r>
      <w:proofErr w:type="gramEnd"/>
      <w:r>
        <w:t>, metastatic non-small cell lung cancer harbouring an EGFR exon 20 insertion mutation</w:t>
      </w:r>
    </w:p>
    <w:p w14:paraId="2832C852" w14:textId="77777777" w:rsidR="00260FE5" w:rsidRDefault="003436C9">
      <w:r>
        <w:t xml:space="preserve">The efficacy of EXKIVITY was evaluated in pooled subset of 114 patients with locally advanced or metastatic NSCLC harbouring an EGFR exon 20 insertion mutation, whose disease had progressed on or after platinum-based chemotherapy, and who were enrolled in an international, single-arm, open-label, multicohort study (Study AP32788-15-101; NCT02716116). Trial eligibility required histologically or cytologically confirmed locally advanced or metastatic disease (Stage IIIB or IV) and a documented EGFR exon 20 insertion mutation based on local testing. Patients received EXKIVITY at a dose of 160 mg once daily until disease progression or intolerable toxicity. </w:t>
      </w:r>
    </w:p>
    <w:p w14:paraId="2832C853" w14:textId="77777777" w:rsidR="00260FE5" w:rsidRDefault="003436C9">
      <w:r>
        <w:t xml:space="preserve">The major efficacy outcome measure was confirmed objective response rate (ORR) according to Response Evaluation Criteria in Solid Tumours (RECIST v1.1) by an independent review committee (IRC). Additional efficacy outcome measures included duration of response (DOR) per IRC. </w:t>
      </w:r>
    </w:p>
    <w:p w14:paraId="2832C854" w14:textId="77777777" w:rsidR="00260FE5" w:rsidRDefault="003436C9">
      <w:r>
        <w:t xml:space="preserve">The pooled efficacy population (n=114) had a median age of 60 years (range: 27 to 84 years), were mostly female (66%), Asian (60%) or Caucasian (37%), and had never smoked (71%). ECOG performance status was 1 (75%) or 0 (25%) and adenocarcinoma histology was predominant (98%). Local testing for EGFR exon 20 insertion mutation status was mainly performed on tumour tissue (87%) but for a small group was performed on plasma (5%), or other specimens such as pleural fluid (8%). Retrospective central analysis of 70% of patient tissue samples was conducted using the Life Technologies Corporation </w:t>
      </w:r>
      <w:proofErr w:type="spellStart"/>
      <w:r>
        <w:t>Oncomine</w:t>
      </w:r>
      <w:proofErr w:type="spellEnd"/>
      <w:r>
        <w:t xml:space="preserve"> Dx™ Target Test. While 75% of patients were positive for EGFR exon 20 insertion mutation by central analysis, 14% did not have an EGFR exon 20 insertion mutation identified, and 11% did not generate reportable results.</w:t>
      </w:r>
    </w:p>
    <w:p w14:paraId="2832C855" w14:textId="77777777" w:rsidR="00260FE5" w:rsidRDefault="003436C9">
      <w:r>
        <w:t xml:space="preserve">Efficacy results from this study, with a median follow-up duration of 14.2 months, are summarised in </w:t>
      </w:r>
      <w:r>
        <w:rPr>
          <w:i/>
          <w:iCs/>
        </w:rPr>
        <w:t>Table 5</w:t>
      </w:r>
      <w:r>
        <w:t>.</w:t>
      </w:r>
    </w:p>
    <w:tbl>
      <w:tblPr>
        <w:tblStyle w:val="TableGrid2"/>
        <w:tblW w:w="0" w:type="auto"/>
        <w:tblLook w:val="04A0" w:firstRow="1" w:lastRow="0" w:firstColumn="1" w:lastColumn="0" w:noHBand="0" w:noVBand="1"/>
      </w:tblPr>
      <w:tblGrid>
        <w:gridCol w:w="5665"/>
        <w:gridCol w:w="3119"/>
      </w:tblGrid>
      <w:tr w:rsidR="00260FE5" w14:paraId="2832C857" w14:textId="77777777">
        <w:trPr>
          <w:trHeight w:val="359"/>
        </w:trPr>
        <w:tc>
          <w:tcPr>
            <w:tcW w:w="8784" w:type="dxa"/>
            <w:gridSpan w:val="2"/>
          </w:tcPr>
          <w:p w14:paraId="2832C856" w14:textId="77777777" w:rsidR="00260FE5" w:rsidRDefault="003436C9">
            <w:pPr>
              <w:rPr>
                <w:b/>
                <w:bCs/>
                <w:lang w:val="en-AU"/>
              </w:rPr>
            </w:pPr>
            <w:bookmarkStart w:id="7" w:name="_Hlk62643229"/>
            <w:r>
              <w:rPr>
                <w:b/>
                <w:bCs/>
              </w:rPr>
              <w:t xml:space="preserve">Table 5: Efficacy </w:t>
            </w:r>
            <w:r>
              <w:rPr>
                <w:b/>
                <w:bCs/>
                <w:lang w:val="en-AU"/>
              </w:rPr>
              <w:t>results in</w:t>
            </w:r>
            <w:r>
              <w:rPr>
                <w:b/>
                <w:bCs/>
              </w:rPr>
              <w:t xml:space="preserve"> patients with NSCLC </w:t>
            </w:r>
            <w:proofErr w:type="spellStart"/>
            <w:r>
              <w:rPr>
                <w:b/>
                <w:bCs/>
              </w:rPr>
              <w:t>harbouring</w:t>
            </w:r>
            <w:proofErr w:type="spellEnd"/>
            <w:r>
              <w:rPr>
                <w:b/>
                <w:bCs/>
              </w:rPr>
              <w:t xml:space="preserve"> an EGFR exon 20 insertion mutation, whose disease had progressed on or after platinum-based chemotherapy, and who received mobocertinib in Study AP32788-15-101</w:t>
            </w:r>
          </w:p>
        </w:tc>
      </w:tr>
      <w:tr w:rsidR="00260FE5" w14:paraId="2832C85B" w14:textId="77777777">
        <w:trPr>
          <w:trHeight w:val="350"/>
        </w:trPr>
        <w:tc>
          <w:tcPr>
            <w:tcW w:w="5665" w:type="dxa"/>
            <w:vAlign w:val="center"/>
          </w:tcPr>
          <w:p w14:paraId="2832C858" w14:textId="77777777" w:rsidR="00260FE5" w:rsidRDefault="00260FE5">
            <w:pPr>
              <w:rPr>
                <w:lang w:val="en-AU"/>
              </w:rPr>
            </w:pPr>
          </w:p>
        </w:tc>
        <w:tc>
          <w:tcPr>
            <w:tcW w:w="3119" w:type="dxa"/>
            <w:vAlign w:val="center"/>
          </w:tcPr>
          <w:p w14:paraId="2832C859" w14:textId="77777777" w:rsidR="00260FE5" w:rsidRDefault="003436C9">
            <w:pPr>
              <w:jc w:val="center"/>
              <w:rPr>
                <w:b/>
                <w:bCs/>
                <w:lang w:val="en-AU"/>
              </w:rPr>
            </w:pPr>
            <w:r>
              <w:rPr>
                <w:b/>
                <w:bCs/>
              </w:rPr>
              <w:t>EXKIVITY</w:t>
            </w:r>
          </w:p>
          <w:p w14:paraId="2832C85A" w14:textId="77777777" w:rsidR="00260FE5" w:rsidRDefault="003436C9">
            <w:pPr>
              <w:jc w:val="center"/>
              <w:rPr>
                <w:b/>
                <w:bCs/>
                <w:lang w:val="en-AU"/>
              </w:rPr>
            </w:pPr>
            <w:r>
              <w:rPr>
                <w:b/>
                <w:bCs/>
              </w:rPr>
              <w:t>(n=114)</w:t>
            </w:r>
          </w:p>
        </w:tc>
      </w:tr>
      <w:tr w:rsidR="00260FE5" w14:paraId="2832C85E" w14:textId="77777777">
        <w:tc>
          <w:tcPr>
            <w:tcW w:w="5665" w:type="dxa"/>
          </w:tcPr>
          <w:p w14:paraId="2832C85C" w14:textId="77777777" w:rsidR="00260FE5" w:rsidRDefault="003436C9">
            <w:pPr>
              <w:rPr>
                <w:lang w:val="en-AU"/>
              </w:rPr>
            </w:pPr>
            <w:r>
              <w:rPr>
                <w:b/>
                <w:bCs/>
              </w:rPr>
              <w:t>Objective response rate (ORR)</w:t>
            </w:r>
            <w:r>
              <w:rPr>
                <w:lang w:val="en-AU"/>
              </w:rPr>
              <w:t xml:space="preserve"> [95% CI]</w:t>
            </w:r>
          </w:p>
        </w:tc>
        <w:tc>
          <w:tcPr>
            <w:tcW w:w="3119" w:type="dxa"/>
            <w:vAlign w:val="center"/>
          </w:tcPr>
          <w:p w14:paraId="2832C85D" w14:textId="77777777" w:rsidR="00260FE5" w:rsidRDefault="003436C9">
            <w:pPr>
              <w:jc w:val="center"/>
              <w:rPr>
                <w:lang w:val="en-AU"/>
              </w:rPr>
            </w:pPr>
            <w:r>
              <w:rPr>
                <w:lang w:val="en-AU"/>
              </w:rPr>
              <w:t xml:space="preserve">28% [20, 37] </w:t>
            </w:r>
            <w:r>
              <w:rPr>
                <w:vertAlign w:val="superscript"/>
              </w:rPr>
              <w:t>a</w:t>
            </w:r>
          </w:p>
        </w:tc>
      </w:tr>
      <w:bookmarkEnd w:id="7"/>
      <w:tr w:rsidR="00260FE5" w14:paraId="2832C861" w14:textId="77777777">
        <w:trPr>
          <w:trHeight w:val="404"/>
        </w:trPr>
        <w:tc>
          <w:tcPr>
            <w:tcW w:w="5665" w:type="dxa"/>
          </w:tcPr>
          <w:p w14:paraId="2832C85F" w14:textId="77777777" w:rsidR="00260FE5" w:rsidRDefault="003436C9">
            <w:pPr>
              <w:rPr>
                <w:lang w:val="en-AU"/>
              </w:rPr>
            </w:pPr>
            <w:r>
              <w:rPr>
                <w:b/>
                <w:bCs/>
              </w:rPr>
              <w:t>Duration of response (DOR)</w:t>
            </w:r>
          </w:p>
        </w:tc>
        <w:tc>
          <w:tcPr>
            <w:tcW w:w="3119" w:type="dxa"/>
            <w:vAlign w:val="center"/>
          </w:tcPr>
          <w:p w14:paraId="2832C860" w14:textId="77777777" w:rsidR="00260FE5" w:rsidRDefault="00260FE5">
            <w:pPr>
              <w:jc w:val="center"/>
            </w:pPr>
          </w:p>
        </w:tc>
      </w:tr>
      <w:tr w:rsidR="00260FE5" w14:paraId="2832C864" w14:textId="77777777">
        <w:tc>
          <w:tcPr>
            <w:tcW w:w="5665" w:type="dxa"/>
          </w:tcPr>
          <w:p w14:paraId="2832C862" w14:textId="77777777" w:rsidR="00260FE5" w:rsidRDefault="003436C9">
            <w:pPr>
              <w:rPr>
                <w:lang w:val="en-AU"/>
              </w:rPr>
            </w:pPr>
            <w:r>
              <w:rPr>
                <w:lang w:val="en-AU"/>
              </w:rPr>
              <w:t>Median (months)</w:t>
            </w:r>
            <w:r>
              <w:rPr>
                <w:vertAlign w:val="superscript"/>
              </w:rPr>
              <w:t>b</w:t>
            </w:r>
            <w:r>
              <w:rPr>
                <w:lang w:val="en-AU"/>
              </w:rPr>
              <w:t xml:space="preserve"> [95% CI]</w:t>
            </w:r>
          </w:p>
        </w:tc>
        <w:tc>
          <w:tcPr>
            <w:tcW w:w="3119" w:type="dxa"/>
            <w:vAlign w:val="center"/>
          </w:tcPr>
          <w:p w14:paraId="2832C863" w14:textId="77777777" w:rsidR="00260FE5" w:rsidRDefault="003436C9">
            <w:pPr>
              <w:jc w:val="center"/>
              <w:rPr>
                <w:lang w:val="en-AU"/>
              </w:rPr>
            </w:pPr>
            <w:r>
              <w:rPr>
                <w:lang w:val="en-AU"/>
              </w:rPr>
              <w:t>17.5 [7.4, 20.3]</w:t>
            </w:r>
          </w:p>
        </w:tc>
      </w:tr>
      <w:tr w:rsidR="00260FE5" w14:paraId="2832C867" w14:textId="77777777">
        <w:tc>
          <w:tcPr>
            <w:tcW w:w="5665" w:type="dxa"/>
          </w:tcPr>
          <w:p w14:paraId="2832C865" w14:textId="77777777" w:rsidR="00260FE5" w:rsidRDefault="003436C9">
            <w:pPr>
              <w:rPr>
                <w:lang w:val="en-AU"/>
              </w:rPr>
            </w:pPr>
            <w:r>
              <w:rPr>
                <w:lang w:val="en-AU"/>
              </w:rPr>
              <w:t>Patients with DOR ≥6 months</w:t>
            </w:r>
            <w:r>
              <w:rPr>
                <w:vertAlign w:val="superscript"/>
              </w:rPr>
              <w:t>c</w:t>
            </w:r>
          </w:p>
        </w:tc>
        <w:tc>
          <w:tcPr>
            <w:tcW w:w="3119" w:type="dxa"/>
            <w:vAlign w:val="center"/>
          </w:tcPr>
          <w:p w14:paraId="2832C866" w14:textId="77777777" w:rsidR="00260FE5" w:rsidRDefault="003436C9">
            <w:pPr>
              <w:jc w:val="center"/>
              <w:rPr>
                <w:lang w:val="en-AU"/>
              </w:rPr>
            </w:pPr>
            <w:r>
              <w:rPr>
                <w:lang w:val="en-AU"/>
              </w:rPr>
              <w:t>59%</w:t>
            </w:r>
          </w:p>
        </w:tc>
      </w:tr>
    </w:tbl>
    <w:p w14:paraId="2832C868" w14:textId="77777777" w:rsidR="00260FE5" w:rsidRDefault="003436C9">
      <w:pPr>
        <w:pStyle w:val="TableFootnotes"/>
      </w:pPr>
      <w:r>
        <w:t>CI = confidence interval</w:t>
      </w:r>
    </w:p>
    <w:p w14:paraId="2832C869" w14:textId="77777777" w:rsidR="00260FE5" w:rsidRDefault="003436C9">
      <w:pPr>
        <w:pStyle w:val="TableFootnotes"/>
        <w:rPr>
          <w:vertAlign w:val="superscript"/>
        </w:rPr>
      </w:pPr>
      <w:proofErr w:type="spellStart"/>
      <w:r>
        <w:rPr>
          <w:vertAlign w:val="superscript"/>
        </w:rPr>
        <w:t>a</w:t>
      </w:r>
      <w:proofErr w:type="spellEnd"/>
      <w:r>
        <w:t xml:space="preserve"> All responses were partial responses</w:t>
      </w:r>
    </w:p>
    <w:p w14:paraId="2832C86A" w14:textId="77777777" w:rsidR="00260FE5" w:rsidRDefault="003436C9">
      <w:pPr>
        <w:pStyle w:val="TableFootnotes"/>
      </w:pPr>
      <w:r>
        <w:rPr>
          <w:vertAlign w:val="superscript"/>
        </w:rPr>
        <w:lastRenderedPageBreak/>
        <w:t>b</w:t>
      </w:r>
      <w:r>
        <w:t xml:space="preserve"> Kaplan-Meier estimate in confirmed responders only</w:t>
      </w:r>
    </w:p>
    <w:p w14:paraId="2832C86B" w14:textId="77777777" w:rsidR="00260FE5" w:rsidRDefault="003436C9">
      <w:pPr>
        <w:pStyle w:val="TableFootnotes"/>
        <w:rPr>
          <w:vertAlign w:val="superscript"/>
        </w:rPr>
      </w:pPr>
      <w:r>
        <w:rPr>
          <w:vertAlign w:val="superscript"/>
        </w:rPr>
        <w:t>c</w:t>
      </w:r>
      <w:r>
        <w:t xml:space="preserve"> Based on observed duration of response</w:t>
      </w:r>
    </w:p>
    <w:p w14:paraId="2832C86C" w14:textId="77777777" w:rsidR="00260FE5" w:rsidRDefault="003436C9">
      <w:r>
        <w:t>Investigator-assessed ORR was 35% (95% CI: 26, 45) with a median DOR of 11.2 months (63% of these patients had observed responses lasting longer than 6 months).</w:t>
      </w:r>
    </w:p>
    <w:p w14:paraId="2832C86D" w14:textId="77777777" w:rsidR="00260FE5" w:rsidRDefault="003436C9">
      <w:pPr>
        <w:pStyle w:val="Heading2"/>
      </w:pPr>
      <w:r>
        <w:t>5.2</w:t>
      </w:r>
      <w:r>
        <w:tab/>
        <w:t xml:space="preserve">PHARMACOKINETIC PROPERTIES </w:t>
      </w:r>
    </w:p>
    <w:p w14:paraId="2832C86E" w14:textId="77777777" w:rsidR="00260FE5" w:rsidRDefault="003436C9">
      <w:r>
        <w:t xml:space="preserve">After single- and multiple-dose administration, combined molar </w:t>
      </w:r>
      <w:proofErr w:type="spellStart"/>
      <w:r>
        <w:t>C</w:t>
      </w:r>
      <w:r>
        <w:rPr>
          <w:vertAlign w:val="subscript"/>
        </w:rPr>
        <w:t>max</w:t>
      </w:r>
      <w:proofErr w:type="spellEnd"/>
      <w:r>
        <w:t xml:space="preserve"> and AUC</w:t>
      </w:r>
      <w:r>
        <w:rPr>
          <w:vertAlign w:val="subscript"/>
        </w:rPr>
        <w:t>24</w:t>
      </w:r>
      <w:r>
        <w:t xml:space="preserve"> </w:t>
      </w:r>
      <w:bookmarkStart w:id="8" w:name="_Hlk56513255"/>
      <w:r>
        <w:t xml:space="preserve">of mobocertinib, AP32960, and AP32914 </w:t>
      </w:r>
      <w:bookmarkEnd w:id="8"/>
      <w:r>
        <w:t>was dose-proportional over the dose range of 5 to 180 mg once daily (0.03 to 1.1 times the recommended dosage). No clinically meaningful accumulation was observed after administration of EXKIVITY 160 mg once daily based on the AUC</w:t>
      </w:r>
      <w:r>
        <w:rPr>
          <w:vertAlign w:val="subscript"/>
        </w:rPr>
        <w:t>24</w:t>
      </w:r>
      <w:r>
        <w:t xml:space="preserve"> ratio of mobocertinib.</w:t>
      </w:r>
    </w:p>
    <w:p w14:paraId="2832C86F" w14:textId="77777777" w:rsidR="00260FE5" w:rsidRDefault="003436C9">
      <w:pPr>
        <w:pStyle w:val="Heading3"/>
      </w:pPr>
      <w:r>
        <w:t>Absorption</w:t>
      </w:r>
    </w:p>
    <w:p w14:paraId="2832C870" w14:textId="77777777" w:rsidR="00260FE5" w:rsidRDefault="003436C9">
      <w:r>
        <w:t>Following administration of 160 mg EXKIVITY, the median (min, max) time to peak concentration (</w:t>
      </w:r>
      <w:proofErr w:type="spellStart"/>
      <w:r>
        <w:t>T</w:t>
      </w:r>
      <w:r>
        <w:rPr>
          <w:vertAlign w:val="subscript"/>
        </w:rPr>
        <w:t>max</w:t>
      </w:r>
      <w:proofErr w:type="spellEnd"/>
      <w:r>
        <w:t xml:space="preserve">) of </w:t>
      </w:r>
      <w:proofErr w:type="spellStart"/>
      <w:r>
        <w:t>mobocertinib</w:t>
      </w:r>
      <w:proofErr w:type="spellEnd"/>
      <w:r>
        <w:t xml:space="preserve"> was 4 (1, 8) hours. The mean (%CV) absolute bioavailability of EXKIVITY is 37% (50%).</w:t>
      </w:r>
    </w:p>
    <w:p w14:paraId="2832C871" w14:textId="77777777" w:rsidR="00260FE5" w:rsidRDefault="003436C9">
      <w:pPr>
        <w:pStyle w:val="Heading4"/>
      </w:pPr>
      <w:r>
        <w:t>Effect of food</w:t>
      </w:r>
    </w:p>
    <w:p w14:paraId="2832C872" w14:textId="77777777" w:rsidR="00260FE5" w:rsidRDefault="003436C9">
      <w:r>
        <w:t xml:space="preserve">Compared to administration after an overnight fast, there was no clinically meaningful effect on the combined molar </w:t>
      </w:r>
      <w:proofErr w:type="spellStart"/>
      <w:r>
        <w:t>C</w:t>
      </w:r>
      <w:r>
        <w:rPr>
          <w:vertAlign w:val="subscript"/>
        </w:rPr>
        <w:t>max</w:t>
      </w:r>
      <w:proofErr w:type="spellEnd"/>
      <w:r>
        <w:t xml:space="preserve"> and AUC</w:t>
      </w:r>
      <w:r>
        <w:rPr>
          <w:vertAlign w:val="subscript"/>
        </w:rPr>
        <w:t>inf</w:t>
      </w:r>
      <w:r>
        <w:t xml:space="preserve"> of mobocertinib, AP32960, and AP32914 when EXKIVITY was administered with a high-fat meal (approximately 900 to 1000 calories with approximately 150, 250, and 500 to 600 calories derived from protein, carbohydrate, and fat, respectively) or a low-fat meal (approximately 336 calories with approximately 37, 253, and 46 calories derived from protein, carbohydrate, and fat, respectively). </w:t>
      </w:r>
    </w:p>
    <w:p w14:paraId="2832C873" w14:textId="77777777" w:rsidR="00260FE5" w:rsidRDefault="003436C9">
      <w:pPr>
        <w:pStyle w:val="Heading3"/>
      </w:pPr>
      <w:r>
        <w:t>Distribution</w:t>
      </w:r>
    </w:p>
    <w:p w14:paraId="2832C874" w14:textId="77777777" w:rsidR="00260FE5" w:rsidRDefault="003436C9">
      <w:r>
        <w:t xml:space="preserve">Mobocertinib, AP32960, and AP32914 were bound to human plasma proteins in a concentration-independent manner </w:t>
      </w:r>
      <w:r>
        <w:rPr>
          <w:i/>
          <w:iCs/>
        </w:rPr>
        <w:t>in vitro</w:t>
      </w:r>
      <w:r>
        <w:t xml:space="preserve"> from 0.5 to 5.0 </w:t>
      </w:r>
      <w:r>
        <w:rPr>
          <w:rFonts w:cs="Times New Roman"/>
        </w:rPr>
        <w:t>µ</w:t>
      </w:r>
      <w:r>
        <w:t xml:space="preserve">M, with mean bound fractions of 99.3%, 99.5%, and 98.6%, respectively. The blood-to-plasma ratios were 0.763, 1.15, and 0.714 for mobocertinib, AP32960, and AP32914, respectively. The mean (%CV) apparent volume of distribution at </w:t>
      </w:r>
      <w:proofErr w:type="gramStart"/>
      <w:r>
        <w:t>steady-state</w:t>
      </w:r>
      <w:proofErr w:type="gramEnd"/>
      <w:r>
        <w:t xml:space="preserve"> for mobocertinib was 3509 L (38%).</w:t>
      </w:r>
    </w:p>
    <w:p w14:paraId="2832C875" w14:textId="77777777" w:rsidR="00260FE5" w:rsidRDefault="003436C9">
      <w:pPr>
        <w:pStyle w:val="Heading3"/>
      </w:pPr>
      <w:r>
        <w:t>Elimination</w:t>
      </w:r>
    </w:p>
    <w:p w14:paraId="2832C876" w14:textId="77777777" w:rsidR="00260FE5" w:rsidRDefault="003436C9">
      <w:pPr>
        <w:pStyle w:val="Heading3"/>
        <w:rPr>
          <w:rFonts w:eastAsia="Times New Roman" w:cstheme="minorBidi"/>
          <w:b w:val="0"/>
          <w:bCs w:val="0"/>
          <w:szCs w:val="22"/>
        </w:rPr>
      </w:pPr>
      <w:r>
        <w:rPr>
          <w:rFonts w:eastAsia="Times New Roman" w:cstheme="minorBidi"/>
          <w:b w:val="0"/>
          <w:bCs w:val="0"/>
          <w:szCs w:val="22"/>
        </w:rPr>
        <w:t xml:space="preserve">The mean (%CV) plasma elimination half-life of mobocertinib was 18 hours (21%) at </w:t>
      </w:r>
      <w:proofErr w:type="gramStart"/>
      <w:r>
        <w:rPr>
          <w:rFonts w:eastAsia="Times New Roman" w:cstheme="minorBidi"/>
          <w:b w:val="0"/>
          <w:bCs w:val="0"/>
          <w:szCs w:val="22"/>
        </w:rPr>
        <w:t>steady-state</w:t>
      </w:r>
      <w:proofErr w:type="gramEnd"/>
      <w:r>
        <w:rPr>
          <w:rFonts w:eastAsia="Times New Roman" w:cstheme="minorBidi"/>
          <w:b w:val="0"/>
          <w:bCs w:val="0"/>
          <w:szCs w:val="22"/>
        </w:rPr>
        <w:t xml:space="preserve">. The mean apparent oral clearance (CL/F) of mobocertinib was 138 L/hr (47%) at </w:t>
      </w:r>
      <w:proofErr w:type="gramStart"/>
      <w:r>
        <w:rPr>
          <w:rFonts w:eastAsia="Times New Roman" w:cstheme="minorBidi"/>
          <w:b w:val="0"/>
          <w:bCs w:val="0"/>
          <w:szCs w:val="22"/>
        </w:rPr>
        <w:t>steady-state</w:t>
      </w:r>
      <w:proofErr w:type="gramEnd"/>
      <w:r>
        <w:rPr>
          <w:rFonts w:eastAsia="Times New Roman" w:cstheme="minorBidi"/>
          <w:b w:val="0"/>
          <w:bCs w:val="0"/>
          <w:szCs w:val="22"/>
        </w:rPr>
        <w:t>.</w:t>
      </w:r>
    </w:p>
    <w:p w14:paraId="2832C877" w14:textId="77777777" w:rsidR="00260FE5" w:rsidRDefault="003436C9">
      <w:pPr>
        <w:pStyle w:val="Heading3"/>
        <w:rPr>
          <w:rFonts w:eastAsia="Times New Roman" w:cstheme="minorBidi"/>
          <w:b w:val="0"/>
          <w:bCs w:val="0"/>
          <w:szCs w:val="22"/>
        </w:rPr>
      </w:pPr>
      <w:r>
        <w:rPr>
          <w:rFonts w:eastAsia="Times New Roman" w:cstheme="minorBidi"/>
          <w:b w:val="0"/>
          <w:bCs w:val="0"/>
          <w:szCs w:val="22"/>
        </w:rPr>
        <w:t xml:space="preserve">The mean (%CV) plasma elimination half-life of AP32960 was 24 hours (20%) at </w:t>
      </w:r>
      <w:proofErr w:type="gramStart"/>
      <w:r>
        <w:rPr>
          <w:rFonts w:eastAsia="Times New Roman" w:cstheme="minorBidi"/>
          <w:b w:val="0"/>
          <w:bCs w:val="0"/>
          <w:szCs w:val="22"/>
        </w:rPr>
        <w:t>steady-state</w:t>
      </w:r>
      <w:proofErr w:type="gramEnd"/>
      <w:r>
        <w:rPr>
          <w:rFonts w:eastAsia="Times New Roman" w:cstheme="minorBidi"/>
          <w:b w:val="0"/>
          <w:bCs w:val="0"/>
          <w:szCs w:val="22"/>
        </w:rPr>
        <w:t xml:space="preserve">. The mean apparent oral clearance (CL/F) of AP32960 was 149 L/hr (36%) at </w:t>
      </w:r>
      <w:proofErr w:type="gramStart"/>
      <w:r>
        <w:rPr>
          <w:rFonts w:eastAsia="Times New Roman" w:cstheme="minorBidi"/>
          <w:b w:val="0"/>
          <w:bCs w:val="0"/>
          <w:szCs w:val="22"/>
        </w:rPr>
        <w:t>steady-state</w:t>
      </w:r>
      <w:proofErr w:type="gramEnd"/>
      <w:r>
        <w:rPr>
          <w:rFonts w:eastAsia="Times New Roman" w:cstheme="minorBidi"/>
          <w:b w:val="0"/>
          <w:bCs w:val="0"/>
          <w:szCs w:val="22"/>
        </w:rPr>
        <w:t>.</w:t>
      </w:r>
    </w:p>
    <w:p w14:paraId="2832C878" w14:textId="77777777" w:rsidR="00260FE5" w:rsidRDefault="003436C9">
      <w:pPr>
        <w:pStyle w:val="Heading3"/>
      </w:pPr>
      <w:r>
        <w:rPr>
          <w:rFonts w:eastAsia="Times New Roman" w:cstheme="minorBidi"/>
          <w:b w:val="0"/>
          <w:bCs w:val="0"/>
          <w:szCs w:val="22"/>
        </w:rPr>
        <w:t xml:space="preserve">The mean (%CV) plasma elimination half-life of AP32914 was 18 hours (21%) at </w:t>
      </w:r>
      <w:proofErr w:type="gramStart"/>
      <w:r>
        <w:rPr>
          <w:rFonts w:eastAsia="Times New Roman" w:cstheme="minorBidi"/>
          <w:b w:val="0"/>
          <w:bCs w:val="0"/>
          <w:szCs w:val="22"/>
        </w:rPr>
        <w:t>steady-state</w:t>
      </w:r>
      <w:proofErr w:type="gramEnd"/>
      <w:r>
        <w:rPr>
          <w:rFonts w:eastAsia="Times New Roman" w:cstheme="minorBidi"/>
          <w:b w:val="0"/>
          <w:bCs w:val="0"/>
          <w:szCs w:val="22"/>
        </w:rPr>
        <w:t xml:space="preserve">. The mean apparent oral clearance (CL/F) of AP32914 was 159 L/hr (52%) at </w:t>
      </w:r>
      <w:proofErr w:type="gramStart"/>
      <w:r>
        <w:rPr>
          <w:rFonts w:eastAsia="Times New Roman" w:cstheme="minorBidi"/>
          <w:b w:val="0"/>
          <w:bCs w:val="0"/>
          <w:szCs w:val="22"/>
        </w:rPr>
        <w:t>steady-state</w:t>
      </w:r>
      <w:proofErr w:type="gramEnd"/>
      <w:r>
        <w:t>.</w:t>
      </w:r>
    </w:p>
    <w:p w14:paraId="2832C879" w14:textId="77777777" w:rsidR="00260FE5" w:rsidRDefault="003436C9">
      <w:pPr>
        <w:pStyle w:val="Heading4"/>
      </w:pPr>
      <w:r>
        <w:lastRenderedPageBreak/>
        <w:t>Metabolism</w:t>
      </w:r>
    </w:p>
    <w:p w14:paraId="2832C87A" w14:textId="77777777" w:rsidR="00260FE5" w:rsidRDefault="003436C9">
      <w:r>
        <w:t>Mobocertinib is primarily metabolised by CYP3A in vitro. Following administration of a single 160 mg dose of radiolabelled mobocertinib, oxidation was the major metabolic pathway. The two active metabolites, AP32960 and AP32914, are equipotent to mobocertinib and account for 36% and 4% of the combined molar AUC, respectively.</w:t>
      </w:r>
    </w:p>
    <w:p w14:paraId="2832C87B" w14:textId="77777777" w:rsidR="00260FE5" w:rsidRDefault="003436C9">
      <w:pPr>
        <w:pStyle w:val="Heading4"/>
      </w:pPr>
      <w:r>
        <w:t>Excretion</w:t>
      </w:r>
    </w:p>
    <w:p w14:paraId="2832C87C" w14:textId="77777777" w:rsidR="00260FE5" w:rsidRDefault="003436C9">
      <w:r>
        <w:t>Following administration of a single 160 mg dose of radiolabelled mobocertinib, 76% of the administered dose was recovered in faeces (6% as unchanged mobocertinib) and 4% of the administered dose was</w:t>
      </w:r>
      <w:r>
        <w:rPr>
          <w:b/>
          <w:szCs w:val="20"/>
        </w:rPr>
        <w:t xml:space="preserve"> </w:t>
      </w:r>
      <w:r>
        <w:rPr>
          <w:szCs w:val="20"/>
        </w:rPr>
        <w:t>recovered in urine (1% as unchanged mobocertinib). The percentage of the administered dose recovered in faeces and urine for AP32960 was 12% and 1%, respectively. The metabolite AP32914 was below the detection limit in urine and faeces.</w:t>
      </w:r>
    </w:p>
    <w:p w14:paraId="2832C87D" w14:textId="77777777" w:rsidR="00260FE5" w:rsidRDefault="003436C9">
      <w:pPr>
        <w:pStyle w:val="Heading3"/>
      </w:pPr>
      <w:r>
        <w:t>Specific populations</w:t>
      </w:r>
    </w:p>
    <w:p w14:paraId="2832C87E" w14:textId="77777777" w:rsidR="00260FE5" w:rsidRDefault="003436C9">
      <w:r>
        <w:t>Age (18 to 86 years), race (Asian, Caucasian, Black), sex, and body weight (37 to 132 kg) had no clinically meaningful effect on the pharmacokinetics of mobocertinib.</w:t>
      </w:r>
    </w:p>
    <w:p w14:paraId="2832C87F" w14:textId="77777777" w:rsidR="00260FE5" w:rsidRDefault="003436C9">
      <w:pPr>
        <w:pStyle w:val="Heading4"/>
      </w:pPr>
      <w:r>
        <w:t>Patients with renal impairment</w:t>
      </w:r>
    </w:p>
    <w:p w14:paraId="2832C880" w14:textId="77777777" w:rsidR="00260FE5" w:rsidRDefault="003436C9">
      <w:r>
        <w:t>The pharmacokinetics of mobocertinib is similar in patients with normal renal function and in patients with mild or moderate renal impairment (</w:t>
      </w:r>
      <w:r>
        <w:rPr>
          <w:szCs w:val="20"/>
        </w:rPr>
        <w:t>estimated glomerular filtration rate</w:t>
      </w:r>
      <w:r>
        <w:t xml:space="preserve"> </w:t>
      </w:r>
      <w:bookmarkStart w:id="9" w:name="_Hlk58394190"/>
      <w:r>
        <w:t>between 30 and 89 mL/min/1.73 m</w:t>
      </w:r>
      <w:r>
        <w:rPr>
          <w:vertAlign w:val="superscript"/>
        </w:rPr>
        <w:t>2</w:t>
      </w:r>
      <w:bookmarkEnd w:id="9"/>
      <w:r>
        <w:rPr>
          <w:vertAlign w:val="superscript"/>
        </w:rPr>
        <w:t xml:space="preserve"> </w:t>
      </w:r>
      <w:r>
        <w:t>by MDRD equation). The effect of severe renal impairment (</w:t>
      </w:r>
      <w:r>
        <w:rPr>
          <w:szCs w:val="20"/>
        </w:rPr>
        <w:t>estimated glomerular filtration rate</w:t>
      </w:r>
      <w:r>
        <w:t xml:space="preserve"> &lt;30 mL/min/1.73 m</w:t>
      </w:r>
      <w:r>
        <w:rPr>
          <w:vertAlign w:val="superscript"/>
        </w:rPr>
        <w:t>2</w:t>
      </w:r>
      <w:r>
        <w:t>) on mobocertinib pharmacokinetics is unknown.</w:t>
      </w:r>
    </w:p>
    <w:p w14:paraId="2832C881" w14:textId="77777777" w:rsidR="00260FE5" w:rsidRDefault="003436C9">
      <w:pPr>
        <w:pStyle w:val="Heading4"/>
      </w:pPr>
      <w:r>
        <w:t>Patients with hepatic impairment</w:t>
      </w:r>
    </w:p>
    <w:p w14:paraId="2832C882" w14:textId="77777777" w:rsidR="00260FE5" w:rsidRDefault="003436C9">
      <w:r>
        <w:t>The pharmacokinetics of mobocertinib is similar in patients with normal hepatic function and in patients with mild hepatic impairment (total bilirubin ≤ ULN and AST &gt; ULN or total bilirubin &gt;1 to 1.5 times ULN and any AST). The effect of moderate or severe hepatic impairment on mobocertinib pharmacokinetics is unknown.</w:t>
      </w:r>
    </w:p>
    <w:p w14:paraId="2832C883" w14:textId="77777777" w:rsidR="00260FE5" w:rsidRDefault="003436C9">
      <w:pPr>
        <w:pStyle w:val="Heading2"/>
      </w:pPr>
      <w:r>
        <w:t>5.3</w:t>
      </w:r>
      <w:r>
        <w:tab/>
        <w:t xml:space="preserve">PRECLINICAL SAFETY DATA </w:t>
      </w:r>
    </w:p>
    <w:p w14:paraId="2832C884" w14:textId="77777777" w:rsidR="00260FE5" w:rsidRDefault="003436C9">
      <w:pPr>
        <w:pStyle w:val="Heading3"/>
      </w:pPr>
      <w:r>
        <w:t>Genotoxicity</w:t>
      </w:r>
    </w:p>
    <w:p w14:paraId="2832C885" w14:textId="77777777" w:rsidR="00260FE5" w:rsidRDefault="003436C9">
      <w:r>
        <w:t xml:space="preserve">Mobocertinib was not mutagenic in an in vitro bacterial reverse mutation (Ames) assay. Mobocertinib did not induce chromosomal damage in an </w:t>
      </w:r>
      <w:r>
        <w:rPr>
          <w:i/>
          <w:iCs/>
        </w:rPr>
        <w:t>in vitro</w:t>
      </w:r>
      <w:r>
        <w:t xml:space="preserve"> chromosome aberration assay in human peripheral blood lymphocytes, or in an </w:t>
      </w:r>
      <w:r>
        <w:rPr>
          <w:i/>
          <w:iCs/>
        </w:rPr>
        <w:t>in vivo</w:t>
      </w:r>
      <w:r>
        <w:t xml:space="preserve"> bone marrow micronucleus assessment in Sprague-Dawley rats.</w:t>
      </w:r>
    </w:p>
    <w:p w14:paraId="2832C886" w14:textId="77777777" w:rsidR="00260FE5" w:rsidRDefault="003436C9">
      <w:pPr>
        <w:pStyle w:val="Heading3"/>
      </w:pPr>
      <w:r>
        <w:t xml:space="preserve">Carcinogenicity </w:t>
      </w:r>
    </w:p>
    <w:p w14:paraId="2832C887" w14:textId="77777777" w:rsidR="00260FE5" w:rsidRDefault="003436C9">
      <w:r>
        <w:t>Carcinogenicity studies have not been performed with mobocertinib.</w:t>
      </w:r>
    </w:p>
    <w:p w14:paraId="2832C888" w14:textId="77777777" w:rsidR="00260FE5" w:rsidRDefault="003436C9" w:rsidP="00A90FCB">
      <w:pPr>
        <w:pStyle w:val="Heading3"/>
        <w:pageBreakBefore/>
      </w:pPr>
      <w:r>
        <w:lastRenderedPageBreak/>
        <w:t>Fertility in animals</w:t>
      </w:r>
    </w:p>
    <w:p w14:paraId="2832C889" w14:textId="4C156D23" w:rsidR="00260FE5" w:rsidRDefault="003436C9">
      <w:r>
        <w:t>Studies of fertility, early embryonic development, and pre- and postnatal toxicology were not conducted with mobocertinib; however, an evaluation of the reproductive tract was conducted in the general toxicity studies. In rats and/or dogs (≥0.3 times the human exposure based on AUC at the recommended clinical dose), there were generally reversible macroscopic changes that included decreases in organ weights affecting multiple reproductive organs (including ovaries, seminal vesicle/prostate gland, and/or uterus). There were also (at ≥0.2 times the human exposure at the recommended clinical dose) microscopic changes of decreased epithelial thickness/inflammation of the cervix/vagina and atrophy of the uterus, prostate gland, or mammary gland (males only). In a 3-month toxicity study in dogs, there were no reproductive tract effects in the sexually mature males. Based on these findings, mobocertinib may impair fertility in human males and females. These effects may be reversible.</w:t>
      </w:r>
    </w:p>
    <w:p w14:paraId="2832C88A" w14:textId="77777777" w:rsidR="00260FE5" w:rsidRDefault="003436C9">
      <w:pPr>
        <w:pStyle w:val="Heading3"/>
        <w:rPr>
          <w:bCs w:val="0"/>
        </w:rPr>
      </w:pPr>
      <w:r>
        <w:t>General toxicology in animals</w:t>
      </w:r>
    </w:p>
    <w:p w14:paraId="2832C88B" w14:textId="77777777" w:rsidR="00260FE5" w:rsidRDefault="003436C9">
      <w:r>
        <w:t xml:space="preserve">In rats, mobocertinib administration resulted in histological findings of decreased corneal epithelial thickness in the 4- and 13-week repeat-dose toxicology studies at doses ≥0.8 times the </w:t>
      </w:r>
      <w:r>
        <w:rPr>
          <w:bCs/>
        </w:rPr>
        <w:t>human exposure at the recommended clinical dose</w:t>
      </w:r>
      <w:r>
        <w:t xml:space="preserve">. In the 4-week repeat-dose study in dogs, mobocertinib administration resulted in discharge from the eye, sclera injection, partial or complete closure of the eye and histological findings of corneal epithelial atrophy at doses ≥0.3 times the </w:t>
      </w:r>
      <w:r>
        <w:rPr>
          <w:bCs/>
        </w:rPr>
        <w:t>human exposure at the recommended clinical dose</w:t>
      </w:r>
      <w:r>
        <w:t xml:space="preserve">. In the 13-week repeat-dose study in dogs, mobocertinib administration resulted in discharge, conjunctival </w:t>
      </w:r>
      <w:proofErr w:type="spellStart"/>
      <w:r>
        <w:t>hyperemia</w:t>
      </w:r>
      <w:proofErr w:type="spellEnd"/>
      <w:r>
        <w:t xml:space="preserve">, and corneal opacity correlating histologically with decreased corneal epithelial thickness at doses ≥0.2 times the </w:t>
      </w:r>
      <w:r>
        <w:rPr>
          <w:bCs/>
        </w:rPr>
        <w:t>human exposure at the recommended clinical dose</w:t>
      </w:r>
      <w:r>
        <w:t>. The clinical relevance of these findings is unknown.</w:t>
      </w:r>
    </w:p>
    <w:p w14:paraId="2832C88C" w14:textId="77777777" w:rsidR="00260FE5" w:rsidRDefault="003436C9">
      <w:pPr>
        <w:pStyle w:val="Heading2"/>
      </w:pPr>
      <w:r>
        <w:t>6</w:t>
      </w:r>
      <w:r>
        <w:tab/>
        <w:t xml:space="preserve">PHARMACEUTICAL PARTICULARS </w:t>
      </w:r>
    </w:p>
    <w:p w14:paraId="2832C88D" w14:textId="77777777" w:rsidR="00260FE5" w:rsidRDefault="003436C9">
      <w:pPr>
        <w:pStyle w:val="Heading2"/>
      </w:pPr>
      <w:r>
        <w:t>6.1</w:t>
      </w:r>
      <w:r>
        <w:tab/>
        <w:t xml:space="preserve">LIST OF EXCIPIENTS </w:t>
      </w:r>
    </w:p>
    <w:p w14:paraId="2832C88E" w14:textId="77777777" w:rsidR="00260FE5" w:rsidRDefault="003436C9">
      <w:r>
        <w:t xml:space="preserve">EXKIVITY contains no inactive ingredients. The capsule shell contains gelatin, titanium dioxide and </w:t>
      </w:r>
      <w:proofErr w:type="spellStart"/>
      <w:r>
        <w:t>TekPrint</w:t>
      </w:r>
      <w:proofErr w:type="spellEnd"/>
      <w:r>
        <w:t xml:space="preserve"> SW-9008.</w:t>
      </w:r>
    </w:p>
    <w:p w14:paraId="2832C88F" w14:textId="77777777" w:rsidR="00260FE5" w:rsidRDefault="003436C9">
      <w:pPr>
        <w:pStyle w:val="Heading2"/>
      </w:pPr>
      <w:r>
        <w:t>6.2</w:t>
      </w:r>
      <w:r>
        <w:tab/>
        <w:t xml:space="preserve">INCOMPATIBILITIES </w:t>
      </w:r>
    </w:p>
    <w:p w14:paraId="2832C890" w14:textId="77777777" w:rsidR="00260FE5" w:rsidRDefault="003436C9">
      <w:r>
        <w:t>Incompatibilities were either not assessed or not identified as part of the registration of this medicine.</w:t>
      </w:r>
    </w:p>
    <w:p w14:paraId="2832C891" w14:textId="77777777" w:rsidR="00260FE5" w:rsidRDefault="003436C9">
      <w:pPr>
        <w:pStyle w:val="Heading2"/>
      </w:pPr>
      <w:r>
        <w:t>6.3</w:t>
      </w:r>
      <w:r>
        <w:tab/>
        <w:t xml:space="preserve">SHELF LIFE </w:t>
      </w:r>
    </w:p>
    <w:p w14:paraId="2832C892" w14:textId="77777777" w:rsidR="00260FE5" w:rsidRDefault="003436C9">
      <w:r>
        <w:t>In Australia, information on the shelf-life can be found on the public summary of the Australian Register of Therapeutic Goods (ARTG).  The expiry date can be found on the packaging.</w:t>
      </w:r>
    </w:p>
    <w:p w14:paraId="2832C893" w14:textId="77777777" w:rsidR="00260FE5" w:rsidRDefault="003436C9" w:rsidP="00A90FCB">
      <w:pPr>
        <w:pStyle w:val="Heading2"/>
        <w:pageBreakBefore/>
      </w:pPr>
      <w:r>
        <w:lastRenderedPageBreak/>
        <w:t>6.4</w:t>
      </w:r>
      <w:r>
        <w:tab/>
        <w:t xml:space="preserve">SPECIAL PRECAUTIONS FOR STORAGE </w:t>
      </w:r>
    </w:p>
    <w:p w14:paraId="2832C894" w14:textId="77777777" w:rsidR="00260FE5" w:rsidRDefault="003436C9">
      <w:r>
        <w:t>Store below 30º C.</w:t>
      </w:r>
    </w:p>
    <w:p w14:paraId="2832C895" w14:textId="77777777" w:rsidR="00260FE5" w:rsidRDefault="003436C9">
      <w:pPr>
        <w:pStyle w:val="Heading2"/>
      </w:pPr>
      <w:r>
        <w:t>6.5</w:t>
      </w:r>
      <w:r>
        <w:tab/>
        <w:t xml:space="preserve">NATURE AND CONTENTS OF CONTAINER </w:t>
      </w:r>
    </w:p>
    <w:p w14:paraId="2832C896" w14:textId="77777777" w:rsidR="00260FE5" w:rsidRDefault="003436C9">
      <w:pPr>
        <w:pStyle w:val="Heading3"/>
      </w:pPr>
      <w:r>
        <w:t>Container type</w:t>
      </w:r>
    </w:p>
    <w:p w14:paraId="2832C897" w14:textId="77777777" w:rsidR="00260FE5" w:rsidRDefault="003436C9">
      <w:r>
        <w:t>Blister pack (polychlorotrifluoroethylene (PCTFE)/polyvinyl chloride (PVC)/aluminium).</w:t>
      </w:r>
    </w:p>
    <w:p w14:paraId="1FDDD9B9" w14:textId="77777777" w:rsidR="00FC581B" w:rsidRDefault="00FC581B">
      <w:pPr>
        <w:spacing w:before="0" w:after="200" w:line="276" w:lineRule="auto"/>
        <w:rPr>
          <w:rFonts w:eastAsiaTheme="majorEastAsia" w:cs="Times New Roman"/>
          <w:b/>
          <w:bCs/>
          <w:szCs w:val="24"/>
        </w:rPr>
      </w:pPr>
      <w:r>
        <w:br w:type="page"/>
      </w:r>
    </w:p>
    <w:p w14:paraId="2832C898" w14:textId="56449390" w:rsidR="00260FE5" w:rsidRDefault="003436C9">
      <w:pPr>
        <w:pStyle w:val="Heading3"/>
      </w:pPr>
      <w:r>
        <w:lastRenderedPageBreak/>
        <w:t>Pack size</w:t>
      </w:r>
    </w:p>
    <w:p w14:paraId="2832C899" w14:textId="77777777" w:rsidR="00260FE5" w:rsidRDefault="003436C9">
      <w:r>
        <w:t>112 capsules.</w:t>
      </w:r>
    </w:p>
    <w:p w14:paraId="2832C89A" w14:textId="77777777" w:rsidR="00260FE5" w:rsidRDefault="003436C9">
      <w:pPr>
        <w:pStyle w:val="Heading2"/>
      </w:pPr>
      <w:r>
        <w:t>6.6</w:t>
      </w:r>
      <w:r>
        <w:tab/>
        <w:t xml:space="preserve">SPECIAL PRECAUTIONS FOR DISPOSAL </w:t>
      </w:r>
    </w:p>
    <w:p w14:paraId="2832C89B" w14:textId="77777777" w:rsidR="00260FE5" w:rsidRDefault="003436C9">
      <w:r>
        <w:t>In Australia, any unused medicine or waste material should be disposed of by taking to your local pharmacy.</w:t>
      </w:r>
    </w:p>
    <w:p w14:paraId="2832C89C" w14:textId="77777777" w:rsidR="00260FE5" w:rsidRDefault="003436C9">
      <w:pPr>
        <w:pStyle w:val="Heading2"/>
      </w:pPr>
      <w:r>
        <w:t xml:space="preserve">6.7 </w:t>
      </w:r>
      <w:r>
        <w:tab/>
        <w:t xml:space="preserve">PHYSICOCHEMICAL PROPERTIES </w:t>
      </w:r>
    </w:p>
    <w:p w14:paraId="2832C89D" w14:textId="77777777" w:rsidR="00260FE5" w:rsidRDefault="003436C9">
      <w:pPr>
        <w:rPr>
          <w:rFonts w:eastAsia="Batang"/>
          <w:b/>
          <w:bCs/>
          <w:spacing w:val="0"/>
        </w:rPr>
      </w:pPr>
      <w:r>
        <w:rPr>
          <w:rFonts w:eastAsia="Batang"/>
          <w:b/>
          <w:bCs/>
        </w:rPr>
        <w:t>Formula</w:t>
      </w:r>
    </w:p>
    <w:p w14:paraId="2832C89E" w14:textId="77777777" w:rsidR="00260FE5" w:rsidRDefault="003436C9">
      <w:r>
        <w:t>C</w:t>
      </w:r>
      <w:r>
        <w:rPr>
          <w:vertAlign w:val="subscript"/>
        </w:rPr>
        <w:t>32</w:t>
      </w:r>
      <w:r>
        <w:t>H</w:t>
      </w:r>
      <w:r>
        <w:rPr>
          <w:vertAlign w:val="subscript"/>
        </w:rPr>
        <w:t>39</w:t>
      </w:r>
      <w:r>
        <w:t>N</w:t>
      </w:r>
      <w:r>
        <w:rPr>
          <w:vertAlign w:val="subscript"/>
        </w:rPr>
        <w:t>7</w:t>
      </w:r>
      <w:r>
        <w:t>O</w:t>
      </w:r>
      <w:r>
        <w:rPr>
          <w:vertAlign w:val="subscript"/>
        </w:rPr>
        <w:t xml:space="preserve">4 + </w:t>
      </w:r>
      <w:r>
        <w:rPr>
          <w:rFonts w:eastAsia="TimesNewRoman"/>
        </w:rPr>
        <w:t>C</w:t>
      </w:r>
      <w:r>
        <w:rPr>
          <w:rFonts w:eastAsia="TimesNewRoman"/>
          <w:vertAlign w:val="subscript"/>
        </w:rPr>
        <w:t>4</w:t>
      </w:r>
      <w:r>
        <w:rPr>
          <w:rFonts w:eastAsia="TimesNewRoman"/>
        </w:rPr>
        <w:t>H</w:t>
      </w:r>
      <w:r>
        <w:rPr>
          <w:rFonts w:eastAsia="TimesNewRoman"/>
          <w:vertAlign w:val="subscript"/>
        </w:rPr>
        <w:t>6</w:t>
      </w:r>
      <w:r>
        <w:rPr>
          <w:rFonts w:eastAsia="TimesNewRoman"/>
        </w:rPr>
        <w:t>O</w:t>
      </w:r>
      <w:r>
        <w:rPr>
          <w:rFonts w:eastAsia="TimesNewRoman"/>
          <w:vertAlign w:val="subscript"/>
        </w:rPr>
        <w:t>4</w:t>
      </w:r>
      <w:r>
        <w:t xml:space="preserve"> (succinate salt)</w:t>
      </w:r>
    </w:p>
    <w:p w14:paraId="2832C89F" w14:textId="77777777" w:rsidR="00260FE5" w:rsidRDefault="003436C9">
      <w:pPr>
        <w:pStyle w:val="Heading3"/>
      </w:pPr>
      <w:r>
        <w:t>Chemical structure</w:t>
      </w:r>
    </w:p>
    <w:p w14:paraId="2832C8A0" w14:textId="77777777" w:rsidR="00260FE5" w:rsidRDefault="003436C9">
      <w:pPr>
        <w:rPr>
          <w:rFonts w:eastAsia="Batang"/>
          <w:szCs w:val="24"/>
          <w:u w:val="single"/>
        </w:rPr>
      </w:pPr>
      <w:r>
        <w:rPr>
          <w:noProof/>
        </w:rPr>
        <w:drawing>
          <wp:inline distT="0" distB="0" distL="0" distR="0" wp14:anchorId="2832C8C3" wp14:editId="2832C8C4">
            <wp:extent cx="3778370" cy="20580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3778370" cy="2058073"/>
                    </a:xfrm>
                    <a:prstGeom prst="rect">
                      <a:avLst/>
                    </a:prstGeom>
                  </pic:spPr>
                </pic:pic>
              </a:graphicData>
            </a:graphic>
          </wp:inline>
        </w:drawing>
      </w:r>
    </w:p>
    <w:p w14:paraId="2832C8A1" w14:textId="77777777" w:rsidR="00260FE5" w:rsidRDefault="00260FE5">
      <w:pPr>
        <w:rPr>
          <w:rFonts w:eastAsia="Batang"/>
        </w:rPr>
      </w:pPr>
    </w:p>
    <w:p w14:paraId="2832C8A2" w14:textId="77777777" w:rsidR="00260FE5" w:rsidRDefault="003436C9">
      <w:pPr>
        <w:rPr>
          <w:rFonts w:eastAsia="Batang"/>
          <w:b/>
          <w:bCs/>
          <w:spacing w:val="0"/>
        </w:rPr>
      </w:pPr>
      <w:r>
        <w:rPr>
          <w:rFonts w:eastAsia="Batang"/>
          <w:b/>
          <w:bCs/>
        </w:rPr>
        <w:t>CAS number</w:t>
      </w:r>
    </w:p>
    <w:p w14:paraId="2832C8A3" w14:textId="77777777" w:rsidR="00260FE5" w:rsidRDefault="003436C9">
      <w:r>
        <w:t>Mobocertinib: 2389149-74-8</w:t>
      </w:r>
    </w:p>
    <w:p w14:paraId="2832C8A4" w14:textId="77777777" w:rsidR="00260FE5" w:rsidRDefault="003436C9">
      <w:r>
        <w:t>Mobocertinib (succinate salt): 1847461-43-1</w:t>
      </w:r>
    </w:p>
    <w:p w14:paraId="2832C8A5" w14:textId="77777777" w:rsidR="00260FE5" w:rsidRDefault="00260FE5">
      <w:pPr>
        <w:rPr>
          <w:rFonts w:eastAsia="Batang"/>
        </w:rPr>
      </w:pPr>
    </w:p>
    <w:p w14:paraId="2832C8A6" w14:textId="77777777" w:rsidR="00260FE5" w:rsidRDefault="003436C9">
      <w:pPr>
        <w:rPr>
          <w:rFonts w:eastAsia="Batang"/>
          <w:b/>
          <w:bCs/>
          <w:spacing w:val="0"/>
        </w:rPr>
      </w:pPr>
      <w:r>
        <w:rPr>
          <w:rFonts w:eastAsia="Batang"/>
          <w:b/>
          <w:bCs/>
        </w:rPr>
        <w:t>Molecular weight</w:t>
      </w:r>
    </w:p>
    <w:p w14:paraId="2832C8A7" w14:textId="77777777" w:rsidR="00260FE5" w:rsidRDefault="003436C9">
      <w:r>
        <w:t>703.8 g/mol (succinate salt)</w:t>
      </w:r>
    </w:p>
    <w:p w14:paraId="2832C8A8" w14:textId="77777777" w:rsidR="00260FE5" w:rsidRDefault="00260FE5">
      <w:pPr>
        <w:rPr>
          <w:rFonts w:eastAsia="Batang"/>
        </w:rPr>
      </w:pPr>
    </w:p>
    <w:p w14:paraId="2832C8A9" w14:textId="77777777" w:rsidR="00260FE5" w:rsidRDefault="003436C9">
      <w:pPr>
        <w:pStyle w:val="Heading2"/>
      </w:pPr>
      <w:r>
        <w:t>7</w:t>
      </w:r>
      <w:r>
        <w:tab/>
        <w:t xml:space="preserve">MEDICINE SCHEDULE (POISONS STANDARD) </w:t>
      </w:r>
    </w:p>
    <w:p w14:paraId="2832C8AA" w14:textId="77777777" w:rsidR="00260FE5" w:rsidRDefault="003436C9">
      <w:r>
        <w:t>Prescription Only Medicine (S4).</w:t>
      </w:r>
    </w:p>
    <w:p w14:paraId="2832C8AB" w14:textId="77777777" w:rsidR="00260FE5" w:rsidRDefault="003436C9">
      <w:pPr>
        <w:pStyle w:val="Heading2"/>
      </w:pPr>
      <w:r>
        <w:t>8</w:t>
      </w:r>
      <w:r>
        <w:tab/>
      </w:r>
      <w:proofErr w:type="gramStart"/>
      <w:r>
        <w:t>SPONSOR</w:t>
      </w:r>
      <w:proofErr w:type="gramEnd"/>
      <w:r>
        <w:t xml:space="preserve"> </w:t>
      </w:r>
    </w:p>
    <w:p w14:paraId="2832C8AC" w14:textId="77777777" w:rsidR="00260FE5" w:rsidRDefault="003436C9">
      <w:pPr>
        <w:spacing w:before="0" w:after="0"/>
      </w:pPr>
      <w:r>
        <w:t>Takeda Pharmaceuticals Australia Pty Ltd</w:t>
      </w:r>
    </w:p>
    <w:p w14:paraId="2832C8AD" w14:textId="77777777" w:rsidR="00260FE5" w:rsidRDefault="003436C9">
      <w:pPr>
        <w:spacing w:before="0" w:after="0"/>
      </w:pPr>
      <w:r>
        <w:lastRenderedPageBreak/>
        <w:t>Level 39</w:t>
      </w:r>
    </w:p>
    <w:p w14:paraId="2832C8AE" w14:textId="77777777" w:rsidR="00260FE5" w:rsidRDefault="003436C9">
      <w:pPr>
        <w:spacing w:before="0" w:after="0"/>
      </w:pPr>
      <w:r>
        <w:t>225 George Street</w:t>
      </w:r>
    </w:p>
    <w:p w14:paraId="2832C8AF" w14:textId="77777777" w:rsidR="00260FE5" w:rsidRDefault="003436C9">
      <w:pPr>
        <w:spacing w:before="0" w:after="0"/>
      </w:pPr>
      <w:r>
        <w:t>Sydney NSW 2000</w:t>
      </w:r>
    </w:p>
    <w:p w14:paraId="2832C8B0" w14:textId="77777777" w:rsidR="00260FE5" w:rsidRDefault="003436C9">
      <w:pPr>
        <w:spacing w:before="0" w:after="0"/>
      </w:pPr>
      <w:r>
        <w:t>Australia</w:t>
      </w:r>
    </w:p>
    <w:p w14:paraId="2832C8B1" w14:textId="77777777" w:rsidR="00260FE5" w:rsidRDefault="003436C9">
      <w:r>
        <w:t>Telephone: 1800 012 612</w:t>
      </w:r>
    </w:p>
    <w:p w14:paraId="2832C8B2" w14:textId="77777777" w:rsidR="00260FE5" w:rsidRDefault="004466ED">
      <w:hyperlink r:id="rId14" w:history="1">
        <w:r w:rsidR="003436C9">
          <w:rPr>
            <w:rStyle w:val="Hyperlink"/>
            <w:rFonts w:cs="Times New Roman"/>
            <w:color w:val="auto"/>
            <w:szCs w:val="24"/>
          </w:rPr>
          <w:t>www.takeda.com/en-au</w:t>
        </w:r>
      </w:hyperlink>
    </w:p>
    <w:p w14:paraId="2832C8B3" w14:textId="77777777" w:rsidR="00260FE5" w:rsidRDefault="003436C9">
      <w:pPr>
        <w:pStyle w:val="Heading2"/>
      </w:pPr>
      <w:r>
        <w:t>9</w:t>
      </w:r>
      <w:r>
        <w:tab/>
      </w:r>
      <w:proofErr w:type="gramStart"/>
      <w:r>
        <w:t>DATE</w:t>
      </w:r>
      <w:proofErr w:type="gramEnd"/>
      <w:r>
        <w:t xml:space="preserve"> OF FIRST APPROVAL </w:t>
      </w:r>
    </w:p>
    <w:p w14:paraId="2832C8B4" w14:textId="6D08B7C5" w:rsidR="00260FE5" w:rsidRDefault="00127C38">
      <w:r>
        <w:t>19 July 2022</w:t>
      </w:r>
    </w:p>
    <w:p w14:paraId="2832C8B5" w14:textId="77777777" w:rsidR="00260FE5" w:rsidRDefault="003436C9">
      <w:pPr>
        <w:pStyle w:val="Heading2"/>
      </w:pPr>
      <w:r>
        <w:t>10</w:t>
      </w:r>
      <w:r>
        <w:tab/>
      </w:r>
      <w:proofErr w:type="gramStart"/>
      <w:r>
        <w:t>DATE</w:t>
      </w:r>
      <w:proofErr w:type="gramEnd"/>
      <w:r>
        <w:t xml:space="preserve"> OF REVISION </w:t>
      </w:r>
    </w:p>
    <w:p w14:paraId="2832C8B6" w14:textId="77777777" w:rsidR="00260FE5" w:rsidRDefault="003436C9">
      <w:r>
        <w:t>n/a.</w:t>
      </w:r>
    </w:p>
    <w:p w14:paraId="2832C8B7" w14:textId="77777777" w:rsidR="00260FE5" w:rsidRDefault="003436C9">
      <w:pPr>
        <w:spacing w:before="0" w:after="0"/>
        <w:rPr>
          <w:rFonts w:eastAsiaTheme="minorHAnsi"/>
          <w:spacing w:val="0"/>
        </w:rPr>
      </w:pPr>
      <w:r>
        <w:rPr>
          <w:rFonts w:eastAsiaTheme="minorHAnsi" w:cs="Times New Roman"/>
          <w:b/>
          <w:spacing w:val="0"/>
          <w:szCs w:val="24"/>
        </w:rPr>
        <w:t>Summary table of changes</w:t>
      </w:r>
    </w:p>
    <w:tbl>
      <w:tblPr>
        <w:tblStyle w:val="Light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A0" w:firstRow="1" w:lastRow="0" w:firstColumn="1" w:lastColumn="0" w:noHBand="1" w:noVBand="1"/>
      </w:tblPr>
      <w:tblGrid>
        <w:gridCol w:w="2150"/>
        <w:gridCol w:w="5040"/>
      </w:tblGrid>
      <w:tr w:rsidR="00260FE5" w14:paraId="2832C8BA" w14:textId="77777777" w:rsidTr="00260FE5">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150" w:type="dxa"/>
          </w:tcPr>
          <w:p w14:paraId="2832C8B8" w14:textId="77777777" w:rsidR="00260FE5" w:rsidRDefault="003436C9">
            <w:r>
              <w:t>Section Changed</w:t>
            </w:r>
          </w:p>
        </w:tc>
        <w:tc>
          <w:tcPr>
            <w:tcW w:w="5040" w:type="dxa"/>
          </w:tcPr>
          <w:p w14:paraId="2832C8B9" w14:textId="77777777" w:rsidR="00260FE5" w:rsidRDefault="003436C9">
            <w:pPr>
              <w:cnfStyle w:val="100000000000" w:firstRow="1" w:lastRow="0" w:firstColumn="0" w:lastColumn="0" w:oddVBand="0" w:evenVBand="0" w:oddHBand="0" w:evenHBand="0" w:firstRowFirstColumn="0" w:firstRowLastColumn="0" w:lastRowFirstColumn="0" w:lastRowLastColumn="0"/>
            </w:pPr>
            <w:r>
              <w:t>Summary of new information</w:t>
            </w:r>
          </w:p>
        </w:tc>
      </w:tr>
      <w:tr w:rsidR="00260FE5" w14:paraId="2832C8BD" w14:textId="77777777" w:rsidTr="00260FE5">
        <w:trPr>
          <w:trHeight w:val="350"/>
        </w:trPr>
        <w:tc>
          <w:tcPr>
            <w:cnfStyle w:val="001000000000" w:firstRow="0" w:lastRow="0" w:firstColumn="1" w:lastColumn="0" w:oddVBand="0" w:evenVBand="0" w:oddHBand="0" w:evenHBand="0" w:firstRowFirstColumn="0" w:firstRowLastColumn="0" w:lastRowFirstColumn="0" w:lastRowLastColumn="0"/>
            <w:tcW w:w="2150" w:type="dxa"/>
          </w:tcPr>
          <w:p w14:paraId="2832C8BB" w14:textId="77777777" w:rsidR="00260FE5" w:rsidRDefault="003436C9">
            <w:r>
              <w:t>--</w:t>
            </w:r>
          </w:p>
        </w:tc>
        <w:tc>
          <w:tcPr>
            <w:tcW w:w="5040" w:type="dxa"/>
          </w:tcPr>
          <w:p w14:paraId="2832C8BC" w14:textId="77777777" w:rsidR="00260FE5" w:rsidRDefault="003436C9">
            <w:pPr>
              <w:cnfStyle w:val="000000000000" w:firstRow="0" w:lastRow="0" w:firstColumn="0" w:lastColumn="0" w:oddVBand="0" w:evenVBand="0" w:oddHBand="0" w:evenHBand="0" w:firstRowFirstColumn="0" w:firstRowLastColumn="0" w:lastRowFirstColumn="0" w:lastRowLastColumn="0"/>
            </w:pPr>
            <w:r>
              <w:t>--</w:t>
            </w:r>
          </w:p>
        </w:tc>
      </w:tr>
    </w:tbl>
    <w:p w14:paraId="2832C8BE" w14:textId="77777777" w:rsidR="00260FE5" w:rsidRDefault="00260FE5"/>
    <w:p w14:paraId="2832C8BF" w14:textId="027EFB87" w:rsidR="00260FE5" w:rsidRDefault="00AE6A0B">
      <w:r>
        <w:rPr>
          <w:lang w:val="en-US"/>
        </w:rPr>
        <w:t>EXKIVITY</w:t>
      </w:r>
      <w:r w:rsidRPr="005C2A26">
        <w:rPr>
          <w:vertAlign w:val="superscript"/>
          <w:lang w:val="en-US"/>
        </w:rPr>
        <w:t>®</w:t>
      </w:r>
      <w:r>
        <w:rPr>
          <w:lang w:val="en-US"/>
        </w:rPr>
        <w:t xml:space="preserve"> and the EXKIVITY Logo</w:t>
      </w:r>
      <w:r w:rsidRPr="005C2A26">
        <w:rPr>
          <w:vertAlign w:val="superscript"/>
          <w:lang w:val="en-US"/>
        </w:rPr>
        <w:t>®</w:t>
      </w:r>
      <w:r>
        <w:rPr>
          <w:lang w:val="en-US"/>
        </w:rPr>
        <w:t xml:space="preserve"> are registered trademarks of Takeda Pharmaceuticals International AG</w:t>
      </w:r>
      <w:r w:rsidR="005C2A26">
        <w:rPr>
          <w:lang w:val="en-US"/>
        </w:rPr>
        <w:t>.</w:t>
      </w:r>
      <w:r w:rsidR="003436C9">
        <w:t xml:space="preserve"> TAKEDA</w:t>
      </w:r>
      <w:r w:rsidR="003436C9">
        <w:rPr>
          <w:vertAlign w:val="superscript"/>
        </w:rPr>
        <w:t>®</w:t>
      </w:r>
      <w:r w:rsidR="003436C9">
        <w:t xml:space="preserve"> and the TAKEDA Logo</w:t>
      </w:r>
      <w:r w:rsidR="003436C9">
        <w:rPr>
          <w:vertAlign w:val="superscript"/>
        </w:rPr>
        <w:t>®</w:t>
      </w:r>
      <w:r w:rsidR="003436C9">
        <w:t xml:space="preserve"> are registered trademarks of Takeda Pharmaceutical Company Limited.</w:t>
      </w:r>
    </w:p>
    <w:p w14:paraId="2832C8C0" w14:textId="77777777" w:rsidR="00260FE5" w:rsidRDefault="00260FE5"/>
    <w:sectPr w:rsidR="00260FE5">
      <w:headerReference w:type="default" r:id="rId15"/>
      <w:footerReference w:type="default" r:id="rId16"/>
      <w:headerReference w:type="first" r:id="rId17"/>
      <w:pgSz w:w="11906" w:h="16838" w:code="9"/>
      <w:pgMar w:top="680" w:right="1440" w:bottom="96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2B607" w14:textId="77777777" w:rsidR="00276644" w:rsidRDefault="00276644">
      <w:r>
        <w:separator/>
      </w:r>
    </w:p>
    <w:p w14:paraId="4DEDDBFF" w14:textId="77777777" w:rsidR="00276644" w:rsidRDefault="00276644"/>
    <w:p w14:paraId="391D9AFB" w14:textId="77777777" w:rsidR="00276644" w:rsidRDefault="00276644"/>
    <w:p w14:paraId="3FCF64C1" w14:textId="77777777" w:rsidR="00276644" w:rsidRDefault="00276644"/>
  </w:endnote>
  <w:endnote w:type="continuationSeparator" w:id="0">
    <w:p w14:paraId="7C03DCD0" w14:textId="77777777" w:rsidR="00276644" w:rsidRDefault="00276644">
      <w:r>
        <w:continuationSeparator/>
      </w:r>
    </w:p>
    <w:p w14:paraId="3B3B1D29" w14:textId="77777777" w:rsidR="00276644" w:rsidRDefault="00276644"/>
    <w:p w14:paraId="65DA82A3" w14:textId="77777777" w:rsidR="00276644" w:rsidRDefault="00276644"/>
    <w:p w14:paraId="0AD291C4" w14:textId="77777777" w:rsidR="00276644" w:rsidRDefault="00276644"/>
  </w:endnote>
  <w:endnote w:type="continuationNotice" w:id="1">
    <w:p w14:paraId="5D2B747C" w14:textId="77777777" w:rsidR="00276644" w:rsidRDefault="00276644"/>
    <w:p w14:paraId="67208E17" w14:textId="77777777" w:rsidR="00276644" w:rsidRDefault="00276644"/>
    <w:p w14:paraId="66F7E869" w14:textId="77777777" w:rsidR="00276644" w:rsidRDefault="00276644"/>
    <w:p w14:paraId="4F9BFF1A" w14:textId="77777777" w:rsidR="00276644" w:rsidRDefault="002766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Linotype">
    <w:altName w:val="Arial Unicode MS"/>
    <w:panose1 w:val="00000000000000000000"/>
    <w:charset w:val="00"/>
    <w:family w:val="auto"/>
    <w:notTrueType/>
    <w:pitch w:val="default"/>
    <w:sig w:usb0="00000000" w:usb1="080E0000" w:usb2="00000010" w:usb3="00000000" w:csb0="00040001" w:csb1="00000000"/>
  </w:font>
  <w:font w:name="Consolas">
    <w:panose1 w:val="020B0609020204030204"/>
    <w:charset w:val="00"/>
    <w:family w:val="modern"/>
    <w:pitch w:val="fixed"/>
    <w:sig w:usb0="E00006FF" w:usb1="0000FCFF" w:usb2="00000001"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hicago">
    <w:charset w:val="00"/>
    <w:family w:val="swiss"/>
    <w:pitch w:val="variable"/>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C903" w14:textId="53DA8413" w:rsidR="00260FE5" w:rsidRPr="00BF39C7" w:rsidRDefault="003436C9" w:rsidP="00BF39C7">
    <w:pPr>
      <w:pStyle w:val="Footer"/>
      <w:pBdr>
        <w:top w:val="single" w:sz="4" w:space="1" w:color="auto"/>
      </w:pBdr>
      <w:rPr>
        <w:rFonts w:ascii="Times New Roman" w:hAnsi="Times New Roman" w:cs="Times New Roman"/>
        <w:sz w:val="20"/>
        <w:szCs w:val="20"/>
      </w:rPr>
    </w:pPr>
    <w:r w:rsidRPr="00BF39C7">
      <w:rPr>
        <w:rFonts w:ascii="Times New Roman" w:hAnsi="Times New Roman" w:cs="Times New Roman"/>
        <w:sz w:val="20"/>
        <w:szCs w:val="20"/>
      </w:rPr>
      <w:t>EXKIVITY PI V</w:t>
    </w:r>
    <w:r w:rsidR="00F8464C" w:rsidRPr="00BF39C7">
      <w:rPr>
        <w:rFonts w:ascii="Times New Roman" w:hAnsi="Times New Roman" w:cs="Times New Roman"/>
        <w:sz w:val="20"/>
        <w:szCs w:val="20"/>
      </w:rPr>
      <w:t>1.0</w:t>
    </w:r>
    <w:r w:rsidRPr="00BF39C7">
      <w:rPr>
        <w:rFonts w:ascii="Times New Roman" w:hAnsi="Times New Roman" w:cs="Times New Roman"/>
        <w:sz w:val="20"/>
        <w:szCs w:val="20"/>
      </w:rPr>
      <w:t xml:space="preserve"> (CCDS V1)</w:t>
    </w:r>
    <w:r w:rsidRPr="00BF39C7">
      <w:rPr>
        <w:rStyle w:val="PageNumber"/>
        <w:rFonts w:ascii="Times New Roman" w:hAnsi="Times New Roman" w:cs="Times New Roman"/>
        <w:sz w:val="20"/>
        <w:szCs w:val="20"/>
      </w:rPr>
      <w:tab/>
    </w:r>
    <w:r w:rsidRPr="00BF39C7">
      <w:rPr>
        <w:rStyle w:val="PageNumber"/>
        <w:rFonts w:ascii="Times New Roman" w:hAnsi="Times New Roman" w:cs="Times New Roman"/>
        <w:sz w:val="20"/>
        <w:szCs w:val="20"/>
      </w:rPr>
      <w:tab/>
    </w:r>
    <w:r w:rsidRPr="00BF39C7">
      <w:rPr>
        <w:rFonts w:ascii="Times New Roman" w:hAnsi="Times New Roman" w:cs="Times New Roman"/>
        <w:sz w:val="20"/>
        <w:szCs w:val="20"/>
      </w:rPr>
      <w:fldChar w:fldCharType="begin"/>
    </w:r>
    <w:r w:rsidRPr="00BF39C7">
      <w:rPr>
        <w:rFonts w:ascii="Times New Roman" w:hAnsi="Times New Roman" w:cs="Times New Roman"/>
        <w:sz w:val="20"/>
        <w:szCs w:val="20"/>
      </w:rPr>
      <w:instrText xml:space="preserve"> PAGE </w:instrText>
    </w:r>
    <w:r w:rsidRPr="00BF39C7">
      <w:rPr>
        <w:rFonts w:ascii="Times New Roman" w:hAnsi="Times New Roman" w:cs="Times New Roman"/>
        <w:sz w:val="20"/>
        <w:szCs w:val="20"/>
      </w:rPr>
      <w:fldChar w:fldCharType="separate"/>
    </w:r>
    <w:r w:rsidRPr="00BF39C7">
      <w:rPr>
        <w:rFonts w:ascii="Times New Roman" w:hAnsi="Times New Roman" w:cs="Times New Roman"/>
        <w:noProof/>
        <w:sz w:val="20"/>
        <w:szCs w:val="20"/>
      </w:rPr>
      <w:t>16</w:t>
    </w:r>
    <w:r w:rsidRPr="00BF39C7">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D349D" w14:textId="77777777" w:rsidR="00276644" w:rsidRDefault="00276644">
      <w:r>
        <w:separator/>
      </w:r>
    </w:p>
    <w:p w14:paraId="76881956" w14:textId="77777777" w:rsidR="00276644" w:rsidRDefault="00276644"/>
    <w:p w14:paraId="5E41022F" w14:textId="77777777" w:rsidR="00276644" w:rsidRDefault="00276644"/>
    <w:p w14:paraId="7EFDAE58" w14:textId="77777777" w:rsidR="00276644" w:rsidRDefault="00276644"/>
  </w:footnote>
  <w:footnote w:type="continuationSeparator" w:id="0">
    <w:p w14:paraId="28884A14" w14:textId="77777777" w:rsidR="00276644" w:rsidRDefault="00276644">
      <w:r>
        <w:continuationSeparator/>
      </w:r>
    </w:p>
    <w:p w14:paraId="0F8EAFF2" w14:textId="77777777" w:rsidR="00276644" w:rsidRDefault="00276644"/>
    <w:p w14:paraId="70007FBF" w14:textId="77777777" w:rsidR="00276644" w:rsidRDefault="00276644"/>
    <w:p w14:paraId="5E31C25D" w14:textId="77777777" w:rsidR="00276644" w:rsidRDefault="00276644"/>
  </w:footnote>
  <w:footnote w:type="continuationNotice" w:id="1">
    <w:p w14:paraId="5E6592C2" w14:textId="77777777" w:rsidR="00276644" w:rsidRDefault="00276644"/>
    <w:p w14:paraId="79BC0FF0" w14:textId="77777777" w:rsidR="00276644" w:rsidRDefault="00276644"/>
    <w:p w14:paraId="3EBC66DE" w14:textId="77777777" w:rsidR="00276644" w:rsidRDefault="00276644"/>
    <w:p w14:paraId="5CC33614" w14:textId="77777777" w:rsidR="00276644" w:rsidRDefault="002766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A90FCB" w:rsidRPr="00190A0F" w14:paraId="68EB3E89" w14:textId="77777777" w:rsidTr="00CD2975">
      <w:tc>
        <w:tcPr>
          <w:tcW w:w="8720" w:type="dxa"/>
          <w:tcBorders>
            <w:top w:val="single" w:sz="4" w:space="0" w:color="002C47"/>
            <w:left w:val="single" w:sz="4" w:space="0" w:color="002C47"/>
            <w:bottom w:val="single" w:sz="4" w:space="0" w:color="002C47"/>
            <w:right w:val="single" w:sz="4" w:space="0" w:color="002C47"/>
          </w:tcBorders>
          <w:shd w:val="clear" w:color="auto" w:fill="E4F2E0"/>
          <w:hideMark/>
        </w:tcPr>
        <w:p w14:paraId="2C483378" w14:textId="77777777" w:rsidR="00A90FCB" w:rsidRPr="00190A0F" w:rsidRDefault="00A90FCB" w:rsidP="00A90FCB">
          <w:pPr>
            <w:spacing w:before="180" w:after="180" w:line="240" w:lineRule="atLeast"/>
            <w:rPr>
              <w:rFonts w:ascii="Cambria" w:eastAsia="Calibri" w:hAnsi="Cambria" w:cs="Arial"/>
              <w:b/>
              <w:sz w:val="18"/>
              <w:szCs w:val="18"/>
              <w:lang w:val="en-AU"/>
            </w:rPr>
          </w:pPr>
          <w:bookmarkStart w:id="10" w:name="_Hlk126587363"/>
          <w:r w:rsidRPr="00190A0F">
            <w:rPr>
              <w:rFonts w:ascii="Cambria" w:eastAsia="Calibri" w:hAnsi="Cambria" w:cs="Arial"/>
              <w:b/>
              <w:sz w:val="18"/>
              <w:szCs w:val="18"/>
              <w:lang w:val="en-AU"/>
            </w:rPr>
            <w:t xml:space="preserve">Attachment 1: Product information for </w:t>
          </w:r>
          <w:proofErr w:type="spellStart"/>
          <w:r w:rsidRPr="00FB7BF8">
            <w:rPr>
              <w:rFonts w:ascii="Cambria" w:eastAsia="Calibri" w:hAnsi="Cambria" w:cs="Arial"/>
              <w:b/>
              <w:sz w:val="18"/>
              <w:szCs w:val="18"/>
              <w:lang w:val="en-AU"/>
            </w:rPr>
            <w:t>AusPAR</w:t>
          </w:r>
          <w:proofErr w:type="spellEnd"/>
          <w:r w:rsidRPr="00FB7BF8">
            <w:rPr>
              <w:rFonts w:ascii="Cambria" w:eastAsia="Calibri" w:hAnsi="Cambria" w:cs="Arial"/>
              <w:b/>
              <w:sz w:val="18"/>
              <w:szCs w:val="18"/>
              <w:lang w:val="en-AU"/>
            </w:rPr>
            <w:t xml:space="preserve"> – </w:t>
          </w:r>
          <w:proofErr w:type="spellStart"/>
          <w:r w:rsidRPr="00FB7BF8">
            <w:rPr>
              <w:rFonts w:ascii="Cambria" w:eastAsia="Calibri" w:hAnsi="Cambria" w:cs="Arial"/>
              <w:b/>
              <w:sz w:val="18"/>
              <w:szCs w:val="18"/>
              <w:lang w:val="en-AU"/>
            </w:rPr>
            <w:t>Exkivity</w:t>
          </w:r>
          <w:proofErr w:type="spellEnd"/>
          <w:r w:rsidRPr="00FB7BF8">
            <w:rPr>
              <w:rFonts w:ascii="Cambria" w:eastAsia="Calibri" w:hAnsi="Cambria" w:cs="Arial"/>
              <w:b/>
              <w:sz w:val="18"/>
              <w:szCs w:val="18"/>
              <w:lang w:val="en-AU"/>
            </w:rPr>
            <w:t xml:space="preserve"> - </w:t>
          </w:r>
          <w:proofErr w:type="spellStart"/>
          <w:r w:rsidRPr="00FB7BF8">
            <w:rPr>
              <w:rFonts w:ascii="Cambria" w:eastAsia="Calibri" w:hAnsi="Cambria" w:cs="Arial"/>
              <w:b/>
              <w:sz w:val="18"/>
              <w:szCs w:val="18"/>
              <w:lang w:val="en-AU"/>
            </w:rPr>
            <w:t>mobocertinib</w:t>
          </w:r>
          <w:proofErr w:type="spellEnd"/>
          <w:r w:rsidRPr="00FB7BF8">
            <w:rPr>
              <w:rFonts w:ascii="Cambria" w:eastAsia="Calibri" w:hAnsi="Cambria" w:cs="Arial"/>
              <w:b/>
              <w:sz w:val="18"/>
              <w:szCs w:val="18"/>
              <w:lang w:val="en-AU"/>
            </w:rPr>
            <w:t xml:space="preserve"> - Takeda Pharmaceuticals Australia Pty Ltd - PM-2021-02546-1-4</w:t>
          </w:r>
          <w:r>
            <w:rPr>
              <w:rFonts w:ascii="Cambria" w:eastAsia="Calibri" w:hAnsi="Cambria" w:cs="Arial"/>
              <w:b/>
              <w:sz w:val="18"/>
              <w:szCs w:val="18"/>
              <w:lang w:val="en-AU"/>
            </w:rPr>
            <w:t xml:space="preserve"> </w:t>
          </w:r>
          <w:r w:rsidRPr="00FB7BF8">
            <w:rPr>
              <w:rFonts w:ascii="Cambria" w:eastAsia="Calibri" w:hAnsi="Cambria" w:cs="Arial"/>
              <w:b/>
              <w:sz w:val="18"/>
              <w:szCs w:val="18"/>
              <w:lang w:val="en-AU"/>
            </w:rPr>
            <w:t>FINAL 21 April 2023</w:t>
          </w:r>
          <w:r w:rsidRPr="00190A0F">
            <w:rPr>
              <w:rFonts w:ascii="Cambria" w:eastAsia="Calibri" w:hAnsi="Cambria" w:cs="Arial"/>
              <w:b/>
              <w:sz w:val="18"/>
              <w:szCs w:val="18"/>
              <w:lang w:val="en-AU"/>
            </w:rPr>
            <w:t xml:space="preserve">. This is the Product Information that was approved with the submission described in this </w:t>
          </w:r>
          <w:proofErr w:type="spellStart"/>
          <w:r w:rsidRPr="00190A0F">
            <w:rPr>
              <w:rFonts w:ascii="Cambria" w:eastAsia="Calibri" w:hAnsi="Cambria" w:cs="Arial"/>
              <w:b/>
              <w:sz w:val="18"/>
              <w:szCs w:val="18"/>
              <w:lang w:val="en-AU"/>
            </w:rPr>
            <w:t>AusPAR</w:t>
          </w:r>
          <w:proofErr w:type="spellEnd"/>
          <w:r w:rsidRPr="00190A0F">
            <w:rPr>
              <w:rFonts w:ascii="Cambria" w:eastAsia="Calibri" w:hAnsi="Cambria" w:cs="Arial"/>
              <w:b/>
              <w:sz w:val="18"/>
              <w:szCs w:val="18"/>
              <w:lang w:val="en-AU"/>
            </w:rPr>
            <w:t>. It may have been superseded. For the most recent PI, please refer to the TGA website at &lt;</w:t>
          </w:r>
          <w:hyperlink r:id="rId1" w:history="1">
            <w:r w:rsidRPr="00190A0F">
              <w:rPr>
                <w:rFonts w:ascii="Cambria" w:eastAsia="Calibri" w:hAnsi="Cambria" w:cs="Arial"/>
                <w:b/>
                <w:color w:val="0000FF"/>
                <w:sz w:val="18"/>
                <w:szCs w:val="18"/>
                <w:u w:val="single"/>
                <w:lang w:val="en-AU"/>
              </w:rPr>
              <w:t>https://www.tga.gov.au/products/australian-register-therapeutic-goods-artg/product-information-one</w:t>
            </w:r>
          </w:hyperlink>
          <w:r w:rsidRPr="00190A0F">
            <w:rPr>
              <w:rFonts w:ascii="Cambria" w:eastAsia="Calibri" w:hAnsi="Cambria" w:cs="Arial"/>
              <w:b/>
              <w:sz w:val="18"/>
              <w:szCs w:val="18"/>
              <w:lang w:val="en-AU"/>
            </w:rPr>
            <w:t>&gt;</w:t>
          </w:r>
        </w:p>
      </w:tc>
      <w:bookmarkEnd w:id="10"/>
    </w:tr>
  </w:tbl>
  <w:p w14:paraId="13EADF8C" w14:textId="77777777" w:rsidR="00A90FCB" w:rsidRDefault="00A90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C904" w14:textId="77777777" w:rsidR="00260FE5" w:rsidRDefault="00260FE5">
    <w:pPr>
      <w:pStyle w:val="Header"/>
      <w:rPr>
        <w:lang w:val="en-US"/>
      </w:rPr>
    </w:pPr>
  </w:p>
  <w:p w14:paraId="2832C905" w14:textId="77777777" w:rsidR="00260FE5" w:rsidRDefault="00260FE5">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3C0"/>
    <w:multiLevelType w:val="hybridMultilevel"/>
    <w:tmpl w:val="F808E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214948"/>
    <w:multiLevelType w:val="hybridMultilevel"/>
    <w:tmpl w:val="C856047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0A910797"/>
    <w:multiLevelType w:val="hybridMultilevel"/>
    <w:tmpl w:val="B666D836"/>
    <w:lvl w:ilvl="0" w:tplc="0409000F">
      <w:start w:val="1"/>
      <w:numFmt w:val="decimal"/>
      <w:lvlText w:val="%1."/>
      <w:lvlJc w:val="left"/>
      <w:pPr>
        <w:ind w:left="1287" w:hanging="360"/>
      </w:pPr>
      <w:rPr>
        <w:rFonts w:cs="Times New Roman"/>
      </w:rPr>
    </w:lvl>
    <w:lvl w:ilvl="1" w:tplc="13D069D6">
      <w:start w:val="1"/>
      <w:numFmt w:val="decimal"/>
      <w:lvlText w:val="(%2)"/>
      <w:lvlJc w:val="left"/>
      <w:pPr>
        <w:ind w:left="2022" w:hanging="375"/>
      </w:pPr>
      <w:rPr>
        <w:rFonts w:hint="default"/>
      </w:rPr>
    </w:lvl>
    <w:lvl w:ilvl="2" w:tplc="0409001B">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 w15:restartNumberingAfterBreak="0">
    <w:nsid w:val="0F7776B0"/>
    <w:multiLevelType w:val="hybridMultilevel"/>
    <w:tmpl w:val="59F6A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2A45DC"/>
    <w:multiLevelType w:val="hybridMultilevel"/>
    <w:tmpl w:val="E4FAEB9C"/>
    <w:lvl w:ilvl="0" w:tplc="691CF308">
      <w:start w:val="1"/>
      <w:numFmt w:val="lowerLetter"/>
      <w:lvlText w:val="%1."/>
      <w:lvlJc w:val="left"/>
      <w:pPr>
        <w:tabs>
          <w:tab w:val="num" w:pos="1080"/>
        </w:tabs>
        <w:ind w:left="1080" w:hanging="360"/>
      </w:pPr>
      <w:rPr>
        <w:vertAlign w:val="superscript"/>
      </w:rPr>
    </w:lvl>
    <w:lvl w:ilvl="1" w:tplc="6B225FEC" w:tentative="1">
      <w:start w:val="1"/>
      <w:numFmt w:val="lowerLetter"/>
      <w:lvlText w:val="%2)"/>
      <w:lvlJc w:val="left"/>
      <w:pPr>
        <w:tabs>
          <w:tab w:val="num" w:pos="1800"/>
        </w:tabs>
        <w:ind w:left="1800" w:hanging="360"/>
      </w:pPr>
    </w:lvl>
    <w:lvl w:ilvl="2" w:tplc="3864BE74" w:tentative="1">
      <w:start w:val="1"/>
      <w:numFmt w:val="lowerLetter"/>
      <w:lvlText w:val="%3)"/>
      <w:lvlJc w:val="left"/>
      <w:pPr>
        <w:tabs>
          <w:tab w:val="num" w:pos="2520"/>
        </w:tabs>
        <w:ind w:left="2520" w:hanging="360"/>
      </w:pPr>
    </w:lvl>
    <w:lvl w:ilvl="3" w:tplc="1E2CF3EC" w:tentative="1">
      <w:start w:val="1"/>
      <w:numFmt w:val="lowerLetter"/>
      <w:lvlText w:val="%4)"/>
      <w:lvlJc w:val="left"/>
      <w:pPr>
        <w:tabs>
          <w:tab w:val="num" w:pos="3240"/>
        </w:tabs>
        <w:ind w:left="3240" w:hanging="360"/>
      </w:pPr>
    </w:lvl>
    <w:lvl w:ilvl="4" w:tplc="3168D6D6" w:tentative="1">
      <w:start w:val="1"/>
      <w:numFmt w:val="lowerLetter"/>
      <w:lvlText w:val="%5)"/>
      <w:lvlJc w:val="left"/>
      <w:pPr>
        <w:tabs>
          <w:tab w:val="num" w:pos="3960"/>
        </w:tabs>
        <w:ind w:left="3960" w:hanging="360"/>
      </w:pPr>
    </w:lvl>
    <w:lvl w:ilvl="5" w:tplc="6CA45E7A" w:tentative="1">
      <w:start w:val="1"/>
      <w:numFmt w:val="lowerLetter"/>
      <w:lvlText w:val="%6)"/>
      <w:lvlJc w:val="left"/>
      <w:pPr>
        <w:tabs>
          <w:tab w:val="num" w:pos="4680"/>
        </w:tabs>
        <w:ind w:left="4680" w:hanging="360"/>
      </w:pPr>
    </w:lvl>
    <w:lvl w:ilvl="6" w:tplc="D206D388" w:tentative="1">
      <w:start w:val="1"/>
      <w:numFmt w:val="lowerLetter"/>
      <w:lvlText w:val="%7)"/>
      <w:lvlJc w:val="left"/>
      <w:pPr>
        <w:tabs>
          <w:tab w:val="num" w:pos="5400"/>
        </w:tabs>
        <w:ind w:left="5400" w:hanging="360"/>
      </w:pPr>
    </w:lvl>
    <w:lvl w:ilvl="7" w:tplc="BCBC312E" w:tentative="1">
      <w:start w:val="1"/>
      <w:numFmt w:val="lowerLetter"/>
      <w:lvlText w:val="%8)"/>
      <w:lvlJc w:val="left"/>
      <w:pPr>
        <w:tabs>
          <w:tab w:val="num" w:pos="6120"/>
        </w:tabs>
        <w:ind w:left="6120" w:hanging="360"/>
      </w:pPr>
    </w:lvl>
    <w:lvl w:ilvl="8" w:tplc="18E09A22" w:tentative="1">
      <w:start w:val="1"/>
      <w:numFmt w:val="lowerLetter"/>
      <w:lvlText w:val="%9)"/>
      <w:lvlJc w:val="left"/>
      <w:pPr>
        <w:tabs>
          <w:tab w:val="num" w:pos="6840"/>
        </w:tabs>
        <w:ind w:left="6840" w:hanging="360"/>
      </w:pPr>
    </w:lvl>
  </w:abstractNum>
  <w:abstractNum w:abstractNumId="5" w15:restartNumberingAfterBreak="0">
    <w:nsid w:val="15CA0942"/>
    <w:multiLevelType w:val="hybridMultilevel"/>
    <w:tmpl w:val="EED27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28788B"/>
    <w:multiLevelType w:val="hybridMultilevel"/>
    <w:tmpl w:val="702A72B6"/>
    <w:lvl w:ilvl="0" w:tplc="1690D4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0B7A52"/>
    <w:multiLevelType w:val="hybridMultilevel"/>
    <w:tmpl w:val="CFE4E80A"/>
    <w:lvl w:ilvl="0" w:tplc="365E3B18">
      <w:start w:val="6"/>
      <w:numFmt w:val="bullet"/>
      <w:lvlText w:val="-"/>
      <w:lvlJc w:val="left"/>
      <w:pPr>
        <w:ind w:left="720" w:hanging="360"/>
      </w:pPr>
      <w:rPr>
        <w:rFonts w:ascii="Times New Roman" w:eastAsia="Times New Roman" w:hAnsi="Times New Roman" w:cs="Times New Roman"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6890C0E"/>
    <w:multiLevelType w:val="hybridMultilevel"/>
    <w:tmpl w:val="5DC611D4"/>
    <w:lvl w:ilvl="0" w:tplc="FFFFFFFF">
      <w:start w:val="1"/>
      <w:numFmt w:val="bullet"/>
      <w:pStyle w:val="CCDSMandatoryInformationbullet"/>
      <w:lvlText w:val="·"/>
      <w:lvlJc w:val="left"/>
      <w:pPr>
        <w:ind w:left="1260"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0" w15:restartNumberingAfterBreak="0">
    <w:nsid w:val="2A1D66AE"/>
    <w:multiLevelType w:val="hybridMultilevel"/>
    <w:tmpl w:val="028860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ACD2E9A"/>
    <w:multiLevelType w:val="hybridMultilevel"/>
    <w:tmpl w:val="FF8C6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1A4A21"/>
    <w:multiLevelType w:val="multilevel"/>
    <w:tmpl w:val="18BC4042"/>
    <w:lvl w:ilvl="0">
      <w:start w:val="1"/>
      <w:numFmt w:val="bullet"/>
      <w:pStyle w:val="BulletLis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3" w15:restartNumberingAfterBreak="0">
    <w:nsid w:val="37074131"/>
    <w:multiLevelType w:val="hybridMultilevel"/>
    <w:tmpl w:val="882C5F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EBD24F1"/>
    <w:multiLevelType w:val="hybridMultilevel"/>
    <w:tmpl w:val="E4FAEB9C"/>
    <w:lvl w:ilvl="0" w:tplc="691CF308">
      <w:start w:val="1"/>
      <w:numFmt w:val="lowerLetter"/>
      <w:lvlText w:val="%1."/>
      <w:lvlJc w:val="left"/>
      <w:pPr>
        <w:tabs>
          <w:tab w:val="num" w:pos="1080"/>
        </w:tabs>
        <w:ind w:left="1080" w:hanging="360"/>
      </w:pPr>
      <w:rPr>
        <w:vertAlign w:val="superscript"/>
      </w:rPr>
    </w:lvl>
    <w:lvl w:ilvl="1" w:tplc="6B225FEC" w:tentative="1">
      <w:start w:val="1"/>
      <w:numFmt w:val="lowerLetter"/>
      <w:lvlText w:val="%2)"/>
      <w:lvlJc w:val="left"/>
      <w:pPr>
        <w:tabs>
          <w:tab w:val="num" w:pos="1800"/>
        </w:tabs>
        <w:ind w:left="1800" w:hanging="360"/>
      </w:pPr>
    </w:lvl>
    <w:lvl w:ilvl="2" w:tplc="3864BE74" w:tentative="1">
      <w:start w:val="1"/>
      <w:numFmt w:val="lowerLetter"/>
      <w:lvlText w:val="%3)"/>
      <w:lvlJc w:val="left"/>
      <w:pPr>
        <w:tabs>
          <w:tab w:val="num" w:pos="2520"/>
        </w:tabs>
        <w:ind w:left="2520" w:hanging="360"/>
      </w:pPr>
    </w:lvl>
    <w:lvl w:ilvl="3" w:tplc="1E2CF3EC" w:tentative="1">
      <w:start w:val="1"/>
      <w:numFmt w:val="lowerLetter"/>
      <w:lvlText w:val="%4)"/>
      <w:lvlJc w:val="left"/>
      <w:pPr>
        <w:tabs>
          <w:tab w:val="num" w:pos="3240"/>
        </w:tabs>
        <w:ind w:left="3240" w:hanging="360"/>
      </w:pPr>
    </w:lvl>
    <w:lvl w:ilvl="4" w:tplc="3168D6D6" w:tentative="1">
      <w:start w:val="1"/>
      <w:numFmt w:val="lowerLetter"/>
      <w:lvlText w:val="%5)"/>
      <w:lvlJc w:val="left"/>
      <w:pPr>
        <w:tabs>
          <w:tab w:val="num" w:pos="3960"/>
        </w:tabs>
        <w:ind w:left="3960" w:hanging="360"/>
      </w:pPr>
    </w:lvl>
    <w:lvl w:ilvl="5" w:tplc="6CA45E7A" w:tentative="1">
      <w:start w:val="1"/>
      <w:numFmt w:val="lowerLetter"/>
      <w:lvlText w:val="%6)"/>
      <w:lvlJc w:val="left"/>
      <w:pPr>
        <w:tabs>
          <w:tab w:val="num" w:pos="4680"/>
        </w:tabs>
        <w:ind w:left="4680" w:hanging="360"/>
      </w:pPr>
    </w:lvl>
    <w:lvl w:ilvl="6" w:tplc="D206D388" w:tentative="1">
      <w:start w:val="1"/>
      <w:numFmt w:val="lowerLetter"/>
      <w:lvlText w:val="%7)"/>
      <w:lvlJc w:val="left"/>
      <w:pPr>
        <w:tabs>
          <w:tab w:val="num" w:pos="5400"/>
        </w:tabs>
        <w:ind w:left="5400" w:hanging="360"/>
      </w:pPr>
    </w:lvl>
    <w:lvl w:ilvl="7" w:tplc="BCBC312E" w:tentative="1">
      <w:start w:val="1"/>
      <w:numFmt w:val="lowerLetter"/>
      <w:lvlText w:val="%8)"/>
      <w:lvlJc w:val="left"/>
      <w:pPr>
        <w:tabs>
          <w:tab w:val="num" w:pos="6120"/>
        </w:tabs>
        <w:ind w:left="6120" w:hanging="360"/>
      </w:pPr>
    </w:lvl>
    <w:lvl w:ilvl="8" w:tplc="18E09A22" w:tentative="1">
      <w:start w:val="1"/>
      <w:numFmt w:val="lowerLetter"/>
      <w:lvlText w:val="%9)"/>
      <w:lvlJc w:val="left"/>
      <w:pPr>
        <w:tabs>
          <w:tab w:val="num" w:pos="6840"/>
        </w:tabs>
        <w:ind w:left="6840" w:hanging="360"/>
      </w:pPr>
    </w:lvl>
  </w:abstractNum>
  <w:abstractNum w:abstractNumId="15" w15:restartNumberingAfterBreak="0">
    <w:nsid w:val="49B14DA3"/>
    <w:multiLevelType w:val="hybridMultilevel"/>
    <w:tmpl w:val="6EECD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CD23C3"/>
    <w:multiLevelType w:val="hybridMultilevel"/>
    <w:tmpl w:val="9C3E6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FF42CF"/>
    <w:multiLevelType w:val="hybridMultilevel"/>
    <w:tmpl w:val="772C7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84285"/>
    <w:multiLevelType w:val="hybridMultilevel"/>
    <w:tmpl w:val="C540B14E"/>
    <w:lvl w:ilvl="0" w:tplc="692C2604">
      <w:numFmt w:val="bullet"/>
      <w:lvlText w:val=""/>
      <w:lvlJc w:val="left"/>
      <w:pPr>
        <w:ind w:left="720" w:hanging="360"/>
      </w:pPr>
      <w:rPr>
        <w:rFonts w:ascii="Times New Roman" w:eastAsiaTheme="maj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2C3B4F"/>
    <w:multiLevelType w:val="hybridMultilevel"/>
    <w:tmpl w:val="CB586DA8"/>
    <w:lvl w:ilvl="0" w:tplc="E5B29F60">
      <w:numFmt w:val="bullet"/>
      <w:lvlText w:val="-"/>
      <w:lvlJc w:val="left"/>
      <w:pPr>
        <w:ind w:left="720" w:hanging="360"/>
      </w:pPr>
      <w:rPr>
        <w:rFonts w:ascii="Cambria" w:eastAsia="Times New Roman"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732605"/>
    <w:multiLevelType w:val="hybridMultilevel"/>
    <w:tmpl w:val="F6D0113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4001DF8"/>
    <w:multiLevelType w:val="hybridMultilevel"/>
    <w:tmpl w:val="B75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C0B26E0"/>
    <w:multiLevelType w:val="hybridMultilevel"/>
    <w:tmpl w:val="1FEC0B7E"/>
    <w:lvl w:ilvl="0" w:tplc="1690D48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CB47F6A"/>
    <w:multiLevelType w:val="hybridMultilevel"/>
    <w:tmpl w:val="C35A0336"/>
    <w:lvl w:ilvl="0" w:tplc="5D6091C6">
      <w:start w:val="1"/>
      <w:numFmt w:val="bullet"/>
      <w:pStyle w:val="BulletsText"/>
      <w:lvlText w:val=""/>
      <w:lvlJc w:val="left"/>
      <w:pPr>
        <w:tabs>
          <w:tab w:val="num" w:pos="360"/>
        </w:tabs>
        <w:ind w:left="360" w:hanging="360"/>
      </w:pPr>
      <w:rPr>
        <w:rFonts w:ascii="Symbol" w:hAnsi="Symbol" w:hint="default"/>
      </w:rPr>
    </w:lvl>
    <w:lvl w:ilvl="1" w:tplc="CE4CE6A2">
      <w:numFmt w:val="decimal"/>
      <w:lvlText w:val=""/>
      <w:lvlJc w:val="left"/>
    </w:lvl>
    <w:lvl w:ilvl="2" w:tplc="7A6271A8">
      <w:numFmt w:val="decimal"/>
      <w:lvlText w:val=""/>
      <w:lvlJc w:val="left"/>
    </w:lvl>
    <w:lvl w:ilvl="3" w:tplc="AE7EAFD0">
      <w:numFmt w:val="decimal"/>
      <w:lvlText w:val=""/>
      <w:lvlJc w:val="left"/>
    </w:lvl>
    <w:lvl w:ilvl="4" w:tplc="727A31B6">
      <w:numFmt w:val="decimal"/>
      <w:lvlText w:val=""/>
      <w:lvlJc w:val="left"/>
    </w:lvl>
    <w:lvl w:ilvl="5" w:tplc="68B6AB30">
      <w:numFmt w:val="decimal"/>
      <w:lvlText w:val=""/>
      <w:lvlJc w:val="left"/>
    </w:lvl>
    <w:lvl w:ilvl="6" w:tplc="F4921C84">
      <w:numFmt w:val="decimal"/>
      <w:lvlText w:val=""/>
      <w:lvlJc w:val="left"/>
    </w:lvl>
    <w:lvl w:ilvl="7" w:tplc="6D8286F0">
      <w:numFmt w:val="decimal"/>
      <w:lvlText w:val=""/>
      <w:lvlJc w:val="left"/>
    </w:lvl>
    <w:lvl w:ilvl="8" w:tplc="287431EA">
      <w:numFmt w:val="decimal"/>
      <w:lvlText w:val=""/>
      <w:lvlJc w:val="left"/>
    </w:lvl>
  </w:abstractNum>
  <w:abstractNum w:abstractNumId="25" w15:restartNumberingAfterBreak="0">
    <w:nsid w:val="6D8D02C3"/>
    <w:multiLevelType w:val="hybridMultilevel"/>
    <w:tmpl w:val="9ED49C6A"/>
    <w:lvl w:ilvl="0" w:tplc="C082D7B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423879"/>
    <w:multiLevelType w:val="hybridMultilevel"/>
    <w:tmpl w:val="F316537C"/>
    <w:lvl w:ilvl="0" w:tplc="DE0876E6">
      <w:start w:val="1"/>
      <w:numFmt w:val="decimal"/>
      <w:pStyle w:val="Referenc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01A6F34"/>
    <w:multiLevelType w:val="hybridMultilevel"/>
    <w:tmpl w:val="E1A62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0FC4FC4"/>
    <w:multiLevelType w:val="hybridMultilevel"/>
    <w:tmpl w:val="D054D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B67986"/>
    <w:multiLevelType w:val="hybridMultilevel"/>
    <w:tmpl w:val="47389B5E"/>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47022B"/>
    <w:multiLevelType w:val="hybridMultilevel"/>
    <w:tmpl w:val="C4A0DF62"/>
    <w:lvl w:ilvl="0" w:tplc="D4CC26E8">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50048E"/>
    <w:multiLevelType w:val="hybridMultilevel"/>
    <w:tmpl w:val="E4FAEB9C"/>
    <w:lvl w:ilvl="0" w:tplc="691CF308">
      <w:start w:val="1"/>
      <w:numFmt w:val="lowerLetter"/>
      <w:lvlText w:val="%1."/>
      <w:lvlJc w:val="left"/>
      <w:pPr>
        <w:tabs>
          <w:tab w:val="num" w:pos="1080"/>
        </w:tabs>
        <w:ind w:left="1080" w:hanging="360"/>
      </w:pPr>
      <w:rPr>
        <w:vertAlign w:val="superscript"/>
      </w:rPr>
    </w:lvl>
    <w:lvl w:ilvl="1" w:tplc="6B225FEC" w:tentative="1">
      <w:start w:val="1"/>
      <w:numFmt w:val="lowerLetter"/>
      <w:lvlText w:val="%2)"/>
      <w:lvlJc w:val="left"/>
      <w:pPr>
        <w:tabs>
          <w:tab w:val="num" w:pos="1800"/>
        </w:tabs>
        <w:ind w:left="1800" w:hanging="360"/>
      </w:pPr>
    </w:lvl>
    <w:lvl w:ilvl="2" w:tplc="3864BE74" w:tentative="1">
      <w:start w:val="1"/>
      <w:numFmt w:val="lowerLetter"/>
      <w:lvlText w:val="%3)"/>
      <w:lvlJc w:val="left"/>
      <w:pPr>
        <w:tabs>
          <w:tab w:val="num" w:pos="2520"/>
        </w:tabs>
        <w:ind w:left="2520" w:hanging="360"/>
      </w:pPr>
    </w:lvl>
    <w:lvl w:ilvl="3" w:tplc="1E2CF3EC" w:tentative="1">
      <w:start w:val="1"/>
      <w:numFmt w:val="lowerLetter"/>
      <w:lvlText w:val="%4)"/>
      <w:lvlJc w:val="left"/>
      <w:pPr>
        <w:tabs>
          <w:tab w:val="num" w:pos="3240"/>
        </w:tabs>
        <w:ind w:left="3240" w:hanging="360"/>
      </w:pPr>
    </w:lvl>
    <w:lvl w:ilvl="4" w:tplc="3168D6D6" w:tentative="1">
      <w:start w:val="1"/>
      <w:numFmt w:val="lowerLetter"/>
      <w:lvlText w:val="%5)"/>
      <w:lvlJc w:val="left"/>
      <w:pPr>
        <w:tabs>
          <w:tab w:val="num" w:pos="3960"/>
        </w:tabs>
        <w:ind w:left="3960" w:hanging="360"/>
      </w:pPr>
    </w:lvl>
    <w:lvl w:ilvl="5" w:tplc="6CA45E7A" w:tentative="1">
      <w:start w:val="1"/>
      <w:numFmt w:val="lowerLetter"/>
      <w:lvlText w:val="%6)"/>
      <w:lvlJc w:val="left"/>
      <w:pPr>
        <w:tabs>
          <w:tab w:val="num" w:pos="4680"/>
        </w:tabs>
        <w:ind w:left="4680" w:hanging="360"/>
      </w:pPr>
    </w:lvl>
    <w:lvl w:ilvl="6" w:tplc="D206D388" w:tentative="1">
      <w:start w:val="1"/>
      <w:numFmt w:val="lowerLetter"/>
      <w:lvlText w:val="%7)"/>
      <w:lvlJc w:val="left"/>
      <w:pPr>
        <w:tabs>
          <w:tab w:val="num" w:pos="5400"/>
        </w:tabs>
        <w:ind w:left="5400" w:hanging="360"/>
      </w:pPr>
    </w:lvl>
    <w:lvl w:ilvl="7" w:tplc="BCBC312E" w:tentative="1">
      <w:start w:val="1"/>
      <w:numFmt w:val="lowerLetter"/>
      <w:lvlText w:val="%8)"/>
      <w:lvlJc w:val="left"/>
      <w:pPr>
        <w:tabs>
          <w:tab w:val="num" w:pos="6120"/>
        </w:tabs>
        <w:ind w:left="6120" w:hanging="360"/>
      </w:pPr>
    </w:lvl>
    <w:lvl w:ilvl="8" w:tplc="18E09A22" w:tentative="1">
      <w:start w:val="1"/>
      <w:numFmt w:val="lowerLetter"/>
      <w:lvlText w:val="%9)"/>
      <w:lvlJc w:val="left"/>
      <w:pPr>
        <w:tabs>
          <w:tab w:val="num" w:pos="6840"/>
        </w:tabs>
        <w:ind w:left="6840" w:hanging="360"/>
      </w:pPr>
    </w:lvl>
  </w:abstractNum>
  <w:num w:numId="1">
    <w:abstractNumId w:val="28"/>
  </w:num>
  <w:num w:numId="2">
    <w:abstractNumId w:val="6"/>
  </w:num>
  <w:num w:numId="3">
    <w:abstractNumId w:val="22"/>
  </w:num>
  <w:num w:numId="4">
    <w:abstractNumId w:val="9"/>
  </w:num>
  <w:num w:numId="5">
    <w:abstractNumId w:val="8"/>
  </w:num>
  <w:num w:numId="6">
    <w:abstractNumId w:val="2"/>
  </w:num>
  <w:num w:numId="7">
    <w:abstractNumId w:val="12"/>
  </w:num>
  <w:num w:numId="8">
    <w:abstractNumId w:val="26"/>
  </w:num>
  <w:num w:numId="9">
    <w:abstractNumId w:val="13"/>
  </w:num>
  <w:num w:numId="10">
    <w:abstractNumId w:val="23"/>
  </w:num>
  <w:num w:numId="11">
    <w:abstractNumId w:val="31"/>
  </w:num>
  <w:num w:numId="12">
    <w:abstractNumId w:val="7"/>
  </w:num>
  <w:num w:numId="13">
    <w:abstractNumId w:val="10"/>
  </w:num>
  <w:num w:numId="14">
    <w:abstractNumId w:val="21"/>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20"/>
  </w:num>
  <w:num w:numId="18">
    <w:abstractNumId w:val="0"/>
  </w:num>
  <w:num w:numId="19">
    <w:abstractNumId w:val="15"/>
  </w:num>
  <w:num w:numId="20">
    <w:abstractNumId w:val="17"/>
  </w:num>
  <w:num w:numId="21">
    <w:abstractNumId w:val="16"/>
  </w:num>
  <w:num w:numId="22">
    <w:abstractNumId w:val="27"/>
  </w:num>
  <w:num w:numId="23">
    <w:abstractNumId w:val="5"/>
  </w:num>
  <w:num w:numId="24">
    <w:abstractNumId w:val="24"/>
  </w:num>
  <w:num w:numId="25">
    <w:abstractNumId w:val="4"/>
  </w:num>
  <w:num w:numId="26">
    <w:abstractNumId w:val="32"/>
  </w:num>
  <w:num w:numId="27">
    <w:abstractNumId w:val="14"/>
  </w:num>
  <w:num w:numId="28">
    <w:abstractNumId w:val="25"/>
  </w:num>
  <w:num w:numId="29">
    <w:abstractNumId w:val="29"/>
  </w:num>
  <w:num w:numId="30">
    <w:abstractNumId w:val="30"/>
  </w:num>
  <w:num w:numId="31">
    <w:abstractNumId w:val="11"/>
  </w:num>
  <w:num w:numId="32">
    <w:abstractNumId w:val="3"/>
  </w:num>
  <w:num w:numId="33">
    <w:abstractNumId w:val="18"/>
  </w:num>
  <w:num w:numId="3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E5"/>
    <w:rsid w:val="000B6935"/>
    <w:rsid w:val="000C470C"/>
    <w:rsid w:val="000D099D"/>
    <w:rsid w:val="00127C38"/>
    <w:rsid w:val="0017786C"/>
    <w:rsid w:val="00180D9D"/>
    <w:rsid w:val="0022417D"/>
    <w:rsid w:val="00260FE5"/>
    <w:rsid w:val="00276644"/>
    <w:rsid w:val="002D03E8"/>
    <w:rsid w:val="003436C9"/>
    <w:rsid w:val="0041054E"/>
    <w:rsid w:val="004352A7"/>
    <w:rsid w:val="00440780"/>
    <w:rsid w:val="005C2A26"/>
    <w:rsid w:val="00912ED3"/>
    <w:rsid w:val="00995BDA"/>
    <w:rsid w:val="00A42B9C"/>
    <w:rsid w:val="00A90FCB"/>
    <w:rsid w:val="00AE6A0B"/>
    <w:rsid w:val="00BB40CD"/>
    <w:rsid w:val="00BF39C7"/>
    <w:rsid w:val="00C64D88"/>
    <w:rsid w:val="00D50F5D"/>
    <w:rsid w:val="00DD00A6"/>
    <w:rsid w:val="00EA45E9"/>
    <w:rsid w:val="00EC701A"/>
    <w:rsid w:val="00F8464C"/>
    <w:rsid w:val="00FC581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2C651"/>
  <w15:docId w15:val="{81E153D2-3156-4538-BA18-A72FD81A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pPr>
    <w:rPr>
      <w:rFonts w:ascii="Times New Roman" w:eastAsia="Times New Roman" w:hAnsi="Times New Roman"/>
      <w:spacing w:val="-1"/>
      <w:sz w:val="24"/>
    </w:rPr>
  </w:style>
  <w:style w:type="paragraph" w:styleId="Heading1">
    <w:name w:val="heading 1"/>
    <w:aliases w:val="1.0,Part"/>
    <w:basedOn w:val="Normal"/>
    <w:next w:val="Normal"/>
    <w:link w:val="Heading1Char"/>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aliases w:val="Chapter Title"/>
    <w:basedOn w:val="Normal"/>
    <w:next w:val="Normal"/>
    <w:link w:val="Heading2Char"/>
    <w:uiPriority w:val="9"/>
    <w:unhideWhenUsed/>
    <w:qFormat/>
    <w:pPr>
      <w:spacing w:before="360" w:after="240"/>
      <w:ind w:left="720" w:hanging="720"/>
      <w:outlineLvl w:val="1"/>
    </w:pPr>
    <w:rPr>
      <w:rFonts w:cs="Times New Roman"/>
      <w:b/>
      <w:smallCaps/>
      <w:szCs w:val="24"/>
    </w:rPr>
  </w:style>
  <w:style w:type="paragraph" w:styleId="Heading3">
    <w:name w:val="heading 3"/>
    <w:aliases w:val="Section"/>
    <w:basedOn w:val="Normal"/>
    <w:next w:val="Normal"/>
    <w:link w:val="Heading3Char"/>
    <w:uiPriority w:val="99"/>
    <w:unhideWhenUsed/>
    <w:qFormat/>
    <w:pPr>
      <w:widowControl w:val="0"/>
      <w:spacing w:before="240" w:after="240"/>
      <w:outlineLvl w:val="2"/>
    </w:pPr>
    <w:rPr>
      <w:rFonts w:eastAsiaTheme="majorEastAsia" w:cs="Times New Roman"/>
      <w:b/>
      <w:bCs/>
      <w:szCs w:val="24"/>
    </w:rPr>
  </w:style>
  <w:style w:type="paragraph" w:styleId="Heading4">
    <w:name w:val="heading 4"/>
    <w:basedOn w:val="Heading3"/>
    <w:next w:val="Normal"/>
    <w:link w:val="Heading4Char"/>
    <w:unhideWhenUsed/>
    <w:qFormat/>
    <w:pPr>
      <w:spacing w:after="120"/>
      <w:outlineLvl w:val="3"/>
    </w:pPr>
    <w:rPr>
      <w:b w:val="0"/>
      <w:bCs w:val="0"/>
      <w:i/>
      <w:iCs/>
      <w:u w:val="single"/>
    </w:rPr>
  </w:style>
  <w:style w:type="paragraph" w:styleId="Heading5">
    <w:name w:val="heading 5"/>
    <w:basedOn w:val="Normal"/>
    <w:next w:val="Normal"/>
    <w:link w:val="Heading5Char"/>
    <w:unhideWhenUsed/>
    <w:qFormat/>
    <w:pPr>
      <w:spacing w:after="0"/>
      <w:outlineLvl w:val="4"/>
    </w:pPr>
    <w:rPr>
      <w:rFonts w:cs="Times New Roman"/>
      <w:i/>
      <w:iCs/>
      <w:szCs w:val="24"/>
    </w:rPr>
  </w:style>
  <w:style w:type="paragraph" w:styleId="Heading6">
    <w:name w:val="heading 6"/>
    <w:basedOn w:val="Normal"/>
    <w:next w:val="Normal"/>
    <w:link w:val="Heading6Char"/>
    <w:unhideWhenUsed/>
    <w:qFormat/>
    <w:pPr>
      <w:keepNext/>
      <w:keepLines/>
      <w:numPr>
        <w:ilvl w:val="5"/>
        <w:numId w:val="1"/>
      </w:numPr>
      <w:spacing w:before="200" w:after="0" w:line="720" w:lineRule="auto"/>
      <w:ind w:left="1151" w:hanging="1151"/>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har,Part Char"/>
    <w:basedOn w:val="DefaultParagraphFont"/>
    <w:link w:val="Heading1"/>
    <w:rPr>
      <w:rFonts w:asciiTheme="majorHAnsi" w:eastAsiaTheme="majorEastAsia" w:hAnsiTheme="majorHAnsi" w:cstheme="majorBidi"/>
      <w:b/>
      <w:bCs/>
      <w:caps/>
      <w:sz w:val="28"/>
      <w:szCs w:val="28"/>
    </w:rPr>
  </w:style>
  <w:style w:type="character" w:customStyle="1" w:styleId="Heading2Char">
    <w:name w:val="Heading 2 Char"/>
    <w:aliases w:val="Chapter Title Char"/>
    <w:basedOn w:val="DefaultParagraphFont"/>
    <w:link w:val="Heading2"/>
    <w:uiPriority w:val="9"/>
    <w:rPr>
      <w:rFonts w:ascii="Times New Roman" w:eastAsia="Times New Roman" w:hAnsi="Times New Roman" w:cs="Times New Roman"/>
      <w:b/>
      <w:smallCaps/>
      <w:spacing w:val="-1"/>
      <w:sz w:val="24"/>
      <w:szCs w:val="24"/>
    </w:rPr>
  </w:style>
  <w:style w:type="character" w:customStyle="1" w:styleId="Heading3Char">
    <w:name w:val="Heading 3 Char"/>
    <w:aliases w:val="Section Char"/>
    <w:basedOn w:val="DefaultParagraphFont"/>
    <w:link w:val="Heading3"/>
    <w:uiPriority w:val="99"/>
    <w:rPr>
      <w:rFonts w:ascii="Times New Roman" w:eastAsiaTheme="majorEastAsia" w:hAnsi="Times New Roman" w:cs="Times New Roman"/>
      <w:b/>
      <w:bCs/>
      <w:spacing w:val="-1"/>
      <w:sz w:val="24"/>
      <w:szCs w:val="24"/>
    </w:rPr>
  </w:style>
  <w:style w:type="character" w:customStyle="1" w:styleId="Heading4Char">
    <w:name w:val="Heading 4 Char"/>
    <w:basedOn w:val="DefaultParagraphFont"/>
    <w:link w:val="Heading4"/>
    <w:rPr>
      <w:rFonts w:ascii="Times New Roman" w:eastAsiaTheme="majorEastAsia" w:hAnsi="Times New Roman" w:cs="Times New Roman"/>
      <w:i/>
      <w:iCs/>
      <w:spacing w:val="-1"/>
      <w:sz w:val="24"/>
      <w:szCs w:val="24"/>
      <w:u w:val="single"/>
    </w:rPr>
  </w:style>
  <w:style w:type="character" w:customStyle="1" w:styleId="Heading5Char">
    <w:name w:val="Heading 5 Char"/>
    <w:basedOn w:val="DefaultParagraphFont"/>
    <w:link w:val="Heading5"/>
    <w:rPr>
      <w:rFonts w:ascii="Times New Roman" w:hAnsi="Times New Roman" w:cs="Times New Roman"/>
      <w:i/>
      <w:iCs/>
      <w:sz w:val="24"/>
      <w:szCs w:val="24"/>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spacing w:val="-1"/>
      <w:sz w:val="24"/>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unhideWhenUsed/>
    <w:rPr>
      <w:sz w:val="16"/>
      <w:szCs w:val="16"/>
    </w:rPr>
  </w:style>
  <w:style w:type="paragraph" w:styleId="CommentText">
    <w:name w:val="annotation text"/>
    <w:aliases w:val="Annotationtext,Comment Text Char1 Char,Comment Text Char Char Char,Kommentartekst,Comment Text Char Char,Char Char1, Char Char Char, Char Char1, Car17, Car17 Car, Char,- H19,Cha,Char,Char Char Char,Comment Text Char Char1,Kommentarer,Car17"/>
    <w:basedOn w:val="Normal"/>
    <w:link w:val="CommentTextChar"/>
    <w:unhideWhenUsed/>
    <w:qFormat/>
    <w:rPr>
      <w:rFonts w:ascii="Cambria" w:hAnsi="Cambria"/>
      <w:sz w:val="20"/>
      <w:szCs w:val="20"/>
    </w:rPr>
  </w:style>
  <w:style w:type="character" w:customStyle="1" w:styleId="CommentTextChar">
    <w:name w:val="Comment Text Char"/>
    <w:aliases w:val="Annotationtext Char,Comment Text Char1 Char Char,Comment Text Char Char Char Char,Kommentartekst Char,Comment Text Char Char Char1,Char Char1 Char, Char Char Char Char, Char Char1 Char, Car17 Char, Car17 Car Char, Char Char,- H19 Char"/>
    <w:basedOn w:val="DefaultParagraphFont"/>
    <w:link w:val="CommentText"/>
    <w:qFormat/>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pPr>
      <w:tabs>
        <w:tab w:val="center" w:pos="4513"/>
        <w:tab w:val="right" w:pos="9026"/>
      </w:tabs>
      <w:spacing w:after="0"/>
    </w:pPr>
    <w:rPr>
      <w:rFonts w:ascii="Cambria" w:hAnsi="Cambria"/>
    </w:rPr>
  </w:style>
  <w:style w:type="character" w:customStyle="1" w:styleId="FooterChar">
    <w:name w:val="Footer Char"/>
    <w:basedOn w:val="DefaultParagraphFont"/>
    <w:link w:val="Footer"/>
    <w:uiPriority w:val="99"/>
    <w:rPr>
      <w:rFonts w:ascii="Cambria" w:hAnsi="Cambria"/>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aliases w:val="wcp_Header,Header_En tete"/>
    <w:basedOn w:val="Normal"/>
    <w:link w:val="HeaderChar"/>
    <w:uiPriority w:val="99"/>
    <w:unhideWhenUsed/>
    <w:pPr>
      <w:tabs>
        <w:tab w:val="center" w:pos="4513"/>
        <w:tab w:val="right" w:pos="9026"/>
      </w:tabs>
      <w:spacing w:after="0"/>
    </w:pPr>
  </w:style>
  <w:style w:type="character" w:customStyle="1" w:styleId="HeaderChar">
    <w:name w:val="Header Char"/>
    <w:aliases w:val="wcp_Header Char,Header_En tete Char"/>
    <w:basedOn w:val="DefaultParagraphFont"/>
    <w:link w:val="Header"/>
    <w:uiPriority w:val="99"/>
  </w:style>
  <w:style w:type="paragraph" w:styleId="TOAHeading">
    <w:name w:val="toa heading"/>
    <w:basedOn w:val="Normal"/>
    <w:next w:val="Normal"/>
    <w:semiHidden/>
    <w:pPr>
      <w:tabs>
        <w:tab w:val="right" w:pos="9360"/>
      </w:tabs>
      <w:suppressAutoHyphens/>
      <w:spacing w:after="240"/>
      <w:jc w:val="both"/>
    </w:pPr>
    <w:rPr>
      <w:rFonts w:ascii="Arial" w:hAnsi="Arial" w:cs="Times New Roman"/>
      <w:szCs w:val="24"/>
      <w:lang w:val="en-US"/>
    </w:rPr>
  </w:style>
  <w:style w:type="paragraph" w:styleId="BodyText2">
    <w:name w:val="Body Text 2"/>
    <w:basedOn w:val="Normal"/>
    <w:link w:val="BodyText2Char"/>
    <w:pPr>
      <w:spacing w:after="240"/>
      <w:jc w:val="both"/>
    </w:pPr>
    <w:rPr>
      <w:rFonts w:cs="Times New Roman"/>
      <w:b/>
      <w:szCs w:val="24"/>
      <w:lang w:val="en-GB"/>
    </w:rPr>
  </w:style>
  <w:style w:type="character" w:customStyle="1" w:styleId="BodyText2Char">
    <w:name w:val="Body Text 2 Char"/>
    <w:basedOn w:val="DefaultParagraphFont"/>
    <w:link w:val="BodyText2"/>
    <w:uiPriority w:val="99"/>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pPr>
      <w:keepNext/>
      <w:spacing w:before="240" w:after="240"/>
      <w:jc w:val="center"/>
      <w:outlineLvl w:val="0"/>
    </w:pPr>
    <w:rPr>
      <w:rFonts w:ascii="Arial" w:hAnsi="Arial" w:cs="Arial"/>
      <w:b/>
      <w:bCs/>
      <w:caps/>
      <w:kern w:val="28"/>
      <w:szCs w:val="32"/>
      <w:lang w:val="en-GB"/>
    </w:rPr>
  </w:style>
  <w:style w:type="character" w:customStyle="1" w:styleId="TitleChar">
    <w:name w:val="Title Char"/>
    <w:basedOn w:val="DefaultParagraphFont"/>
    <w:link w:val="Title"/>
    <w:uiPriority w:val="99"/>
    <w:rPr>
      <w:rFonts w:ascii="Arial" w:eastAsia="Times New Roman" w:hAnsi="Arial" w:cs="Arial"/>
      <w:b/>
      <w:bCs/>
      <w:caps/>
      <w:kern w:val="28"/>
      <w:sz w:val="24"/>
      <w:szCs w:val="32"/>
      <w:lang w:val="en-GB"/>
    </w:rPr>
  </w:style>
  <w:style w:type="paragraph" w:customStyle="1" w:styleId="Appendix">
    <w:name w:val="Appendix"/>
    <w:basedOn w:val="Caption"/>
    <w:next w:val="Normal"/>
    <w:pPr>
      <w:keepNext/>
      <w:numPr>
        <w:numId w:val="2"/>
      </w:numPr>
      <w:spacing w:before="3200" w:after="0"/>
      <w:ind w:left="432" w:hanging="432"/>
      <w:jc w:val="both"/>
    </w:pPr>
    <w:rPr>
      <w:rFonts w:ascii="Arial" w:hAnsi="Arial" w:cs="Times New Roman"/>
      <w:b/>
      <w:bCs/>
      <w:i w:val="0"/>
      <w:iCs w:val="0"/>
      <w:caps/>
      <w:color w:val="auto"/>
      <w:sz w:val="22"/>
      <w:szCs w:val="20"/>
      <w:lang w:val="en-GB"/>
    </w:rPr>
  </w:style>
  <w:style w:type="paragraph" w:styleId="Caption">
    <w:name w:val="caption"/>
    <w:aliases w:val="! Q,Légende Car"/>
    <w:basedOn w:val="Normal"/>
    <w:next w:val="Normal"/>
    <w:link w:val="CaptionChar"/>
    <w:uiPriority w:val="99"/>
    <w:unhideWhenUsed/>
    <w:qFormat/>
    <w:rPr>
      <w:i/>
      <w:iCs/>
      <w:color w:val="1F497D" w:themeColor="text2"/>
      <w:sz w:val="18"/>
      <w:szCs w:val="18"/>
    </w:rPr>
  </w:style>
  <w:style w:type="character" w:customStyle="1" w:styleId="CaptionChar">
    <w:name w:val="Caption Char"/>
    <w:aliases w:val="! Q Char,Légende Car Char"/>
    <w:basedOn w:val="DefaultParagraphFont"/>
    <w:link w:val="Caption"/>
    <w:uiPriority w:val="99"/>
    <w:locked/>
    <w:rPr>
      <w:i/>
      <w:iCs/>
      <w:color w:val="1F497D" w:themeColor="text2"/>
      <w:sz w:val="18"/>
      <w:szCs w:val="18"/>
    </w:rPr>
  </w:style>
  <w:style w:type="paragraph" w:styleId="Subtitle">
    <w:name w:val="Subtitle"/>
    <w:basedOn w:val="Normal"/>
    <w:link w:val="SubtitleChar"/>
    <w:qFormat/>
    <w:pPr>
      <w:spacing w:after="240"/>
      <w:jc w:val="center"/>
    </w:pPr>
    <w:rPr>
      <w:rFonts w:ascii="Arial" w:hAnsi="Arial" w:cs="Times New Roman"/>
      <w:i/>
      <w:iCs/>
      <w:sz w:val="28"/>
      <w:szCs w:val="24"/>
      <w:lang w:val="en-GB"/>
    </w:rPr>
  </w:style>
  <w:style w:type="character" w:customStyle="1" w:styleId="SubtitleChar">
    <w:name w:val="Subtitle Char"/>
    <w:basedOn w:val="DefaultParagraphFont"/>
    <w:link w:val="Subtitle"/>
    <w:rPr>
      <w:rFonts w:ascii="Arial" w:eastAsia="Times New Roman" w:hAnsi="Arial" w:cs="Times New Roman"/>
      <w:i/>
      <w:iCs/>
      <w:sz w:val="28"/>
      <w:szCs w:val="24"/>
      <w:lang w:val="en-GB"/>
    </w:rPr>
  </w:style>
  <w:style w:type="character" w:styleId="Strong">
    <w:name w:val="Strong"/>
    <w:uiPriority w:val="22"/>
    <w:qFormat/>
    <w:rPr>
      <w:b/>
      <w:bCs/>
    </w:rPr>
  </w:style>
  <w:style w:type="paragraph" w:styleId="NormalIndent">
    <w:name w:val="Normal Indent"/>
    <w:basedOn w:val="Normal"/>
    <w:pPr>
      <w:ind w:left="720"/>
    </w:pPr>
    <w:rPr>
      <w:rFonts w:cs="Times New Roman"/>
      <w:szCs w:val="20"/>
      <w:lang w:val="en-GB" w:eastAsia="en-GB"/>
    </w:rPr>
  </w:style>
  <w:style w:type="paragraph" w:customStyle="1" w:styleId="EMEAEnBodyText">
    <w:name w:val="EMEA En Body Text"/>
    <w:basedOn w:val="Normal"/>
    <w:pPr>
      <w:autoSpaceDE w:val="0"/>
      <w:autoSpaceDN w:val="0"/>
      <w:adjustRightInd w:val="0"/>
      <w:spacing w:after="0"/>
    </w:pPr>
    <w:rPr>
      <w:rFonts w:cs="Times New Roman"/>
      <w:noProof/>
      <w:lang w:val="en-US"/>
    </w:rPr>
  </w:style>
  <w:style w:type="paragraph" w:customStyle="1" w:styleId="TableText">
    <w:name w:val="TableText"/>
    <w:uiPriority w:val="99"/>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tyle>
  <w:style w:type="paragraph" w:styleId="BodyText">
    <w:name w:val="Body Text"/>
    <w:basedOn w:val="Normal"/>
    <w:link w:val="BodyTextChar"/>
    <w:uiPriority w:val="99"/>
    <w:unhideWhenUsed/>
  </w:style>
  <w:style w:type="character" w:customStyle="1" w:styleId="BodyTextChar">
    <w:name w:val="Body Text Char"/>
    <w:basedOn w:val="DefaultParagraphFont"/>
    <w:link w:val="BodyText"/>
    <w:uiPriority w:val="99"/>
  </w:style>
  <w:style w:type="paragraph" w:styleId="BodyTextIndent">
    <w:name w:val="Body Text Indent"/>
    <w:basedOn w:val="Normal"/>
    <w:link w:val="BodyTextIndentChar"/>
    <w:pPr>
      <w:spacing w:after="0"/>
      <w:ind w:left="90"/>
      <w:jc w:val="both"/>
    </w:pPr>
    <w:rPr>
      <w:rFonts w:cs="Times New Roman"/>
      <w:szCs w:val="20"/>
      <w:lang w:val="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lang w:val="en-US"/>
    </w:rPr>
  </w:style>
  <w:style w:type="paragraph" w:styleId="BodyText3">
    <w:name w:val="Body Text 3"/>
    <w:basedOn w:val="Normal"/>
    <w:link w:val="BodyText3Char"/>
    <w:pPr>
      <w:spacing w:after="0"/>
    </w:pPr>
    <w:rPr>
      <w:rFonts w:cs="Times New Roman"/>
      <w:color w:val="0000FF"/>
      <w:szCs w:val="20"/>
      <w:lang w:val="en-US"/>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rPr>
      <w:rFonts w:ascii="Times New Roman" w:eastAsia="Times New Roman" w:hAnsi="Times New Roman" w:cs="Times New Roman"/>
      <w:sz w:val="18"/>
      <w:szCs w:val="20"/>
      <w:lang w:val="en-GB"/>
    </w:rPr>
  </w:style>
  <w:style w:type="paragraph" w:styleId="EndnoteText">
    <w:name w:val="endnote text"/>
    <w:basedOn w:val="Normal"/>
    <w:link w:val="EndnoteTextChar"/>
    <w:pPr>
      <w:widowControl w:val="0"/>
      <w:tabs>
        <w:tab w:val="left" w:pos="567"/>
      </w:tabs>
      <w:spacing w:after="0"/>
    </w:pPr>
    <w:rPr>
      <w:rFonts w:cs="Times New Roman"/>
      <w:sz w:val="18"/>
      <w:szCs w:val="20"/>
      <w:lang w:val="en-GB"/>
    </w:rPr>
  </w:style>
  <w:style w:type="character" w:customStyle="1" w:styleId="DocumentMapChar">
    <w:name w:val="Document Map Char"/>
    <w:basedOn w:val="DefaultParagraphFont"/>
    <w:link w:val="DocumentMap"/>
    <w:uiPriority w:val="99"/>
    <w:semiHidden/>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pPr>
      <w:shd w:val="clear" w:color="auto" w:fill="000080"/>
      <w:spacing w:after="0"/>
    </w:pPr>
    <w:rPr>
      <w:rFonts w:ascii="Tahoma" w:hAnsi="Tahoma" w:cs="Tahoma"/>
      <w:sz w:val="20"/>
      <w:szCs w:val="20"/>
      <w:lang w:val="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pPr>
      <w:spacing w:after="0"/>
    </w:pPr>
    <w:rPr>
      <w:rFonts w:ascii="Times New Roman" w:hAnsi="Times New Roman" w:cs="Times New Roman"/>
      <w:b/>
      <w:bCs/>
      <w:lang w:val="en-US"/>
    </w:rPr>
  </w:style>
  <w:style w:type="character" w:customStyle="1" w:styleId="st1">
    <w:name w:val="st1"/>
    <w:basedOn w:val="DefaultParagraphFont"/>
    <w:uiPriority w:val="99"/>
    <w:rPr>
      <w:rFonts w:cs="Times New Roman"/>
    </w:rPr>
  </w:style>
  <w:style w:type="paragraph" w:styleId="ListNumber">
    <w:name w:val="List Number"/>
    <w:basedOn w:val="Normal"/>
    <w:uiPriority w:val="99"/>
    <w:pPr>
      <w:numPr>
        <w:numId w:val="3"/>
      </w:numPr>
      <w:jc w:val="both"/>
    </w:pPr>
    <w:rPr>
      <w:rFonts w:ascii="Arial" w:hAnsi="Arial" w:cs="Times New Roman"/>
      <w:szCs w:val="24"/>
      <w:lang w:val="en-GB"/>
    </w:rPr>
  </w:style>
  <w:style w:type="paragraph" w:customStyle="1" w:styleId="Table">
    <w:name w:val="Table"/>
    <w:basedOn w:val="Normal"/>
    <w:link w:val="TableChar"/>
    <w:uiPriority w:val="99"/>
    <w:pPr>
      <w:spacing w:before="40" w:after="40"/>
    </w:pPr>
    <w:rPr>
      <w:rFonts w:cs="Times New Roman"/>
      <w:sz w:val="20"/>
      <w:szCs w:val="24"/>
      <w:lang w:val="en-US"/>
    </w:rPr>
  </w:style>
  <w:style w:type="character" w:customStyle="1" w:styleId="TableChar">
    <w:name w:val="Table Char"/>
    <w:basedOn w:val="DefaultParagraphFont"/>
    <w:link w:val="Table"/>
    <w:uiPriority w:val="99"/>
    <w:locked/>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pPr>
      <w:spacing w:after="0"/>
    </w:pPr>
    <w:rPr>
      <w:rFonts w:cs="Times New Roman"/>
      <w:sz w:val="20"/>
      <w:szCs w:val="20"/>
      <w:lang w:val="en-GB"/>
    </w:rPr>
  </w:style>
  <w:style w:type="character" w:customStyle="1" w:styleId="TableFootnotesChar">
    <w:name w:val="Table Footnotes Char"/>
    <w:basedOn w:val="DefaultParagraphFont"/>
    <w:link w:val="TableFootnotes"/>
    <w:uiPriority w:val="99"/>
    <w:locke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Pr>
      <w:b/>
      <w:sz w:val="24"/>
      <w:lang w:val="en-US" w:eastAsia="en-US"/>
    </w:rPr>
  </w:style>
  <w:style w:type="paragraph" w:customStyle="1" w:styleId="Formatvorlage1">
    <w:name w:val="Formatvorlage1"/>
    <w:basedOn w:val="Normal"/>
    <w:pPr>
      <w:overflowPunct w:val="0"/>
      <w:autoSpaceDE w:val="0"/>
      <w:autoSpaceDN w:val="0"/>
      <w:adjustRightInd w:val="0"/>
      <w:spacing w:after="0"/>
      <w:textAlignment w:val="baseline"/>
    </w:pPr>
    <w:rPr>
      <w:rFonts w:ascii="Tms Rmn" w:hAnsi="Tms Rmn" w:cs="Times New Roman"/>
      <w:szCs w:val="20"/>
    </w:rPr>
  </w:style>
  <w:style w:type="paragraph" w:customStyle="1" w:styleId="Text">
    <w:name w:val="Text"/>
    <w:basedOn w:val="Normal"/>
    <w:pPr>
      <w:overflowPunct w:val="0"/>
      <w:autoSpaceDE w:val="0"/>
      <w:autoSpaceDN w:val="0"/>
      <w:adjustRightInd w:val="0"/>
      <w:spacing w:after="60" w:line="160" w:lineRule="atLeast"/>
      <w:jc w:val="both"/>
      <w:textAlignment w:val="baseline"/>
    </w:pPr>
    <w:rPr>
      <w:rFonts w:ascii="Helvetica" w:hAnsi="Helvetica" w:cs="Times New Roman"/>
      <w:color w:val="000000"/>
      <w:sz w:val="16"/>
      <w:szCs w:val="20"/>
    </w:rPr>
  </w:style>
  <w:style w:type="paragraph" w:customStyle="1" w:styleId="DocText">
    <w:name w:val="Doc Text"/>
    <w:basedOn w:val="Normal"/>
    <w:link w:val="DocTextChar"/>
    <w:uiPriority w:val="99"/>
    <w:qFormat/>
    <w:pPr>
      <w:spacing w:after="240" w:line="288" w:lineRule="auto"/>
    </w:pPr>
    <w:rPr>
      <w:rFonts w:eastAsia="Batang" w:cs="Times New Roman"/>
      <w:szCs w:val="24"/>
    </w:rPr>
  </w:style>
  <w:style w:type="character" w:customStyle="1" w:styleId="DocTextChar">
    <w:name w:val="Doc Text Char"/>
    <w:link w:val="DocText"/>
    <w:rPr>
      <w:rFonts w:ascii="Times New Roman" w:eastAsia="Batang" w:hAnsi="Times New Roman" w:cs="Times New Roman"/>
      <w:sz w:val="24"/>
      <w:szCs w:val="24"/>
    </w:rPr>
  </w:style>
  <w:style w:type="paragraph" w:customStyle="1" w:styleId="MandatoryInformation">
    <w:name w:val="Mandatory Information"/>
    <w:basedOn w:val="Normal"/>
    <w:pPr>
      <w:spacing w:after="240" w:line="288" w:lineRule="auto"/>
    </w:pPr>
    <w:rPr>
      <w:rFonts w:eastAsia="Batang" w:cs="Times New Roman"/>
      <w:b/>
      <w:szCs w:val="24"/>
    </w:rPr>
  </w:style>
  <w:style w:type="paragraph" w:customStyle="1" w:styleId="TableTextCenter">
    <w:name w:val="Table Text Center"/>
    <w:basedOn w:val="Normal"/>
    <w:pPr>
      <w:spacing w:before="60" w:after="60"/>
      <w:jc w:val="center"/>
    </w:pPr>
    <w:rPr>
      <w:rFonts w:cs="Times New Roman"/>
      <w:sz w:val="20"/>
      <w:szCs w:val="24"/>
    </w:rPr>
  </w:style>
  <w:style w:type="paragraph" w:customStyle="1" w:styleId="Formatvorlage2">
    <w:name w:val="Formatvorlage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360" w:lineRule="auto"/>
      <w:textAlignment w:val="baseline"/>
    </w:pPr>
    <w:rPr>
      <w:rFonts w:ascii="Arial" w:hAnsi="Arial" w:cs="Times New Roman"/>
      <w:color w:val="000000"/>
      <w:szCs w:val="20"/>
    </w:rPr>
  </w:style>
  <w:style w:type="character" w:styleId="EndnoteReference">
    <w:name w:val="endnote reference"/>
    <w:basedOn w:val="DefaultParagraphFont"/>
    <w:unhideWhenUsed/>
    <w:rPr>
      <w:vertAlign w:val="superscript"/>
    </w:rPr>
  </w:style>
  <w:style w:type="paragraph" w:customStyle="1" w:styleId="TableText0">
    <w:name w:val="Table Text"/>
    <w:basedOn w:val="Normal"/>
    <w:pPr>
      <w:spacing w:before="60" w:after="60"/>
    </w:pPr>
    <w:rPr>
      <w:rFonts w:cs="Times New Roman"/>
      <w:sz w:val="20"/>
      <w:szCs w:val="24"/>
    </w:rPr>
  </w:style>
  <w:style w:type="paragraph" w:customStyle="1" w:styleId="Optionaltext">
    <w:name w:val="Optional text"/>
    <w:basedOn w:val="Normal"/>
    <w:pPr>
      <w:spacing w:after="240" w:line="288" w:lineRule="auto"/>
    </w:pPr>
    <w:rPr>
      <w:rFonts w:eastAsia="Batang" w:cs="Times New Roman"/>
      <w:bCs/>
      <w:iCs/>
      <w:szCs w:val="24"/>
    </w:rPr>
  </w:style>
  <w:style w:type="paragraph" w:customStyle="1" w:styleId="ListBulleted1">
    <w:name w:val="List Bulleted 1"/>
    <w:basedOn w:val="DocText"/>
    <w:pPr>
      <w:tabs>
        <w:tab w:val="left" w:pos="720"/>
      </w:tabs>
      <w:spacing w:after="20"/>
      <w:ind w:left="720" w:hanging="288"/>
    </w:pPr>
  </w:style>
  <w:style w:type="paragraph" w:customStyle="1" w:styleId="Heading1NoTOC">
    <w:name w:val="Heading 1 No TOC"/>
    <w:basedOn w:val="Normal"/>
    <w:next w:val="DocText"/>
    <w:pPr>
      <w:keepNext/>
      <w:spacing w:before="240" w:after="240"/>
    </w:pPr>
    <w:rPr>
      <w:rFonts w:cs="Times New Roman"/>
      <w:b/>
      <w:caps/>
      <w:szCs w:val="24"/>
    </w:rPr>
  </w:style>
  <w:style w:type="paragraph" w:customStyle="1" w:styleId="ListBulleted2">
    <w:name w:val="List Bulleted 2"/>
    <w:basedOn w:val="DocText"/>
    <w:pPr>
      <w:tabs>
        <w:tab w:val="left" w:pos="1008"/>
      </w:tabs>
      <w:spacing w:after="20"/>
      <w:ind w:left="1008" w:hanging="288"/>
    </w:pPr>
  </w:style>
  <w:style w:type="paragraph" w:customStyle="1" w:styleId="BodyText21">
    <w:name w:val="Body Text 21"/>
    <w:basedOn w:val="Normal"/>
    <w:pPr>
      <w:widowControl w:val="0"/>
      <w:overflowPunct w:val="0"/>
      <w:autoSpaceDE w:val="0"/>
      <w:autoSpaceDN w:val="0"/>
      <w:adjustRightInd w:val="0"/>
      <w:spacing w:after="0"/>
      <w:ind w:right="-143"/>
      <w:jc w:val="both"/>
      <w:textAlignment w:val="baseline"/>
    </w:pPr>
    <w:rPr>
      <w:rFonts w:ascii="Arial" w:hAnsi="Arial" w:cs="Times New Roman"/>
      <w:szCs w:val="20"/>
    </w:rPr>
  </w:style>
  <w:style w:type="character" w:styleId="Emphasis">
    <w:name w:val="Emphasis"/>
    <w:basedOn w:val="DefaultParagraphFont"/>
    <w:uiPriority w:val="20"/>
    <w:qFormat/>
    <w:rPr>
      <w:i/>
      <w:iCs/>
    </w:rPr>
  </w:style>
  <w:style w:type="paragraph" w:customStyle="1" w:styleId="CCDSRecommendedText">
    <w:name w:val="CCDS Recommended Text"/>
    <w:basedOn w:val="Normal"/>
    <w:qFormat/>
    <w:pPr>
      <w:spacing w:line="288" w:lineRule="auto"/>
    </w:pPr>
    <w:rPr>
      <w:rFonts w:eastAsia="Batang" w:cs="Times New Roman"/>
      <w:bCs/>
      <w:iCs/>
      <w:szCs w:val="24"/>
    </w:rPr>
  </w:style>
  <w:style w:type="paragraph" w:customStyle="1" w:styleId="CCDSADRTblColHdr8">
    <w:name w:val="CCDS ADR Tbl Col Hdr 8"/>
    <w:basedOn w:val="Normal"/>
    <w:qFormat/>
    <w:pPr>
      <w:keepNext/>
      <w:tabs>
        <w:tab w:val="left" w:pos="854"/>
      </w:tabs>
      <w:spacing w:before="60" w:after="60" w:line="252" w:lineRule="auto"/>
      <w:jc w:val="center"/>
    </w:pPr>
    <w:rPr>
      <w:rFonts w:ascii="Arial" w:hAnsi="Arial" w:cs="Arial"/>
      <w:b/>
      <w:bCs/>
      <w:sz w:val="16"/>
      <w:szCs w:val="16"/>
    </w:rPr>
  </w:style>
  <w:style w:type="paragraph" w:customStyle="1" w:styleId="CCDSTableText10Cntrd">
    <w:name w:val="CCDS Table Text 10 Cntrd"/>
    <w:basedOn w:val="Normal"/>
    <w:qFormat/>
    <w:pPr>
      <w:spacing w:before="60" w:after="60"/>
      <w:jc w:val="center"/>
    </w:pPr>
    <w:rPr>
      <w:rFonts w:cs="Times New Roman"/>
      <w:sz w:val="20"/>
      <w:szCs w:val="24"/>
    </w:rPr>
  </w:style>
  <w:style w:type="paragraph" w:customStyle="1" w:styleId="CCDSADRTableTextCentered8">
    <w:name w:val="CCDS ADR Table Text Centered 8"/>
    <w:basedOn w:val="TableTextCenter"/>
    <w:qFormat/>
    <w:rPr>
      <w:sz w:val="16"/>
    </w:rPr>
  </w:style>
  <w:style w:type="paragraph" w:customStyle="1" w:styleId="TableColumnHeading">
    <w:name w:val="Table Column Heading"/>
    <w:basedOn w:val="Normal"/>
    <w:pPr>
      <w:keepNext/>
      <w:spacing w:before="60" w:after="60"/>
      <w:jc w:val="center"/>
    </w:pPr>
    <w:rPr>
      <w:rFonts w:cs="Times New Roman"/>
      <w:b/>
      <w:sz w:val="20"/>
      <w:szCs w:val="24"/>
    </w:rPr>
  </w:style>
  <w:style w:type="paragraph" w:customStyle="1" w:styleId="CCDSADRTblTxtLftJust8">
    <w:name w:val="CCDS ADR Tbl Txt Lft Just 8"/>
    <w:basedOn w:val="CCDSADRTableTextCentered8"/>
    <w:qFormat/>
    <w:pPr>
      <w:jc w:val="left"/>
    </w:pPr>
  </w:style>
  <w:style w:type="paragraph" w:styleId="NormalWeb">
    <w:name w:val="Normal (Web)"/>
    <w:basedOn w:val="Normal"/>
    <w:unhideWhenUsed/>
    <w:pPr>
      <w:spacing w:before="100" w:beforeAutospacing="1" w:after="100" w:afterAutospacing="1"/>
    </w:pPr>
    <w:rPr>
      <w:rFonts w:cs="Times New Roman"/>
      <w:szCs w:val="24"/>
    </w:rPr>
  </w:style>
  <w:style w:type="paragraph" w:customStyle="1" w:styleId="CCDSTableText10">
    <w:name w:val="CCDS Table Text 10"/>
    <w:basedOn w:val="Normal"/>
    <w:qFormat/>
    <w:pPr>
      <w:spacing w:before="60" w:after="60"/>
    </w:pPr>
    <w:rPr>
      <w:rFonts w:cs="Times New Roman"/>
      <w:sz w:val="20"/>
      <w:szCs w:val="24"/>
    </w:rPr>
  </w:style>
  <w:style w:type="paragraph" w:customStyle="1" w:styleId="CCDSSecondarySubheader">
    <w:name w:val="CCDS Secondary Subheader"/>
    <w:basedOn w:val="Normal"/>
    <w:qFormat/>
    <w:pPr>
      <w:keepNext/>
      <w:spacing w:line="288" w:lineRule="auto"/>
    </w:pPr>
    <w:rPr>
      <w:rFonts w:eastAsia="Batang" w:cs="Times New Roman"/>
      <w:bCs/>
      <w:iCs/>
      <w:szCs w:val="24"/>
      <w:u w:val="single"/>
    </w:rPr>
  </w:style>
  <w:style w:type="paragraph" w:customStyle="1" w:styleId="CCDSSubheader">
    <w:name w:val="CCDS Subheader"/>
    <w:basedOn w:val="CCDSRecommendedText"/>
    <w:pPr>
      <w:keepNext/>
    </w:pPr>
    <w:rPr>
      <w:b/>
      <w:u w:val="single"/>
    </w:rPr>
  </w:style>
  <w:style w:type="paragraph" w:customStyle="1" w:styleId="CCDSTableFootnote9">
    <w:name w:val="CCDS Table Footnote 9"/>
    <w:basedOn w:val="Normal"/>
    <w:qFormat/>
    <w:pPr>
      <w:spacing w:after="0"/>
      <w:ind w:left="720" w:hanging="153"/>
    </w:pPr>
    <w:rPr>
      <w:rFonts w:eastAsia="Batang" w:cs="Times New Roman"/>
      <w:sz w:val="18"/>
      <w:szCs w:val="18"/>
    </w:rPr>
  </w:style>
  <w:style w:type="paragraph" w:customStyle="1" w:styleId="Caption8">
    <w:name w:val="Caption8"/>
    <w:basedOn w:val="Caption"/>
    <w:next w:val="DocText"/>
    <w:pPr>
      <w:keepNext/>
      <w:jc w:val="center"/>
    </w:pPr>
    <w:rPr>
      <w:rFonts w:cs="Times New Roman"/>
      <w:b/>
      <w:bCs/>
      <w:i w:val="0"/>
      <w:iCs w:val="0"/>
      <w:color w:val="auto"/>
      <w:sz w:val="24"/>
      <w:szCs w:val="20"/>
    </w:rPr>
  </w:style>
  <w:style w:type="paragraph" w:customStyle="1" w:styleId="Legend">
    <w:name w:val="Legend"/>
    <w:next w:val="Normal"/>
    <w:uiPriority w:val="99"/>
    <w:pPr>
      <w:spacing w:before="20" w:after="300" w:line="240" w:lineRule="auto"/>
      <w:ind w:left="360" w:hanging="360"/>
    </w:pPr>
    <w:rPr>
      <w:rFonts w:ascii="Times New Roman" w:eastAsia="SimSun" w:hAnsi="Times New Roman" w:cs="Times New Roman"/>
      <w:sz w:val="20"/>
      <w:szCs w:val="20"/>
      <w:lang w:val="en-US"/>
    </w:rPr>
  </w:style>
  <w:style w:type="paragraph" w:customStyle="1" w:styleId="CCDSMandatoryInformation">
    <w:name w:val="CCDS Mandatory Information"/>
    <w:basedOn w:val="Normal"/>
    <w:pPr>
      <w:spacing w:after="0" w:line="288" w:lineRule="auto"/>
    </w:pPr>
    <w:rPr>
      <w:rFonts w:eastAsia="Batang" w:cs="Times New Roman"/>
      <w:b/>
      <w:szCs w:val="24"/>
      <w:lang w:val="en-US"/>
    </w:rPr>
  </w:style>
  <w:style w:type="paragraph" w:customStyle="1" w:styleId="CCDSMandatoryInformationbullet">
    <w:name w:val="CCDS Mandatory Information bullet"/>
    <w:basedOn w:val="Normal"/>
    <w:pPr>
      <w:numPr>
        <w:numId w:val="4"/>
      </w:numPr>
      <w:tabs>
        <w:tab w:val="left" w:pos="936"/>
      </w:tabs>
      <w:spacing w:after="0" w:line="288" w:lineRule="auto"/>
    </w:pPr>
    <w:rPr>
      <w:rFonts w:eastAsia="Batang" w:cs="Times New Roman"/>
      <w:b/>
      <w:szCs w:val="24"/>
      <w:lang w:val="en-US"/>
    </w:rPr>
  </w:style>
  <w:style w:type="character" w:customStyle="1" w:styleId="apple-style-span">
    <w:name w:val="apple-style-span"/>
    <w:basedOn w:val="DefaultParagraphFont"/>
  </w:style>
  <w:style w:type="paragraph" w:customStyle="1" w:styleId="C-BodyText">
    <w:name w:val="C-Body Text"/>
    <w:pPr>
      <w:spacing w:before="180" w:after="120" w:line="280" w:lineRule="atLeast"/>
    </w:pPr>
    <w:rPr>
      <w:rFonts w:ascii="Times New Roman" w:eastAsia="Times New Roman" w:hAnsi="Times New Roman" w:cs="Times New Roman"/>
      <w:sz w:val="24"/>
      <w:szCs w:val="20"/>
      <w:lang w:val="en-US"/>
    </w:rPr>
  </w:style>
  <w:style w:type="paragraph" w:customStyle="1" w:styleId="StyleC-Footnote">
    <w:name w:val="Style C-Footnote +"/>
    <w:basedOn w:val="Normal"/>
    <w:pPr>
      <w:tabs>
        <w:tab w:val="left" w:pos="144"/>
      </w:tabs>
      <w:spacing w:after="0"/>
    </w:pPr>
    <w:rPr>
      <w:rFonts w:cs="Arial"/>
      <w:sz w:val="20"/>
      <w:szCs w:val="20"/>
      <w:lang w:val="en-US"/>
    </w:rPr>
  </w:style>
  <w:style w:type="character" w:customStyle="1" w:styleId="xbe">
    <w:name w:val="_xbe"/>
    <w:basedOn w:val="DefaultParagraphFont"/>
  </w:style>
  <w:style w:type="paragraph" w:customStyle="1" w:styleId="C-Heading1nopagebreak">
    <w:name w:val="C-Heading 1 (no page break"/>
    <w:aliases w:val="non-numbered)"/>
    <w:basedOn w:val="Normal"/>
    <w:next w:val="C-BodyText"/>
    <w:pPr>
      <w:keepNext/>
      <w:tabs>
        <w:tab w:val="left" w:pos="1080"/>
      </w:tabs>
      <w:spacing w:before="480"/>
      <w:ind w:left="1080" w:hanging="1080"/>
      <w:outlineLvl w:val="0"/>
    </w:pPr>
    <w:rPr>
      <w:rFonts w:cs="Times New Roman"/>
      <w:b/>
      <w:caps/>
      <w:sz w:val="28"/>
      <w:szCs w:val="20"/>
      <w:lang w:val="en-US"/>
    </w:rPr>
  </w:style>
  <w:style w:type="paragraph" w:customStyle="1" w:styleId="C-Footnote">
    <w:name w:val="C-Footnote"/>
    <w:basedOn w:val="Normal"/>
    <w:qFormat/>
    <w:pPr>
      <w:tabs>
        <w:tab w:val="left" w:pos="144"/>
      </w:tabs>
      <w:spacing w:after="0"/>
    </w:pPr>
    <w:rPr>
      <w:rFonts w:cs="Arial"/>
      <w:sz w:val="20"/>
      <w:szCs w:val="20"/>
      <w:lang w:val="en-US"/>
    </w:rPr>
  </w:style>
  <w:style w:type="paragraph" w:customStyle="1" w:styleId="TableLeft">
    <w:name w:val="Table Left"/>
    <w:pPr>
      <w:spacing w:after="60" w:line="240" w:lineRule="auto"/>
    </w:pPr>
    <w:rPr>
      <w:rFonts w:ascii="Times New Roman" w:eastAsia="Times New Roman" w:hAnsi="Times New Roman" w:cs="Arial"/>
      <w:bCs/>
      <w:kern w:val="32"/>
      <w:sz w:val="24"/>
      <w:szCs w:val="24"/>
      <w:lang w:val="en-US"/>
    </w:rPr>
  </w:style>
  <w:style w:type="table" w:customStyle="1" w:styleId="TableGrid1">
    <w:name w:val="Table Grid1"/>
    <w:basedOn w:val="TableNormal"/>
    <w:next w:val="TableGrid"/>
    <w:uiPriority w:val="59"/>
    <w:pPr>
      <w:spacing w:after="0" w:line="240" w:lineRule="auto"/>
      <w:ind w:left="714" w:hanging="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b/>
      <w:bCs/>
      <w:sz w:val="24"/>
      <w:szCs w:val="24"/>
    </w:rPr>
  </w:style>
  <w:style w:type="paragraph" w:styleId="BodyTextIndent3">
    <w:name w:val="Body Text Indent 3"/>
    <w:basedOn w:val="Normal"/>
    <w:link w:val="BodyTextIndent3Char"/>
    <w:semiHidden/>
    <w:pPr>
      <w:spacing w:after="0"/>
      <w:ind w:left="1620" w:hanging="900"/>
    </w:pPr>
    <w:rPr>
      <w:rFonts w:cs="Times New Roman"/>
      <w:b/>
      <w:bCs/>
      <w:szCs w:val="24"/>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Cs w:val="24"/>
    </w:rPr>
  </w:style>
  <w:style w:type="paragraph" w:styleId="BodyTextIndent2">
    <w:name w:val="Body Text Indent 2"/>
    <w:basedOn w:val="Normal"/>
    <w:link w:val="BodyTextIndent2Char"/>
    <w:semiHidden/>
    <w:pPr>
      <w:spacing w:after="0"/>
      <w:ind w:left="72" w:hanging="72"/>
    </w:pPr>
    <w:rPr>
      <w:rFonts w:cs="Times New Roman"/>
      <w:szCs w:val="24"/>
    </w:rPr>
  </w:style>
  <w:style w:type="paragraph" w:customStyle="1" w:styleId="CM1">
    <w:name w:val="CM1"/>
    <w:basedOn w:val="Default"/>
    <w:next w:val="Default"/>
    <w:pPr>
      <w:widowControl w:val="0"/>
      <w:spacing w:line="176" w:lineRule="atLeast"/>
    </w:pPr>
    <w:rPr>
      <w:rFonts w:ascii="Helvetica Linotype" w:eastAsia="Helvetica Linotype" w:hAnsi="Calibri" w:cs="Times New Roman"/>
      <w:color w:val="auto"/>
      <w:lang w:val="en-AU" w:eastAsia="zh-CN"/>
    </w:rPr>
  </w:style>
  <w:style w:type="paragraph" w:customStyle="1" w:styleId="CM33">
    <w:name w:val="CM33"/>
    <w:basedOn w:val="Default"/>
    <w:next w:val="Default"/>
    <w:pPr>
      <w:widowControl w:val="0"/>
      <w:spacing w:after="143"/>
    </w:pPr>
    <w:rPr>
      <w:rFonts w:ascii="Helvetica Linotype" w:eastAsia="Helvetica Linotype" w:hAnsi="Calibri" w:cs="Times New Roman"/>
      <w:color w:val="auto"/>
      <w:lang w:val="en-AU" w:eastAsia="zh-CN"/>
    </w:rPr>
  </w:style>
  <w:style w:type="paragraph" w:customStyle="1" w:styleId="Footnote">
    <w:name w:val="Footnote"/>
    <w:basedOn w:val="Normal"/>
    <w:uiPriority w:val="99"/>
    <w:pPr>
      <w:keepLines/>
      <w:tabs>
        <w:tab w:val="left" w:pos="288"/>
      </w:tabs>
      <w:spacing w:after="0"/>
      <w:ind w:left="288" w:hanging="288"/>
    </w:pPr>
    <w:rPr>
      <w:rFonts w:cs="Times New Roman"/>
      <w:sz w:val="20"/>
      <w:szCs w:val="20"/>
    </w:rPr>
  </w:style>
  <w:style w:type="paragraph" w:customStyle="1" w:styleId="TableHeadings">
    <w:name w:val="Table Headings"/>
    <w:basedOn w:val="Normal"/>
    <w:pPr>
      <w:keepNext/>
      <w:tabs>
        <w:tab w:val="left" w:pos="720"/>
      </w:tabs>
      <w:spacing w:before="20" w:after="20" w:line="288" w:lineRule="auto"/>
      <w:jc w:val="center"/>
    </w:pPr>
    <w:rPr>
      <w:rFonts w:cs="Times New Roman"/>
      <w:b/>
      <w:sz w:val="20"/>
      <w:szCs w:val="20"/>
    </w:rPr>
  </w:style>
  <w:style w:type="paragraph" w:customStyle="1" w:styleId="Caption4">
    <w:name w:val="Caption4"/>
    <w:basedOn w:val="Caption"/>
    <w:next w:val="DocText"/>
    <w:pPr>
      <w:keepNext/>
      <w:jc w:val="center"/>
    </w:pPr>
    <w:rPr>
      <w:rFonts w:cs="Times New Roman"/>
      <w:b/>
      <w:bCs/>
      <w:i w:val="0"/>
      <w:iCs w:val="0"/>
      <w:color w:val="auto"/>
      <w:sz w:val="24"/>
      <w:szCs w:val="20"/>
    </w:rPr>
  </w:style>
  <w:style w:type="paragraph" w:customStyle="1" w:styleId="TableParagraph">
    <w:name w:val="Table Paragraph"/>
    <w:basedOn w:val="Normal"/>
    <w:uiPriority w:val="1"/>
    <w:qFormat/>
    <w:pPr>
      <w:autoSpaceDE w:val="0"/>
      <w:autoSpaceDN w:val="0"/>
      <w:adjustRightInd w:val="0"/>
      <w:spacing w:after="0"/>
    </w:pPr>
    <w:rPr>
      <w:rFonts w:cs="Arial"/>
      <w:szCs w:val="24"/>
      <w:lang w:eastAsia="en-AU"/>
    </w:rPr>
  </w:style>
  <w:style w:type="character" w:customStyle="1" w:styleId="a">
    <w:name w:val="À&quot;À"/>
  </w:style>
  <w:style w:type="paragraph" w:customStyle="1" w:styleId="NormalPIheadings">
    <w:name w:val="Normal PI headings"/>
    <w:basedOn w:val="Normal"/>
    <w:qFormat/>
    <w:pPr>
      <w:spacing w:after="0"/>
      <w:jc w:val="both"/>
    </w:pPr>
    <w:rPr>
      <w:rFonts w:cs="Times New Roman"/>
      <w:b/>
      <w:sz w:val="28"/>
      <w:szCs w:val="24"/>
    </w:rPr>
  </w:style>
  <w:style w:type="character" w:customStyle="1" w:styleId="PlainTextChar">
    <w:name w:val="Plain Text Char"/>
    <w:basedOn w:val="DefaultParagraphFont"/>
    <w:link w:val="PlainText"/>
    <w:uiPriority w:val="99"/>
    <w:semiHidden/>
    <w:rPr>
      <w:rFonts w:ascii="Consolas" w:eastAsia="Times New Roman" w:hAnsi="Consolas" w:cs="Consolas"/>
      <w:sz w:val="21"/>
      <w:szCs w:val="21"/>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A5">
    <w:name w:val="A5"/>
    <w:uiPriority w:val="99"/>
    <w:rPr>
      <w:rFonts w:cs="Frutiger 47LightCn"/>
      <w:color w:val="000000"/>
      <w:sz w:val="12"/>
      <w:szCs w:val="12"/>
    </w:rPr>
  </w:style>
  <w:style w:type="character" w:customStyle="1" w:styleId="italics5">
    <w:name w:val="italics5"/>
    <w:rPr>
      <w:i/>
      <w:iCs/>
    </w:rPr>
  </w:style>
  <w:style w:type="character" w:customStyle="1" w:styleId="bold4">
    <w:name w:val="bold4"/>
    <w:rPr>
      <w:b/>
      <w:bCs/>
      <w:i w:val="0"/>
      <w:iCs w:val="0"/>
    </w:rPr>
  </w:style>
  <w:style w:type="paragraph" w:customStyle="1" w:styleId="WPDefaults">
    <w:name w:val="WP Defaults"/>
    <w:uiPriority w:val="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SimSun" w:hAnsi="Chicago" w:cs="Times New Roman"/>
      <w:sz w:val="24"/>
      <w:szCs w:val="20"/>
      <w:lang w:val="en-US"/>
    </w:rPr>
  </w:style>
  <w:style w:type="paragraph" w:customStyle="1" w:styleId="BulletList">
    <w:name w:val="Bullet List"/>
    <w:basedOn w:val="Normal"/>
    <w:uiPriority w:val="99"/>
    <w:pPr>
      <w:numPr>
        <w:numId w:val="7"/>
      </w:numPr>
      <w:spacing w:line="480" w:lineRule="auto"/>
      <w:jc w:val="both"/>
    </w:pPr>
    <w:rPr>
      <w:rFonts w:eastAsia="SimSun" w:cs="Times New Roman"/>
      <w:szCs w:val="24"/>
      <w:lang w:val="en-US"/>
    </w:rPr>
  </w:style>
  <w:style w:type="paragraph" w:customStyle="1" w:styleId="Pa13">
    <w:name w:val="Pa13"/>
    <w:basedOn w:val="Default"/>
    <w:next w:val="Default"/>
    <w:uiPriority w:val="99"/>
    <w:pPr>
      <w:spacing w:line="125" w:lineRule="atLeast"/>
    </w:pPr>
    <w:rPr>
      <w:rFonts w:ascii="HelveticaNeue Condensed" w:eastAsia="SimSun" w:hAnsi="HelveticaNeue Condensed" w:cs="Times New Roman"/>
      <w:color w:val="auto"/>
      <w:lang w:val="en-US" w:eastAsia="en-AU"/>
    </w:rPr>
  </w:style>
  <w:style w:type="character" w:customStyle="1" w:styleId="A4">
    <w:name w:val="A4"/>
    <w:uiPriority w:val="99"/>
    <w:rPr>
      <w:rFonts w:cs="HelveticaNeue Condensed"/>
      <w:b/>
      <w:bCs/>
      <w:color w:val="000000"/>
      <w:sz w:val="14"/>
      <w:szCs w:val="14"/>
    </w:rPr>
  </w:style>
  <w:style w:type="paragraph" w:styleId="TOC4">
    <w:name w:val="toc 4"/>
    <w:basedOn w:val="Normal"/>
    <w:next w:val="Normal"/>
    <w:autoRedefine/>
    <w:uiPriority w:val="99"/>
    <w:semiHidden/>
    <w:pPr>
      <w:tabs>
        <w:tab w:val="right" w:leader="dot" w:pos="8626"/>
      </w:tabs>
      <w:spacing w:after="0"/>
      <w:ind w:left="1454" w:hanging="720"/>
    </w:pPr>
    <w:rPr>
      <w:rFonts w:cs="Times New Roman"/>
      <w:b/>
      <w:noProof/>
      <w:szCs w:val="24"/>
      <w:lang w:val="en-US"/>
    </w:rPr>
  </w:style>
  <w:style w:type="paragraph" w:customStyle="1" w:styleId="Reference">
    <w:name w:val="Reference"/>
    <w:basedOn w:val="Normal"/>
    <w:uiPriority w:val="99"/>
    <w:pPr>
      <w:keepLines/>
      <w:numPr>
        <w:numId w:val="8"/>
      </w:numPr>
      <w:spacing w:after="240" w:line="288" w:lineRule="auto"/>
    </w:pPr>
    <w:rPr>
      <w:rFonts w:cs="Times New Roman"/>
      <w:szCs w:val="24"/>
      <w:lang w:val="en-US"/>
    </w:rPr>
  </w:style>
  <w:style w:type="paragraph" w:styleId="Revision">
    <w:name w:val="Revision"/>
    <w:hidden/>
    <w:uiPriority w:val="99"/>
    <w:semiHidden/>
    <w:pPr>
      <w:spacing w:after="0" w:line="240" w:lineRule="auto"/>
    </w:pPr>
    <w:rPr>
      <w:lang w:val="en-US"/>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lang w:val="en-GB" w:eastAsia="en-GB"/>
    </w:rPr>
  </w:style>
  <w:style w:type="paragraph" w:customStyle="1" w:styleId="BodyText12">
    <w:name w:val="BodyText12"/>
    <w:pPr>
      <w:spacing w:line="300" w:lineRule="auto"/>
      <w:ind w:left="850"/>
      <w:jc w:val="both"/>
    </w:pPr>
    <w:rPr>
      <w:rFonts w:ascii="Times New Roman" w:eastAsia="Times New Roman" w:hAnsi="Times New Roman" w:cs="Times New Roman"/>
      <w:sz w:val="24"/>
      <w:szCs w:val="20"/>
      <w:lang w:val="en-US"/>
    </w:rPr>
  </w:style>
  <w:style w:type="paragraph" w:customStyle="1" w:styleId="ParagraphStandard">
    <w:name w:val="Paragraph Standard"/>
    <w:basedOn w:val="Normal"/>
    <w:pPr>
      <w:jc w:val="both"/>
    </w:pPr>
    <w:rPr>
      <w:rFonts w:cs="Times New Roman"/>
      <w:szCs w:val="24"/>
      <w:lang w:val="en-US"/>
    </w:rPr>
  </w:style>
  <w:style w:type="character" w:styleId="UnresolvedMention">
    <w:name w:val="Unresolved Mention"/>
    <w:basedOn w:val="DefaultParagraphFont"/>
    <w:uiPriority w:val="99"/>
    <w:unhideWhenUsed/>
    <w:rPr>
      <w:color w:val="605E5C"/>
      <w:shd w:val="clear" w:color="auto" w:fill="E1DFDD"/>
    </w:rPr>
  </w:style>
  <w:style w:type="paragraph" w:customStyle="1" w:styleId="PIHeading1">
    <w:name w:val="PI Heading 1"/>
    <w:basedOn w:val="Heading2"/>
    <w:link w:val="PIHeading1Char"/>
    <w:pPr>
      <w:keepNext/>
      <w:keepLines/>
      <w:ind w:left="0" w:firstLine="0"/>
    </w:pPr>
    <w:rPr>
      <w:rFonts w:ascii="Arial" w:hAnsi="Arial"/>
      <w:smallCaps w:val="0"/>
      <w:szCs w:val="20"/>
      <w:lang w:val="en-US"/>
    </w:rPr>
  </w:style>
  <w:style w:type="character" w:customStyle="1" w:styleId="PIHeading1Char">
    <w:name w:val="PI Heading 1 Char"/>
    <w:link w:val="PIHeading1"/>
    <w:rPr>
      <w:rFonts w:ascii="Arial" w:eastAsia="Times New Roman" w:hAnsi="Arial" w:cs="Times New Roman"/>
      <w:b/>
      <w:sz w:val="24"/>
      <w:szCs w:val="20"/>
      <w:lang w:val="en-US"/>
    </w:rPr>
  </w:style>
  <w:style w:type="paragraph" w:customStyle="1" w:styleId="CCDSBodytext">
    <w:name w:val="CCDS Body text"/>
    <w:basedOn w:val="Normal"/>
    <w:qFormat/>
    <w:pPr>
      <w:spacing w:before="0" w:after="0" w:line="360" w:lineRule="auto"/>
    </w:pPr>
    <w:rPr>
      <w:rFonts w:cs="Times New Roman"/>
      <w:szCs w:val="24"/>
      <w:lang w:val="en-GB"/>
    </w:rPr>
  </w:style>
  <w:style w:type="paragraph" w:customStyle="1" w:styleId="CaptionTable">
    <w:name w:val="Caption Table"/>
    <w:basedOn w:val="Caption"/>
    <w:next w:val="CCDSBodytext"/>
    <w:pPr>
      <w:keepNext/>
      <w:widowControl w:val="0"/>
      <w:spacing w:after="0" w:line="360" w:lineRule="exact"/>
      <w:ind w:left="1008" w:hanging="1008"/>
    </w:pPr>
    <w:rPr>
      <w:rFonts w:eastAsiaTheme="minorEastAsia" w:cs="Times New Roman"/>
      <w:b/>
      <w:bCs/>
      <w:i w:val="0"/>
      <w:iCs w:val="0"/>
      <w:color w:val="auto"/>
      <w:sz w:val="22"/>
      <w:szCs w:val="20"/>
      <w:lang w:val="en-US" w:eastAsia="ja-JP"/>
    </w:rPr>
  </w:style>
  <w:style w:type="paragraph" w:customStyle="1" w:styleId="BulletsText">
    <w:name w:val="Bullets Text"/>
    <w:basedOn w:val="Normal"/>
    <w:pPr>
      <w:numPr>
        <w:numId w:val="24"/>
      </w:numPr>
      <w:spacing w:after="240"/>
    </w:pPr>
    <w:rPr>
      <w:rFonts w:ascii="Arial" w:hAnsi="Arial" w:cs="Times New Roman"/>
      <w:szCs w:val="20"/>
      <w:lang w:val="en-US"/>
    </w:rPr>
  </w:style>
  <w:style w:type="table" w:customStyle="1" w:styleId="TableGrid2">
    <w:name w:val="Table Grid2"/>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4">
    <w:name w:val="Table Grid4"/>
    <w:basedOn w:val="TableNormal"/>
    <w:next w:val="TableGrid"/>
    <w:uiPriority w:val="59"/>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1DFDD"/>
    </w:rPr>
  </w:style>
  <w:style w:type="paragraph" w:customStyle="1" w:styleId="Blacktriangle">
    <w:name w:val="Black triangle"/>
    <w:basedOn w:val="Normal"/>
    <w:qFormat/>
    <w:pPr>
      <w:tabs>
        <w:tab w:val="left" w:pos="284"/>
      </w:tabs>
      <w:spacing w:after="480"/>
    </w:pPr>
    <w:rPr>
      <w:rFonts w:asciiTheme="majorHAnsi" w:hAnsiTheme="majorHAnsi"/>
    </w:rPr>
  </w:style>
  <w:style w:type="paragraph" w:customStyle="1" w:styleId="MainHeading">
    <w:name w:val="Main Heading"/>
    <w:basedOn w:val="Heading1"/>
    <w:qFormat/>
    <w:pPr>
      <w:numPr>
        <w:numId w:val="0"/>
      </w:numPr>
      <w:spacing w:before="0"/>
      <w:jc w:val="center"/>
    </w:pPr>
    <w:rPr>
      <w:rFonts w:ascii="Times New Roman" w:hAnsi="Times New Roman" w:cs="Times New Roman"/>
      <w:bCs w:val="0"/>
      <w:caps w:val="0"/>
      <w:sz w:val="24"/>
      <w:szCs w:val="24"/>
    </w:rPr>
  </w:style>
  <w:style w:type="paragraph" w:customStyle="1" w:styleId="Tabletitle">
    <w:name w:val="Table title"/>
    <w:basedOn w:val="CCDSBodytext"/>
    <w:qFormat/>
    <w:pPr>
      <w:spacing w:before="60" w:after="60" w:line="240" w:lineRule="auto"/>
    </w:pPr>
    <w:rPr>
      <w:b/>
      <w:bCs/>
    </w:rPr>
  </w:style>
  <w:style w:type="paragraph" w:customStyle="1" w:styleId="Tabletext1">
    <w:name w:val="Table text"/>
    <w:basedOn w:val="Normal"/>
    <w:qFormat/>
    <w:pPr>
      <w:spacing w:before="0" w:after="0"/>
    </w:pPr>
    <w:rPr>
      <w:rFonts w:eastAsia="Calibri"/>
      <w:lang w:val="en-US"/>
    </w:rPr>
  </w:style>
  <w:style w:type="paragraph" w:customStyle="1" w:styleId="PIHeading2">
    <w:name w:val="PI Heading 2"/>
    <w:basedOn w:val="PIHeading1"/>
    <w:link w:val="PIHeading2Char"/>
    <w:pPr>
      <w:spacing w:after="120"/>
    </w:pPr>
    <w:rPr>
      <w:spacing w:val="0"/>
    </w:rPr>
  </w:style>
  <w:style w:type="character" w:customStyle="1" w:styleId="PIHeading2Char">
    <w:name w:val="PI Heading 2 Char"/>
    <w:link w:val="PIHeading2"/>
    <w:rPr>
      <w:rFonts w:ascii="Arial" w:eastAsia="Times New Roman" w:hAnsi="Arial" w:cs="Times New Roman"/>
      <w:b/>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93422">
      <w:bodyDiv w:val="1"/>
      <w:marLeft w:val="0"/>
      <w:marRight w:val="0"/>
      <w:marTop w:val="0"/>
      <w:marBottom w:val="0"/>
      <w:divBdr>
        <w:top w:val="none" w:sz="0" w:space="0" w:color="auto"/>
        <w:left w:val="none" w:sz="0" w:space="0" w:color="auto"/>
        <w:bottom w:val="none" w:sz="0" w:space="0" w:color="auto"/>
        <w:right w:val="none" w:sz="0" w:space="0" w:color="auto"/>
      </w:divBdr>
    </w:div>
    <w:div w:id="172453699">
      <w:bodyDiv w:val="1"/>
      <w:marLeft w:val="0"/>
      <w:marRight w:val="0"/>
      <w:marTop w:val="0"/>
      <w:marBottom w:val="0"/>
      <w:divBdr>
        <w:top w:val="none" w:sz="0" w:space="0" w:color="auto"/>
        <w:left w:val="none" w:sz="0" w:space="0" w:color="auto"/>
        <w:bottom w:val="none" w:sz="0" w:space="0" w:color="auto"/>
        <w:right w:val="none" w:sz="0" w:space="0" w:color="auto"/>
      </w:divBdr>
    </w:div>
    <w:div w:id="1568489605">
      <w:bodyDiv w:val="1"/>
      <w:marLeft w:val="0"/>
      <w:marRight w:val="0"/>
      <w:marTop w:val="0"/>
      <w:marBottom w:val="0"/>
      <w:divBdr>
        <w:top w:val="none" w:sz="0" w:space="0" w:color="auto"/>
        <w:left w:val="none" w:sz="0" w:space="0" w:color="auto"/>
        <w:bottom w:val="none" w:sz="0" w:space="0" w:color="auto"/>
        <w:right w:val="none" w:sz="0" w:space="0" w:color="auto"/>
      </w:divBdr>
    </w:div>
    <w:div w:id="1598370575">
      <w:bodyDiv w:val="1"/>
      <w:marLeft w:val="0"/>
      <w:marRight w:val="0"/>
      <w:marTop w:val="0"/>
      <w:marBottom w:val="0"/>
      <w:divBdr>
        <w:top w:val="none" w:sz="0" w:space="0" w:color="auto"/>
        <w:left w:val="none" w:sz="0" w:space="0" w:color="auto"/>
        <w:bottom w:val="none" w:sz="0" w:space="0" w:color="auto"/>
        <w:right w:val="none" w:sz="0" w:space="0" w:color="auto"/>
      </w:divBdr>
    </w:div>
    <w:div w:id="1711148242">
      <w:bodyDiv w:val="1"/>
      <w:marLeft w:val="0"/>
      <w:marRight w:val="0"/>
      <w:marTop w:val="0"/>
      <w:marBottom w:val="0"/>
      <w:divBdr>
        <w:top w:val="none" w:sz="0" w:space="0" w:color="auto"/>
        <w:left w:val="none" w:sz="0" w:space="0" w:color="auto"/>
        <w:bottom w:val="none" w:sz="0" w:space="0" w:color="auto"/>
        <w:right w:val="none" w:sz="0" w:space="0" w:color="auto"/>
      </w:divBdr>
    </w:div>
    <w:div w:id="1896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keda.com/en-a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48E3F1F909946A75C1B536427FDD2" ma:contentTypeVersion="6" ma:contentTypeDescription="Create a new document." ma:contentTypeScope="" ma:versionID="72867542e20512541375d41f9c8b91e7">
  <xsd:schema xmlns:xsd="http://www.w3.org/2001/XMLSchema" xmlns:xs="http://www.w3.org/2001/XMLSchema" xmlns:p="http://schemas.microsoft.com/office/2006/metadata/properties" xmlns:ns2="38da122b-9c2c-447d-869e-740440fecbe8" xmlns:ns3="dd867b7c-1128-4d62-97ed-8b62113d9838" targetNamespace="http://schemas.microsoft.com/office/2006/metadata/properties" ma:root="true" ma:fieldsID="fabd86377f3164b82a3f172040a26438" ns2:_="" ns3:_="">
    <xsd:import namespace="38da122b-9c2c-447d-869e-740440fecbe8"/>
    <xsd:import namespace="dd867b7c-1128-4d62-97ed-8b62113d98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a122b-9c2c-447d-869e-740440fec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867b7c-1128-4d62-97ed-8b62113d98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867b7c-1128-4d62-97ed-8b62113d9838">
      <UserInfo>
        <DisplayName>Vincent, Sylvie</DisplayName>
        <AccountId>59</AccountId>
        <AccountType/>
      </UserInfo>
      <UserInfo>
        <DisplayName>Yu, Ziji</DisplayName>
        <AccountId>24</AccountId>
        <AccountType/>
      </UserInfo>
    </SharedWithUsers>
  </documentManagement>
</p:properties>
</file>

<file path=customXml/itemProps1.xml><?xml version="1.0" encoding="utf-8"?>
<ds:datastoreItem xmlns:ds="http://schemas.openxmlformats.org/officeDocument/2006/customXml" ds:itemID="{81A60CED-F44E-4E16-BF42-FD0ED8035BB3}">
  <ds:schemaRefs>
    <ds:schemaRef ds:uri="http://schemas.openxmlformats.org/officeDocument/2006/bibliography"/>
  </ds:schemaRefs>
</ds:datastoreItem>
</file>

<file path=customXml/itemProps2.xml><?xml version="1.0" encoding="utf-8"?>
<ds:datastoreItem xmlns:ds="http://schemas.openxmlformats.org/officeDocument/2006/customXml" ds:itemID="{2233F700-919C-4BC9-9221-A2C678626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a122b-9c2c-447d-869e-740440fecbe8"/>
    <ds:schemaRef ds:uri="dd867b7c-1128-4d62-97ed-8b62113d9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9C0025-2FC3-4929-A814-38AB82C93D4B}">
  <ds:schemaRefs>
    <ds:schemaRef ds:uri="http://schemas.microsoft.com/sharepoint/v3/contenttype/forms"/>
  </ds:schemaRefs>
</ds:datastoreItem>
</file>

<file path=customXml/itemProps4.xml><?xml version="1.0" encoding="utf-8"?>
<ds:datastoreItem xmlns:ds="http://schemas.openxmlformats.org/officeDocument/2006/customXml" ds:itemID="{DD402B87-AB7C-4851-8526-F09C6B2C46A2}">
  <ds:schemaRefs>
    <ds:schemaRef ds:uri="http://schemas.microsoft.com/office/2006/metadata/properties"/>
    <ds:schemaRef ds:uri="http://schemas.microsoft.com/office/infopath/2007/PartnerControls"/>
    <ds:schemaRef ds:uri="dd867b7c-1128-4d62-97ed-8b62113d9838"/>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6158</Words>
  <Characters>34736</Characters>
  <Application>Microsoft Office Word</Application>
  <DocSecurity>0</DocSecurity>
  <Lines>964</Lines>
  <Paragraphs>584</Paragraphs>
  <ScaleCrop>false</ScaleCrop>
  <HeadingPairs>
    <vt:vector size="2" baseType="variant">
      <vt:variant>
        <vt:lpstr>Title</vt:lpstr>
      </vt:variant>
      <vt:variant>
        <vt:i4>1</vt:i4>
      </vt:variant>
    </vt:vector>
  </HeadingPairs>
  <TitlesOfParts>
    <vt:vector size="1" baseType="lpstr">
      <vt:lpstr>AusPAR Attachment 1: Product Information for Exkivity</vt:lpstr>
    </vt:vector>
  </TitlesOfParts>
  <Company/>
  <LinksUpToDate>false</LinksUpToDate>
  <CharactersWithSpaces>40310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Exkivity</dc:title>
  <dc:subject/>
  <dc:creator/>
  <cp:keywords/>
  <cp:lastModifiedBy>PITKIN, Brendan</cp:lastModifiedBy>
  <cp:revision>5</cp:revision>
  <cp:lastPrinted>2017-09-05T08:25:00Z</cp:lastPrinted>
  <dcterms:created xsi:type="dcterms:W3CDTF">2023-04-27T04:16:00Z</dcterms:created>
  <dcterms:modified xsi:type="dcterms:W3CDTF">2023-05-11T06:02:00Z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0x010100DAC48E3F1F909946A75C1B536427FDD2</vt:lpwstr>
  </property>
</Properties>
</file>