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08AE1D54" w14:textId="77777777" w:rsidTr="00346EC2">
        <w:trPr>
          <w:trHeight w:val="1558"/>
        </w:trPr>
        <w:tc>
          <w:tcPr>
            <w:tcW w:w="8720" w:type="dxa"/>
          </w:tcPr>
          <w:p w14:paraId="2538A211" w14:textId="1B767577" w:rsidR="00F02AEC" w:rsidRPr="00215D48" w:rsidRDefault="00346EC2" w:rsidP="00EA3C32">
            <w:pPr>
              <w:pStyle w:val="Title"/>
            </w:pPr>
            <w:r w:rsidRPr="00346EC2">
              <w:t xml:space="preserve">Australian Public Assessment Report for </w:t>
            </w:r>
            <w:proofErr w:type="spellStart"/>
            <w:r w:rsidR="00272BC1" w:rsidRPr="00272BC1">
              <w:t>A</w:t>
            </w:r>
            <w:r w:rsidR="00272BC1">
              <w:t>rdalicip</w:t>
            </w:r>
            <w:proofErr w:type="spellEnd"/>
            <w:r w:rsidR="00D66D9D">
              <w:t xml:space="preserve"> </w:t>
            </w:r>
            <w:r w:rsidR="00272BC1">
              <w:t>/</w:t>
            </w:r>
            <w:r w:rsidR="00D66D9D">
              <w:t xml:space="preserve"> </w:t>
            </w:r>
            <w:proofErr w:type="spellStart"/>
            <w:r w:rsidR="00272BC1">
              <w:t>Ciptunec</w:t>
            </w:r>
            <w:proofErr w:type="spellEnd"/>
          </w:p>
        </w:tc>
      </w:tr>
      <w:tr w:rsidR="00F02AEC" w:rsidRPr="00215D48" w14:paraId="318A40A3" w14:textId="77777777" w:rsidTr="00346EC2">
        <w:trPr>
          <w:trHeight w:val="995"/>
        </w:trPr>
        <w:tc>
          <w:tcPr>
            <w:tcW w:w="8720" w:type="dxa"/>
          </w:tcPr>
          <w:p w14:paraId="1AA7C701" w14:textId="783AB2BC" w:rsidR="00F02AEC" w:rsidRPr="00215D48" w:rsidRDefault="00346EC2" w:rsidP="00EA3C32">
            <w:pPr>
              <w:pStyle w:val="Subtitle"/>
              <w:ind w:left="0"/>
            </w:pPr>
            <w:r w:rsidRPr="00346EC2">
              <w:t xml:space="preserve">Active ingredient: </w:t>
            </w:r>
            <w:r w:rsidR="00272BC1">
              <w:t>a</w:t>
            </w:r>
            <w:r w:rsidR="00272BC1" w:rsidRPr="00272BC1">
              <w:t>dalimumab</w:t>
            </w:r>
          </w:p>
        </w:tc>
      </w:tr>
      <w:tr w:rsidR="00346EC2" w:rsidRPr="00785383" w14:paraId="362CCAE4" w14:textId="77777777" w:rsidTr="006412C5">
        <w:trPr>
          <w:trHeight w:val="1427"/>
        </w:trPr>
        <w:tc>
          <w:tcPr>
            <w:tcW w:w="8720" w:type="dxa"/>
          </w:tcPr>
          <w:p w14:paraId="709C45C0" w14:textId="77AD2102" w:rsidR="00346EC2" w:rsidRPr="00F5628B" w:rsidRDefault="00346EC2" w:rsidP="00EA3C32">
            <w:pPr>
              <w:pStyle w:val="Subtitle"/>
              <w:ind w:left="0"/>
              <w:rPr>
                <w:lang w:val="pt-BR"/>
              </w:rPr>
            </w:pPr>
            <w:r w:rsidRPr="00F5628B">
              <w:rPr>
                <w:lang w:val="pt-BR"/>
              </w:rPr>
              <w:t>Sponsor:</w:t>
            </w:r>
            <w:r w:rsidR="00272BC1" w:rsidRPr="00F5628B">
              <w:rPr>
                <w:lang w:val="pt-BR"/>
              </w:rPr>
              <w:t xml:space="preserve"> Cipla Australia Pty Ltd</w:t>
            </w:r>
          </w:p>
        </w:tc>
      </w:tr>
      <w:tr w:rsidR="00F02AEC" w:rsidRPr="00215D48" w14:paraId="37F2AA1F" w14:textId="77777777" w:rsidTr="006412C5">
        <w:trPr>
          <w:trHeight w:val="80"/>
        </w:trPr>
        <w:tc>
          <w:tcPr>
            <w:tcW w:w="8720" w:type="dxa"/>
          </w:tcPr>
          <w:p w14:paraId="1FDE8DCD" w14:textId="7626C0A4" w:rsidR="00F02AEC" w:rsidRPr="00215D48" w:rsidRDefault="00F5628B" w:rsidP="00EA3C32">
            <w:pPr>
              <w:pStyle w:val="Date"/>
            </w:pPr>
            <w:r>
              <w:t>April</w:t>
            </w:r>
            <w:r w:rsidR="00F02AEC" w:rsidRPr="00215D48">
              <w:t xml:space="preserve"> </w:t>
            </w:r>
            <w:r w:rsidR="00272BC1">
              <w:t>2023</w:t>
            </w:r>
          </w:p>
        </w:tc>
      </w:tr>
    </w:tbl>
    <w:p w14:paraId="73752706" w14:textId="77777777" w:rsidR="00F02AEC" w:rsidRPr="00215D48" w:rsidRDefault="00F02AEC" w:rsidP="00EA3C32">
      <w:pPr>
        <w:pStyle w:val="ListBullet"/>
        <w:numPr>
          <w:ilvl w:val="0"/>
          <w:numId w:val="0"/>
        </w:numPr>
        <w:sectPr w:rsidR="00F02AEC" w:rsidRPr="00215D48" w:rsidSect="00CB0550">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2170A423" w14:textId="77777777" w:rsidR="00346EC2" w:rsidRPr="001F6CBA" w:rsidRDefault="00346EC2" w:rsidP="00346EC2">
      <w:pPr>
        <w:pStyle w:val="NonTOCHeading20"/>
      </w:pPr>
      <w:r w:rsidRPr="001F6CBA">
        <w:lastRenderedPageBreak/>
        <w:t>About the Therapeutic Goods Administration (TGA)</w:t>
      </w:r>
    </w:p>
    <w:p w14:paraId="79558AE9" w14:textId="77777777" w:rsidR="00346EC2" w:rsidRPr="00391B0C" w:rsidRDefault="00346EC2" w:rsidP="0056766D">
      <w:pPr>
        <w:pStyle w:val="ListBullet"/>
      </w:pPr>
      <w:r w:rsidRPr="00391B0C">
        <w:t xml:space="preserve">The Therapeutic Goods Administration (TGA) is part of the Australian Government </w:t>
      </w:r>
      <w:r w:rsidRPr="00C22214">
        <w:t>Department of Health and Aged Care</w:t>
      </w:r>
      <w:r>
        <w:t xml:space="preserve"> </w:t>
      </w:r>
      <w:r w:rsidRPr="00391B0C">
        <w:t>and is responsible for regulating therapeutic goods, including medicines, medical devices, and biologicals.</w:t>
      </w:r>
    </w:p>
    <w:p w14:paraId="61BEFDB6" w14:textId="77777777" w:rsidR="00346EC2" w:rsidRPr="00391B0C" w:rsidRDefault="00346EC2" w:rsidP="00346EC2">
      <w:pPr>
        <w:pStyle w:val="ListBullet"/>
      </w:pPr>
      <w:r w:rsidRPr="00391B0C">
        <w:t xml:space="preserve">The TGA administers the </w:t>
      </w:r>
      <w:r w:rsidRPr="00822FCB">
        <w:rPr>
          <w:i/>
          <w:iCs/>
        </w:rPr>
        <w:t>Therapeutic Goods Act 1989</w:t>
      </w:r>
      <w:r w:rsidRPr="00391B0C">
        <w:t xml:space="preserve"> (the Act), applying a risk management approach designed to ensure therapeutic goods supplied in Australia meet acceptable standards of quality, safety, and efficacy.</w:t>
      </w:r>
    </w:p>
    <w:p w14:paraId="77180CB3" w14:textId="77777777" w:rsidR="00346EC2" w:rsidRPr="003C6D1F" w:rsidRDefault="00346EC2" w:rsidP="00346EC2">
      <w:pPr>
        <w:pStyle w:val="ListBullet"/>
      </w:pPr>
      <w:r w:rsidRPr="003C6D1F">
        <w:t xml:space="preserve">The work of the TGA is based on applying scientific and clinical expertise to decision-making, to ensure that the benefits to </w:t>
      </w:r>
      <w:r>
        <w:t>the Australian public</w:t>
      </w:r>
      <w:r w:rsidRPr="003C6D1F">
        <w:t xml:space="preserve"> outweigh any risks associated with the use of </w:t>
      </w:r>
      <w:r>
        <w:t>therapeutic goods</w:t>
      </w:r>
      <w:r w:rsidRPr="003C6D1F">
        <w:t>.</w:t>
      </w:r>
    </w:p>
    <w:p w14:paraId="70AC2A35" w14:textId="77777777" w:rsidR="00346EC2" w:rsidRPr="003C6D1F" w:rsidRDefault="00346EC2" w:rsidP="00346EC2">
      <w:pPr>
        <w:pStyle w:val="ListBullet"/>
      </w:pPr>
      <w:r w:rsidRPr="003C6D1F">
        <w:t xml:space="preserve">The TGA relies on the public, healthcare professionals and industry to report problems with </w:t>
      </w:r>
      <w:r>
        <w:t>therapeutic goods</w:t>
      </w:r>
      <w:r w:rsidRPr="003C6D1F">
        <w:t>.</w:t>
      </w:r>
      <w:r>
        <w:t xml:space="preserve"> The</w:t>
      </w:r>
      <w:r w:rsidRPr="003C6D1F">
        <w:t xml:space="preserve"> TGA investigates reports received to determine any necessary regulatory action.</w:t>
      </w:r>
    </w:p>
    <w:p w14:paraId="17DC24C6" w14:textId="62877917" w:rsidR="00346EC2" w:rsidRDefault="00346EC2" w:rsidP="00346EC2">
      <w:pPr>
        <w:pStyle w:val="ListBullet"/>
      </w:pPr>
      <w:r w:rsidRPr="003C6D1F">
        <w:t xml:space="preserve">To report a problem with a </w:t>
      </w:r>
      <w:r>
        <w:t>therapeutic good</w:t>
      </w:r>
      <w:r w:rsidRPr="003C6D1F">
        <w:t xml:space="preserve">, please see the information on the </w:t>
      </w:r>
      <w:hyperlink r:id="rId15" w:history="1">
        <w:r w:rsidRPr="000F15B4">
          <w:rPr>
            <w:rStyle w:val="Hyperlink"/>
          </w:rPr>
          <w:t>TGA website</w:t>
        </w:r>
      </w:hyperlink>
      <w:r w:rsidRPr="003C6D1F">
        <w:t>.</w:t>
      </w:r>
    </w:p>
    <w:p w14:paraId="737B7A99" w14:textId="77777777" w:rsidR="00346EC2" w:rsidRDefault="00346EC2" w:rsidP="00346EC2">
      <w:pPr>
        <w:pStyle w:val="NonTOCHeading20"/>
      </w:pPr>
      <w:r>
        <w:t>About AusPARs</w:t>
      </w:r>
    </w:p>
    <w:p w14:paraId="631B2209" w14:textId="023D6191" w:rsidR="00346EC2" w:rsidRPr="003C6D1F" w:rsidRDefault="00346EC2" w:rsidP="00346EC2">
      <w:pPr>
        <w:pStyle w:val="ListBullet"/>
      </w:pPr>
      <w:r>
        <w:t>The</w:t>
      </w:r>
      <w:r w:rsidRPr="003C6D1F">
        <w:t xml:space="preserve"> Australian Public Assessment Report (AusPAR) provides information about the evaluation of a prescription medicine and the considerations that led the TGA to approve or not approve a prescription medicine submission.</w:t>
      </w:r>
      <w:r>
        <w:t xml:space="preserve"> Further information can be found in </w:t>
      </w:r>
      <w:hyperlink r:id="rId16" w:history="1">
        <w:r w:rsidRPr="005A2EB8">
          <w:rPr>
            <w:rStyle w:val="Hyperlink"/>
          </w:rPr>
          <w:t>Australian Public Assessment Report (AusPAR) guidance</w:t>
        </w:r>
      </w:hyperlink>
      <w:r>
        <w:t>.</w:t>
      </w:r>
    </w:p>
    <w:p w14:paraId="22F5A730" w14:textId="77777777" w:rsidR="00346EC2" w:rsidRPr="003C6D1F" w:rsidRDefault="00346EC2" w:rsidP="00346EC2">
      <w:pPr>
        <w:pStyle w:val="ListBullet"/>
      </w:pPr>
      <w:r w:rsidRPr="003C6D1F">
        <w:t>AusPARs are prepared and published by the TGA.</w:t>
      </w:r>
    </w:p>
    <w:p w14:paraId="451B8FD7" w14:textId="77777777" w:rsidR="00346EC2" w:rsidRPr="003C6D1F" w:rsidRDefault="00346EC2" w:rsidP="00346EC2">
      <w:pPr>
        <w:pStyle w:val="ListBullet"/>
      </w:pPr>
      <w:r w:rsidRPr="003C6D1F">
        <w:t>AusPAR</w:t>
      </w:r>
      <w:r>
        <w:t xml:space="preserve">s are </w:t>
      </w:r>
      <w:r w:rsidRPr="003C6D1F">
        <w:t>static document</w:t>
      </w:r>
      <w:r>
        <w:t xml:space="preserve">s that </w:t>
      </w:r>
      <w:r w:rsidRPr="003C6D1F">
        <w:t>provide information that relates to a submission at a particular point in time.</w:t>
      </w:r>
      <w:r>
        <w:t xml:space="preserve"> The publication of an AusPAR is an important part of the transparency of the TGA’s decision-making process.</w:t>
      </w:r>
    </w:p>
    <w:p w14:paraId="4D69F5CF" w14:textId="77777777" w:rsidR="00346EC2" w:rsidRPr="003C6D1F" w:rsidRDefault="00346EC2" w:rsidP="00346EC2">
      <w:pPr>
        <w:pStyle w:val="ListBullet"/>
      </w:pPr>
      <w:r w:rsidRPr="003C6D1F">
        <w:t xml:space="preserve">A new AusPAR </w:t>
      </w:r>
      <w:r>
        <w:t xml:space="preserve">may be provided </w:t>
      </w:r>
      <w:r w:rsidRPr="003C6D1F">
        <w:t>to reflect changes to indications or major variations to a prescription medicine subject to evaluation by the TGA.</w:t>
      </w:r>
    </w:p>
    <w:p w14:paraId="7067011F" w14:textId="510D5C5C" w:rsidR="00F02AEC" w:rsidRPr="00E1198B" w:rsidRDefault="00F02AEC" w:rsidP="00272BC1">
      <w:pPr>
        <w:pStyle w:val="LegalSubheading"/>
        <w:spacing w:before="3840"/>
      </w:pPr>
      <w:r w:rsidRPr="00BA0DFC">
        <w:t>Copyright</w:t>
      </w:r>
    </w:p>
    <w:p w14:paraId="170A8A5D" w14:textId="07D4B4F9" w:rsidR="00175CD8" w:rsidRPr="00346EC2" w:rsidRDefault="00F02AEC" w:rsidP="00346EC2">
      <w:pPr>
        <w:pStyle w:val="LegalCopy"/>
        <w:rPr>
          <w:rFonts w:cs="Arial"/>
        </w:rPr>
      </w:pPr>
      <w:r w:rsidRPr="00215D48">
        <w:rPr>
          <w:rFonts w:cs="Arial"/>
        </w:rPr>
        <w:t>© Commonwealth of Australia 20</w:t>
      </w:r>
      <w:r>
        <w:rPr>
          <w:rFonts w:cs="Arial"/>
        </w:rPr>
        <w:t>2</w:t>
      </w:r>
      <w:r w:rsidR="00D66D9D">
        <w:rPr>
          <w:rFonts w:cs="Arial"/>
        </w:rPr>
        <w:t>3</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w:t>
      </w:r>
      <w:proofErr w:type="gramStart"/>
      <w:r w:rsidRPr="00215D48">
        <w:rPr>
          <w:rFonts w:cs="Arial"/>
        </w:rPr>
        <w:t>reserved</w:t>
      </w:r>
      <w:proofErr w:type="gramEnd"/>
      <w:r w:rsidRPr="00215D48">
        <w:rPr>
          <w:rFonts w:cs="Arial"/>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7" w:history="1">
        <w:r w:rsidRPr="00215D48">
          <w:rPr>
            <w:rStyle w:val="Hyperlink"/>
            <w:rFonts w:cs="Arial"/>
          </w:rPr>
          <w:t>tga.copyright@tga.gov.au</w:t>
        </w:r>
      </w:hyperlink>
      <w:r w:rsidRPr="00215D48">
        <w:rPr>
          <w:rFonts w:cs="Arial"/>
        </w:rPr>
        <w:t>&gt;.</w:t>
      </w:r>
    </w:p>
    <w:sdt>
      <w:sdtPr>
        <w:rPr>
          <w:rFonts w:ascii="Cambria" w:eastAsiaTheme="minorHAnsi" w:hAnsi="Cambria" w:cstheme="minorBidi"/>
          <w:b w:val="0"/>
          <w:color w:val="auto"/>
          <w:sz w:val="22"/>
          <w:szCs w:val="22"/>
          <w:shd w:val="clear" w:color="auto" w:fill="E6E6E6"/>
        </w:rPr>
        <w:id w:val="21514769"/>
        <w:docPartObj>
          <w:docPartGallery w:val="Table of Contents"/>
          <w:docPartUnique/>
        </w:docPartObj>
      </w:sdtPr>
      <w:sdtEndPr>
        <w:rPr>
          <w:szCs w:val="20"/>
        </w:rPr>
      </w:sdtEndPr>
      <w:sdtContent>
        <w:p w14:paraId="0A6ADA2B" w14:textId="77777777" w:rsidR="00F02AEC" w:rsidRPr="00215D48" w:rsidRDefault="00F02AEC" w:rsidP="00EA3C32">
          <w:pPr>
            <w:pStyle w:val="NonTOCheading2"/>
          </w:pPr>
          <w:r w:rsidRPr="00215D48">
            <w:t>Contents</w:t>
          </w:r>
        </w:p>
        <w:p w14:paraId="2E6F26D6" w14:textId="71597D23" w:rsidR="00DE7A9B" w:rsidRDefault="00F02AEC">
          <w:pPr>
            <w:pStyle w:val="TOC1"/>
            <w:rPr>
              <w:rFonts w:asciiTheme="minorHAnsi" w:eastAsiaTheme="minorEastAsia" w:hAnsiTheme="minorHAnsi" w:cstheme="minorBidi"/>
              <w:b w:val="0"/>
              <w:noProof/>
              <w:color w:val="auto"/>
              <w:sz w:val="22"/>
              <w:szCs w:val="22"/>
              <w:lang w:eastAsia="en-AU"/>
            </w:rPr>
          </w:pPr>
          <w:r w:rsidRPr="00215D48">
            <w:rPr>
              <w:color w:val="2B579A"/>
              <w:shd w:val="clear" w:color="auto" w:fill="E6E6E6"/>
            </w:rPr>
            <w:fldChar w:fldCharType="begin"/>
          </w:r>
          <w:r w:rsidRPr="00215D48">
            <w:instrText xml:space="preserve"> TOC \h \z \u \t "Heading 2,1,Heading 3,2,Heading 4,3" </w:instrText>
          </w:r>
          <w:r w:rsidRPr="00215D48">
            <w:rPr>
              <w:color w:val="2B579A"/>
              <w:shd w:val="clear" w:color="auto" w:fill="E6E6E6"/>
            </w:rPr>
            <w:fldChar w:fldCharType="separate"/>
          </w:r>
          <w:hyperlink w:anchor="_Toc133478203" w:history="1">
            <w:r w:rsidR="00DE7A9B" w:rsidRPr="00CE1035">
              <w:rPr>
                <w:rStyle w:val="Hyperlink"/>
                <w:noProof/>
              </w:rPr>
              <w:t>List of abbreviations</w:t>
            </w:r>
            <w:r w:rsidR="00DE7A9B">
              <w:rPr>
                <w:noProof/>
                <w:webHidden/>
              </w:rPr>
              <w:tab/>
            </w:r>
            <w:r w:rsidR="00DE7A9B">
              <w:rPr>
                <w:noProof/>
                <w:webHidden/>
              </w:rPr>
              <w:fldChar w:fldCharType="begin"/>
            </w:r>
            <w:r w:rsidR="00DE7A9B">
              <w:rPr>
                <w:noProof/>
                <w:webHidden/>
              </w:rPr>
              <w:instrText xml:space="preserve"> PAGEREF _Toc133478203 \h </w:instrText>
            </w:r>
            <w:r w:rsidR="00DE7A9B">
              <w:rPr>
                <w:noProof/>
                <w:webHidden/>
              </w:rPr>
            </w:r>
            <w:r w:rsidR="00DE7A9B">
              <w:rPr>
                <w:noProof/>
                <w:webHidden/>
              </w:rPr>
              <w:fldChar w:fldCharType="separate"/>
            </w:r>
            <w:r w:rsidR="00DE7A9B">
              <w:rPr>
                <w:noProof/>
                <w:webHidden/>
              </w:rPr>
              <w:t>4</w:t>
            </w:r>
            <w:r w:rsidR="00DE7A9B">
              <w:rPr>
                <w:noProof/>
                <w:webHidden/>
              </w:rPr>
              <w:fldChar w:fldCharType="end"/>
            </w:r>
          </w:hyperlink>
        </w:p>
        <w:p w14:paraId="7931A87F" w14:textId="76322C42" w:rsidR="00DE7A9B" w:rsidRDefault="005A7369">
          <w:pPr>
            <w:pStyle w:val="TOC1"/>
            <w:rPr>
              <w:rFonts w:asciiTheme="minorHAnsi" w:eastAsiaTheme="minorEastAsia" w:hAnsiTheme="minorHAnsi" w:cstheme="minorBidi"/>
              <w:b w:val="0"/>
              <w:noProof/>
              <w:color w:val="auto"/>
              <w:sz w:val="22"/>
              <w:szCs w:val="22"/>
              <w:lang w:eastAsia="en-AU"/>
            </w:rPr>
          </w:pPr>
          <w:hyperlink w:anchor="_Toc133478204" w:history="1">
            <w:r w:rsidR="00DE7A9B" w:rsidRPr="00CE1035">
              <w:rPr>
                <w:rStyle w:val="Hyperlink"/>
                <w:noProof/>
              </w:rPr>
              <w:t>Product submission</w:t>
            </w:r>
            <w:r w:rsidR="00DE7A9B">
              <w:rPr>
                <w:noProof/>
                <w:webHidden/>
              </w:rPr>
              <w:tab/>
            </w:r>
            <w:r w:rsidR="00DE7A9B">
              <w:rPr>
                <w:noProof/>
                <w:webHidden/>
              </w:rPr>
              <w:fldChar w:fldCharType="begin"/>
            </w:r>
            <w:r w:rsidR="00DE7A9B">
              <w:rPr>
                <w:noProof/>
                <w:webHidden/>
              </w:rPr>
              <w:instrText xml:space="preserve"> PAGEREF _Toc133478204 \h </w:instrText>
            </w:r>
            <w:r w:rsidR="00DE7A9B">
              <w:rPr>
                <w:noProof/>
                <w:webHidden/>
              </w:rPr>
            </w:r>
            <w:r w:rsidR="00DE7A9B">
              <w:rPr>
                <w:noProof/>
                <w:webHidden/>
              </w:rPr>
              <w:fldChar w:fldCharType="separate"/>
            </w:r>
            <w:r w:rsidR="00DE7A9B">
              <w:rPr>
                <w:noProof/>
                <w:webHidden/>
              </w:rPr>
              <w:t>5</w:t>
            </w:r>
            <w:r w:rsidR="00DE7A9B">
              <w:rPr>
                <w:noProof/>
                <w:webHidden/>
              </w:rPr>
              <w:fldChar w:fldCharType="end"/>
            </w:r>
          </w:hyperlink>
        </w:p>
        <w:p w14:paraId="0119F84B" w14:textId="61F24281"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05" w:history="1">
            <w:r w:rsidR="00DE7A9B" w:rsidRPr="00CE1035">
              <w:rPr>
                <w:rStyle w:val="Hyperlink"/>
                <w:noProof/>
                <w:lang w:eastAsia="en-AU"/>
              </w:rPr>
              <w:t>Submission details</w:t>
            </w:r>
            <w:r w:rsidR="00DE7A9B">
              <w:rPr>
                <w:noProof/>
                <w:webHidden/>
              </w:rPr>
              <w:tab/>
            </w:r>
            <w:r w:rsidR="00DE7A9B">
              <w:rPr>
                <w:noProof/>
                <w:webHidden/>
              </w:rPr>
              <w:fldChar w:fldCharType="begin"/>
            </w:r>
            <w:r w:rsidR="00DE7A9B">
              <w:rPr>
                <w:noProof/>
                <w:webHidden/>
              </w:rPr>
              <w:instrText xml:space="preserve"> PAGEREF _Toc133478205 \h </w:instrText>
            </w:r>
            <w:r w:rsidR="00DE7A9B">
              <w:rPr>
                <w:noProof/>
                <w:webHidden/>
              </w:rPr>
            </w:r>
            <w:r w:rsidR="00DE7A9B">
              <w:rPr>
                <w:noProof/>
                <w:webHidden/>
              </w:rPr>
              <w:fldChar w:fldCharType="separate"/>
            </w:r>
            <w:r w:rsidR="00DE7A9B">
              <w:rPr>
                <w:noProof/>
                <w:webHidden/>
              </w:rPr>
              <w:t>5</w:t>
            </w:r>
            <w:r w:rsidR="00DE7A9B">
              <w:rPr>
                <w:noProof/>
                <w:webHidden/>
              </w:rPr>
              <w:fldChar w:fldCharType="end"/>
            </w:r>
          </w:hyperlink>
        </w:p>
        <w:p w14:paraId="5C56F4F0" w14:textId="775113CB"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06" w:history="1">
            <w:r w:rsidR="00DE7A9B" w:rsidRPr="00CE1035">
              <w:rPr>
                <w:rStyle w:val="Hyperlink"/>
                <w:noProof/>
              </w:rPr>
              <w:t>Product background</w:t>
            </w:r>
            <w:r w:rsidR="00DE7A9B">
              <w:rPr>
                <w:noProof/>
                <w:webHidden/>
              </w:rPr>
              <w:tab/>
            </w:r>
            <w:r w:rsidR="00DE7A9B">
              <w:rPr>
                <w:noProof/>
                <w:webHidden/>
              </w:rPr>
              <w:fldChar w:fldCharType="begin"/>
            </w:r>
            <w:r w:rsidR="00DE7A9B">
              <w:rPr>
                <w:noProof/>
                <w:webHidden/>
              </w:rPr>
              <w:instrText xml:space="preserve"> PAGEREF _Toc133478206 \h </w:instrText>
            </w:r>
            <w:r w:rsidR="00DE7A9B">
              <w:rPr>
                <w:noProof/>
                <w:webHidden/>
              </w:rPr>
            </w:r>
            <w:r w:rsidR="00DE7A9B">
              <w:rPr>
                <w:noProof/>
                <w:webHidden/>
              </w:rPr>
              <w:fldChar w:fldCharType="separate"/>
            </w:r>
            <w:r w:rsidR="00DE7A9B">
              <w:rPr>
                <w:noProof/>
                <w:webHidden/>
              </w:rPr>
              <w:t>8</w:t>
            </w:r>
            <w:r w:rsidR="00DE7A9B">
              <w:rPr>
                <w:noProof/>
                <w:webHidden/>
              </w:rPr>
              <w:fldChar w:fldCharType="end"/>
            </w:r>
          </w:hyperlink>
        </w:p>
        <w:p w14:paraId="0EFF9506" w14:textId="2F3624C9"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07" w:history="1">
            <w:r w:rsidR="00DE7A9B" w:rsidRPr="00CE1035">
              <w:rPr>
                <w:rStyle w:val="Hyperlink"/>
                <w:noProof/>
              </w:rPr>
              <w:t>Regulatory status</w:t>
            </w:r>
            <w:r w:rsidR="00DE7A9B">
              <w:rPr>
                <w:noProof/>
                <w:webHidden/>
              </w:rPr>
              <w:tab/>
            </w:r>
            <w:r w:rsidR="00DE7A9B">
              <w:rPr>
                <w:noProof/>
                <w:webHidden/>
              </w:rPr>
              <w:fldChar w:fldCharType="begin"/>
            </w:r>
            <w:r w:rsidR="00DE7A9B">
              <w:rPr>
                <w:noProof/>
                <w:webHidden/>
              </w:rPr>
              <w:instrText xml:space="preserve"> PAGEREF _Toc133478207 \h </w:instrText>
            </w:r>
            <w:r w:rsidR="00DE7A9B">
              <w:rPr>
                <w:noProof/>
                <w:webHidden/>
              </w:rPr>
            </w:r>
            <w:r w:rsidR="00DE7A9B">
              <w:rPr>
                <w:noProof/>
                <w:webHidden/>
              </w:rPr>
              <w:fldChar w:fldCharType="separate"/>
            </w:r>
            <w:r w:rsidR="00DE7A9B">
              <w:rPr>
                <w:noProof/>
                <w:webHidden/>
              </w:rPr>
              <w:t>9</w:t>
            </w:r>
            <w:r w:rsidR="00DE7A9B">
              <w:rPr>
                <w:noProof/>
                <w:webHidden/>
              </w:rPr>
              <w:fldChar w:fldCharType="end"/>
            </w:r>
          </w:hyperlink>
        </w:p>
        <w:p w14:paraId="7E04D374" w14:textId="73E1BBFF"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08" w:history="1">
            <w:r w:rsidR="00DE7A9B" w:rsidRPr="00CE1035">
              <w:rPr>
                <w:rStyle w:val="Hyperlink"/>
                <w:noProof/>
              </w:rPr>
              <w:t>Product Information</w:t>
            </w:r>
            <w:r w:rsidR="00DE7A9B">
              <w:rPr>
                <w:noProof/>
                <w:webHidden/>
              </w:rPr>
              <w:tab/>
            </w:r>
            <w:r w:rsidR="00DE7A9B">
              <w:rPr>
                <w:noProof/>
                <w:webHidden/>
              </w:rPr>
              <w:fldChar w:fldCharType="begin"/>
            </w:r>
            <w:r w:rsidR="00DE7A9B">
              <w:rPr>
                <w:noProof/>
                <w:webHidden/>
              </w:rPr>
              <w:instrText xml:space="preserve"> PAGEREF _Toc133478208 \h </w:instrText>
            </w:r>
            <w:r w:rsidR="00DE7A9B">
              <w:rPr>
                <w:noProof/>
                <w:webHidden/>
              </w:rPr>
            </w:r>
            <w:r w:rsidR="00DE7A9B">
              <w:rPr>
                <w:noProof/>
                <w:webHidden/>
              </w:rPr>
              <w:fldChar w:fldCharType="separate"/>
            </w:r>
            <w:r w:rsidR="00DE7A9B">
              <w:rPr>
                <w:noProof/>
                <w:webHidden/>
              </w:rPr>
              <w:t>11</w:t>
            </w:r>
            <w:r w:rsidR="00DE7A9B">
              <w:rPr>
                <w:noProof/>
                <w:webHidden/>
              </w:rPr>
              <w:fldChar w:fldCharType="end"/>
            </w:r>
          </w:hyperlink>
        </w:p>
        <w:p w14:paraId="1A3105E6" w14:textId="504738DA" w:rsidR="00DE7A9B" w:rsidRDefault="005A7369">
          <w:pPr>
            <w:pStyle w:val="TOC1"/>
            <w:rPr>
              <w:rFonts w:asciiTheme="minorHAnsi" w:eastAsiaTheme="minorEastAsia" w:hAnsiTheme="minorHAnsi" w:cstheme="minorBidi"/>
              <w:b w:val="0"/>
              <w:noProof/>
              <w:color w:val="auto"/>
              <w:sz w:val="22"/>
              <w:szCs w:val="22"/>
              <w:lang w:eastAsia="en-AU"/>
            </w:rPr>
          </w:pPr>
          <w:hyperlink w:anchor="_Toc133478209" w:history="1">
            <w:r w:rsidR="00DE7A9B" w:rsidRPr="00CE1035">
              <w:rPr>
                <w:rStyle w:val="Hyperlink"/>
                <w:noProof/>
              </w:rPr>
              <w:t>Registration timeline</w:t>
            </w:r>
            <w:r w:rsidR="00DE7A9B">
              <w:rPr>
                <w:noProof/>
                <w:webHidden/>
              </w:rPr>
              <w:tab/>
            </w:r>
            <w:r w:rsidR="00DE7A9B">
              <w:rPr>
                <w:noProof/>
                <w:webHidden/>
              </w:rPr>
              <w:fldChar w:fldCharType="begin"/>
            </w:r>
            <w:r w:rsidR="00DE7A9B">
              <w:rPr>
                <w:noProof/>
                <w:webHidden/>
              </w:rPr>
              <w:instrText xml:space="preserve"> PAGEREF _Toc133478209 \h </w:instrText>
            </w:r>
            <w:r w:rsidR="00DE7A9B">
              <w:rPr>
                <w:noProof/>
                <w:webHidden/>
              </w:rPr>
            </w:r>
            <w:r w:rsidR="00DE7A9B">
              <w:rPr>
                <w:noProof/>
                <w:webHidden/>
              </w:rPr>
              <w:fldChar w:fldCharType="separate"/>
            </w:r>
            <w:r w:rsidR="00DE7A9B">
              <w:rPr>
                <w:noProof/>
                <w:webHidden/>
              </w:rPr>
              <w:t>11</w:t>
            </w:r>
            <w:r w:rsidR="00DE7A9B">
              <w:rPr>
                <w:noProof/>
                <w:webHidden/>
              </w:rPr>
              <w:fldChar w:fldCharType="end"/>
            </w:r>
          </w:hyperlink>
        </w:p>
        <w:p w14:paraId="65BC0CAA" w14:textId="074AF062" w:rsidR="00DE7A9B" w:rsidRDefault="005A7369">
          <w:pPr>
            <w:pStyle w:val="TOC1"/>
            <w:rPr>
              <w:rFonts w:asciiTheme="minorHAnsi" w:eastAsiaTheme="minorEastAsia" w:hAnsiTheme="minorHAnsi" w:cstheme="minorBidi"/>
              <w:b w:val="0"/>
              <w:noProof/>
              <w:color w:val="auto"/>
              <w:sz w:val="22"/>
              <w:szCs w:val="22"/>
              <w:lang w:eastAsia="en-AU"/>
            </w:rPr>
          </w:pPr>
          <w:hyperlink w:anchor="_Toc133478210" w:history="1">
            <w:r w:rsidR="00DE7A9B" w:rsidRPr="00CE1035">
              <w:rPr>
                <w:rStyle w:val="Hyperlink"/>
                <w:noProof/>
              </w:rPr>
              <w:t>Submission overview and risk/benefit assessment</w:t>
            </w:r>
            <w:r w:rsidR="00DE7A9B">
              <w:rPr>
                <w:noProof/>
                <w:webHidden/>
              </w:rPr>
              <w:tab/>
            </w:r>
            <w:r w:rsidR="00DE7A9B">
              <w:rPr>
                <w:noProof/>
                <w:webHidden/>
              </w:rPr>
              <w:fldChar w:fldCharType="begin"/>
            </w:r>
            <w:r w:rsidR="00DE7A9B">
              <w:rPr>
                <w:noProof/>
                <w:webHidden/>
              </w:rPr>
              <w:instrText xml:space="preserve"> PAGEREF _Toc133478210 \h </w:instrText>
            </w:r>
            <w:r w:rsidR="00DE7A9B">
              <w:rPr>
                <w:noProof/>
                <w:webHidden/>
              </w:rPr>
            </w:r>
            <w:r w:rsidR="00DE7A9B">
              <w:rPr>
                <w:noProof/>
                <w:webHidden/>
              </w:rPr>
              <w:fldChar w:fldCharType="separate"/>
            </w:r>
            <w:r w:rsidR="00DE7A9B">
              <w:rPr>
                <w:noProof/>
                <w:webHidden/>
              </w:rPr>
              <w:t>12</w:t>
            </w:r>
            <w:r w:rsidR="00DE7A9B">
              <w:rPr>
                <w:noProof/>
                <w:webHidden/>
              </w:rPr>
              <w:fldChar w:fldCharType="end"/>
            </w:r>
          </w:hyperlink>
        </w:p>
        <w:p w14:paraId="7A3EB3DD" w14:textId="2CE0F762"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11" w:history="1">
            <w:r w:rsidR="00DE7A9B" w:rsidRPr="00CE1035">
              <w:rPr>
                <w:rStyle w:val="Hyperlink"/>
                <w:noProof/>
              </w:rPr>
              <w:t>Quality</w:t>
            </w:r>
            <w:r w:rsidR="00DE7A9B">
              <w:rPr>
                <w:noProof/>
                <w:webHidden/>
              </w:rPr>
              <w:tab/>
            </w:r>
            <w:r w:rsidR="00DE7A9B">
              <w:rPr>
                <w:noProof/>
                <w:webHidden/>
              </w:rPr>
              <w:fldChar w:fldCharType="begin"/>
            </w:r>
            <w:r w:rsidR="00DE7A9B">
              <w:rPr>
                <w:noProof/>
                <w:webHidden/>
              </w:rPr>
              <w:instrText xml:space="preserve"> PAGEREF _Toc133478211 \h </w:instrText>
            </w:r>
            <w:r w:rsidR="00DE7A9B">
              <w:rPr>
                <w:noProof/>
                <w:webHidden/>
              </w:rPr>
            </w:r>
            <w:r w:rsidR="00DE7A9B">
              <w:rPr>
                <w:noProof/>
                <w:webHidden/>
              </w:rPr>
              <w:fldChar w:fldCharType="separate"/>
            </w:r>
            <w:r w:rsidR="00DE7A9B">
              <w:rPr>
                <w:noProof/>
                <w:webHidden/>
              </w:rPr>
              <w:t>12</w:t>
            </w:r>
            <w:r w:rsidR="00DE7A9B">
              <w:rPr>
                <w:noProof/>
                <w:webHidden/>
              </w:rPr>
              <w:fldChar w:fldCharType="end"/>
            </w:r>
          </w:hyperlink>
        </w:p>
        <w:p w14:paraId="52872AE2" w14:textId="1AB747FC" w:rsidR="00DE7A9B" w:rsidRDefault="005A7369">
          <w:pPr>
            <w:pStyle w:val="TOC3"/>
            <w:rPr>
              <w:rFonts w:asciiTheme="minorHAnsi" w:eastAsiaTheme="minorEastAsia" w:hAnsiTheme="minorHAnsi" w:cstheme="minorBidi"/>
              <w:b w:val="0"/>
              <w:noProof/>
              <w:color w:val="auto"/>
              <w:szCs w:val="22"/>
              <w:lang w:eastAsia="en-AU"/>
            </w:rPr>
          </w:pPr>
          <w:hyperlink w:anchor="_Toc133478212" w:history="1">
            <w:r w:rsidR="00DE7A9B" w:rsidRPr="00CE1035">
              <w:rPr>
                <w:rStyle w:val="Hyperlink"/>
                <w:noProof/>
              </w:rPr>
              <w:t>Recommend wording for quality related conditions of registration</w:t>
            </w:r>
            <w:r w:rsidR="00DE7A9B">
              <w:rPr>
                <w:noProof/>
                <w:webHidden/>
              </w:rPr>
              <w:tab/>
            </w:r>
            <w:r w:rsidR="00DE7A9B">
              <w:rPr>
                <w:noProof/>
                <w:webHidden/>
              </w:rPr>
              <w:fldChar w:fldCharType="begin"/>
            </w:r>
            <w:r w:rsidR="00DE7A9B">
              <w:rPr>
                <w:noProof/>
                <w:webHidden/>
              </w:rPr>
              <w:instrText xml:space="preserve"> PAGEREF _Toc133478212 \h </w:instrText>
            </w:r>
            <w:r w:rsidR="00DE7A9B">
              <w:rPr>
                <w:noProof/>
                <w:webHidden/>
              </w:rPr>
            </w:r>
            <w:r w:rsidR="00DE7A9B">
              <w:rPr>
                <w:noProof/>
                <w:webHidden/>
              </w:rPr>
              <w:fldChar w:fldCharType="separate"/>
            </w:r>
            <w:r w:rsidR="00DE7A9B">
              <w:rPr>
                <w:noProof/>
                <w:webHidden/>
              </w:rPr>
              <w:t>14</w:t>
            </w:r>
            <w:r w:rsidR="00DE7A9B">
              <w:rPr>
                <w:noProof/>
                <w:webHidden/>
              </w:rPr>
              <w:fldChar w:fldCharType="end"/>
            </w:r>
          </w:hyperlink>
        </w:p>
        <w:p w14:paraId="2684F4D9" w14:textId="4EE3020C"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13" w:history="1">
            <w:r w:rsidR="00DE7A9B" w:rsidRPr="00CE1035">
              <w:rPr>
                <w:rStyle w:val="Hyperlink"/>
                <w:noProof/>
              </w:rPr>
              <w:t>Nonclinical</w:t>
            </w:r>
            <w:r w:rsidR="00DE7A9B">
              <w:rPr>
                <w:noProof/>
                <w:webHidden/>
              </w:rPr>
              <w:tab/>
            </w:r>
            <w:r w:rsidR="00DE7A9B">
              <w:rPr>
                <w:noProof/>
                <w:webHidden/>
              </w:rPr>
              <w:fldChar w:fldCharType="begin"/>
            </w:r>
            <w:r w:rsidR="00DE7A9B">
              <w:rPr>
                <w:noProof/>
                <w:webHidden/>
              </w:rPr>
              <w:instrText xml:space="preserve"> PAGEREF _Toc133478213 \h </w:instrText>
            </w:r>
            <w:r w:rsidR="00DE7A9B">
              <w:rPr>
                <w:noProof/>
                <w:webHidden/>
              </w:rPr>
            </w:r>
            <w:r w:rsidR="00DE7A9B">
              <w:rPr>
                <w:noProof/>
                <w:webHidden/>
              </w:rPr>
              <w:fldChar w:fldCharType="separate"/>
            </w:r>
            <w:r w:rsidR="00DE7A9B">
              <w:rPr>
                <w:noProof/>
                <w:webHidden/>
              </w:rPr>
              <w:t>14</w:t>
            </w:r>
            <w:r w:rsidR="00DE7A9B">
              <w:rPr>
                <w:noProof/>
                <w:webHidden/>
              </w:rPr>
              <w:fldChar w:fldCharType="end"/>
            </w:r>
          </w:hyperlink>
        </w:p>
        <w:p w14:paraId="55B1ED04" w14:textId="48CA420F"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14" w:history="1">
            <w:r w:rsidR="00DE7A9B" w:rsidRPr="00CE1035">
              <w:rPr>
                <w:rStyle w:val="Hyperlink"/>
                <w:noProof/>
              </w:rPr>
              <w:t>Clinical</w:t>
            </w:r>
            <w:r w:rsidR="00DE7A9B">
              <w:rPr>
                <w:noProof/>
                <w:webHidden/>
              </w:rPr>
              <w:tab/>
            </w:r>
            <w:r w:rsidR="00DE7A9B">
              <w:rPr>
                <w:noProof/>
                <w:webHidden/>
              </w:rPr>
              <w:fldChar w:fldCharType="begin"/>
            </w:r>
            <w:r w:rsidR="00DE7A9B">
              <w:rPr>
                <w:noProof/>
                <w:webHidden/>
              </w:rPr>
              <w:instrText xml:space="preserve"> PAGEREF _Toc133478214 \h </w:instrText>
            </w:r>
            <w:r w:rsidR="00DE7A9B">
              <w:rPr>
                <w:noProof/>
                <w:webHidden/>
              </w:rPr>
            </w:r>
            <w:r w:rsidR="00DE7A9B">
              <w:rPr>
                <w:noProof/>
                <w:webHidden/>
              </w:rPr>
              <w:fldChar w:fldCharType="separate"/>
            </w:r>
            <w:r w:rsidR="00DE7A9B">
              <w:rPr>
                <w:noProof/>
                <w:webHidden/>
              </w:rPr>
              <w:t>15</w:t>
            </w:r>
            <w:r w:rsidR="00DE7A9B">
              <w:rPr>
                <w:noProof/>
                <w:webHidden/>
              </w:rPr>
              <w:fldChar w:fldCharType="end"/>
            </w:r>
          </w:hyperlink>
        </w:p>
        <w:p w14:paraId="25DE9789" w14:textId="06435A78" w:rsidR="00DE7A9B" w:rsidRDefault="005A7369">
          <w:pPr>
            <w:pStyle w:val="TOC3"/>
            <w:rPr>
              <w:rFonts w:asciiTheme="minorHAnsi" w:eastAsiaTheme="minorEastAsia" w:hAnsiTheme="minorHAnsi" w:cstheme="minorBidi"/>
              <w:b w:val="0"/>
              <w:noProof/>
              <w:color w:val="auto"/>
              <w:szCs w:val="22"/>
              <w:lang w:eastAsia="en-AU"/>
            </w:rPr>
          </w:pPr>
          <w:hyperlink w:anchor="_Toc133478215" w:history="1">
            <w:r w:rsidR="00DE7A9B" w:rsidRPr="00CE1035">
              <w:rPr>
                <w:rStyle w:val="Hyperlink"/>
                <w:noProof/>
              </w:rPr>
              <w:t>Summary of clinical studies</w:t>
            </w:r>
            <w:r w:rsidR="00DE7A9B">
              <w:rPr>
                <w:noProof/>
                <w:webHidden/>
              </w:rPr>
              <w:tab/>
            </w:r>
            <w:r w:rsidR="00DE7A9B">
              <w:rPr>
                <w:noProof/>
                <w:webHidden/>
              </w:rPr>
              <w:fldChar w:fldCharType="begin"/>
            </w:r>
            <w:r w:rsidR="00DE7A9B">
              <w:rPr>
                <w:noProof/>
                <w:webHidden/>
              </w:rPr>
              <w:instrText xml:space="preserve"> PAGEREF _Toc133478215 \h </w:instrText>
            </w:r>
            <w:r w:rsidR="00DE7A9B">
              <w:rPr>
                <w:noProof/>
                <w:webHidden/>
              </w:rPr>
            </w:r>
            <w:r w:rsidR="00DE7A9B">
              <w:rPr>
                <w:noProof/>
                <w:webHidden/>
              </w:rPr>
              <w:fldChar w:fldCharType="separate"/>
            </w:r>
            <w:r w:rsidR="00DE7A9B">
              <w:rPr>
                <w:noProof/>
                <w:webHidden/>
              </w:rPr>
              <w:t>15</w:t>
            </w:r>
            <w:r w:rsidR="00DE7A9B">
              <w:rPr>
                <w:noProof/>
                <w:webHidden/>
              </w:rPr>
              <w:fldChar w:fldCharType="end"/>
            </w:r>
          </w:hyperlink>
        </w:p>
        <w:p w14:paraId="67681784" w14:textId="29756743" w:rsidR="00DE7A9B" w:rsidRDefault="005A7369">
          <w:pPr>
            <w:pStyle w:val="TOC3"/>
            <w:rPr>
              <w:rFonts w:asciiTheme="minorHAnsi" w:eastAsiaTheme="minorEastAsia" w:hAnsiTheme="minorHAnsi" w:cstheme="minorBidi"/>
              <w:b w:val="0"/>
              <w:noProof/>
              <w:color w:val="auto"/>
              <w:szCs w:val="22"/>
              <w:lang w:eastAsia="en-AU"/>
            </w:rPr>
          </w:pPr>
          <w:hyperlink w:anchor="_Toc133478216" w:history="1">
            <w:r w:rsidR="00DE7A9B" w:rsidRPr="00CE1035">
              <w:rPr>
                <w:rStyle w:val="Hyperlink"/>
                <w:noProof/>
              </w:rPr>
              <w:t>Pharmacology</w:t>
            </w:r>
            <w:r w:rsidR="00DE7A9B">
              <w:rPr>
                <w:noProof/>
                <w:webHidden/>
              </w:rPr>
              <w:tab/>
            </w:r>
            <w:r w:rsidR="00DE7A9B">
              <w:rPr>
                <w:noProof/>
                <w:webHidden/>
              </w:rPr>
              <w:fldChar w:fldCharType="begin"/>
            </w:r>
            <w:r w:rsidR="00DE7A9B">
              <w:rPr>
                <w:noProof/>
                <w:webHidden/>
              </w:rPr>
              <w:instrText xml:space="preserve"> PAGEREF _Toc133478216 \h </w:instrText>
            </w:r>
            <w:r w:rsidR="00DE7A9B">
              <w:rPr>
                <w:noProof/>
                <w:webHidden/>
              </w:rPr>
            </w:r>
            <w:r w:rsidR="00DE7A9B">
              <w:rPr>
                <w:noProof/>
                <w:webHidden/>
              </w:rPr>
              <w:fldChar w:fldCharType="separate"/>
            </w:r>
            <w:r w:rsidR="00DE7A9B">
              <w:rPr>
                <w:noProof/>
                <w:webHidden/>
              </w:rPr>
              <w:t>15</w:t>
            </w:r>
            <w:r w:rsidR="00DE7A9B">
              <w:rPr>
                <w:noProof/>
                <w:webHidden/>
              </w:rPr>
              <w:fldChar w:fldCharType="end"/>
            </w:r>
          </w:hyperlink>
        </w:p>
        <w:p w14:paraId="1F5B1E5D" w14:textId="480F2790" w:rsidR="00DE7A9B" w:rsidRDefault="005A7369">
          <w:pPr>
            <w:pStyle w:val="TOC3"/>
            <w:rPr>
              <w:rFonts w:asciiTheme="minorHAnsi" w:eastAsiaTheme="minorEastAsia" w:hAnsiTheme="minorHAnsi" w:cstheme="minorBidi"/>
              <w:b w:val="0"/>
              <w:noProof/>
              <w:color w:val="auto"/>
              <w:szCs w:val="22"/>
              <w:lang w:eastAsia="en-AU"/>
            </w:rPr>
          </w:pPr>
          <w:hyperlink w:anchor="_Toc133478217" w:history="1">
            <w:r w:rsidR="00DE7A9B" w:rsidRPr="00CE1035">
              <w:rPr>
                <w:rStyle w:val="Hyperlink"/>
                <w:noProof/>
              </w:rPr>
              <w:t>Efficacy</w:t>
            </w:r>
            <w:r w:rsidR="00DE7A9B">
              <w:rPr>
                <w:noProof/>
                <w:webHidden/>
              </w:rPr>
              <w:tab/>
            </w:r>
            <w:r w:rsidR="00DE7A9B">
              <w:rPr>
                <w:noProof/>
                <w:webHidden/>
              </w:rPr>
              <w:fldChar w:fldCharType="begin"/>
            </w:r>
            <w:r w:rsidR="00DE7A9B">
              <w:rPr>
                <w:noProof/>
                <w:webHidden/>
              </w:rPr>
              <w:instrText xml:space="preserve"> PAGEREF _Toc133478217 \h </w:instrText>
            </w:r>
            <w:r w:rsidR="00DE7A9B">
              <w:rPr>
                <w:noProof/>
                <w:webHidden/>
              </w:rPr>
            </w:r>
            <w:r w:rsidR="00DE7A9B">
              <w:rPr>
                <w:noProof/>
                <w:webHidden/>
              </w:rPr>
              <w:fldChar w:fldCharType="separate"/>
            </w:r>
            <w:r w:rsidR="00DE7A9B">
              <w:rPr>
                <w:noProof/>
                <w:webHidden/>
              </w:rPr>
              <w:t>16</w:t>
            </w:r>
            <w:r w:rsidR="00DE7A9B">
              <w:rPr>
                <w:noProof/>
                <w:webHidden/>
              </w:rPr>
              <w:fldChar w:fldCharType="end"/>
            </w:r>
          </w:hyperlink>
        </w:p>
        <w:p w14:paraId="05A88F7C" w14:textId="08D218CE" w:rsidR="00DE7A9B" w:rsidRDefault="005A7369">
          <w:pPr>
            <w:pStyle w:val="TOC3"/>
            <w:rPr>
              <w:rFonts w:asciiTheme="minorHAnsi" w:eastAsiaTheme="minorEastAsia" w:hAnsiTheme="minorHAnsi" w:cstheme="minorBidi"/>
              <w:b w:val="0"/>
              <w:noProof/>
              <w:color w:val="auto"/>
              <w:szCs w:val="22"/>
              <w:lang w:eastAsia="en-AU"/>
            </w:rPr>
          </w:pPr>
          <w:hyperlink w:anchor="_Toc133478218" w:history="1">
            <w:r w:rsidR="00DE7A9B" w:rsidRPr="00CE1035">
              <w:rPr>
                <w:rStyle w:val="Hyperlink"/>
                <w:noProof/>
              </w:rPr>
              <w:t>Safety</w:t>
            </w:r>
            <w:r w:rsidR="00DE7A9B">
              <w:rPr>
                <w:noProof/>
                <w:webHidden/>
              </w:rPr>
              <w:tab/>
            </w:r>
            <w:r w:rsidR="00DE7A9B">
              <w:rPr>
                <w:noProof/>
                <w:webHidden/>
              </w:rPr>
              <w:fldChar w:fldCharType="begin"/>
            </w:r>
            <w:r w:rsidR="00DE7A9B">
              <w:rPr>
                <w:noProof/>
                <w:webHidden/>
              </w:rPr>
              <w:instrText xml:space="preserve"> PAGEREF _Toc133478218 \h </w:instrText>
            </w:r>
            <w:r w:rsidR="00DE7A9B">
              <w:rPr>
                <w:noProof/>
                <w:webHidden/>
              </w:rPr>
            </w:r>
            <w:r w:rsidR="00DE7A9B">
              <w:rPr>
                <w:noProof/>
                <w:webHidden/>
              </w:rPr>
              <w:fldChar w:fldCharType="separate"/>
            </w:r>
            <w:r w:rsidR="00DE7A9B">
              <w:rPr>
                <w:noProof/>
                <w:webHidden/>
              </w:rPr>
              <w:t>17</w:t>
            </w:r>
            <w:r w:rsidR="00DE7A9B">
              <w:rPr>
                <w:noProof/>
                <w:webHidden/>
              </w:rPr>
              <w:fldChar w:fldCharType="end"/>
            </w:r>
          </w:hyperlink>
        </w:p>
        <w:p w14:paraId="2E953647" w14:textId="34AA363A"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19" w:history="1">
            <w:r w:rsidR="00DE7A9B" w:rsidRPr="00CE1035">
              <w:rPr>
                <w:rStyle w:val="Hyperlink"/>
                <w:noProof/>
              </w:rPr>
              <w:t>Device/drug delivery</w:t>
            </w:r>
            <w:r w:rsidR="00DE7A9B">
              <w:rPr>
                <w:noProof/>
                <w:webHidden/>
              </w:rPr>
              <w:tab/>
            </w:r>
            <w:r w:rsidR="00DE7A9B">
              <w:rPr>
                <w:noProof/>
                <w:webHidden/>
              </w:rPr>
              <w:fldChar w:fldCharType="begin"/>
            </w:r>
            <w:r w:rsidR="00DE7A9B">
              <w:rPr>
                <w:noProof/>
                <w:webHidden/>
              </w:rPr>
              <w:instrText xml:space="preserve"> PAGEREF _Toc133478219 \h </w:instrText>
            </w:r>
            <w:r w:rsidR="00DE7A9B">
              <w:rPr>
                <w:noProof/>
                <w:webHidden/>
              </w:rPr>
            </w:r>
            <w:r w:rsidR="00DE7A9B">
              <w:rPr>
                <w:noProof/>
                <w:webHidden/>
              </w:rPr>
              <w:fldChar w:fldCharType="separate"/>
            </w:r>
            <w:r w:rsidR="00DE7A9B">
              <w:rPr>
                <w:noProof/>
                <w:webHidden/>
              </w:rPr>
              <w:t>18</w:t>
            </w:r>
            <w:r w:rsidR="00DE7A9B">
              <w:rPr>
                <w:noProof/>
                <w:webHidden/>
              </w:rPr>
              <w:fldChar w:fldCharType="end"/>
            </w:r>
          </w:hyperlink>
        </w:p>
        <w:p w14:paraId="2D501E68" w14:textId="4A8994AD"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20" w:history="1">
            <w:r w:rsidR="00DE7A9B" w:rsidRPr="00CE1035">
              <w:rPr>
                <w:rStyle w:val="Hyperlink"/>
                <w:noProof/>
                <w:lang w:eastAsia="en-AU"/>
              </w:rPr>
              <w:t>Risk management plan</w:t>
            </w:r>
            <w:r w:rsidR="00DE7A9B">
              <w:rPr>
                <w:noProof/>
                <w:webHidden/>
              </w:rPr>
              <w:tab/>
            </w:r>
            <w:r w:rsidR="00DE7A9B">
              <w:rPr>
                <w:noProof/>
                <w:webHidden/>
              </w:rPr>
              <w:fldChar w:fldCharType="begin"/>
            </w:r>
            <w:r w:rsidR="00DE7A9B">
              <w:rPr>
                <w:noProof/>
                <w:webHidden/>
              </w:rPr>
              <w:instrText xml:space="preserve"> PAGEREF _Toc133478220 \h </w:instrText>
            </w:r>
            <w:r w:rsidR="00DE7A9B">
              <w:rPr>
                <w:noProof/>
                <w:webHidden/>
              </w:rPr>
            </w:r>
            <w:r w:rsidR="00DE7A9B">
              <w:rPr>
                <w:noProof/>
                <w:webHidden/>
              </w:rPr>
              <w:fldChar w:fldCharType="separate"/>
            </w:r>
            <w:r w:rsidR="00DE7A9B">
              <w:rPr>
                <w:noProof/>
                <w:webHidden/>
              </w:rPr>
              <w:t>18</w:t>
            </w:r>
            <w:r w:rsidR="00DE7A9B">
              <w:rPr>
                <w:noProof/>
                <w:webHidden/>
              </w:rPr>
              <w:fldChar w:fldCharType="end"/>
            </w:r>
          </w:hyperlink>
        </w:p>
        <w:p w14:paraId="75AB42BC" w14:textId="2AF81AD3" w:rsidR="00DE7A9B" w:rsidRDefault="005A7369">
          <w:pPr>
            <w:pStyle w:val="TOC3"/>
            <w:rPr>
              <w:rFonts w:asciiTheme="minorHAnsi" w:eastAsiaTheme="minorEastAsia" w:hAnsiTheme="minorHAnsi" w:cstheme="minorBidi"/>
              <w:b w:val="0"/>
              <w:noProof/>
              <w:color w:val="auto"/>
              <w:szCs w:val="22"/>
              <w:lang w:eastAsia="en-AU"/>
            </w:rPr>
          </w:pPr>
          <w:hyperlink w:anchor="_Toc133478221" w:history="1">
            <w:r w:rsidR="00DE7A9B" w:rsidRPr="00CE1035">
              <w:rPr>
                <w:rStyle w:val="Hyperlink"/>
                <w:noProof/>
              </w:rPr>
              <w:t>Recommended wording for risk management plan related conditions of registration</w:t>
            </w:r>
            <w:r w:rsidR="00DE7A9B">
              <w:rPr>
                <w:noProof/>
                <w:webHidden/>
              </w:rPr>
              <w:tab/>
            </w:r>
            <w:r w:rsidR="00DE7A9B">
              <w:rPr>
                <w:noProof/>
                <w:webHidden/>
              </w:rPr>
              <w:fldChar w:fldCharType="begin"/>
            </w:r>
            <w:r w:rsidR="00DE7A9B">
              <w:rPr>
                <w:noProof/>
                <w:webHidden/>
              </w:rPr>
              <w:instrText xml:space="preserve"> PAGEREF _Toc133478221 \h </w:instrText>
            </w:r>
            <w:r w:rsidR="00DE7A9B">
              <w:rPr>
                <w:noProof/>
                <w:webHidden/>
              </w:rPr>
            </w:r>
            <w:r w:rsidR="00DE7A9B">
              <w:rPr>
                <w:noProof/>
                <w:webHidden/>
              </w:rPr>
              <w:fldChar w:fldCharType="separate"/>
            </w:r>
            <w:r w:rsidR="00DE7A9B">
              <w:rPr>
                <w:noProof/>
                <w:webHidden/>
              </w:rPr>
              <w:t>20</w:t>
            </w:r>
            <w:r w:rsidR="00DE7A9B">
              <w:rPr>
                <w:noProof/>
                <w:webHidden/>
              </w:rPr>
              <w:fldChar w:fldCharType="end"/>
            </w:r>
          </w:hyperlink>
        </w:p>
        <w:p w14:paraId="462C2706" w14:textId="638EF273"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22" w:history="1">
            <w:r w:rsidR="00DE7A9B" w:rsidRPr="00CE1035">
              <w:rPr>
                <w:rStyle w:val="Hyperlink"/>
                <w:noProof/>
              </w:rPr>
              <w:t>Risk-benefit analysis</w:t>
            </w:r>
            <w:r w:rsidR="00DE7A9B">
              <w:rPr>
                <w:noProof/>
                <w:webHidden/>
              </w:rPr>
              <w:tab/>
            </w:r>
            <w:r w:rsidR="00DE7A9B">
              <w:rPr>
                <w:noProof/>
                <w:webHidden/>
              </w:rPr>
              <w:fldChar w:fldCharType="begin"/>
            </w:r>
            <w:r w:rsidR="00DE7A9B">
              <w:rPr>
                <w:noProof/>
                <w:webHidden/>
              </w:rPr>
              <w:instrText xml:space="preserve"> PAGEREF _Toc133478222 \h </w:instrText>
            </w:r>
            <w:r w:rsidR="00DE7A9B">
              <w:rPr>
                <w:noProof/>
                <w:webHidden/>
              </w:rPr>
            </w:r>
            <w:r w:rsidR="00DE7A9B">
              <w:rPr>
                <w:noProof/>
                <w:webHidden/>
              </w:rPr>
              <w:fldChar w:fldCharType="separate"/>
            </w:r>
            <w:r w:rsidR="00DE7A9B">
              <w:rPr>
                <w:noProof/>
                <w:webHidden/>
              </w:rPr>
              <w:t>21</w:t>
            </w:r>
            <w:r w:rsidR="00DE7A9B">
              <w:rPr>
                <w:noProof/>
                <w:webHidden/>
              </w:rPr>
              <w:fldChar w:fldCharType="end"/>
            </w:r>
          </w:hyperlink>
        </w:p>
        <w:p w14:paraId="26E1ED6B" w14:textId="7A299CE7" w:rsidR="00DE7A9B" w:rsidRDefault="005A7369">
          <w:pPr>
            <w:pStyle w:val="TOC3"/>
            <w:rPr>
              <w:rFonts w:asciiTheme="minorHAnsi" w:eastAsiaTheme="minorEastAsia" w:hAnsiTheme="minorHAnsi" w:cstheme="minorBidi"/>
              <w:b w:val="0"/>
              <w:noProof/>
              <w:color w:val="auto"/>
              <w:szCs w:val="22"/>
              <w:lang w:eastAsia="en-AU"/>
            </w:rPr>
          </w:pPr>
          <w:hyperlink w:anchor="_Toc133478223" w:history="1">
            <w:r w:rsidR="00DE7A9B" w:rsidRPr="00CE1035">
              <w:rPr>
                <w:rStyle w:val="Hyperlink"/>
                <w:noProof/>
              </w:rPr>
              <w:t>Delegate’s considerations and proposed action</w:t>
            </w:r>
            <w:r w:rsidR="00DE7A9B">
              <w:rPr>
                <w:noProof/>
                <w:webHidden/>
              </w:rPr>
              <w:tab/>
            </w:r>
            <w:r w:rsidR="00DE7A9B">
              <w:rPr>
                <w:noProof/>
                <w:webHidden/>
              </w:rPr>
              <w:fldChar w:fldCharType="begin"/>
            </w:r>
            <w:r w:rsidR="00DE7A9B">
              <w:rPr>
                <w:noProof/>
                <w:webHidden/>
              </w:rPr>
              <w:instrText xml:space="preserve"> PAGEREF _Toc133478223 \h </w:instrText>
            </w:r>
            <w:r w:rsidR="00DE7A9B">
              <w:rPr>
                <w:noProof/>
                <w:webHidden/>
              </w:rPr>
            </w:r>
            <w:r w:rsidR="00DE7A9B">
              <w:rPr>
                <w:noProof/>
                <w:webHidden/>
              </w:rPr>
              <w:fldChar w:fldCharType="separate"/>
            </w:r>
            <w:r w:rsidR="00DE7A9B">
              <w:rPr>
                <w:noProof/>
                <w:webHidden/>
              </w:rPr>
              <w:t>21</w:t>
            </w:r>
            <w:r w:rsidR="00DE7A9B">
              <w:rPr>
                <w:noProof/>
                <w:webHidden/>
              </w:rPr>
              <w:fldChar w:fldCharType="end"/>
            </w:r>
          </w:hyperlink>
        </w:p>
        <w:p w14:paraId="445DEC5A" w14:textId="276CBFAE" w:rsidR="00DE7A9B" w:rsidRDefault="005A7369">
          <w:pPr>
            <w:pStyle w:val="TOC3"/>
            <w:rPr>
              <w:rFonts w:asciiTheme="minorHAnsi" w:eastAsiaTheme="minorEastAsia" w:hAnsiTheme="minorHAnsi" w:cstheme="minorBidi"/>
              <w:b w:val="0"/>
              <w:noProof/>
              <w:color w:val="auto"/>
              <w:szCs w:val="22"/>
              <w:lang w:eastAsia="en-AU"/>
            </w:rPr>
          </w:pPr>
          <w:hyperlink w:anchor="_Toc133478224" w:history="1">
            <w:r w:rsidR="00DE7A9B" w:rsidRPr="00CE1035">
              <w:rPr>
                <w:rStyle w:val="Hyperlink"/>
                <w:noProof/>
              </w:rPr>
              <w:t>Advisory Committee considerations</w:t>
            </w:r>
            <w:r w:rsidR="00DE7A9B">
              <w:rPr>
                <w:noProof/>
                <w:webHidden/>
              </w:rPr>
              <w:tab/>
            </w:r>
            <w:r w:rsidR="00DE7A9B">
              <w:rPr>
                <w:noProof/>
                <w:webHidden/>
              </w:rPr>
              <w:fldChar w:fldCharType="begin"/>
            </w:r>
            <w:r w:rsidR="00DE7A9B">
              <w:rPr>
                <w:noProof/>
                <w:webHidden/>
              </w:rPr>
              <w:instrText xml:space="preserve"> PAGEREF _Toc133478224 \h </w:instrText>
            </w:r>
            <w:r w:rsidR="00DE7A9B">
              <w:rPr>
                <w:noProof/>
                <w:webHidden/>
              </w:rPr>
            </w:r>
            <w:r w:rsidR="00DE7A9B">
              <w:rPr>
                <w:noProof/>
                <w:webHidden/>
              </w:rPr>
              <w:fldChar w:fldCharType="separate"/>
            </w:r>
            <w:r w:rsidR="00DE7A9B">
              <w:rPr>
                <w:noProof/>
                <w:webHidden/>
              </w:rPr>
              <w:t>21</w:t>
            </w:r>
            <w:r w:rsidR="00DE7A9B">
              <w:rPr>
                <w:noProof/>
                <w:webHidden/>
              </w:rPr>
              <w:fldChar w:fldCharType="end"/>
            </w:r>
          </w:hyperlink>
        </w:p>
        <w:p w14:paraId="6241014D" w14:textId="5C45FB89" w:rsidR="00DE7A9B" w:rsidRDefault="005A7369">
          <w:pPr>
            <w:pStyle w:val="TOC1"/>
            <w:rPr>
              <w:rFonts w:asciiTheme="minorHAnsi" w:eastAsiaTheme="minorEastAsia" w:hAnsiTheme="minorHAnsi" w:cstheme="minorBidi"/>
              <w:b w:val="0"/>
              <w:noProof/>
              <w:color w:val="auto"/>
              <w:sz w:val="22"/>
              <w:szCs w:val="22"/>
              <w:lang w:eastAsia="en-AU"/>
            </w:rPr>
          </w:pPr>
          <w:hyperlink w:anchor="_Toc133478225" w:history="1">
            <w:r w:rsidR="00DE7A9B" w:rsidRPr="00CE1035">
              <w:rPr>
                <w:rStyle w:val="Hyperlink"/>
                <w:noProof/>
              </w:rPr>
              <w:t>Outcome</w:t>
            </w:r>
            <w:r w:rsidR="00DE7A9B">
              <w:rPr>
                <w:noProof/>
                <w:webHidden/>
              </w:rPr>
              <w:tab/>
            </w:r>
            <w:r w:rsidR="00DE7A9B">
              <w:rPr>
                <w:noProof/>
                <w:webHidden/>
              </w:rPr>
              <w:fldChar w:fldCharType="begin"/>
            </w:r>
            <w:r w:rsidR="00DE7A9B">
              <w:rPr>
                <w:noProof/>
                <w:webHidden/>
              </w:rPr>
              <w:instrText xml:space="preserve"> PAGEREF _Toc133478225 \h </w:instrText>
            </w:r>
            <w:r w:rsidR="00DE7A9B">
              <w:rPr>
                <w:noProof/>
                <w:webHidden/>
              </w:rPr>
            </w:r>
            <w:r w:rsidR="00DE7A9B">
              <w:rPr>
                <w:noProof/>
                <w:webHidden/>
              </w:rPr>
              <w:fldChar w:fldCharType="separate"/>
            </w:r>
            <w:r w:rsidR="00DE7A9B">
              <w:rPr>
                <w:noProof/>
                <w:webHidden/>
              </w:rPr>
              <w:t>21</w:t>
            </w:r>
            <w:r w:rsidR="00DE7A9B">
              <w:rPr>
                <w:noProof/>
                <w:webHidden/>
              </w:rPr>
              <w:fldChar w:fldCharType="end"/>
            </w:r>
          </w:hyperlink>
        </w:p>
        <w:p w14:paraId="72DBC12F" w14:textId="4A99C8D1" w:rsidR="00DE7A9B" w:rsidRDefault="005A7369">
          <w:pPr>
            <w:pStyle w:val="TOC2"/>
            <w:rPr>
              <w:rFonts w:asciiTheme="minorHAnsi" w:eastAsiaTheme="minorEastAsia" w:hAnsiTheme="minorHAnsi" w:cstheme="minorBidi"/>
              <w:b w:val="0"/>
              <w:noProof/>
              <w:color w:val="auto"/>
              <w:sz w:val="22"/>
              <w:szCs w:val="22"/>
              <w:lang w:eastAsia="en-AU"/>
            </w:rPr>
          </w:pPr>
          <w:hyperlink w:anchor="_Toc133478226" w:history="1">
            <w:r w:rsidR="00DE7A9B" w:rsidRPr="00CE1035">
              <w:rPr>
                <w:rStyle w:val="Hyperlink"/>
                <w:noProof/>
              </w:rPr>
              <w:t>Specific conditions of registration applying to these goods</w:t>
            </w:r>
            <w:r w:rsidR="00DE7A9B">
              <w:rPr>
                <w:noProof/>
                <w:webHidden/>
              </w:rPr>
              <w:tab/>
            </w:r>
            <w:r w:rsidR="00DE7A9B">
              <w:rPr>
                <w:noProof/>
                <w:webHidden/>
              </w:rPr>
              <w:fldChar w:fldCharType="begin"/>
            </w:r>
            <w:r w:rsidR="00DE7A9B">
              <w:rPr>
                <w:noProof/>
                <w:webHidden/>
              </w:rPr>
              <w:instrText xml:space="preserve"> PAGEREF _Toc133478226 \h </w:instrText>
            </w:r>
            <w:r w:rsidR="00DE7A9B">
              <w:rPr>
                <w:noProof/>
                <w:webHidden/>
              </w:rPr>
            </w:r>
            <w:r w:rsidR="00DE7A9B">
              <w:rPr>
                <w:noProof/>
                <w:webHidden/>
              </w:rPr>
              <w:fldChar w:fldCharType="separate"/>
            </w:r>
            <w:r w:rsidR="00DE7A9B">
              <w:rPr>
                <w:noProof/>
                <w:webHidden/>
              </w:rPr>
              <w:t>22</w:t>
            </w:r>
            <w:r w:rsidR="00DE7A9B">
              <w:rPr>
                <w:noProof/>
                <w:webHidden/>
              </w:rPr>
              <w:fldChar w:fldCharType="end"/>
            </w:r>
          </w:hyperlink>
        </w:p>
        <w:p w14:paraId="738F1C96" w14:textId="4A6083DD" w:rsidR="00DE7A9B" w:rsidRDefault="005A7369">
          <w:pPr>
            <w:pStyle w:val="TOC1"/>
            <w:rPr>
              <w:rFonts w:asciiTheme="minorHAnsi" w:eastAsiaTheme="minorEastAsia" w:hAnsiTheme="minorHAnsi" w:cstheme="minorBidi"/>
              <w:b w:val="0"/>
              <w:noProof/>
              <w:color w:val="auto"/>
              <w:sz w:val="22"/>
              <w:szCs w:val="22"/>
              <w:lang w:eastAsia="en-AU"/>
            </w:rPr>
          </w:pPr>
          <w:hyperlink w:anchor="_Toc133478227" w:history="1">
            <w:r w:rsidR="00DE7A9B" w:rsidRPr="00CE1035">
              <w:rPr>
                <w:rStyle w:val="Hyperlink"/>
                <w:noProof/>
              </w:rPr>
              <w:t>Attachment 1. Product Information</w:t>
            </w:r>
            <w:r w:rsidR="00DE7A9B">
              <w:rPr>
                <w:noProof/>
                <w:webHidden/>
              </w:rPr>
              <w:tab/>
            </w:r>
            <w:r w:rsidR="00DE7A9B">
              <w:rPr>
                <w:noProof/>
                <w:webHidden/>
              </w:rPr>
              <w:fldChar w:fldCharType="begin"/>
            </w:r>
            <w:r w:rsidR="00DE7A9B">
              <w:rPr>
                <w:noProof/>
                <w:webHidden/>
              </w:rPr>
              <w:instrText xml:space="preserve"> PAGEREF _Toc133478227 \h </w:instrText>
            </w:r>
            <w:r w:rsidR="00DE7A9B">
              <w:rPr>
                <w:noProof/>
                <w:webHidden/>
              </w:rPr>
            </w:r>
            <w:r w:rsidR="00DE7A9B">
              <w:rPr>
                <w:noProof/>
                <w:webHidden/>
              </w:rPr>
              <w:fldChar w:fldCharType="separate"/>
            </w:r>
            <w:r w:rsidR="00DE7A9B">
              <w:rPr>
                <w:noProof/>
                <w:webHidden/>
              </w:rPr>
              <w:t>23</w:t>
            </w:r>
            <w:r w:rsidR="00DE7A9B">
              <w:rPr>
                <w:noProof/>
                <w:webHidden/>
              </w:rPr>
              <w:fldChar w:fldCharType="end"/>
            </w:r>
          </w:hyperlink>
        </w:p>
        <w:p w14:paraId="77659F2D" w14:textId="544891B7" w:rsidR="00F02AEC" w:rsidRPr="00215D48" w:rsidRDefault="00F02AEC" w:rsidP="00EA3C32">
          <w:r w:rsidRPr="00215D48">
            <w:rPr>
              <w:color w:val="2B579A"/>
              <w:shd w:val="clear" w:color="auto" w:fill="E6E6E6"/>
            </w:rPr>
            <w:fldChar w:fldCharType="end"/>
          </w:r>
        </w:p>
      </w:sdtContent>
    </w:sdt>
    <w:p w14:paraId="10987AE2" w14:textId="77777777" w:rsidR="00F02AEC" w:rsidRPr="00215D48" w:rsidRDefault="00F02AEC" w:rsidP="00EA3C32">
      <w:r w:rsidRPr="00215D48">
        <w:br w:type="page"/>
      </w:r>
    </w:p>
    <w:p w14:paraId="1E73AB93" w14:textId="77777777" w:rsidR="00324B33" w:rsidRDefault="00324B33" w:rsidP="00324B33">
      <w:pPr>
        <w:pStyle w:val="Heading2"/>
      </w:pPr>
      <w:bookmarkStart w:id="0" w:name="_Toc98931917"/>
      <w:bookmarkStart w:id="1" w:name="_Toc103679287"/>
      <w:bookmarkStart w:id="2" w:name="_Toc133478203"/>
      <w:bookmarkStart w:id="3" w:name="_Toc323739589"/>
      <w:bookmarkStart w:id="4" w:name="_Toc356305216"/>
      <w:r>
        <w:lastRenderedPageBreak/>
        <w:t>List of abbreviations</w:t>
      </w:r>
      <w:bookmarkEnd w:id="0"/>
      <w:bookmarkEnd w:id="1"/>
      <w:bookmarkEnd w:id="2"/>
    </w:p>
    <w:tbl>
      <w:tblPr>
        <w:tblStyle w:val="TableTGAblue2023"/>
        <w:tblW w:w="9430" w:type="dxa"/>
        <w:tblLook w:val="04A0" w:firstRow="1" w:lastRow="0" w:firstColumn="1" w:lastColumn="0" w:noHBand="0" w:noVBand="1"/>
      </w:tblPr>
      <w:tblGrid>
        <w:gridCol w:w="2263"/>
        <w:gridCol w:w="7167"/>
      </w:tblGrid>
      <w:tr w:rsidR="00374F53" w14:paraId="42F9B1D5" w14:textId="77777777" w:rsidTr="00EA3C32">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2263" w:type="dxa"/>
          </w:tcPr>
          <w:p w14:paraId="54814212" w14:textId="77777777" w:rsidR="00374F53" w:rsidRDefault="00374F53" w:rsidP="00EA3C32">
            <w:r>
              <w:t>Abbreviation</w:t>
            </w:r>
          </w:p>
        </w:tc>
        <w:tc>
          <w:tcPr>
            <w:tcW w:w="7167" w:type="dxa"/>
          </w:tcPr>
          <w:p w14:paraId="7DD08134" w14:textId="77777777" w:rsidR="00374F53" w:rsidRDefault="00374F53" w:rsidP="00EA3C32">
            <w:pPr>
              <w:cnfStyle w:val="100000000000" w:firstRow="1" w:lastRow="0" w:firstColumn="0" w:lastColumn="0" w:oddVBand="0" w:evenVBand="0" w:oddHBand="0" w:evenHBand="0" w:firstRowFirstColumn="0" w:firstRowLastColumn="0" w:lastRowFirstColumn="0" w:lastRowLastColumn="0"/>
            </w:pPr>
            <w:r>
              <w:t>Meaning</w:t>
            </w:r>
          </w:p>
        </w:tc>
      </w:tr>
      <w:tr w:rsidR="00374F53" w14:paraId="772F6851"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02821A8" w14:textId="77777777" w:rsidR="00374F53" w:rsidRDefault="00374F53" w:rsidP="00EA3C32">
            <w:r>
              <w:t>ASA</w:t>
            </w:r>
          </w:p>
        </w:tc>
        <w:tc>
          <w:tcPr>
            <w:tcW w:w="7167" w:type="dxa"/>
          </w:tcPr>
          <w:p w14:paraId="1E9FE560"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t>Australia specific annex</w:t>
            </w:r>
          </w:p>
        </w:tc>
      </w:tr>
      <w:tr w:rsidR="00374F53" w14:paraId="0104F467"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0C1EED9" w14:textId="77777777" w:rsidR="00374F53" w:rsidRDefault="00374F53" w:rsidP="00EA3C32">
            <w:r>
              <w:t>AU</w:t>
            </w:r>
          </w:p>
        </w:tc>
        <w:tc>
          <w:tcPr>
            <w:tcW w:w="7167" w:type="dxa"/>
          </w:tcPr>
          <w:p w14:paraId="5AF4EBBF"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t>Australia</w:t>
            </w:r>
          </w:p>
        </w:tc>
      </w:tr>
      <w:tr w:rsidR="00374F53" w14:paraId="6C169C6F"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620CA1E" w14:textId="77777777" w:rsidR="00374F53" w:rsidRDefault="00374F53" w:rsidP="00EA3C32">
            <w:r>
              <w:t>AUC</w:t>
            </w:r>
          </w:p>
        </w:tc>
        <w:tc>
          <w:tcPr>
            <w:tcW w:w="7167" w:type="dxa"/>
          </w:tcPr>
          <w:p w14:paraId="22F6AB4E" w14:textId="47B9422C"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 xml:space="preserve">Area under </w:t>
            </w:r>
            <w:r w:rsidR="00D66D9D">
              <w:rPr>
                <w:lang w:eastAsia="ja-JP"/>
              </w:rPr>
              <w:t xml:space="preserve">the </w:t>
            </w:r>
            <w:r>
              <w:rPr>
                <w:lang w:eastAsia="ja-JP"/>
              </w:rPr>
              <w:t>concentration</w:t>
            </w:r>
            <w:r w:rsidR="00D66D9D">
              <w:rPr>
                <w:lang w:eastAsia="ja-JP"/>
              </w:rPr>
              <w:t>-</w:t>
            </w:r>
            <w:r>
              <w:rPr>
                <w:lang w:eastAsia="ja-JP"/>
              </w:rPr>
              <w:t>time curve</w:t>
            </w:r>
          </w:p>
        </w:tc>
      </w:tr>
      <w:tr w:rsidR="00374F53" w14:paraId="02336F03"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A7C4B01" w14:textId="77777777" w:rsidR="00374F53" w:rsidRDefault="00374F53" w:rsidP="00EA3C32">
            <w:r>
              <w:rPr>
                <w:lang w:eastAsia="ja-JP"/>
              </w:rPr>
              <w:t>AUC</w:t>
            </w:r>
            <w:r w:rsidRPr="00FD3811">
              <w:rPr>
                <w:vertAlign w:val="subscript"/>
                <w:lang w:eastAsia="ja-JP"/>
              </w:rPr>
              <w:t>0-inf</w:t>
            </w:r>
          </w:p>
        </w:tc>
        <w:tc>
          <w:tcPr>
            <w:tcW w:w="7167" w:type="dxa"/>
          </w:tcPr>
          <w:p w14:paraId="4D5648CB" w14:textId="292C6FB9"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 xml:space="preserve">Area under </w:t>
            </w:r>
            <w:r w:rsidR="00D66D9D">
              <w:rPr>
                <w:lang w:eastAsia="ja-JP"/>
              </w:rPr>
              <w:t xml:space="preserve">the </w:t>
            </w:r>
            <w:r>
              <w:rPr>
                <w:lang w:eastAsia="ja-JP"/>
              </w:rPr>
              <w:t>concentration</w:t>
            </w:r>
            <w:r w:rsidR="00D66D9D">
              <w:rPr>
                <w:lang w:eastAsia="ja-JP"/>
              </w:rPr>
              <w:t>-</w:t>
            </w:r>
            <w:r>
              <w:rPr>
                <w:lang w:eastAsia="ja-JP"/>
              </w:rPr>
              <w:t>time curve from time zero to infinity</w:t>
            </w:r>
          </w:p>
        </w:tc>
      </w:tr>
      <w:tr w:rsidR="00374F53" w14:paraId="28179A61"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A3682B6" w14:textId="77777777" w:rsidR="00374F53" w:rsidRDefault="00374F53" w:rsidP="00EA3C32">
            <w:r>
              <w:rPr>
                <w:lang w:eastAsia="ja-JP"/>
              </w:rPr>
              <w:t>AUC</w:t>
            </w:r>
            <w:r w:rsidRPr="00FD3811">
              <w:rPr>
                <w:vertAlign w:val="subscript"/>
                <w:lang w:eastAsia="ja-JP"/>
              </w:rPr>
              <w:t>0-t</w:t>
            </w:r>
          </w:p>
        </w:tc>
        <w:tc>
          <w:tcPr>
            <w:tcW w:w="7167" w:type="dxa"/>
          </w:tcPr>
          <w:p w14:paraId="68413192" w14:textId="28C6C89A"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 xml:space="preserve">Area under </w:t>
            </w:r>
            <w:r w:rsidR="00D66D9D">
              <w:rPr>
                <w:lang w:eastAsia="ja-JP"/>
              </w:rPr>
              <w:t xml:space="preserve">the </w:t>
            </w:r>
            <w:r>
              <w:rPr>
                <w:lang w:eastAsia="ja-JP"/>
              </w:rPr>
              <w:t>concentration</w:t>
            </w:r>
            <w:r w:rsidR="00D66D9D">
              <w:rPr>
                <w:lang w:eastAsia="ja-JP"/>
              </w:rPr>
              <w:t>-</w:t>
            </w:r>
            <w:r>
              <w:rPr>
                <w:lang w:eastAsia="ja-JP"/>
              </w:rPr>
              <w:t xml:space="preserve">time curve from time zero to </w:t>
            </w:r>
            <w:r w:rsidRPr="009E257C">
              <w:rPr>
                <w:lang w:eastAsia="ja-JP"/>
              </w:rPr>
              <w:t>last measurable concentration</w:t>
            </w:r>
          </w:p>
        </w:tc>
      </w:tr>
      <w:tr w:rsidR="00374F53" w14:paraId="401B1B58"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2C8A3875" w14:textId="77777777" w:rsidR="00374F53" w:rsidRDefault="00374F53" w:rsidP="00EA3C32">
            <w:r>
              <w:t>CI</w:t>
            </w:r>
          </w:p>
        </w:tc>
        <w:tc>
          <w:tcPr>
            <w:tcW w:w="7167" w:type="dxa"/>
          </w:tcPr>
          <w:p w14:paraId="4DA4A357"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Confidence interval</w:t>
            </w:r>
          </w:p>
        </w:tc>
      </w:tr>
      <w:tr w:rsidR="00374F53" w14:paraId="0EE79257"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AF4D788" w14:textId="77777777" w:rsidR="00374F53" w:rsidRDefault="00374F53" w:rsidP="00EA3C32">
            <w:proofErr w:type="spellStart"/>
            <w:r>
              <w:rPr>
                <w:lang w:eastAsia="ja-JP"/>
              </w:rPr>
              <w:t>C</w:t>
            </w:r>
            <w:r w:rsidRPr="00206923">
              <w:rPr>
                <w:vertAlign w:val="subscript"/>
                <w:lang w:eastAsia="ja-JP"/>
              </w:rPr>
              <w:t>max</w:t>
            </w:r>
            <w:proofErr w:type="spellEnd"/>
          </w:p>
        </w:tc>
        <w:tc>
          <w:tcPr>
            <w:tcW w:w="7167" w:type="dxa"/>
          </w:tcPr>
          <w:p w14:paraId="4DFD7112"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Maximum concentration</w:t>
            </w:r>
          </w:p>
        </w:tc>
      </w:tr>
      <w:tr w:rsidR="00374F53" w14:paraId="51748F6F"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4E5BC11" w14:textId="77777777" w:rsidR="00374F53" w:rsidRDefault="00374F53" w:rsidP="00EA3C32">
            <w:proofErr w:type="spellStart"/>
            <w:r>
              <w:rPr>
                <w:lang w:eastAsia="ja-JP"/>
              </w:rPr>
              <w:t>C</w:t>
            </w:r>
            <w:r w:rsidRPr="002156B7">
              <w:rPr>
                <w:vertAlign w:val="subscript"/>
                <w:lang w:eastAsia="ja-JP"/>
              </w:rPr>
              <w:t>trough</w:t>
            </w:r>
            <w:proofErr w:type="spellEnd"/>
          </w:p>
        </w:tc>
        <w:tc>
          <w:tcPr>
            <w:tcW w:w="7167" w:type="dxa"/>
          </w:tcPr>
          <w:p w14:paraId="5C6CB54F"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Trough concentration</w:t>
            </w:r>
          </w:p>
        </w:tc>
      </w:tr>
      <w:tr w:rsidR="00374F53" w14:paraId="16D64434"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FAF7933" w14:textId="77777777" w:rsidR="00374F53" w:rsidRDefault="00374F53" w:rsidP="00EA3C32">
            <w:r>
              <w:t>CV</w:t>
            </w:r>
          </w:p>
        </w:tc>
        <w:tc>
          <w:tcPr>
            <w:tcW w:w="7167" w:type="dxa"/>
          </w:tcPr>
          <w:p w14:paraId="09C99E9B"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C</w:t>
            </w:r>
            <w:r w:rsidRPr="009E257C">
              <w:rPr>
                <w:lang w:eastAsia="ja-JP"/>
              </w:rPr>
              <w:t>oefficient of variation</w:t>
            </w:r>
          </w:p>
        </w:tc>
      </w:tr>
      <w:tr w:rsidR="00374F53" w14:paraId="067BBC5B"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5033298" w14:textId="77777777" w:rsidR="00374F53" w:rsidRDefault="00374F53" w:rsidP="00EA3C32">
            <w:r>
              <w:t>DLP</w:t>
            </w:r>
          </w:p>
        </w:tc>
        <w:tc>
          <w:tcPr>
            <w:tcW w:w="7167" w:type="dxa"/>
          </w:tcPr>
          <w:p w14:paraId="56B8B16E"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t>Data lock point</w:t>
            </w:r>
          </w:p>
        </w:tc>
      </w:tr>
      <w:tr w:rsidR="00374F53" w14:paraId="3D6566BF"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3F5980B" w14:textId="77777777" w:rsidR="00374F53" w:rsidRPr="00824FE8" w:rsidRDefault="00374F53" w:rsidP="00EA3C32">
            <w:r w:rsidRPr="00824FE8">
              <w:t>DMARD</w:t>
            </w:r>
          </w:p>
        </w:tc>
        <w:tc>
          <w:tcPr>
            <w:tcW w:w="7167" w:type="dxa"/>
          </w:tcPr>
          <w:p w14:paraId="0FD6C58D" w14:textId="6D0A7EDB" w:rsidR="00374F53" w:rsidRDefault="00374F53" w:rsidP="00EA3C32">
            <w:pPr>
              <w:cnfStyle w:val="000000000000" w:firstRow="0" w:lastRow="0" w:firstColumn="0" w:lastColumn="0" w:oddVBand="0" w:evenVBand="0" w:oddHBand="0" w:evenHBand="0" w:firstRowFirstColumn="0" w:firstRowLastColumn="0" w:lastRowFirstColumn="0" w:lastRowLastColumn="0"/>
            </w:pPr>
            <w:r>
              <w:t>D</w:t>
            </w:r>
            <w:r w:rsidRPr="00824FE8">
              <w:t>isease modifying anti-rheumatic drug</w:t>
            </w:r>
          </w:p>
        </w:tc>
      </w:tr>
      <w:tr w:rsidR="00374F53" w14:paraId="25517303"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762393E3" w14:textId="77777777" w:rsidR="00374F53" w:rsidRDefault="00374F53" w:rsidP="00EA3C32">
            <w:r>
              <w:t>EMA</w:t>
            </w:r>
          </w:p>
        </w:tc>
        <w:tc>
          <w:tcPr>
            <w:tcW w:w="7167" w:type="dxa"/>
          </w:tcPr>
          <w:p w14:paraId="4DED57E3" w14:textId="7001D198" w:rsidR="00374F53" w:rsidRDefault="00374F53" w:rsidP="00EA3C32">
            <w:pPr>
              <w:cnfStyle w:val="000000000000" w:firstRow="0" w:lastRow="0" w:firstColumn="0" w:lastColumn="0" w:oddVBand="0" w:evenVBand="0" w:oddHBand="0" w:evenHBand="0" w:firstRowFirstColumn="0" w:firstRowLastColumn="0" w:lastRowFirstColumn="0" w:lastRowLastColumn="0"/>
            </w:pPr>
            <w:r w:rsidRPr="00824FE8">
              <w:t>European Medicines Agency</w:t>
            </w:r>
            <w:r w:rsidR="00D66D9D">
              <w:t xml:space="preserve"> (European Union)</w:t>
            </w:r>
          </w:p>
        </w:tc>
      </w:tr>
      <w:tr w:rsidR="00374F53" w14:paraId="45C93917"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40B601DF" w14:textId="77777777" w:rsidR="00374F53" w:rsidRDefault="00374F53" w:rsidP="00EA3C32">
            <w:r>
              <w:t>EU</w:t>
            </w:r>
          </w:p>
        </w:tc>
        <w:tc>
          <w:tcPr>
            <w:tcW w:w="7167" w:type="dxa"/>
          </w:tcPr>
          <w:p w14:paraId="2172A24D"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t xml:space="preserve">European Union </w:t>
            </w:r>
          </w:p>
        </w:tc>
      </w:tr>
      <w:tr w:rsidR="00374F53" w14:paraId="4E0E33E3"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3A00E62" w14:textId="77777777" w:rsidR="00374F53" w:rsidRDefault="00374F53" w:rsidP="00EA3C32">
            <w:r>
              <w:t>FDA</w:t>
            </w:r>
          </w:p>
        </w:tc>
        <w:tc>
          <w:tcPr>
            <w:tcW w:w="7167" w:type="dxa"/>
          </w:tcPr>
          <w:p w14:paraId="3E549613" w14:textId="3E959128" w:rsidR="00374F53" w:rsidRDefault="00374F53" w:rsidP="00EA3C32">
            <w:pPr>
              <w:cnfStyle w:val="000000000000" w:firstRow="0" w:lastRow="0" w:firstColumn="0" w:lastColumn="0" w:oddVBand="0" w:evenVBand="0" w:oddHBand="0" w:evenHBand="0" w:firstRowFirstColumn="0" w:firstRowLastColumn="0" w:lastRowFirstColumn="0" w:lastRowLastColumn="0"/>
            </w:pPr>
            <w:r w:rsidRPr="00824FE8">
              <w:t>Food and Drug Administration</w:t>
            </w:r>
            <w:r>
              <w:t xml:space="preserve"> (United States</w:t>
            </w:r>
            <w:r w:rsidR="00D66D9D">
              <w:t xml:space="preserve"> of America</w:t>
            </w:r>
            <w:r>
              <w:t>)</w:t>
            </w:r>
          </w:p>
        </w:tc>
      </w:tr>
      <w:tr w:rsidR="00374F53" w14:paraId="11A7C7D5"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11E97544" w14:textId="77777777" w:rsidR="00374F53" w:rsidRDefault="00374F53" w:rsidP="00EA3C32">
            <w:r>
              <w:t>PASI</w:t>
            </w:r>
          </w:p>
        </w:tc>
        <w:tc>
          <w:tcPr>
            <w:tcW w:w="7167" w:type="dxa"/>
          </w:tcPr>
          <w:p w14:paraId="44447776"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Psoriasis Area and Severity Index</w:t>
            </w:r>
          </w:p>
        </w:tc>
      </w:tr>
      <w:tr w:rsidR="00374F53" w14:paraId="3EEDB14A"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CA9E14F" w14:textId="77777777" w:rsidR="00374F53" w:rsidRDefault="00374F53" w:rsidP="00EA3C32">
            <w:r>
              <w:t>PI</w:t>
            </w:r>
          </w:p>
        </w:tc>
        <w:tc>
          <w:tcPr>
            <w:tcW w:w="7167" w:type="dxa"/>
          </w:tcPr>
          <w:p w14:paraId="4C3596F9"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t>Product Information</w:t>
            </w:r>
          </w:p>
        </w:tc>
      </w:tr>
      <w:tr w:rsidR="00374F53" w14:paraId="0EB67D6B"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3FB72DC3" w14:textId="77777777" w:rsidR="00374F53" w:rsidRDefault="00374F53" w:rsidP="00EA3C32">
            <w:r>
              <w:t>RMP</w:t>
            </w:r>
          </w:p>
        </w:tc>
        <w:tc>
          <w:tcPr>
            <w:tcW w:w="7167" w:type="dxa"/>
          </w:tcPr>
          <w:p w14:paraId="71636F6C"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t>Risk management plan</w:t>
            </w:r>
          </w:p>
        </w:tc>
      </w:tr>
      <w:tr w:rsidR="00374F53" w14:paraId="1AFC4A34"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09F63D07" w14:textId="77777777" w:rsidR="00374F53" w:rsidRDefault="00374F53" w:rsidP="00EA3C32">
            <w:r>
              <w:t>TEAE</w:t>
            </w:r>
          </w:p>
        </w:tc>
        <w:tc>
          <w:tcPr>
            <w:tcW w:w="7167" w:type="dxa"/>
          </w:tcPr>
          <w:p w14:paraId="468FF023" w14:textId="46B17944"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Treatment</w:t>
            </w:r>
            <w:r w:rsidR="00D66D9D">
              <w:rPr>
                <w:lang w:eastAsia="ja-JP"/>
              </w:rPr>
              <w:t>-</w:t>
            </w:r>
            <w:r>
              <w:rPr>
                <w:lang w:eastAsia="ja-JP"/>
              </w:rPr>
              <w:t>emergent adverse event</w:t>
            </w:r>
          </w:p>
        </w:tc>
      </w:tr>
      <w:tr w:rsidR="00374F53" w14:paraId="33627AD6"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BB77E69" w14:textId="77777777" w:rsidR="00374F53" w:rsidRDefault="00374F53" w:rsidP="00EA3C32">
            <w:r>
              <w:t>TGA</w:t>
            </w:r>
          </w:p>
        </w:tc>
        <w:tc>
          <w:tcPr>
            <w:tcW w:w="7167" w:type="dxa"/>
          </w:tcPr>
          <w:p w14:paraId="297973F6"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t>Therapeutic Goods Administration</w:t>
            </w:r>
          </w:p>
        </w:tc>
      </w:tr>
      <w:tr w:rsidR="00374F53" w14:paraId="36F80183"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40F2EBE" w14:textId="77777777" w:rsidR="00374F53" w:rsidRDefault="00374F53" w:rsidP="00EA3C32">
            <w:proofErr w:type="spellStart"/>
            <w:r>
              <w:rPr>
                <w:lang w:eastAsia="ja-JP"/>
              </w:rPr>
              <w:t>T</w:t>
            </w:r>
            <w:r w:rsidRPr="00206923">
              <w:rPr>
                <w:vertAlign w:val="subscript"/>
                <w:lang w:eastAsia="ja-JP"/>
              </w:rPr>
              <w:t>max</w:t>
            </w:r>
            <w:proofErr w:type="spellEnd"/>
          </w:p>
        </w:tc>
        <w:tc>
          <w:tcPr>
            <w:tcW w:w="7167" w:type="dxa"/>
          </w:tcPr>
          <w:p w14:paraId="35812869"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rPr>
                <w:lang w:eastAsia="ja-JP"/>
              </w:rPr>
              <w:t>Time to reach maximum concentration</w:t>
            </w:r>
          </w:p>
        </w:tc>
      </w:tr>
      <w:tr w:rsidR="00374F53" w14:paraId="61DFA478"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635ECF5C" w14:textId="77777777" w:rsidR="00374F53" w:rsidRDefault="00374F53" w:rsidP="00EA3C32">
            <w:r>
              <w:t>TNF</w:t>
            </w:r>
          </w:p>
        </w:tc>
        <w:tc>
          <w:tcPr>
            <w:tcW w:w="7167" w:type="dxa"/>
          </w:tcPr>
          <w:p w14:paraId="4745F548"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t>T</w:t>
            </w:r>
            <w:r w:rsidRPr="0062485E">
              <w:t>umour necrosis factor</w:t>
            </w:r>
          </w:p>
        </w:tc>
      </w:tr>
      <w:tr w:rsidR="00374F53" w14:paraId="53897B29" w14:textId="77777777" w:rsidTr="00EA3C32">
        <w:trPr>
          <w:trHeight w:val="386"/>
        </w:trPr>
        <w:tc>
          <w:tcPr>
            <w:cnfStyle w:val="001000000000" w:firstRow="0" w:lastRow="0" w:firstColumn="1" w:lastColumn="0" w:oddVBand="0" w:evenVBand="0" w:oddHBand="0" w:evenHBand="0" w:firstRowFirstColumn="0" w:firstRowLastColumn="0" w:lastRowFirstColumn="0" w:lastRowLastColumn="0"/>
            <w:tcW w:w="2263" w:type="dxa"/>
          </w:tcPr>
          <w:p w14:paraId="5BB57D36" w14:textId="77777777" w:rsidR="00374F53" w:rsidRDefault="00374F53" w:rsidP="00EA3C32">
            <w:r>
              <w:t>US(A)</w:t>
            </w:r>
          </w:p>
        </w:tc>
        <w:tc>
          <w:tcPr>
            <w:tcW w:w="7167" w:type="dxa"/>
          </w:tcPr>
          <w:p w14:paraId="5C9176DA" w14:textId="77777777" w:rsidR="00374F53" w:rsidRDefault="00374F53" w:rsidP="00EA3C32">
            <w:pPr>
              <w:cnfStyle w:val="000000000000" w:firstRow="0" w:lastRow="0" w:firstColumn="0" w:lastColumn="0" w:oddVBand="0" w:evenVBand="0" w:oddHBand="0" w:evenHBand="0" w:firstRowFirstColumn="0" w:firstRowLastColumn="0" w:lastRowFirstColumn="0" w:lastRowLastColumn="0"/>
            </w:pPr>
            <w:r>
              <w:t>United States (of America)</w:t>
            </w:r>
          </w:p>
        </w:tc>
      </w:tr>
    </w:tbl>
    <w:p w14:paraId="7378F926" w14:textId="77777777" w:rsidR="00324B33" w:rsidRDefault="00324B33" w:rsidP="00324B33"/>
    <w:p w14:paraId="02FB1F38" w14:textId="77777777" w:rsidR="00324B33" w:rsidRPr="00FD119B" w:rsidRDefault="00324B33" w:rsidP="00324B33">
      <w:pPr>
        <w:spacing w:after="200" w:line="0" w:lineRule="auto"/>
        <w:rPr>
          <w:b/>
          <w:i/>
          <w:sz w:val="24"/>
          <w:szCs w:val="24"/>
        </w:rPr>
      </w:pPr>
      <w:r w:rsidRPr="00FD119B">
        <w:rPr>
          <w:b/>
          <w:i/>
          <w:sz w:val="24"/>
          <w:szCs w:val="24"/>
        </w:rPr>
        <w:br w:type="page"/>
      </w:r>
    </w:p>
    <w:p w14:paraId="44C2A39C" w14:textId="77777777" w:rsidR="00324B33" w:rsidRDefault="00324B33" w:rsidP="00324B33">
      <w:pPr>
        <w:pStyle w:val="Heading2"/>
      </w:pPr>
      <w:bookmarkStart w:id="5" w:name="_Toc103679288"/>
      <w:bookmarkStart w:id="6" w:name="_Toc133478204"/>
      <w:r>
        <w:lastRenderedPageBreak/>
        <w:t>Product submission</w:t>
      </w:r>
      <w:bookmarkEnd w:id="5"/>
      <w:bookmarkEnd w:id="6"/>
    </w:p>
    <w:p w14:paraId="21D559DF" w14:textId="77777777" w:rsidR="00324B33" w:rsidRDefault="00324B33" w:rsidP="00324B33">
      <w:pPr>
        <w:pStyle w:val="Heading3"/>
        <w:rPr>
          <w:lang w:eastAsia="en-AU"/>
        </w:rPr>
      </w:pPr>
      <w:bookmarkStart w:id="7" w:name="_Toc247691502"/>
      <w:bookmarkStart w:id="8" w:name="_Toc314842483"/>
      <w:bookmarkStart w:id="9" w:name="_Toc103679289"/>
      <w:bookmarkStart w:id="10" w:name="_Toc133478205"/>
      <w:r>
        <w:rPr>
          <w:lang w:eastAsia="en-AU"/>
        </w:rPr>
        <w:t>Submission details</w:t>
      </w:r>
      <w:bookmarkEnd w:id="7"/>
      <w:bookmarkEnd w:id="8"/>
      <w:bookmarkEnd w:id="9"/>
      <w:bookmarkEnd w:id="10"/>
    </w:p>
    <w:tbl>
      <w:tblPr>
        <w:tblW w:w="5000" w:type="pct"/>
        <w:tblLook w:val="01E0" w:firstRow="1" w:lastRow="1" w:firstColumn="1" w:lastColumn="1" w:noHBand="0" w:noVBand="0"/>
      </w:tblPr>
      <w:tblGrid>
        <w:gridCol w:w="2861"/>
        <w:gridCol w:w="6209"/>
      </w:tblGrid>
      <w:tr w:rsidR="00324B33" w:rsidRPr="003D1E62" w14:paraId="77D11C95" w14:textId="77777777" w:rsidTr="00272BC1">
        <w:tc>
          <w:tcPr>
            <w:tcW w:w="1577" w:type="pct"/>
          </w:tcPr>
          <w:p w14:paraId="10E57D62" w14:textId="77777777" w:rsidR="00324B33" w:rsidRPr="003D1E62" w:rsidRDefault="00324B33" w:rsidP="00EA3C32">
            <w:pPr>
              <w:rPr>
                <w:i/>
              </w:rPr>
            </w:pPr>
            <w:r>
              <w:rPr>
                <w:i/>
              </w:rPr>
              <w:t>Type of s</w:t>
            </w:r>
            <w:r w:rsidRPr="003D1E62">
              <w:rPr>
                <w:i/>
              </w:rPr>
              <w:t>ubmission</w:t>
            </w:r>
            <w:r>
              <w:rPr>
                <w:i/>
              </w:rPr>
              <w:t>:</w:t>
            </w:r>
          </w:p>
        </w:tc>
        <w:tc>
          <w:tcPr>
            <w:tcW w:w="3423" w:type="pct"/>
          </w:tcPr>
          <w:p w14:paraId="4F07C303" w14:textId="14BF9191" w:rsidR="00324B33" w:rsidRPr="003D1E62" w:rsidRDefault="00324B33" w:rsidP="00EA3C32">
            <w:r w:rsidRPr="003D1E62">
              <w:t xml:space="preserve">New </w:t>
            </w:r>
            <w:r w:rsidR="00272BC1">
              <w:t>biosimilar entity</w:t>
            </w:r>
          </w:p>
        </w:tc>
      </w:tr>
      <w:tr w:rsidR="00324B33" w:rsidRPr="003D1E62" w14:paraId="13482B61" w14:textId="77777777" w:rsidTr="00272BC1">
        <w:tc>
          <w:tcPr>
            <w:tcW w:w="1577" w:type="pct"/>
          </w:tcPr>
          <w:p w14:paraId="2C427FCF" w14:textId="1119D474" w:rsidR="00324B33" w:rsidRPr="003D1E62" w:rsidRDefault="00324B33" w:rsidP="00EA3C32">
            <w:pPr>
              <w:rPr>
                <w:i/>
              </w:rPr>
            </w:pPr>
            <w:r w:rsidRPr="00460036">
              <w:rPr>
                <w:i/>
              </w:rPr>
              <w:t>Product name</w:t>
            </w:r>
            <w:r w:rsidR="00272BC1">
              <w:rPr>
                <w:i/>
              </w:rPr>
              <w:t>s</w:t>
            </w:r>
            <w:r w:rsidRPr="00460036">
              <w:rPr>
                <w:i/>
              </w:rPr>
              <w:t>:</w:t>
            </w:r>
          </w:p>
        </w:tc>
        <w:tc>
          <w:tcPr>
            <w:tcW w:w="3423" w:type="pct"/>
          </w:tcPr>
          <w:p w14:paraId="0E2DEF76" w14:textId="7B97BAFC" w:rsidR="00324B33" w:rsidRPr="003D1E62" w:rsidRDefault="00272BC1" w:rsidP="00EA3C32">
            <w:proofErr w:type="spellStart"/>
            <w:r w:rsidRPr="00272BC1">
              <w:t>A</w:t>
            </w:r>
            <w:r>
              <w:t>rdalicip</w:t>
            </w:r>
            <w:proofErr w:type="spellEnd"/>
            <w:r>
              <w:t>/</w:t>
            </w:r>
            <w:proofErr w:type="spellStart"/>
            <w:r>
              <w:t>Ciptunec</w:t>
            </w:r>
            <w:proofErr w:type="spellEnd"/>
          </w:p>
        </w:tc>
      </w:tr>
      <w:tr w:rsidR="00324B33" w:rsidRPr="003D1E62" w14:paraId="01255B5B" w14:textId="77777777" w:rsidTr="00272BC1">
        <w:tc>
          <w:tcPr>
            <w:tcW w:w="1577" w:type="pct"/>
          </w:tcPr>
          <w:p w14:paraId="52B4F3D7" w14:textId="7CA38A56" w:rsidR="00324B33" w:rsidRPr="003D1E62" w:rsidRDefault="00324B33" w:rsidP="00EA3C32">
            <w:pPr>
              <w:rPr>
                <w:i/>
              </w:rPr>
            </w:pPr>
            <w:r w:rsidRPr="00460036">
              <w:rPr>
                <w:i/>
              </w:rPr>
              <w:t>Active ingredient:</w:t>
            </w:r>
          </w:p>
        </w:tc>
        <w:tc>
          <w:tcPr>
            <w:tcW w:w="3423" w:type="pct"/>
          </w:tcPr>
          <w:p w14:paraId="02FB6383" w14:textId="2219FE31" w:rsidR="00324B33" w:rsidRPr="003D1E62" w:rsidRDefault="00272BC1" w:rsidP="00EA3C32">
            <w:r>
              <w:t>Adalimumab</w:t>
            </w:r>
          </w:p>
        </w:tc>
      </w:tr>
      <w:tr w:rsidR="00324B33" w:rsidRPr="003D1E62" w14:paraId="219A281B" w14:textId="77777777" w:rsidTr="00272BC1">
        <w:tc>
          <w:tcPr>
            <w:tcW w:w="1577" w:type="pct"/>
          </w:tcPr>
          <w:p w14:paraId="112E5F78" w14:textId="77777777" w:rsidR="00324B33" w:rsidRPr="009F2673" w:rsidRDefault="00324B33" w:rsidP="00EA3C32">
            <w:pPr>
              <w:rPr>
                <w:i/>
              </w:rPr>
            </w:pPr>
            <w:r w:rsidRPr="003D1E62">
              <w:rPr>
                <w:i/>
              </w:rPr>
              <w:t>Decision</w:t>
            </w:r>
            <w:r w:rsidRPr="009F2673">
              <w:rPr>
                <w:i/>
              </w:rPr>
              <w:t>:</w:t>
            </w:r>
          </w:p>
        </w:tc>
        <w:tc>
          <w:tcPr>
            <w:tcW w:w="3423" w:type="pct"/>
          </w:tcPr>
          <w:p w14:paraId="3B114BEA" w14:textId="68F4C8A7" w:rsidR="00324B33" w:rsidRPr="003D1E62" w:rsidRDefault="00324B33" w:rsidP="00EA3C32">
            <w:r w:rsidRPr="00460036">
              <w:t>Approved</w:t>
            </w:r>
          </w:p>
        </w:tc>
      </w:tr>
      <w:tr w:rsidR="00324B33" w:rsidRPr="003D1E62" w14:paraId="479FE699" w14:textId="77777777" w:rsidTr="00272BC1">
        <w:tc>
          <w:tcPr>
            <w:tcW w:w="1577" w:type="pct"/>
          </w:tcPr>
          <w:p w14:paraId="32016688" w14:textId="77777777" w:rsidR="00324B33" w:rsidRPr="003D1E62" w:rsidRDefault="00324B33" w:rsidP="00EA3C32">
            <w:pPr>
              <w:rPr>
                <w:i/>
              </w:rPr>
            </w:pPr>
            <w:r w:rsidRPr="003D1E62">
              <w:rPr>
                <w:i/>
              </w:rPr>
              <w:t xml:space="preserve">Date of </w:t>
            </w:r>
            <w:r>
              <w:rPr>
                <w:i/>
              </w:rPr>
              <w:t>d</w:t>
            </w:r>
            <w:r w:rsidRPr="003D1E62">
              <w:rPr>
                <w:i/>
              </w:rPr>
              <w:t>ecision:</w:t>
            </w:r>
          </w:p>
        </w:tc>
        <w:tc>
          <w:tcPr>
            <w:tcW w:w="3423" w:type="pct"/>
          </w:tcPr>
          <w:p w14:paraId="7AC73742" w14:textId="509AEA8F" w:rsidR="00324B33" w:rsidRPr="003D1E62" w:rsidRDefault="00272BC1" w:rsidP="00EA3C32">
            <w:r w:rsidRPr="00272BC1">
              <w:t>23 August 2022</w:t>
            </w:r>
          </w:p>
        </w:tc>
      </w:tr>
      <w:tr w:rsidR="00324B33" w:rsidRPr="003D1E62" w14:paraId="60A25F5A" w14:textId="77777777" w:rsidTr="00272BC1">
        <w:tc>
          <w:tcPr>
            <w:tcW w:w="1577" w:type="pct"/>
          </w:tcPr>
          <w:p w14:paraId="5C5E4CBA" w14:textId="77777777" w:rsidR="00324B33" w:rsidRPr="00441C3F" w:rsidRDefault="00324B33" w:rsidP="00EA3C32">
            <w:pPr>
              <w:rPr>
                <w:i/>
              </w:rPr>
            </w:pPr>
            <w:r w:rsidRPr="00441C3F">
              <w:rPr>
                <w:i/>
              </w:rPr>
              <w:t>Date of entry onto ARTG</w:t>
            </w:r>
            <w:r>
              <w:rPr>
                <w:i/>
              </w:rPr>
              <w:t>:</w:t>
            </w:r>
          </w:p>
        </w:tc>
        <w:tc>
          <w:tcPr>
            <w:tcW w:w="3423" w:type="pct"/>
          </w:tcPr>
          <w:p w14:paraId="28B270E9" w14:textId="00C8824D" w:rsidR="00324B33" w:rsidRPr="009F2673" w:rsidRDefault="00272BC1" w:rsidP="00EA3C32">
            <w:r>
              <w:t>6 September 2022</w:t>
            </w:r>
          </w:p>
        </w:tc>
      </w:tr>
      <w:tr w:rsidR="00324B33" w:rsidRPr="003D1E62" w14:paraId="547E08D7" w14:textId="77777777" w:rsidTr="00272BC1">
        <w:tc>
          <w:tcPr>
            <w:tcW w:w="1577" w:type="pct"/>
          </w:tcPr>
          <w:p w14:paraId="5030EF30" w14:textId="2110BFC8" w:rsidR="00324B33" w:rsidRPr="00441C3F" w:rsidRDefault="00324B33" w:rsidP="00EA3C32">
            <w:pPr>
              <w:rPr>
                <w:i/>
              </w:rPr>
            </w:pPr>
            <w:r>
              <w:rPr>
                <w:i/>
              </w:rPr>
              <w:t>ARTG number</w:t>
            </w:r>
            <w:r w:rsidR="00272BC1">
              <w:rPr>
                <w:i/>
              </w:rPr>
              <w:t>s</w:t>
            </w:r>
            <w:r>
              <w:rPr>
                <w:i/>
              </w:rPr>
              <w:t>:</w:t>
            </w:r>
          </w:p>
        </w:tc>
        <w:tc>
          <w:tcPr>
            <w:tcW w:w="3423" w:type="pct"/>
          </w:tcPr>
          <w:p w14:paraId="0054E912" w14:textId="66F298A8" w:rsidR="00324B33" w:rsidRPr="00441C3F" w:rsidRDefault="00272BC1" w:rsidP="00EA3C32">
            <w:r>
              <w:t>373065, 37</w:t>
            </w:r>
            <w:r w:rsidR="00421DBB">
              <w:t>4373, 374374, 374375, 374376 and 374377</w:t>
            </w:r>
          </w:p>
        </w:tc>
      </w:tr>
      <w:tr w:rsidR="00324B33" w:rsidRPr="003D1E62" w14:paraId="7618393F" w14:textId="77777777" w:rsidTr="00272BC1">
        <w:tc>
          <w:tcPr>
            <w:tcW w:w="1577" w:type="pct"/>
          </w:tcPr>
          <w:p w14:paraId="02260DE2" w14:textId="3CEB6A8E" w:rsidR="00324B33" w:rsidRDefault="00324B33" w:rsidP="00EA3C32">
            <w:pPr>
              <w:rPr>
                <w:i/>
              </w:rPr>
            </w:pPr>
            <w:r>
              <w:rPr>
                <w:rFonts w:ascii="Wingdings 3" w:hAnsi="Wingdings 3"/>
                <w:sz w:val="34"/>
                <w:szCs w:val="34"/>
                <w:lang w:eastAsia="en-AU"/>
              </w:rPr>
              <w:t></w:t>
            </w:r>
            <w:hyperlink r:id="rId18" w:history="1">
              <w:r w:rsidRPr="009F2673">
                <w:rPr>
                  <w:rStyle w:val="Hyperlink"/>
                  <w:i/>
                </w:rPr>
                <w:t>Black Triangle Scheme</w:t>
              </w:r>
            </w:hyperlink>
            <w:r>
              <w:rPr>
                <w:i/>
              </w:rPr>
              <w:t>:</w:t>
            </w:r>
          </w:p>
        </w:tc>
        <w:tc>
          <w:tcPr>
            <w:tcW w:w="3423" w:type="pct"/>
          </w:tcPr>
          <w:p w14:paraId="6FF3C6A2" w14:textId="0A405948" w:rsidR="00324B33" w:rsidRPr="00487162" w:rsidRDefault="00324B33" w:rsidP="00EA3C32">
            <w:r>
              <w:t>No</w:t>
            </w:r>
          </w:p>
        </w:tc>
      </w:tr>
      <w:tr w:rsidR="00324B33" w:rsidRPr="003D1E62" w14:paraId="179E09FE" w14:textId="77777777" w:rsidTr="00272BC1">
        <w:tc>
          <w:tcPr>
            <w:tcW w:w="1577" w:type="pct"/>
          </w:tcPr>
          <w:p w14:paraId="1A592498" w14:textId="77777777" w:rsidR="00324B33" w:rsidRPr="009F2673" w:rsidRDefault="00324B33" w:rsidP="00EA3C32">
            <w:pPr>
              <w:rPr>
                <w:i/>
              </w:rPr>
            </w:pPr>
            <w:r w:rsidRPr="00487162">
              <w:rPr>
                <w:i/>
              </w:rPr>
              <w:t xml:space="preserve">Sponsor’s </w:t>
            </w:r>
            <w:r>
              <w:rPr>
                <w:i/>
              </w:rPr>
              <w:t>n</w:t>
            </w:r>
            <w:r w:rsidRPr="00487162">
              <w:rPr>
                <w:i/>
              </w:rPr>
              <w:t xml:space="preserve">ame and </w:t>
            </w:r>
            <w:r>
              <w:rPr>
                <w:i/>
              </w:rPr>
              <w:t>a</w:t>
            </w:r>
            <w:r w:rsidRPr="00487162">
              <w:rPr>
                <w:i/>
              </w:rPr>
              <w:t>ddress:</w:t>
            </w:r>
          </w:p>
        </w:tc>
        <w:tc>
          <w:tcPr>
            <w:tcW w:w="3423" w:type="pct"/>
          </w:tcPr>
          <w:p w14:paraId="2BB44714" w14:textId="77777777" w:rsidR="00421DBB" w:rsidRDefault="00421DBB" w:rsidP="00421DBB">
            <w:r>
              <w:t>Cipla Australia Pty Ltd</w:t>
            </w:r>
          </w:p>
          <w:p w14:paraId="3E178AA1" w14:textId="01EEEA07" w:rsidR="00421DBB" w:rsidRDefault="00421DBB" w:rsidP="00421DBB">
            <w:r>
              <w:t xml:space="preserve">Level 1/132-136 Albert </w:t>
            </w:r>
            <w:r w:rsidR="004573B7">
              <w:t>R</w:t>
            </w:r>
            <w:r>
              <w:t>oad,</w:t>
            </w:r>
          </w:p>
          <w:p w14:paraId="68DD94B0" w14:textId="72B48941" w:rsidR="00324B33" w:rsidRDefault="00421DBB" w:rsidP="00421DBB">
            <w:r>
              <w:t>South Melbourne VIC 3205.</w:t>
            </w:r>
          </w:p>
        </w:tc>
      </w:tr>
      <w:tr w:rsidR="00324B33" w:rsidRPr="003D1E62" w14:paraId="5322B989" w14:textId="77777777" w:rsidTr="00272BC1">
        <w:tc>
          <w:tcPr>
            <w:tcW w:w="1577" w:type="pct"/>
          </w:tcPr>
          <w:p w14:paraId="24F217E3" w14:textId="19CF00E1" w:rsidR="00324B33" w:rsidRPr="00487162" w:rsidRDefault="00324B33" w:rsidP="00EA3C32">
            <w:pPr>
              <w:rPr>
                <w:i/>
              </w:rPr>
            </w:pPr>
            <w:r>
              <w:rPr>
                <w:i/>
              </w:rPr>
              <w:t>Dose form:</w:t>
            </w:r>
          </w:p>
        </w:tc>
        <w:tc>
          <w:tcPr>
            <w:tcW w:w="3423" w:type="pct"/>
          </w:tcPr>
          <w:p w14:paraId="768B254C" w14:textId="4A7EB425" w:rsidR="00324B33" w:rsidRDefault="00421DBB" w:rsidP="00EA3C32">
            <w:r>
              <w:t xml:space="preserve">Solution for </w:t>
            </w:r>
            <w:r w:rsidRPr="00421DBB">
              <w:t>subcutaneous injection</w:t>
            </w:r>
          </w:p>
        </w:tc>
      </w:tr>
      <w:tr w:rsidR="00324B33" w:rsidRPr="003D1E62" w14:paraId="115243E6" w14:textId="77777777" w:rsidTr="00272BC1">
        <w:tc>
          <w:tcPr>
            <w:tcW w:w="1577" w:type="pct"/>
          </w:tcPr>
          <w:p w14:paraId="7634B062" w14:textId="12D38613" w:rsidR="00324B33" w:rsidRPr="00487162" w:rsidRDefault="00324B33" w:rsidP="00EA3C32">
            <w:pPr>
              <w:rPr>
                <w:i/>
              </w:rPr>
            </w:pPr>
            <w:r w:rsidRPr="00487162">
              <w:rPr>
                <w:i/>
              </w:rPr>
              <w:t>Strength</w:t>
            </w:r>
            <w:r w:rsidR="00421DBB">
              <w:rPr>
                <w:i/>
              </w:rPr>
              <w:t>s</w:t>
            </w:r>
            <w:r w:rsidRPr="00487162">
              <w:rPr>
                <w:i/>
              </w:rPr>
              <w:t>:</w:t>
            </w:r>
          </w:p>
        </w:tc>
        <w:tc>
          <w:tcPr>
            <w:tcW w:w="3423" w:type="pct"/>
          </w:tcPr>
          <w:p w14:paraId="5E5F83DB" w14:textId="33CAEB73" w:rsidR="00324B33" w:rsidRDefault="00421DBB" w:rsidP="00EA3C32">
            <w:r>
              <w:t>40 mg/0.4 mL and 80 mg/0.8 mL</w:t>
            </w:r>
          </w:p>
        </w:tc>
      </w:tr>
      <w:tr w:rsidR="00324B33" w:rsidRPr="003D1E62" w14:paraId="34B07BA6" w14:textId="77777777" w:rsidTr="00272BC1">
        <w:tc>
          <w:tcPr>
            <w:tcW w:w="1577" w:type="pct"/>
          </w:tcPr>
          <w:p w14:paraId="1C039224" w14:textId="7135D157" w:rsidR="00324B33" w:rsidRPr="00487162" w:rsidRDefault="00324B33" w:rsidP="00EA3C32">
            <w:pPr>
              <w:rPr>
                <w:i/>
              </w:rPr>
            </w:pPr>
            <w:r w:rsidRPr="00487162">
              <w:rPr>
                <w:i/>
              </w:rPr>
              <w:t>Containers:</w:t>
            </w:r>
          </w:p>
        </w:tc>
        <w:tc>
          <w:tcPr>
            <w:tcW w:w="3423" w:type="pct"/>
          </w:tcPr>
          <w:p w14:paraId="500A42C6" w14:textId="15D5FBD2" w:rsidR="00324B33" w:rsidRDefault="00421DBB" w:rsidP="00EA3C32">
            <w:r>
              <w:t>Pre-filled syringe and pre-filled pen</w:t>
            </w:r>
          </w:p>
        </w:tc>
      </w:tr>
      <w:tr w:rsidR="00324B33" w:rsidRPr="003D1E62" w14:paraId="176B6773" w14:textId="77777777" w:rsidTr="00272BC1">
        <w:tc>
          <w:tcPr>
            <w:tcW w:w="1577" w:type="pct"/>
          </w:tcPr>
          <w:p w14:paraId="71846159" w14:textId="70FA4101" w:rsidR="00324B33" w:rsidRPr="00487162" w:rsidRDefault="00324B33" w:rsidP="00EA3C32">
            <w:pPr>
              <w:rPr>
                <w:i/>
              </w:rPr>
            </w:pPr>
            <w:r w:rsidRPr="00487162">
              <w:rPr>
                <w:i/>
              </w:rPr>
              <w:t>Pack size</w:t>
            </w:r>
            <w:r w:rsidR="00421DBB">
              <w:rPr>
                <w:i/>
              </w:rPr>
              <w:t>s</w:t>
            </w:r>
            <w:r w:rsidRPr="00487162">
              <w:rPr>
                <w:i/>
              </w:rPr>
              <w:t>:</w:t>
            </w:r>
          </w:p>
        </w:tc>
        <w:tc>
          <w:tcPr>
            <w:tcW w:w="3423" w:type="pct"/>
          </w:tcPr>
          <w:p w14:paraId="3E9B3609" w14:textId="2B900C9D" w:rsidR="00324B33" w:rsidRDefault="00421DBB" w:rsidP="00EA3C32">
            <w:r>
              <w:t>40 mg/0.4 mL :1, 2 and 6 pre-filled syringes and pre-filled pen</w:t>
            </w:r>
          </w:p>
          <w:p w14:paraId="7E978F8F" w14:textId="5CEAD7FB" w:rsidR="00421DBB" w:rsidRDefault="00421DBB" w:rsidP="00EA3C32">
            <w:r>
              <w:t>80 mg/0.8 mL: 1 pre-filled syringe</w:t>
            </w:r>
          </w:p>
        </w:tc>
      </w:tr>
      <w:tr w:rsidR="00324B33" w:rsidRPr="003D1E62" w14:paraId="19A2544A" w14:textId="77777777" w:rsidTr="00272BC1">
        <w:tc>
          <w:tcPr>
            <w:tcW w:w="1577" w:type="pct"/>
          </w:tcPr>
          <w:p w14:paraId="0E6C5C0E" w14:textId="77777777" w:rsidR="00324B33" w:rsidRPr="00487162" w:rsidRDefault="00324B33" w:rsidP="00EA3C32">
            <w:pPr>
              <w:rPr>
                <w:i/>
              </w:rPr>
            </w:pPr>
            <w:r w:rsidRPr="00487162">
              <w:rPr>
                <w:i/>
              </w:rPr>
              <w:t xml:space="preserve">Approved </w:t>
            </w:r>
            <w:r>
              <w:rPr>
                <w:i/>
              </w:rPr>
              <w:t>t</w:t>
            </w:r>
            <w:r w:rsidRPr="00487162">
              <w:rPr>
                <w:i/>
              </w:rPr>
              <w:t>herapeutic use:</w:t>
            </w:r>
          </w:p>
        </w:tc>
        <w:tc>
          <w:tcPr>
            <w:tcW w:w="3423" w:type="pct"/>
          </w:tcPr>
          <w:p w14:paraId="63FE858A" w14:textId="77777777" w:rsidR="00421DBB" w:rsidRPr="00F5628B" w:rsidRDefault="00421DBB" w:rsidP="00421DBB">
            <w:pPr>
              <w:rPr>
                <w:b/>
                <w:i/>
                <w:iCs/>
              </w:rPr>
            </w:pPr>
            <w:r w:rsidRPr="00F5628B">
              <w:rPr>
                <w:b/>
                <w:i/>
                <w:iCs/>
              </w:rPr>
              <w:t>Rheumatoid arthritis</w:t>
            </w:r>
          </w:p>
          <w:p w14:paraId="78C67848" w14:textId="71016700" w:rsidR="00324B33"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w:t>
            </w:r>
          </w:p>
          <w:p w14:paraId="1EF0FB5F" w14:textId="77777777"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can be used alone or in combination with methotrexate.</w:t>
            </w:r>
          </w:p>
          <w:p w14:paraId="1DE8237C" w14:textId="77777777" w:rsidR="00421DBB" w:rsidRPr="00F5628B" w:rsidRDefault="00421DBB" w:rsidP="00421DBB">
            <w:pPr>
              <w:rPr>
                <w:b/>
                <w:i/>
                <w:iCs/>
              </w:rPr>
            </w:pPr>
            <w:r w:rsidRPr="00F5628B">
              <w:rPr>
                <w:b/>
                <w:i/>
                <w:iCs/>
              </w:rPr>
              <w:t>Juvenile idiopathic arthritis</w:t>
            </w:r>
          </w:p>
          <w:p w14:paraId="6DA619D2" w14:textId="77777777" w:rsidR="00421DBB" w:rsidRPr="00F5628B" w:rsidRDefault="00421DBB" w:rsidP="00421DBB">
            <w:pPr>
              <w:rPr>
                <w:b/>
                <w:i/>
                <w:iCs/>
              </w:rPr>
            </w:pPr>
            <w:r w:rsidRPr="00F5628B">
              <w:rPr>
                <w:b/>
                <w:i/>
                <w:iCs/>
              </w:rPr>
              <w:t>Polyarticular juvenile idiopathic arthritis</w:t>
            </w:r>
          </w:p>
          <w:p w14:paraId="18397BF6" w14:textId="77777777"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in combination with methotrexate is indicated for reducing the signs and symptoms of moderately to severely active polyarticular juvenile idiopathic arthritis in patients 2 years of age and older weighing ≥ 30 kg who have had an inadequate response to one or more disease modifying anti-rheumatic drugs (DMARDs). </w:t>
            </w: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can be given as monotherapy in case of intolerance to methotrexate or when continued treatment with methotrexate is inappropriate.</w:t>
            </w:r>
          </w:p>
          <w:p w14:paraId="17FF4B4E" w14:textId="77777777" w:rsidR="00D66D9D" w:rsidRDefault="00D66D9D" w:rsidP="00421DBB">
            <w:pPr>
              <w:rPr>
                <w:i/>
                <w:iCs/>
                <w:u w:val="single"/>
              </w:rPr>
            </w:pPr>
          </w:p>
          <w:p w14:paraId="70554AC8" w14:textId="73D0454B" w:rsidR="00421DBB" w:rsidRPr="00F5628B" w:rsidRDefault="00421DBB" w:rsidP="00421DBB">
            <w:pPr>
              <w:rPr>
                <w:b/>
                <w:i/>
                <w:iCs/>
              </w:rPr>
            </w:pPr>
            <w:proofErr w:type="spellStart"/>
            <w:r w:rsidRPr="00F5628B">
              <w:rPr>
                <w:b/>
                <w:i/>
                <w:iCs/>
              </w:rPr>
              <w:lastRenderedPageBreak/>
              <w:t>Enthesitis</w:t>
            </w:r>
            <w:proofErr w:type="spellEnd"/>
            <w:r w:rsidRPr="00F5628B">
              <w:rPr>
                <w:b/>
                <w:i/>
                <w:iCs/>
              </w:rPr>
              <w:t>-related arthritis</w:t>
            </w:r>
          </w:p>
          <w:p w14:paraId="1322C043" w14:textId="77777777"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w:t>
            </w:r>
            <w:proofErr w:type="spellStart"/>
            <w:r w:rsidRPr="00421DBB">
              <w:rPr>
                <w:i/>
                <w:iCs/>
              </w:rPr>
              <w:t>enthesitis</w:t>
            </w:r>
            <w:proofErr w:type="spellEnd"/>
            <w:r w:rsidRPr="00421DBB">
              <w:rPr>
                <w:i/>
                <w:iCs/>
              </w:rPr>
              <w:t>-related arthritis in children, who have had an inadequate response to, or who are intolerant to, conventional therapy.</w:t>
            </w:r>
          </w:p>
          <w:p w14:paraId="37368981" w14:textId="77777777" w:rsidR="00421DBB" w:rsidRPr="00F5628B" w:rsidRDefault="00421DBB" w:rsidP="00421DBB">
            <w:pPr>
              <w:rPr>
                <w:b/>
                <w:i/>
                <w:iCs/>
              </w:rPr>
            </w:pPr>
            <w:r w:rsidRPr="00F5628B">
              <w:rPr>
                <w:b/>
                <w:i/>
                <w:iCs/>
              </w:rPr>
              <w:t>Psoriatic arthritis</w:t>
            </w:r>
          </w:p>
          <w:p w14:paraId="4245F86C" w14:textId="77777777"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signs and symptoms, as well as inhibiting the progression of structural damage, of moderate to severely active psoriatic arthritis in adult patients where response to previous DMARDs has been inadequate.</w:t>
            </w:r>
          </w:p>
          <w:p w14:paraId="115829EB" w14:textId="77777777" w:rsidR="00421DBB" w:rsidRPr="00F5628B" w:rsidRDefault="00421DBB" w:rsidP="00421DBB">
            <w:pPr>
              <w:rPr>
                <w:b/>
                <w:i/>
                <w:iCs/>
              </w:rPr>
            </w:pPr>
            <w:r w:rsidRPr="00F5628B">
              <w:rPr>
                <w:b/>
                <w:i/>
                <w:iCs/>
              </w:rPr>
              <w:t>Ankylosing spondylitis</w:t>
            </w:r>
          </w:p>
          <w:p w14:paraId="7E4CD84F" w14:textId="77777777"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reducing signs and symptoms in patients with active ankylosing spondylitis.</w:t>
            </w:r>
          </w:p>
          <w:p w14:paraId="65135AE3" w14:textId="719B07E1" w:rsidR="00421DBB" w:rsidRPr="00F5628B" w:rsidRDefault="00421DBB" w:rsidP="00421DBB">
            <w:pPr>
              <w:rPr>
                <w:b/>
                <w:i/>
                <w:iCs/>
              </w:rPr>
            </w:pPr>
            <w:r w:rsidRPr="00F5628B">
              <w:rPr>
                <w:b/>
                <w:i/>
                <w:iCs/>
              </w:rPr>
              <w:t>Crohn’s disease in adults and children (≥ 6 years; weighing</w:t>
            </w:r>
            <w:r w:rsidR="00D66D9D" w:rsidRPr="00F5628B">
              <w:rPr>
                <w:b/>
                <w:i/>
                <w:iCs/>
              </w:rPr>
              <w:t> </w:t>
            </w:r>
            <w:r w:rsidRPr="00F5628B">
              <w:rPr>
                <w:b/>
                <w:i/>
                <w:iCs/>
              </w:rPr>
              <w:t>≥</w:t>
            </w:r>
            <w:r w:rsidR="00D66D9D" w:rsidRPr="00F5628B">
              <w:rPr>
                <w:b/>
                <w:i/>
                <w:iCs/>
              </w:rPr>
              <w:t> </w:t>
            </w:r>
            <w:r w:rsidRPr="00F5628B">
              <w:rPr>
                <w:b/>
                <w:i/>
                <w:iCs/>
              </w:rPr>
              <w:t>40</w:t>
            </w:r>
            <w:r w:rsidR="00D66D9D" w:rsidRPr="00F5628B">
              <w:rPr>
                <w:b/>
                <w:i/>
                <w:iCs/>
              </w:rPr>
              <w:t> </w:t>
            </w:r>
            <w:r w:rsidRPr="00F5628B">
              <w:rPr>
                <w:b/>
                <w:i/>
                <w:iCs/>
              </w:rPr>
              <w:t>kg)</w:t>
            </w:r>
          </w:p>
          <w:p w14:paraId="3292B0F9" w14:textId="77777777" w:rsidR="00421DBB" w:rsidRPr="00433F2E" w:rsidRDefault="00421DBB" w:rsidP="00421DBB">
            <w:pPr>
              <w:rPr>
                <w:i/>
                <w:iCs/>
                <w:color w:val="000000" w:themeColor="text1"/>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moderate to severe Crohn’s disease, to reduce the signs and symptoms of the disease and to induce and maintain clinical </w:t>
            </w:r>
            <w:r w:rsidRPr="00433F2E">
              <w:rPr>
                <w:i/>
                <w:iCs/>
                <w:color w:val="000000" w:themeColor="text1"/>
              </w:rPr>
              <w:t xml:space="preserve">remission in </w:t>
            </w:r>
            <w:proofErr w:type="gramStart"/>
            <w:r w:rsidRPr="00433F2E">
              <w:rPr>
                <w:i/>
                <w:iCs/>
                <w:color w:val="000000" w:themeColor="text1"/>
              </w:rPr>
              <w:t>patients;</w:t>
            </w:r>
            <w:proofErr w:type="gramEnd"/>
          </w:p>
          <w:p w14:paraId="409C199F" w14:textId="24940505" w:rsidR="00421DBB" w:rsidRPr="00433F2E" w:rsidRDefault="00421DBB" w:rsidP="00421DBB">
            <w:pPr>
              <w:pStyle w:val="ListBullet"/>
              <w:rPr>
                <w:i/>
                <w:iCs/>
                <w:color w:val="000000" w:themeColor="text1"/>
              </w:rPr>
            </w:pPr>
            <w:r w:rsidRPr="00433F2E">
              <w:rPr>
                <w:i/>
                <w:iCs/>
                <w:color w:val="000000" w:themeColor="text1"/>
              </w:rPr>
              <w:t>who have had an inadequate response to conventional therapies or,</w:t>
            </w:r>
          </w:p>
          <w:p w14:paraId="3F8FC872" w14:textId="6F3CAF30" w:rsidR="00421DBB" w:rsidRPr="00433F2E" w:rsidRDefault="00421DBB" w:rsidP="00421DBB">
            <w:pPr>
              <w:pStyle w:val="ListBullet"/>
              <w:rPr>
                <w:i/>
                <w:iCs/>
                <w:color w:val="000000" w:themeColor="text1"/>
              </w:rPr>
            </w:pPr>
            <w:r w:rsidRPr="00433F2E">
              <w:rPr>
                <w:i/>
                <w:iCs/>
                <w:color w:val="000000" w:themeColor="text1"/>
              </w:rPr>
              <w:t xml:space="preserve">who have lost response to or are intolerant to </w:t>
            </w:r>
            <w:proofErr w:type="gramStart"/>
            <w:r w:rsidRPr="00433F2E">
              <w:rPr>
                <w:i/>
                <w:iCs/>
                <w:color w:val="000000" w:themeColor="text1"/>
              </w:rPr>
              <w:t>infliximab</w:t>
            </w:r>
            <w:proofErr w:type="gramEnd"/>
          </w:p>
          <w:p w14:paraId="0A099589" w14:textId="77777777" w:rsidR="00421DBB" w:rsidRPr="00F5628B" w:rsidRDefault="00421DBB" w:rsidP="00421DBB">
            <w:pPr>
              <w:rPr>
                <w:b/>
                <w:i/>
                <w:iCs/>
              </w:rPr>
            </w:pPr>
            <w:r w:rsidRPr="00F5628B">
              <w:rPr>
                <w:b/>
                <w:i/>
                <w:iCs/>
              </w:rPr>
              <w:t>Ulcerative colitis</w:t>
            </w:r>
          </w:p>
          <w:p w14:paraId="5DD96D26" w14:textId="638A42B7"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moderate to severe ulcerative colitis in adult patients who have had an inadequate response to conventional therapy or who are intolerant to or have medical contraindications for such therapies. Patients should show a clinical response within 8</w:t>
            </w:r>
            <w:r w:rsidR="00D66D9D">
              <w:rPr>
                <w:i/>
                <w:iCs/>
              </w:rPr>
              <w:t> </w:t>
            </w:r>
            <w:r w:rsidRPr="00421DBB">
              <w:rPr>
                <w:i/>
                <w:iCs/>
              </w:rPr>
              <w:t>weeks of treatment to continue treatment beyond that time (see section 5.1 Pharmacodynamic properties -clinical trials).</w:t>
            </w:r>
          </w:p>
          <w:p w14:paraId="1AB7BB72" w14:textId="77777777" w:rsidR="00421DBB" w:rsidRPr="00F5628B" w:rsidRDefault="00421DBB" w:rsidP="00421DBB">
            <w:pPr>
              <w:rPr>
                <w:b/>
                <w:i/>
                <w:iCs/>
              </w:rPr>
            </w:pPr>
            <w:r w:rsidRPr="00F5628B">
              <w:rPr>
                <w:b/>
                <w:i/>
                <w:iCs/>
              </w:rPr>
              <w:t>Psoriasis in adults and children</w:t>
            </w:r>
          </w:p>
          <w:p w14:paraId="159ED63D" w14:textId="77777777"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moderate to severe chronic plaque psoriasis in adult patients who are candidates for systemic therapy or phototherapy.</w:t>
            </w:r>
          </w:p>
          <w:p w14:paraId="098DA320" w14:textId="77777777"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severe chronic plaque psoriasis in children and adolescent patients from 4 years of age weighing ≥ 40 kg who have had an inadequate response to or are inappropriate candidates for topical therapy and phototherapy.</w:t>
            </w:r>
          </w:p>
          <w:p w14:paraId="2327DB6B" w14:textId="77777777" w:rsidR="00D66D9D" w:rsidRDefault="00D66D9D" w:rsidP="00421DBB">
            <w:pPr>
              <w:rPr>
                <w:b/>
                <w:i/>
                <w:iCs/>
              </w:rPr>
            </w:pPr>
          </w:p>
          <w:p w14:paraId="72620F8D" w14:textId="77777777" w:rsidR="00D66D9D" w:rsidRDefault="00D66D9D" w:rsidP="00421DBB">
            <w:pPr>
              <w:rPr>
                <w:b/>
                <w:i/>
                <w:iCs/>
              </w:rPr>
            </w:pPr>
          </w:p>
          <w:p w14:paraId="19B7C89C" w14:textId="4A2E499C" w:rsidR="00421DBB" w:rsidRPr="00F5628B" w:rsidRDefault="00421DBB" w:rsidP="00421DBB">
            <w:pPr>
              <w:rPr>
                <w:b/>
                <w:i/>
                <w:iCs/>
              </w:rPr>
            </w:pPr>
            <w:r w:rsidRPr="00F5628B">
              <w:rPr>
                <w:b/>
                <w:i/>
                <w:iCs/>
              </w:rPr>
              <w:lastRenderedPageBreak/>
              <w:t>Hidradenitis suppurativa in adults and adolescents (from</w:t>
            </w:r>
            <w:r w:rsidR="00D66D9D">
              <w:rPr>
                <w:b/>
                <w:i/>
                <w:iCs/>
              </w:rPr>
              <w:t> </w:t>
            </w:r>
            <w:r w:rsidRPr="00F5628B">
              <w:rPr>
                <w:b/>
                <w:i/>
                <w:iCs/>
              </w:rPr>
              <w:t>12 years of age)</w:t>
            </w:r>
          </w:p>
          <w:p w14:paraId="3A97D52D" w14:textId="77777777"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active moderate to severe hidradenitis suppurativa (acne </w:t>
            </w:r>
            <w:proofErr w:type="spellStart"/>
            <w:r w:rsidRPr="00421DBB">
              <w:rPr>
                <w:i/>
                <w:iCs/>
              </w:rPr>
              <w:t>inversa</w:t>
            </w:r>
            <w:proofErr w:type="spellEnd"/>
            <w:r w:rsidRPr="00421DBB">
              <w:rPr>
                <w:i/>
                <w:iCs/>
              </w:rPr>
              <w:t>) in patients with an inadequate response to conventional systemic hidradenitis suppurativa therapy.</w:t>
            </w:r>
          </w:p>
          <w:p w14:paraId="6DD9E447" w14:textId="77777777" w:rsidR="00421DBB" w:rsidRPr="00F5628B" w:rsidRDefault="00421DBB" w:rsidP="00421DBB">
            <w:pPr>
              <w:rPr>
                <w:b/>
                <w:i/>
                <w:iCs/>
              </w:rPr>
            </w:pPr>
            <w:r w:rsidRPr="00F5628B">
              <w:rPr>
                <w:b/>
                <w:i/>
                <w:iCs/>
              </w:rPr>
              <w:t>Uveitis</w:t>
            </w:r>
          </w:p>
          <w:p w14:paraId="6E143E2E" w14:textId="5C70BEBC" w:rsidR="00421DBB" w:rsidRPr="00421DBB" w:rsidRDefault="00421DBB" w:rsidP="00421DBB">
            <w:pPr>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non-infectious intermediate, posterior and pan-uveitis in adult patients who have had an inadequate response to corticosteroids, in patients in need of corticosteroid sparing, or in whom corticosteroid treatment is inappropriate.</w:t>
            </w:r>
          </w:p>
        </w:tc>
      </w:tr>
      <w:tr w:rsidR="00324B33" w:rsidRPr="003D1E62" w14:paraId="5AFDEED3" w14:textId="77777777" w:rsidTr="00272BC1">
        <w:tc>
          <w:tcPr>
            <w:tcW w:w="1577" w:type="pct"/>
          </w:tcPr>
          <w:p w14:paraId="03884BD1" w14:textId="64CF4602" w:rsidR="00324B33" w:rsidRPr="00487162" w:rsidRDefault="00324B33" w:rsidP="00EA3C32">
            <w:pPr>
              <w:rPr>
                <w:i/>
              </w:rPr>
            </w:pPr>
            <w:r w:rsidRPr="00487162">
              <w:rPr>
                <w:i/>
              </w:rPr>
              <w:lastRenderedPageBreak/>
              <w:t>Route of administration:</w:t>
            </w:r>
          </w:p>
        </w:tc>
        <w:tc>
          <w:tcPr>
            <w:tcW w:w="3423" w:type="pct"/>
          </w:tcPr>
          <w:p w14:paraId="1ED1357E" w14:textId="71B621F4" w:rsidR="00324B33" w:rsidRPr="00487162" w:rsidRDefault="00421DBB" w:rsidP="00EA3C32">
            <w:r>
              <w:t>Subcutaneous injection</w:t>
            </w:r>
          </w:p>
        </w:tc>
      </w:tr>
      <w:tr w:rsidR="00324B33" w:rsidRPr="003D1E62" w14:paraId="70D7E9FA" w14:textId="77777777" w:rsidTr="00272BC1">
        <w:tc>
          <w:tcPr>
            <w:tcW w:w="1577" w:type="pct"/>
          </w:tcPr>
          <w:p w14:paraId="5ABFFC80" w14:textId="77777777" w:rsidR="00324B33" w:rsidRPr="00487162" w:rsidRDefault="00324B33" w:rsidP="00EA3C32">
            <w:pPr>
              <w:rPr>
                <w:i/>
              </w:rPr>
            </w:pPr>
            <w:r w:rsidRPr="00487162">
              <w:rPr>
                <w:i/>
              </w:rPr>
              <w:t>Dosage:</w:t>
            </w:r>
          </w:p>
        </w:tc>
        <w:tc>
          <w:tcPr>
            <w:tcW w:w="3423" w:type="pct"/>
          </w:tcPr>
          <w:p w14:paraId="10FE4D92" w14:textId="77777777" w:rsidR="00F6335C" w:rsidRPr="00F6335C" w:rsidRDefault="00F6335C" w:rsidP="00F6335C">
            <w:proofErr w:type="spellStart"/>
            <w:r w:rsidRPr="00F6335C">
              <w:t>Ardalicip</w:t>
            </w:r>
            <w:proofErr w:type="spellEnd"/>
            <w:r w:rsidRPr="00F6335C">
              <w:t xml:space="preserve"> </w:t>
            </w:r>
            <w:r>
              <w:t xml:space="preserve">and </w:t>
            </w:r>
            <w:proofErr w:type="spellStart"/>
            <w:r>
              <w:t>Ciptunec</w:t>
            </w:r>
            <w:proofErr w:type="spellEnd"/>
            <w:r>
              <w:t xml:space="preserve"> </w:t>
            </w:r>
            <w:r w:rsidRPr="00F6335C">
              <w:t xml:space="preserve">(adalimumab) </w:t>
            </w:r>
            <w:r>
              <w:t xml:space="preserve">are </w:t>
            </w:r>
            <w:r w:rsidRPr="00F6335C">
              <w:t>biosimilar medicine</w:t>
            </w:r>
            <w:r>
              <w:t>s</w:t>
            </w:r>
            <w:r w:rsidRPr="00F6335C">
              <w:t xml:space="preserve"> to Humira.</w:t>
            </w:r>
          </w:p>
          <w:p w14:paraId="293E89DD" w14:textId="52757FFB" w:rsidR="00F6335C" w:rsidRDefault="00F6335C" w:rsidP="00F6335C">
            <w:r w:rsidRPr="00F6335C">
              <w:t xml:space="preserve">The comparability of </w:t>
            </w:r>
            <w:proofErr w:type="spellStart"/>
            <w:r w:rsidRPr="00F6335C">
              <w:t>Ardalicip</w:t>
            </w:r>
            <w:proofErr w:type="spellEnd"/>
            <w:r>
              <w:t xml:space="preserve"> and </w:t>
            </w:r>
            <w:proofErr w:type="spellStart"/>
            <w:r>
              <w:t>Ciptunec</w:t>
            </w:r>
            <w:proofErr w:type="spellEnd"/>
            <w:r w:rsidRPr="00F6335C">
              <w:t xml:space="preserve"> with Humira has been demonstrated </w:t>
            </w:r>
            <w:proofErr w:type="gramStart"/>
            <w:r w:rsidRPr="00F6335C">
              <w:t>with regard to</w:t>
            </w:r>
            <w:proofErr w:type="gramEnd"/>
            <w:r w:rsidRPr="00F6335C">
              <w:t xml:space="preserve"> physicochemical characteristics and efficacy and safety outcomes (see Section 5 Pharmacological Properties, </w:t>
            </w:r>
            <w:r>
              <w:t>5.1 Pharmacodynamic properties,</w:t>
            </w:r>
            <w:r w:rsidRPr="00F6335C">
              <w:t xml:space="preserve"> Clinical trials and 4.8 Adverse Effects</w:t>
            </w:r>
            <w:r>
              <w:t xml:space="preserve"> of the Product Information</w:t>
            </w:r>
            <w:r w:rsidRPr="00F6335C">
              <w:t xml:space="preserve">). The evidence for comparability supports the use of </w:t>
            </w:r>
            <w:proofErr w:type="spellStart"/>
            <w:r w:rsidRPr="00F6335C">
              <w:t>Ardalicip</w:t>
            </w:r>
            <w:proofErr w:type="spellEnd"/>
            <w:r>
              <w:t xml:space="preserve"> or </w:t>
            </w:r>
            <w:proofErr w:type="spellStart"/>
            <w:r>
              <w:t>Ciptunec</w:t>
            </w:r>
            <w:proofErr w:type="spellEnd"/>
            <w:r w:rsidRPr="00F6335C">
              <w:t xml:space="preserve"> for the listed indications.</w:t>
            </w:r>
          </w:p>
          <w:p w14:paraId="42FA5234" w14:textId="0B8C87B3" w:rsidR="00F6335C" w:rsidRDefault="00F6335C" w:rsidP="00F6335C">
            <w:proofErr w:type="spellStart"/>
            <w:r>
              <w:t>Ardalicip</w:t>
            </w:r>
            <w:proofErr w:type="spellEnd"/>
            <w:r>
              <w:t xml:space="preserve"> and </w:t>
            </w:r>
            <w:proofErr w:type="spellStart"/>
            <w:r>
              <w:t>Ciptunec</w:t>
            </w:r>
            <w:proofErr w:type="spellEnd"/>
            <w:r>
              <w:t xml:space="preserve"> are administered by subcutaneous injection. This product is for one dose in one patient only.</w:t>
            </w:r>
          </w:p>
          <w:p w14:paraId="183060DF" w14:textId="020EA02B" w:rsidR="00F6335C" w:rsidRDefault="00F6335C" w:rsidP="00F6335C">
            <w:r>
              <w:t xml:space="preserve">Patients treated with </w:t>
            </w:r>
            <w:proofErr w:type="spellStart"/>
            <w:r>
              <w:t>Ardalicip</w:t>
            </w:r>
            <w:proofErr w:type="spellEnd"/>
            <w:r>
              <w:t xml:space="preserve"> or </w:t>
            </w:r>
            <w:proofErr w:type="spellStart"/>
            <w:r>
              <w:t>Ciptunec</w:t>
            </w:r>
            <w:proofErr w:type="spellEnd"/>
            <w:r>
              <w:t xml:space="preserve"> should be given the patient reminder card.</w:t>
            </w:r>
          </w:p>
          <w:p w14:paraId="17DEF1C3" w14:textId="53EFE2E4" w:rsidR="00F6335C" w:rsidRPr="00F6335C" w:rsidRDefault="00F6335C" w:rsidP="00F6335C">
            <w:r>
              <w:t xml:space="preserve">Healthcare providers should be advised that there is no dosage form of </w:t>
            </w:r>
            <w:proofErr w:type="spellStart"/>
            <w:r>
              <w:t>Ardalicip</w:t>
            </w:r>
            <w:proofErr w:type="spellEnd"/>
            <w:r>
              <w:t xml:space="preserve"> or </w:t>
            </w:r>
            <w:proofErr w:type="spellStart"/>
            <w:r>
              <w:t>Ciptunec</w:t>
            </w:r>
            <w:proofErr w:type="spellEnd"/>
            <w:r>
              <w:t xml:space="preserve"> available which allows dosing of less than 40 mg. As a result, there are no suitable </w:t>
            </w:r>
            <w:proofErr w:type="spellStart"/>
            <w:r>
              <w:t>Ardalicip</w:t>
            </w:r>
            <w:proofErr w:type="spellEnd"/>
            <w:r>
              <w:t xml:space="preserve"> dosage forms available for a subset of the paediatric indications for this drug.</w:t>
            </w:r>
          </w:p>
          <w:p w14:paraId="1246B144" w14:textId="0BE7DAB0" w:rsidR="00324B33" w:rsidRDefault="00526068" w:rsidP="00526068">
            <w:r>
              <w:t xml:space="preserve">The recommended dosage for </w:t>
            </w:r>
            <w:proofErr w:type="spellStart"/>
            <w:r w:rsidRPr="00526068">
              <w:t>Ciptunec</w:t>
            </w:r>
            <w:proofErr w:type="spellEnd"/>
            <w:r w:rsidRPr="00526068">
              <w:t xml:space="preserve"> and </w:t>
            </w:r>
            <w:proofErr w:type="spellStart"/>
            <w:r w:rsidRPr="00526068">
              <w:t>Ardalicip</w:t>
            </w:r>
            <w:proofErr w:type="spellEnd"/>
            <w:r>
              <w:t xml:space="preserve"> depends on the condition, </w:t>
            </w:r>
            <w:proofErr w:type="gramStart"/>
            <w:r>
              <w:t>age</w:t>
            </w:r>
            <w:proofErr w:type="gramEnd"/>
            <w:r>
              <w:t xml:space="preserve"> and weight of the patient.</w:t>
            </w:r>
          </w:p>
          <w:p w14:paraId="3D0B2D5C" w14:textId="77777777" w:rsidR="00324B33" w:rsidRPr="00487162" w:rsidRDefault="00324B33" w:rsidP="00EA3C32">
            <w:r w:rsidRPr="00460036">
              <w:t>For further information regarding dosage, refer to the Product Information.</w:t>
            </w:r>
          </w:p>
        </w:tc>
      </w:tr>
      <w:tr w:rsidR="00324B33" w:rsidRPr="003D1E62" w14:paraId="24DC408E" w14:textId="77777777" w:rsidTr="00272BC1">
        <w:tc>
          <w:tcPr>
            <w:tcW w:w="1577" w:type="pct"/>
          </w:tcPr>
          <w:p w14:paraId="26380792" w14:textId="77777777" w:rsidR="00324B33" w:rsidRPr="00487162" w:rsidRDefault="00324B33" w:rsidP="00EA3C32">
            <w:pPr>
              <w:rPr>
                <w:i/>
              </w:rPr>
            </w:pPr>
            <w:r w:rsidRPr="00460036">
              <w:rPr>
                <w:i/>
              </w:rPr>
              <w:t>Pregnancy category</w:t>
            </w:r>
            <w:r>
              <w:rPr>
                <w:i/>
              </w:rPr>
              <w:t>:</w:t>
            </w:r>
          </w:p>
        </w:tc>
        <w:tc>
          <w:tcPr>
            <w:tcW w:w="3423" w:type="pct"/>
          </w:tcPr>
          <w:p w14:paraId="4E87274F" w14:textId="5D5CAACC" w:rsidR="00324B33" w:rsidRDefault="00526068" w:rsidP="00EA3C32">
            <w:r>
              <w:t>C</w:t>
            </w:r>
          </w:p>
          <w:p w14:paraId="47113AD6" w14:textId="2F1448FF" w:rsidR="00526068" w:rsidRDefault="00526068" w:rsidP="00EA3C32">
            <w:r w:rsidRPr="00526068">
              <w:t xml:space="preserve">Drugs which, owing to their pharmacological effects, have </w:t>
            </w:r>
            <w:proofErr w:type="gramStart"/>
            <w:r w:rsidRPr="00526068">
              <w:t>caused</w:t>
            </w:r>
            <w:proofErr w:type="gramEnd"/>
            <w:r w:rsidRPr="00526068">
              <w:t xml:space="preserve"> or may be suspected of causing, harmful effects on the human </w:t>
            </w:r>
            <w:proofErr w:type="spellStart"/>
            <w:r w:rsidRPr="00526068">
              <w:t>fetus</w:t>
            </w:r>
            <w:proofErr w:type="spellEnd"/>
            <w:r w:rsidRPr="00526068">
              <w:t xml:space="preserve"> or neonate without causing malformations. These effects may be reversible. Accompanying texts should be consulted for further details.</w:t>
            </w:r>
          </w:p>
          <w:p w14:paraId="5E2AA3D6" w14:textId="39401092" w:rsidR="00324B33" w:rsidRPr="00487162" w:rsidRDefault="00324B33" w:rsidP="00EA3C32">
            <w:r>
              <w:t xml:space="preserve">The use of any medicine during pregnancy requires careful consideration of both risks and benefits by the treating health professional. This must not be used as the sole basis of decision making in the use of medicines during pregnancy. The TGA </w:t>
            </w:r>
            <w:r>
              <w:lastRenderedPageBreak/>
              <w:t>does not provide advice on the use of medicines in pregnancy for specific cases. More information is available from obstetric drug information services in your State or Territory.</w:t>
            </w:r>
          </w:p>
        </w:tc>
      </w:tr>
    </w:tbl>
    <w:p w14:paraId="51F2479F" w14:textId="77777777" w:rsidR="00324B33" w:rsidRDefault="00324B33" w:rsidP="00324B33">
      <w:pPr>
        <w:pStyle w:val="Heading3"/>
      </w:pPr>
      <w:bookmarkStart w:id="11" w:name="_Toc247691503"/>
      <w:bookmarkStart w:id="12" w:name="_Toc314842484"/>
      <w:bookmarkStart w:id="13" w:name="_Toc103679290"/>
      <w:bookmarkStart w:id="14" w:name="_Toc133478206"/>
      <w:r>
        <w:lastRenderedPageBreak/>
        <w:t>Product background</w:t>
      </w:r>
      <w:bookmarkEnd w:id="11"/>
      <w:bookmarkEnd w:id="12"/>
      <w:bookmarkEnd w:id="13"/>
      <w:bookmarkEnd w:id="14"/>
    </w:p>
    <w:p w14:paraId="56B27CF2" w14:textId="3AEAE1B3" w:rsidR="00324B33" w:rsidRDefault="00324B33" w:rsidP="00324B33">
      <w:r w:rsidRPr="000A4A42">
        <w:t xml:space="preserve">This AusPAR describes the </w:t>
      </w:r>
      <w:r>
        <w:t>submission</w:t>
      </w:r>
      <w:r w:rsidRPr="000A4A42">
        <w:t xml:space="preserve"> by </w:t>
      </w:r>
      <w:r w:rsidR="00526068">
        <w:t xml:space="preserve">Cipla Australia Pty Ltd </w:t>
      </w:r>
      <w:r w:rsidRPr="000A4A42">
        <w:t xml:space="preserve">(the sponsor) to register </w:t>
      </w:r>
      <w:proofErr w:type="spellStart"/>
      <w:r w:rsidR="00526068" w:rsidRPr="00272BC1">
        <w:t>A</w:t>
      </w:r>
      <w:r w:rsidR="00526068">
        <w:t>rdalicip</w:t>
      </w:r>
      <w:proofErr w:type="spellEnd"/>
      <w:r w:rsidR="00F6335C">
        <w:t xml:space="preserve"> (adalimumab) and </w:t>
      </w:r>
      <w:proofErr w:type="spellStart"/>
      <w:r w:rsidR="00526068">
        <w:t>Ciptunec</w:t>
      </w:r>
      <w:proofErr w:type="spellEnd"/>
      <w:r w:rsidR="00526068">
        <w:t xml:space="preserve"> (adalimumab</w:t>
      </w:r>
      <w:r w:rsidRPr="000A4A42">
        <w:t xml:space="preserve">) </w:t>
      </w:r>
      <w:r w:rsidR="00526068">
        <w:t>40 mg/0.4 mL and 80 mg/0.8 mL</w:t>
      </w:r>
      <w:r w:rsidRPr="000A4A42">
        <w:t xml:space="preserve">, </w:t>
      </w:r>
      <w:r w:rsidR="00526068">
        <w:t>solution for subcutaneous injection</w:t>
      </w:r>
      <w:r w:rsidRPr="000A4A42">
        <w:t xml:space="preserve"> for the following proposed indication:</w:t>
      </w:r>
    </w:p>
    <w:p w14:paraId="79870341" w14:textId="77777777" w:rsidR="0062485E" w:rsidRPr="00F5628B" w:rsidRDefault="0062485E" w:rsidP="0062485E">
      <w:pPr>
        <w:ind w:left="720"/>
        <w:rPr>
          <w:b/>
          <w:i/>
          <w:iCs/>
        </w:rPr>
      </w:pPr>
      <w:r w:rsidRPr="00F5628B">
        <w:rPr>
          <w:b/>
          <w:i/>
          <w:iCs/>
        </w:rPr>
        <w:t>Rheumatoid arthritis</w:t>
      </w:r>
    </w:p>
    <w:p w14:paraId="4B94DA23" w14:textId="26AF63F2" w:rsidR="0062485E" w:rsidRPr="0062485E" w:rsidRDefault="0062485E" w:rsidP="0062485E">
      <w:pPr>
        <w:ind w:left="720"/>
        <w:rPr>
          <w:i/>
          <w:iCs/>
        </w:rPr>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is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 </w:t>
      </w:r>
    </w:p>
    <w:p w14:paraId="28813E91" w14:textId="7BC54831" w:rsidR="0062485E" w:rsidRPr="0062485E" w:rsidRDefault="0062485E" w:rsidP="0062485E">
      <w:pPr>
        <w:ind w:left="720"/>
        <w:rPr>
          <w:i/>
          <w:iCs/>
        </w:rPr>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can be used alone or in combination with methotrexate.</w:t>
      </w:r>
    </w:p>
    <w:p w14:paraId="014A0FF4" w14:textId="2C08A734" w:rsidR="0062485E" w:rsidRPr="00F5628B" w:rsidRDefault="0062485E" w:rsidP="0062485E">
      <w:pPr>
        <w:ind w:left="720"/>
        <w:rPr>
          <w:b/>
          <w:i/>
          <w:iCs/>
        </w:rPr>
      </w:pPr>
      <w:r w:rsidRPr="00F5628B">
        <w:rPr>
          <w:b/>
          <w:i/>
          <w:iCs/>
        </w:rPr>
        <w:t>Juvenile idiopathic arthritis</w:t>
      </w:r>
    </w:p>
    <w:p w14:paraId="1152BDDD" w14:textId="77777777" w:rsidR="0062485E" w:rsidRPr="00F5628B" w:rsidRDefault="0062485E" w:rsidP="0062485E">
      <w:pPr>
        <w:ind w:left="720"/>
        <w:rPr>
          <w:b/>
          <w:i/>
          <w:iCs/>
        </w:rPr>
      </w:pPr>
      <w:r w:rsidRPr="00F5628B">
        <w:rPr>
          <w:b/>
          <w:i/>
          <w:iCs/>
        </w:rPr>
        <w:t xml:space="preserve">Polyarticular juvenile idiopathic arthritis </w:t>
      </w:r>
    </w:p>
    <w:p w14:paraId="2E4A7FEF" w14:textId="43499ED3" w:rsidR="0062485E" w:rsidRPr="0062485E" w:rsidRDefault="0062485E" w:rsidP="0062485E">
      <w:pPr>
        <w:ind w:left="720"/>
        <w:rPr>
          <w:i/>
          <w:iCs/>
        </w:rPr>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in combination with methotrexate is indicated for reducing the signs and symptoms of moderately to severely active polyarticular juvenile idiopathic arthritis in patients 2 years of age and older who have had an inadequate response to one or more disease modifying anti-rheumatic drugs (DMARDs). </w:t>
      </w:r>
      <w:proofErr w:type="spellStart"/>
      <w:r w:rsidR="00433F2E" w:rsidRPr="0062485E">
        <w:rPr>
          <w:i/>
          <w:iCs/>
        </w:rPr>
        <w:t>Ardalicip</w:t>
      </w:r>
      <w:proofErr w:type="spellEnd"/>
      <w:r w:rsidR="00433F2E" w:rsidRPr="0062485E">
        <w:rPr>
          <w:i/>
          <w:iCs/>
        </w:rPr>
        <w:t>/</w:t>
      </w:r>
      <w:proofErr w:type="spellStart"/>
      <w:r w:rsidR="00433F2E" w:rsidRPr="0062485E">
        <w:rPr>
          <w:i/>
          <w:iCs/>
        </w:rPr>
        <w:t>Ciptunec</w:t>
      </w:r>
      <w:proofErr w:type="spellEnd"/>
      <w:r w:rsidR="00433F2E" w:rsidRPr="0062485E">
        <w:rPr>
          <w:i/>
          <w:iCs/>
        </w:rPr>
        <w:t xml:space="preserve"> </w:t>
      </w:r>
      <w:r w:rsidRPr="0062485E">
        <w:rPr>
          <w:i/>
          <w:iCs/>
        </w:rPr>
        <w:t>can be given as monotherapy in case of intolerance to methotrexate or when continued treatment with methotrexate is inappropriate.</w:t>
      </w:r>
    </w:p>
    <w:p w14:paraId="7B1ABF16" w14:textId="63034B88" w:rsidR="0062485E" w:rsidRPr="00F5628B" w:rsidRDefault="0062485E" w:rsidP="0062485E">
      <w:pPr>
        <w:ind w:left="720"/>
        <w:rPr>
          <w:b/>
          <w:i/>
          <w:iCs/>
        </w:rPr>
      </w:pPr>
      <w:proofErr w:type="spellStart"/>
      <w:r w:rsidRPr="00F5628B">
        <w:rPr>
          <w:b/>
          <w:i/>
          <w:iCs/>
        </w:rPr>
        <w:t>Enthesitis</w:t>
      </w:r>
      <w:proofErr w:type="spellEnd"/>
      <w:r w:rsidRPr="00F5628B">
        <w:rPr>
          <w:b/>
          <w:i/>
          <w:iCs/>
        </w:rPr>
        <w:t>-related arthritis</w:t>
      </w:r>
    </w:p>
    <w:p w14:paraId="4C21AD95" w14:textId="0DC94879" w:rsidR="0062485E" w:rsidRPr="0062485E" w:rsidRDefault="0062485E" w:rsidP="0062485E">
      <w:pPr>
        <w:ind w:left="720"/>
        <w:rPr>
          <w:i/>
          <w:iCs/>
        </w:rPr>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is indicated for the treatment of </w:t>
      </w:r>
      <w:proofErr w:type="spellStart"/>
      <w:r w:rsidRPr="0062485E">
        <w:rPr>
          <w:i/>
          <w:iCs/>
        </w:rPr>
        <w:t>enthesitis</w:t>
      </w:r>
      <w:proofErr w:type="spellEnd"/>
      <w:r w:rsidRPr="0062485E">
        <w:rPr>
          <w:i/>
          <w:iCs/>
        </w:rPr>
        <w:t xml:space="preserve">-related arthritis in children, who have had an inadequate response to, or who are intolerant to, conventional therapy. </w:t>
      </w:r>
    </w:p>
    <w:p w14:paraId="430D15A7" w14:textId="107591DA" w:rsidR="0062485E" w:rsidRPr="00F5628B" w:rsidRDefault="0062485E" w:rsidP="0062485E">
      <w:pPr>
        <w:ind w:left="720"/>
        <w:rPr>
          <w:b/>
          <w:i/>
          <w:iCs/>
        </w:rPr>
      </w:pPr>
      <w:r w:rsidRPr="00F5628B">
        <w:rPr>
          <w:b/>
          <w:i/>
          <w:iCs/>
        </w:rPr>
        <w:t>Psoriatic arthritis</w:t>
      </w:r>
    </w:p>
    <w:p w14:paraId="6804906A" w14:textId="2FBE4A60" w:rsidR="0062485E" w:rsidRPr="0062485E" w:rsidRDefault="0062485E" w:rsidP="0062485E">
      <w:pPr>
        <w:ind w:left="720"/>
        <w:rPr>
          <w:i/>
          <w:iCs/>
        </w:rPr>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is indicated for the treatment of signs and symptoms, as well as inhibiting the progression of structural damage, of moderate to severely active psoriatic arthritis in adult patients where response to previous DMARDs has been inadequate.</w:t>
      </w:r>
    </w:p>
    <w:p w14:paraId="1225302A" w14:textId="09690BD3" w:rsidR="0062485E" w:rsidRPr="00F5628B" w:rsidRDefault="0062485E" w:rsidP="0062485E">
      <w:pPr>
        <w:ind w:left="720"/>
        <w:rPr>
          <w:b/>
          <w:i/>
          <w:iCs/>
        </w:rPr>
      </w:pPr>
      <w:r w:rsidRPr="00F5628B">
        <w:rPr>
          <w:b/>
          <w:i/>
          <w:iCs/>
        </w:rPr>
        <w:t>Ankylosing spondylitis</w:t>
      </w:r>
    </w:p>
    <w:p w14:paraId="37B58630" w14:textId="2B41C3B6" w:rsidR="0062485E" w:rsidRPr="0062485E" w:rsidRDefault="0062485E" w:rsidP="0062485E">
      <w:pPr>
        <w:ind w:left="720"/>
        <w:rPr>
          <w:i/>
          <w:iCs/>
        </w:rPr>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is indicated for reducing signs and symptoms in patients with active ankylosing spondylitis.</w:t>
      </w:r>
    </w:p>
    <w:p w14:paraId="49E9AB7D" w14:textId="1DF756E6" w:rsidR="0062485E" w:rsidRPr="00F5628B" w:rsidRDefault="0062485E" w:rsidP="0062485E">
      <w:pPr>
        <w:ind w:left="720"/>
        <w:rPr>
          <w:b/>
          <w:i/>
          <w:iCs/>
        </w:rPr>
      </w:pPr>
      <w:r w:rsidRPr="00F5628B">
        <w:rPr>
          <w:b/>
          <w:i/>
          <w:iCs/>
        </w:rPr>
        <w:t>Psoriasis in adults and children</w:t>
      </w:r>
    </w:p>
    <w:p w14:paraId="2464C243" w14:textId="695D5BB2" w:rsidR="0062485E" w:rsidRPr="0062485E" w:rsidRDefault="0062485E" w:rsidP="0062485E">
      <w:pPr>
        <w:ind w:left="720"/>
        <w:rPr>
          <w:i/>
          <w:iCs/>
        </w:rPr>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is indicated for the treatment of moderate to severe chronic plaque psoriasis in adult patients who are candidates for systemic therapy or phototherapy. </w:t>
      </w:r>
    </w:p>
    <w:p w14:paraId="487D54BD" w14:textId="4BB5765D" w:rsidR="0062485E" w:rsidRPr="0062485E" w:rsidRDefault="0062485E" w:rsidP="0062485E">
      <w:pPr>
        <w:ind w:left="720"/>
        <w:rPr>
          <w:i/>
          <w:iCs/>
        </w:rPr>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is indicated for the treatment of severe chronic plaque psoriasis in children and adolescent patients from 4 years of age who have had an inadequate response to or are inappropriate candidates for topical therapy and phototherapy.</w:t>
      </w:r>
    </w:p>
    <w:p w14:paraId="0B28ACAE" w14:textId="34CD86B4" w:rsidR="0062485E" w:rsidRPr="00F5628B" w:rsidRDefault="0062485E" w:rsidP="0062485E">
      <w:pPr>
        <w:ind w:left="720"/>
        <w:rPr>
          <w:b/>
          <w:i/>
          <w:iCs/>
        </w:rPr>
      </w:pPr>
      <w:r w:rsidRPr="00F5628B">
        <w:rPr>
          <w:b/>
          <w:i/>
          <w:iCs/>
        </w:rPr>
        <w:t>Hidradenitis suppurativa in adults and adolescents (from 12 years of age)</w:t>
      </w:r>
    </w:p>
    <w:p w14:paraId="327556C5" w14:textId="69945A2E" w:rsidR="0062485E" w:rsidRPr="0062485E" w:rsidRDefault="0062485E" w:rsidP="0062485E">
      <w:pPr>
        <w:ind w:left="720"/>
        <w:rPr>
          <w:i/>
          <w:iCs/>
        </w:rPr>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is indicated for the treatment of active moderate to severe hidradenitis suppurativa (acne </w:t>
      </w:r>
      <w:proofErr w:type="spellStart"/>
      <w:r w:rsidRPr="0062485E">
        <w:rPr>
          <w:i/>
          <w:iCs/>
        </w:rPr>
        <w:t>inversa</w:t>
      </w:r>
      <w:proofErr w:type="spellEnd"/>
      <w:r w:rsidRPr="0062485E">
        <w:rPr>
          <w:i/>
          <w:iCs/>
        </w:rPr>
        <w:t>) in patients with an inadequate response to conventional systemic hidradenitis suppurativa therapy.</w:t>
      </w:r>
    </w:p>
    <w:p w14:paraId="5A8E88F3" w14:textId="6B86C38B" w:rsidR="0062485E" w:rsidRPr="00F5628B" w:rsidRDefault="0062485E" w:rsidP="0062485E">
      <w:pPr>
        <w:ind w:left="720"/>
        <w:rPr>
          <w:b/>
          <w:i/>
          <w:iCs/>
        </w:rPr>
      </w:pPr>
      <w:r w:rsidRPr="00F5628B">
        <w:rPr>
          <w:b/>
          <w:i/>
          <w:iCs/>
        </w:rPr>
        <w:lastRenderedPageBreak/>
        <w:t>Uveitis</w:t>
      </w:r>
    </w:p>
    <w:p w14:paraId="2D9E7DE1" w14:textId="72601807" w:rsidR="0062485E" w:rsidRPr="000A4A42" w:rsidRDefault="0062485E" w:rsidP="0062485E">
      <w:pPr>
        <w:ind w:left="720"/>
      </w:pPr>
      <w:proofErr w:type="spellStart"/>
      <w:r w:rsidRPr="0062485E">
        <w:rPr>
          <w:i/>
          <w:iCs/>
        </w:rPr>
        <w:t>Ardalicip</w:t>
      </w:r>
      <w:proofErr w:type="spellEnd"/>
      <w:r w:rsidRPr="0062485E">
        <w:rPr>
          <w:i/>
          <w:iCs/>
        </w:rPr>
        <w:t>/</w:t>
      </w:r>
      <w:proofErr w:type="spellStart"/>
      <w:r w:rsidRPr="0062485E">
        <w:rPr>
          <w:i/>
          <w:iCs/>
        </w:rPr>
        <w:t>Ciptunec</w:t>
      </w:r>
      <w:proofErr w:type="spellEnd"/>
      <w:r w:rsidRPr="0062485E">
        <w:rPr>
          <w:i/>
          <w:iCs/>
        </w:rPr>
        <w:t xml:space="preserve"> is indicated for the treatment of non-infectious intermediate, posterior and pan-uveitis in adult patients who have had an inadequate response to corticosteroids, in patients in need of corticosteroid sparing, or in whom corticosteroid treatment is inappropriate.</w:t>
      </w:r>
    </w:p>
    <w:p w14:paraId="1C5D0842" w14:textId="5FE1666B" w:rsidR="00703363" w:rsidRDefault="0062485E" w:rsidP="0062485E">
      <w:bookmarkStart w:id="15" w:name="_Toc314842485"/>
      <w:bookmarkStart w:id="16" w:name="_Toc247691504"/>
      <w:bookmarkStart w:id="17" w:name="_Toc103679291"/>
      <w:r w:rsidRPr="0062485E">
        <w:t>Adalimumab is a recombinant human immunoglobulin monoclonal antibody that selectively binds to tumour necrosis factor (TNF)-</w:t>
      </w:r>
      <w:r w:rsidR="00703363">
        <w:t>alpha</w:t>
      </w:r>
      <w:r w:rsidRPr="0062485E">
        <w:t xml:space="preserve"> and blocks it interaction with the cell surface TNF receptors resulting in a neutralisation of TNF effects in inflammatory conditions.</w:t>
      </w:r>
    </w:p>
    <w:p w14:paraId="1F061D98" w14:textId="6B24CB40" w:rsidR="004271B9" w:rsidRDefault="004271B9" w:rsidP="0062485E">
      <w:r>
        <w:t xml:space="preserve">With this submission the sponsor proposes to register </w:t>
      </w:r>
      <w:r w:rsidR="00093440">
        <w:t>two adalimumab-containing medicines (</w:t>
      </w:r>
      <w:proofErr w:type="spellStart"/>
      <w:r>
        <w:t>Ardalicip</w:t>
      </w:r>
      <w:proofErr w:type="spellEnd"/>
      <w:r>
        <w:t xml:space="preserve"> and </w:t>
      </w:r>
      <w:proofErr w:type="spellStart"/>
      <w:r>
        <w:t>Ciptunec</w:t>
      </w:r>
      <w:proofErr w:type="spellEnd"/>
      <w:r w:rsidR="00093440">
        <w:t>)</w:t>
      </w:r>
      <w:r>
        <w:t xml:space="preserve">, as biosimilar versions of Humira (adalimumab), a biological </w:t>
      </w:r>
      <w:r w:rsidR="00F365F6">
        <w:t>medicine already registered in Australia. Humira is known as the reference product for this submission.</w:t>
      </w:r>
      <w:r w:rsidR="00F365F6">
        <w:rPr>
          <w:rStyle w:val="FootnoteReference"/>
        </w:rPr>
        <w:footnoteReference w:id="2"/>
      </w:r>
    </w:p>
    <w:p w14:paraId="54A6F246" w14:textId="206FC408" w:rsidR="0062485E" w:rsidRPr="0062485E" w:rsidRDefault="0062485E" w:rsidP="0062485E">
      <w:r w:rsidRPr="0062485E">
        <w:t>The innovator adalimumab product (H</w:t>
      </w:r>
      <w:r w:rsidR="00D10636">
        <w:t>umira</w:t>
      </w:r>
      <w:r w:rsidRPr="0062485E">
        <w:t>, AbbVie Pty Ltd) was first registered in Australia in 2003, for the treatment of rheumatoid arthritis. H</w:t>
      </w:r>
      <w:r w:rsidR="00D10636">
        <w:t>umira</w:t>
      </w:r>
      <w:r w:rsidRPr="0062485E">
        <w:t xml:space="preserve"> has since had extensions of indication approved for juvenile idiopathic arthritis, psoriatic arthritis, ankylosing spondylitis, Crohn’s disease, ulcerative colitis, psoriasis, hidradenitis suppurativa and </w:t>
      </w:r>
      <w:proofErr w:type="spellStart"/>
      <w:proofErr w:type="gramStart"/>
      <w:r w:rsidRPr="0062485E">
        <w:t>uveitis.To</w:t>
      </w:r>
      <w:proofErr w:type="spellEnd"/>
      <w:proofErr w:type="gramEnd"/>
      <w:r w:rsidRPr="0062485E">
        <w:t xml:space="preserve"> date, </w:t>
      </w:r>
      <w:r w:rsidR="00093440">
        <w:t>seven</w:t>
      </w:r>
      <w:r w:rsidR="00093440" w:rsidRPr="0062485E">
        <w:t xml:space="preserve"> </w:t>
      </w:r>
      <w:r w:rsidRPr="0062485E">
        <w:t xml:space="preserve">adalimumab biosimilars have been registered in Australia: </w:t>
      </w:r>
      <w:proofErr w:type="spellStart"/>
      <w:r w:rsidRPr="0062485E">
        <w:t>A</w:t>
      </w:r>
      <w:r w:rsidR="00D10636">
        <w:t>mgevita</w:t>
      </w:r>
      <w:proofErr w:type="spellEnd"/>
      <w:r w:rsidRPr="0062485E">
        <w:t>,</w:t>
      </w:r>
      <w:r w:rsidR="00D10636">
        <w:rPr>
          <w:rStyle w:val="FootnoteReference"/>
        </w:rPr>
        <w:footnoteReference w:id="3"/>
      </w:r>
      <w:r w:rsidRPr="0062485E">
        <w:t xml:space="preserve"> </w:t>
      </w:r>
      <w:proofErr w:type="spellStart"/>
      <w:r w:rsidRPr="0062485E">
        <w:t>H</w:t>
      </w:r>
      <w:r w:rsidR="00D10636">
        <w:t>adlima</w:t>
      </w:r>
      <w:proofErr w:type="spellEnd"/>
      <w:r w:rsidRPr="0062485E">
        <w:t>,</w:t>
      </w:r>
      <w:r w:rsidR="00D10636">
        <w:rPr>
          <w:rStyle w:val="FootnoteReference"/>
        </w:rPr>
        <w:footnoteReference w:id="4"/>
      </w:r>
      <w:r w:rsidRPr="0062485E">
        <w:t xml:space="preserve"> </w:t>
      </w:r>
      <w:proofErr w:type="spellStart"/>
      <w:r w:rsidRPr="0062485E">
        <w:t>H</w:t>
      </w:r>
      <w:r w:rsidR="00D10636">
        <w:t>yrimoz</w:t>
      </w:r>
      <w:proofErr w:type="spellEnd"/>
      <w:r w:rsidRPr="0062485E">
        <w:t>,</w:t>
      </w:r>
      <w:r w:rsidR="00D10636">
        <w:rPr>
          <w:rStyle w:val="FootnoteReference"/>
        </w:rPr>
        <w:footnoteReference w:id="5"/>
      </w:r>
      <w:r w:rsidRPr="0062485E">
        <w:t xml:space="preserve"> </w:t>
      </w:r>
      <w:proofErr w:type="spellStart"/>
      <w:r w:rsidRPr="0062485E">
        <w:t>I</w:t>
      </w:r>
      <w:r w:rsidR="00D10636">
        <w:t>dacio</w:t>
      </w:r>
      <w:proofErr w:type="spellEnd"/>
      <w:r w:rsidRPr="0062485E">
        <w:t>,</w:t>
      </w:r>
      <w:r w:rsidR="00D10636">
        <w:rPr>
          <w:rStyle w:val="FootnoteReference"/>
        </w:rPr>
        <w:footnoteReference w:id="6"/>
      </w:r>
      <w:r w:rsidRPr="0062485E">
        <w:t xml:space="preserve"> </w:t>
      </w:r>
      <w:proofErr w:type="spellStart"/>
      <w:r w:rsidRPr="0062485E">
        <w:t>A</w:t>
      </w:r>
      <w:r w:rsidR="00D10636">
        <w:t>brilada</w:t>
      </w:r>
      <w:proofErr w:type="spellEnd"/>
      <w:r w:rsidR="00D10636">
        <w:t>;</w:t>
      </w:r>
      <w:r w:rsidR="00D10636">
        <w:rPr>
          <w:rStyle w:val="FootnoteReference"/>
        </w:rPr>
        <w:footnoteReference w:id="7"/>
      </w:r>
      <w:r w:rsidR="00D10636">
        <w:t xml:space="preserve"> </w:t>
      </w:r>
      <w:proofErr w:type="spellStart"/>
      <w:r w:rsidRPr="0062485E">
        <w:t>H</w:t>
      </w:r>
      <w:r w:rsidR="00D10636">
        <w:t>ulio</w:t>
      </w:r>
      <w:proofErr w:type="spellEnd"/>
      <w:r w:rsidR="00093440">
        <w:t>;</w:t>
      </w:r>
      <w:r w:rsidR="00D10636">
        <w:rPr>
          <w:rStyle w:val="FootnoteReference"/>
        </w:rPr>
        <w:footnoteReference w:id="8"/>
      </w:r>
      <w:r w:rsidR="00093440">
        <w:t xml:space="preserve"> and </w:t>
      </w:r>
      <w:proofErr w:type="spellStart"/>
      <w:r w:rsidR="00093440" w:rsidRPr="00093440">
        <w:t>Yuflyma</w:t>
      </w:r>
      <w:proofErr w:type="spellEnd"/>
      <w:r w:rsidR="00093440">
        <w:t>.</w:t>
      </w:r>
      <w:r w:rsidR="00093440">
        <w:rPr>
          <w:rStyle w:val="FootnoteReference"/>
        </w:rPr>
        <w:footnoteReference w:id="9"/>
      </w:r>
    </w:p>
    <w:p w14:paraId="23A93B94" w14:textId="4BD1D8BD" w:rsidR="0062485E" w:rsidRPr="0062485E" w:rsidRDefault="0062485E" w:rsidP="0062485E">
      <w:r w:rsidRPr="0062485E">
        <w:t>In addition, several other TNF inhibitors have been registered in Australia for one or more of the chronic inflammatory conditions. These include infliximab,</w:t>
      </w:r>
      <w:r w:rsidR="00A45C68">
        <w:rPr>
          <w:rStyle w:val="FootnoteReference"/>
        </w:rPr>
        <w:footnoteReference w:id="10"/>
      </w:r>
      <w:r w:rsidRPr="0062485E">
        <w:t xml:space="preserve"> etanercept,</w:t>
      </w:r>
      <w:r w:rsidR="00A45C68">
        <w:rPr>
          <w:rStyle w:val="FootnoteReference"/>
        </w:rPr>
        <w:footnoteReference w:id="11"/>
      </w:r>
      <w:r w:rsidRPr="0062485E">
        <w:t xml:space="preserve"> adalimumab, golimumab</w:t>
      </w:r>
      <w:r w:rsidR="00A45C68">
        <w:t>;</w:t>
      </w:r>
      <w:r w:rsidR="00A45C68">
        <w:rPr>
          <w:rStyle w:val="FootnoteReference"/>
        </w:rPr>
        <w:footnoteReference w:id="12"/>
      </w:r>
      <w:r w:rsidRPr="0062485E">
        <w:t xml:space="preserve"> and certolizumab pegol.</w:t>
      </w:r>
      <w:r w:rsidR="00A45C68">
        <w:rPr>
          <w:rStyle w:val="FootnoteReference"/>
        </w:rPr>
        <w:footnoteReference w:id="13"/>
      </w:r>
    </w:p>
    <w:p w14:paraId="0D615854" w14:textId="07126C40" w:rsidR="00324B33" w:rsidRPr="003F31A2" w:rsidRDefault="00324B33" w:rsidP="0062485E">
      <w:pPr>
        <w:pStyle w:val="Heading3"/>
      </w:pPr>
      <w:bookmarkStart w:id="18" w:name="_Toc133478207"/>
      <w:r>
        <w:t>Regulatory status</w:t>
      </w:r>
      <w:bookmarkEnd w:id="15"/>
      <w:bookmarkEnd w:id="16"/>
      <w:bookmarkEnd w:id="17"/>
      <w:bookmarkEnd w:id="18"/>
    </w:p>
    <w:p w14:paraId="6A8633FA" w14:textId="2E63AF3A" w:rsidR="00324B33" w:rsidRDefault="00324B33" w:rsidP="00324B33">
      <w:r>
        <w:t xml:space="preserve">This product is considered a new </w:t>
      </w:r>
      <w:hyperlink r:id="rId19" w:history="1">
        <w:r w:rsidRPr="00093440">
          <w:rPr>
            <w:rStyle w:val="Hyperlink"/>
          </w:rPr>
          <w:t>biosimilar medicine</w:t>
        </w:r>
      </w:hyperlink>
      <w:r>
        <w:t xml:space="preserve"> for Australian regulatory purposes.</w:t>
      </w:r>
    </w:p>
    <w:p w14:paraId="5A174B04" w14:textId="7F2E6642" w:rsidR="00A45C68" w:rsidRDefault="7EAA9C54" w:rsidP="021A5C6D">
      <w:pPr>
        <w:rPr>
          <w:strike/>
        </w:rPr>
      </w:pPr>
      <w:r>
        <w:t>At the time the TGA considered this submission, similar submission</w:t>
      </w:r>
      <w:r w:rsidR="00093440">
        <w:t>s</w:t>
      </w:r>
      <w:r>
        <w:t xml:space="preserve"> had been </w:t>
      </w:r>
      <w:r w:rsidR="2F5CAACE">
        <w:t xml:space="preserve">received marketing authorisation by the European Union (EU) centralised procedure </w:t>
      </w:r>
      <w:r>
        <w:t xml:space="preserve">on 12 </w:t>
      </w:r>
      <w:r w:rsidR="2F5CAACE">
        <w:t xml:space="preserve">November 2021 and by the </w:t>
      </w:r>
      <w:r>
        <w:t>United Kingdom</w:t>
      </w:r>
      <w:r w:rsidR="2F5CAACE">
        <w:t xml:space="preserve"> </w:t>
      </w:r>
      <w:r>
        <w:t xml:space="preserve">on 5 January 2022 </w:t>
      </w:r>
      <w:r w:rsidR="2F5CAACE">
        <w:t xml:space="preserve">and Canada </w:t>
      </w:r>
      <w:r>
        <w:t>o</w:t>
      </w:r>
      <w:r w:rsidR="2F5CAACE">
        <w:t>n</w:t>
      </w:r>
      <w:r>
        <w:t xml:space="preserve"> 17</w:t>
      </w:r>
      <w:r w:rsidR="2F5CAACE">
        <w:t xml:space="preserve"> January 2022.</w:t>
      </w:r>
    </w:p>
    <w:p w14:paraId="1B9AB90D" w14:textId="77777777" w:rsidR="00324B33" w:rsidRDefault="02CB461C" w:rsidP="00324B33">
      <w:r>
        <w:t>The following table summarises these submissions and provides the indications where approved.</w:t>
      </w:r>
    </w:p>
    <w:p w14:paraId="19B9E0AC" w14:textId="1C039CDE" w:rsidR="00324B33" w:rsidRDefault="00324B33" w:rsidP="00324B33">
      <w:pPr>
        <w:pStyle w:val="TableTitle"/>
      </w:pPr>
      <w:bookmarkStart w:id="19" w:name="_Ref99705479"/>
      <w:r>
        <w:lastRenderedPageBreak/>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DE7A9B">
        <w:rPr>
          <w:noProof/>
        </w:rPr>
        <w:t>1</w:t>
      </w:r>
      <w:r>
        <w:rPr>
          <w:color w:val="2B579A"/>
          <w:shd w:val="clear" w:color="auto" w:fill="E6E6E6"/>
        </w:rPr>
        <w:fldChar w:fldCharType="end"/>
      </w:r>
      <w:bookmarkEnd w:id="19"/>
      <w:r>
        <w:t>: International regulatory status</w:t>
      </w:r>
    </w:p>
    <w:tbl>
      <w:tblPr>
        <w:tblStyle w:val="TableTGAblue2023"/>
        <w:tblW w:w="0" w:type="auto"/>
        <w:tblLook w:val="04A0" w:firstRow="1" w:lastRow="0" w:firstColumn="1" w:lastColumn="0" w:noHBand="0" w:noVBand="1"/>
      </w:tblPr>
      <w:tblGrid>
        <w:gridCol w:w="1245"/>
        <w:gridCol w:w="1608"/>
        <w:gridCol w:w="4385"/>
      </w:tblGrid>
      <w:tr w:rsidR="00A45C68" w14:paraId="405E5D78" w14:textId="16839333" w:rsidTr="00015D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185B099B" w14:textId="7A4C0E6C" w:rsidR="00A45C68" w:rsidRDefault="00A45C68" w:rsidP="00324B33">
            <w:r>
              <w:t>Region</w:t>
            </w:r>
          </w:p>
        </w:tc>
        <w:tc>
          <w:tcPr>
            <w:tcW w:w="0" w:type="dxa"/>
          </w:tcPr>
          <w:p w14:paraId="58F81584" w14:textId="66689ABF" w:rsidR="00A45C68" w:rsidRDefault="00A45C68" w:rsidP="00324B33">
            <w:pPr>
              <w:cnfStyle w:val="100000000000" w:firstRow="1" w:lastRow="0" w:firstColumn="0" w:lastColumn="0" w:oddVBand="0" w:evenVBand="0" w:oddHBand="0" w:evenHBand="0" w:firstRowFirstColumn="0" w:firstRowLastColumn="0" w:lastRowFirstColumn="0" w:lastRowLastColumn="0"/>
            </w:pPr>
            <w:r>
              <w:t>Status</w:t>
            </w:r>
          </w:p>
        </w:tc>
        <w:tc>
          <w:tcPr>
            <w:tcW w:w="4385" w:type="dxa"/>
          </w:tcPr>
          <w:p w14:paraId="50B2D435" w14:textId="5842F74B" w:rsidR="00A45C68" w:rsidRDefault="00A45C68" w:rsidP="00324B33">
            <w:pPr>
              <w:cnfStyle w:val="100000000000" w:firstRow="1" w:lastRow="0" w:firstColumn="0" w:lastColumn="0" w:oddVBand="0" w:evenVBand="0" w:oddHBand="0" w:evenHBand="0" w:firstRowFirstColumn="0" w:firstRowLastColumn="0" w:lastRowFirstColumn="0" w:lastRowLastColumn="0"/>
            </w:pPr>
            <w:r>
              <w:t>Approved indications</w:t>
            </w:r>
            <w:r w:rsidR="00433F2E">
              <w:t xml:space="preserve"> for</w:t>
            </w:r>
          </w:p>
        </w:tc>
      </w:tr>
      <w:tr w:rsidR="00A45C68" w14:paraId="38D24E86" w14:textId="77777777" w:rsidTr="00015DA4">
        <w:tc>
          <w:tcPr>
            <w:cnfStyle w:val="001000000000" w:firstRow="0" w:lastRow="0" w:firstColumn="1" w:lastColumn="0" w:oddVBand="0" w:evenVBand="0" w:oddHBand="0" w:evenHBand="0" w:firstRowFirstColumn="0" w:firstRowLastColumn="0" w:lastRowFirstColumn="0" w:lastRowLastColumn="0"/>
            <w:tcW w:w="0" w:type="dxa"/>
          </w:tcPr>
          <w:p w14:paraId="4C540DE5" w14:textId="724436E3" w:rsidR="00A45C68" w:rsidRDefault="00A45C68" w:rsidP="00324B33">
            <w:r>
              <w:t>European Union</w:t>
            </w:r>
          </w:p>
        </w:tc>
        <w:tc>
          <w:tcPr>
            <w:tcW w:w="0" w:type="dxa"/>
          </w:tcPr>
          <w:p w14:paraId="29358393" w14:textId="7F9A31B1" w:rsidR="00A45C68" w:rsidRDefault="00A45C68" w:rsidP="00324B33">
            <w:pPr>
              <w:cnfStyle w:val="000000000000" w:firstRow="0" w:lastRow="0" w:firstColumn="0" w:lastColumn="0" w:oddVBand="0" w:evenVBand="0" w:oddHBand="0" w:evenHBand="0" w:firstRowFirstColumn="0" w:firstRowLastColumn="0" w:lastRowFirstColumn="0" w:lastRowLastColumn="0"/>
            </w:pPr>
            <w:r w:rsidRPr="00006FAB">
              <w:t xml:space="preserve">Approved on </w:t>
            </w:r>
            <w:r>
              <w:t>12</w:t>
            </w:r>
            <w:r w:rsidR="006028E6">
              <w:t> </w:t>
            </w:r>
            <w:r>
              <w:t>November 2021</w:t>
            </w:r>
          </w:p>
        </w:tc>
        <w:tc>
          <w:tcPr>
            <w:tcW w:w="4385" w:type="dxa"/>
          </w:tcPr>
          <w:p w14:paraId="523C594D" w14:textId="77777777" w:rsidR="00A45C68" w:rsidRDefault="00A45C68" w:rsidP="00A45C68">
            <w:pPr>
              <w:cnfStyle w:val="000000000000" w:firstRow="0" w:lastRow="0" w:firstColumn="0" w:lastColumn="0" w:oddVBand="0" w:evenVBand="0" w:oddHBand="0" w:evenHBand="0" w:firstRowFirstColumn="0" w:firstRowLastColumn="0" w:lastRowFirstColumn="0" w:lastRowLastColumn="0"/>
            </w:pPr>
            <w:r>
              <w:t>Rheumatoid arthritis</w:t>
            </w:r>
          </w:p>
          <w:p w14:paraId="18B10B26" w14:textId="6F35AAF4" w:rsidR="00A45C68" w:rsidRDefault="00A45C68" w:rsidP="00A45C68">
            <w:pPr>
              <w:cnfStyle w:val="000000000000" w:firstRow="0" w:lastRow="0" w:firstColumn="0" w:lastColumn="0" w:oddVBand="0" w:evenVBand="0" w:oddHBand="0" w:evenHBand="0" w:firstRowFirstColumn="0" w:firstRowLastColumn="0" w:lastRowFirstColumn="0" w:lastRowLastColumn="0"/>
            </w:pPr>
            <w:r>
              <w:t>Juvenile idiopathic arthritis</w:t>
            </w:r>
          </w:p>
          <w:p w14:paraId="7C65C77A" w14:textId="1A3C334A" w:rsidR="00A45C68" w:rsidRDefault="00A45C68" w:rsidP="00A45C68">
            <w:pPr>
              <w:cnfStyle w:val="000000000000" w:firstRow="0" w:lastRow="0" w:firstColumn="0" w:lastColumn="0" w:oddVBand="0" w:evenVBand="0" w:oddHBand="0" w:evenHBand="0" w:firstRowFirstColumn="0" w:firstRowLastColumn="0" w:lastRowFirstColumn="0" w:lastRowLastColumn="0"/>
            </w:pPr>
            <w:r>
              <w:t xml:space="preserve">Axial </w:t>
            </w:r>
            <w:proofErr w:type="spellStart"/>
            <w:r>
              <w:t>spondyloarthritis</w:t>
            </w:r>
            <w:proofErr w:type="spellEnd"/>
          </w:p>
          <w:p w14:paraId="67A27F4A" w14:textId="77777777" w:rsidR="00A45C68" w:rsidRDefault="00A45C68" w:rsidP="00A45C68">
            <w:pPr>
              <w:cnfStyle w:val="000000000000" w:firstRow="0" w:lastRow="0" w:firstColumn="0" w:lastColumn="0" w:oddVBand="0" w:evenVBand="0" w:oddHBand="0" w:evenHBand="0" w:firstRowFirstColumn="0" w:firstRowLastColumn="0" w:lastRowFirstColumn="0" w:lastRowLastColumn="0"/>
            </w:pPr>
            <w:r>
              <w:t>Psoriatic arthritis</w:t>
            </w:r>
          </w:p>
          <w:p w14:paraId="5FFA3058" w14:textId="77777777" w:rsidR="00A45C68" w:rsidRDefault="00A45C68" w:rsidP="00A45C68">
            <w:pPr>
              <w:cnfStyle w:val="000000000000" w:firstRow="0" w:lastRow="0" w:firstColumn="0" w:lastColumn="0" w:oddVBand="0" w:evenVBand="0" w:oddHBand="0" w:evenHBand="0" w:firstRowFirstColumn="0" w:firstRowLastColumn="0" w:lastRowFirstColumn="0" w:lastRowLastColumn="0"/>
            </w:pPr>
            <w:r>
              <w:t>Psoriasis</w:t>
            </w:r>
          </w:p>
          <w:p w14:paraId="32D6A05D" w14:textId="134CC099" w:rsidR="00A45C68" w:rsidRDefault="00A45C68" w:rsidP="00A45C68">
            <w:pPr>
              <w:cnfStyle w:val="000000000000" w:firstRow="0" w:lastRow="0" w:firstColumn="0" w:lastColumn="0" w:oddVBand="0" w:evenVBand="0" w:oddHBand="0" w:evenHBand="0" w:firstRowFirstColumn="0" w:firstRowLastColumn="0" w:lastRowFirstColumn="0" w:lastRowLastColumn="0"/>
            </w:pPr>
            <w:r>
              <w:t>Paediatric plaque psoriasis</w:t>
            </w:r>
          </w:p>
          <w:p w14:paraId="290F36B1" w14:textId="00F7CDD0" w:rsidR="00A45C68" w:rsidRDefault="00A45C68" w:rsidP="00A45C68">
            <w:pPr>
              <w:cnfStyle w:val="000000000000" w:firstRow="0" w:lastRow="0" w:firstColumn="0" w:lastColumn="0" w:oddVBand="0" w:evenVBand="0" w:oddHBand="0" w:evenHBand="0" w:firstRowFirstColumn="0" w:firstRowLastColumn="0" w:lastRowFirstColumn="0" w:lastRowLastColumn="0"/>
            </w:pPr>
            <w:r>
              <w:t>Hidradenitis suppurativa</w:t>
            </w:r>
          </w:p>
          <w:p w14:paraId="47B1E99C" w14:textId="77777777" w:rsidR="00A45C68" w:rsidRDefault="00A45C68" w:rsidP="00A45C68">
            <w:pPr>
              <w:cnfStyle w:val="000000000000" w:firstRow="0" w:lastRow="0" w:firstColumn="0" w:lastColumn="0" w:oddVBand="0" w:evenVBand="0" w:oddHBand="0" w:evenHBand="0" w:firstRowFirstColumn="0" w:firstRowLastColumn="0" w:lastRowFirstColumn="0" w:lastRowLastColumn="0"/>
            </w:pPr>
            <w:r>
              <w:t>Crohn’s disease</w:t>
            </w:r>
          </w:p>
          <w:p w14:paraId="52B45519" w14:textId="05615896" w:rsidR="00A45C68" w:rsidRDefault="00A45C68" w:rsidP="00A45C68">
            <w:pPr>
              <w:cnfStyle w:val="000000000000" w:firstRow="0" w:lastRow="0" w:firstColumn="0" w:lastColumn="0" w:oddVBand="0" w:evenVBand="0" w:oddHBand="0" w:evenHBand="0" w:firstRowFirstColumn="0" w:firstRowLastColumn="0" w:lastRowFirstColumn="0" w:lastRowLastColumn="0"/>
            </w:pPr>
            <w:r>
              <w:t>Paediatric Crohn's disease</w:t>
            </w:r>
          </w:p>
          <w:p w14:paraId="6B317ABE" w14:textId="77777777" w:rsidR="00A45C68" w:rsidRPr="00785383" w:rsidRDefault="00A45C68" w:rsidP="00A45C68">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Ulcerative colitis</w:t>
            </w:r>
          </w:p>
          <w:p w14:paraId="56CB100B" w14:textId="4271879B" w:rsidR="00A45C68" w:rsidRPr="00785383" w:rsidRDefault="00A45C68" w:rsidP="00A45C68">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Paediatric ulcerative colitis</w:t>
            </w:r>
          </w:p>
          <w:p w14:paraId="47334F4F" w14:textId="77777777" w:rsidR="00A45C68" w:rsidRPr="00785383" w:rsidRDefault="00A45C68" w:rsidP="00A45C68">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Uveitis</w:t>
            </w:r>
          </w:p>
          <w:p w14:paraId="05055674" w14:textId="16767752" w:rsidR="00A45C68" w:rsidRDefault="00A45C68" w:rsidP="00A45C68">
            <w:pPr>
              <w:cnfStyle w:val="000000000000" w:firstRow="0" w:lastRow="0" w:firstColumn="0" w:lastColumn="0" w:oddVBand="0" w:evenVBand="0" w:oddHBand="0" w:evenHBand="0" w:firstRowFirstColumn="0" w:firstRowLastColumn="0" w:lastRowFirstColumn="0" w:lastRowLastColumn="0"/>
            </w:pPr>
            <w:r>
              <w:t>Paediatric uveitis</w:t>
            </w:r>
          </w:p>
        </w:tc>
      </w:tr>
      <w:tr w:rsidR="00A45C68" w:rsidRPr="00785383" w14:paraId="18B6E2AA" w14:textId="7783D66F" w:rsidTr="00015DA4">
        <w:tc>
          <w:tcPr>
            <w:cnfStyle w:val="001000000000" w:firstRow="0" w:lastRow="0" w:firstColumn="1" w:lastColumn="0" w:oddVBand="0" w:evenVBand="0" w:oddHBand="0" w:evenHBand="0" w:firstRowFirstColumn="0" w:firstRowLastColumn="0" w:lastRowFirstColumn="0" w:lastRowLastColumn="0"/>
            <w:tcW w:w="0" w:type="dxa"/>
          </w:tcPr>
          <w:p w14:paraId="7F348960" w14:textId="03BEAD63" w:rsidR="00A45C68" w:rsidRDefault="00A45C68" w:rsidP="00324B33">
            <w:r>
              <w:t>Canada</w:t>
            </w:r>
          </w:p>
        </w:tc>
        <w:tc>
          <w:tcPr>
            <w:tcW w:w="0" w:type="dxa"/>
          </w:tcPr>
          <w:p w14:paraId="63A3A9D3" w14:textId="597154B3" w:rsidR="00A45C68" w:rsidRDefault="00A45C68" w:rsidP="00324B33">
            <w:pPr>
              <w:cnfStyle w:val="000000000000" w:firstRow="0" w:lastRow="0" w:firstColumn="0" w:lastColumn="0" w:oddVBand="0" w:evenVBand="0" w:oddHBand="0" w:evenHBand="0" w:firstRowFirstColumn="0" w:firstRowLastColumn="0" w:lastRowFirstColumn="0" w:lastRowLastColumn="0"/>
            </w:pPr>
            <w:r>
              <w:t>Approved on 5</w:t>
            </w:r>
            <w:r w:rsidR="006028E6">
              <w:t> </w:t>
            </w:r>
            <w:r>
              <w:t>January 2022</w:t>
            </w:r>
          </w:p>
        </w:tc>
        <w:tc>
          <w:tcPr>
            <w:tcW w:w="4385" w:type="dxa"/>
          </w:tcPr>
          <w:p w14:paraId="336AF0BD" w14:textId="77777777" w:rsidR="00A45C68" w:rsidRDefault="00A45C68" w:rsidP="00A45C68">
            <w:pPr>
              <w:cnfStyle w:val="000000000000" w:firstRow="0" w:lastRow="0" w:firstColumn="0" w:lastColumn="0" w:oddVBand="0" w:evenVBand="0" w:oddHBand="0" w:evenHBand="0" w:firstRowFirstColumn="0" w:firstRowLastColumn="0" w:lastRowFirstColumn="0" w:lastRowLastColumn="0"/>
            </w:pPr>
            <w:r>
              <w:t>Rheumatoid Arthritis</w:t>
            </w:r>
          </w:p>
          <w:p w14:paraId="4B738B8A" w14:textId="0E4F990A" w:rsidR="00A45C68" w:rsidRDefault="00A45C68" w:rsidP="006028E6">
            <w:pPr>
              <w:cnfStyle w:val="000000000000" w:firstRow="0" w:lastRow="0" w:firstColumn="0" w:lastColumn="0" w:oddVBand="0" w:evenVBand="0" w:oddHBand="0" w:evenHBand="0" w:firstRowFirstColumn="0" w:firstRowLastColumn="0" w:lastRowFirstColumn="0" w:lastRowLastColumn="0"/>
            </w:pPr>
            <w:r w:rsidRPr="006028E6">
              <w:t>Polyarticular</w:t>
            </w:r>
            <w:r>
              <w:t xml:space="preserve"> Juvenile Idiopathic</w:t>
            </w:r>
            <w:r w:rsidR="006028E6">
              <w:t xml:space="preserve"> </w:t>
            </w:r>
            <w:r>
              <w:t>Arthritis</w:t>
            </w:r>
          </w:p>
          <w:p w14:paraId="64A93507" w14:textId="52A2D288" w:rsidR="00A45C68" w:rsidRDefault="00A45C68" w:rsidP="00A45C68">
            <w:pPr>
              <w:cnfStyle w:val="000000000000" w:firstRow="0" w:lastRow="0" w:firstColumn="0" w:lastColumn="0" w:oddVBand="0" w:evenVBand="0" w:oddHBand="0" w:evenHBand="0" w:firstRowFirstColumn="0" w:firstRowLastColumn="0" w:lastRowFirstColumn="0" w:lastRowLastColumn="0"/>
            </w:pPr>
            <w:r>
              <w:t>Psoriatic Arthritis</w:t>
            </w:r>
          </w:p>
          <w:p w14:paraId="049D0ED9" w14:textId="31036D28" w:rsidR="00A45C68" w:rsidRDefault="00A45C68" w:rsidP="00A45C68">
            <w:pPr>
              <w:cnfStyle w:val="000000000000" w:firstRow="0" w:lastRow="0" w:firstColumn="0" w:lastColumn="0" w:oddVBand="0" w:evenVBand="0" w:oddHBand="0" w:evenHBand="0" w:firstRowFirstColumn="0" w:firstRowLastColumn="0" w:lastRowFirstColumn="0" w:lastRowLastColumn="0"/>
            </w:pPr>
            <w:r>
              <w:t>Ankylosing Spondylitis</w:t>
            </w:r>
          </w:p>
          <w:p w14:paraId="354560D4" w14:textId="10671B21" w:rsidR="00A45C68" w:rsidRDefault="00A45C68" w:rsidP="00A45C68">
            <w:pPr>
              <w:cnfStyle w:val="000000000000" w:firstRow="0" w:lastRow="0" w:firstColumn="0" w:lastColumn="0" w:oddVBand="0" w:evenVBand="0" w:oddHBand="0" w:evenHBand="0" w:firstRowFirstColumn="0" w:firstRowLastColumn="0" w:lastRowFirstColumn="0" w:lastRowLastColumn="0"/>
            </w:pPr>
            <w:r>
              <w:t>Adult Crohn’s Disease</w:t>
            </w:r>
          </w:p>
          <w:p w14:paraId="455A874A" w14:textId="0BEB8E64" w:rsidR="00A45C68" w:rsidRPr="00785383" w:rsidRDefault="00A45C68" w:rsidP="00FB6BBF">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Adult Ulcerative</w:t>
            </w:r>
            <w:r w:rsidR="00FB6BBF" w:rsidRPr="00785383">
              <w:rPr>
                <w:lang w:val="pt-BR"/>
              </w:rPr>
              <w:t xml:space="preserve"> </w:t>
            </w:r>
            <w:r w:rsidRPr="00785383">
              <w:rPr>
                <w:lang w:val="pt-BR"/>
              </w:rPr>
              <w:t>Colitis</w:t>
            </w:r>
          </w:p>
          <w:p w14:paraId="056480EC" w14:textId="6A913270" w:rsidR="00A45C68" w:rsidRPr="00785383" w:rsidRDefault="00A45C68" w:rsidP="00FB6BBF">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Hidradenitis</w:t>
            </w:r>
            <w:r w:rsidR="00FB6BBF" w:rsidRPr="00785383">
              <w:rPr>
                <w:lang w:val="pt-BR"/>
              </w:rPr>
              <w:t xml:space="preserve"> </w:t>
            </w:r>
            <w:r w:rsidRPr="00785383">
              <w:rPr>
                <w:lang w:val="pt-BR"/>
              </w:rPr>
              <w:t>Suppurativa</w:t>
            </w:r>
          </w:p>
          <w:p w14:paraId="7BB29B06" w14:textId="77777777" w:rsidR="00A45C68" w:rsidRPr="00785383" w:rsidRDefault="00A45C68" w:rsidP="00A45C68">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Plaque Psoriasis</w:t>
            </w:r>
          </w:p>
          <w:p w14:paraId="0DF2255A" w14:textId="77777777" w:rsidR="00A45C68" w:rsidRPr="00785383" w:rsidRDefault="00A45C68" w:rsidP="00A45C68">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Adult Uveitis</w:t>
            </w:r>
          </w:p>
          <w:p w14:paraId="29AE2C17" w14:textId="4918FDAF" w:rsidR="00A45C68" w:rsidRPr="00785383" w:rsidRDefault="00A45C68" w:rsidP="00FB6BBF">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Pediatric Uveitis</w:t>
            </w:r>
            <w:r w:rsidR="00FB6BBF" w:rsidRPr="00785383">
              <w:rPr>
                <w:lang w:val="pt-BR"/>
              </w:rPr>
              <w:t xml:space="preserve"> </w:t>
            </w:r>
            <w:r w:rsidRPr="00785383">
              <w:rPr>
                <w:lang w:val="pt-BR"/>
              </w:rPr>
              <w:t>Polyarticular JIA</w:t>
            </w:r>
          </w:p>
          <w:p w14:paraId="518C421F" w14:textId="412441CD" w:rsidR="00A45C68" w:rsidRPr="00785383" w:rsidRDefault="00A45C68" w:rsidP="00FB6BBF">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Adolescent</w:t>
            </w:r>
            <w:r w:rsidR="00FB6BBF" w:rsidRPr="00785383">
              <w:rPr>
                <w:lang w:val="pt-BR"/>
              </w:rPr>
              <w:t xml:space="preserve"> </w:t>
            </w:r>
            <w:r w:rsidRPr="00785383">
              <w:rPr>
                <w:lang w:val="pt-BR"/>
              </w:rPr>
              <w:t>Hidradenitis</w:t>
            </w:r>
            <w:r w:rsidR="00FB6BBF" w:rsidRPr="00785383">
              <w:rPr>
                <w:lang w:val="pt-BR"/>
              </w:rPr>
              <w:t xml:space="preserve"> </w:t>
            </w:r>
            <w:r w:rsidRPr="00785383">
              <w:rPr>
                <w:lang w:val="pt-BR"/>
              </w:rPr>
              <w:t>Suppurativa</w:t>
            </w:r>
          </w:p>
          <w:p w14:paraId="17C650B8" w14:textId="0CD180BF" w:rsidR="00A45C68" w:rsidRPr="00785383" w:rsidRDefault="00A45C68" w:rsidP="00A45C68">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Pediatric Uveitis</w:t>
            </w:r>
          </w:p>
        </w:tc>
      </w:tr>
      <w:tr w:rsidR="00A45C68" w14:paraId="1BF44F8B" w14:textId="77777777" w:rsidTr="00015DA4">
        <w:tc>
          <w:tcPr>
            <w:cnfStyle w:val="001000000000" w:firstRow="0" w:lastRow="0" w:firstColumn="1" w:lastColumn="0" w:oddVBand="0" w:evenVBand="0" w:oddHBand="0" w:evenHBand="0" w:firstRowFirstColumn="0" w:firstRowLastColumn="0" w:lastRowFirstColumn="0" w:lastRowLastColumn="0"/>
            <w:tcW w:w="0" w:type="dxa"/>
          </w:tcPr>
          <w:p w14:paraId="069F2734" w14:textId="3C718608" w:rsidR="00A45C68" w:rsidRDefault="00A45C68" w:rsidP="00324B33">
            <w:r>
              <w:lastRenderedPageBreak/>
              <w:t>United Kingdom</w:t>
            </w:r>
          </w:p>
        </w:tc>
        <w:tc>
          <w:tcPr>
            <w:tcW w:w="0" w:type="dxa"/>
          </w:tcPr>
          <w:p w14:paraId="4A0F5527" w14:textId="6BCB4B8A" w:rsidR="00A45C68" w:rsidRPr="00006FAB" w:rsidRDefault="00A45C68" w:rsidP="00324B33">
            <w:pPr>
              <w:cnfStyle w:val="000000000000" w:firstRow="0" w:lastRow="0" w:firstColumn="0" w:lastColumn="0" w:oddVBand="0" w:evenVBand="0" w:oddHBand="0" w:evenHBand="0" w:firstRowFirstColumn="0" w:firstRowLastColumn="0" w:lastRowFirstColumn="0" w:lastRowLastColumn="0"/>
            </w:pPr>
            <w:r>
              <w:t>Approved on 17</w:t>
            </w:r>
            <w:r w:rsidR="006028E6">
              <w:t> </w:t>
            </w:r>
            <w:r>
              <w:t>January 2022</w:t>
            </w:r>
          </w:p>
        </w:tc>
        <w:tc>
          <w:tcPr>
            <w:tcW w:w="4385" w:type="dxa"/>
          </w:tcPr>
          <w:p w14:paraId="261821E2" w14:textId="77777777" w:rsidR="00FB6BBF" w:rsidRDefault="00FB6BBF" w:rsidP="00FB6BBF">
            <w:pPr>
              <w:cnfStyle w:val="000000000000" w:firstRow="0" w:lastRow="0" w:firstColumn="0" w:lastColumn="0" w:oddVBand="0" w:evenVBand="0" w:oddHBand="0" w:evenHBand="0" w:firstRowFirstColumn="0" w:firstRowLastColumn="0" w:lastRowFirstColumn="0" w:lastRowLastColumn="0"/>
            </w:pPr>
            <w:r>
              <w:t>Rheumatoid arthritis</w:t>
            </w:r>
          </w:p>
          <w:p w14:paraId="3F525960" w14:textId="5BFFFFBB" w:rsidR="00FB6BBF" w:rsidRDefault="00FB6BBF" w:rsidP="00FB6BBF">
            <w:pPr>
              <w:cnfStyle w:val="000000000000" w:firstRow="0" w:lastRow="0" w:firstColumn="0" w:lastColumn="0" w:oddVBand="0" w:evenVBand="0" w:oddHBand="0" w:evenHBand="0" w:firstRowFirstColumn="0" w:firstRowLastColumn="0" w:lastRowFirstColumn="0" w:lastRowLastColumn="0"/>
            </w:pPr>
            <w:r>
              <w:t>Juvenile idiopathic arthritis</w:t>
            </w:r>
          </w:p>
          <w:p w14:paraId="6777A07D" w14:textId="067C7650" w:rsidR="00FB6BBF" w:rsidRDefault="00FB6BBF" w:rsidP="00FB6BBF">
            <w:pPr>
              <w:cnfStyle w:val="000000000000" w:firstRow="0" w:lastRow="0" w:firstColumn="0" w:lastColumn="0" w:oddVBand="0" w:evenVBand="0" w:oddHBand="0" w:evenHBand="0" w:firstRowFirstColumn="0" w:firstRowLastColumn="0" w:lastRowFirstColumn="0" w:lastRowLastColumn="0"/>
            </w:pPr>
            <w:r>
              <w:t xml:space="preserve">Axial </w:t>
            </w:r>
            <w:proofErr w:type="spellStart"/>
            <w:r>
              <w:t>spondyloarthritis</w:t>
            </w:r>
            <w:proofErr w:type="spellEnd"/>
          </w:p>
          <w:p w14:paraId="7354D098" w14:textId="77777777" w:rsidR="00FB6BBF" w:rsidRDefault="00FB6BBF" w:rsidP="00FB6BBF">
            <w:pPr>
              <w:cnfStyle w:val="000000000000" w:firstRow="0" w:lastRow="0" w:firstColumn="0" w:lastColumn="0" w:oddVBand="0" w:evenVBand="0" w:oddHBand="0" w:evenHBand="0" w:firstRowFirstColumn="0" w:firstRowLastColumn="0" w:lastRowFirstColumn="0" w:lastRowLastColumn="0"/>
            </w:pPr>
            <w:r>
              <w:t>Psoriatic arthritis</w:t>
            </w:r>
          </w:p>
          <w:p w14:paraId="21919B7F" w14:textId="77777777" w:rsidR="00A45C68" w:rsidRDefault="00FB6BBF" w:rsidP="00FB6BBF">
            <w:pPr>
              <w:cnfStyle w:val="000000000000" w:firstRow="0" w:lastRow="0" w:firstColumn="0" w:lastColumn="0" w:oddVBand="0" w:evenVBand="0" w:oddHBand="0" w:evenHBand="0" w:firstRowFirstColumn="0" w:firstRowLastColumn="0" w:lastRowFirstColumn="0" w:lastRowLastColumn="0"/>
            </w:pPr>
            <w:r>
              <w:t>Psoriasis</w:t>
            </w:r>
          </w:p>
          <w:p w14:paraId="019D98D5" w14:textId="6C96024F" w:rsidR="00FB6BBF" w:rsidRDefault="00FB6BBF" w:rsidP="00FB6BBF">
            <w:pPr>
              <w:cnfStyle w:val="000000000000" w:firstRow="0" w:lastRow="0" w:firstColumn="0" w:lastColumn="0" w:oddVBand="0" w:evenVBand="0" w:oddHBand="0" w:evenHBand="0" w:firstRowFirstColumn="0" w:firstRowLastColumn="0" w:lastRowFirstColumn="0" w:lastRowLastColumn="0"/>
            </w:pPr>
            <w:r>
              <w:t>Paediatric plaque psoriasis</w:t>
            </w:r>
          </w:p>
          <w:p w14:paraId="2171EE39" w14:textId="1C22D49F" w:rsidR="00FB6BBF" w:rsidRDefault="00FB6BBF" w:rsidP="00FB6BBF">
            <w:pPr>
              <w:cnfStyle w:val="000000000000" w:firstRow="0" w:lastRow="0" w:firstColumn="0" w:lastColumn="0" w:oddVBand="0" w:evenVBand="0" w:oddHBand="0" w:evenHBand="0" w:firstRowFirstColumn="0" w:firstRowLastColumn="0" w:lastRowFirstColumn="0" w:lastRowLastColumn="0"/>
            </w:pPr>
            <w:r>
              <w:t>Hidradenitis suppurativa</w:t>
            </w:r>
          </w:p>
          <w:p w14:paraId="2ACCC741" w14:textId="77777777" w:rsidR="00FB6BBF" w:rsidRDefault="00FB6BBF" w:rsidP="00FB6BBF">
            <w:pPr>
              <w:cnfStyle w:val="000000000000" w:firstRow="0" w:lastRow="0" w:firstColumn="0" w:lastColumn="0" w:oddVBand="0" w:evenVBand="0" w:oddHBand="0" w:evenHBand="0" w:firstRowFirstColumn="0" w:firstRowLastColumn="0" w:lastRowFirstColumn="0" w:lastRowLastColumn="0"/>
            </w:pPr>
            <w:r>
              <w:t>Crohn’s disease</w:t>
            </w:r>
          </w:p>
          <w:p w14:paraId="0CA5FDF4" w14:textId="5C727E24" w:rsidR="00FB6BBF" w:rsidRDefault="00FB6BBF" w:rsidP="00FB6BBF">
            <w:pPr>
              <w:cnfStyle w:val="000000000000" w:firstRow="0" w:lastRow="0" w:firstColumn="0" w:lastColumn="0" w:oddVBand="0" w:evenVBand="0" w:oddHBand="0" w:evenHBand="0" w:firstRowFirstColumn="0" w:firstRowLastColumn="0" w:lastRowFirstColumn="0" w:lastRowLastColumn="0"/>
            </w:pPr>
            <w:r>
              <w:t>Paediatric Crohn's disease</w:t>
            </w:r>
          </w:p>
          <w:p w14:paraId="570C341F" w14:textId="77777777" w:rsidR="00FB6BBF" w:rsidRPr="00785383" w:rsidRDefault="00FB6BBF" w:rsidP="00FB6BBF">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Ulcerative colitis</w:t>
            </w:r>
          </w:p>
          <w:p w14:paraId="31CCCC2B" w14:textId="491CCCEF" w:rsidR="00FB6BBF" w:rsidRPr="00785383" w:rsidRDefault="00FB6BBF" w:rsidP="00FB6BBF">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Paediatric ulcerative colitis</w:t>
            </w:r>
          </w:p>
          <w:p w14:paraId="18C16836" w14:textId="77777777" w:rsidR="00FB6BBF" w:rsidRPr="00785383" w:rsidRDefault="00FB6BBF" w:rsidP="00FB6BBF">
            <w:pPr>
              <w:cnfStyle w:val="000000000000" w:firstRow="0" w:lastRow="0" w:firstColumn="0" w:lastColumn="0" w:oddVBand="0" w:evenVBand="0" w:oddHBand="0" w:evenHBand="0" w:firstRowFirstColumn="0" w:firstRowLastColumn="0" w:lastRowFirstColumn="0" w:lastRowLastColumn="0"/>
              <w:rPr>
                <w:lang w:val="pt-BR"/>
              </w:rPr>
            </w:pPr>
            <w:r w:rsidRPr="00785383">
              <w:rPr>
                <w:lang w:val="pt-BR"/>
              </w:rPr>
              <w:t>Uveitis</w:t>
            </w:r>
          </w:p>
          <w:p w14:paraId="49429FAB" w14:textId="4EC7AA3F" w:rsidR="00FB6BBF" w:rsidRPr="00006FAB" w:rsidRDefault="00FB6BBF" w:rsidP="00FB6BBF">
            <w:pPr>
              <w:cnfStyle w:val="000000000000" w:firstRow="0" w:lastRow="0" w:firstColumn="0" w:lastColumn="0" w:oddVBand="0" w:evenVBand="0" w:oddHBand="0" w:evenHBand="0" w:firstRowFirstColumn="0" w:firstRowLastColumn="0" w:lastRowFirstColumn="0" w:lastRowLastColumn="0"/>
            </w:pPr>
            <w:r>
              <w:t>Paediatric uveitis</w:t>
            </w:r>
          </w:p>
        </w:tc>
      </w:tr>
    </w:tbl>
    <w:p w14:paraId="064CCADF" w14:textId="77777777" w:rsidR="00324B33" w:rsidRDefault="00324B33" w:rsidP="00324B33">
      <w:pPr>
        <w:pStyle w:val="Heading3"/>
      </w:pPr>
      <w:bookmarkStart w:id="20" w:name="_Toc103679292"/>
      <w:bookmarkStart w:id="21" w:name="_Toc133478208"/>
      <w:r>
        <w:t>Product Information</w:t>
      </w:r>
      <w:bookmarkEnd w:id="20"/>
      <w:bookmarkEnd w:id="21"/>
    </w:p>
    <w:p w14:paraId="4B0F7D57" w14:textId="4AEEE25D" w:rsidR="00324B33" w:rsidRDefault="00324B33" w:rsidP="00324B33">
      <w:bookmarkStart w:id="22" w:name="_Toc504480011"/>
      <w:r>
        <w:t xml:space="preserve">The Product Information (PI) approved with the submission which is described in this AusPAR can be found as Attachment 1. For the most recent PI, please refer to the TGA </w:t>
      </w:r>
      <w:hyperlink r:id="rId20" w:history="1">
        <w:r>
          <w:rPr>
            <w:rStyle w:val="Hyperlink"/>
          </w:rPr>
          <w:t>PI/CMI search facility.</w:t>
        </w:r>
      </w:hyperlink>
    </w:p>
    <w:p w14:paraId="6D92589C" w14:textId="77777777" w:rsidR="00324B33" w:rsidRDefault="00324B33" w:rsidP="00324B33">
      <w:pPr>
        <w:pStyle w:val="Heading2"/>
      </w:pPr>
      <w:bookmarkStart w:id="23" w:name="_Toc103679293"/>
      <w:bookmarkStart w:id="24" w:name="_Toc133478209"/>
      <w:r>
        <w:t>Registration timeline</w:t>
      </w:r>
      <w:bookmarkEnd w:id="22"/>
      <w:bookmarkEnd w:id="23"/>
      <w:bookmarkEnd w:id="24"/>
    </w:p>
    <w:p w14:paraId="225E3D87" w14:textId="77777777" w:rsidR="00324B33" w:rsidRPr="00C93EC1" w:rsidRDefault="00324B33" w:rsidP="00324B33">
      <w:r w:rsidRPr="00C93EC1">
        <w:t xml:space="preserve">The following table captures the key steps and dates for this </w:t>
      </w:r>
      <w:r>
        <w:t>submission</w:t>
      </w:r>
      <w:r w:rsidRPr="00C93EC1">
        <w:t>.</w:t>
      </w:r>
    </w:p>
    <w:p w14:paraId="13AFE624" w14:textId="6FEB4489" w:rsidR="00324B33" w:rsidRPr="00FB6BBF" w:rsidRDefault="00324B33" w:rsidP="00FB6BBF">
      <w:pPr>
        <w:pStyle w:val="TableTitle"/>
      </w:pPr>
      <w:r>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DE7A9B">
        <w:rPr>
          <w:noProof/>
        </w:rPr>
        <w:t>2</w:t>
      </w:r>
      <w:r>
        <w:rPr>
          <w:color w:val="2B579A"/>
          <w:shd w:val="clear" w:color="auto" w:fill="E6E6E6"/>
        </w:rPr>
        <w:fldChar w:fldCharType="end"/>
      </w:r>
      <w:r>
        <w:t>:</w:t>
      </w:r>
      <w:r w:rsidRPr="006A58A8">
        <w:t xml:space="preserve"> Timeline for Submission PM-20</w:t>
      </w:r>
      <w:r>
        <w:t>2</w:t>
      </w:r>
      <w:r w:rsidR="00FB6BBF">
        <w:t>1</w:t>
      </w:r>
      <w:r w:rsidRPr="006A58A8">
        <w:t>-</w:t>
      </w:r>
      <w:r w:rsidR="00FB6BBF">
        <w:t>02447</w:t>
      </w:r>
      <w:r w:rsidRPr="006A58A8">
        <w:t>-1-</w:t>
      </w:r>
      <w:r w:rsidR="00FB6BBF">
        <w:t>3</w:t>
      </w:r>
    </w:p>
    <w:tbl>
      <w:tblPr>
        <w:tblStyle w:val="TableTGAblue2023"/>
        <w:tblW w:w="8642" w:type="dxa"/>
        <w:tblLook w:val="04A0" w:firstRow="1" w:lastRow="0" w:firstColumn="1" w:lastColumn="0" w:noHBand="0" w:noVBand="1"/>
      </w:tblPr>
      <w:tblGrid>
        <w:gridCol w:w="5807"/>
        <w:gridCol w:w="2835"/>
      </w:tblGrid>
      <w:tr w:rsidR="00324B33" w14:paraId="22105FA5" w14:textId="77777777" w:rsidTr="005A7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07" w:type="dxa"/>
          </w:tcPr>
          <w:p w14:paraId="374145EA" w14:textId="79FF0728" w:rsidR="00324B33" w:rsidRDefault="00324B33" w:rsidP="00324B33">
            <w:r>
              <w:t>Description</w:t>
            </w:r>
          </w:p>
        </w:tc>
        <w:tc>
          <w:tcPr>
            <w:tcW w:w="2835" w:type="dxa"/>
          </w:tcPr>
          <w:p w14:paraId="5E24024A" w14:textId="47C29426" w:rsidR="00324B33" w:rsidRDefault="00324B33" w:rsidP="00324B33">
            <w:pPr>
              <w:cnfStyle w:val="100000000000" w:firstRow="1" w:lastRow="0" w:firstColumn="0" w:lastColumn="0" w:oddVBand="0" w:evenVBand="0" w:oddHBand="0" w:evenHBand="0" w:firstRowFirstColumn="0" w:firstRowLastColumn="0" w:lastRowFirstColumn="0" w:lastRowLastColumn="0"/>
            </w:pPr>
            <w:r>
              <w:t>Date</w:t>
            </w:r>
          </w:p>
        </w:tc>
      </w:tr>
      <w:tr w:rsidR="00324B33" w14:paraId="20717621"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009311DB" w14:textId="0EBA5125" w:rsidR="00324B33" w:rsidRDefault="00324B33" w:rsidP="00324B33">
            <w:r>
              <w:t>Submission dossier accepted and first round evaluation commenced</w:t>
            </w:r>
          </w:p>
        </w:tc>
        <w:tc>
          <w:tcPr>
            <w:tcW w:w="2835" w:type="dxa"/>
          </w:tcPr>
          <w:p w14:paraId="2520A047" w14:textId="3142A75B" w:rsidR="00324B33" w:rsidRDefault="00FB6BBF" w:rsidP="00324B33">
            <w:pPr>
              <w:cnfStyle w:val="000000000000" w:firstRow="0" w:lastRow="0" w:firstColumn="0" w:lastColumn="0" w:oddVBand="0" w:evenVBand="0" w:oddHBand="0" w:evenHBand="0" w:firstRowFirstColumn="0" w:firstRowLastColumn="0" w:lastRowFirstColumn="0" w:lastRowLastColumn="0"/>
            </w:pPr>
            <w:r>
              <w:t>31 August 2021</w:t>
            </w:r>
          </w:p>
        </w:tc>
      </w:tr>
      <w:tr w:rsidR="00324B33" w14:paraId="7407C589"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0A77FE5C" w14:textId="1CC7BC07" w:rsidR="00324B33" w:rsidRDefault="00324B33" w:rsidP="00324B33">
            <w:r>
              <w:t>First round evaluation completed</w:t>
            </w:r>
          </w:p>
        </w:tc>
        <w:tc>
          <w:tcPr>
            <w:tcW w:w="2835" w:type="dxa"/>
          </w:tcPr>
          <w:p w14:paraId="3865B9E8" w14:textId="2EF60E17" w:rsidR="00324B33" w:rsidRDefault="00FB6BBF" w:rsidP="00324B33">
            <w:pPr>
              <w:cnfStyle w:val="000000000000" w:firstRow="0" w:lastRow="0" w:firstColumn="0" w:lastColumn="0" w:oddVBand="0" w:evenVBand="0" w:oddHBand="0" w:evenHBand="0" w:firstRowFirstColumn="0" w:firstRowLastColumn="0" w:lastRowFirstColumn="0" w:lastRowLastColumn="0"/>
            </w:pPr>
            <w:r>
              <w:t>15 March 2022</w:t>
            </w:r>
          </w:p>
        </w:tc>
      </w:tr>
      <w:tr w:rsidR="00324B33" w14:paraId="06E8B03B"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7536BE94" w14:textId="35852C3D" w:rsidR="00324B33" w:rsidRDefault="00324B33" w:rsidP="00324B33">
            <w:r>
              <w:t>Sponsor provides responses on questions raised in first round evaluation</w:t>
            </w:r>
          </w:p>
        </w:tc>
        <w:tc>
          <w:tcPr>
            <w:tcW w:w="2835" w:type="dxa"/>
          </w:tcPr>
          <w:p w14:paraId="503A21C2" w14:textId="19BBAE59" w:rsidR="00324B33" w:rsidRDefault="00FB6BBF" w:rsidP="00324B33">
            <w:pPr>
              <w:cnfStyle w:val="000000000000" w:firstRow="0" w:lastRow="0" w:firstColumn="0" w:lastColumn="0" w:oddVBand="0" w:evenVBand="0" w:oddHBand="0" w:evenHBand="0" w:firstRowFirstColumn="0" w:firstRowLastColumn="0" w:lastRowFirstColumn="0" w:lastRowLastColumn="0"/>
            </w:pPr>
            <w:r>
              <w:t>6 May 2022</w:t>
            </w:r>
          </w:p>
        </w:tc>
      </w:tr>
      <w:tr w:rsidR="00324B33" w14:paraId="4B38A369"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3D16EF29" w14:textId="50FEF5E1" w:rsidR="00324B33" w:rsidRDefault="00324B33" w:rsidP="00324B33">
            <w:r>
              <w:t>Second round evaluation completed</w:t>
            </w:r>
          </w:p>
        </w:tc>
        <w:tc>
          <w:tcPr>
            <w:tcW w:w="2835" w:type="dxa"/>
          </w:tcPr>
          <w:p w14:paraId="33E1DE2C" w14:textId="00725591" w:rsidR="00324B33" w:rsidRDefault="00FB6BBF" w:rsidP="00324B33">
            <w:pPr>
              <w:cnfStyle w:val="000000000000" w:firstRow="0" w:lastRow="0" w:firstColumn="0" w:lastColumn="0" w:oddVBand="0" w:evenVBand="0" w:oddHBand="0" w:evenHBand="0" w:firstRowFirstColumn="0" w:firstRowLastColumn="0" w:lastRowFirstColumn="0" w:lastRowLastColumn="0"/>
            </w:pPr>
            <w:r>
              <w:t>19 August 2022</w:t>
            </w:r>
          </w:p>
        </w:tc>
      </w:tr>
      <w:tr w:rsidR="00324B33" w14:paraId="77C4BC7A"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72E6AF55" w14:textId="3D495080" w:rsidR="00324B33" w:rsidRDefault="00324B33" w:rsidP="00324B33">
            <w:r>
              <w:t xml:space="preserve">Delegate’s Overall benefit-risk assessment </w:t>
            </w:r>
          </w:p>
        </w:tc>
        <w:tc>
          <w:tcPr>
            <w:tcW w:w="2835" w:type="dxa"/>
          </w:tcPr>
          <w:p w14:paraId="16E13602" w14:textId="66178C95" w:rsidR="00324B33" w:rsidRDefault="00FB6BBF" w:rsidP="00324B33">
            <w:pPr>
              <w:cnfStyle w:val="000000000000" w:firstRow="0" w:lastRow="0" w:firstColumn="0" w:lastColumn="0" w:oddVBand="0" w:evenVBand="0" w:oddHBand="0" w:evenHBand="0" w:firstRowFirstColumn="0" w:firstRowLastColumn="0" w:lastRowFirstColumn="0" w:lastRowLastColumn="0"/>
            </w:pPr>
            <w:r>
              <w:t>29 July 2022</w:t>
            </w:r>
          </w:p>
        </w:tc>
      </w:tr>
      <w:tr w:rsidR="00324B33" w14:paraId="5CE32D6C"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65D1DC48" w14:textId="017816E4" w:rsidR="00324B33" w:rsidRDefault="00324B33" w:rsidP="00324B33">
            <w:r>
              <w:t>Sponsor’s pre-Advisory Committee response</w:t>
            </w:r>
          </w:p>
        </w:tc>
        <w:tc>
          <w:tcPr>
            <w:tcW w:w="2835" w:type="dxa"/>
          </w:tcPr>
          <w:p w14:paraId="3EFC9757" w14:textId="1FF2B7F9" w:rsidR="00324B33" w:rsidRDefault="00FB6BBF" w:rsidP="00324B33">
            <w:pPr>
              <w:cnfStyle w:val="000000000000" w:firstRow="0" w:lastRow="0" w:firstColumn="0" w:lastColumn="0" w:oddVBand="0" w:evenVBand="0" w:oddHBand="0" w:evenHBand="0" w:firstRowFirstColumn="0" w:firstRowLastColumn="0" w:lastRowFirstColumn="0" w:lastRowLastColumn="0"/>
            </w:pPr>
            <w:r>
              <w:t>Not applicable</w:t>
            </w:r>
          </w:p>
        </w:tc>
      </w:tr>
      <w:tr w:rsidR="00324B33" w14:paraId="24E88ECF"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61A6685F" w14:textId="7712E272" w:rsidR="00324B33" w:rsidRDefault="00324B33" w:rsidP="00324B33">
            <w:r>
              <w:t>Advisory Committee meeting</w:t>
            </w:r>
          </w:p>
        </w:tc>
        <w:tc>
          <w:tcPr>
            <w:tcW w:w="2835" w:type="dxa"/>
          </w:tcPr>
          <w:p w14:paraId="47FEF787" w14:textId="1D751384" w:rsidR="00324B33" w:rsidRDefault="00FB6BBF" w:rsidP="00324B33">
            <w:pPr>
              <w:cnfStyle w:val="000000000000" w:firstRow="0" w:lastRow="0" w:firstColumn="0" w:lastColumn="0" w:oddVBand="0" w:evenVBand="0" w:oddHBand="0" w:evenHBand="0" w:firstRowFirstColumn="0" w:firstRowLastColumn="0" w:lastRowFirstColumn="0" w:lastRowLastColumn="0"/>
            </w:pPr>
            <w:r>
              <w:t>Not applicable</w:t>
            </w:r>
          </w:p>
        </w:tc>
      </w:tr>
      <w:tr w:rsidR="00324B33" w14:paraId="5589FB3F"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6AAA8ECC" w14:textId="2A862368" w:rsidR="00324B33" w:rsidRDefault="00324B33" w:rsidP="00324B33">
            <w:r>
              <w:t>Registration decision (Outcome)</w:t>
            </w:r>
          </w:p>
        </w:tc>
        <w:tc>
          <w:tcPr>
            <w:tcW w:w="2835" w:type="dxa"/>
          </w:tcPr>
          <w:p w14:paraId="2C35277D" w14:textId="6AC85A53" w:rsidR="00324B33" w:rsidRDefault="00FB6BBF" w:rsidP="00324B33">
            <w:pPr>
              <w:cnfStyle w:val="000000000000" w:firstRow="0" w:lastRow="0" w:firstColumn="0" w:lastColumn="0" w:oddVBand="0" w:evenVBand="0" w:oddHBand="0" w:evenHBand="0" w:firstRowFirstColumn="0" w:firstRowLastColumn="0" w:lastRowFirstColumn="0" w:lastRowLastColumn="0"/>
            </w:pPr>
            <w:r>
              <w:t>23 August 2022</w:t>
            </w:r>
          </w:p>
        </w:tc>
      </w:tr>
      <w:tr w:rsidR="00324B33" w14:paraId="144911FC"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30FDB6E4" w14:textId="770912B0" w:rsidR="00324B33" w:rsidRDefault="00324B33" w:rsidP="00324B33">
            <w:r w:rsidRPr="005A79F5">
              <w:t>Completion of administrative activities and registration on the ARTG</w:t>
            </w:r>
          </w:p>
        </w:tc>
        <w:tc>
          <w:tcPr>
            <w:tcW w:w="2835" w:type="dxa"/>
          </w:tcPr>
          <w:p w14:paraId="105E12EF" w14:textId="55BE2B82" w:rsidR="00324B33" w:rsidRDefault="00FB6BBF" w:rsidP="00324B33">
            <w:pPr>
              <w:cnfStyle w:val="000000000000" w:firstRow="0" w:lastRow="0" w:firstColumn="0" w:lastColumn="0" w:oddVBand="0" w:evenVBand="0" w:oddHBand="0" w:evenHBand="0" w:firstRowFirstColumn="0" w:firstRowLastColumn="0" w:lastRowFirstColumn="0" w:lastRowLastColumn="0"/>
            </w:pPr>
            <w:r>
              <w:t>6 September 2022</w:t>
            </w:r>
          </w:p>
        </w:tc>
      </w:tr>
      <w:tr w:rsidR="00324B33" w14:paraId="1EB0AE35" w14:textId="77777777" w:rsidTr="005A7369">
        <w:tc>
          <w:tcPr>
            <w:cnfStyle w:val="001000000000" w:firstRow="0" w:lastRow="0" w:firstColumn="1" w:lastColumn="0" w:oddVBand="0" w:evenVBand="0" w:oddHBand="0" w:evenHBand="0" w:firstRowFirstColumn="0" w:firstRowLastColumn="0" w:lastRowFirstColumn="0" w:lastRowLastColumn="0"/>
            <w:tcW w:w="5807" w:type="dxa"/>
          </w:tcPr>
          <w:p w14:paraId="6E282718" w14:textId="321ED5D6" w:rsidR="00324B33" w:rsidRDefault="00324B33" w:rsidP="00324B33">
            <w:r>
              <w:lastRenderedPageBreak/>
              <w:t>Number of working days from submission dossier acceptance to registration decision*</w:t>
            </w:r>
          </w:p>
        </w:tc>
        <w:tc>
          <w:tcPr>
            <w:tcW w:w="2835" w:type="dxa"/>
          </w:tcPr>
          <w:p w14:paraId="1570B65D" w14:textId="3A47824F" w:rsidR="00324B33" w:rsidRDefault="00FB6BBF" w:rsidP="00324B33">
            <w:pPr>
              <w:cnfStyle w:val="000000000000" w:firstRow="0" w:lastRow="0" w:firstColumn="0" w:lastColumn="0" w:oddVBand="0" w:evenVBand="0" w:oddHBand="0" w:evenHBand="0" w:firstRowFirstColumn="0" w:firstRowLastColumn="0" w:lastRowFirstColumn="0" w:lastRowLastColumn="0"/>
            </w:pPr>
            <w:r>
              <w:t>147</w:t>
            </w:r>
          </w:p>
        </w:tc>
      </w:tr>
    </w:tbl>
    <w:p w14:paraId="5BE48E9B" w14:textId="77777777" w:rsidR="00324B33" w:rsidRDefault="00324B33" w:rsidP="00324B33">
      <w:pPr>
        <w:pStyle w:val="TableDescription"/>
      </w:pPr>
      <w:r>
        <w:t>*</w:t>
      </w:r>
      <w:r w:rsidRPr="00BF3774">
        <w:t xml:space="preserve">Statutory </w:t>
      </w:r>
      <w:r>
        <w:t>timeframe for standard submissions is 255 working days</w:t>
      </w:r>
    </w:p>
    <w:p w14:paraId="220925F1" w14:textId="77777777" w:rsidR="00C22214" w:rsidRPr="00792A32" w:rsidRDefault="00C22214" w:rsidP="00C22214">
      <w:pPr>
        <w:pStyle w:val="Heading2"/>
      </w:pPr>
      <w:bookmarkStart w:id="25" w:name="_Toc196046504"/>
      <w:bookmarkStart w:id="26" w:name="_Toc247691527"/>
      <w:bookmarkStart w:id="27" w:name="_Toc314842510"/>
      <w:bookmarkStart w:id="28" w:name="_Toc103679294"/>
      <w:bookmarkStart w:id="29" w:name="_Toc133478210"/>
      <w:r w:rsidRPr="00006FAB">
        <w:t xml:space="preserve">Submission overview </w:t>
      </w:r>
      <w:r w:rsidRPr="00792A32">
        <w:t xml:space="preserve">and </w:t>
      </w:r>
      <w:r>
        <w:t>r</w:t>
      </w:r>
      <w:r w:rsidRPr="00792A32">
        <w:t>isk/</w:t>
      </w:r>
      <w:r>
        <w:t>b</w:t>
      </w:r>
      <w:r w:rsidRPr="00792A32">
        <w:t xml:space="preserve">enefit </w:t>
      </w:r>
      <w:r>
        <w:t>a</w:t>
      </w:r>
      <w:r w:rsidRPr="00792A32">
        <w:t>ssessment</w:t>
      </w:r>
      <w:bookmarkEnd w:id="25"/>
      <w:bookmarkEnd w:id="26"/>
      <w:bookmarkEnd w:id="27"/>
      <w:bookmarkEnd w:id="28"/>
      <w:bookmarkEnd w:id="29"/>
    </w:p>
    <w:p w14:paraId="540151FC" w14:textId="478DD53E" w:rsidR="00C22214" w:rsidRDefault="00C22214" w:rsidP="00C22214">
      <w:pPr>
        <w:pStyle w:val="Instructions"/>
        <w:rPr>
          <w:i w:val="0"/>
          <w:color w:val="auto"/>
        </w:rPr>
      </w:pPr>
      <w:bookmarkStart w:id="30" w:name="_Toc247691528"/>
      <w:bookmarkStart w:id="31" w:name="_Toc314842511"/>
      <w:r w:rsidRPr="005A79F5">
        <w:rPr>
          <w:i w:val="0"/>
          <w:color w:val="auto"/>
        </w:rPr>
        <w:t>A summary of the TGA’s assessment for this submission is provided below</w:t>
      </w:r>
      <w:r>
        <w:rPr>
          <w:i w:val="0"/>
          <w:color w:val="auto"/>
        </w:rPr>
        <w:t>.</w:t>
      </w:r>
    </w:p>
    <w:p w14:paraId="4B1A781A" w14:textId="77777777" w:rsidR="000D6955" w:rsidRPr="00B44440" w:rsidRDefault="000D6955" w:rsidP="000D6955">
      <w:r w:rsidRPr="00B44440">
        <w:t xml:space="preserve">Relevant guidelines referred to by the Delegate </w:t>
      </w:r>
      <w:r>
        <w:t xml:space="preserve">or relevant to the submission </w:t>
      </w:r>
      <w:r w:rsidRPr="00B44440">
        <w:t>are listed below:</w:t>
      </w:r>
    </w:p>
    <w:p w14:paraId="517E5A95" w14:textId="5B5EF23F" w:rsidR="000D6955" w:rsidRDefault="000D6955" w:rsidP="000D6955">
      <w:pPr>
        <w:pStyle w:val="ListBullet"/>
      </w:pPr>
      <w:r w:rsidRPr="00B44440">
        <w:t xml:space="preserve">European Medicines Agency (EMA), Committee for Medicinal Products for Human Use (CHMP), </w:t>
      </w:r>
      <w:hyperlink r:id="rId21" w:history="1">
        <w:r w:rsidRPr="00C545FE">
          <w:rPr>
            <w:rStyle w:val="Hyperlink"/>
          </w:rPr>
          <w:t>Guideline on Similar Biological Medicinal Products</w:t>
        </w:r>
      </w:hyperlink>
      <w:r w:rsidRPr="00B44440">
        <w:t>, CHMP/437/04 Rev</w:t>
      </w:r>
      <w:r>
        <w:t xml:space="preserve"> 1</w:t>
      </w:r>
      <w:r w:rsidRPr="00B44440">
        <w:t>.</w:t>
      </w:r>
    </w:p>
    <w:p w14:paraId="6BECB0EF" w14:textId="77777777" w:rsidR="000B17C3" w:rsidRDefault="000D6955" w:rsidP="00015DA4">
      <w:pPr>
        <w:pStyle w:val="ListBullet"/>
        <w:numPr>
          <w:ilvl w:val="0"/>
          <w:numId w:val="0"/>
        </w:numPr>
        <w:ind w:left="360"/>
      </w:pPr>
      <w:r>
        <w:t xml:space="preserve">TGA-adopted; effective </w:t>
      </w:r>
      <w:r w:rsidRPr="00C545FE">
        <w:t>25 May 2015</w:t>
      </w:r>
    </w:p>
    <w:p w14:paraId="5B04E75E" w14:textId="64804D13" w:rsidR="000B17C3" w:rsidRDefault="000B17C3">
      <w:pPr>
        <w:pStyle w:val="ListBullet"/>
      </w:pPr>
      <w:r>
        <w:t xml:space="preserve">European Medicines Agency (EMA): </w:t>
      </w:r>
      <w:hyperlink r:id="rId22" w:history="1">
        <w:r w:rsidRPr="000B17C3">
          <w:rPr>
            <w:rStyle w:val="Hyperlink"/>
          </w:rPr>
          <w:t>Guideline on the investigation of bioequivalence.</w:t>
        </w:r>
      </w:hyperlink>
      <w:r w:rsidRPr="000B17C3">
        <w:t xml:space="preserve"> CPMP/EWP/QWP/1401/98.</w:t>
      </w:r>
    </w:p>
    <w:p w14:paraId="654F19D7" w14:textId="54F35269" w:rsidR="000B17C3" w:rsidRPr="00B44440" w:rsidRDefault="000B17C3" w:rsidP="00015DA4">
      <w:pPr>
        <w:pStyle w:val="ListBullet"/>
        <w:numPr>
          <w:ilvl w:val="0"/>
          <w:numId w:val="0"/>
        </w:numPr>
        <w:ind w:left="360"/>
      </w:pPr>
      <w:r>
        <w:t>TGA-adopted; 16 June 2011</w:t>
      </w:r>
    </w:p>
    <w:p w14:paraId="17302E77" w14:textId="2919CB37" w:rsidR="000B17C3" w:rsidRPr="000B17C3" w:rsidRDefault="000D6955" w:rsidP="000B17C3">
      <w:pPr>
        <w:pStyle w:val="ListBullet"/>
      </w:pPr>
      <w:r w:rsidRPr="00B44440">
        <w:t xml:space="preserve">European Medicines Agency (EMA), Committee for Medicinal Products for Human Use (CHMP), </w:t>
      </w:r>
      <w:hyperlink r:id="rId23" w:history="1">
        <w:r w:rsidR="000B17C3" w:rsidRPr="000B17C3">
          <w:rPr>
            <w:rStyle w:val="Hyperlink"/>
          </w:rPr>
          <w:t>Guideline on the clinical investigation of the pharmacokinetics of therapeutic proteins</w:t>
        </w:r>
      </w:hyperlink>
      <w:r w:rsidR="000B17C3" w:rsidRPr="000B17C3">
        <w:t>. CHMP/EWP/89249/2004.</w:t>
      </w:r>
    </w:p>
    <w:p w14:paraId="101EC107" w14:textId="622E76B5" w:rsidR="000D6955" w:rsidRDefault="000D6955" w:rsidP="00015DA4">
      <w:pPr>
        <w:pStyle w:val="ListBullet"/>
        <w:numPr>
          <w:ilvl w:val="0"/>
          <w:numId w:val="0"/>
        </w:numPr>
        <w:ind w:left="360"/>
      </w:pPr>
      <w:r>
        <w:t xml:space="preserve">TGA-adopted; effective </w:t>
      </w:r>
      <w:r w:rsidR="000B17C3">
        <w:t>6 January 2009</w:t>
      </w:r>
    </w:p>
    <w:p w14:paraId="2B495AB1" w14:textId="5D95B360" w:rsidR="000D6955" w:rsidRDefault="000D6955" w:rsidP="00015DA4">
      <w:pPr>
        <w:pStyle w:val="ListBullet"/>
      </w:pPr>
      <w:r w:rsidRPr="00326373">
        <w:t>European Medicines Agency (EMA), Committee for Medicinal Products for Human Use (CHMP),</w:t>
      </w:r>
      <w:r w:rsidRPr="00EB5AA0">
        <w:t xml:space="preserve"> </w:t>
      </w:r>
      <w:hyperlink r:id="rId24" w:history="1">
        <w:r w:rsidRPr="001E607D">
          <w:rPr>
            <w:rStyle w:val="Hyperlink"/>
          </w:rPr>
          <w:t>Guideline on Similar Biological Medicinal Products Containing Monoclonal Antibodies - Non-clinical and Clinical Issues</w:t>
        </w:r>
      </w:hyperlink>
      <w:r>
        <w:t>, EMA/CHMP/BMWP/403543/2010.</w:t>
      </w:r>
    </w:p>
    <w:p w14:paraId="273A7C5F" w14:textId="711DD847" w:rsidR="000D6955" w:rsidRDefault="000D6955" w:rsidP="00015DA4">
      <w:pPr>
        <w:pStyle w:val="ListBullet"/>
        <w:numPr>
          <w:ilvl w:val="0"/>
          <w:numId w:val="0"/>
        </w:numPr>
        <w:ind w:left="360"/>
      </w:pPr>
      <w:r>
        <w:t>TGA-adopted; effective 17 August 2015.</w:t>
      </w:r>
    </w:p>
    <w:p w14:paraId="5362FCB3" w14:textId="530F6522" w:rsidR="000B17C3" w:rsidRDefault="000B17C3">
      <w:pPr>
        <w:pStyle w:val="ListBullet"/>
      </w:pPr>
      <w:r>
        <w:t xml:space="preserve">European Medicines Agency (EMA), </w:t>
      </w:r>
      <w:hyperlink r:id="rId25" w:history="1">
        <w:r w:rsidRPr="000B17C3">
          <w:rPr>
            <w:rStyle w:val="Hyperlink"/>
          </w:rPr>
          <w:t>Guideline on clinical investigation of medicinal products indicated for the treatment of psoriasis</w:t>
        </w:r>
      </w:hyperlink>
      <w:r>
        <w:t xml:space="preserve">. CHMP/EWP/2454/02 </w:t>
      </w:r>
      <w:proofErr w:type="spellStart"/>
      <w:r>
        <w:t>corr</w:t>
      </w:r>
      <w:proofErr w:type="spellEnd"/>
    </w:p>
    <w:p w14:paraId="79189835" w14:textId="415ECF5B" w:rsidR="000B17C3" w:rsidRDefault="000B17C3" w:rsidP="00015DA4">
      <w:pPr>
        <w:pStyle w:val="ListBullet"/>
        <w:numPr>
          <w:ilvl w:val="0"/>
          <w:numId w:val="0"/>
        </w:numPr>
        <w:ind w:left="360"/>
      </w:pPr>
      <w:r>
        <w:t>TGA-adopted; effective 28 July 2005.</w:t>
      </w:r>
    </w:p>
    <w:p w14:paraId="37F5A1C0" w14:textId="77777777" w:rsidR="00C22214" w:rsidRDefault="00C22214" w:rsidP="00C22214">
      <w:pPr>
        <w:pStyle w:val="Heading3"/>
      </w:pPr>
      <w:bookmarkStart w:id="32" w:name="_Toc103679295"/>
      <w:bookmarkStart w:id="33" w:name="_Toc133478211"/>
      <w:r>
        <w:t>Quality</w:t>
      </w:r>
      <w:bookmarkEnd w:id="30"/>
      <w:bookmarkEnd w:id="31"/>
      <w:bookmarkEnd w:id="32"/>
      <w:bookmarkEnd w:id="33"/>
    </w:p>
    <w:p w14:paraId="20941B73" w14:textId="20FF1268" w:rsidR="00FB6BBF" w:rsidRPr="00E17C80" w:rsidRDefault="00FB6BBF" w:rsidP="00FB6BBF">
      <w:pPr>
        <w:rPr>
          <w:color w:val="000000" w:themeColor="text1"/>
        </w:rPr>
      </w:pPr>
      <w:proofErr w:type="spellStart"/>
      <w:r>
        <w:t>Ardalicip</w:t>
      </w:r>
      <w:proofErr w:type="spellEnd"/>
      <w:r>
        <w:t>/</w:t>
      </w:r>
      <w:proofErr w:type="spellStart"/>
      <w:r>
        <w:t>Ciptunec</w:t>
      </w:r>
      <w:proofErr w:type="spellEnd"/>
      <w:r>
        <w:t>;</w:t>
      </w:r>
      <w:r>
        <w:rPr>
          <w:rStyle w:val="FootnoteReference"/>
        </w:rPr>
        <w:footnoteReference w:id="14"/>
      </w:r>
      <w:r>
        <w:t xml:space="preserve"> is a clear, colourless, sterile, preservative free solution for subcutaneous </w:t>
      </w:r>
      <w:r w:rsidRPr="00E17C80">
        <w:rPr>
          <w:color w:val="000000" w:themeColor="text1"/>
        </w:rPr>
        <w:t>injection containing</w:t>
      </w:r>
      <w:r w:rsidR="006028E6">
        <w:rPr>
          <w:color w:val="000000" w:themeColor="text1"/>
        </w:rPr>
        <w:t>:</w:t>
      </w:r>
    </w:p>
    <w:p w14:paraId="6CEDCC90" w14:textId="7471E7EF" w:rsidR="00FB6BBF" w:rsidRPr="00E17C80" w:rsidRDefault="00FB6BBF" w:rsidP="00FB6BBF">
      <w:pPr>
        <w:pStyle w:val="ListBullet"/>
        <w:rPr>
          <w:color w:val="000000" w:themeColor="text1"/>
        </w:rPr>
      </w:pPr>
      <w:r w:rsidRPr="00E17C80">
        <w:rPr>
          <w:color w:val="000000" w:themeColor="text1"/>
        </w:rPr>
        <w:t>40 mg of adalimumab in 0.4</w:t>
      </w:r>
      <w:r w:rsidR="006028E6">
        <w:rPr>
          <w:color w:val="000000" w:themeColor="text1"/>
        </w:rPr>
        <w:t xml:space="preserve"> </w:t>
      </w:r>
      <w:r w:rsidRPr="00E17C80">
        <w:rPr>
          <w:color w:val="000000" w:themeColor="text1"/>
        </w:rPr>
        <w:t>mL</w:t>
      </w:r>
      <w:r w:rsidR="006028E6">
        <w:rPr>
          <w:color w:val="000000" w:themeColor="text1"/>
        </w:rPr>
        <w:t xml:space="preserve"> solution (</w:t>
      </w:r>
      <w:r w:rsidR="006028E6" w:rsidRPr="00E17C80">
        <w:rPr>
          <w:color w:val="000000" w:themeColor="text1"/>
        </w:rPr>
        <w:t>AVT02-DP40)</w:t>
      </w:r>
    </w:p>
    <w:p w14:paraId="79CD9C95" w14:textId="50DBB8F4" w:rsidR="00FB6BBF" w:rsidRPr="00E17C80" w:rsidRDefault="00FB6BBF" w:rsidP="00FB6BBF">
      <w:pPr>
        <w:pStyle w:val="ListBullet"/>
        <w:rPr>
          <w:color w:val="000000" w:themeColor="text1"/>
        </w:rPr>
      </w:pPr>
      <w:r w:rsidRPr="00E17C80">
        <w:rPr>
          <w:color w:val="000000" w:themeColor="text1"/>
        </w:rPr>
        <w:t>80 mg of adalimumab in 0.8</w:t>
      </w:r>
      <w:r w:rsidR="006028E6">
        <w:rPr>
          <w:color w:val="000000" w:themeColor="text1"/>
        </w:rPr>
        <w:t xml:space="preserve"> </w:t>
      </w:r>
      <w:r w:rsidRPr="00E17C80">
        <w:rPr>
          <w:color w:val="000000" w:themeColor="text1"/>
        </w:rPr>
        <w:t>mL</w:t>
      </w:r>
      <w:r w:rsidR="006028E6">
        <w:rPr>
          <w:color w:val="000000" w:themeColor="text1"/>
        </w:rPr>
        <w:t xml:space="preserve"> solution (</w:t>
      </w:r>
      <w:r w:rsidR="006028E6" w:rsidRPr="00E17C80">
        <w:rPr>
          <w:color w:val="000000" w:themeColor="text1"/>
        </w:rPr>
        <w:t>AVT02-DP80</w:t>
      </w:r>
      <w:r w:rsidR="006028E6">
        <w:rPr>
          <w:color w:val="000000" w:themeColor="text1"/>
        </w:rPr>
        <w:t>)</w:t>
      </w:r>
    </w:p>
    <w:p w14:paraId="4B6AD229" w14:textId="46A0BAAF" w:rsidR="00FB6BBF" w:rsidRDefault="00FB6BBF" w:rsidP="00FB6BBF">
      <w:r>
        <w:t xml:space="preserve">To support the quality profile of the product, a comparability study was performed to characterise batches of </w:t>
      </w:r>
      <w:proofErr w:type="spellStart"/>
      <w:r w:rsidR="006028E6">
        <w:t>Ardalicip</w:t>
      </w:r>
      <w:proofErr w:type="spellEnd"/>
      <w:r w:rsidR="006028E6">
        <w:t>/</w:t>
      </w:r>
      <w:proofErr w:type="spellStart"/>
      <w:r w:rsidR="006028E6">
        <w:t>Ciptunec</w:t>
      </w:r>
      <w:proofErr w:type="spellEnd"/>
      <w:r w:rsidR="006028E6">
        <w:t xml:space="preserve"> (that is, the sponsor’s adalimumab-containing product)</w:t>
      </w:r>
      <w:r>
        <w:t xml:space="preserve">, </w:t>
      </w:r>
      <w:r w:rsidR="006028E6">
        <w:t>European Union (</w:t>
      </w:r>
      <w:r>
        <w:t>EU</w:t>
      </w:r>
      <w:r w:rsidR="006028E6">
        <w:t>)</w:t>
      </w:r>
      <w:r w:rsidR="006028E6">
        <w:noBreakHyphen/>
        <w:t xml:space="preserve">sourced </w:t>
      </w:r>
      <w:r>
        <w:t>Humira and US-</w:t>
      </w:r>
      <w:r w:rsidR="006028E6">
        <w:t xml:space="preserve">sourced </w:t>
      </w:r>
      <w:r>
        <w:t>Humira. A comparability bridging assessment based on analytical results from EU-</w:t>
      </w:r>
      <w:r w:rsidR="006028E6">
        <w:t xml:space="preserve">sourced </w:t>
      </w:r>
      <w:r>
        <w:t xml:space="preserve">Humira versus </w:t>
      </w:r>
      <w:r w:rsidR="00433F2E">
        <w:t>Australia</w:t>
      </w:r>
      <w:r w:rsidR="006028E6">
        <w:t xml:space="preserve">-sourced </w:t>
      </w:r>
      <w:r w:rsidR="00433F2E">
        <w:t>(AU)</w:t>
      </w:r>
      <w:r w:rsidR="006028E6">
        <w:noBreakHyphen/>
      </w:r>
      <w:r>
        <w:t>Humira is also presented. Three batches of AU-</w:t>
      </w:r>
      <w:r w:rsidR="006028E6">
        <w:t xml:space="preserve">sourced </w:t>
      </w:r>
      <w:r>
        <w:t xml:space="preserve">Humira, three batches of </w:t>
      </w:r>
      <w:r>
        <w:lastRenderedPageBreak/>
        <w:t>EU</w:t>
      </w:r>
      <w:r w:rsidR="006028E6">
        <w:noBreakHyphen/>
        <w:t xml:space="preserve">sourced </w:t>
      </w:r>
      <w:r>
        <w:t xml:space="preserve">Humira and three batches of </w:t>
      </w:r>
      <w:proofErr w:type="spellStart"/>
      <w:r w:rsidR="00433F2E">
        <w:t>Ardalicip</w:t>
      </w:r>
      <w:proofErr w:type="spellEnd"/>
      <w:r w:rsidR="00433F2E">
        <w:t>/</w:t>
      </w:r>
      <w:proofErr w:type="spellStart"/>
      <w:r w:rsidR="00433F2E">
        <w:t>Ciptunec</w:t>
      </w:r>
      <w:proofErr w:type="spellEnd"/>
      <w:r>
        <w:t xml:space="preserve"> were tested to confirm chemical and physical similarity</w:t>
      </w:r>
      <w:r w:rsidR="00E17C80">
        <w:t xml:space="preserve"> (see </w:t>
      </w:r>
      <w:r w:rsidR="00E17C80">
        <w:rPr>
          <w:color w:val="2B579A"/>
          <w:shd w:val="clear" w:color="auto" w:fill="E6E6E6"/>
        </w:rPr>
        <w:fldChar w:fldCharType="begin"/>
      </w:r>
      <w:r w:rsidR="00E17C80">
        <w:instrText xml:space="preserve"> REF _Ref130990032 \h </w:instrText>
      </w:r>
      <w:r w:rsidR="00E17C80">
        <w:rPr>
          <w:color w:val="2B579A"/>
          <w:shd w:val="clear" w:color="auto" w:fill="E6E6E6"/>
        </w:rPr>
      </w:r>
      <w:r w:rsidR="00E17C80">
        <w:rPr>
          <w:color w:val="2B579A"/>
          <w:shd w:val="clear" w:color="auto" w:fill="E6E6E6"/>
        </w:rPr>
        <w:fldChar w:fldCharType="separate"/>
      </w:r>
      <w:r w:rsidR="00DE7A9B" w:rsidRPr="00644FCC">
        <w:t xml:space="preserve">Table </w:t>
      </w:r>
      <w:r w:rsidR="00DE7A9B">
        <w:rPr>
          <w:noProof/>
        </w:rPr>
        <w:t>3</w:t>
      </w:r>
      <w:r w:rsidR="00E17C80">
        <w:rPr>
          <w:color w:val="2B579A"/>
          <w:shd w:val="clear" w:color="auto" w:fill="E6E6E6"/>
        </w:rPr>
        <w:fldChar w:fldCharType="end"/>
      </w:r>
      <w:r w:rsidR="006028E6">
        <w:rPr>
          <w:color w:val="2B579A"/>
          <w:shd w:val="clear" w:color="auto" w:fill="E6E6E6"/>
        </w:rPr>
        <w:t xml:space="preserve"> </w:t>
      </w:r>
      <w:r w:rsidR="00E17C80">
        <w:t xml:space="preserve">and </w:t>
      </w:r>
      <w:r w:rsidR="00E17C80">
        <w:rPr>
          <w:color w:val="2B579A"/>
          <w:shd w:val="clear" w:color="auto" w:fill="E6E6E6"/>
        </w:rPr>
        <w:fldChar w:fldCharType="begin"/>
      </w:r>
      <w:r w:rsidR="00E17C80">
        <w:instrText xml:space="preserve"> REF _Ref130990034 \h </w:instrText>
      </w:r>
      <w:r w:rsidR="00E17C80">
        <w:rPr>
          <w:color w:val="2B579A"/>
          <w:shd w:val="clear" w:color="auto" w:fill="E6E6E6"/>
        </w:rPr>
      </w:r>
      <w:r w:rsidR="00E17C80">
        <w:rPr>
          <w:color w:val="2B579A"/>
          <w:shd w:val="clear" w:color="auto" w:fill="E6E6E6"/>
        </w:rPr>
        <w:fldChar w:fldCharType="separate"/>
      </w:r>
      <w:r w:rsidR="00DE7A9B" w:rsidRPr="00644FCC">
        <w:t xml:space="preserve">Table </w:t>
      </w:r>
      <w:r w:rsidR="00DE7A9B">
        <w:rPr>
          <w:noProof/>
        </w:rPr>
        <w:t>4</w:t>
      </w:r>
      <w:r w:rsidR="00E17C80">
        <w:rPr>
          <w:color w:val="2B579A"/>
          <w:shd w:val="clear" w:color="auto" w:fill="E6E6E6"/>
        </w:rPr>
        <w:fldChar w:fldCharType="end"/>
      </w:r>
      <w:r w:rsidR="00E17C80">
        <w:t>).</w:t>
      </w:r>
    </w:p>
    <w:p w14:paraId="1137ECFF" w14:textId="74D7D47C" w:rsidR="00FB6BBF" w:rsidRPr="00644FCC" w:rsidRDefault="00FB6BBF" w:rsidP="00644FCC">
      <w:pPr>
        <w:pStyle w:val="TableTitle"/>
      </w:pPr>
      <w:bookmarkStart w:id="34" w:name="_Ref130990032"/>
      <w:r w:rsidRPr="00644FCC">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DE7A9B">
        <w:rPr>
          <w:noProof/>
        </w:rPr>
        <w:t>3</w:t>
      </w:r>
      <w:r>
        <w:rPr>
          <w:color w:val="2B579A"/>
          <w:shd w:val="clear" w:color="auto" w:fill="E6E6E6"/>
        </w:rPr>
        <w:fldChar w:fldCharType="end"/>
      </w:r>
      <w:bookmarkEnd w:id="34"/>
      <w:r w:rsidRPr="00644FCC">
        <w:t xml:space="preserve">: Assessment between the </w:t>
      </w:r>
      <w:proofErr w:type="spellStart"/>
      <w:r w:rsidR="00644FCC" w:rsidRPr="00644FCC">
        <w:t>Ardalicip</w:t>
      </w:r>
      <w:proofErr w:type="spellEnd"/>
      <w:r w:rsidR="00644FCC" w:rsidRPr="00644FCC">
        <w:t>/</w:t>
      </w:r>
      <w:proofErr w:type="spellStart"/>
      <w:r w:rsidR="00644FCC" w:rsidRPr="00644FCC">
        <w:t>Ciptunec</w:t>
      </w:r>
      <w:proofErr w:type="spellEnd"/>
      <w:r w:rsidRPr="00644FCC">
        <w:t xml:space="preserve"> and its two reference products</w:t>
      </w:r>
    </w:p>
    <w:tbl>
      <w:tblPr>
        <w:tblStyle w:val="TableTGAblue"/>
        <w:tblW w:w="8921" w:type="dxa"/>
        <w:tblLook w:val="04A0" w:firstRow="1" w:lastRow="0" w:firstColumn="1" w:lastColumn="0" w:noHBand="0" w:noVBand="1"/>
      </w:tblPr>
      <w:tblGrid>
        <w:gridCol w:w="2190"/>
        <w:gridCol w:w="2425"/>
        <w:gridCol w:w="2529"/>
        <w:gridCol w:w="1777"/>
      </w:tblGrid>
      <w:tr w:rsidR="00644FCC" w14:paraId="55F4E192" w14:textId="77777777" w:rsidTr="00644FCC">
        <w:trPr>
          <w:cnfStyle w:val="100000000000" w:firstRow="1" w:lastRow="0" w:firstColumn="0" w:lastColumn="0" w:oddVBand="0" w:evenVBand="0" w:oddHBand="0" w:evenHBand="0" w:firstRowFirstColumn="0" w:firstRowLastColumn="0" w:lastRowFirstColumn="0" w:lastRowLastColumn="0"/>
          <w:trHeight w:val="452"/>
        </w:trPr>
        <w:tc>
          <w:tcPr>
            <w:tcW w:w="1946" w:type="dxa"/>
          </w:tcPr>
          <w:p w14:paraId="32CFC8AB" w14:textId="77777777" w:rsidR="00644FCC" w:rsidRPr="00644FCC" w:rsidRDefault="00644FCC" w:rsidP="00EA3C32">
            <w:pPr>
              <w:jc w:val="center"/>
              <w:rPr>
                <w:sz w:val="20"/>
                <w:szCs w:val="20"/>
              </w:rPr>
            </w:pPr>
          </w:p>
        </w:tc>
        <w:tc>
          <w:tcPr>
            <w:tcW w:w="2439" w:type="dxa"/>
            <w:tcBorders>
              <w:right w:val="single" w:sz="4" w:space="0" w:color="auto"/>
            </w:tcBorders>
          </w:tcPr>
          <w:p w14:paraId="68522674" w14:textId="4382A162" w:rsidR="00644FCC" w:rsidRPr="00644FCC" w:rsidRDefault="00644FCC" w:rsidP="00EA3C32">
            <w:pPr>
              <w:jc w:val="center"/>
              <w:rPr>
                <w:sz w:val="20"/>
                <w:szCs w:val="20"/>
              </w:rPr>
            </w:pPr>
            <w:proofErr w:type="spellStart"/>
            <w:r w:rsidRPr="00644FCC">
              <w:rPr>
                <w:sz w:val="20"/>
                <w:szCs w:val="20"/>
              </w:rPr>
              <w:t>Ardalicip</w:t>
            </w:r>
            <w:proofErr w:type="spellEnd"/>
            <w:r w:rsidRPr="00644FCC">
              <w:rPr>
                <w:sz w:val="20"/>
                <w:szCs w:val="20"/>
              </w:rPr>
              <w:t>/</w:t>
            </w:r>
            <w:proofErr w:type="spellStart"/>
            <w:r w:rsidRPr="00644FCC">
              <w:rPr>
                <w:sz w:val="20"/>
                <w:szCs w:val="20"/>
              </w:rPr>
              <w:t>Ciptunec</w:t>
            </w:r>
            <w:proofErr w:type="spellEnd"/>
          </w:p>
        </w:tc>
        <w:tc>
          <w:tcPr>
            <w:tcW w:w="2693" w:type="dxa"/>
            <w:tcBorders>
              <w:top w:val="single" w:sz="4" w:space="0" w:color="auto"/>
              <w:left w:val="single" w:sz="4" w:space="0" w:color="auto"/>
              <w:bottom w:val="single" w:sz="4" w:space="0" w:color="auto"/>
              <w:right w:val="single" w:sz="4" w:space="0" w:color="auto"/>
            </w:tcBorders>
          </w:tcPr>
          <w:p w14:paraId="329A2448" w14:textId="77777777" w:rsidR="00644FCC" w:rsidRPr="00644FCC" w:rsidRDefault="00644FCC" w:rsidP="00EA3C32">
            <w:pPr>
              <w:jc w:val="center"/>
              <w:rPr>
                <w:sz w:val="20"/>
                <w:szCs w:val="20"/>
              </w:rPr>
            </w:pPr>
            <w:r w:rsidRPr="00644FCC">
              <w:rPr>
                <w:sz w:val="20"/>
                <w:szCs w:val="20"/>
              </w:rPr>
              <w:t>EU-Humira</w:t>
            </w:r>
          </w:p>
        </w:tc>
        <w:tc>
          <w:tcPr>
            <w:tcW w:w="1843" w:type="dxa"/>
            <w:tcBorders>
              <w:left w:val="single" w:sz="4" w:space="0" w:color="auto"/>
            </w:tcBorders>
          </w:tcPr>
          <w:p w14:paraId="5E6EA676" w14:textId="77777777" w:rsidR="00644FCC" w:rsidRPr="00644FCC" w:rsidRDefault="00644FCC" w:rsidP="00EA3C32">
            <w:pPr>
              <w:jc w:val="center"/>
              <w:rPr>
                <w:sz w:val="20"/>
                <w:szCs w:val="20"/>
              </w:rPr>
            </w:pPr>
            <w:r w:rsidRPr="00644FCC">
              <w:rPr>
                <w:sz w:val="20"/>
                <w:szCs w:val="20"/>
              </w:rPr>
              <w:t>US-Humira</w:t>
            </w:r>
          </w:p>
        </w:tc>
      </w:tr>
      <w:tr w:rsidR="00644FCC" w14:paraId="7DF8E650" w14:textId="77777777" w:rsidTr="00644FCC">
        <w:trPr>
          <w:trHeight w:val="558"/>
        </w:trPr>
        <w:tc>
          <w:tcPr>
            <w:tcW w:w="1946" w:type="dxa"/>
          </w:tcPr>
          <w:p w14:paraId="2E7E7CAD" w14:textId="38F2DAB5" w:rsidR="00644FCC" w:rsidRPr="00644FCC" w:rsidRDefault="00644FCC" w:rsidP="00EA3C32">
            <w:pPr>
              <w:pStyle w:val="Tablefonts"/>
              <w:jc w:val="center"/>
              <w:rPr>
                <w:sz w:val="20"/>
                <w:szCs w:val="20"/>
              </w:rPr>
            </w:pPr>
            <w:proofErr w:type="spellStart"/>
            <w:r w:rsidRPr="00644FCC">
              <w:rPr>
                <w:sz w:val="20"/>
                <w:szCs w:val="20"/>
              </w:rPr>
              <w:t>Ardalicip</w:t>
            </w:r>
            <w:proofErr w:type="spellEnd"/>
            <w:r w:rsidRPr="00644FCC">
              <w:rPr>
                <w:sz w:val="20"/>
                <w:szCs w:val="20"/>
              </w:rPr>
              <w:t>/</w:t>
            </w:r>
            <w:proofErr w:type="spellStart"/>
            <w:r w:rsidRPr="00644FCC">
              <w:rPr>
                <w:sz w:val="20"/>
                <w:szCs w:val="20"/>
              </w:rPr>
              <w:t>Ciptunec</w:t>
            </w:r>
            <w:proofErr w:type="spellEnd"/>
          </w:p>
        </w:tc>
        <w:tc>
          <w:tcPr>
            <w:tcW w:w="2439" w:type="dxa"/>
          </w:tcPr>
          <w:p w14:paraId="4581BC22" w14:textId="77777777" w:rsidR="00644FCC" w:rsidRPr="00644FCC" w:rsidRDefault="00644FCC" w:rsidP="00EA3C32">
            <w:pPr>
              <w:pStyle w:val="Tablefonts"/>
              <w:jc w:val="center"/>
              <w:rPr>
                <w:sz w:val="20"/>
                <w:szCs w:val="20"/>
              </w:rPr>
            </w:pPr>
            <w:r w:rsidRPr="00644FCC">
              <w:rPr>
                <w:sz w:val="20"/>
                <w:szCs w:val="20"/>
              </w:rPr>
              <w:t>Characterisation</w:t>
            </w:r>
          </w:p>
          <w:p w14:paraId="1D1B428A" w14:textId="394D4C30" w:rsidR="00644FCC" w:rsidRPr="00644FCC" w:rsidRDefault="00644FCC" w:rsidP="00EA3C32">
            <w:pPr>
              <w:pStyle w:val="Tablefonts"/>
              <w:jc w:val="center"/>
              <w:rPr>
                <w:sz w:val="20"/>
                <w:szCs w:val="20"/>
              </w:rPr>
            </w:pPr>
            <w:r w:rsidRPr="00644FCC">
              <w:rPr>
                <w:sz w:val="20"/>
                <w:szCs w:val="20"/>
              </w:rPr>
              <w:t>study</w:t>
            </w:r>
          </w:p>
        </w:tc>
        <w:tc>
          <w:tcPr>
            <w:tcW w:w="4536" w:type="dxa"/>
            <w:gridSpan w:val="2"/>
          </w:tcPr>
          <w:p w14:paraId="24A58C02" w14:textId="5D01701C" w:rsidR="00644FCC" w:rsidRPr="00644FCC" w:rsidRDefault="00644FCC" w:rsidP="00EA3C32">
            <w:pPr>
              <w:pStyle w:val="Tablefonts"/>
              <w:jc w:val="center"/>
              <w:rPr>
                <w:sz w:val="20"/>
                <w:szCs w:val="20"/>
              </w:rPr>
            </w:pPr>
            <w:r w:rsidRPr="00644FCC">
              <w:rPr>
                <w:sz w:val="20"/>
                <w:szCs w:val="20"/>
              </w:rPr>
              <w:t>Multiple batches of comparative analytical similarity assessments</w:t>
            </w:r>
          </w:p>
        </w:tc>
      </w:tr>
      <w:tr w:rsidR="00644FCC" w14:paraId="4F0799B8" w14:textId="77777777" w:rsidTr="00644FCC">
        <w:trPr>
          <w:trHeight w:val="472"/>
        </w:trPr>
        <w:tc>
          <w:tcPr>
            <w:tcW w:w="1946" w:type="dxa"/>
          </w:tcPr>
          <w:p w14:paraId="50A8971A" w14:textId="77777777" w:rsidR="00644FCC" w:rsidRPr="00644FCC" w:rsidRDefault="00644FCC" w:rsidP="00EA3C32">
            <w:pPr>
              <w:pStyle w:val="Tablefonts"/>
              <w:jc w:val="center"/>
              <w:rPr>
                <w:sz w:val="20"/>
                <w:szCs w:val="20"/>
              </w:rPr>
            </w:pPr>
            <w:r w:rsidRPr="00644FCC">
              <w:rPr>
                <w:sz w:val="20"/>
                <w:szCs w:val="20"/>
              </w:rPr>
              <w:t>AU-Humira</w:t>
            </w:r>
          </w:p>
        </w:tc>
        <w:tc>
          <w:tcPr>
            <w:tcW w:w="5132" w:type="dxa"/>
            <w:gridSpan w:val="2"/>
          </w:tcPr>
          <w:p w14:paraId="6EB9AD04" w14:textId="611B1727" w:rsidR="00644FCC" w:rsidRPr="00644FCC" w:rsidRDefault="00644FCC" w:rsidP="00EA3C32">
            <w:pPr>
              <w:pStyle w:val="Tablefonts"/>
              <w:jc w:val="center"/>
              <w:rPr>
                <w:sz w:val="20"/>
                <w:szCs w:val="20"/>
              </w:rPr>
            </w:pPr>
            <w:r w:rsidRPr="00644FCC">
              <w:rPr>
                <w:sz w:val="20"/>
                <w:szCs w:val="20"/>
              </w:rPr>
              <w:t xml:space="preserve">Three batches of bridging comparability assessment </w:t>
            </w:r>
          </w:p>
          <w:p w14:paraId="642F53DC" w14:textId="54DDFB69" w:rsidR="00644FCC" w:rsidRPr="00644FCC" w:rsidRDefault="00644FCC" w:rsidP="00EA3C32">
            <w:pPr>
              <w:pStyle w:val="Tablefonts"/>
              <w:jc w:val="center"/>
              <w:rPr>
                <w:sz w:val="20"/>
                <w:szCs w:val="20"/>
              </w:rPr>
            </w:pPr>
            <w:r w:rsidRPr="00644FCC">
              <w:rPr>
                <w:sz w:val="20"/>
                <w:szCs w:val="20"/>
              </w:rPr>
              <w:t>for each product</w:t>
            </w:r>
          </w:p>
        </w:tc>
        <w:tc>
          <w:tcPr>
            <w:tcW w:w="1843" w:type="dxa"/>
          </w:tcPr>
          <w:p w14:paraId="06B0FDDC" w14:textId="77777777" w:rsidR="00644FCC" w:rsidRPr="00644FCC" w:rsidRDefault="00644FCC" w:rsidP="00EA3C32">
            <w:pPr>
              <w:pStyle w:val="Tablefonts"/>
              <w:rPr>
                <w:sz w:val="20"/>
                <w:szCs w:val="20"/>
              </w:rPr>
            </w:pPr>
          </w:p>
        </w:tc>
      </w:tr>
    </w:tbl>
    <w:p w14:paraId="4CC799A6" w14:textId="7EF68567" w:rsidR="00FB6BBF" w:rsidRDefault="00644FCC" w:rsidP="00644FCC">
      <w:pPr>
        <w:pStyle w:val="TableTitle"/>
      </w:pPr>
      <w:bookmarkStart w:id="35" w:name="_Ref130990034"/>
      <w:r w:rsidRPr="00644FCC">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DE7A9B">
        <w:rPr>
          <w:noProof/>
        </w:rPr>
        <w:t>4</w:t>
      </w:r>
      <w:r>
        <w:rPr>
          <w:color w:val="2B579A"/>
          <w:shd w:val="clear" w:color="auto" w:fill="E6E6E6"/>
        </w:rPr>
        <w:fldChar w:fldCharType="end"/>
      </w:r>
      <w:bookmarkEnd w:id="35"/>
      <w:r>
        <w:t xml:space="preserve">: </w:t>
      </w:r>
      <w:proofErr w:type="spellStart"/>
      <w:r w:rsidRPr="00644FCC">
        <w:t>Biosimilarity</w:t>
      </w:r>
      <w:proofErr w:type="spellEnd"/>
      <w:r w:rsidRPr="00644FCC">
        <w:t>, comparability and bridging study assessment</w:t>
      </w:r>
    </w:p>
    <w:tbl>
      <w:tblPr>
        <w:tblStyle w:val="TableTGAblue"/>
        <w:tblW w:w="8921" w:type="dxa"/>
        <w:tblLook w:val="04A0" w:firstRow="1" w:lastRow="0" w:firstColumn="1" w:lastColumn="0" w:noHBand="0" w:noVBand="1"/>
      </w:tblPr>
      <w:tblGrid>
        <w:gridCol w:w="2191"/>
        <w:gridCol w:w="2291"/>
        <w:gridCol w:w="2625"/>
        <w:gridCol w:w="1814"/>
      </w:tblGrid>
      <w:tr w:rsidR="00644FCC" w:rsidRPr="00644FCC" w14:paraId="6587CE23" w14:textId="77777777" w:rsidTr="00644FCC">
        <w:trPr>
          <w:cnfStyle w:val="100000000000" w:firstRow="1" w:lastRow="0" w:firstColumn="0" w:lastColumn="0" w:oddVBand="0" w:evenVBand="0" w:oddHBand="0" w:evenHBand="0" w:firstRowFirstColumn="0" w:firstRowLastColumn="0" w:lastRowFirstColumn="0" w:lastRowLastColumn="0"/>
          <w:trHeight w:val="381"/>
        </w:trPr>
        <w:tc>
          <w:tcPr>
            <w:tcW w:w="2191" w:type="dxa"/>
            <w:tcBorders>
              <w:right w:val="single" w:sz="4" w:space="0" w:color="auto"/>
            </w:tcBorders>
          </w:tcPr>
          <w:p w14:paraId="322E393E" w14:textId="77777777" w:rsidR="00644FCC" w:rsidRPr="00644FCC" w:rsidRDefault="00644FCC" w:rsidP="00EA3C32">
            <w:pPr>
              <w:pStyle w:val="Tabletitles"/>
              <w:jc w:val="center"/>
              <w:rPr>
                <w:sz w:val="20"/>
                <w:szCs w:val="20"/>
              </w:rPr>
            </w:pPr>
          </w:p>
        </w:tc>
        <w:tc>
          <w:tcPr>
            <w:tcW w:w="2291" w:type="dxa"/>
            <w:tcBorders>
              <w:top w:val="single" w:sz="4" w:space="0" w:color="auto"/>
              <w:left w:val="single" w:sz="4" w:space="0" w:color="auto"/>
              <w:bottom w:val="single" w:sz="4" w:space="0" w:color="auto"/>
              <w:right w:val="single" w:sz="4" w:space="0" w:color="auto"/>
            </w:tcBorders>
          </w:tcPr>
          <w:p w14:paraId="3256D1DF" w14:textId="19ADA7D0" w:rsidR="00644FCC" w:rsidRPr="00644FCC" w:rsidRDefault="00644FCC" w:rsidP="00EA3C32">
            <w:pPr>
              <w:pStyle w:val="Tabletitles"/>
              <w:jc w:val="center"/>
              <w:rPr>
                <w:sz w:val="20"/>
                <w:szCs w:val="20"/>
              </w:rPr>
            </w:pPr>
            <w:proofErr w:type="spellStart"/>
            <w:r w:rsidRPr="00644FCC">
              <w:rPr>
                <w:sz w:val="20"/>
                <w:szCs w:val="20"/>
              </w:rPr>
              <w:t>Ardalicip</w:t>
            </w:r>
            <w:proofErr w:type="spellEnd"/>
            <w:r w:rsidRPr="00644FCC">
              <w:rPr>
                <w:sz w:val="20"/>
                <w:szCs w:val="20"/>
              </w:rPr>
              <w:t>/</w:t>
            </w:r>
            <w:proofErr w:type="spellStart"/>
            <w:r w:rsidRPr="00644FCC">
              <w:rPr>
                <w:sz w:val="20"/>
                <w:szCs w:val="20"/>
              </w:rPr>
              <w:t>Ciptunec</w:t>
            </w:r>
            <w:proofErr w:type="spellEnd"/>
          </w:p>
        </w:tc>
        <w:tc>
          <w:tcPr>
            <w:tcW w:w="2625" w:type="dxa"/>
            <w:tcBorders>
              <w:top w:val="single" w:sz="4" w:space="0" w:color="auto"/>
              <w:left w:val="single" w:sz="4" w:space="0" w:color="auto"/>
              <w:bottom w:val="single" w:sz="4" w:space="0" w:color="auto"/>
              <w:right w:val="single" w:sz="4" w:space="0" w:color="auto"/>
            </w:tcBorders>
          </w:tcPr>
          <w:p w14:paraId="47BE2364" w14:textId="77777777" w:rsidR="00644FCC" w:rsidRPr="00644FCC" w:rsidRDefault="00644FCC" w:rsidP="00EA3C32">
            <w:pPr>
              <w:pStyle w:val="Tabletitles"/>
              <w:jc w:val="center"/>
              <w:rPr>
                <w:sz w:val="20"/>
                <w:szCs w:val="20"/>
              </w:rPr>
            </w:pPr>
            <w:r w:rsidRPr="00644FCC">
              <w:rPr>
                <w:sz w:val="20"/>
                <w:szCs w:val="20"/>
              </w:rPr>
              <w:t>EU-Humira</w:t>
            </w:r>
          </w:p>
        </w:tc>
        <w:tc>
          <w:tcPr>
            <w:tcW w:w="1814" w:type="dxa"/>
            <w:tcBorders>
              <w:top w:val="single" w:sz="4" w:space="0" w:color="auto"/>
              <w:left w:val="single" w:sz="4" w:space="0" w:color="auto"/>
              <w:bottom w:val="single" w:sz="4" w:space="0" w:color="auto"/>
              <w:right w:val="single" w:sz="4" w:space="0" w:color="auto"/>
            </w:tcBorders>
          </w:tcPr>
          <w:p w14:paraId="646082D3" w14:textId="77777777" w:rsidR="00644FCC" w:rsidRPr="00644FCC" w:rsidRDefault="00644FCC" w:rsidP="00EA3C32">
            <w:pPr>
              <w:pStyle w:val="Tabletitles"/>
              <w:jc w:val="center"/>
              <w:rPr>
                <w:sz w:val="20"/>
                <w:szCs w:val="20"/>
              </w:rPr>
            </w:pPr>
            <w:r w:rsidRPr="00644FCC">
              <w:rPr>
                <w:sz w:val="20"/>
                <w:szCs w:val="20"/>
              </w:rPr>
              <w:t>US-Humira</w:t>
            </w:r>
          </w:p>
        </w:tc>
      </w:tr>
      <w:tr w:rsidR="00644FCC" w:rsidRPr="00644FCC" w14:paraId="098428BA" w14:textId="77777777" w:rsidTr="00644FCC">
        <w:trPr>
          <w:trHeight w:val="235"/>
        </w:trPr>
        <w:tc>
          <w:tcPr>
            <w:tcW w:w="2191" w:type="dxa"/>
            <w:vMerge w:val="restart"/>
          </w:tcPr>
          <w:p w14:paraId="25FC0DBA" w14:textId="0D700488" w:rsidR="00644FCC" w:rsidRPr="00644FCC" w:rsidRDefault="00644FCC" w:rsidP="00EA3C32">
            <w:pPr>
              <w:pStyle w:val="Tabletitles"/>
              <w:jc w:val="center"/>
              <w:rPr>
                <w:b w:val="0"/>
                <w:bCs/>
                <w:sz w:val="20"/>
                <w:szCs w:val="20"/>
              </w:rPr>
            </w:pPr>
            <w:proofErr w:type="spellStart"/>
            <w:r w:rsidRPr="00644FCC">
              <w:rPr>
                <w:b w:val="0"/>
                <w:bCs/>
                <w:sz w:val="20"/>
                <w:szCs w:val="20"/>
              </w:rPr>
              <w:t>Ardalicip</w:t>
            </w:r>
            <w:proofErr w:type="spellEnd"/>
            <w:r w:rsidRPr="00644FCC">
              <w:rPr>
                <w:b w:val="0"/>
                <w:bCs/>
                <w:sz w:val="20"/>
                <w:szCs w:val="20"/>
              </w:rPr>
              <w:t>/</w:t>
            </w:r>
            <w:proofErr w:type="spellStart"/>
            <w:r w:rsidRPr="00644FCC">
              <w:rPr>
                <w:b w:val="0"/>
                <w:bCs/>
                <w:sz w:val="20"/>
                <w:szCs w:val="20"/>
              </w:rPr>
              <w:t>Ciptunec</w:t>
            </w:r>
            <w:proofErr w:type="spellEnd"/>
          </w:p>
        </w:tc>
        <w:tc>
          <w:tcPr>
            <w:tcW w:w="2291" w:type="dxa"/>
            <w:vMerge w:val="restart"/>
            <w:tcBorders>
              <w:top w:val="single" w:sz="4" w:space="0" w:color="auto"/>
            </w:tcBorders>
          </w:tcPr>
          <w:p w14:paraId="51A75975" w14:textId="77777777" w:rsidR="00644FCC" w:rsidRPr="00644FCC" w:rsidRDefault="00644FCC" w:rsidP="00EA3C32">
            <w:pPr>
              <w:pStyle w:val="Tabletitles"/>
              <w:jc w:val="center"/>
              <w:rPr>
                <w:sz w:val="20"/>
                <w:szCs w:val="20"/>
              </w:rPr>
            </w:pPr>
          </w:p>
        </w:tc>
        <w:tc>
          <w:tcPr>
            <w:tcW w:w="4439" w:type="dxa"/>
            <w:gridSpan w:val="2"/>
            <w:tcBorders>
              <w:top w:val="single" w:sz="4" w:space="0" w:color="auto"/>
            </w:tcBorders>
          </w:tcPr>
          <w:p w14:paraId="1C1FC2E2" w14:textId="46E9FE34" w:rsidR="00644FCC" w:rsidRPr="00644FCC" w:rsidRDefault="00644FCC" w:rsidP="00EA3C32">
            <w:pPr>
              <w:pStyle w:val="Tabletitles"/>
              <w:jc w:val="center"/>
              <w:rPr>
                <w:b w:val="0"/>
                <w:bCs/>
                <w:sz w:val="20"/>
                <w:szCs w:val="20"/>
              </w:rPr>
            </w:pPr>
            <w:r w:rsidRPr="00644FCC">
              <w:rPr>
                <w:b w:val="0"/>
                <w:sz w:val="20"/>
                <w:szCs w:val="20"/>
                <w:lang w:val="en-AU"/>
              </w:rPr>
              <w:t>Comparative analytical similarity assessments</w:t>
            </w:r>
          </w:p>
        </w:tc>
      </w:tr>
      <w:tr w:rsidR="00644FCC" w:rsidRPr="00644FCC" w14:paraId="1B1707A1" w14:textId="77777777" w:rsidTr="00644FCC">
        <w:trPr>
          <w:trHeight w:val="397"/>
        </w:trPr>
        <w:tc>
          <w:tcPr>
            <w:tcW w:w="2191" w:type="dxa"/>
            <w:vMerge/>
          </w:tcPr>
          <w:p w14:paraId="2E1B2C22" w14:textId="77777777" w:rsidR="00644FCC" w:rsidRPr="00644FCC" w:rsidRDefault="00644FCC" w:rsidP="00EA3C32">
            <w:pPr>
              <w:pStyle w:val="Tabletitles"/>
              <w:jc w:val="center"/>
              <w:rPr>
                <w:b w:val="0"/>
                <w:bCs/>
                <w:sz w:val="20"/>
                <w:szCs w:val="20"/>
              </w:rPr>
            </w:pPr>
          </w:p>
        </w:tc>
        <w:tc>
          <w:tcPr>
            <w:tcW w:w="2291" w:type="dxa"/>
            <w:vMerge/>
          </w:tcPr>
          <w:p w14:paraId="6378CF8B" w14:textId="77777777" w:rsidR="00644FCC" w:rsidRPr="00644FCC" w:rsidRDefault="00644FCC" w:rsidP="00EA3C32">
            <w:pPr>
              <w:pStyle w:val="Tabletitles"/>
              <w:jc w:val="center"/>
              <w:rPr>
                <w:sz w:val="20"/>
                <w:szCs w:val="20"/>
              </w:rPr>
            </w:pPr>
          </w:p>
        </w:tc>
        <w:tc>
          <w:tcPr>
            <w:tcW w:w="2625" w:type="dxa"/>
          </w:tcPr>
          <w:p w14:paraId="2CBEF45E" w14:textId="77777777" w:rsidR="00644FCC" w:rsidRPr="00644FCC" w:rsidRDefault="00644FCC" w:rsidP="00EA3C32">
            <w:pPr>
              <w:pStyle w:val="Tabletitles"/>
              <w:jc w:val="center"/>
              <w:rPr>
                <w:sz w:val="20"/>
                <w:szCs w:val="20"/>
              </w:rPr>
            </w:pPr>
            <w:r w:rsidRPr="00644FCC">
              <w:rPr>
                <w:sz w:val="20"/>
                <w:szCs w:val="20"/>
              </w:rPr>
              <w:t>Comparable</w:t>
            </w:r>
          </w:p>
        </w:tc>
        <w:tc>
          <w:tcPr>
            <w:tcW w:w="1814" w:type="dxa"/>
          </w:tcPr>
          <w:p w14:paraId="34B19111" w14:textId="77777777" w:rsidR="00644FCC" w:rsidRPr="00644FCC" w:rsidRDefault="00644FCC" w:rsidP="00EA3C32">
            <w:pPr>
              <w:pStyle w:val="Tabletitles"/>
              <w:jc w:val="center"/>
              <w:rPr>
                <w:sz w:val="20"/>
                <w:szCs w:val="20"/>
              </w:rPr>
            </w:pPr>
            <w:r w:rsidRPr="00644FCC">
              <w:rPr>
                <w:sz w:val="20"/>
                <w:szCs w:val="20"/>
              </w:rPr>
              <w:t>Comparable</w:t>
            </w:r>
          </w:p>
        </w:tc>
      </w:tr>
      <w:tr w:rsidR="00644FCC" w:rsidRPr="00644FCC" w14:paraId="57AFC5ED" w14:textId="77777777" w:rsidTr="00644FCC">
        <w:trPr>
          <w:trHeight w:val="235"/>
        </w:trPr>
        <w:tc>
          <w:tcPr>
            <w:tcW w:w="2191" w:type="dxa"/>
          </w:tcPr>
          <w:p w14:paraId="5D8C65C8" w14:textId="77777777" w:rsidR="00644FCC" w:rsidRPr="00644FCC" w:rsidRDefault="00644FCC" w:rsidP="00EA3C32">
            <w:pPr>
              <w:pStyle w:val="Tabletitles"/>
              <w:jc w:val="center"/>
              <w:rPr>
                <w:b w:val="0"/>
                <w:bCs/>
                <w:sz w:val="20"/>
                <w:szCs w:val="20"/>
              </w:rPr>
            </w:pPr>
            <w:r w:rsidRPr="00644FCC">
              <w:rPr>
                <w:b w:val="0"/>
                <w:bCs/>
                <w:sz w:val="20"/>
                <w:szCs w:val="20"/>
              </w:rPr>
              <w:t>EU-Humira</w:t>
            </w:r>
          </w:p>
        </w:tc>
        <w:tc>
          <w:tcPr>
            <w:tcW w:w="2291" w:type="dxa"/>
          </w:tcPr>
          <w:p w14:paraId="6E298FA2" w14:textId="77777777" w:rsidR="00644FCC" w:rsidRPr="00644FCC" w:rsidRDefault="00644FCC" w:rsidP="00EA3C32">
            <w:pPr>
              <w:pStyle w:val="Tabletitles"/>
              <w:jc w:val="center"/>
              <w:rPr>
                <w:sz w:val="20"/>
                <w:szCs w:val="20"/>
              </w:rPr>
            </w:pPr>
          </w:p>
        </w:tc>
        <w:tc>
          <w:tcPr>
            <w:tcW w:w="2625" w:type="dxa"/>
          </w:tcPr>
          <w:p w14:paraId="4B781BDB" w14:textId="77777777" w:rsidR="00644FCC" w:rsidRPr="00644FCC" w:rsidRDefault="00644FCC" w:rsidP="00EA3C32">
            <w:pPr>
              <w:pStyle w:val="Tabletitles"/>
              <w:jc w:val="center"/>
              <w:rPr>
                <w:sz w:val="20"/>
                <w:szCs w:val="20"/>
              </w:rPr>
            </w:pPr>
          </w:p>
        </w:tc>
        <w:tc>
          <w:tcPr>
            <w:tcW w:w="1814" w:type="dxa"/>
          </w:tcPr>
          <w:p w14:paraId="59D190E0" w14:textId="77777777" w:rsidR="00644FCC" w:rsidRPr="00644FCC" w:rsidRDefault="00644FCC" w:rsidP="00EA3C32">
            <w:pPr>
              <w:pStyle w:val="Tabletitles"/>
              <w:jc w:val="center"/>
              <w:rPr>
                <w:sz w:val="20"/>
                <w:szCs w:val="20"/>
              </w:rPr>
            </w:pPr>
            <w:r w:rsidRPr="00644FCC">
              <w:rPr>
                <w:sz w:val="20"/>
                <w:szCs w:val="20"/>
              </w:rPr>
              <w:t>Highly comparable</w:t>
            </w:r>
          </w:p>
        </w:tc>
      </w:tr>
      <w:tr w:rsidR="00644FCC" w:rsidRPr="00644FCC" w14:paraId="4957955E" w14:textId="77777777" w:rsidTr="00644FCC">
        <w:trPr>
          <w:trHeight w:val="339"/>
        </w:trPr>
        <w:tc>
          <w:tcPr>
            <w:tcW w:w="2191" w:type="dxa"/>
            <w:vMerge w:val="restart"/>
          </w:tcPr>
          <w:p w14:paraId="0D490C2A" w14:textId="77777777" w:rsidR="00644FCC" w:rsidRPr="00644FCC" w:rsidRDefault="00644FCC" w:rsidP="00EA3C32">
            <w:pPr>
              <w:pStyle w:val="Tabletitles"/>
              <w:jc w:val="center"/>
              <w:rPr>
                <w:b w:val="0"/>
                <w:bCs/>
                <w:sz w:val="20"/>
                <w:szCs w:val="20"/>
              </w:rPr>
            </w:pPr>
            <w:r w:rsidRPr="00644FCC">
              <w:rPr>
                <w:b w:val="0"/>
                <w:bCs/>
                <w:sz w:val="20"/>
                <w:szCs w:val="20"/>
              </w:rPr>
              <w:t>AU-Humira</w:t>
            </w:r>
          </w:p>
        </w:tc>
        <w:tc>
          <w:tcPr>
            <w:tcW w:w="4916" w:type="dxa"/>
            <w:gridSpan w:val="2"/>
          </w:tcPr>
          <w:p w14:paraId="46644C6C" w14:textId="3D6C5FA2" w:rsidR="00644FCC" w:rsidRPr="00644FCC" w:rsidRDefault="00644FCC" w:rsidP="00EA3C32">
            <w:pPr>
              <w:pStyle w:val="Tablefonts"/>
              <w:jc w:val="center"/>
              <w:rPr>
                <w:sz w:val="20"/>
                <w:szCs w:val="20"/>
              </w:rPr>
            </w:pPr>
            <w:r w:rsidRPr="00644FCC">
              <w:rPr>
                <w:sz w:val="20"/>
                <w:szCs w:val="20"/>
              </w:rPr>
              <w:t>Bridging comparability assessment</w:t>
            </w:r>
          </w:p>
        </w:tc>
        <w:tc>
          <w:tcPr>
            <w:tcW w:w="1814" w:type="dxa"/>
            <w:vMerge w:val="restart"/>
          </w:tcPr>
          <w:p w14:paraId="10D4A8AC" w14:textId="77777777" w:rsidR="00644FCC" w:rsidRPr="00644FCC" w:rsidRDefault="00644FCC" w:rsidP="00EA3C32">
            <w:pPr>
              <w:pStyle w:val="Tabletitles"/>
              <w:jc w:val="center"/>
              <w:rPr>
                <w:sz w:val="20"/>
                <w:szCs w:val="20"/>
              </w:rPr>
            </w:pPr>
          </w:p>
        </w:tc>
      </w:tr>
      <w:tr w:rsidR="00644FCC" w:rsidRPr="00644FCC" w14:paraId="11799E85" w14:textId="77777777" w:rsidTr="00644FCC">
        <w:trPr>
          <w:trHeight w:val="513"/>
        </w:trPr>
        <w:tc>
          <w:tcPr>
            <w:tcW w:w="2191" w:type="dxa"/>
            <w:vMerge/>
          </w:tcPr>
          <w:p w14:paraId="400A0A8B" w14:textId="77777777" w:rsidR="00644FCC" w:rsidRPr="00644FCC" w:rsidRDefault="00644FCC" w:rsidP="00EA3C32">
            <w:pPr>
              <w:pStyle w:val="Tabletitles"/>
              <w:jc w:val="center"/>
              <w:rPr>
                <w:b w:val="0"/>
                <w:bCs/>
                <w:sz w:val="20"/>
                <w:szCs w:val="20"/>
              </w:rPr>
            </w:pPr>
          </w:p>
        </w:tc>
        <w:tc>
          <w:tcPr>
            <w:tcW w:w="2291" w:type="dxa"/>
          </w:tcPr>
          <w:p w14:paraId="5C4356B4" w14:textId="77777777" w:rsidR="00644FCC" w:rsidRPr="00644FCC" w:rsidRDefault="00644FCC" w:rsidP="00EA3C32">
            <w:pPr>
              <w:pStyle w:val="Tabletitles"/>
              <w:jc w:val="center"/>
              <w:rPr>
                <w:sz w:val="20"/>
                <w:szCs w:val="20"/>
              </w:rPr>
            </w:pPr>
            <w:r w:rsidRPr="00644FCC">
              <w:rPr>
                <w:sz w:val="20"/>
                <w:szCs w:val="20"/>
              </w:rPr>
              <w:t>Comparable</w:t>
            </w:r>
          </w:p>
        </w:tc>
        <w:tc>
          <w:tcPr>
            <w:tcW w:w="2625" w:type="dxa"/>
          </w:tcPr>
          <w:p w14:paraId="1E6219EC" w14:textId="77777777" w:rsidR="00644FCC" w:rsidRPr="00644FCC" w:rsidRDefault="00644FCC" w:rsidP="00EA3C32">
            <w:pPr>
              <w:pStyle w:val="Tabletitles"/>
              <w:jc w:val="center"/>
              <w:rPr>
                <w:sz w:val="20"/>
                <w:szCs w:val="20"/>
              </w:rPr>
            </w:pPr>
            <w:r w:rsidRPr="00644FCC">
              <w:rPr>
                <w:sz w:val="20"/>
                <w:szCs w:val="20"/>
              </w:rPr>
              <w:t>Highly Comparable</w:t>
            </w:r>
          </w:p>
        </w:tc>
        <w:tc>
          <w:tcPr>
            <w:tcW w:w="1814" w:type="dxa"/>
            <w:vMerge/>
          </w:tcPr>
          <w:p w14:paraId="3489471B" w14:textId="77777777" w:rsidR="00644FCC" w:rsidRPr="00644FCC" w:rsidRDefault="00644FCC" w:rsidP="00EA3C32">
            <w:pPr>
              <w:pStyle w:val="Tabletitles"/>
              <w:jc w:val="center"/>
              <w:rPr>
                <w:sz w:val="20"/>
                <w:szCs w:val="20"/>
              </w:rPr>
            </w:pPr>
          </w:p>
        </w:tc>
      </w:tr>
    </w:tbl>
    <w:p w14:paraId="40817E13" w14:textId="46FF56E2" w:rsidR="00644FCC" w:rsidRDefault="00644FCC" w:rsidP="00644FCC">
      <w:pPr>
        <w:spacing w:before="120"/>
      </w:pPr>
      <w:r>
        <w:rPr>
          <w:lang w:val="en-GB"/>
        </w:rPr>
        <w:t>Regarding requirements for reference medicines</w:t>
      </w:r>
      <w:r w:rsidRPr="00D02ED5">
        <w:t xml:space="preserve"> </w:t>
      </w:r>
      <w:r>
        <w:t xml:space="preserve">the TGA </w:t>
      </w:r>
      <w:hyperlink r:id="rId26" w:history="1">
        <w:r w:rsidRPr="00370564">
          <w:rPr>
            <w:rStyle w:val="Hyperlink"/>
          </w:rPr>
          <w:t>Biosimilar medicines guidance</w:t>
        </w:r>
      </w:hyperlink>
      <w:r>
        <w:t xml:space="preserve"> states:</w:t>
      </w:r>
    </w:p>
    <w:p w14:paraId="42CE69C2" w14:textId="456C2646" w:rsidR="00644FCC" w:rsidRPr="00644FCC" w:rsidRDefault="00644FCC" w:rsidP="00644FCC">
      <w:pPr>
        <w:ind w:left="720"/>
        <w:rPr>
          <w:iCs/>
        </w:rPr>
      </w:pPr>
      <w:r w:rsidRPr="00644FCC">
        <w:rPr>
          <w:iCs/>
        </w:rPr>
        <w:t xml:space="preserve">‘If sponsor </w:t>
      </w:r>
      <w:r>
        <w:rPr>
          <w:iCs/>
        </w:rPr>
        <w:t>is</w:t>
      </w:r>
      <w:r w:rsidRPr="00644FCC">
        <w:rPr>
          <w:iCs/>
        </w:rPr>
        <w:t xml:space="preserve"> using a reference medicine for</w:t>
      </w:r>
      <w:r>
        <w:rPr>
          <w:iCs/>
        </w:rPr>
        <w:t xml:space="preserve"> the</w:t>
      </w:r>
      <w:r w:rsidRPr="00644FCC">
        <w:rPr>
          <w:iCs/>
        </w:rPr>
        <w:t xml:space="preserve"> comparability studies that has not been registered in Australia, </w:t>
      </w:r>
      <w:r>
        <w:rPr>
          <w:iCs/>
        </w:rPr>
        <w:t>sponsor</w:t>
      </w:r>
      <w:r w:rsidRPr="00644FCC">
        <w:rPr>
          <w:iCs/>
        </w:rPr>
        <w:t xml:space="preserve"> must meet the following requirements:</w:t>
      </w:r>
    </w:p>
    <w:p w14:paraId="03BBFC91" w14:textId="72371207" w:rsidR="00644FCC" w:rsidRPr="00644FCC" w:rsidRDefault="00644FCC" w:rsidP="00644FCC">
      <w:pPr>
        <w:pStyle w:val="ListParagraph"/>
        <w:numPr>
          <w:ilvl w:val="1"/>
          <w:numId w:val="8"/>
        </w:numPr>
        <w:rPr>
          <w:iCs/>
        </w:rPr>
      </w:pPr>
      <w:r w:rsidRPr="00644FCC">
        <w:rPr>
          <w:iCs/>
        </w:rPr>
        <w:t xml:space="preserve">the reference medicine must be approved for general marketing by a regulatory authority with similar scientific and regulatory standards as TGA (for example, </w:t>
      </w:r>
      <w:r w:rsidR="00433F2E" w:rsidRPr="00433F2E">
        <w:rPr>
          <w:iCs/>
        </w:rPr>
        <w:t xml:space="preserve">European Medicines Agency </w:t>
      </w:r>
      <w:r w:rsidR="00433F2E">
        <w:rPr>
          <w:iCs/>
        </w:rPr>
        <w:t>(</w:t>
      </w:r>
      <w:r w:rsidRPr="00644FCC">
        <w:rPr>
          <w:iCs/>
        </w:rPr>
        <w:t>EMA</w:t>
      </w:r>
      <w:r w:rsidR="00433F2E">
        <w:rPr>
          <w:iCs/>
        </w:rPr>
        <w:t>)</w:t>
      </w:r>
      <w:r w:rsidRPr="00644FCC">
        <w:rPr>
          <w:iCs/>
        </w:rPr>
        <w:t xml:space="preserve"> or </w:t>
      </w:r>
      <w:r w:rsidR="00433F2E">
        <w:rPr>
          <w:iCs/>
        </w:rPr>
        <w:t xml:space="preserve">United States </w:t>
      </w:r>
      <w:r w:rsidR="00433F2E" w:rsidRPr="00433F2E">
        <w:rPr>
          <w:iCs/>
        </w:rPr>
        <w:t>Food and Drug Administration</w:t>
      </w:r>
      <w:r w:rsidR="00433F2E">
        <w:rPr>
          <w:iCs/>
        </w:rPr>
        <w:t xml:space="preserve"> (FDA)</w:t>
      </w:r>
      <w:r w:rsidRPr="00644FCC">
        <w:rPr>
          <w:iCs/>
        </w:rPr>
        <w:t>)</w:t>
      </w:r>
    </w:p>
    <w:p w14:paraId="5DD4E5EB" w14:textId="7C451B01" w:rsidR="00644FCC" w:rsidRPr="00644FCC" w:rsidRDefault="00644FCC" w:rsidP="00644FCC">
      <w:pPr>
        <w:pStyle w:val="ListParagraph"/>
        <w:numPr>
          <w:ilvl w:val="1"/>
          <w:numId w:val="8"/>
        </w:numPr>
        <w:rPr>
          <w:iCs/>
        </w:rPr>
      </w:pPr>
      <w:r w:rsidRPr="00644FCC">
        <w:rPr>
          <w:iCs/>
        </w:rPr>
        <w:t>a bridging study must be provided to demonstrate that the comparability studies are relevant to the Australian reference medicine (this bridging study may be abridged or omitted if you include evidence that the medicine is manufactured in a single site for global distribution)’</w:t>
      </w:r>
    </w:p>
    <w:p w14:paraId="4B855EC2" w14:textId="7361010E" w:rsidR="00644FCC" w:rsidRDefault="00644FCC" w:rsidP="00644FCC">
      <w:r>
        <w:t>This requirement aligns with the TGA adopted CHMP Guideline on Similar Biological Medicinal Products.</w:t>
      </w:r>
      <w:r>
        <w:rPr>
          <w:rStyle w:val="FootnoteReference"/>
        </w:rPr>
        <w:footnoteReference w:id="15"/>
      </w:r>
      <w:r w:rsidR="006028E6">
        <w:t xml:space="preserve"> Studies showed that:</w:t>
      </w:r>
    </w:p>
    <w:p w14:paraId="56911204" w14:textId="382AD469" w:rsidR="00644FCC" w:rsidRPr="00644FCC" w:rsidRDefault="006028E6" w:rsidP="00644FCC">
      <w:pPr>
        <w:pStyle w:val="ListBullet"/>
        <w:rPr>
          <w:color w:val="auto"/>
        </w:rPr>
      </w:pPr>
      <w:r>
        <w:rPr>
          <w:color w:val="auto"/>
        </w:rPr>
        <w:t>t</w:t>
      </w:r>
      <w:r w:rsidR="00644FCC" w:rsidRPr="00644FCC">
        <w:rPr>
          <w:color w:val="auto"/>
        </w:rPr>
        <w:t xml:space="preserve">otal </w:t>
      </w:r>
      <w:proofErr w:type="spellStart"/>
      <w:r w:rsidR="00644FCC" w:rsidRPr="00644FCC">
        <w:rPr>
          <w:color w:val="auto"/>
        </w:rPr>
        <w:t>afucosylation</w:t>
      </w:r>
      <w:proofErr w:type="spellEnd"/>
      <w:r w:rsidR="00644FCC" w:rsidRPr="00644FCC">
        <w:rPr>
          <w:color w:val="auto"/>
        </w:rPr>
        <w:t xml:space="preserve"> of </w:t>
      </w:r>
      <w:proofErr w:type="spellStart"/>
      <w:r w:rsidR="00644FCC" w:rsidRPr="00644FCC">
        <w:rPr>
          <w:color w:val="auto"/>
        </w:rPr>
        <w:t>Ardalicip</w:t>
      </w:r>
      <w:proofErr w:type="spellEnd"/>
      <w:r w:rsidR="00644FCC" w:rsidRPr="00644FCC">
        <w:rPr>
          <w:color w:val="auto"/>
        </w:rPr>
        <w:t>/</w:t>
      </w:r>
      <w:proofErr w:type="spellStart"/>
      <w:r w:rsidR="00644FCC" w:rsidRPr="00644FCC">
        <w:rPr>
          <w:color w:val="auto"/>
        </w:rPr>
        <w:t>Ciptunec</w:t>
      </w:r>
      <w:proofErr w:type="spellEnd"/>
      <w:r w:rsidR="00644FCC" w:rsidRPr="00644FCC">
        <w:rPr>
          <w:color w:val="auto"/>
        </w:rPr>
        <w:t xml:space="preserve"> was slightly lower and </w:t>
      </w:r>
      <w:proofErr w:type="spellStart"/>
      <w:r w:rsidR="00644FCC" w:rsidRPr="00644FCC">
        <w:rPr>
          <w:color w:val="auto"/>
        </w:rPr>
        <w:t>afucosylation</w:t>
      </w:r>
      <w:proofErr w:type="spellEnd"/>
      <w:r w:rsidR="00644FCC" w:rsidRPr="00644FCC">
        <w:rPr>
          <w:color w:val="auto"/>
        </w:rPr>
        <w:t xml:space="preserve"> without high mannose was slightly higher compared to </w:t>
      </w:r>
      <w:proofErr w:type="gramStart"/>
      <w:r w:rsidR="00644FCC" w:rsidRPr="00644FCC">
        <w:rPr>
          <w:color w:val="auto"/>
        </w:rPr>
        <w:t>Humira</w:t>
      </w:r>
      <w:r>
        <w:rPr>
          <w:color w:val="auto"/>
        </w:rPr>
        <w:t>;</w:t>
      </w:r>
      <w:proofErr w:type="gramEnd"/>
    </w:p>
    <w:p w14:paraId="166CFF9E" w14:textId="5E239171" w:rsidR="00644FCC" w:rsidRPr="00644FCC" w:rsidRDefault="006028E6" w:rsidP="00644FCC">
      <w:pPr>
        <w:pStyle w:val="ListBullet"/>
        <w:rPr>
          <w:color w:val="auto"/>
        </w:rPr>
      </w:pPr>
      <w:r>
        <w:rPr>
          <w:color w:val="auto"/>
        </w:rPr>
        <w:t>l</w:t>
      </w:r>
      <w:r w:rsidR="00644FCC" w:rsidRPr="00644FCC">
        <w:rPr>
          <w:color w:val="auto"/>
        </w:rPr>
        <w:t xml:space="preserve">evels of high mannose in </w:t>
      </w:r>
      <w:proofErr w:type="spellStart"/>
      <w:r w:rsidR="00644FCC" w:rsidRPr="00644FCC">
        <w:rPr>
          <w:color w:val="auto"/>
        </w:rPr>
        <w:t>Ardalicip</w:t>
      </w:r>
      <w:proofErr w:type="spellEnd"/>
      <w:r w:rsidR="00644FCC" w:rsidRPr="00644FCC">
        <w:rPr>
          <w:color w:val="auto"/>
        </w:rPr>
        <w:t>/</w:t>
      </w:r>
      <w:proofErr w:type="spellStart"/>
      <w:r w:rsidR="00644FCC" w:rsidRPr="00644FCC">
        <w:rPr>
          <w:color w:val="auto"/>
        </w:rPr>
        <w:t>Ciptunec</w:t>
      </w:r>
      <w:proofErr w:type="spellEnd"/>
      <w:r w:rsidR="00644FCC" w:rsidRPr="00644FCC">
        <w:rPr>
          <w:color w:val="auto"/>
        </w:rPr>
        <w:t xml:space="preserve"> were lower than in Humira</w:t>
      </w:r>
      <w:r>
        <w:rPr>
          <w:color w:val="auto"/>
        </w:rPr>
        <w:t>; and</w:t>
      </w:r>
    </w:p>
    <w:p w14:paraId="6E9713E8" w14:textId="158F78F7" w:rsidR="00644FCC" w:rsidRPr="00644FCC" w:rsidRDefault="006028E6" w:rsidP="00644FCC">
      <w:pPr>
        <w:pStyle w:val="ListBullet"/>
        <w:rPr>
          <w:color w:val="auto"/>
        </w:rPr>
      </w:pPr>
      <w:r>
        <w:rPr>
          <w:color w:val="auto"/>
        </w:rPr>
        <w:t>s</w:t>
      </w:r>
      <w:r w:rsidR="00644FCC" w:rsidRPr="00644FCC">
        <w:rPr>
          <w:color w:val="auto"/>
        </w:rPr>
        <w:t xml:space="preserve">lightly higher levels of </w:t>
      </w:r>
      <w:proofErr w:type="spellStart"/>
      <w:r w:rsidR="00644FCC" w:rsidRPr="00644FCC">
        <w:rPr>
          <w:color w:val="auto"/>
        </w:rPr>
        <w:t>sialylated</w:t>
      </w:r>
      <w:proofErr w:type="spellEnd"/>
      <w:r w:rsidR="00644FCC" w:rsidRPr="00644FCC">
        <w:rPr>
          <w:color w:val="auto"/>
        </w:rPr>
        <w:t xml:space="preserve"> glycans were observed in </w:t>
      </w:r>
      <w:proofErr w:type="spellStart"/>
      <w:r w:rsidR="00644FCC" w:rsidRPr="00644FCC">
        <w:rPr>
          <w:color w:val="auto"/>
        </w:rPr>
        <w:t>Ardalicip</w:t>
      </w:r>
      <w:proofErr w:type="spellEnd"/>
      <w:r w:rsidR="00644FCC" w:rsidRPr="00644FCC">
        <w:rPr>
          <w:color w:val="auto"/>
        </w:rPr>
        <w:t>/</w:t>
      </w:r>
      <w:proofErr w:type="spellStart"/>
      <w:r w:rsidR="00644FCC" w:rsidRPr="00644FCC">
        <w:rPr>
          <w:color w:val="auto"/>
        </w:rPr>
        <w:t>Ciptunec</w:t>
      </w:r>
      <w:proofErr w:type="spellEnd"/>
      <w:r>
        <w:rPr>
          <w:color w:val="auto"/>
        </w:rPr>
        <w:t>.</w:t>
      </w:r>
    </w:p>
    <w:p w14:paraId="34E39E5F" w14:textId="3839815E" w:rsidR="00644FCC" w:rsidRDefault="00644FCC" w:rsidP="00644FCC">
      <w:r>
        <w:t xml:space="preserve">Based on the overall (physicochemical and biological) comparability assessment and substantial overlap in the glycosylation fingerprint between </w:t>
      </w:r>
      <w:proofErr w:type="spellStart"/>
      <w:r w:rsidRPr="00644FCC">
        <w:t>Ardalicip</w:t>
      </w:r>
      <w:proofErr w:type="spellEnd"/>
      <w:r w:rsidRPr="00644FCC">
        <w:t>/</w:t>
      </w:r>
      <w:proofErr w:type="spellStart"/>
      <w:r w:rsidRPr="00644FCC">
        <w:t>Ciptunec</w:t>
      </w:r>
      <w:proofErr w:type="spellEnd"/>
      <w:r>
        <w:t xml:space="preserve"> </w:t>
      </w:r>
      <w:r w:rsidRPr="009F3F41">
        <w:t xml:space="preserve">and </w:t>
      </w:r>
      <w:r>
        <w:t xml:space="preserve">the reference product Humira, the </w:t>
      </w:r>
      <w:r w:rsidR="006028E6">
        <w:t xml:space="preserve">TGA’s </w:t>
      </w:r>
      <w:r>
        <w:t>quality evaluat</w:t>
      </w:r>
      <w:r w:rsidR="006028E6">
        <w:t>ion</w:t>
      </w:r>
      <w:r>
        <w:t xml:space="preserve"> concluded that </w:t>
      </w:r>
      <w:proofErr w:type="spellStart"/>
      <w:r w:rsidRPr="00644FCC">
        <w:t>Ardalicip</w:t>
      </w:r>
      <w:proofErr w:type="spellEnd"/>
      <w:r w:rsidRPr="00644FCC">
        <w:t>/</w:t>
      </w:r>
      <w:proofErr w:type="spellStart"/>
      <w:r w:rsidRPr="00644FCC">
        <w:t>Ciptunec</w:t>
      </w:r>
      <w:proofErr w:type="spellEnd"/>
      <w:r>
        <w:t xml:space="preserve"> satisfied the requirements for </w:t>
      </w:r>
      <w:proofErr w:type="spellStart"/>
      <w:r>
        <w:t>biosimilarity</w:t>
      </w:r>
      <w:proofErr w:type="spellEnd"/>
      <w:r>
        <w:t xml:space="preserve"> with the reference product. The quality </w:t>
      </w:r>
      <w:r w:rsidR="006028E6">
        <w:t xml:space="preserve">evaluation considered </w:t>
      </w:r>
      <w:r>
        <w:t xml:space="preserve">that </w:t>
      </w:r>
      <w:proofErr w:type="spellStart"/>
      <w:r w:rsidRPr="00644FCC">
        <w:t>Ardalicip</w:t>
      </w:r>
      <w:proofErr w:type="spellEnd"/>
      <w:r w:rsidRPr="00644FCC">
        <w:t>/</w:t>
      </w:r>
      <w:proofErr w:type="spellStart"/>
      <w:r w:rsidRPr="00644FCC">
        <w:t>Ciptunec</w:t>
      </w:r>
      <w:proofErr w:type="spellEnd"/>
      <w:r>
        <w:t xml:space="preserve"> should also display similar clinical efficacy and safety, including immunogenicity, to the reference product to confirm </w:t>
      </w:r>
      <w:proofErr w:type="spellStart"/>
      <w:r>
        <w:t>biosimilarity</w:t>
      </w:r>
      <w:proofErr w:type="spellEnd"/>
      <w:r>
        <w:t>.</w:t>
      </w:r>
    </w:p>
    <w:p w14:paraId="1B09E08B" w14:textId="6BB10590" w:rsidR="00644FCC" w:rsidRDefault="00644FCC" w:rsidP="00644FCC">
      <w:pPr>
        <w:pStyle w:val="Heading4"/>
      </w:pPr>
      <w:bookmarkStart w:id="36" w:name="_Toc133478212"/>
      <w:r>
        <w:lastRenderedPageBreak/>
        <w:t>Recommend wording for q</w:t>
      </w:r>
      <w:r w:rsidRPr="00644FCC">
        <w:t>uality</w:t>
      </w:r>
      <w:r>
        <w:t xml:space="preserve"> </w:t>
      </w:r>
      <w:r w:rsidRPr="00644FCC">
        <w:t>related conditions of registration</w:t>
      </w:r>
      <w:bookmarkEnd w:id="36"/>
    </w:p>
    <w:p w14:paraId="6A311AF9" w14:textId="017E5AEA" w:rsidR="00B87AC9" w:rsidRPr="00B87AC9" w:rsidRDefault="00B87AC9" w:rsidP="00B87AC9">
      <w:r w:rsidRPr="00B87AC9">
        <w:t>The quality evaluator recommended the following proposed conditions of registration:</w:t>
      </w:r>
    </w:p>
    <w:p w14:paraId="2879AA8A" w14:textId="77777777" w:rsidR="00644FCC" w:rsidRPr="00B87AC9" w:rsidRDefault="00644FCC" w:rsidP="00B87AC9">
      <w:pPr>
        <w:pStyle w:val="ListBullet"/>
        <w:rPr>
          <w:color w:val="auto"/>
        </w:rPr>
      </w:pPr>
      <w:r w:rsidRPr="00B87AC9">
        <w:rPr>
          <w:color w:val="auto"/>
        </w:rPr>
        <w:t>Laboratory testing &amp; compliance with Certified Product Details (CPD)</w:t>
      </w:r>
    </w:p>
    <w:p w14:paraId="5E902B66" w14:textId="4CE3A44F" w:rsidR="00644FCC" w:rsidRPr="00B87AC9" w:rsidRDefault="00644FCC" w:rsidP="00644FCC">
      <w:pPr>
        <w:pStyle w:val="Numberbullet0"/>
        <w:rPr>
          <w:color w:val="auto"/>
        </w:rPr>
      </w:pPr>
      <w:r w:rsidRPr="00B87AC9">
        <w:rPr>
          <w:color w:val="auto"/>
        </w:rPr>
        <w:t xml:space="preserve">All batches of </w:t>
      </w:r>
      <w:proofErr w:type="spellStart"/>
      <w:r w:rsidRPr="00B87AC9">
        <w:rPr>
          <w:color w:val="auto"/>
        </w:rPr>
        <w:t>C</w:t>
      </w:r>
      <w:r w:rsidR="00B87AC9" w:rsidRPr="00B87AC9">
        <w:rPr>
          <w:color w:val="auto"/>
        </w:rPr>
        <w:t>iptunec</w:t>
      </w:r>
      <w:proofErr w:type="spellEnd"/>
      <w:r w:rsidR="00B87AC9" w:rsidRPr="00B87AC9">
        <w:rPr>
          <w:color w:val="auto"/>
        </w:rPr>
        <w:t xml:space="preserve"> </w:t>
      </w:r>
      <w:r w:rsidRPr="00B87AC9">
        <w:rPr>
          <w:color w:val="auto"/>
        </w:rPr>
        <w:t xml:space="preserve">and </w:t>
      </w:r>
      <w:proofErr w:type="spellStart"/>
      <w:r w:rsidRPr="00B87AC9">
        <w:rPr>
          <w:color w:val="auto"/>
        </w:rPr>
        <w:t>A</w:t>
      </w:r>
      <w:r w:rsidR="00B87AC9" w:rsidRPr="00B87AC9">
        <w:rPr>
          <w:color w:val="auto"/>
        </w:rPr>
        <w:t>rdalicip</w:t>
      </w:r>
      <w:proofErr w:type="spellEnd"/>
      <w:r w:rsidRPr="00B87AC9">
        <w:rPr>
          <w:color w:val="auto"/>
        </w:rPr>
        <w:t xml:space="preserve"> (</w:t>
      </w:r>
      <w:r w:rsidR="00B87AC9" w:rsidRPr="00B87AC9">
        <w:rPr>
          <w:color w:val="auto"/>
        </w:rPr>
        <w:t>a</w:t>
      </w:r>
      <w:r w:rsidRPr="00B87AC9">
        <w:rPr>
          <w:color w:val="auto"/>
        </w:rPr>
        <w:t>dalimumab) supplied in Australia must comply with the product details and specifications approved during evaluation and detailed in the Certified Product Details (CPD).</w:t>
      </w:r>
    </w:p>
    <w:p w14:paraId="5BDDDBE4" w14:textId="17C1C473" w:rsidR="00644FCC" w:rsidRPr="00B87AC9" w:rsidRDefault="00644FCC" w:rsidP="00644FCC">
      <w:pPr>
        <w:pStyle w:val="Numberbullet0"/>
        <w:rPr>
          <w:color w:val="auto"/>
        </w:rPr>
      </w:pPr>
      <w:r w:rsidRPr="00B87AC9">
        <w:rPr>
          <w:color w:val="auto"/>
        </w:rPr>
        <w:t>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http://www.tga.gov.au/ws-labs-index and periodically in testing reports on the TGA website.</w:t>
      </w:r>
    </w:p>
    <w:p w14:paraId="01A44B31" w14:textId="77777777" w:rsidR="00B87AC9" w:rsidRPr="00B87AC9" w:rsidRDefault="00644FCC" w:rsidP="00644FCC">
      <w:pPr>
        <w:pStyle w:val="ListBullet"/>
        <w:rPr>
          <w:color w:val="auto"/>
        </w:rPr>
      </w:pPr>
      <w:r w:rsidRPr="00B87AC9">
        <w:rPr>
          <w:color w:val="auto"/>
        </w:rPr>
        <w:t>Certified Product Details</w:t>
      </w:r>
    </w:p>
    <w:p w14:paraId="3E9E214C" w14:textId="56472005" w:rsidR="00644FCC" w:rsidRPr="00E17C80" w:rsidRDefault="00644FCC" w:rsidP="00B87AC9">
      <w:pPr>
        <w:pStyle w:val="ListBullet"/>
        <w:numPr>
          <w:ilvl w:val="0"/>
          <w:numId w:val="0"/>
        </w:numPr>
        <w:ind w:left="360"/>
        <w:rPr>
          <w:color w:val="000000" w:themeColor="text1"/>
        </w:rPr>
      </w:pPr>
      <w:r w:rsidRPr="00E17C80">
        <w:rPr>
          <w:color w:val="000000" w:themeColor="text1"/>
        </w:rPr>
        <w:t>The Certified Product Details (CPD), as described in Guidance 7: Certified Product Details of the Australian Regulatory Guidelines for Prescription Medicines (ARGPM) [http://www.tga.gov.au/industry/pm-argpm-guidance-7.htm],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2BE90AAE" w14:textId="77777777" w:rsidR="00C22214" w:rsidRDefault="00C22214" w:rsidP="00C22214">
      <w:pPr>
        <w:pStyle w:val="Heading3"/>
      </w:pPr>
      <w:bookmarkStart w:id="37" w:name="_Toc314842512"/>
      <w:bookmarkStart w:id="38" w:name="_Toc103679296"/>
      <w:bookmarkStart w:id="39" w:name="_Toc133478213"/>
      <w:r>
        <w:t>Nonclinical</w:t>
      </w:r>
      <w:bookmarkEnd w:id="37"/>
      <w:bookmarkEnd w:id="38"/>
      <w:bookmarkEnd w:id="39"/>
    </w:p>
    <w:p w14:paraId="25D4F458" w14:textId="1124C7F8" w:rsidR="00B87AC9" w:rsidRDefault="00B87AC9" w:rsidP="00B87AC9">
      <w:r>
        <w:t xml:space="preserve">The nonclinical dossier contained one comparative study investigating pharmacokinetics and local tolerance (assessment of erythema and oedema) in </w:t>
      </w:r>
      <w:r w:rsidR="006028E6">
        <w:t>c</w:t>
      </w:r>
      <w:r>
        <w:t>ynomolgus monkeys. This study was conducted using EU-</w:t>
      </w:r>
      <w:r w:rsidR="006028E6">
        <w:t xml:space="preserve">sourced </w:t>
      </w:r>
      <w:r>
        <w:t>Humira as the reference product. No data were provided in nonclinical dossier to verify the comparability of the EU-sourced and Australia-sourced Humira.</w:t>
      </w:r>
    </w:p>
    <w:p w14:paraId="75AE9C32" w14:textId="45060079" w:rsidR="00B87AC9" w:rsidRDefault="00B87AC9" w:rsidP="00B87AC9">
      <w:r>
        <w:t xml:space="preserve">Comparable serum kinetic profiles after subcutaneous administration were observed for </w:t>
      </w:r>
      <w:proofErr w:type="spellStart"/>
      <w:r w:rsidRPr="00272BC1">
        <w:t>A</w:t>
      </w:r>
      <w:r>
        <w:t>rdalicip</w:t>
      </w:r>
      <w:proofErr w:type="spellEnd"/>
      <w:r>
        <w:t>/</w:t>
      </w:r>
      <w:proofErr w:type="spellStart"/>
      <w:r>
        <w:t>Ciptunec</w:t>
      </w:r>
      <w:proofErr w:type="spellEnd"/>
      <w:r>
        <w:t xml:space="preserve"> and EU-</w:t>
      </w:r>
      <w:r w:rsidR="006028E6">
        <w:t xml:space="preserve">sourced </w:t>
      </w:r>
      <w:r>
        <w:t xml:space="preserve">Humira in the monkey study. Local tolerance investigations in this study, although limited, indicated good local tolerability of the </w:t>
      </w:r>
      <w:proofErr w:type="spellStart"/>
      <w:r w:rsidRPr="00272BC1">
        <w:t>A</w:t>
      </w:r>
      <w:r>
        <w:t>rdalicip</w:t>
      </w:r>
      <w:proofErr w:type="spellEnd"/>
      <w:r>
        <w:t>/</w:t>
      </w:r>
      <w:proofErr w:type="spellStart"/>
      <w:r>
        <w:t>Ciptunec</w:t>
      </w:r>
      <w:proofErr w:type="spellEnd"/>
      <w:r>
        <w:t xml:space="preserve"> product that was comparable to EU-</w:t>
      </w:r>
      <w:r w:rsidR="006028E6">
        <w:t xml:space="preserve">sourced </w:t>
      </w:r>
      <w:r>
        <w:t>Humira.</w:t>
      </w:r>
    </w:p>
    <w:p w14:paraId="526DAD68" w14:textId="4B18403F" w:rsidR="00B87AC9" w:rsidRDefault="00B87AC9" w:rsidP="00B87AC9">
      <w:r>
        <w:t>The ability of the nonclinical studies to support comparability to Australian</w:t>
      </w:r>
      <w:r w:rsidR="006028E6">
        <w:t xml:space="preserve">-sourced </w:t>
      </w:r>
      <w:r>
        <w:t>Humira depends on the conclusion of the quality evaluator regarding: (</w:t>
      </w:r>
      <w:proofErr w:type="spellStart"/>
      <w:r>
        <w:t>i</w:t>
      </w:r>
      <w:proofErr w:type="spellEnd"/>
      <w:r>
        <w:t xml:space="preserve">) the ability of the </w:t>
      </w:r>
      <w:r w:rsidRPr="00B87AC9">
        <w:rPr>
          <w:i/>
          <w:iCs/>
        </w:rPr>
        <w:t>in vitro</w:t>
      </w:r>
      <w:r>
        <w:t xml:space="preserve"> pharmacology studies and the comparative analytical similarity assessment to support the </w:t>
      </w:r>
      <w:proofErr w:type="spellStart"/>
      <w:r>
        <w:t>biosimilarity</w:t>
      </w:r>
      <w:proofErr w:type="spellEnd"/>
      <w:r>
        <w:t xml:space="preserve"> of </w:t>
      </w:r>
      <w:proofErr w:type="spellStart"/>
      <w:r w:rsidRPr="00272BC1">
        <w:t>A</w:t>
      </w:r>
      <w:r>
        <w:t>rdalicip</w:t>
      </w:r>
      <w:proofErr w:type="spellEnd"/>
      <w:r>
        <w:t>/</w:t>
      </w:r>
      <w:proofErr w:type="spellStart"/>
      <w:r>
        <w:t>Ciptunec</w:t>
      </w:r>
      <w:proofErr w:type="spellEnd"/>
      <w:r>
        <w:t xml:space="preserve"> and EU-</w:t>
      </w:r>
      <w:r w:rsidR="006028E6">
        <w:t xml:space="preserve">sourced </w:t>
      </w:r>
      <w:r>
        <w:t xml:space="preserve">Humira, and (ii) the identity of Humira products across jurisdictions. Provided these conditions are met, there are no nonclinical objections to the registration of </w:t>
      </w:r>
      <w:proofErr w:type="spellStart"/>
      <w:r w:rsidRPr="00272BC1">
        <w:t>A</w:t>
      </w:r>
      <w:r>
        <w:t>rdalicip</w:t>
      </w:r>
      <w:proofErr w:type="spellEnd"/>
      <w:r>
        <w:t>/</w:t>
      </w:r>
      <w:proofErr w:type="spellStart"/>
      <w:r>
        <w:t>Ciptunec</w:t>
      </w:r>
      <w:proofErr w:type="spellEnd"/>
      <w:r>
        <w:t>.</w:t>
      </w:r>
    </w:p>
    <w:p w14:paraId="44FD7369" w14:textId="7C6591D7" w:rsidR="00B87AC9" w:rsidRDefault="00B87AC9" w:rsidP="00B87AC9">
      <w:r w:rsidRPr="00B87AC9">
        <w:t xml:space="preserve">The nonclinical </w:t>
      </w:r>
      <w:r w:rsidR="006028E6">
        <w:t>evaluation</w:t>
      </w:r>
      <w:r w:rsidR="006028E6" w:rsidRPr="00B87AC9">
        <w:t xml:space="preserve"> </w:t>
      </w:r>
      <w:r w:rsidRPr="00B87AC9">
        <w:t xml:space="preserve">recommended that the sponsor include a subsection in </w:t>
      </w:r>
      <w:r>
        <w:t>‘</w:t>
      </w:r>
      <w:r w:rsidRPr="00B87AC9">
        <w:t>Section 5.1 P</w:t>
      </w:r>
      <w:r>
        <w:t xml:space="preserve">harmacological Properties’ </w:t>
      </w:r>
      <w:r w:rsidRPr="00B87AC9">
        <w:t xml:space="preserve">of the </w:t>
      </w:r>
      <w:r>
        <w:t>P</w:t>
      </w:r>
      <w:r w:rsidRPr="00B87AC9">
        <w:t xml:space="preserve">roduct </w:t>
      </w:r>
      <w:r>
        <w:t>I</w:t>
      </w:r>
      <w:r w:rsidRPr="00B87AC9">
        <w:t>nformation</w:t>
      </w:r>
      <w:r>
        <w:t xml:space="preserve"> (PI)</w:t>
      </w:r>
      <w:r w:rsidRPr="00B87AC9">
        <w:t>, which outlines the assessments that showed comparable in vitro biological actions and binding of the biosimilar relative to the innovator H</w:t>
      </w:r>
      <w:r>
        <w:t>umira</w:t>
      </w:r>
      <w:r w:rsidRPr="00B87AC9">
        <w:t>.</w:t>
      </w:r>
    </w:p>
    <w:p w14:paraId="65F60DE9" w14:textId="13B30413" w:rsidR="00B87AC9" w:rsidRPr="0074163C" w:rsidRDefault="00B87AC9" w:rsidP="00B87AC9">
      <w:r>
        <w:t xml:space="preserve">There are no nonclinical objections to the registration of </w:t>
      </w:r>
      <w:proofErr w:type="spellStart"/>
      <w:r w:rsidRPr="00272BC1">
        <w:t>A</w:t>
      </w:r>
      <w:r>
        <w:t>rdalicip</w:t>
      </w:r>
      <w:proofErr w:type="spellEnd"/>
      <w:r>
        <w:t>/</w:t>
      </w:r>
      <w:proofErr w:type="spellStart"/>
      <w:r>
        <w:t>Ciptunec</w:t>
      </w:r>
      <w:proofErr w:type="spellEnd"/>
      <w:r>
        <w:t>.</w:t>
      </w:r>
    </w:p>
    <w:p w14:paraId="35B580A5" w14:textId="77777777" w:rsidR="00C22214" w:rsidRDefault="00C22214" w:rsidP="00C22214">
      <w:pPr>
        <w:pStyle w:val="Heading3"/>
      </w:pPr>
      <w:bookmarkStart w:id="40" w:name="_Toc247691530"/>
      <w:bookmarkStart w:id="41" w:name="_Toc314842513"/>
      <w:bookmarkStart w:id="42" w:name="_Toc103679297"/>
      <w:bookmarkStart w:id="43" w:name="_Toc133478214"/>
      <w:r>
        <w:lastRenderedPageBreak/>
        <w:t>Clinical</w:t>
      </w:r>
      <w:bookmarkEnd w:id="40"/>
      <w:bookmarkEnd w:id="41"/>
      <w:bookmarkEnd w:id="42"/>
      <w:bookmarkEnd w:id="43"/>
    </w:p>
    <w:p w14:paraId="32B0DEDA" w14:textId="77777777" w:rsidR="00C22214" w:rsidRPr="002A2730" w:rsidRDefault="00C22214" w:rsidP="002A2730">
      <w:pPr>
        <w:pStyle w:val="Heading4"/>
      </w:pPr>
      <w:bookmarkStart w:id="44" w:name="_Toc98931928"/>
      <w:bookmarkStart w:id="45" w:name="_Toc133478215"/>
      <w:r w:rsidRPr="002A2730">
        <w:t>Summary of clinical studies</w:t>
      </w:r>
      <w:bookmarkEnd w:id="44"/>
      <w:bookmarkEnd w:id="45"/>
    </w:p>
    <w:p w14:paraId="02EE45EF" w14:textId="612CE45D" w:rsidR="002A397E" w:rsidRDefault="00341238" w:rsidP="00C22214">
      <w:r w:rsidRPr="00341238">
        <w:t xml:space="preserve">The </w:t>
      </w:r>
      <w:r w:rsidR="002A397E">
        <w:t xml:space="preserve">TGA’s </w:t>
      </w:r>
      <w:r w:rsidRPr="00341238">
        <w:t xml:space="preserve">clinical evaluation recommended approval of all three presentations of the biosimilar adalimumab for injection for the same indications approved for the innovator in </w:t>
      </w:r>
      <w:r w:rsidR="002A2730">
        <w:t xml:space="preserve">rheumatoid arthritis, juvenile idiopathic arthritis, axial </w:t>
      </w:r>
      <w:proofErr w:type="spellStart"/>
      <w:r w:rsidR="002A2730">
        <w:t>spondyloarthritis</w:t>
      </w:r>
      <w:proofErr w:type="spellEnd"/>
      <w:r w:rsidR="002A2730">
        <w:t>, psoriatic arthritis, Crohn’s disease</w:t>
      </w:r>
      <w:r w:rsidRPr="00341238">
        <w:t xml:space="preserve"> in adults and children (</w:t>
      </w:r>
      <w:r w:rsidR="002A397E">
        <w:t>aged</w:t>
      </w:r>
      <w:r w:rsidRPr="00341238">
        <w:t xml:space="preserve"> 6 years</w:t>
      </w:r>
      <w:r w:rsidR="002A397E">
        <w:t xml:space="preserve"> and older</w:t>
      </w:r>
      <w:r w:rsidRPr="00341238">
        <w:t>, weighing</w:t>
      </w:r>
      <w:r>
        <w:t xml:space="preserve"> </w:t>
      </w:r>
      <w:r w:rsidRPr="00341238">
        <w:t>40</w:t>
      </w:r>
      <w:r w:rsidR="002A2730">
        <w:t xml:space="preserve"> </w:t>
      </w:r>
      <w:r w:rsidRPr="00341238">
        <w:t>kg</w:t>
      </w:r>
      <w:r w:rsidR="002A397E">
        <w:t xml:space="preserve"> or more</w:t>
      </w:r>
      <w:r w:rsidRPr="00341238">
        <w:t xml:space="preserve">), </w:t>
      </w:r>
      <w:r w:rsidR="002A2730">
        <w:t xml:space="preserve">psoriasis, ulcerative colitis </w:t>
      </w:r>
      <w:r w:rsidRPr="00341238">
        <w:t xml:space="preserve">in adults and children, </w:t>
      </w:r>
      <w:r w:rsidR="002A2730">
        <w:t>hidradenitis suppurativa</w:t>
      </w:r>
      <w:r w:rsidRPr="00341238">
        <w:t xml:space="preserve"> in adults and adolescents, and uveitis.</w:t>
      </w:r>
    </w:p>
    <w:p w14:paraId="1DE25D1B" w14:textId="2976797A" w:rsidR="00341238" w:rsidRDefault="00341238" w:rsidP="00C22214">
      <w:r w:rsidRPr="00341238">
        <w:t xml:space="preserve">The </w:t>
      </w:r>
      <w:r w:rsidR="002A397E">
        <w:t>clinical evaluation</w:t>
      </w:r>
      <w:r w:rsidR="002A397E" w:rsidRPr="00341238">
        <w:t xml:space="preserve"> </w:t>
      </w:r>
      <w:r w:rsidRPr="00341238">
        <w:t>noted that in the absence of a 20</w:t>
      </w:r>
      <w:r>
        <w:t xml:space="preserve"> </w:t>
      </w:r>
      <w:r w:rsidRPr="00341238">
        <w:t xml:space="preserve">mg formulation, </w:t>
      </w:r>
      <w:proofErr w:type="spellStart"/>
      <w:r w:rsidRPr="00272BC1">
        <w:t>A</w:t>
      </w:r>
      <w:r>
        <w:t>rdalicip</w:t>
      </w:r>
      <w:proofErr w:type="spellEnd"/>
      <w:r>
        <w:t>/</w:t>
      </w:r>
      <w:proofErr w:type="spellStart"/>
      <w:r>
        <w:t>Ciptunec</w:t>
      </w:r>
      <w:proofErr w:type="spellEnd"/>
      <w:r w:rsidRPr="00341238">
        <w:t xml:space="preserve"> would not be suitable for smaller paediatric patients. The clinical recommendation was subject to the quality </w:t>
      </w:r>
      <w:r w:rsidR="007835B7">
        <w:t>evaluation</w:t>
      </w:r>
      <w:r w:rsidR="007835B7" w:rsidRPr="00341238">
        <w:t xml:space="preserve"> </w:t>
      </w:r>
      <w:r w:rsidRPr="00341238">
        <w:t xml:space="preserve">concluding that the quality, and comparability </w:t>
      </w:r>
      <w:r w:rsidR="007835B7">
        <w:t>of</w:t>
      </w:r>
      <w:r w:rsidR="007835B7" w:rsidRPr="00341238">
        <w:t xml:space="preserve"> </w:t>
      </w:r>
      <w:r w:rsidRPr="00341238">
        <w:t xml:space="preserve">the </w:t>
      </w:r>
      <w:r w:rsidR="007835B7">
        <w:t>reference product Humira with</w:t>
      </w:r>
      <w:r w:rsidRPr="00341238">
        <w:t xml:space="preserve"> </w:t>
      </w:r>
      <w:proofErr w:type="spellStart"/>
      <w:r w:rsidRPr="00272BC1">
        <w:t>A</w:t>
      </w:r>
      <w:r>
        <w:t>rdalicip</w:t>
      </w:r>
      <w:proofErr w:type="spellEnd"/>
      <w:r>
        <w:t>/</w:t>
      </w:r>
      <w:proofErr w:type="spellStart"/>
      <w:r>
        <w:t>Ciptunec</w:t>
      </w:r>
      <w:proofErr w:type="spellEnd"/>
      <w:r w:rsidRPr="00341238">
        <w:t xml:space="preserve"> were acceptable.</w:t>
      </w:r>
    </w:p>
    <w:p w14:paraId="46622364" w14:textId="17339EAE" w:rsidR="00C22214" w:rsidRDefault="00C22214" w:rsidP="00C22214">
      <w:r>
        <w:t>The clinical dossier consisted of</w:t>
      </w:r>
      <w:r w:rsidR="002A2730">
        <w:t>:</w:t>
      </w:r>
    </w:p>
    <w:p w14:paraId="3DF49722" w14:textId="411EFCB6" w:rsidR="00C22214" w:rsidRPr="002A2730" w:rsidRDefault="002A2730" w:rsidP="00C22214">
      <w:pPr>
        <w:pStyle w:val="ListBullet"/>
        <w:rPr>
          <w:color w:val="auto"/>
        </w:rPr>
      </w:pPr>
      <w:r w:rsidRPr="002A2730">
        <w:rPr>
          <w:color w:val="auto"/>
        </w:rPr>
        <w:t>Two</w:t>
      </w:r>
      <w:r w:rsidR="00C22214" w:rsidRPr="002A2730">
        <w:rPr>
          <w:color w:val="auto"/>
        </w:rPr>
        <w:t xml:space="preserve"> Phase I studies</w:t>
      </w:r>
      <w:r w:rsidR="007835B7">
        <w:rPr>
          <w:color w:val="auto"/>
        </w:rPr>
        <w:t>:</w:t>
      </w:r>
    </w:p>
    <w:p w14:paraId="3FB5B41F" w14:textId="5CD19F38" w:rsidR="002A2730" w:rsidRPr="002A2730" w:rsidRDefault="002A2730" w:rsidP="002A2730">
      <w:pPr>
        <w:pStyle w:val="ListBullet2"/>
        <w:rPr>
          <w:color w:val="auto"/>
        </w:rPr>
      </w:pPr>
      <w:r w:rsidRPr="002A2730">
        <w:rPr>
          <w:color w:val="auto"/>
        </w:rPr>
        <w:t>Study AVT02-GL-101</w:t>
      </w:r>
      <w:r w:rsidR="007835B7">
        <w:rPr>
          <w:color w:val="auto"/>
        </w:rPr>
        <w:t xml:space="preserve">: </w:t>
      </w:r>
      <w:r w:rsidRPr="002A2730">
        <w:rPr>
          <w:color w:val="auto"/>
        </w:rPr>
        <w:t xml:space="preserve">A Phase I pharmacokinetic study assessing the bioequivalence between EU-Humira, US-Humira and </w:t>
      </w:r>
      <w:proofErr w:type="spellStart"/>
      <w:r w:rsidR="00433F2E" w:rsidRPr="00433F2E">
        <w:rPr>
          <w:color w:val="auto"/>
        </w:rPr>
        <w:t>Ardalicip</w:t>
      </w:r>
      <w:proofErr w:type="spellEnd"/>
      <w:r w:rsidR="00433F2E" w:rsidRPr="00433F2E">
        <w:rPr>
          <w:color w:val="auto"/>
        </w:rPr>
        <w:t>/</w:t>
      </w:r>
      <w:proofErr w:type="spellStart"/>
      <w:r w:rsidR="00433F2E" w:rsidRPr="00433F2E">
        <w:rPr>
          <w:color w:val="auto"/>
        </w:rPr>
        <w:t>Ciptunec</w:t>
      </w:r>
      <w:proofErr w:type="spellEnd"/>
      <w:r w:rsidRPr="002A2730">
        <w:rPr>
          <w:color w:val="auto"/>
        </w:rPr>
        <w:t xml:space="preserve"> in healthy volunteers.</w:t>
      </w:r>
    </w:p>
    <w:p w14:paraId="04FD2083" w14:textId="70D5FDA9" w:rsidR="002A2730" w:rsidRPr="002A2730" w:rsidRDefault="002A2730" w:rsidP="002A2730">
      <w:pPr>
        <w:pStyle w:val="ListBullet2"/>
        <w:rPr>
          <w:color w:val="auto"/>
        </w:rPr>
      </w:pPr>
      <w:r w:rsidRPr="002A2730">
        <w:rPr>
          <w:color w:val="auto"/>
        </w:rPr>
        <w:t>Study AVT02-GL-102</w:t>
      </w:r>
      <w:r w:rsidR="007835B7">
        <w:rPr>
          <w:color w:val="auto"/>
        </w:rPr>
        <w:t xml:space="preserve">: </w:t>
      </w:r>
      <w:r w:rsidRPr="002A2730">
        <w:rPr>
          <w:color w:val="auto"/>
        </w:rPr>
        <w:t xml:space="preserve">A Phase I study assessing the bioequivalence between </w:t>
      </w:r>
      <w:proofErr w:type="spellStart"/>
      <w:r w:rsidR="00433F2E" w:rsidRPr="00433F2E">
        <w:rPr>
          <w:color w:val="auto"/>
        </w:rPr>
        <w:t>Ardalicip</w:t>
      </w:r>
      <w:proofErr w:type="spellEnd"/>
      <w:r w:rsidR="00433F2E" w:rsidRPr="00433F2E">
        <w:rPr>
          <w:color w:val="auto"/>
        </w:rPr>
        <w:t>/</w:t>
      </w:r>
      <w:proofErr w:type="spellStart"/>
      <w:r w:rsidR="00433F2E" w:rsidRPr="00433F2E">
        <w:rPr>
          <w:color w:val="auto"/>
        </w:rPr>
        <w:t>Ciptunec</w:t>
      </w:r>
      <w:proofErr w:type="spellEnd"/>
      <w:r w:rsidRPr="002A2730">
        <w:rPr>
          <w:color w:val="auto"/>
        </w:rPr>
        <w:t xml:space="preserve">-pre-filled syringe and </w:t>
      </w:r>
      <w:proofErr w:type="spellStart"/>
      <w:r w:rsidR="00374F53" w:rsidRPr="00374F53">
        <w:rPr>
          <w:color w:val="auto"/>
        </w:rPr>
        <w:t>Ardalicip</w:t>
      </w:r>
      <w:proofErr w:type="spellEnd"/>
      <w:r w:rsidR="00374F53" w:rsidRPr="00374F53">
        <w:rPr>
          <w:color w:val="auto"/>
        </w:rPr>
        <w:t>/</w:t>
      </w:r>
      <w:proofErr w:type="spellStart"/>
      <w:r w:rsidR="00374F53" w:rsidRPr="00374F53">
        <w:rPr>
          <w:color w:val="auto"/>
        </w:rPr>
        <w:t>Ciptunec</w:t>
      </w:r>
      <w:proofErr w:type="spellEnd"/>
      <w:r w:rsidRPr="002A2730">
        <w:rPr>
          <w:color w:val="auto"/>
        </w:rPr>
        <w:t>-autoinjector in healthy volunteers.</w:t>
      </w:r>
    </w:p>
    <w:p w14:paraId="6B56CB17" w14:textId="4E051FDC" w:rsidR="00C22214" w:rsidRPr="002A2730" w:rsidRDefault="002A2730" w:rsidP="00C22214">
      <w:pPr>
        <w:pStyle w:val="ListBullet"/>
        <w:rPr>
          <w:color w:val="auto"/>
        </w:rPr>
      </w:pPr>
      <w:r w:rsidRPr="002A2730">
        <w:rPr>
          <w:color w:val="auto"/>
        </w:rPr>
        <w:t>Two</w:t>
      </w:r>
      <w:r w:rsidR="00C22214" w:rsidRPr="002A2730">
        <w:rPr>
          <w:color w:val="auto"/>
        </w:rPr>
        <w:t xml:space="preserve"> Phase II</w:t>
      </w:r>
      <w:r w:rsidR="002F778B">
        <w:rPr>
          <w:color w:val="auto"/>
        </w:rPr>
        <w:t>I</w:t>
      </w:r>
      <w:r w:rsidR="00C22214" w:rsidRPr="002A2730">
        <w:rPr>
          <w:color w:val="auto"/>
        </w:rPr>
        <w:t xml:space="preserve"> studies</w:t>
      </w:r>
      <w:r w:rsidR="007835B7">
        <w:rPr>
          <w:color w:val="auto"/>
        </w:rPr>
        <w:t>:</w:t>
      </w:r>
    </w:p>
    <w:p w14:paraId="54B4C013" w14:textId="35A40EC5" w:rsidR="002A2730" w:rsidRPr="002A2730" w:rsidRDefault="007835B7" w:rsidP="002A2730">
      <w:pPr>
        <w:pStyle w:val="ListBullet2"/>
        <w:rPr>
          <w:color w:val="auto"/>
        </w:rPr>
      </w:pPr>
      <w:r>
        <w:rPr>
          <w:color w:val="auto"/>
        </w:rPr>
        <w:t xml:space="preserve">Study </w:t>
      </w:r>
      <w:r w:rsidR="002A2730" w:rsidRPr="002A2730">
        <w:rPr>
          <w:color w:val="auto"/>
        </w:rPr>
        <w:t>AVT02-GL-301</w:t>
      </w:r>
      <w:r>
        <w:rPr>
          <w:color w:val="auto"/>
        </w:rPr>
        <w:t xml:space="preserve">: </w:t>
      </w:r>
      <w:r w:rsidR="002A2730" w:rsidRPr="002A2730">
        <w:rPr>
          <w:color w:val="auto"/>
        </w:rPr>
        <w:t xml:space="preserve">A Phase III therapeutic equivalence study between </w:t>
      </w:r>
      <w:proofErr w:type="spellStart"/>
      <w:r w:rsidR="00374F53" w:rsidRPr="00374F53">
        <w:rPr>
          <w:color w:val="auto"/>
        </w:rPr>
        <w:t>Ardalicip</w:t>
      </w:r>
      <w:proofErr w:type="spellEnd"/>
      <w:r w:rsidR="00374F53" w:rsidRPr="00374F53">
        <w:rPr>
          <w:color w:val="auto"/>
        </w:rPr>
        <w:t>/</w:t>
      </w:r>
      <w:proofErr w:type="spellStart"/>
      <w:r w:rsidR="00374F53" w:rsidRPr="00374F53">
        <w:rPr>
          <w:color w:val="auto"/>
        </w:rPr>
        <w:t>Ciptunec</w:t>
      </w:r>
      <w:proofErr w:type="spellEnd"/>
      <w:r w:rsidR="002A2730" w:rsidRPr="002A2730">
        <w:rPr>
          <w:color w:val="auto"/>
        </w:rPr>
        <w:t xml:space="preserve"> and EU</w:t>
      </w:r>
      <w:r w:rsidR="002A2730" w:rsidRPr="002A2730">
        <w:rPr>
          <w:color w:val="auto"/>
        </w:rPr>
        <w:noBreakHyphen/>
        <w:t>Humira in adults with psoriatic arthritis.</w:t>
      </w:r>
    </w:p>
    <w:p w14:paraId="353970CB" w14:textId="71D758DB" w:rsidR="002A2730" w:rsidRPr="002A2730" w:rsidRDefault="007835B7" w:rsidP="002A2730">
      <w:pPr>
        <w:pStyle w:val="ListBullet2"/>
        <w:rPr>
          <w:color w:val="auto"/>
        </w:rPr>
      </w:pPr>
      <w:r>
        <w:rPr>
          <w:color w:val="auto"/>
        </w:rPr>
        <w:t xml:space="preserve">Study </w:t>
      </w:r>
      <w:r w:rsidR="002A2730" w:rsidRPr="002A2730">
        <w:rPr>
          <w:color w:val="auto"/>
        </w:rPr>
        <w:t>AVT02-GL-303</w:t>
      </w:r>
      <w:r>
        <w:rPr>
          <w:color w:val="auto"/>
        </w:rPr>
        <w:t>:</w:t>
      </w:r>
      <w:r w:rsidR="002A2730" w:rsidRPr="002A2730">
        <w:rPr>
          <w:color w:val="auto"/>
        </w:rPr>
        <w:t xml:space="preserve"> A Phase III study assessing the handling experience with an autoinjector in patients with rheumatoid arthritis.</w:t>
      </w:r>
    </w:p>
    <w:p w14:paraId="2ED59E47" w14:textId="6D78B9B9" w:rsidR="002A2730" w:rsidRPr="002A2730" w:rsidRDefault="002A2730" w:rsidP="002A2730">
      <w:pPr>
        <w:pStyle w:val="ListBullet"/>
        <w:rPr>
          <w:color w:val="auto"/>
        </w:rPr>
      </w:pPr>
      <w:r w:rsidRPr="002A2730">
        <w:rPr>
          <w:color w:val="auto"/>
        </w:rPr>
        <w:t>One pharmacokinetic study</w:t>
      </w:r>
      <w:r w:rsidR="007835B7">
        <w:rPr>
          <w:color w:val="auto"/>
        </w:rPr>
        <w:t>:</w:t>
      </w:r>
    </w:p>
    <w:p w14:paraId="62BC0ABC" w14:textId="4B79EB43" w:rsidR="002A2730" w:rsidRPr="002A2730" w:rsidRDefault="002A2730" w:rsidP="002A2730">
      <w:pPr>
        <w:pStyle w:val="ListBullet2"/>
        <w:rPr>
          <w:color w:val="auto"/>
        </w:rPr>
      </w:pPr>
      <w:r w:rsidRPr="002A2730">
        <w:rPr>
          <w:color w:val="auto"/>
        </w:rPr>
        <w:t>Study</w:t>
      </w:r>
      <w:r w:rsidR="007835B7">
        <w:rPr>
          <w:color w:val="auto"/>
        </w:rPr>
        <w:t xml:space="preserve"> </w:t>
      </w:r>
      <w:r w:rsidRPr="002A2730">
        <w:rPr>
          <w:color w:val="auto"/>
        </w:rPr>
        <w:t>AVT02-GL-100</w:t>
      </w:r>
      <w:r w:rsidR="007835B7">
        <w:rPr>
          <w:color w:val="auto"/>
        </w:rPr>
        <w:t>:</w:t>
      </w:r>
      <w:r w:rsidRPr="002A2730">
        <w:rPr>
          <w:color w:val="auto"/>
        </w:rPr>
        <w:t xml:space="preserve"> A first in human pharmacokinetic study of </w:t>
      </w:r>
      <w:proofErr w:type="spellStart"/>
      <w:r w:rsidR="00374F53" w:rsidRPr="00374F53">
        <w:rPr>
          <w:color w:val="auto"/>
        </w:rPr>
        <w:t>Ardalicip</w:t>
      </w:r>
      <w:proofErr w:type="spellEnd"/>
      <w:r w:rsidR="00374F53" w:rsidRPr="00374F53">
        <w:rPr>
          <w:color w:val="auto"/>
        </w:rPr>
        <w:t>/</w:t>
      </w:r>
      <w:proofErr w:type="spellStart"/>
      <w:r w:rsidR="00374F53" w:rsidRPr="00374F53">
        <w:rPr>
          <w:color w:val="auto"/>
        </w:rPr>
        <w:t>Ciptunec</w:t>
      </w:r>
      <w:proofErr w:type="spellEnd"/>
      <w:r w:rsidRPr="002A2730">
        <w:rPr>
          <w:color w:val="auto"/>
        </w:rPr>
        <w:t xml:space="preserve"> compared to EU-Humira. This study assessed </w:t>
      </w:r>
      <w:proofErr w:type="spellStart"/>
      <w:r w:rsidR="00374F53" w:rsidRPr="00374F53">
        <w:rPr>
          <w:color w:val="auto"/>
        </w:rPr>
        <w:t>Ardalicip</w:t>
      </w:r>
      <w:proofErr w:type="spellEnd"/>
      <w:r w:rsidR="00374F53" w:rsidRPr="00374F53">
        <w:rPr>
          <w:color w:val="auto"/>
        </w:rPr>
        <w:t>/</w:t>
      </w:r>
      <w:proofErr w:type="spellStart"/>
      <w:r w:rsidR="00374F53" w:rsidRPr="00374F53">
        <w:rPr>
          <w:color w:val="auto"/>
        </w:rPr>
        <w:t>Ciptunec</w:t>
      </w:r>
      <w:proofErr w:type="spellEnd"/>
      <w:r w:rsidRPr="002A2730">
        <w:rPr>
          <w:color w:val="auto"/>
        </w:rPr>
        <w:t xml:space="preserve"> manufactured using an earlier process than that presented for the commercial product.</w:t>
      </w:r>
    </w:p>
    <w:p w14:paraId="738B72C1" w14:textId="7360C2C6" w:rsidR="002A2730" w:rsidRPr="002A2730" w:rsidRDefault="002A2730" w:rsidP="00C22214">
      <w:pPr>
        <w:pStyle w:val="ListBullet"/>
        <w:rPr>
          <w:color w:val="auto"/>
        </w:rPr>
      </w:pPr>
      <w:r w:rsidRPr="002A2730">
        <w:rPr>
          <w:color w:val="auto"/>
        </w:rPr>
        <w:t>One report from human factor study</w:t>
      </w:r>
      <w:r w:rsidR="007835B7">
        <w:rPr>
          <w:color w:val="auto"/>
        </w:rPr>
        <w:t>:</w:t>
      </w:r>
    </w:p>
    <w:p w14:paraId="4E69C698" w14:textId="14552C34" w:rsidR="002A2730" w:rsidRDefault="002A2730" w:rsidP="002A2730">
      <w:pPr>
        <w:pStyle w:val="ListBullet2"/>
        <w:rPr>
          <w:color w:val="auto"/>
        </w:rPr>
      </w:pPr>
      <w:r w:rsidRPr="002A2730">
        <w:rPr>
          <w:color w:val="auto"/>
        </w:rPr>
        <w:t xml:space="preserve">Study </w:t>
      </w:r>
      <w:r w:rsidR="007835B7">
        <w:rPr>
          <w:color w:val="auto"/>
        </w:rPr>
        <w:t xml:space="preserve">ACT (with </w:t>
      </w:r>
      <w:r w:rsidRPr="002A2730">
        <w:rPr>
          <w:color w:val="auto"/>
        </w:rPr>
        <w:t>AVT02 HF validation autoinjector</w:t>
      </w:r>
      <w:r w:rsidR="007835B7">
        <w:rPr>
          <w:color w:val="auto"/>
        </w:rPr>
        <w:t>): This</w:t>
      </w:r>
      <w:r w:rsidRPr="002A2730">
        <w:rPr>
          <w:color w:val="auto"/>
        </w:rPr>
        <w:t xml:space="preserve"> </w:t>
      </w:r>
      <w:r w:rsidR="007835B7">
        <w:rPr>
          <w:color w:val="auto"/>
        </w:rPr>
        <w:t>s</w:t>
      </w:r>
      <w:r w:rsidRPr="002A2730">
        <w:rPr>
          <w:color w:val="auto"/>
        </w:rPr>
        <w:t>tudy explores the usability of the autoinjector device by the intended users was also provided</w:t>
      </w:r>
      <w:r>
        <w:rPr>
          <w:color w:val="auto"/>
        </w:rPr>
        <w:t>.</w:t>
      </w:r>
    </w:p>
    <w:p w14:paraId="532F18E8" w14:textId="77777777" w:rsidR="002A2730" w:rsidRPr="00901283" w:rsidRDefault="002A2730" w:rsidP="002A2730">
      <w:pPr>
        <w:pStyle w:val="Heading4"/>
        <w:rPr>
          <w:rFonts w:eastAsia="Times New Roman"/>
          <w:i/>
          <w:color w:val="7295D2" w:themeColor="accent1" w:themeTint="BF"/>
        </w:rPr>
      </w:pPr>
      <w:bookmarkStart w:id="46" w:name="_Toc133478216"/>
      <w:r w:rsidRPr="00AA53F4">
        <w:t>Pharmacology</w:t>
      </w:r>
      <w:bookmarkEnd w:id="46"/>
    </w:p>
    <w:p w14:paraId="50DB70CB" w14:textId="171FFFCA" w:rsidR="002A2730" w:rsidRDefault="002A2730" w:rsidP="002A2730">
      <w:pPr>
        <w:pStyle w:val="Heading5"/>
      </w:pPr>
      <w:r w:rsidRPr="00AA53F4">
        <w:t>Pharmacokinetics</w:t>
      </w:r>
    </w:p>
    <w:p w14:paraId="0D8306E6" w14:textId="2A42C6D0" w:rsidR="002A2730" w:rsidRDefault="002A2730" w:rsidP="002A2730">
      <w:pPr>
        <w:rPr>
          <w:lang w:eastAsia="ja-JP"/>
        </w:rPr>
      </w:pPr>
      <w:r>
        <w:rPr>
          <w:lang w:eastAsia="ja-JP"/>
        </w:rPr>
        <w:t xml:space="preserve">In </w:t>
      </w:r>
      <w:r w:rsidR="009E257C">
        <w:rPr>
          <w:lang w:eastAsia="ja-JP"/>
        </w:rPr>
        <w:t>S</w:t>
      </w:r>
      <w:r>
        <w:rPr>
          <w:lang w:eastAsia="ja-JP"/>
        </w:rPr>
        <w:t>tudy AVT02-GL-101</w:t>
      </w:r>
      <w:r w:rsidR="007835B7">
        <w:rPr>
          <w:lang w:eastAsia="ja-JP"/>
        </w:rPr>
        <w:t xml:space="preserve">, the </w:t>
      </w:r>
      <w:r>
        <w:rPr>
          <w:lang w:eastAsia="ja-JP"/>
        </w:rPr>
        <w:t xml:space="preserve">systemic absorption of adalimumab following a single 40 mg </w:t>
      </w:r>
      <w:r w:rsidR="009E257C">
        <w:rPr>
          <w:lang w:eastAsia="ja-JP"/>
        </w:rPr>
        <w:t xml:space="preserve">subcutaneous </w:t>
      </w:r>
      <w:r>
        <w:rPr>
          <w:lang w:eastAsia="ja-JP"/>
        </w:rPr>
        <w:t xml:space="preserve">dose in healthy volunteers was slow with median </w:t>
      </w:r>
      <w:r w:rsidR="009E257C">
        <w:rPr>
          <w:lang w:eastAsia="ja-JP"/>
        </w:rPr>
        <w:t>time to reach maximum concentration (</w:t>
      </w:r>
      <w:proofErr w:type="spellStart"/>
      <w:r>
        <w:rPr>
          <w:lang w:eastAsia="ja-JP"/>
        </w:rPr>
        <w:t>T</w:t>
      </w:r>
      <w:r w:rsidRPr="00206923">
        <w:rPr>
          <w:vertAlign w:val="subscript"/>
          <w:lang w:eastAsia="ja-JP"/>
        </w:rPr>
        <w:t>max</w:t>
      </w:r>
      <w:proofErr w:type="spellEnd"/>
      <w:r w:rsidR="009E257C">
        <w:rPr>
          <w:lang w:eastAsia="ja-JP"/>
        </w:rPr>
        <w:t xml:space="preserve">) </w:t>
      </w:r>
      <w:r>
        <w:rPr>
          <w:lang w:eastAsia="ja-JP"/>
        </w:rPr>
        <w:t xml:space="preserve">of 192 hours in the </w:t>
      </w:r>
      <w:bookmarkStart w:id="47" w:name="_Hlk130986347"/>
      <w:proofErr w:type="spellStart"/>
      <w:r w:rsidR="009E257C" w:rsidRPr="00272BC1">
        <w:t>A</w:t>
      </w:r>
      <w:r w:rsidR="009E257C">
        <w:t>rdalicip</w:t>
      </w:r>
      <w:proofErr w:type="spellEnd"/>
      <w:r w:rsidR="009E257C">
        <w:t>/</w:t>
      </w:r>
      <w:proofErr w:type="spellStart"/>
      <w:r w:rsidR="009E257C">
        <w:t>Ciptunec</w:t>
      </w:r>
      <w:proofErr w:type="spellEnd"/>
      <w:r>
        <w:rPr>
          <w:lang w:eastAsia="ja-JP"/>
        </w:rPr>
        <w:t xml:space="preserve"> </w:t>
      </w:r>
      <w:bookmarkEnd w:id="47"/>
      <w:r>
        <w:rPr>
          <w:lang w:eastAsia="ja-JP"/>
        </w:rPr>
        <w:t>and US-</w:t>
      </w:r>
      <w:r w:rsidR="007835B7">
        <w:rPr>
          <w:lang w:eastAsia="ja-JP"/>
        </w:rPr>
        <w:t xml:space="preserve">sourced </w:t>
      </w:r>
      <w:r>
        <w:rPr>
          <w:lang w:eastAsia="ja-JP"/>
        </w:rPr>
        <w:t>Humira groups and 168</w:t>
      </w:r>
      <w:r w:rsidR="009E257C">
        <w:rPr>
          <w:lang w:eastAsia="ja-JP"/>
        </w:rPr>
        <w:t> </w:t>
      </w:r>
      <w:r>
        <w:rPr>
          <w:lang w:eastAsia="ja-JP"/>
        </w:rPr>
        <w:t xml:space="preserve">hours in the EU-Humira group. The geometric </w:t>
      </w:r>
      <w:r w:rsidR="009E257C">
        <w:rPr>
          <w:lang w:eastAsia="ja-JP"/>
        </w:rPr>
        <w:t>c</w:t>
      </w:r>
      <w:r w:rsidR="009E257C" w:rsidRPr="009E257C">
        <w:rPr>
          <w:lang w:eastAsia="ja-JP"/>
        </w:rPr>
        <w:t>oefficient of variation</w:t>
      </w:r>
      <w:r w:rsidR="009E257C">
        <w:rPr>
          <w:lang w:eastAsia="ja-JP"/>
        </w:rPr>
        <w:t xml:space="preserve"> (</w:t>
      </w:r>
      <w:r>
        <w:rPr>
          <w:lang w:eastAsia="ja-JP"/>
        </w:rPr>
        <w:t>CV</w:t>
      </w:r>
      <w:r w:rsidR="009E257C">
        <w:rPr>
          <w:lang w:eastAsia="ja-JP"/>
        </w:rPr>
        <w:t>)</w:t>
      </w:r>
      <w:r>
        <w:rPr>
          <w:lang w:eastAsia="ja-JP"/>
        </w:rPr>
        <w:t xml:space="preserve">% for </w:t>
      </w:r>
      <w:proofErr w:type="spellStart"/>
      <w:r>
        <w:rPr>
          <w:lang w:eastAsia="ja-JP"/>
        </w:rPr>
        <w:t>T</w:t>
      </w:r>
      <w:r w:rsidRPr="00206923">
        <w:rPr>
          <w:vertAlign w:val="subscript"/>
          <w:lang w:eastAsia="ja-JP"/>
        </w:rPr>
        <w:t>max</w:t>
      </w:r>
      <w:proofErr w:type="spellEnd"/>
      <w:r>
        <w:rPr>
          <w:lang w:eastAsia="ja-JP"/>
        </w:rPr>
        <w:t xml:space="preserve"> was moderate at 45</w:t>
      </w:r>
      <w:r w:rsidR="009E257C">
        <w:rPr>
          <w:lang w:eastAsia="ja-JP"/>
        </w:rPr>
        <w:t xml:space="preserve"> to </w:t>
      </w:r>
      <w:r>
        <w:rPr>
          <w:lang w:eastAsia="ja-JP"/>
        </w:rPr>
        <w:t xml:space="preserve">48%. The 90% </w:t>
      </w:r>
      <w:r w:rsidR="009E257C">
        <w:rPr>
          <w:lang w:eastAsia="ja-JP"/>
        </w:rPr>
        <w:t>confidence interval (</w:t>
      </w:r>
      <w:r>
        <w:rPr>
          <w:lang w:eastAsia="ja-JP"/>
        </w:rPr>
        <w:t>CI</w:t>
      </w:r>
      <w:r w:rsidR="009E257C">
        <w:rPr>
          <w:lang w:eastAsia="ja-JP"/>
        </w:rPr>
        <w:t>)</w:t>
      </w:r>
      <w:r>
        <w:rPr>
          <w:lang w:eastAsia="ja-JP"/>
        </w:rPr>
        <w:t xml:space="preserve"> for the geometric mean values for the three primary </w:t>
      </w:r>
      <w:r w:rsidR="009E257C">
        <w:rPr>
          <w:lang w:eastAsia="ja-JP"/>
        </w:rPr>
        <w:t xml:space="preserve">pharmacokinetic </w:t>
      </w:r>
      <w:r>
        <w:rPr>
          <w:lang w:eastAsia="ja-JP"/>
        </w:rPr>
        <w:t xml:space="preserve">endpoints </w:t>
      </w:r>
      <w:r w:rsidR="009E257C">
        <w:rPr>
          <w:lang w:eastAsia="ja-JP"/>
        </w:rPr>
        <w:t>maximum concentration (</w:t>
      </w:r>
      <w:proofErr w:type="spellStart"/>
      <w:r>
        <w:rPr>
          <w:lang w:eastAsia="ja-JP"/>
        </w:rPr>
        <w:t>C</w:t>
      </w:r>
      <w:r w:rsidRPr="00206923">
        <w:rPr>
          <w:vertAlign w:val="subscript"/>
          <w:lang w:eastAsia="ja-JP"/>
        </w:rPr>
        <w:t>max</w:t>
      </w:r>
      <w:proofErr w:type="spellEnd"/>
      <w:r w:rsidR="009E257C">
        <w:rPr>
          <w:lang w:eastAsia="ja-JP"/>
        </w:rPr>
        <w:t xml:space="preserve">), area under </w:t>
      </w:r>
      <w:r w:rsidR="007835B7">
        <w:rPr>
          <w:lang w:eastAsia="ja-JP"/>
        </w:rPr>
        <w:t xml:space="preserve">the </w:t>
      </w:r>
      <w:r w:rsidR="009E257C">
        <w:rPr>
          <w:lang w:eastAsia="ja-JP"/>
        </w:rPr>
        <w:t xml:space="preserve">concentration time curve from time zero to </w:t>
      </w:r>
      <w:r w:rsidR="009E257C" w:rsidRPr="009E257C">
        <w:rPr>
          <w:lang w:eastAsia="ja-JP"/>
        </w:rPr>
        <w:t xml:space="preserve">last measurable concentration </w:t>
      </w:r>
      <w:r w:rsidR="009E257C">
        <w:rPr>
          <w:lang w:eastAsia="ja-JP"/>
        </w:rPr>
        <w:t>(</w:t>
      </w:r>
      <w:r>
        <w:rPr>
          <w:lang w:eastAsia="ja-JP"/>
        </w:rPr>
        <w:t>AUC</w:t>
      </w:r>
      <w:r w:rsidRPr="00FD3811">
        <w:rPr>
          <w:vertAlign w:val="subscript"/>
          <w:lang w:eastAsia="ja-JP"/>
        </w:rPr>
        <w:t>0-t</w:t>
      </w:r>
      <w:r w:rsidR="009E257C">
        <w:rPr>
          <w:lang w:eastAsia="ja-JP"/>
        </w:rPr>
        <w:t xml:space="preserve">) </w:t>
      </w:r>
      <w:r>
        <w:rPr>
          <w:lang w:eastAsia="ja-JP"/>
        </w:rPr>
        <w:t xml:space="preserve">and </w:t>
      </w:r>
      <w:r w:rsidR="009E257C">
        <w:rPr>
          <w:lang w:eastAsia="ja-JP"/>
        </w:rPr>
        <w:t xml:space="preserve">area under </w:t>
      </w:r>
      <w:r w:rsidR="007835B7">
        <w:rPr>
          <w:lang w:eastAsia="ja-JP"/>
        </w:rPr>
        <w:t xml:space="preserve">the </w:t>
      </w:r>
      <w:r w:rsidR="009E257C">
        <w:rPr>
          <w:lang w:eastAsia="ja-JP"/>
        </w:rPr>
        <w:t>concentration</w:t>
      </w:r>
      <w:r w:rsidR="007835B7">
        <w:rPr>
          <w:lang w:eastAsia="ja-JP"/>
        </w:rPr>
        <w:t>-</w:t>
      </w:r>
      <w:r w:rsidR="009E257C">
        <w:rPr>
          <w:lang w:eastAsia="ja-JP"/>
        </w:rPr>
        <w:t>time curve from time zero to infinity (</w:t>
      </w:r>
      <w:r>
        <w:rPr>
          <w:lang w:eastAsia="ja-JP"/>
        </w:rPr>
        <w:t>AUC</w:t>
      </w:r>
      <w:r w:rsidRPr="00FD3811">
        <w:rPr>
          <w:vertAlign w:val="subscript"/>
          <w:lang w:eastAsia="ja-JP"/>
        </w:rPr>
        <w:t>0-inf</w:t>
      </w:r>
      <w:r w:rsidR="009E257C">
        <w:rPr>
          <w:lang w:eastAsia="ja-JP"/>
        </w:rPr>
        <w:t>),</w:t>
      </w:r>
      <w:r>
        <w:rPr>
          <w:lang w:eastAsia="ja-JP"/>
        </w:rPr>
        <w:t xml:space="preserve"> were contained within </w:t>
      </w:r>
      <w:r>
        <w:rPr>
          <w:lang w:eastAsia="ja-JP"/>
        </w:rPr>
        <w:lastRenderedPageBreak/>
        <w:t xml:space="preserve">the respective bioequivalence margins of 80% to 125% in pairwise comparisons of </w:t>
      </w:r>
      <w:proofErr w:type="spellStart"/>
      <w:r w:rsidR="009E257C" w:rsidRPr="00272BC1">
        <w:t>A</w:t>
      </w:r>
      <w:r w:rsidR="009E257C">
        <w:t>rdalicip</w:t>
      </w:r>
      <w:proofErr w:type="spellEnd"/>
      <w:r w:rsidR="009E257C">
        <w:t>/</w:t>
      </w:r>
      <w:proofErr w:type="spellStart"/>
      <w:r w:rsidR="009E257C">
        <w:t>Ciptunec</w:t>
      </w:r>
      <w:proofErr w:type="spellEnd"/>
      <w:r>
        <w:rPr>
          <w:lang w:eastAsia="ja-JP"/>
        </w:rPr>
        <w:t xml:space="preserve">, EU-Humira and US-Humira. The CV% for serum adalimumab concentrations were moderately large, </w:t>
      </w:r>
      <w:proofErr w:type="gramStart"/>
      <w:r w:rsidR="009E257C">
        <w:rPr>
          <w:lang w:eastAsia="ja-JP"/>
        </w:rPr>
        <w:t>greater</w:t>
      </w:r>
      <w:proofErr w:type="gramEnd"/>
      <w:r w:rsidR="009E257C">
        <w:rPr>
          <w:lang w:eastAsia="ja-JP"/>
        </w:rPr>
        <w:t xml:space="preserve"> or equal to </w:t>
      </w:r>
      <w:r>
        <w:rPr>
          <w:lang w:eastAsia="ja-JP"/>
        </w:rPr>
        <w:t>50% to 48 hours post dose, 30</w:t>
      </w:r>
      <w:r w:rsidR="009E257C">
        <w:rPr>
          <w:lang w:eastAsia="ja-JP"/>
        </w:rPr>
        <w:t xml:space="preserve"> to </w:t>
      </w:r>
      <w:r>
        <w:rPr>
          <w:lang w:eastAsia="ja-JP"/>
        </w:rPr>
        <w:t xml:space="preserve">50% to </w:t>
      </w:r>
      <w:r w:rsidR="009E257C">
        <w:rPr>
          <w:lang w:eastAsia="ja-JP"/>
        </w:rPr>
        <w:t>D</w:t>
      </w:r>
      <w:r>
        <w:rPr>
          <w:lang w:eastAsia="ja-JP"/>
        </w:rPr>
        <w:t xml:space="preserve">ay 22 and </w:t>
      </w:r>
      <w:r w:rsidR="009E257C">
        <w:rPr>
          <w:lang w:eastAsia="ja-JP"/>
        </w:rPr>
        <w:t xml:space="preserve">greater than </w:t>
      </w:r>
      <w:r>
        <w:rPr>
          <w:lang w:eastAsia="ja-JP"/>
        </w:rPr>
        <w:t xml:space="preserve">100% from </w:t>
      </w:r>
      <w:r w:rsidR="009E257C">
        <w:rPr>
          <w:lang w:eastAsia="ja-JP"/>
        </w:rPr>
        <w:t>D</w:t>
      </w:r>
      <w:r>
        <w:rPr>
          <w:lang w:eastAsia="ja-JP"/>
        </w:rPr>
        <w:t>ay 50. The clearance of adalimumab was slow with a geometric mean clearance of 18</w:t>
      </w:r>
      <w:r w:rsidR="009E257C">
        <w:rPr>
          <w:lang w:eastAsia="ja-JP"/>
        </w:rPr>
        <w:t xml:space="preserve"> to </w:t>
      </w:r>
      <w:r>
        <w:rPr>
          <w:lang w:eastAsia="ja-JP"/>
        </w:rPr>
        <w:t>20 mL/h; the terminal half-life ranged from 160 to 174 hours. The results were consistent across the three treatment groups. The CV% for these parameters was similarly high (</w:t>
      </w:r>
      <w:r w:rsidR="009E257C">
        <w:rPr>
          <w:lang w:eastAsia="ja-JP"/>
        </w:rPr>
        <w:t xml:space="preserve">greater than </w:t>
      </w:r>
      <w:r>
        <w:rPr>
          <w:lang w:eastAsia="ja-JP"/>
        </w:rPr>
        <w:t>50%) across all treatment groups.</w:t>
      </w:r>
    </w:p>
    <w:p w14:paraId="76AC4F49" w14:textId="2EAB0E9F" w:rsidR="002A2730" w:rsidRPr="00C87EEB" w:rsidRDefault="002A2730" w:rsidP="002A2730">
      <w:pPr>
        <w:rPr>
          <w:lang w:eastAsia="ja-JP"/>
        </w:rPr>
      </w:pPr>
      <w:r>
        <w:rPr>
          <w:lang w:eastAsia="ja-JP"/>
        </w:rPr>
        <w:t xml:space="preserve">In </w:t>
      </w:r>
      <w:r w:rsidR="009E257C">
        <w:rPr>
          <w:lang w:eastAsia="ja-JP"/>
        </w:rPr>
        <w:t xml:space="preserve">Study </w:t>
      </w:r>
      <w:r>
        <w:rPr>
          <w:lang w:eastAsia="ja-JP"/>
        </w:rPr>
        <w:t xml:space="preserve">AVT02-GL-102, </w:t>
      </w:r>
      <w:r w:rsidR="007835B7">
        <w:rPr>
          <w:lang w:eastAsia="ja-JP"/>
        </w:rPr>
        <w:t xml:space="preserve">the </w:t>
      </w:r>
      <w:r>
        <w:rPr>
          <w:lang w:eastAsia="ja-JP"/>
        </w:rPr>
        <w:t xml:space="preserve">absorption of adalimumab following a 40 mg </w:t>
      </w:r>
      <w:r w:rsidR="009E257C">
        <w:rPr>
          <w:lang w:eastAsia="ja-JP"/>
        </w:rPr>
        <w:t>subcutaneous</w:t>
      </w:r>
      <w:r>
        <w:rPr>
          <w:lang w:eastAsia="ja-JP"/>
        </w:rPr>
        <w:t xml:space="preserve"> dose (using either a prefilled syringe or autoinjector) to healthy volunteers was also slow. The </w:t>
      </w:r>
      <w:proofErr w:type="spellStart"/>
      <w:r>
        <w:rPr>
          <w:lang w:eastAsia="ja-JP"/>
        </w:rPr>
        <w:t>T</w:t>
      </w:r>
      <w:r w:rsidRPr="00206923">
        <w:rPr>
          <w:vertAlign w:val="subscript"/>
          <w:lang w:eastAsia="ja-JP"/>
        </w:rPr>
        <w:t>max</w:t>
      </w:r>
      <w:proofErr w:type="spellEnd"/>
      <w:r>
        <w:rPr>
          <w:lang w:eastAsia="ja-JP"/>
        </w:rPr>
        <w:t xml:space="preserve"> was </w:t>
      </w:r>
      <w:r w:rsidRPr="009E257C">
        <w:t>168</w:t>
      </w:r>
      <w:r w:rsidR="009E257C">
        <w:t> </w:t>
      </w:r>
      <w:r w:rsidRPr="009E257C">
        <w:t>hours</w:t>
      </w:r>
      <w:r>
        <w:rPr>
          <w:lang w:eastAsia="ja-JP"/>
        </w:rPr>
        <w:t xml:space="preserve">. The geometric mean </w:t>
      </w:r>
      <w:r w:rsidR="00F06B80">
        <w:rPr>
          <w:lang w:eastAsia="ja-JP"/>
        </w:rPr>
        <w:t xml:space="preserve">pharmacokinetic </w:t>
      </w:r>
      <w:r>
        <w:rPr>
          <w:lang w:eastAsia="ja-JP"/>
        </w:rPr>
        <w:t xml:space="preserve">parameters for the </w:t>
      </w:r>
      <w:r w:rsidR="00F06B80">
        <w:rPr>
          <w:lang w:eastAsia="ja-JP"/>
        </w:rPr>
        <w:t xml:space="preserve">pre-filled syringe </w:t>
      </w:r>
      <w:r>
        <w:rPr>
          <w:lang w:eastAsia="ja-JP"/>
        </w:rPr>
        <w:t xml:space="preserve">and </w:t>
      </w:r>
      <w:r w:rsidR="00F06B80">
        <w:rPr>
          <w:lang w:eastAsia="ja-JP"/>
        </w:rPr>
        <w:t xml:space="preserve">autoinjector </w:t>
      </w:r>
      <w:r>
        <w:rPr>
          <w:lang w:eastAsia="ja-JP"/>
        </w:rPr>
        <w:t xml:space="preserve">groups were comparable. The 90% CIs for the geometric mean values of </w:t>
      </w:r>
      <w:proofErr w:type="spellStart"/>
      <w:r>
        <w:rPr>
          <w:lang w:eastAsia="ja-JP"/>
        </w:rPr>
        <w:t>C</w:t>
      </w:r>
      <w:r w:rsidRPr="008F0F32">
        <w:rPr>
          <w:vertAlign w:val="subscript"/>
          <w:lang w:eastAsia="ja-JP"/>
        </w:rPr>
        <w:t>max</w:t>
      </w:r>
      <w:proofErr w:type="spellEnd"/>
      <w:r>
        <w:rPr>
          <w:lang w:eastAsia="ja-JP"/>
        </w:rPr>
        <w:t>, AUC</w:t>
      </w:r>
      <w:r w:rsidRPr="00FD3811">
        <w:rPr>
          <w:vertAlign w:val="subscript"/>
          <w:lang w:eastAsia="ja-JP"/>
        </w:rPr>
        <w:t>0-t</w:t>
      </w:r>
      <w:r>
        <w:rPr>
          <w:lang w:eastAsia="ja-JP"/>
        </w:rPr>
        <w:t xml:space="preserve"> and AUC</w:t>
      </w:r>
      <w:r w:rsidRPr="00FD3811">
        <w:rPr>
          <w:vertAlign w:val="subscript"/>
          <w:lang w:eastAsia="ja-JP"/>
        </w:rPr>
        <w:t>0-inf</w:t>
      </w:r>
      <w:r>
        <w:rPr>
          <w:lang w:eastAsia="ja-JP"/>
        </w:rPr>
        <w:t xml:space="preserve"> were contained within the respective bioequivalence margins of 80% to 125% for the three pairwise comparisons. The CV% for serum adalimumab concentrations were moderately large but consistent. S</w:t>
      </w:r>
      <w:r w:rsidRPr="00C87EEB">
        <w:rPr>
          <w:lang w:eastAsia="ja-JP"/>
        </w:rPr>
        <w:t>ystemic exposure (</w:t>
      </w:r>
      <w:proofErr w:type="spellStart"/>
      <w:r w:rsidRPr="00C87EEB">
        <w:rPr>
          <w:lang w:eastAsia="ja-JP"/>
        </w:rPr>
        <w:t>C</w:t>
      </w:r>
      <w:r w:rsidRPr="00C87EEB">
        <w:rPr>
          <w:vertAlign w:val="subscript"/>
          <w:lang w:eastAsia="ja-JP"/>
        </w:rPr>
        <w:t>max</w:t>
      </w:r>
      <w:proofErr w:type="spellEnd"/>
      <w:r w:rsidRPr="00C87EEB">
        <w:rPr>
          <w:lang w:eastAsia="ja-JP"/>
        </w:rPr>
        <w:t xml:space="preserve"> and </w:t>
      </w:r>
      <w:r w:rsidR="00F06B80">
        <w:rPr>
          <w:lang w:eastAsia="ja-JP"/>
        </w:rPr>
        <w:t>area under</w:t>
      </w:r>
      <w:r w:rsidR="007835B7">
        <w:rPr>
          <w:lang w:eastAsia="ja-JP"/>
        </w:rPr>
        <w:t xml:space="preserve"> the</w:t>
      </w:r>
      <w:r w:rsidR="00F06B80">
        <w:rPr>
          <w:lang w:eastAsia="ja-JP"/>
        </w:rPr>
        <w:t xml:space="preserve"> concentration time curve (</w:t>
      </w:r>
      <w:r w:rsidRPr="00C87EEB">
        <w:rPr>
          <w:lang w:eastAsia="ja-JP"/>
        </w:rPr>
        <w:t>AUC</w:t>
      </w:r>
      <w:r w:rsidR="00F06B80">
        <w:rPr>
          <w:lang w:eastAsia="ja-JP"/>
        </w:rPr>
        <w:t>)</w:t>
      </w:r>
      <w:r w:rsidRPr="00C87EEB">
        <w:rPr>
          <w:lang w:eastAsia="ja-JP"/>
        </w:rPr>
        <w:t xml:space="preserve">) </w:t>
      </w:r>
      <w:r>
        <w:rPr>
          <w:lang w:eastAsia="ja-JP"/>
        </w:rPr>
        <w:t xml:space="preserve">was higher in participants </w:t>
      </w:r>
      <w:r w:rsidRPr="00C87EEB">
        <w:rPr>
          <w:lang w:eastAsia="ja-JP"/>
        </w:rPr>
        <w:t>in the lower body weight category (50</w:t>
      </w:r>
      <w:r w:rsidR="00F06B80">
        <w:rPr>
          <w:lang w:eastAsia="ja-JP"/>
        </w:rPr>
        <w:t xml:space="preserve"> to </w:t>
      </w:r>
      <w:r w:rsidRPr="00C87EEB">
        <w:rPr>
          <w:lang w:eastAsia="ja-JP"/>
        </w:rPr>
        <w:t xml:space="preserve">81.9 kg) </w:t>
      </w:r>
      <w:r>
        <w:rPr>
          <w:lang w:eastAsia="ja-JP"/>
        </w:rPr>
        <w:t xml:space="preserve">and </w:t>
      </w:r>
      <w:r w:rsidRPr="00C87EEB">
        <w:rPr>
          <w:lang w:eastAsia="ja-JP"/>
        </w:rPr>
        <w:t xml:space="preserve">decreased with increased weight. Clearance increased with increasing weight group while the </w:t>
      </w:r>
      <w:r w:rsidR="00F06B80">
        <w:rPr>
          <w:lang w:eastAsia="ja-JP"/>
        </w:rPr>
        <w:t xml:space="preserve">half-life </w:t>
      </w:r>
      <w:r w:rsidRPr="00C87EEB">
        <w:rPr>
          <w:lang w:eastAsia="ja-JP"/>
        </w:rPr>
        <w:t>did not show any trend.</w:t>
      </w:r>
      <w:r>
        <w:rPr>
          <w:lang w:eastAsia="ja-JP"/>
        </w:rPr>
        <w:t xml:space="preserve"> This phenomenon has previously been noted with adalimumab.</w:t>
      </w:r>
    </w:p>
    <w:p w14:paraId="4B6AAA64" w14:textId="48721E17" w:rsidR="002A2730" w:rsidRDefault="002A2730" w:rsidP="002A2730">
      <w:pPr>
        <w:rPr>
          <w:lang w:eastAsia="ja-JP"/>
        </w:rPr>
      </w:pPr>
      <w:r w:rsidRPr="00D11E8B">
        <w:rPr>
          <w:lang w:eastAsia="ja-JP"/>
        </w:rPr>
        <w:t xml:space="preserve">In </w:t>
      </w:r>
      <w:r w:rsidR="00F06B80">
        <w:rPr>
          <w:lang w:eastAsia="ja-JP"/>
        </w:rPr>
        <w:t xml:space="preserve">Study </w:t>
      </w:r>
      <w:r w:rsidRPr="00D11E8B">
        <w:rPr>
          <w:lang w:eastAsia="ja-JP"/>
        </w:rPr>
        <w:t>AVT02-GL-301</w:t>
      </w:r>
      <w:r>
        <w:rPr>
          <w:lang w:eastAsia="ja-JP"/>
        </w:rPr>
        <w:t>,</w:t>
      </w:r>
      <w:r w:rsidRPr="00D11E8B">
        <w:rPr>
          <w:lang w:eastAsia="ja-JP"/>
        </w:rPr>
        <w:t xml:space="preserve"> </w:t>
      </w:r>
      <w:r>
        <w:rPr>
          <w:lang w:eastAsia="ja-JP"/>
        </w:rPr>
        <w:t>a</w:t>
      </w:r>
      <w:r w:rsidRPr="00D11E8B">
        <w:rPr>
          <w:lang w:eastAsia="ja-JP"/>
        </w:rPr>
        <w:t xml:space="preserve"> </w:t>
      </w:r>
      <w:r w:rsidR="00F06B80">
        <w:rPr>
          <w:lang w:eastAsia="ja-JP"/>
        </w:rPr>
        <w:t>P</w:t>
      </w:r>
      <w:r w:rsidRPr="00D11E8B">
        <w:rPr>
          <w:lang w:eastAsia="ja-JP"/>
        </w:rPr>
        <w:t xml:space="preserve">hase III, randomised, controlled clinical equivalence study in </w:t>
      </w:r>
      <w:r>
        <w:rPr>
          <w:lang w:eastAsia="ja-JP"/>
        </w:rPr>
        <w:t>adults</w:t>
      </w:r>
      <w:r w:rsidRPr="00D11E8B">
        <w:rPr>
          <w:lang w:eastAsia="ja-JP"/>
        </w:rPr>
        <w:t xml:space="preserve"> with moderate to severe psoriasis, </w:t>
      </w:r>
      <w:r>
        <w:rPr>
          <w:lang w:eastAsia="ja-JP"/>
        </w:rPr>
        <w:t>205 participants</w:t>
      </w:r>
      <w:r w:rsidRPr="00D11E8B">
        <w:rPr>
          <w:lang w:eastAsia="ja-JP"/>
        </w:rPr>
        <w:t xml:space="preserve"> who received </w:t>
      </w:r>
      <w:proofErr w:type="spellStart"/>
      <w:r w:rsidR="00F06B80" w:rsidRPr="00F06B80">
        <w:rPr>
          <w:lang w:eastAsia="ja-JP"/>
        </w:rPr>
        <w:t>Ardalicip</w:t>
      </w:r>
      <w:proofErr w:type="spellEnd"/>
      <w:r w:rsidR="00F06B80" w:rsidRPr="00F06B80">
        <w:rPr>
          <w:lang w:eastAsia="ja-JP"/>
        </w:rPr>
        <w:t>/</w:t>
      </w:r>
      <w:proofErr w:type="spellStart"/>
      <w:r w:rsidR="00F06B80" w:rsidRPr="00F06B80">
        <w:rPr>
          <w:lang w:eastAsia="ja-JP"/>
        </w:rPr>
        <w:t>Ciptunec</w:t>
      </w:r>
      <w:proofErr w:type="spellEnd"/>
      <w:r w:rsidRPr="00D11E8B">
        <w:rPr>
          <w:lang w:eastAsia="ja-JP"/>
        </w:rPr>
        <w:t xml:space="preserve"> and 207</w:t>
      </w:r>
      <w:r w:rsidR="00F06B80">
        <w:rPr>
          <w:lang w:eastAsia="ja-JP"/>
        </w:rPr>
        <w:t> </w:t>
      </w:r>
      <w:r>
        <w:rPr>
          <w:lang w:eastAsia="ja-JP"/>
        </w:rPr>
        <w:t>participants who received EU-</w:t>
      </w:r>
      <w:r w:rsidR="007835B7">
        <w:rPr>
          <w:lang w:eastAsia="ja-JP"/>
        </w:rPr>
        <w:t xml:space="preserve">sourced </w:t>
      </w:r>
      <w:r w:rsidRPr="00D11E8B">
        <w:rPr>
          <w:lang w:eastAsia="ja-JP"/>
        </w:rPr>
        <w:t xml:space="preserve">Humira </w:t>
      </w:r>
      <w:r>
        <w:rPr>
          <w:lang w:eastAsia="ja-JP"/>
        </w:rPr>
        <w:t xml:space="preserve">contributed </w:t>
      </w:r>
      <w:r w:rsidR="00F06B80">
        <w:rPr>
          <w:lang w:eastAsia="ja-JP"/>
        </w:rPr>
        <w:t xml:space="preserve">pharmacokinetic </w:t>
      </w:r>
      <w:r>
        <w:rPr>
          <w:lang w:eastAsia="ja-JP"/>
        </w:rPr>
        <w:t>data. Trough concentrations (</w:t>
      </w:r>
      <w:proofErr w:type="spellStart"/>
      <w:r>
        <w:rPr>
          <w:lang w:eastAsia="ja-JP"/>
        </w:rPr>
        <w:t>C</w:t>
      </w:r>
      <w:r w:rsidRPr="002156B7">
        <w:rPr>
          <w:vertAlign w:val="subscript"/>
          <w:lang w:eastAsia="ja-JP"/>
        </w:rPr>
        <w:t>trough</w:t>
      </w:r>
      <w:proofErr w:type="spellEnd"/>
      <w:r>
        <w:rPr>
          <w:lang w:eastAsia="ja-JP"/>
        </w:rPr>
        <w:t xml:space="preserve">) of adalimumab in serum were determined using the same validated assay as in </w:t>
      </w:r>
      <w:r w:rsidR="00F06B80">
        <w:rPr>
          <w:lang w:eastAsia="ja-JP"/>
        </w:rPr>
        <w:t>S</w:t>
      </w:r>
      <w:r>
        <w:rPr>
          <w:lang w:eastAsia="ja-JP"/>
        </w:rPr>
        <w:t xml:space="preserve">tudy AVT02-GL-101. Mean </w:t>
      </w:r>
      <w:proofErr w:type="spellStart"/>
      <w:r>
        <w:rPr>
          <w:lang w:eastAsia="ja-JP"/>
        </w:rPr>
        <w:t>C</w:t>
      </w:r>
      <w:r w:rsidRPr="002156B7">
        <w:rPr>
          <w:vertAlign w:val="subscript"/>
          <w:lang w:eastAsia="ja-JP"/>
        </w:rPr>
        <w:t>trough</w:t>
      </w:r>
      <w:proofErr w:type="spellEnd"/>
      <w:r>
        <w:rPr>
          <w:lang w:eastAsia="ja-JP"/>
        </w:rPr>
        <w:t xml:space="preserve"> were slightly higher in the </w:t>
      </w:r>
      <w:proofErr w:type="spellStart"/>
      <w:r w:rsidR="00F06B80" w:rsidRPr="00272BC1">
        <w:t>A</w:t>
      </w:r>
      <w:r w:rsidR="00F06B80">
        <w:t>rdalicip</w:t>
      </w:r>
      <w:proofErr w:type="spellEnd"/>
      <w:r w:rsidR="00F06B80">
        <w:t>/</w:t>
      </w:r>
      <w:proofErr w:type="spellStart"/>
      <w:r w:rsidR="00F06B80">
        <w:t>Ciptunec</w:t>
      </w:r>
      <w:proofErr w:type="spellEnd"/>
      <w:r>
        <w:rPr>
          <w:lang w:eastAsia="ja-JP"/>
        </w:rPr>
        <w:t xml:space="preserve"> than the EU-</w:t>
      </w:r>
      <w:r w:rsidR="007835B7">
        <w:rPr>
          <w:lang w:eastAsia="ja-JP"/>
        </w:rPr>
        <w:t xml:space="preserve">sourced </w:t>
      </w:r>
      <w:r>
        <w:rPr>
          <w:lang w:eastAsia="ja-JP"/>
        </w:rPr>
        <w:t>Humira groups throughout the study. The difference was not statistically tested.</w:t>
      </w:r>
    </w:p>
    <w:p w14:paraId="5617965E" w14:textId="507199E2" w:rsidR="002A2730" w:rsidRDefault="002A2730" w:rsidP="002A2730">
      <w:pPr>
        <w:rPr>
          <w:lang w:eastAsia="ja-JP"/>
        </w:rPr>
      </w:pPr>
      <w:r>
        <w:rPr>
          <w:lang w:eastAsia="ja-JP"/>
        </w:rPr>
        <w:t xml:space="preserve">Anti-drug antibody positivity and neutralising antibody positivity was very common and comparable in all studies using </w:t>
      </w:r>
      <w:proofErr w:type="spellStart"/>
      <w:r w:rsidR="00F06B80" w:rsidRPr="00272BC1">
        <w:t>A</w:t>
      </w:r>
      <w:r w:rsidR="00F06B80">
        <w:t>rdalicip</w:t>
      </w:r>
      <w:proofErr w:type="spellEnd"/>
      <w:r w:rsidR="00F06B80">
        <w:t>/</w:t>
      </w:r>
      <w:proofErr w:type="spellStart"/>
      <w:r w:rsidR="00F06B80">
        <w:t>Ciptunec</w:t>
      </w:r>
      <w:proofErr w:type="spellEnd"/>
      <w:r>
        <w:rPr>
          <w:lang w:eastAsia="ja-JP"/>
        </w:rPr>
        <w:t xml:space="preserve">, EU-Humira and US-Humira. In all </w:t>
      </w:r>
      <w:r w:rsidRPr="00035CE8">
        <w:rPr>
          <w:lang w:eastAsia="ja-JP"/>
        </w:rPr>
        <w:t xml:space="preserve">the three groups </w:t>
      </w:r>
      <w:r w:rsidR="002767C2">
        <w:rPr>
          <w:lang w:eastAsia="ja-JP"/>
        </w:rPr>
        <w:t xml:space="preserve">anti-drug antibody </w:t>
      </w:r>
      <w:r w:rsidRPr="00035CE8">
        <w:rPr>
          <w:lang w:eastAsia="ja-JP"/>
        </w:rPr>
        <w:t xml:space="preserve">positivity was </w:t>
      </w:r>
      <w:r w:rsidR="002767C2">
        <w:rPr>
          <w:lang w:eastAsia="ja-JP"/>
        </w:rPr>
        <w:t xml:space="preserve">greater than </w:t>
      </w:r>
      <w:r w:rsidRPr="00035CE8">
        <w:rPr>
          <w:lang w:eastAsia="ja-JP"/>
        </w:rPr>
        <w:t>9</w:t>
      </w:r>
      <w:r>
        <w:rPr>
          <w:lang w:eastAsia="ja-JP"/>
        </w:rPr>
        <w:t>0</w:t>
      </w:r>
      <w:r w:rsidRPr="00035CE8">
        <w:rPr>
          <w:lang w:eastAsia="ja-JP"/>
        </w:rPr>
        <w:t xml:space="preserve">% and </w:t>
      </w:r>
      <w:r w:rsidR="002767C2">
        <w:rPr>
          <w:lang w:eastAsia="ja-JP"/>
        </w:rPr>
        <w:t>neutralising antibody</w:t>
      </w:r>
      <w:r w:rsidRPr="00035CE8">
        <w:rPr>
          <w:lang w:eastAsia="ja-JP"/>
        </w:rPr>
        <w:t xml:space="preserve"> positivity was </w:t>
      </w:r>
      <w:r w:rsidR="002767C2">
        <w:rPr>
          <w:lang w:eastAsia="ja-JP"/>
        </w:rPr>
        <w:t xml:space="preserve">greater than </w:t>
      </w:r>
      <w:r w:rsidRPr="00035CE8">
        <w:rPr>
          <w:lang w:eastAsia="ja-JP"/>
        </w:rPr>
        <w:t>80%.</w:t>
      </w:r>
    </w:p>
    <w:p w14:paraId="61F07E65" w14:textId="77777777" w:rsidR="002A2730" w:rsidRPr="002767C2" w:rsidRDefault="002A2730" w:rsidP="002767C2">
      <w:pPr>
        <w:pStyle w:val="Heading4"/>
      </w:pPr>
      <w:bookmarkStart w:id="48" w:name="_Toc133478217"/>
      <w:r w:rsidRPr="002767C2">
        <w:t>Efficacy</w:t>
      </w:r>
      <w:bookmarkEnd w:id="48"/>
    </w:p>
    <w:p w14:paraId="13462E0A" w14:textId="5ED1D49B" w:rsidR="007835B7" w:rsidRDefault="002A2730" w:rsidP="002767C2">
      <w:pPr>
        <w:rPr>
          <w:lang w:eastAsia="ja-JP"/>
        </w:rPr>
      </w:pPr>
      <w:r w:rsidRPr="00A169BA">
        <w:rPr>
          <w:lang w:eastAsia="ja-JP"/>
        </w:rPr>
        <w:t xml:space="preserve">There was one </w:t>
      </w:r>
      <w:r w:rsidR="002767C2">
        <w:rPr>
          <w:lang w:eastAsia="ja-JP"/>
        </w:rPr>
        <w:t>P</w:t>
      </w:r>
      <w:r>
        <w:rPr>
          <w:lang w:eastAsia="ja-JP"/>
        </w:rPr>
        <w:t xml:space="preserve">hase </w:t>
      </w:r>
      <w:r w:rsidR="002767C2">
        <w:rPr>
          <w:lang w:eastAsia="ja-JP"/>
        </w:rPr>
        <w:t>III</w:t>
      </w:r>
      <w:r>
        <w:rPr>
          <w:lang w:eastAsia="ja-JP"/>
        </w:rPr>
        <w:t xml:space="preserve"> </w:t>
      </w:r>
      <w:r w:rsidRPr="00A169BA">
        <w:rPr>
          <w:lang w:eastAsia="ja-JP"/>
        </w:rPr>
        <w:t>clinical efficacy</w:t>
      </w:r>
      <w:r>
        <w:rPr>
          <w:lang w:eastAsia="ja-JP"/>
        </w:rPr>
        <w:t xml:space="preserve"> </w:t>
      </w:r>
      <w:r w:rsidRPr="00A169BA">
        <w:rPr>
          <w:lang w:eastAsia="ja-JP"/>
        </w:rPr>
        <w:t>study</w:t>
      </w:r>
      <w:r>
        <w:rPr>
          <w:lang w:eastAsia="ja-JP"/>
        </w:rPr>
        <w:t xml:space="preserve"> </w:t>
      </w:r>
      <w:r w:rsidR="007835B7">
        <w:rPr>
          <w:lang w:eastAsia="ja-JP"/>
        </w:rPr>
        <w:t>(</w:t>
      </w:r>
      <w:r w:rsidR="007835B7" w:rsidRPr="002767C2">
        <w:t>Study</w:t>
      </w:r>
      <w:r w:rsidR="007835B7">
        <w:t> </w:t>
      </w:r>
      <w:r w:rsidR="007835B7" w:rsidRPr="002767C2">
        <w:t>AVT02</w:t>
      </w:r>
      <w:r w:rsidR="007835B7">
        <w:rPr>
          <w:lang w:eastAsia="ja-JP"/>
        </w:rPr>
        <w:noBreakHyphen/>
        <w:t xml:space="preserve">GL-301) </w:t>
      </w:r>
      <w:r>
        <w:rPr>
          <w:lang w:eastAsia="ja-JP"/>
        </w:rPr>
        <w:t xml:space="preserve">conducted </w:t>
      </w:r>
      <w:r w:rsidRPr="00A169BA">
        <w:t>in patients with chronic psoriasis</w:t>
      </w:r>
      <w:r>
        <w:t xml:space="preserve">, which assessed the therapeutic equivalence of </w:t>
      </w:r>
      <w:proofErr w:type="spellStart"/>
      <w:r w:rsidR="002767C2" w:rsidRPr="00272BC1">
        <w:t>A</w:t>
      </w:r>
      <w:r w:rsidR="002767C2">
        <w:t>rdalicip</w:t>
      </w:r>
      <w:proofErr w:type="spellEnd"/>
      <w:r w:rsidR="002767C2">
        <w:t>/</w:t>
      </w:r>
      <w:proofErr w:type="spellStart"/>
      <w:r w:rsidR="002767C2">
        <w:t>Ciptunec</w:t>
      </w:r>
      <w:proofErr w:type="spellEnd"/>
      <w:r>
        <w:t xml:space="preserve"> to EU</w:t>
      </w:r>
      <w:r w:rsidR="007835B7">
        <w:noBreakHyphen/>
        <w:t xml:space="preserve">sourced </w:t>
      </w:r>
      <w:r>
        <w:t>Humira</w:t>
      </w:r>
      <w:r w:rsidRPr="00A169BA">
        <w:t>.</w:t>
      </w:r>
    </w:p>
    <w:p w14:paraId="622DD842" w14:textId="32D61D3E" w:rsidR="002A2730" w:rsidRDefault="002767C2" w:rsidP="002767C2">
      <w:pPr>
        <w:rPr>
          <w:lang w:eastAsia="ja-JP"/>
        </w:rPr>
      </w:pPr>
      <w:r w:rsidRPr="002767C2">
        <w:t>Study</w:t>
      </w:r>
      <w:r>
        <w:t> </w:t>
      </w:r>
      <w:r w:rsidR="002A2730" w:rsidRPr="002767C2">
        <w:t>AVT02</w:t>
      </w:r>
      <w:r>
        <w:rPr>
          <w:lang w:eastAsia="ja-JP"/>
        </w:rPr>
        <w:noBreakHyphen/>
      </w:r>
      <w:r w:rsidR="002A2730">
        <w:rPr>
          <w:lang w:eastAsia="ja-JP"/>
        </w:rPr>
        <w:t>GL-301 was a multicentre, double</w:t>
      </w:r>
      <w:r>
        <w:rPr>
          <w:lang w:eastAsia="ja-JP"/>
        </w:rPr>
        <w:t xml:space="preserve"> </w:t>
      </w:r>
      <w:r w:rsidR="002A2730">
        <w:rPr>
          <w:lang w:eastAsia="ja-JP"/>
        </w:rPr>
        <w:t>blind, randomised, parallel</w:t>
      </w:r>
      <w:r>
        <w:rPr>
          <w:lang w:eastAsia="ja-JP"/>
        </w:rPr>
        <w:t xml:space="preserve"> </w:t>
      </w:r>
      <w:r w:rsidR="002A2730">
        <w:rPr>
          <w:lang w:eastAsia="ja-JP"/>
        </w:rPr>
        <w:t>group, active control study comparing the efficacy, safety, and immunogenicity in patients with moderate to severe plaque psoriasis.</w:t>
      </w:r>
    </w:p>
    <w:p w14:paraId="13CE4794" w14:textId="29B2C661" w:rsidR="002A2730" w:rsidRDefault="002A2730" w:rsidP="002767C2">
      <w:pPr>
        <w:rPr>
          <w:lang w:eastAsia="ja-JP"/>
        </w:rPr>
      </w:pPr>
      <w:r>
        <w:rPr>
          <w:lang w:eastAsia="ja-JP"/>
        </w:rPr>
        <w:t>The primary objective was to compare the Psoriasis Area and Severity Index (PASI)</w:t>
      </w:r>
      <w:r w:rsidR="002767C2">
        <w:rPr>
          <w:lang w:eastAsia="ja-JP"/>
        </w:rPr>
        <w:t>;</w:t>
      </w:r>
      <w:r w:rsidR="002767C2">
        <w:rPr>
          <w:rStyle w:val="FootnoteReference"/>
          <w:lang w:eastAsia="ja-JP"/>
        </w:rPr>
        <w:footnoteReference w:id="16"/>
      </w:r>
      <w:r>
        <w:rPr>
          <w:lang w:eastAsia="ja-JP"/>
        </w:rPr>
        <w:t xml:space="preserve"> response to </w:t>
      </w:r>
      <w:proofErr w:type="spellStart"/>
      <w:r w:rsidR="002767C2" w:rsidRPr="00272BC1">
        <w:t>A</w:t>
      </w:r>
      <w:r w:rsidR="002767C2">
        <w:t>rdalicip</w:t>
      </w:r>
      <w:proofErr w:type="spellEnd"/>
      <w:r w:rsidR="002767C2">
        <w:t>/</w:t>
      </w:r>
      <w:proofErr w:type="spellStart"/>
      <w:r w:rsidR="002767C2">
        <w:t>Ciptunec</w:t>
      </w:r>
      <w:proofErr w:type="spellEnd"/>
      <w:r>
        <w:rPr>
          <w:lang w:eastAsia="ja-JP"/>
        </w:rPr>
        <w:t xml:space="preserve"> and EU-</w:t>
      </w:r>
      <w:r w:rsidR="00E1498F">
        <w:rPr>
          <w:lang w:eastAsia="ja-JP"/>
        </w:rPr>
        <w:t xml:space="preserve">sourced </w:t>
      </w:r>
      <w:r>
        <w:rPr>
          <w:lang w:eastAsia="ja-JP"/>
        </w:rPr>
        <w:t xml:space="preserve">Humira at </w:t>
      </w:r>
      <w:r w:rsidR="002767C2">
        <w:rPr>
          <w:lang w:eastAsia="ja-JP"/>
        </w:rPr>
        <w:t>W</w:t>
      </w:r>
      <w:r>
        <w:rPr>
          <w:lang w:eastAsia="ja-JP"/>
        </w:rPr>
        <w:t xml:space="preserve">eek 16. Participants with an adequate response at </w:t>
      </w:r>
      <w:r w:rsidR="002767C2">
        <w:rPr>
          <w:lang w:eastAsia="ja-JP"/>
        </w:rPr>
        <w:t>W</w:t>
      </w:r>
      <w:r>
        <w:rPr>
          <w:lang w:eastAsia="ja-JP"/>
        </w:rPr>
        <w:t>eek</w:t>
      </w:r>
      <w:r w:rsidR="002767C2">
        <w:rPr>
          <w:lang w:eastAsia="ja-JP"/>
        </w:rPr>
        <w:t> </w:t>
      </w:r>
      <w:r>
        <w:rPr>
          <w:lang w:eastAsia="ja-JP"/>
        </w:rPr>
        <w:t xml:space="preserve">16 </w:t>
      </w:r>
      <w:proofErr w:type="gramStart"/>
      <w:r>
        <w:rPr>
          <w:lang w:eastAsia="ja-JP"/>
        </w:rPr>
        <w:t>continued on</w:t>
      </w:r>
      <w:proofErr w:type="gramEnd"/>
      <w:r>
        <w:rPr>
          <w:lang w:eastAsia="ja-JP"/>
        </w:rPr>
        <w:t xml:space="preserve"> study for up to 58 weeks.</w:t>
      </w:r>
    </w:p>
    <w:p w14:paraId="6B9CA5F2" w14:textId="77777777" w:rsidR="002A2730" w:rsidRDefault="002A2730" w:rsidP="002767C2">
      <w:pPr>
        <w:rPr>
          <w:lang w:eastAsia="ja-JP"/>
        </w:rPr>
      </w:pPr>
      <w:r>
        <w:rPr>
          <w:lang w:eastAsia="ja-JP"/>
        </w:rPr>
        <w:t xml:space="preserve">The study included adults 18 to 75 years of age with stable, moderate to severe, chronic plaque psoriasis for at least two months who had a previous failure, inadequate response, intolerance, or contraindication to at least one systemic anti-psoriatic therapy. Exclusion criteria were </w:t>
      </w:r>
      <w:r>
        <w:rPr>
          <w:lang w:eastAsia="ja-JP"/>
        </w:rPr>
        <w:lastRenderedPageBreak/>
        <w:t>comprehensive and included prior use of two or more biologics to treat psoriasis; other types of psoriasis or other skin conditions or systemic autoimmune inflammatory disease; topical psoriasis medications within two weeks; phototherapy within four weeks; and other, nonbiologic, systemic therapy for psoriasis within four weeks.</w:t>
      </w:r>
    </w:p>
    <w:p w14:paraId="49A15A87" w14:textId="77777777" w:rsidR="000D6955" w:rsidRDefault="002A2730" w:rsidP="002767C2">
      <w:pPr>
        <w:rPr>
          <w:lang w:eastAsia="ja-JP"/>
        </w:rPr>
      </w:pPr>
      <w:r>
        <w:rPr>
          <w:lang w:eastAsia="ja-JP"/>
        </w:rPr>
        <w:t xml:space="preserve">Participants received a loading dose of 80 mg </w:t>
      </w:r>
      <w:r w:rsidR="002767C2">
        <w:rPr>
          <w:lang w:eastAsia="ja-JP"/>
        </w:rPr>
        <w:t>subcutaneous</w:t>
      </w:r>
      <w:r>
        <w:rPr>
          <w:lang w:eastAsia="ja-JP"/>
        </w:rPr>
        <w:t xml:space="preserve"> (2 x 40</w:t>
      </w:r>
      <w:r w:rsidR="002767C2">
        <w:rPr>
          <w:lang w:eastAsia="ja-JP"/>
        </w:rPr>
        <w:t xml:space="preserve"> </w:t>
      </w:r>
      <w:r>
        <w:rPr>
          <w:lang w:eastAsia="ja-JP"/>
        </w:rPr>
        <w:t xml:space="preserve">mg syringes) of </w:t>
      </w:r>
      <w:proofErr w:type="spellStart"/>
      <w:r w:rsidR="002767C2" w:rsidRPr="00272BC1">
        <w:t>A</w:t>
      </w:r>
      <w:r w:rsidR="002767C2">
        <w:t>rdalicip</w:t>
      </w:r>
      <w:proofErr w:type="spellEnd"/>
      <w:r w:rsidR="002767C2">
        <w:t>/</w:t>
      </w:r>
      <w:proofErr w:type="spellStart"/>
      <w:r w:rsidR="002767C2">
        <w:t>Ciptunec</w:t>
      </w:r>
      <w:proofErr w:type="spellEnd"/>
      <w:r>
        <w:rPr>
          <w:lang w:eastAsia="ja-JP"/>
        </w:rPr>
        <w:t xml:space="preserve"> or EU</w:t>
      </w:r>
      <w:r w:rsidR="002767C2">
        <w:rPr>
          <w:lang w:eastAsia="ja-JP"/>
        </w:rPr>
        <w:t>-</w:t>
      </w:r>
      <w:r w:rsidR="000D6955">
        <w:rPr>
          <w:lang w:eastAsia="ja-JP"/>
        </w:rPr>
        <w:t xml:space="preserve">sourced </w:t>
      </w:r>
      <w:r>
        <w:rPr>
          <w:lang w:eastAsia="ja-JP"/>
        </w:rPr>
        <w:t xml:space="preserve">Humira followed by 40 mg </w:t>
      </w:r>
      <w:r w:rsidR="002767C2">
        <w:rPr>
          <w:lang w:eastAsia="ja-JP"/>
        </w:rPr>
        <w:t>subcutaneous</w:t>
      </w:r>
      <w:r>
        <w:rPr>
          <w:lang w:eastAsia="ja-JP"/>
        </w:rPr>
        <w:t xml:space="preserve"> once every other week, starting one week after the loading dose, until </w:t>
      </w:r>
      <w:r w:rsidR="002767C2">
        <w:rPr>
          <w:lang w:eastAsia="ja-JP"/>
        </w:rPr>
        <w:t>W</w:t>
      </w:r>
      <w:r>
        <w:rPr>
          <w:lang w:eastAsia="ja-JP"/>
        </w:rPr>
        <w:t>eek 14.</w:t>
      </w:r>
    </w:p>
    <w:p w14:paraId="7397230E" w14:textId="5CCFB146" w:rsidR="002A2730" w:rsidRDefault="002A2730" w:rsidP="002767C2">
      <w:pPr>
        <w:rPr>
          <w:lang w:eastAsia="ja-JP"/>
        </w:rPr>
      </w:pPr>
      <w:r>
        <w:rPr>
          <w:lang w:eastAsia="ja-JP"/>
        </w:rPr>
        <w:t xml:space="preserve">At </w:t>
      </w:r>
      <w:r w:rsidR="002767C2">
        <w:rPr>
          <w:lang w:eastAsia="ja-JP"/>
        </w:rPr>
        <w:t>W</w:t>
      </w:r>
      <w:r>
        <w:rPr>
          <w:lang w:eastAsia="ja-JP"/>
        </w:rPr>
        <w:t>eek 16, non-responding participants (less than 50% improvement in PASI) were withdrawn from the study and responding subjects (at least PASI 50) began Stage 2 (long</w:t>
      </w:r>
      <w:r w:rsidR="002767C2">
        <w:rPr>
          <w:lang w:eastAsia="ja-JP"/>
        </w:rPr>
        <w:t xml:space="preserve"> </w:t>
      </w:r>
      <w:r>
        <w:rPr>
          <w:lang w:eastAsia="ja-JP"/>
        </w:rPr>
        <w:t xml:space="preserve">term efficacy and safety assessment) of the active period. For responders entering </w:t>
      </w:r>
      <w:r w:rsidR="002767C2">
        <w:rPr>
          <w:lang w:eastAsia="ja-JP"/>
        </w:rPr>
        <w:t>S</w:t>
      </w:r>
      <w:r>
        <w:rPr>
          <w:lang w:eastAsia="ja-JP"/>
        </w:rPr>
        <w:t xml:space="preserve">tage 2, those on </w:t>
      </w:r>
      <w:proofErr w:type="spellStart"/>
      <w:r w:rsidR="002767C2" w:rsidRPr="00272BC1">
        <w:t>A</w:t>
      </w:r>
      <w:r w:rsidR="002767C2">
        <w:t>rdalicip</w:t>
      </w:r>
      <w:proofErr w:type="spellEnd"/>
      <w:r w:rsidR="002767C2">
        <w:t>/</w:t>
      </w:r>
      <w:proofErr w:type="spellStart"/>
      <w:r w:rsidR="002767C2">
        <w:t>Ciptunec</w:t>
      </w:r>
      <w:proofErr w:type="spellEnd"/>
      <w:r>
        <w:rPr>
          <w:lang w:eastAsia="ja-JP"/>
        </w:rPr>
        <w:t xml:space="preserve"> </w:t>
      </w:r>
      <w:proofErr w:type="gramStart"/>
      <w:r>
        <w:rPr>
          <w:lang w:eastAsia="ja-JP"/>
        </w:rPr>
        <w:t>continued on</w:t>
      </w:r>
      <w:proofErr w:type="gramEnd"/>
      <w:r>
        <w:rPr>
          <w:lang w:eastAsia="ja-JP"/>
        </w:rPr>
        <w:t xml:space="preserve"> </w:t>
      </w:r>
      <w:proofErr w:type="spellStart"/>
      <w:r w:rsidR="002767C2" w:rsidRPr="00272BC1">
        <w:t>A</w:t>
      </w:r>
      <w:r w:rsidR="002767C2">
        <w:t>rdalicip</w:t>
      </w:r>
      <w:proofErr w:type="spellEnd"/>
      <w:r w:rsidR="002767C2">
        <w:t>/</w:t>
      </w:r>
      <w:proofErr w:type="spellStart"/>
      <w:r w:rsidR="002767C2">
        <w:t>Ciptunec</w:t>
      </w:r>
      <w:proofErr w:type="spellEnd"/>
      <w:r>
        <w:rPr>
          <w:lang w:eastAsia="ja-JP"/>
        </w:rPr>
        <w:t xml:space="preserve"> and those on EU-</w:t>
      </w:r>
      <w:r w:rsidR="000D6955">
        <w:rPr>
          <w:lang w:eastAsia="ja-JP"/>
        </w:rPr>
        <w:t xml:space="preserve">sourced </w:t>
      </w:r>
      <w:r>
        <w:rPr>
          <w:lang w:eastAsia="ja-JP"/>
        </w:rPr>
        <w:t>Humira were re</w:t>
      </w:r>
      <w:r w:rsidR="000D6955">
        <w:rPr>
          <w:lang w:eastAsia="ja-JP"/>
        </w:rPr>
        <w:noBreakHyphen/>
      </w:r>
      <w:r>
        <w:rPr>
          <w:lang w:eastAsia="ja-JP"/>
        </w:rPr>
        <w:t xml:space="preserve">randomised to </w:t>
      </w:r>
      <w:r w:rsidR="002767C2">
        <w:rPr>
          <w:lang w:eastAsia="ja-JP"/>
        </w:rPr>
        <w:t>G</w:t>
      </w:r>
      <w:r>
        <w:rPr>
          <w:lang w:eastAsia="ja-JP"/>
        </w:rPr>
        <w:t xml:space="preserve">roup 2A and received </w:t>
      </w:r>
      <w:proofErr w:type="spellStart"/>
      <w:r w:rsidR="002767C2" w:rsidRPr="00272BC1">
        <w:t>A</w:t>
      </w:r>
      <w:r w:rsidR="002767C2">
        <w:t>rdalicip</w:t>
      </w:r>
      <w:proofErr w:type="spellEnd"/>
      <w:r w:rsidR="002767C2">
        <w:t>/</w:t>
      </w:r>
      <w:proofErr w:type="spellStart"/>
      <w:r w:rsidR="002767C2">
        <w:t>Ciptunec</w:t>
      </w:r>
      <w:proofErr w:type="spellEnd"/>
      <w:r>
        <w:rPr>
          <w:lang w:eastAsia="ja-JP"/>
        </w:rPr>
        <w:t xml:space="preserve"> or </w:t>
      </w:r>
      <w:r w:rsidR="002767C2">
        <w:rPr>
          <w:lang w:eastAsia="ja-JP"/>
        </w:rPr>
        <w:t xml:space="preserve">Group </w:t>
      </w:r>
      <w:r>
        <w:rPr>
          <w:lang w:eastAsia="ja-JP"/>
        </w:rPr>
        <w:t>2B</w:t>
      </w:r>
      <w:r w:rsidR="002767C2">
        <w:rPr>
          <w:lang w:eastAsia="ja-JP"/>
        </w:rPr>
        <w:t xml:space="preserve"> to </w:t>
      </w:r>
      <w:r>
        <w:rPr>
          <w:lang w:eastAsia="ja-JP"/>
        </w:rPr>
        <w:t>receive EU-</w:t>
      </w:r>
      <w:r w:rsidR="007835B7">
        <w:rPr>
          <w:lang w:eastAsia="ja-JP"/>
        </w:rPr>
        <w:t xml:space="preserve">sourced </w:t>
      </w:r>
      <w:r>
        <w:rPr>
          <w:lang w:eastAsia="ja-JP"/>
        </w:rPr>
        <w:t xml:space="preserve">Humira. All dosing was 40 mg </w:t>
      </w:r>
      <w:r w:rsidR="002767C2">
        <w:rPr>
          <w:lang w:eastAsia="ja-JP"/>
        </w:rPr>
        <w:t>subcutaneous once every other week</w:t>
      </w:r>
      <w:r>
        <w:rPr>
          <w:lang w:eastAsia="ja-JP"/>
        </w:rPr>
        <w:t>.</w:t>
      </w:r>
    </w:p>
    <w:p w14:paraId="0828D0E4" w14:textId="681A4FF5" w:rsidR="002A2730" w:rsidRDefault="002A2730" w:rsidP="002767C2">
      <w:pPr>
        <w:rPr>
          <w:lang w:eastAsia="ja-JP"/>
        </w:rPr>
      </w:pPr>
      <w:r w:rsidRPr="00DE16A1">
        <w:rPr>
          <w:lang w:eastAsia="ja-JP"/>
        </w:rPr>
        <w:t xml:space="preserve">The primary efficacy endpoint was the percent improvement in PASI from </w:t>
      </w:r>
      <w:r w:rsidR="002767C2">
        <w:rPr>
          <w:lang w:eastAsia="ja-JP"/>
        </w:rPr>
        <w:t>B</w:t>
      </w:r>
      <w:r>
        <w:rPr>
          <w:lang w:eastAsia="ja-JP"/>
        </w:rPr>
        <w:t>aseline</w:t>
      </w:r>
      <w:r w:rsidRPr="00DE16A1">
        <w:rPr>
          <w:lang w:eastAsia="ja-JP"/>
        </w:rPr>
        <w:t xml:space="preserve"> to Week 16</w:t>
      </w:r>
      <w:r>
        <w:rPr>
          <w:lang w:eastAsia="ja-JP"/>
        </w:rPr>
        <w:t xml:space="preserve">; several secondary and exploratory endpoints were also included in the protocol. An </w:t>
      </w:r>
      <w:r w:rsidR="00374F53">
        <w:rPr>
          <w:lang w:eastAsia="ja-JP"/>
        </w:rPr>
        <w:t>a</w:t>
      </w:r>
      <w:r w:rsidR="00374F53" w:rsidRPr="00374F53">
        <w:rPr>
          <w:lang w:eastAsia="ja-JP"/>
        </w:rPr>
        <w:t>nalysis of covariance</w:t>
      </w:r>
      <w:r>
        <w:rPr>
          <w:lang w:eastAsia="ja-JP"/>
        </w:rPr>
        <w:t xml:space="preserve"> model was used to assess the efficacy of </w:t>
      </w:r>
      <w:proofErr w:type="spellStart"/>
      <w:r w:rsidR="002767C2" w:rsidRPr="00272BC1">
        <w:t>A</w:t>
      </w:r>
      <w:r w:rsidR="002767C2">
        <w:t>rdalicip</w:t>
      </w:r>
      <w:proofErr w:type="spellEnd"/>
      <w:r w:rsidR="002767C2">
        <w:t>/</w:t>
      </w:r>
      <w:proofErr w:type="spellStart"/>
      <w:r w:rsidR="002767C2">
        <w:t>Ciptunec</w:t>
      </w:r>
      <w:proofErr w:type="spellEnd"/>
      <w:r>
        <w:rPr>
          <w:lang w:eastAsia="ja-JP"/>
        </w:rPr>
        <w:t xml:space="preserve"> compared to Humira at </w:t>
      </w:r>
      <w:r w:rsidR="002767C2">
        <w:rPr>
          <w:lang w:eastAsia="ja-JP"/>
        </w:rPr>
        <w:t>W</w:t>
      </w:r>
      <w:r>
        <w:rPr>
          <w:lang w:eastAsia="ja-JP"/>
        </w:rPr>
        <w:t xml:space="preserve">eek 16 with presence or absence of psoriatic arthritis and prior use of biological therapy for the treatment of </w:t>
      </w:r>
      <w:r w:rsidR="002767C2" w:rsidRPr="002767C2">
        <w:rPr>
          <w:lang w:eastAsia="ja-JP"/>
        </w:rPr>
        <w:t>psoriasis</w:t>
      </w:r>
      <w:r>
        <w:rPr>
          <w:lang w:eastAsia="ja-JP"/>
        </w:rPr>
        <w:t xml:space="preserve"> or </w:t>
      </w:r>
      <w:r w:rsidR="002767C2">
        <w:rPr>
          <w:lang w:eastAsia="ja-JP"/>
        </w:rPr>
        <w:t>psoriatic arthritis</w:t>
      </w:r>
      <w:r>
        <w:rPr>
          <w:lang w:eastAsia="ja-JP"/>
        </w:rPr>
        <w:t xml:space="preserve"> as factors and baseline PASI score as a covariate. Equivalence between treatments was assumed if the two</w:t>
      </w:r>
      <w:r w:rsidR="002767C2">
        <w:rPr>
          <w:lang w:eastAsia="ja-JP"/>
        </w:rPr>
        <w:t xml:space="preserve"> </w:t>
      </w:r>
      <w:r>
        <w:rPr>
          <w:lang w:eastAsia="ja-JP"/>
        </w:rPr>
        <w:t xml:space="preserve">sided 90% </w:t>
      </w:r>
      <w:r w:rsidR="002767C2">
        <w:rPr>
          <w:lang w:eastAsia="ja-JP"/>
        </w:rPr>
        <w:t>CI</w:t>
      </w:r>
      <w:r>
        <w:rPr>
          <w:lang w:eastAsia="ja-JP"/>
        </w:rPr>
        <w:t xml:space="preserve"> (for the FDA</w:t>
      </w:r>
      <w:r w:rsidR="0031592E">
        <w:rPr>
          <w:lang w:eastAsia="ja-JP"/>
        </w:rPr>
        <w:t xml:space="preserve"> guideline</w:t>
      </w:r>
      <w:r>
        <w:rPr>
          <w:lang w:eastAsia="ja-JP"/>
        </w:rPr>
        <w:t>) and 95% CI (for the EMA</w:t>
      </w:r>
      <w:r w:rsidR="0031592E">
        <w:rPr>
          <w:lang w:eastAsia="ja-JP"/>
        </w:rPr>
        <w:t xml:space="preserve"> guideline</w:t>
      </w:r>
      <w:r>
        <w:rPr>
          <w:lang w:eastAsia="ja-JP"/>
        </w:rPr>
        <w:t xml:space="preserve">) lay within the range of </w:t>
      </w:r>
      <w:r w:rsidR="002767C2">
        <w:rPr>
          <w:lang w:eastAsia="ja-JP"/>
        </w:rPr>
        <w:t>-</w:t>
      </w:r>
      <w:r>
        <w:rPr>
          <w:lang w:eastAsia="ja-JP"/>
        </w:rPr>
        <w:t>10</w:t>
      </w:r>
      <w:r w:rsidR="002767C2">
        <w:rPr>
          <w:lang w:eastAsia="ja-JP"/>
        </w:rPr>
        <w:t>%</w:t>
      </w:r>
      <w:r>
        <w:rPr>
          <w:lang w:eastAsia="ja-JP"/>
        </w:rPr>
        <w:t xml:space="preserve"> to 10</w:t>
      </w:r>
      <w:r w:rsidR="002767C2">
        <w:rPr>
          <w:lang w:eastAsia="ja-JP"/>
        </w:rPr>
        <w:t>%.</w:t>
      </w:r>
      <w:r w:rsidR="00E1498F">
        <w:rPr>
          <w:rStyle w:val="FootnoteReference"/>
          <w:lang w:eastAsia="ja-JP"/>
        </w:rPr>
        <w:footnoteReference w:id="17"/>
      </w:r>
    </w:p>
    <w:p w14:paraId="20E27799" w14:textId="77777777" w:rsidR="002A2730" w:rsidRDefault="002A2730" w:rsidP="002767C2">
      <w:pPr>
        <w:rPr>
          <w:lang w:eastAsia="ja-JP"/>
        </w:rPr>
      </w:pPr>
      <w:r>
        <w:rPr>
          <w:lang w:eastAsia="ja-JP"/>
        </w:rPr>
        <w:t>Demographic and baseline disease characteristics in the treatment groups were comparable.</w:t>
      </w:r>
    </w:p>
    <w:p w14:paraId="2B12E7F9" w14:textId="7A349953" w:rsidR="002A2730" w:rsidRDefault="002A2730" w:rsidP="002767C2">
      <w:pPr>
        <w:rPr>
          <w:lang w:eastAsia="ja-JP"/>
        </w:rPr>
      </w:pPr>
      <w:r>
        <w:rPr>
          <w:lang w:eastAsia="ja-JP"/>
        </w:rPr>
        <w:t xml:space="preserve">The least square mean </w:t>
      </w:r>
      <w:proofErr w:type="gramStart"/>
      <w:r>
        <w:rPr>
          <w:lang w:eastAsia="ja-JP"/>
        </w:rPr>
        <w:t>change</w:t>
      </w:r>
      <w:proofErr w:type="gramEnd"/>
      <w:r>
        <w:rPr>
          <w:lang w:eastAsia="ja-JP"/>
        </w:rPr>
        <w:t xml:space="preserve"> from baseline to </w:t>
      </w:r>
      <w:r w:rsidR="002767C2">
        <w:rPr>
          <w:lang w:eastAsia="ja-JP"/>
        </w:rPr>
        <w:t>W</w:t>
      </w:r>
      <w:r>
        <w:rPr>
          <w:lang w:eastAsia="ja-JP"/>
        </w:rPr>
        <w:t xml:space="preserve">eek 16 in the PASI (applying a last observation carried forward imputation strategy) was 89.2% and 86.9% in the </w:t>
      </w:r>
      <w:proofErr w:type="spellStart"/>
      <w:r w:rsidR="002767C2" w:rsidRPr="00272BC1">
        <w:t>A</w:t>
      </w:r>
      <w:r w:rsidR="002767C2">
        <w:t>rdalicip</w:t>
      </w:r>
      <w:proofErr w:type="spellEnd"/>
      <w:r w:rsidR="002767C2">
        <w:t>/</w:t>
      </w:r>
      <w:proofErr w:type="spellStart"/>
      <w:r w:rsidR="002767C2">
        <w:t>Ciptunec</w:t>
      </w:r>
      <w:proofErr w:type="spellEnd"/>
      <w:r w:rsidR="002767C2">
        <w:rPr>
          <w:lang w:eastAsia="ja-JP"/>
        </w:rPr>
        <w:t xml:space="preserve"> </w:t>
      </w:r>
      <w:r>
        <w:rPr>
          <w:lang w:eastAsia="ja-JP"/>
        </w:rPr>
        <w:t xml:space="preserve">and EU-Humira groups, respectively. The </w:t>
      </w:r>
      <w:r w:rsidR="00374F53">
        <w:rPr>
          <w:lang w:eastAsia="ja-JP"/>
        </w:rPr>
        <w:t>least square</w:t>
      </w:r>
      <w:r>
        <w:rPr>
          <w:lang w:eastAsia="ja-JP"/>
        </w:rPr>
        <w:t xml:space="preserve"> mean difference was 2.3 (95% CI: -1.34, 5.88). As this 95% CI was contained within the predefined bioequivalence margin of </w:t>
      </w:r>
      <w:r w:rsidR="0031592E">
        <w:rPr>
          <w:lang w:eastAsia="ja-JP"/>
        </w:rPr>
        <w:t xml:space="preserve">plus/minus </w:t>
      </w:r>
      <w:r>
        <w:rPr>
          <w:lang w:eastAsia="ja-JP"/>
        </w:rPr>
        <w:t>10% the study was considered positive. The bioequivalence margin required by the FDA was also achieved.</w:t>
      </w:r>
    </w:p>
    <w:p w14:paraId="0F5A0890" w14:textId="4B1B4314" w:rsidR="002A2730" w:rsidRPr="001B2837" w:rsidRDefault="002A2730" w:rsidP="002A2730">
      <w:pPr>
        <w:rPr>
          <w:lang w:eastAsia="ja-JP"/>
        </w:rPr>
      </w:pPr>
      <w:r>
        <w:rPr>
          <w:lang w:eastAsia="ja-JP"/>
        </w:rPr>
        <w:t>Sensitivity analyses including a mixed model for repeated measur</w:t>
      </w:r>
      <w:r w:rsidR="0031592E">
        <w:rPr>
          <w:lang w:eastAsia="ja-JP"/>
        </w:rPr>
        <w:t>e</w:t>
      </w:r>
      <w:r>
        <w:rPr>
          <w:lang w:eastAsia="ja-JP"/>
        </w:rPr>
        <w:t xml:space="preserve"> on the </w:t>
      </w:r>
      <w:r w:rsidR="0031592E">
        <w:rPr>
          <w:lang w:eastAsia="ja-JP"/>
        </w:rPr>
        <w:t>full analysis set</w:t>
      </w:r>
      <w:r>
        <w:rPr>
          <w:lang w:eastAsia="ja-JP"/>
        </w:rPr>
        <w:t xml:space="preserve"> were consistent with the primary analysis. Results for secondary outcomes and exploratory outcomes were also supportive. Comparable clinical improvement was maintained to 50 weeks. Most participants developed </w:t>
      </w:r>
      <w:r w:rsidR="0031592E">
        <w:rPr>
          <w:lang w:eastAsia="ja-JP"/>
        </w:rPr>
        <w:t>anti-drug antibody</w:t>
      </w:r>
      <w:r>
        <w:rPr>
          <w:lang w:eastAsia="ja-JP"/>
        </w:rPr>
        <w:t xml:space="preserve"> positivity during the study and </w:t>
      </w:r>
      <w:r w:rsidR="0031592E">
        <w:rPr>
          <w:lang w:eastAsia="ja-JP"/>
        </w:rPr>
        <w:t>anti-drug antibody</w:t>
      </w:r>
      <w:r>
        <w:rPr>
          <w:lang w:eastAsia="ja-JP"/>
        </w:rPr>
        <w:t xml:space="preserve"> titres were similar between groups over the duration of the study. </w:t>
      </w:r>
    </w:p>
    <w:p w14:paraId="0C072C45" w14:textId="77777777" w:rsidR="002A2730" w:rsidRPr="003A2AF1" w:rsidRDefault="002A2730" w:rsidP="003A2AF1">
      <w:pPr>
        <w:pStyle w:val="Heading4"/>
      </w:pPr>
      <w:bookmarkStart w:id="49" w:name="_Toc133478218"/>
      <w:r w:rsidRPr="003A2AF1">
        <w:t>Safety</w:t>
      </w:r>
      <w:bookmarkEnd w:id="49"/>
    </w:p>
    <w:p w14:paraId="0A3A1023" w14:textId="61C744C4" w:rsidR="002A2730" w:rsidRDefault="002A2730" w:rsidP="003A2AF1">
      <w:r>
        <w:rPr>
          <w:lang w:eastAsia="ja-JP"/>
        </w:rPr>
        <w:t xml:space="preserve">The clinical development program for </w:t>
      </w:r>
      <w:proofErr w:type="spellStart"/>
      <w:r w:rsidR="0031592E" w:rsidRPr="00272BC1">
        <w:t>A</w:t>
      </w:r>
      <w:r w:rsidR="0031592E">
        <w:t>rdalicip</w:t>
      </w:r>
      <w:proofErr w:type="spellEnd"/>
      <w:r w:rsidR="0031592E">
        <w:t>/</w:t>
      </w:r>
      <w:proofErr w:type="spellStart"/>
      <w:r w:rsidR="0031592E">
        <w:t>Ciptunec</w:t>
      </w:r>
      <w:proofErr w:type="spellEnd"/>
      <w:r>
        <w:rPr>
          <w:lang w:eastAsia="ja-JP"/>
        </w:rPr>
        <w:t xml:space="preserve"> exposed 743 adults to </w:t>
      </w:r>
      <w:proofErr w:type="spellStart"/>
      <w:r w:rsidR="003A2AF1" w:rsidRPr="00272BC1">
        <w:t>A</w:t>
      </w:r>
      <w:r w:rsidR="003A2AF1">
        <w:t>rdalicip</w:t>
      </w:r>
      <w:proofErr w:type="spellEnd"/>
      <w:r w:rsidR="003A2AF1">
        <w:t>/</w:t>
      </w:r>
      <w:proofErr w:type="spellStart"/>
      <w:r w:rsidR="003A2AF1">
        <w:t>Ciptunec</w:t>
      </w:r>
      <w:proofErr w:type="spellEnd"/>
      <w:r>
        <w:rPr>
          <w:lang w:eastAsia="ja-JP"/>
        </w:rPr>
        <w:t xml:space="preserve"> including 107 with </w:t>
      </w:r>
      <w:r w:rsidR="003A2AF1">
        <w:t>rheumatoid arthritis</w:t>
      </w:r>
      <w:r>
        <w:t xml:space="preserve">, 302 with </w:t>
      </w:r>
      <w:r w:rsidR="003A2AF1">
        <w:t>psoriasis</w:t>
      </w:r>
      <w:r>
        <w:t xml:space="preserve"> and 334 healthy volunteers. Studies were designed to have direct comparison with the EU-Humira and in one healthy volunteer </w:t>
      </w:r>
      <w:r w:rsidR="003A2AF1">
        <w:t>pharmacokinetic</w:t>
      </w:r>
      <w:r>
        <w:t xml:space="preserve"> study there was a third arm with US-Humira.</w:t>
      </w:r>
    </w:p>
    <w:p w14:paraId="7089C39D" w14:textId="6576BF33" w:rsidR="002A2730" w:rsidRDefault="002A2730" w:rsidP="003A2AF1">
      <w:pPr>
        <w:rPr>
          <w:lang w:eastAsia="ja-JP"/>
        </w:rPr>
      </w:pPr>
      <w:r>
        <w:rPr>
          <w:lang w:eastAsia="ja-JP"/>
        </w:rPr>
        <w:t xml:space="preserve">Study AVT02-GL-301 was the primary source of comparative clinical safety data for </w:t>
      </w:r>
      <w:proofErr w:type="spellStart"/>
      <w:r w:rsidR="003A2AF1" w:rsidRPr="003A2AF1">
        <w:rPr>
          <w:lang w:eastAsia="ja-JP"/>
        </w:rPr>
        <w:t>Ardalicip</w:t>
      </w:r>
      <w:proofErr w:type="spellEnd"/>
      <w:r w:rsidR="003A2AF1" w:rsidRPr="003A2AF1">
        <w:rPr>
          <w:lang w:eastAsia="ja-JP"/>
        </w:rPr>
        <w:t>/</w:t>
      </w:r>
      <w:proofErr w:type="spellStart"/>
      <w:r w:rsidR="003A2AF1" w:rsidRPr="003A2AF1">
        <w:rPr>
          <w:lang w:eastAsia="ja-JP"/>
        </w:rPr>
        <w:t>Ciptunec</w:t>
      </w:r>
      <w:proofErr w:type="spellEnd"/>
      <w:r>
        <w:rPr>
          <w:lang w:eastAsia="ja-JP"/>
        </w:rPr>
        <w:t xml:space="preserve">. Safety parameters included treatment emergent adverse events (TEAEs), injection site reactions via direct assessment and diary recording, clinical laboratory parameters (chemistry, </w:t>
      </w:r>
      <w:proofErr w:type="gramStart"/>
      <w:r>
        <w:rPr>
          <w:lang w:eastAsia="ja-JP"/>
        </w:rPr>
        <w:t>haematology</w:t>
      </w:r>
      <w:proofErr w:type="gramEnd"/>
      <w:r>
        <w:rPr>
          <w:lang w:eastAsia="ja-JP"/>
        </w:rPr>
        <w:t xml:space="preserve"> and urinalysis), immunogenicity, monitoring for tuberculosis, vital signs, 12-lead electrocardiogram, chest X</w:t>
      </w:r>
      <w:r w:rsidR="003A2AF1">
        <w:rPr>
          <w:lang w:eastAsia="ja-JP"/>
        </w:rPr>
        <w:t>-</w:t>
      </w:r>
      <w:r>
        <w:rPr>
          <w:lang w:eastAsia="ja-JP"/>
        </w:rPr>
        <w:t>ray and physical examination.</w:t>
      </w:r>
    </w:p>
    <w:p w14:paraId="70224103" w14:textId="41C74804" w:rsidR="002A2730" w:rsidRDefault="002A2730" w:rsidP="003A2AF1">
      <w:pPr>
        <w:rPr>
          <w:lang w:eastAsia="ja-JP"/>
        </w:rPr>
      </w:pPr>
      <w:r>
        <w:rPr>
          <w:lang w:eastAsia="ja-JP"/>
        </w:rPr>
        <w:lastRenderedPageBreak/>
        <w:t>The safety analysis set was reported for all participants who received at least one dose of study drug with treatment assignment based on actual treatment received.</w:t>
      </w:r>
      <w:r w:rsidRPr="002700E0">
        <w:rPr>
          <w:lang w:eastAsia="ja-JP"/>
        </w:rPr>
        <w:t xml:space="preserve"> </w:t>
      </w:r>
      <w:r>
        <w:rPr>
          <w:lang w:eastAsia="ja-JP"/>
        </w:rPr>
        <w:t>TEAEs of special interest included infections, malignancies, hypersensitivity, demyelinating diseases, haematologic reactions, heart failure, lupus</w:t>
      </w:r>
      <w:r w:rsidR="003A2AF1">
        <w:rPr>
          <w:lang w:eastAsia="ja-JP"/>
        </w:rPr>
        <w:t xml:space="preserve"> </w:t>
      </w:r>
      <w:r>
        <w:rPr>
          <w:lang w:eastAsia="ja-JP"/>
        </w:rPr>
        <w:t>like syndromes, liver enzyme elevations, injection site reactions and anaphylactic reactions.</w:t>
      </w:r>
    </w:p>
    <w:p w14:paraId="6D250E57" w14:textId="10E64222" w:rsidR="002A2730" w:rsidRDefault="002A2730" w:rsidP="002A2730">
      <w:r>
        <w:t xml:space="preserve">The rate of TEAEs was comparable between </w:t>
      </w:r>
      <w:proofErr w:type="spellStart"/>
      <w:r w:rsidR="003A2AF1" w:rsidRPr="003A2AF1">
        <w:rPr>
          <w:lang w:eastAsia="ja-JP"/>
        </w:rPr>
        <w:t>Ardalicip</w:t>
      </w:r>
      <w:proofErr w:type="spellEnd"/>
      <w:r w:rsidR="003A2AF1" w:rsidRPr="003A2AF1">
        <w:rPr>
          <w:lang w:eastAsia="ja-JP"/>
        </w:rPr>
        <w:t>/</w:t>
      </w:r>
      <w:proofErr w:type="spellStart"/>
      <w:r w:rsidR="003A2AF1" w:rsidRPr="003A2AF1">
        <w:rPr>
          <w:lang w:eastAsia="ja-JP"/>
        </w:rPr>
        <w:t>Ciptunec</w:t>
      </w:r>
      <w:proofErr w:type="spellEnd"/>
      <w:r>
        <w:t xml:space="preserve"> and EU-</w:t>
      </w:r>
      <w:r w:rsidR="00E1498F">
        <w:t xml:space="preserve">sourced </w:t>
      </w:r>
      <w:r>
        <w:t xml:space="preserve">Humira and comparability extended to the severity assessment and adverse event profile. Although </w:t>
      </w:r>
      <w:r w:rsidR="003A2AF1">
        <w:t xml:space="preserve">adverse events </w:t>
      </w:r>
      <w:r>
        <w:t xml:space="preserve">were relatively frequent (44.9% </w:t>
      </w:r>
      <w:proofErr w:type="spellStart"/>
      <w:r w:rsidR="003A2AF1" w:rsidRPr="003A2AF1">
        <w:rPr>
          <w:lang w:eastAsia="ja-JP"/>
        </w:rPr>
        <w:t>Ardalicip</w:t>
      </w:r>
      <w:proofErr w:type="spellEnd"/>
      <w:r w:rsidR="003A2AF1" w:rsidRPr="003A2AF1">
        <w:rPr>
          <w:lang w:eastAsia="ja-JP"/>
        </w:rPr>
        <w:t>/</w:t>
      </w:r>
      <w:proofErr w:type="spellStart"/>
      <w:r w:rsidR="003A2AF1" w:rsidRPr="003A2AF1">
        <w:rPr>
          <w:lang w:eastAsia="ja-JP"/>
        </w:rPr>
        <w:t>Ciptunec</w:t>
      </w:r>
      <w:proofErr w:type="spellEnd"/>
      <w:r>
        <w:t xml:space="preserve"> v</w:t>
      </w:r>
      <w:r w:rsidR="003A2AF1">
        <w:t>ersu</w:t>
      </w:r>
      <w:r>
        <w:t xml:space="preserve">s 44% Humira to </w:t>
      </w:r>
      <w:r w:rsidR="003A2AF1">
        <w:t>W</w:t>
      </w:r>
      <w:r>
        <w:t>eek 16), they were generally mild or moderate in severity and the rate of severe TEAEs was low (2% v</w:t>
      </w:r>
      <w:r w:rsidR="003A2AF1">
        <w:t>ersu</w:t>
      </w:r>
      <w:r>
        <w:t xml:space="preserve">s 1.4% to </w:t>
      </w:r>
      <w:r w:rsidR="003A2AF1">
        <w:t>W</w:t>
      </w:r>
      <w:r>
        <w:t xml:space="preserve">eek 16 in the </w:t>
      </w:r>
      <w:r w:rsidR="003A2AF1">
        <w:t>psoriasis</w:t>
      </w:r>
      <w:r>
        <w:t xml:space="preserve"> study). The most common events were injection site reactions and rates were comparable between </w:t>
      </w:r>
      <w:proofErr w:type="spellStart"/>
      <w:r w:rsidR="003A2AF1" w:rsidRPr="003A2AF1">
        <w:rPr>
          <w:lang w:eastAsia="ja-JP"/>
        </w:rPr>
        <w:t>Ardalicip</w:t>
      </w:r>
      <w:proofErr w:type="spellEnd"/>
      <w:r w:rsidR="003A2AF1" w:rsidRPr="003A2AF1">
        <w:rPr>
          <w:lang w:eastAsia="ja-JP"/>
        </w:rPr>
        <w:t>/</w:t>
      </w:r>
      <w:proofErr w:type="spellStart"/>
      <w:r w:rsidR="003A2AF1" w:rsidRPr="003A2AF1">
        <w:rPr>
          <w:lang w:eastAsia="ja-JP"/>
        </w:rPr>
        <w:t>Ciptunec</w:t>
      </w:r>
      <w:proofErr w:type="spellEnd"/>
      <w:r>
        <w:t xml:space="preserve"> and Humira (16.6% v</w:t>
      </w:r>
      <w:r w:rsidR="003A2AF1">
        <w:t xml:space="preserve">ersus </w:t>
      </w:r>
      <w:r>
        <w:t xml:space="preserve">15.9%). These were the most common treatment related </w:t>
      </w:r>
      <w:r w:rsidR="003A2AF1">
        <w:t>adverse events</w:t>
      </w:r>
      <w:r>
        <w:t>. Infections were the most notable TEAEs of special interest as would be expected with this product.</w:t>
      </w:r>
    </w:p>
    <w:p w14:paraId="41A4225B" w14:textId="2F4E84D0" w:rsidR="002A2730" w:rsidRDefault="002A2730" w:rsidP="002A2730">
      <w:r>
        <w:t xml:space="preserve">Analysis of safety in patients with psoriatic arthritis did not reveal any signals nor were there any new safety signals from the healthy volunteer single dose studies where AE rates were comparable between </w:t>
      </w:r>
      <w:proofErr w:type="spellStart"/>
      <w:r w:rsidR="003A2AF1" w:rsidRPr="003A2AF1">
        <w:rPr>
          <w:lang w:eastAsia="ja-JP"/>
        </w:rPr>
        <w:t>Ardalicip</w:t>
      </w:r>
      <w:proofErr w:type="spellEnd"/>
      <w:r w:rsidR="003A2AF1" w:rsidRPr="003A2AF1">
        <w:rPr>
          <w:lang w:eastAsia="ja-JP"/>
        </w:rPr>
        <w:t>/</w:t>
      </w:r>
      <w:proofErr w:type="spellStart"/>
      <w:r w:rsidR="003A2AF1" w:rsidRPr="003A2AF1">
        <w:rPr>
          <w:lang w:eastAsia="ja-JP"/>
        </w:rPr>
        <w:t>Ciptunec</w:t>
      </w:r>
      <w:proofErr w:type="spellEnd"/>
      <w:r>
        <w:t>, EU</w:t>
      </w:r>
      <w:r w:rsidR="003A2AF1">
        <w:t>-</w:t>
      </w:r>
      <w:r w:rsidR="00E1498F">
        <w:t xml:space="preserve">sourced </w:t>
      </w:r>
      <w:r w:rsidR="003A2AF1">
        <w:t>Humira</w:t>
      </w:r>
      <w:r>
        <w:t xml:space="preserve"> and US</w:t>
      </w:r>
      <w:r w:rsidR="003A2AF1">
        <w:t>-</w:t>
      </w:r>
      <w:r w:rsidR="00E1498F">
        <w:t xml:space="preserve">sourced </w:t>
      </w:r>
      <w:r>
        <w:t xml:space="preserve">Humira. There was also comparable safety demonstrated between the </w:t>
      </w:r>
      <w:proofErr w:type="spellStart"/>
      <w:r w:rsidR="003A2AF1" w:rsidRPr="003A2AF1">
        <w:rPr>
          <w:lang w:eastAsia="ja-JP"/>
        </w:rPr>
        <w:t>Ardalicip</w:t>
      </w:r>
      <w:proofErr w:type="spellEnd"/>
      <w:r w:rsidR="003A2AF1" w:rsidRPr="003A2AF1">
        <w:rPr>
          <w:lang w:eastAsia="ja-JP"/>
        </w:rPr>
        <w:t>/</w:t>
      </w:r>
      <w:proofErr w:type="spellStart"/>
      <w:r w:rsidR="003A2AF1" w:rsidRPr="003A2AF1">
        <w:rPr>
          <w:lang w:eastAsia="ja-JP"/>
        </w:rPr>
        <w:t>Ciptunec</w:t>
      </w:r>
      <w:proofErr w:type="spellEnd"/>
      <w:r>
        <w:t xml:space="preserve"> delivered via a </w:t>
      </w:r>
      <w:r w:rsidR="003A2AF1">
        <w:t>pre</w:t>
      </w:r>
      <w:r w:rsidR="00E1498F">
        <w:noBreakHyphen/>
      </w:r>
      <w:r w:rsidR="003A2AF1">
        <w:t>filled syringe</w:t>
      </w:r>
      <w:r>
        <w:t xml:space="preserve"> and an </w:t>
      </w:r>
      <w:r w:rsidR="003A2AF1">
        <w:t>autoinjector</w:t>
      </w:r>
      <w:r>
        <w:t>.</w:t>
      </w:r>
    </w:p>
    <w:p w14:paraId="50C6D58C" w14:textId="7249FDD2" w:rsidR="002A2730" w:rsidRPr="003A2AF1" w:rsidRDefault="00E1498F" w:rsidP="00015DA4">
      <w:pPr>
        <w:pStyle w:val="Heading3"/>
      </w:pPr>
      <w:bookmarkStart w:id="50" w:name="_Toc133478219"/>
      <w:r>
        <w:t>Device/drug delivery</w:t>
      </w:r>
      <w:bookmarkEnd w:id="50"/>
    </w:p>
    <w:p w14:paraId="4E3D7FB2" w14:textId="08C75610" w:rsidR="00C22214" w:rsidRPr="00456765" w:rsidRDefault="002A2730" w:rsidP="003A2AF1">
      <w:r>
        <w:t>Usability studies for the autoinjector device were presented with this submission. Usability was considered appropriate, however training in use of the device is recommended before use.</w:t>
      </w:r>
      <w:bookmarkStart w:id="51" w:name="_Toc314842514"/>
    </w:p>
    <w:p w14:paraId="2858B006" w14:textId="77777777" w:rsidR="00C22214" w:rsidRDefault="00C22214" w:rsidP="00C22214">
      <w:pPr>
        <w:pStyle w:val="Heading3"/>
        <w:rPr>
          <w:lang w:eastAsia="en-AU"/>
        </w:rPr>
      </w:pPr>
      <w:bookmarkStart w:id="52" w:name="_Toc103679298"/>
      <w:bookmarkStart w:id="53" w:name="_Toc133478220"/>
      <w:r>
        <w:rPr>
          <w:lang w:eastAsia="en-AU"/>
        </w:rPr>
        <w:t>Risk management plan</w:t>
      </w:r>
      <w:bookmarkEnd w:id="51"/>
      <w:bookmarkEnd w:id="52"/>
      <w:bookmarkEnd w:id="53"/>
    </w:p>
    <w:p w14:paraId="37ABB758" w14:textId="41A859EB" w:rsidR="00CA453E" w:rsidRDefault="00CA453E" w:rsidP="00C22214">
      <w:bookmarkStart w:id="54" w:name="_Toc247691531"/>
      <w:bookmarkStart w:id="55" w:name="_Toc314842515"/>
      <w:r w:rsidRPr="00CA453E">
        <w:t>Cipla Australia Pty Ltd has submitted EU-</w:t>
      </w:r>
      <w:r>
        <w:t>risk management plan (</w:t>
      </w:r>
      <w:r w:rsidRPr="00CA453E">
        <w:t>RMP</w:t>
      </w:r>
      <w:r>
        <w:t>)</w:t>
      </w:r>
      <w:r w:rsidRPr="00CA453E">
        <w:t xml:space="preserve"> version 0.3 (30 July 2021; </w:t>
      </w:r>
      <w:r>
        <w:t>data lock point (</w:t>
      </w:r>
      <w:r w:rsidRPr="00CA453E">
        <w:t>DLP</w:t>
      </w:r>
      <w:r>
        <w:t>)</w:t>
      </w:r>
      <w:r w:rsidRPr="00CA453E">
        <w:t xml:space="preserve"> 12 March 2020) and </w:t>
      </w:r>
      <w:r>
        <w:t>Australia specific annex (</w:t>
      </w:r>
      <w:r w:rsidRPr="00CA453E">
        <w:t>ASA</w:t>
      </w:r>
      <w:r>
        <w:t>)</w:t>
      </w:r>
      <w:r w:rsidRPr="00CA453E">
        <w:t xml:space="preserve"> version 1.0 (9 August 2021) in support of this application. At </w:t>
      </w:r>
      <w:r>
        <w:t>second round of evaluation</w:t>
      </w:r>
      <w:r w:rsidRPr="00CA453E">
        <w:t xml:space="preserve">, no updated EU-RMP or ASA was provided with the sponsor’s response. At </w:t>
      </w:r>
      <w:r>
        <w:t>third round of evaluation</w:t>
      </w:r>
      <w:r w:rsidRPr="00CA453E">
        <w:t>, the sponsor has submitted ASA version 1.1 (05 July 2022) in association with previously submitted EU-RMP version 0.3 (30 July 2021; DLP 12 March 2020).</w:t>
      </w:r>
    </w:p>
    <w:p w14:paraId="6EC2DCA5" w14:textId="450F448C" w:rsidR="00C22214" w:rsidRDefault="00C22214" w:rsidP="00C22214">
      <w:r>
        <w:t xml:space="preserve">The summary of safety concerns and their associated risk monitoring and mitigation strategies are summarised in </w:t>
      </w:r>
      <w:r w:rsidR="00CA453E">
        <w:rPr>
          <w:color w:val="2B579A"/>
          <w:shd w:val="clear" w:color="auto" w:fill="E6E6E6"/>
        </w:rPr>
        <w:fldChar w:fldCharType="begin"/>
      </w:r>
      <w:r w:rsidR="00CA453E">
        <w:instrText xml:space="preserve"> REF _Ref97629131 \h </w:instrText>
      </w:r>
      <w:r w:rsidR="00CA453E">
        <w:rPr>
          <w:color w:val="2B579A"/>
          <w:shd w:val="clear" w:color="auto" w:fill="E6E6E6"/>
        </w:rPr>
      </w:r>
      <w:r w:rsidR="00CA453E">
        <w:rPr>
          <w:color w:val="2B579A"/>
          <w:shd w:val="clear" w:color="auto" w:fill="E6E6E6"/>
        </w:rPr>
        <w:fldChar w:fldCharType="separate"/>
      </w:r>
      <w:r w:rsidR="00DE7A9B">
        <w:t xml:space="preserve">Table </w:t>
      </w:r>
      <w:r w:rsidR="00DE7A9B">
        <w:rPr>
          <w:noProof/>
        </w:rPr>
        <w:t>5</w:t>
      </w:r>
      <w:r w:rsidR="00CA453E">
        <w:rPr>
          <w:color w:val="2B579A"/>
          <w:shd w:val="clear" w:color="auto" w:fill="E6E6E6"/>
        </w:rPr>
        <w:fldChar w:fldCharType="end"/>
      </w:r>
      <w:r>
        <w:t xml:space="preserve">. Further information regarding the TGA’s risk management approach can be found in </w:t>
      </w:r>
      <w:hyperlink r:id="rId27" w:history="1">
        <w:r w:rsidRPr="0023444E">
          <w:rPr>
            <w:rStyle w:val="Hyperlink"/>
          </w:rPr>
          <w:t>risk management plans for medicines and biologicals</w:t>
        </w:r>
      </w:hyperlink>
      <w:r>
        <w:t xml:space="preserve"> and </w:t>
      </w:r>
      <w:hyperlink r:id="rId28" w:history="1">
        <w:r w:rsidRPr="0023444E">
          <w:rPr>
            <w:rStyle w:val="Hyperlink"/>
          </w:rPr>
          <w:t>the TGA's risk management approach</w:t>
        </w:r>
      </w:hyperlink>
      <w:r>
        <w:t>.</w:t>
      </w:r>
    </w:p>
    <w:p w14:paraId="03703DB7" w14:textId="0EEA1F9C" w:rsidR="00E1498F" w:rsidRDefault="00E1498F" w:rsidP="00C22214">
      <w:r>
        <w:br w:type="page"/>
      </w:r>
    </w:p>
    <w:p w14:paraId="449794C3" w14:textId="6FA69EF2" w:rsidR="00C22214" w:rsidRDefault="00C22214" w:rsidP="00C22214">
      <w:pPr>
        <w:pStyle w:val="TableTitle"/>
      </w:pPr>
      <w:bookmarkStart w:id="56" w:name="_Ref97629131"/>
      <w:r>
        <w:lastRenderedPageBreak/>
        <w:t xml:space="preserve">Table </w:t>
      </w:r>
      <w:r>
        <w:rPr>
          <w:color w:val="2B579A"/>
          <w:shd w:val="clear" w:color="auto" w:fill="E6E6E6"/>
        </w:rPr>
        <w:fldChar w:fldCharType="begin"/>
      </w:r>
      <w:r>
        <w:instrText>SEQ Table \* ARABIC</w:instrText>
      </w:r>
      <w:r>
        <w:rPr>
          <w:color w:val="2B579A"/>
          <w:shd w:val="clear" w:color="auto" w:fill="E6E6E6"/>
        </w:rPr>
        <w:fldChar w:fldCharType="separate"/>
      </w:r>
      <w:r w:rsidR="00DE7A9B">
        <w:rPr>
          <w:noProof/>
        </w:rPr>
        <w:t>5</w:t>
      </w:r>
      <w:r>
        <w:rPr>
          <w:color w:val="2B579A"/>
          <w:shd w:val="clear" w:color="auto" w:fill="E6E6E6"/>
        </w:rPr>
        <w:fldChar w:fldCharType="end"/>
      </w:r>
      <w:bookmarkEnd w:id="56"/>
      <w:r>
        <w:t>: Summary of safety concerns</w:t>
      </w:r>
    </w:p>
    <w:tbl>
      <w:tblPr>
        <w:tblStyle w:val="TableTGAblue"/>
        <w:tblW w:w="5000" w:type="pct"/>
        <w:tblLook w:val="04A0" w:firstRow="1" w:lastRow="0" w:firstColumn="1" w:lastColumn="0" w:noHBand="0" w:noVBand="1"/>
      </w:tblPr>
      <w:tblGrid>
        <w:gridCol w:w="1497"/>
        <w:gridCol w:w="2879"/>
        <w:gridCol w:w="1060"/>
        <w:gridCol w:w="1282"/>
        <w:gridCol w:w="1060"/>
        <w:gridCol w:w="1282"/>
      </w:tblGrid>
      <w:tr w:rsidR="00CA453E" w:rsidRPr="00CA453E" w14:paraId="7CC7827F" w14:textId="77777777" w:rsidTr="00DE7A9B">
        <w:trPr>
          <w:cnfStyle w:val="100000000000" w:firstRow="1" w:lastRow="0" w:firstColumn="0" w:lastColumn="0" w:oddVBand="0" w:evenVBand="0" w:oddHBand="0" w:evenHBand="0" w:firstRowFirstColumn="0" w:firstRowLastColumn="0" w:lastRowFirstColumn="0" w:lastRowLastColumn="0"/>
          <w:trHeight w:val="439"/>
        </w:trPr>
        <w:tc>
          <w:tcPr>
            <w:tcW w:w="2455" w:type="pct"/>
            <w:gridSpan w:val="2"/>
            <w:vMerge w:val="restart"/>
            <w:tcBorders>
              <w:top w:val="single" w:sz="4" w:space="0" w:color="auto"/>
              <w:left w:val="single" w:sz="4" w:space="0" w:color="auto"/>
              <w:bottom w:val="single" w:sz="4" w:space="0" w:color="auto"/>
              <w:right w:val="single" w:sz="4" w:space="0" w:color="auto"/>
            </w:tcBorders>
          </w:tcPr>
          <w:p w14:paraId="0F6EF580" w14:textId="77777777" w:rsidR="00CA453E" w:rsidRPr="00CA453E" w:rsidRDefault="00CA453E" w:rsidP="00CA453E">
            <w:pPr>
              <w:pStyle w:val="Tabletext"/>
              <w:ind w:left="0"/>
              <w:rPr>
                <w:b w:val="0"/>
                <w:kern w:val="0"/>
                <w:szCs w:val="20"/>
              </w:rPr>
            </w:pPr>
            <w:r w:rsidRPr="00CA453E">
              <w:rPr>
                <w:kern w:val="0"/>
                <w:szCs w:val="20"/>
              </w:rPr>
              <w:t>Summary of safety concerns</w:t>
            </w:r>
          </w:p>
        </w:tc>
        <w:tc>
          <w:tcPr>
            <w:tcW w:w="1267" w:type="pct"/>
            <w:gridSpan w:val="2"/>
            <w:tcBorders>
              <w:top w:val="single" w:sz="4" w:space="0" w:color="auto"/>
              <w:left w:val="single" w:sz="4" w:space="0" w:color="auto"/>
              <w:bottom w:val="single" w:sz="4" w:space="0" w:color="auto"/>
              <w:right w:val="single" w:sz="4" w:space="0" w:color="auto"/>
            </w:tcBorders>
          </w:tcPr>
          <w:p w14:paraId="2ECCF123" w14:textId="77777777" w:rsidR="00CA453E" w:rsidRPr="00CA453E" w:rsidRDefault="00CA453E" w:rsidP="00CA453E">
            <w:pPr>
              <w:pStyle w:val="Tabletext"/>
              <w:ind w:left="0"/>
              <w:rPr>
                <w:b w:val="0"/>
                <w:kern w:val="0"/>
                <w:szCs w:val="20"/>
              </w:rPr>
            </w:pPr>
            <w:r w:rsidRPr="00CA453E">
              <w:rPr>
                <w:kern w:val="0"/>
                <w:szCs w:val="20"/>
              </w:rPr>
              <w:t>Pharmacovigilance</w:t>
            </w:r>
          </w:p>
        </w:tc>
        <w:tc>
          <w:tcPr>
            <w:tcW w:w="1278" w:type="pct"/>
            <w:gridSpan w:val="2"/>
            <w:tcBorders>
              <w:top w:val="single" w:sz="4" w:space="0" w:color="auto"/>
              <w:left w:val="single" w:sz="4" w:space="0" w:color="auto"/>
              <w:bottom w:val="single" w:sz="4" w:space="0" w:color="auto"/>
              <w:right w:val="single" w:sz="4" w:space="0" w:color="auto"/>
            </w:tcBorders>
          </w:tcPr>
          <w:p w14:paraId="074BAA0E" w14:textId="77777777" w:rsidR="00CA453E" w:rsidRPr="00CA453E" w:rsidRDefault="00CA453E" w:rsidP="00CA453E">
            <w:pPr>
              <w:pStyle w:val="Tabletext"/>
              <w:ind w:left="0"/>
              <w:rPr>
                <w:b w:val="0"/>
                <w:kern w:val="0"/>
                <w:szCs w:val="20"/>
              </w:rPr>
            </w:pPr>
            <w:r w:rsidRPr="00CA453E">
              <w:rPr>
                <w:kern w:val="0"/>
                <w:szCs w:val="20"/>
              </w:rPr>
              <w:t>Risk Minimisation</w:t>
            </w:r>
          </w:p>
        </w:tc>
      </w:tr>
      <w:tr w:rsidR="00DE7A9B" w:rsidRPr="00CA453E" w14:paraId="6E88F2CF" w14:textId="77777777" w:rsidTr="00DE7A9B">
        <w:trPr>
          <w:trHeight w:val="150"/>
        </w:trPr>
        <w:tc>
          <w:tcPr>
            <w:tcW w:w="2455" w:type="pct"/>
            <w:gridSpan w:val="2"/>
            <w:vMerge/>
            <w:tcBorders>
              <w:top w:val="single" w:sz="4" w:space="0" w:color="auto"/>
              <w:left w:val="single" w:sz="4" w:space="0" w:color="auto"/>
              <w:bottom w:val="single" w:sz="4" w:space="0" w:color="auto"/>
              <w:right w:val="single" w:sz="4" w:space="0" w:color="auto"/>
            </w:tcBorders>
          </w:tcPr>
          <w:p w14:paraId="0CE630CF" w14:textId="77777777" w:rsidR="00CA453E" w:rsidRPr="00CA453E" w:rsidRDefault="00CA453E" w:rsidP="00EA3C32">
            <w:pPr>
              <w:pStyle w:val="Tabletext"/>
              <w:rPr>
                <w:b/>
                <w:kern w:val="0"/>
                <w:szCs w:val="20"/>
              </w:rPr>
            </w:pPr>
          </w:p>
        </w:tc>
        <w:tc>
          <w:tcPr>
            <w:tcW w:w="573" w:type="pct"/>
            <w:tcBorders>
              <w:top w:val="single" w:sz="4" w:space="0" w:color="auto"/>
              <w:left w:val="single" w:sz="4" w:space="0" w:color="auto"/>
              <w:bottom w:val="single" w:sz="4" w:space="0" w:color="auto"/>
              <w:right w:val="single" w:sz="4" w:space="0" w:color="auto"/>
            </w:tcBorders>
            <w:shd w:val="clear" w:color="auto" w:fill="006DA7"/>
          </w:tcPr>
          <w:p w14:paraId="75EB339D" w14:textId="77777777" w:rsidR="00CA453E" w:rsidRPr="00CA453E" w:rsidRDefault="00CA453E" w:rsidP="00CA453E">
            <w:pPr>
              <w:pStyle w:val="Tabletext"/>
              <w:ind w:left="0"/>
              <w:rPr>
                <w:color w:val="FFFFFF" w:themeColor="background1"/>
                <w:kern w:val="0"/>
                <w:szCs w:val="20"/>
              </w:rPr>
            </w:pPr>
            <w:r w:rsidRPr="00CA453E">
              <w:rPr>
                <w:color w:val="FFFFFF" w:themeColor="background1"/>
                <w:kern w:val="0"/>
                <w:szCs w:val="20"/>
              </w:rPr>
              <w:t>Routine</w:t>
            </w:r>
          </w:p>
        </w:tc>
        <w:tc>
          <w:tcPr>
            <w:tcW w:w="694" w:type="pct"/>
            <w:tcBorders>
              <w:top w:val="single" w:sz="4" w:space="0" w:color="auto"/>
              <w:left w:val="single" w:sz="4" w:space="0" w:color="auto"/>
              <w:bottom w:val="single" w:sz="4" w:space="0" w:color="auto"/>
              <w:right w:val="single" w:sz="4" w:space="0" w:color="auto"/>
            </w:tcBorders>
            <w:shd w:val="clear" w:color="auto" w:fill="006DA7"/>
          </w:tcPr>
          <w:p w14:paraId="5B27F3A3" w14:textId="77777777" w:rsidR="00CA453E" w:rsidRPr="00CA453E" w:rsidRDefault="00CA453E" w:rsidP="00CA453E">
            <w:pPr>
              <w:pStyle w:val="Tabletext"/>
              <w:ind w:left="0"/>
              <w:rPr>
                <w:color w:val="FFFFFF" w:themeColor="background1"/>
                <w:kern w:val="0"/>
                <w:szCs w:val="20"/>
              </w:rPr>
            </w:pPr>
            <w:r w:rsidRPr="00CA453E">
              <w:rPr>
                <w:color w:val="FFFFFF" w:themeColor="background1"/>
                <w:kern w:val="0"/>
                <w:szCs w:val="20"/>
              </w:rPr>
              <w:t>Additional</w:t>
            </w:r>
          </w:p>
        </w:tc>
        <w:tc>
          <w:tcPr>
            <w:tcW w:w="595" w:type="pct"/>
            <w:tcBorders>
              <w:top w:val="single" w:sz="4" w:space="0" w:color="auto"/>
              <w:left w:val="single" w:sz="4" w:space="0" w:color="auto"/>
              <w:bottom w:val="single" w:sz="4" w:space="0" w:color="auto"/>
              <w:right w:val="single" w:sz="4" w:space="0" w:color="auto"/>
            </w:tcBorders>
            <w:shd w:val="clear" w:color="auto" w:fill="006DA7"/>
          </w:tcPr>
          <w:p w14:paraId="26BA99BF" w14:textId="77777777" w:rsidR="00CA453E" w:rsidRPr="00CA453E" w:rsidRDefault="00CA453E" w:rsidP="00CA453E">
            <w:pPr>
              <w:pStyle w:val="Tabletext"/>
              <w:ind w:left="0"/>
              <w:rPr>
                <w:color w:val="FFFFFF" w:themeColor="background1"/>
                <w:kern w:val="0"/>
                <w:szCs w:val="20"/>
              </w:rPr>
            </w:pPr>
            <w:r w:rsidRPr="00CA453E">
              <w:rPr>
                <w:color w:val="FFFFFF" w:themeColor="background1"/>
                <w:kern w:val="0"/>
                <w:szCs w:val="20"/>
              </w:rPr>
              <w:t>Routine</w:t>
            </w:r>
          </w:p>
        </w:tc>
        <w:tc>
          <w:tcPr>
            <w:tcW w:w="683" w:type="pct"/>
            <w:tcBorders>
              <w:top w:val="single" w:sz="4" w:space="0" w:color="auto"/>
              <w:left w:val="single" w:sz="4" w:space="0" w:color="auto"/>
              <w:bottom w:val="single" w:sz="4" w:space="0" w:color="auto"/>
              <w:right w:val="single" w:sz="4" w:space="0" w:color="auto"/>
            </w:tcBorders>
            <w:shd w:val="clear" w:color="auto" w:fill="006DA7"/>
          </w:tcPr>
          <w:p w14:paraId="5FA8EC95" w14:textId="77777777" w:rsidR="00CA453E" w:rsidRPr="00CA453E" w:rsidRDefault="00CA453E" w:rsidP="00CA453E">
            <w:pPr>
              <w:pStyle w:val="Tabletext"/>
              <w:ind w:left="0"/>
              <w:rPr>
                <w:color w:val="FFFFFF" w:themeColor="background1"/>
                <w:kern w:val="0"/>
                <w:szCs w:val="20"/>
              </w:rPr>
            </w:pPr>
            <w:r w:rsidRPr="00CA453E">
              <w:rPr>
                <w:color w:val="FFFFFF" w:themeColor="background1"/>
                <w:kern w:val="0"/>
                <w:szCs w:val="20"/>
              </w:rPr>
              <w:t>Additional</w:t>
            </w:r>
          </w:p>
        </w:tc>
      </w:tr>
      <w:tr w:rsidR="00CA453E" w:rsidRPr="00CA453E" w14:paraId="6D7A85D7" w14:textId="77777777" w:rsidTr="00DE7A9B">
        <w:trPr>
          <w:trHeight w:val="449"/>
        </w:trPr>
        <w:tc>
          <w:tcPr>
            <w:tcW w:w="690" w:type="pct"/>
            <w:vMerge w:val="restart"/>
            <w:tcBorders>
              <w:top w:val="single" w:sz="4" w:space="0" w:color="auto"/>
            </w:tcBorders>
          </w:tcPr>
          <w:p w14:paraId="16D7D182" w14:textId="4738AB02" w:rsidR="00CA453E" w:rsidRPr="00CA453E" w:rsidRDefault="00CA453E" w:rsidP="00CA453E">
            <w:pPr>
              <w:pStyle w:val="Tabletext"/>
              <w:ind w:left="0"/>
              <w:rPr>
                <w:b/>
                <w:kern w:val="0"/>
                <w:szCs w:val="20"/>
              </w:rPr>
            </w:pPr>
            <w:bookmarkStart w:id="57" w:name="_Hlk109303242"/>
            <w:r w:rsidRPr="00CA453E">
              <w:rPr>
                <w:b/>
                <w:kern w:val="0"/>
                <w:szCs w:val="20"/>
              </w:rPr>
              <w:t>Important identified risks</w:t>
            </w:r>
            <w:bookmarkEnd w:id="57"/>
          </w:p>
        </w:tc>
        <w:tc>
          <w:tcPr>
            <w:tcW w:w="1764" w:type="pct"/>
            <w:tcBorders>
              <w:top w:val="single" w:sz="4" w:space="0" w:color="auto"/>
            </w:tcBorders>
          </w:tcPr>
          <w:p w14:paraId="708D27B0" w14:textId="77777777" w:rsidR="00CA453E" w:rsidRPr="00CA453E" w:rsidRDefault="00CA453E" w:rsidP="00CA453E">
            <w:pPr>
              <w:pStyle w:val="Tabletext"/>
              <w:ind w:left="0"/>
              <w:rPr>
                <w:kern w:val="0"/>
                <w:szCs w:val="20"/>
              </w:rPr>
            </w:pPr>
            <w:r w:rsidRPr="00CA453E">
              <w:rPr>
                <w:kern w:val="0"/>
                <w:szCs w:val="20"/>
              </w:rPr>
              <w:t>Serious infections</w:t>
            </w:r>
          </w:p>
        </w:tc>
        <w:tc>
          <w:tcPr>
            <w:tcW w:w="573" w:type="pct"/>
            <w:tcBorders>
              <w:top w:val="single" w:sz="4" w:space="0" w:color="auto"/>
            </w:tcBorders>
          </w:tcPr>
          <w:p w14:paraId="7238855E"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Borders>
              <w:top w:val="single" w:sz="4" w:space="0" w:color="auto"/>
            </w:tcBorders>
          </w:tcPr>
          <w:p w14:paraId="7D615FDB" w14:textId="77777777" w:rsidR="00CA453E" w:rsidRPr="00CA453E" w:rsidRDefault="00CA453E" w:rsidP="00EA3C32">
            <w:pPr>
              <w:pStyle w:val="Tabletext"/>
              <w:jc w:val="center"/>
              <w:rPr>
                <w:kern w:val="0"/>
                <w:szCs w:val="20"/>
              </w:rPr>
            </w:pPr>
            <w:r w:rsidRPr="00CA453E">
              <w:rPr>
                <w:kern w:val="0"/>
                <w:szCs w:val="20"/>
              </w:rPr>
              <w:t>-</w:t>
            </w:r>
          </w:p>
        </w:tc>
        <w:tc>
          <w:tcPr>
            <w:tcW w:w="595" w:type="pct"/>
            <w:tcBorders>
              <w:top w:val="single" w:sz="4" w:space="0" w:color="auto"/>
            </w:tcBorders>
          </w:tcPr>
          <w:p w14:paraId="1BA74661"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83" w:type="pct"/>
            <w:tcBorders>
              <w:top w:val="single" w:sz="4" w:space="0" w:color="auto"/>
            </w:tcBorders>
          </w:tcPr>
          <w:p w14:paraId="7B43A76A"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r w:rsidRPr="00CA453E">
              <w:rPr>
                <w:rFonts w:eastAsia="Cambria"/>
                <w:kern w:val="0"/>
                <w:szCs w:val="20"/>
              </w:rPr>
              <w:t>*</w:t>
            </w:r>
          </w:p>
        </w:tc>
      </w:tr>
      <w:tr w:rsidR="00CA453E" w:rsidRPr="00CA453E" w14:paraId="1CDACDA1" w14:textId="77777777" w:rsidTr="00DE7A9B">
        <w:trPr>
          <w:trHeight w:val="402"/>
        </w:trPr>
        <w:tc>
          <w:tcPr>
            <w:tcW w:w="690" w:type="pct"/>
            <w:vMerge/>
          </w:tcPr>
          <w:p w14:paraId="106D7E85" w14:textId="77777777" w:rsidR="00CA453E" w:rsidRPr="00CA453E" w:rsidRDefault="00CA453E" w:rsidP="00EA3C32">
            <w:pPr>
              <w:pStyle w:val="Tabletext"/>
              <w:rPr>
                <w:b/>
                <w:kern w:val="0"/>
                <w:szCs w:val="20"/>
              </w:rPr>
            </w:pPr>
          </w:p>
        </w:tc>
        <w:tc>
          <w:tcPr>
            <w:tcW w:w="1764" w:type="pct"/>
          </w:tcPr>
          <w:p w14:paraId="539B8011" w14:textId="77777777" w:rsidR="00CA453E" w:rsidRPr="00CA453E" w:rsidRDefault="00CA453E" w:rsidP="00CA453E">
            <w:pPr>
              <w:pStyle w:val="Tabletext"/>
              <w:ind w:left="0"/>
              <w:rPr>
                <w:kern w:val="0"/>
                <w:szCs w:val="20"/>
              </w:rPr>
            </w:pPr>
            <w:r w:rsidRPr="00CA453E">
              <w:rPr>
                <w:kern w:val="0"/>
                <w:szCs w:val="20"/>
              </w:rPr>
              <w:t>Tuberculosis (TB)</w:t>
            </w:r>
          </w:p>
        </w:tc>
        <w:tc>
          <w:tcPr>
            <w:tcW w:w="573" w:type="pct"/>
          </w:tcPr>
          <w:p w14:paraId="0F8CFE85"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Pr>
          <w:p w14:paraId="2F0CEED6"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1E335C44"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83" w:type="pct"/>
          </w:tcPr>
          <w:p w14:paraId="33674BFC"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r w:rsidRPr="00CA453E">
              <w:rPr>
                <w:rFonts w:eastAsia="Cambria"/>
                <w:kern w:val="0"/>
                <w:szCs w:val="20"/>
              </w:rPr>
              <w:t>*</w:t>
            </w:r>
          </w:p>
        </w:tc>
      </w:tr>
      <w:tr w:rsidR="00CA453E" w:rsidRPr="00CA453E" w14:paraId="0B56BCAE" w14:textId="77777777" w:rsidTr="00DE7A9B">
        <w:trPr>
          <w:trHeight w:val="410"/>
        </w:trPr>
        <w:tc>
          <w:tcPr>
            <w:tcW w:w="690" w:type="pct"/>
            <w:vMerge/>
          </w:tcPr>
          <w:p w14:paraId="110F4D1E" w14:textId="77777777" w:rsidR="00CA453E" w:rsidRPr="00CA453E" w:rsidRDefault="00CA453E" w:rsidP="00EA3C32">
            <w:pPr>
              <w:pStyle w:val="Tabletext"/>
              <w:rPr>
                <w:b/>
                <w:kern w:val="0"/>
                <w:szCs w:val="20"/>
              </w:rPr>
            </w:pPr>
          </w:p>
        </w:tc>
        <w:tc>
          <w:tcPr>
            <w:tcW w:w="1764" w:type="pct"/>
          </w:tcPr>
          <w:p w14:paraId="130E3126" w14:textId="77777777" w:rsidR="00CA453E" w:rsidRPr="00CA453E" w:rsidRDefault="00CA453E" w:rsidP="00CA453E">
            <w:pPr>
              <w:pStyle w:val="Tabletext"/>
              <w:ind w:left="0"/>
              <w:rPr>
                <w:kern w:val="0"/>
                <w:szCs w:val="20"/>
              </w:rPr>
            </w:pPr>
            <w:r w:rsidRPr="00CA453E">
              <w:rPr>
                <w:kern w:val="0"/>
                <w:szCs w:val="20"/>
              </w:rPr>
              <w:t>Malignancies</w:t>
            </w:r>
          </w:p>
        </w:tc>
        <w:tc>
          <w:tcPr>
            <w:tcW w:w="573" w:type="pct"/>
          </w:tcPr>
          <w:p w14:paraId="22802997"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Pr>
          <w:p w14:paraId="29C854D5"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056B3418"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83" w:type="pct"/>
          </w:tcPr>
          <w:p w14:paraId="7CBA1F7B"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r w:rsidRPr="00CA453E">
              <w:rPr>
                <w:rFonts w:eastAsia="Cambria"/>
                <w:kern w:val="0"/>
                <w:szCs w:val="20"/>
              </w:rPr>
              <w:t>*</w:t>
            </w:r>
          </w:p>
        </w:tc>
      </w:tr>
      <w:tr w:rsidR="00CA453E" w:rsidRPr="00CA453E" w14:paraId="0CA42751" w14:textId="77777777" w:rsidTr="00DE7A9B">
        <w:trPr>
          <w:trHeight w:val="1110"/>
        </w:trPr>
        <w:tc>
          <w:tcPr>
            <w:tcW w:w="690" w:type="pct"/>
            <w:vMerge/>
          </w:tcPr>
          <w:p w14:paraId="19911097" w14:textId="77777777" w:rsidR="00CA453E" w:rsidRPr="00CA453E" w:rsidRDefault="00CA453E" w:rsidP="00EA3C32">
            <w:pPr>
              <w:pStyle w:val="Tabletext"/>
              <w:rPr>
                <w:b/>
                <w:kern w:val="0"/>
                <w:szCs w:val="20"/>
              </w:rPr>
            </w:pPr>
          </w:p>
        </w:tc>
        <w:tc>
          <w:tcPr>
            <w:tcW w:w="1764" w:type="pct"/>
          </w:tcPr>
          <w:p w14:paraId="6D363F3A" w14:textId="77777777" w:rsidR="00CA453E" w:rsidRPr="00CA453E" w:rsidRDefault="00CA453E" w:rsidP="00CA453E">
            <w:pPr>
              <w:pStyle w:val="Tabletext"/>
              <w:ind w:left="0"/>
              <w:rPr>
                <w:kern w:val="0"/>
                <w:szCs w:val="20"/>
              </w:rPr>
            </w:pPr>
            <w:r w:rsidRPr="00CA453E">
              <w:rPr>
                <w:kern w:val="0"/>
                <w:szCs w:val="20"/>
              </w:rPr>
              <w:t>Demyelinating disorders (including multiple sclerosis (MS), Guillain Barré syndrome (GBS) and optic neuritis)</w:t>
            </w:r>
          </w:p>
        </w:tc>
        <w:tc>
          <w:tcPr>
            <w:tcW w:w="573" w:type="pct"/>
          </w:tcPr>
          <w:p w14:paraId="5524941F"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Pr>
          <w:p w14:paraId="7753536F"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52B4B1EC"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83" w:type="pct"/>
          </w:tcPr>
          <w:p w14:paraId="791A9A73"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r w:rsidRPr="00CA453E">
              <w:rPr>
                <w:rFonts w:eastAsia="Cambria"/>
                <w:kern w:val="0"/>
                <w:szCs w:val="20"/>
              </w:rPr>
              <w:t>*</w:t>
            </w:r>
          </w:p>
        </w:tc>
      </w:tr>
      <w:tr w:rsidR="00CA453E" w:rsidRPr="00CA453E" w14:paraId="1BD1AA06" w14:textId="77777777" w:rsidTr="00DE7A9B">
        <w:trPr>
          <w:trHeight w:val="187"/>
        </w:trPr>
        <w:tc>
          <w:tcPr>
            <w:tcW w:w="690" w:type="pct"/>
            <w:vMerge/>
          </w:tcPr>
          <w:p w14:paraId="1084F385" w14:textId="77777777" w:rsidR="00CA453E" w:rsidRPr="00CA453E" w:rsidRDefault="00CA453E" w:rsidP="00EA3C32">
            <w:pPr>
              <w:pStyle w:val="Tabletext"/>
              <w:rPr>
                <w:b/>
                <w:kern w:val="0"/>
                <w:szCs w:val="20"/>
              </w:rPr>
            </w:pPr>
          </w:p>
        </w:tc>
        <w:tc>
          <w:tcPr>
            <w:tcW w:w="1764" w:type="pct"/>
          </w:tcPr>
          <w:p w14:paraId="577EE56B" w14:textId="77777777" w:rsidR="00CA453E" w:rsidRPr="00CA453E" w:rsidRDefault="00CA453E" w:rsidP="00CA453E">
            <w:pPr>
              <w:pStyle w:val="Tabletext"/>
              <w:ind w:left="0"/>
              <w:rPr>
                <w:kern w:val="0"/>
                <w:szCs w:val="20"/>
              </w:rPr>
            </w:pPr>
            <w:r w:rsidRPr="00CA453E">
              <w:rPr>
                <w:szCs w:val="20"/>
              </w:rPr>
              <w:t>Bacillus Calmette-</w:t>
            </w:r>
            <w:proofErr w:type="spellStart"/>
            <w:r w:rsidRPr="00CA453E">
              <w:rPr>
                <w:szCs w:val="20"/>
              </w:rPr>
              <w:t>Guérin</w:t>
            </w:r>
            <w:proofErr w:type="spellEnd"/>
            <w:r w:rsidRPr="00CA453E">
              <w:rPr>
                <w:szCs w:val="20"/>
              </w:rPr>
              <w:t xml:space="preserve"> (</w:t>
            </w:r>
            <w:r w:rsidRPr="00CA453E">
              <w:rPr>
                <w:kern w:val="0"/>
                <w:szCs w:val="20"/>
              </w:rPr>
              <w:t xml:space="preserve">BCG) disease following live BCG vaccination in infants </w:t>
            </w:r>
            <w:proofErr w:type="gramStart"/>
            <w:r w:rsidRPr="00CA453E">
              <w:rPr>
                <w:kern w:val="0"/>
                <w:szCs w:val="20"/>
              </w:rPr>
              <w:t>with in</w:t>
            </w:r>
            <w:proofErr w:type="gramEnd"/>
            <w:r w:rsidRPr="00CA453E">
              <w:rPr>
                <w:kern w:val="0"/>
                <w:szCs w:val="20"/>
              </w:rPr>
              <w:t xml:space="preserve"> utero exposure to adalimumab</w:t>
            </w:r>
          </w:p>
        </w:tc>
        <w:tc>
          <w:tcPr>
            <w:tcW w:w="573" w:type="pct"/>
          </w:tcPr>
          <w:p w14:paraId="3A342B3D" w14:textId="77777777" w:rsidR="00CA453E" w:rsidRPr="00CA453E" w:rsidRDefault="00CA453E" w:rsidP="00EA3C32">
            <w:pPr>
              <w:pStyle w:val="Tabletext"/>
              <w:jc w:val="center"/>
              <w:rPr>
                <w:kern w:val="0"/>
                <w:szCs w:val="20"/>
              </w:rPr>
            </w:pPr>
            <w:r w:rsidRPr="00CA453E">
              <w:rPr>
                <w:rFonts w:eastAsia="Cambria"/>
                <w:kern w:val="0"/>
                <w:szCs w:val="20"/>
              </w:rPr>
              <w:t>ü</w:t>
            </w:r>
          </w:p>
        </w:tc>
        <w:tc>
          <w:tcPr>
            <w:tcW w:w="694" w:type="pct"/>
          </w:tcPr>
          <w:p w14:paraId="7E6B962D"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006D4672"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83" w:type="pct"/>
          </w:tcPr>
          <w:p w14:paraId="7B342DE5"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r w:rsidRPr="00CA453E">
              <w:rPr>
                <w:rFonts w:eastAsia="Cambria"/>
                <w:kern w:val="0"/>
                <w:szCs w:val="20"/>
              </w:rPr>
              <w:t>*</w:t>
            </w:r>
          </w:p>
        </w:tc>
      </w:tr>
      <w:tr w:rsidR="00CA453E" w:rsidRPr="00CA453E" w14:paraId="4BB1DA10" w14:textId="77777777" w:rsidTr="00DE7A9B">
        <w:trPr>
          <w:trHeight w:val="701"/>
        </w:trPr>
        <w:tc>
          <w:tcPr>
            <w:tcW w:w="690" w:type="pct"/>
            <w:vMerge w:val="restart"/>
          </w:tcPr>
          <w:p w14:paraId="5574628C" w14:textId="77777777" w:rsidR="00CA453E" w:rsidRPr="00CA453E" w:rsidRDefault="00CA453E" w:rsidP="00CA453E">
            <w:pPr>
              <w:pStyle w:val="Tabletext"/>
              <w:ind w:left="0"/>
              <w:rPr>
                <w:b/>
                <w:kern w:val="0"/>
                <w:szCs w:val="20"/>
              </w:rPr>
            </w:pPr>
            <w:r w:rsidRPr="00CA453E">
              <w:rPr>
                <w:b/>
                <w:kern w:val="0"/>
                <w:szCs w:val="20"/>
              </w:rPr>
              <w:t>Important potential risks</w:t>
            </w:r>
          </w:p>
        </w:tc>
        <w:tc>
          <w:tcPr>
            <w:tcW w:w="1764" w:type="pct"/>
          </w:tcPr>
          <w:p w14:paraId="6CF581CD" w14:textId="77777777" w:rsidR="00CA453E" w:rsidRPr="00CA453E" w:rsidRDefault="00CA453E" w:rsidP="00CA453E">
            <w:pPr>
              <w:pStyle w:val="Tabletext"/>
              <w:ind w:left="0"/>
              <w:rPr>
                <w:kern w:val="0"/>
                <w:szCs w:val="20"/>
              </w:rPr>
            </w:pPr>
            <w:r w:rsidRPr="00CA453E">
              <w:rPr>
                <w:kern w:val="0"/>
                <w:szCs w:val="20"/>
              </w:rPr>
              <w:t>Progressive Multifocal Leukoencephalopathy (PML)</w:t>
            </w:r>
          </w:p>
        </w:tc>
        <w:tc>
          <w:tcPr>
            <w:tcW w:w="573" w:type="pct"/>
          </w:tcPr>
          <w:p w14:paraId="218199B9"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Pr>
          <w:p w14:paraId="03F3189D"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200400AD" w14:textId="77777777" w:rsidR="00CA453E" w:rsidRPr="00CA453E" w:rsidRDefault="00CA453E" w:rsidP="00EA3C32">
            <w:pPr>
              <w:pStyle w:val="Tabletext"/>
              <w:jc w:val="center"/>
              <w:rPr>
                <w:kern w:val="0"/>
                <w:szCs w:val="20"/>
              </w:rPr>
            </w:pPr>
            <w:r w:rsidRPr="00CA453E">
              <w:rPr>
                <w:kern w:val="0"/>
                <w:szCs w:val="20"/>
              </w:rPr>
              <w:t>-</w:t>
            </w:r>
          </w:p>
        </w:tc>
        <w:tc>
          <w:tcPr>
            <w:tcW w:w="683" w:type="pct"/>
          </w:tcPr>
          <w:p w14:paraId="549AA4D1" w14:textId="77777777" w:rsidR="00CA453E" w:rsidRPr="00CA453E" w:rsidRDefault="00CA453E" w:rsidP="00EA3C32">
            <w:pPr>
              <w:pStyle w:val="Tabletext"/>
              <w:jc w:val="center"/>
              <w:rPr>
                <w:kern w:val="0"/>
                <w:szCs w:val="20"/>
              </w:rPr>
            </w:pPr>
            <w:r w:rsidRPr="00CA453E">
              <w:rPr>
                <w:kern w:val="0"/>
                <w:szCs w:val="20"/>
              </w:rPr>
              <w:t>-</w:t>
            </w:r>
          </w:p>
        </w:tc>
      </w:tr>
      <w:tr w:rsidR="00CA453E" w:rsidRPr="00CA453E" w14:paraId="0B95C891" w14:textId="77777777" w:rsidTr="00DE7A9B">
        <w:trPr>
          <w:trHeight w:val="967"/>
        </w:trPr>
        <w:tc>
          <w:tcPr>
            <w:tcW w:w="690" w:type="pct"/>
            <w:vMerge/>
          </w:tcPr>
          <w:p w14:paraId="0107867C" w14:textId="77777777" w:rsidR="00CA453E" w:rsidRPr="00CA453E" w:rsidRDefault="00CA453E" w:rsidP="00EA3C32">
            <w:pPr>
              <w:pStyle w:val="Tabletext"/>
              <w:rPr>
                <w:b/>
                <w:kern w:val="0"/>
                <w:szCs w:val="20"/>
              </w:rPr>
            </w:pPr>
          </w:p>
        </w:tc>
        <w:tc>
          <w:tcPr>
            <w:tcW w:w="1764" w:type="pct"/>
          </w:tcPr>
          <w:p w14:paraId="18BF0164" w14:textId="77777777" w:rsidR="00CA453E" w:rsidRPr="00CA453E" w:rsidRDefault="00CA453E" w:rsidP="00CA453E">
            <w:pPr>
              <w:pStyle w:val="Tabletext"/>
              <w:ind w:left="0"/>
              <w:rPr>
                <w:kern w:val="0"/>
                <w:szCs w:val="20"/>
              </w:rPr>
            </w:pPr>
            <w:r w:rsidRPr="00CA453E">
              <w:rPr>
                <w:kern w:val="0"/>
                <w:szCs w:val="20"/>
              </w:rPr>
              <w:t>Reversible posterior leukoencephalopathy syndrome (RPLS)</w:t>
            </w:r>
          </w:p>
        </w:tc>
        <w:tc>
          <w:tcPr>
            <w:tcW w:w="573" w:type="pct"/>
          </w:tcPr>
          <w:p w14:paraId="72A51199"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Pr>
          <w:p w14:paraId="41A10FBC"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5AE565CE" w14:textId="77777777" w:rsidR="00CA453E" w:rsidRPr="00CA453E" w:rsidRDefault="00CA453E" w:rsidP="00EA3C32">
            <w:pPr>
              <w:pStyle w:val="Tabletext"/>
              <w:jc w:val="center"/>
              <w:rPr>
                <w:kern w:val="0"/>
                <w:szCs w:val="20"/>
              </w:rPr>
            </w:pPr>
            <w:r w:rsidRPr="00CA453E">
              <w:rPr>
                <w:kern w:val="0"/>
                <w:szCs w:val="20"/>
              </w:rPr>
              <w:t>-</w:t>
            </w:r>
          </w:p>
        </w:tc>
        <w:tc>
          <w:tcPr>
            <w:tcW w:w="683" w:type="pct"/>
          </w:tcPr>
          <w:p w14:paraId="2D7F66C1" w14:textId="77777777" w:rsidR="00CA453E" w:rsidRPr="00CA453E" w:rsidRDefault="00CA453E" w:rsidP="00EA3C32">
            <w:pPr>
              <w:pStyle w:val="Tabletext"/>
              <w:jc w:val="center"/>
              <w:rPr>
                <w:kern w:val="0"/>
                <w:szCs w:val="20"/>
              </w:rPr>
            </w:pPr>
            <w:r w:rsidRPr="00CA453E">
              <w:rPr>
                <w:kern w:val="0"/>
                <w:szCs w:val="20"/>
              </w:rPr>
              <w:t>-</w:t>
            </w:r>
          </w:p>
        </w:tc>
      </w:tr>
      <w:tr w:rsidR="00CA453E" w:rsidRPr="00CA453E" w14:paraId="0654301D" w14:textId="77777777" w:rsidTr="00DE7A9B">
        <w:trPr>
          <w:trHeight w:val="697"/>
        </w:trPr>
        <w:tc>
          <w:tcPr>
            <w:tcW w:w="690" w:type="pct"/>
            <w:vMerge/>
          </w:tcPr>
          <w:p w14:paraId="0C3C1CF9" w14:textId="77777777" w:rsidR="00CA453E" w:rsidRPr="00CA453E" w:rsidRDefault="00CA453E" w:rsidP="00EA3C32">
            <w:pPr>
              <w:pStyle w:val="Tabletext"/>
              <w:rPr>
                <w:b/>
                <w:kern w:val="0"/>
                <w:szCs w:val="20"/>
              </w:rPr>
            </w:pPr>
          </w:p>
        </w:tc>
        <w:tc>
          <w:tcPr>
            <w:tcW w:w="1764" w:type="pct"/>
          </w:tcPr>
          <w:p w14:paraId="79303C11" w14:textId="77777777" w:rsidR="00CA453E" w:rsidRPr="00CA453E" w:rsidRDefault="00CA453E" w:rsidP="00CA453E">
            <w:pPr>
              <w:pStyle w:val="Tabletext"/>
              <w:ind w:left="0"/>
              <w:rPr>
                <w:kern w:val="0"/>
                <w:szCs w:val="20"/>
              </w:rPr>
            </w:pPr>
            <w:r w:rsidRPr="00CA453E">
              <w:rPr>
                <w:kern w:val="0"/>
                <w:szCs w:val="20"/>
              </w:rPr>
              <w:t>Adenocarcinoma of colon in ulcerative colitis (UC) patients</w:t>
            </w:r>
          </w:p>
        </w:tc>
        <w:tc>
          <w:tcPr>
            <w:tcW w:w="573" w:type="pct"/>
          </w:tcPr>
          <w:p w14:paraId="4A7D608C"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Pr>
          <w:p w14:paraId="46EDA4D0"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25D8A41E" w14:textId="77777777" w:rsidR="00CA453E" w:rsidRPr="00CA453E" w:rsidRDefault="00CA453E" w:rsidP="00EA3C32">
            <w:pPr>
              <w:pStyle w:val="Tabletext"/>
              <w:jc w:val="center"/>
              <w:rPr>
                <w:kern w:val="0"/>
                <w:szCs w:val="20"/>
              </w:rPr>
            </w:pPr>
            <w:r w:rsidRPr="00CA453E">
              <w:rPr>
                <w:kern w:val="0"/>
                <w:szCs w:val="20"/>
              </w:rPr>
              <w:t>-</w:t>
            </w:r>
          </w:p>
        </w:tc>
        <w:tc>
          <w:tcPr>
            <w:tcW w:w="683" w:type="pct"/>
          </w:tcPr>
          <w:p w14:paraId="031CE39A" w14:textId="77777777" w:rsidR="00CA453E" w:rsidRPr="00CA453E" w:rsidRDefault="00CA453E" w:rsidP="00EA3C32">
            <w:pPr>
              <w:pStyle w:val="Tabletext"/>
              <w:jc w:val="center"/>
              <w:rPr>
                <w:kern w:val="0"/>
                <w:szCs w:val="20"/>
              </w:rPr>
            </w:pPr>
            <w:r w:rsidRPr="00CA453E">
              <w:rPr>
                <w:kern w:val="0"/>
                <w:szCs w:val="20"/>
              </w:rPr>
              <w:t>-</w:t>
            </w:r>
          </w:p>
        </w:tc>
      </w:tr>
      <w:tr w:rsidR="00CA453E" w:rsidRPr="00CA453E" w14:paraId="6683BF1A" w14:textId="77777777" w:rsidTr="00DE7A9B">
        <w:trPr>
          <w:trHeight w:val="679"/>
        </w:trPr>
        <w:tc>
          <w:tcPr>
            <w:tcW w:w="690" w:type="pct"/>
            <w:vMerge w:val="restart"/>
          </w:tcPr>
          <w:p w14:paraId="66C67F9C" w14:textId="77777777" w:rsidR="00CA453E" w:rsidRPr="00CA453E" w:rsidRDefault="00CA453E" w:rsidP="00CA453E">
            <w:pPr>
              <w:pStyle w:val="Tabletext"/>
              <w:ind w:left="0"/>
              <w:rPr>
                <w:b/>
                <w:kern w:val="0"/>
                <w:szCs w:val="20"/>
              </w:rPr>
            </w:pPr>
            <w:r w:rsidRPr="00CA453E">
              <w:rPr>
                <w:b/>
                <w:kern w:val="0"/>
                <w:szCs w:val="20"/>
              </w:rPr>
              <w:t>Missing information</w:t>
            </w:r>
          </w:p>
        </w:tc>
        <w:tc>
          <w:tcPr>
            <w:tcW w:w="1764" w:type="pct"/>
          </w:tcPr>
          <w:p w14:paraId="681A618C" w14:textId="77777777" w:rsidR="00CA453E" w:rsidRPr="00CA453E" w:rsidRDefault="00CA453E" w:rsidP="00CA453E">
            <w:pPr>
              <w:pStyle w:val="Tabletext"/>
              <w:ind w:left="0"/>
              <w:rPr>
                <w:kern w:val="0"/>
                <w:szCs w:val="20"/>
              </w:rPr>
            </w:pPr>
            <w:r w:rsidRPr="00CA453E">
              <w:rPr>
                <w:kern w:val="0"/>
                <w:szCs w:val="20"/>
              </w:rPr>
              <w:t>Patients with Immune Compromised conditions</w:t>
            </w:r>
          </w:p>
        </w:tc>
        <w:tc>
          <w:tcPr>
            <w:tcW w:w="573" w:type="pct"/>
          </w:tcPr>
          <w:p w14:paraId="571D1944"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Pr>
          <w:p w14:paraId="125F24A4"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670D605F"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83" w:type="pct"/>
          </w:tcPr>
          <w:p w14:paraId="07371094" w14:textId="77777777" w:rsidR="00CA453E" w:rsidRPr="00CA453E" w:rsidRDefault="00CA453E" w:rsidP="00EA3C32">
            <w:pPr>
              <w:pStyle w:val="Tabletext"/>
              <w:jc w:val="center"/>
              <w:rPr>
                <w:kern w:val="0"/>
                <w:szCs w:val="20"/>
              </w:rPr>
            </w:pPr>
            <w:r w:rsidRPr="00CA453E">
              <w:rPr>
                <w:kern w:val="0"/>
                <w:szCs w:val="20"/>
              </w:rPr>
              <w:t>-</w:t>
            </w:r>
          </w:p>
        </w:tc>
      </w:tr>
      <w:tr w:rsidR="00CA453E" w:rsidRPr="00CA453E" w14:paraId="31C3D044" w14:textId="77777777" w:rsidTr="00DE7A9B">
        <w:trPr>
          <w:trHeight w:val="689"/>
        </w:trPr>
        <w:tc>
          <w:tcPr>
            <w:tcW w:w="690" w:type="pct"/>
            <w:vMerge/>
          </w:tcPr>
          <w:p w14:paraId="67473145" w14:textId="77777777" w:rsidR="00CA453E" w:rsidRPr="00CA453E" w:rsidRDefault="00CA453E" w:rsidP="00EA3C32">
            <w:pPr>
              <w:pStyle w:val="Tabletext"/>
              <w:rPr>
                <w:kern w:val="0"/>
                <w:szCs w:val="20"/>
              </w:rPr>
            </w:pPr>
          </w:p>
        </w:tc>
        <w:tc>
          <w:tcPr>
            <w:tcW w:w="1764" w:type="pct"/>
          </w:tcPr>
          <w:p w14:paraId="313A0254" w14:textId="77777777" w:rsidR="00CA453E" w:rsidRPr="00CA453E" w:rsidRDefault="00CA453E" w:rsidP="00CA453E">
            <w:pPr>
              <w:pStyle w:val="Tabletext"/>
              <w:ind w:left="0"/>
              <w:rPr>
                <w:kern w:val="0"/>
                <w:szCs w:val="20"/>
              </w:rPr>
            </w:pPr>
            <w:r w:rsidRPr="00CA453E">
              <w:rPr>
                <w:kern w:val="0"/>
                <w:szCs w:val="20"/>
              </w:rPr>
              <w:t xml:space="preserve">Episodic treatment in Ps, </w:t>
            </w:r>
            <w:proofErr w:type="gramStart"/>
            <w:r w:rsidRPr="00CA453E">
              <w:rPr>
                <w:kern w:val="0"/>
                <w:szCs w:val="20"/>
              </w:rPr>
              <w:t>UC</w:t>
            </w:r>
            <w:proofErr w:type="gramEnd"/>
            <w:r w:rsidRPr="00CA453E">
              <w:rPr>
                <w:kern w:val="0"/>
                <w:szCs w:val="20"/>
              </w:rPr>
              <w:t xml:space="preserve"> and JIA</w:t>
            </w:r>
          </w:p>
        </w:tc>
        <w:tc>
          <w:tcPr>
            <w:tcW w:w="573" w:type="pct"/>
          </w:tcPr>
          <w:p w14:paraId="19781753"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Pr>
          <w:p w14:paraId="2F239795"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037AED19" w14:textId="77777777" w:rsidR="00CA453E" w:rsidRPr="00CA453E" w:rsidRDefault="00CA453E" w:rsidP="00EA3C32">
            <w:pPr>
              <w:pStyle w:val="Tabletext"/>
              <w:jc w:val="center"/>
              <w:rPr>
                <w:kern w:val="0"/>
                <w:szCs w:val="20"/>
              </w:rPr>
            </w:pPr>
            <w:r w:rsidRPr="00CA453E">
              <w:rPr>
                <w:kern w:val="0"/>
                <w:szCs w:val="20"/>
              </w:rPr>
              <w:t>-</w:t>
            </w:r>
          </w:p>
        </w:tc>
        <w:tc>
          <w:tcPr>
            <w:tcW w:w="683" w:type="pct"/>
          </w:tcPr>
          <w:p w14:paraId="1DE693E1" w14:textId="77777777" w:rsidR="00CA453E" w:rsidRPr="00CA453E" w:rsidRDefault="00CA453E" w:rsidP="00EA3C32">
            <w:pPr>
              <w:pStyle w:val="Tabletext"/>
              <w:jc w:val="center"/>
              <w:rPr>
                <w:kern w:val="0"/>
                <w:szCs w:val="20"/>
              </w:rPr>
            </w:pPr>
            <w:r w:rsidRPr="00CA453E">
              <w:rPr>
                <w:kern w:val="0"/>
                <w:szCs w:val="20"/>
              </w:rPr>
              <w:t>-</w:t>
            </w:r>
          </w:p>
        </w:tc>
      </w:tr>
      <w:tr w:rsidR="00CA453E" w:rsidRPr="00CA453E" w14:paraId="27C7D4EB" w14:textId="77777777" w:rsidTr="00DE7A9B">
        <w:trPr>
          <w:trHeight w:val="968"/>
        </w:trPr>
        <w:tc>
          <w:tcPr>
            <w:tcW w:w="690" w:type="pct"/>
            <w:vMerge/>
          </w:tcPr>
          <w:p w14:paraId="40199D04" w14:textId="77777777" w:rsidR="00CA453E" w:rsidRPr="00CA453E" w:rsidRDefault="00CA453E" w:rsidP="00EA3C32">
            <w:pPr>
              <w:pStyle w:val="Tabletext"/>
              <w:rPr>
                <w:kern w:val="0"/>
                <w:szCs w:val="20"/>
              </w:rPr>
            </w:pPr>
          </w:p>
        </w:tc>
        <w:tc>
          <w:tcPr>
            <w:tcW w:w="1764" w:type="pct"/>
          </w:tcPr>
          <w:p w14:paraId="31A973E7" w14:textId="77777777" w:rsidR="00CA453E" w:rsidRPr="00CA453E" w:rsidRDefault="00CA453E" w:rsidP="00CA453E">
            <w:pPr>
              <w:pStyle w:val="Tabletext"/>
              <w:ind w:left="0"/>
              <w:rPr>
                <w:kern w:val="0"/>
                <w:szCs w:val="20"/>
              </w:rPr>
            </w:pPr>
            <w:r w:rsidRPr="00CA453E">
              <w:rPr>
                <w:kern w:val="0"/>
                <w:szCs w:val="20"/>
              </w:rPr>
              <w:t>Long-term safety information in the treatment of children with uveitis</w:t>
            </w:r>
          </w:p>
        </w:tc>
        <w:tc>
          <w:tcPr>
            <w:tcW w:w="573" w:type="pct"/>
          </w:tcPr>
          <w:p w14:paraId="4CD02967"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94" w:type="pct"/>
          </w:tcPr>
          <w:p w14:paraId="68D12F01"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3C052A5B" w14:textId="77777777" w:rsidR="00CA453E" w:rsidRPr="00CA453E" w:rsidRDefault="00CA453E" w:rsidP="00EA3C32">
            <w:pPr>
              <w:pStyle w:val="Tabletext"/>
              <w:jc w:val="center"/>
              <w:rPr>
                <w:kern w:val="0"/>
                <w:szCs w:val="20"/>
              </w:rPr>
            </w:pPr>
            <w:r w:rsidRPr="00CA453E">
              <w:rPr>
                <w:rFonts w:ascii="Wingdings" w:eastAsia="Wingdings" w:hAnsi="Wingdings" w:cs="Wingdings"/>
                <w:kern w:val="0"/>
                <w:szCs w:val="20"/>
              </w:rPr>
              <w:t></w:t>
            </w:r>
          </w:p>
        </w:tc>
        <w:tc>
          <w:tcPr>
            <w:tcW w:w="683" w:type="pct"/>
          </w:tcPr>
          <w:p w14:paraId="2D36BB9A" w14:textId="77777777" w:rsidR="00CA453E" w:rsidRPr="00CA453E" w:rsidRDefault="00CA453E" w:rsidP="00EA3C32">
            <w:pPr>
              <w:pStyle w:val="Tabletext"/>
              <w:jc w:val="center"/>
              <w:rPr>
                <w:kern w:val="0"/>
                <w:szCs w:val="20"/>
              </w:rPr>
            </w:pPr>
            <w:r w:rsidRPr="00CA453E">
              <w:rPr>
                <w:kern w:val="0"/>
                <w:szCs w:val="20"/>
              </w:rPr>
              <w:t>-</w:t>
            </w:r>
          </w:p>
        </w:tc>
      </w:tr>
      <w:tr w:rsidR="00CA453E" w:rsidRPr="00CA453E" w14:paraId="2FCCF610" w14:textId="77777777" w:rsidTr="00DE7A9B">
        <w:trPr>
          <w:trHeight w:val="1124"/>
        </w:trPr>
        <w:tc>
          <w:tcPr>
            <w:tcW w:w="690" w:type="pct"/>
            <w:vMerge/>
          </w:tcPr>
          <w:p w14:paraId="38400A45" w14:textId="77777777" w:rsidR="00CA453E" w:rsidRPr="00CA453E" w:rsidRDefault="00CA453E" w:rsidP="00EA3C32">
            <w:pPr>
              <w:pStyle w:val="Tabletext"/>
              <w:rPr>
                <w:kern w:val="0"/>
                <w:szCs w:val="20"/>
              </w:rPr>
            </w:pPr>
          </w:p>
        </w:tc>
        <w:tc>
          <w:tcPr>
            <w:tcW w:w="1764" w:type="pct"/>
          </w:tcPr>
          <w:p w14:paraId="4CEFAE3C" w14:textId="4864DEAA" w:rsidR="00CA453E" w:rsidRPr="00CA453E" w:rsidRDefault="00CA453E" w:rsidP="00CA453E">
            <w:pPr>
              <w:pStyle w:val="Tabletext"/>
              <w:ind w:left="0"/>
              <w:rPr>
                <w:kern w:val="0"/>
                <w:szCs w:val="20"/>
              </w:rPr>
            </w:pPr>
            <w:r w:rsidRPr="00CA453E">
              <w:rPr>
                <w:kern w:val="0"/>
                <w:szCs w:val="20"/>
              </w:rPr>
              <w:t>Long-term safety information in the treatment of</w:t>
            </w:r>
            <w:r>
              <w:rPr>
                <w:kern w:val="0"/>
                <w:szCs w:val="20"/>
              </w:rPr>
              <w:t xml:space="preserve"> </w:t>
            </w:r>
            <w:r w:rsidRPr="00CA453E">
              <w:rPr>
                <w:kern w:val="0"/>
                <w:szCs w:val="20"/>
              </w:rPr>
              <w:t>children aged from 6 years to less than 18 years with ulcerative colitis.</w:t>
            </w:r>
          </w:p>
        </w:tc>
        <w:tc>
          <w:tcPr>
            <w:tcW w:w="573" w:type="pct"/>
          </w:tcPr>
          <w:p w14:paraId="21FC180E" w14:textId="77777777" w:rsidR="00CA453E" w:rsidRPr="00CA453E" w:rsidRDefault="00CA453E" w:rsidP="00EA3C32">
            <w:pPr>
              <w:pStyle w:val="Tabletext"/>
              <w:jc w:val="center"/>
              <w:rPr>
                <w:rFonts w:eastAsia="Cambria"/>
                <w:kern w:val="0"/>
                <w:szCs w:val="20"/>
              </w:rPr>
            </w:pPr>
            <w:r w:rsidRPr="00CA453E">
              <w:rPr>
                <w:rFonts w:ascii="Wingdings" w:eastAsia="Wingdings" w:hAnsi="Wingdings" w:cs="Wingdings"/>
                <w:kern w:val="0"/>
                <w:szCs w:val="20"/>
              </w:rPr>
              <w:t></w:t>
            </w:r>
          </w:p>
        </w:tc>
        <w:tc>
          <w:tcPr>
            <w:tcW w:w="694" w:type="pct"/>
          </w:tcPr>
          <w:p w14:paraId="5F3385E9"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56A517A8" w14:textId="77777777" w:rsidR="00CA453E" w:rsidRPr="00CA453E" w:rsidRDefault="00CA453E" w:rsidP="00EA3C32">
            <w:pPr>
              <w:pStyle w:val="Tabletext"/>
              <w:jc w:val="center"/>
              <w:rPr>
                <w:rFonts w:eastAsia="Cambria"/>
                <w:kern w:val="0"/>
                <w:szCs w:val="20"/>
              </w:rPr>
            </w:pPr>
            <w:r w:rsidRPr="00CA453E">
              <w:rPr>
                <w:rFonts w:eastAsia="Cambria"/>
                <w:kern w:val="0"/>
                <w:szCs w:val="20"/>
              </w:rPr>
              <w:t>-</w:t>
            </w:r>
          </w:p>
        </w:tc>
        <w:tc>
          <w:tcPr>
            <w:tcW w:w="683" w:type="pct"/>
          </w:tcPr>
          <w:p w14:paraId="168963F9" w14:textId="77777777" w:rsidR="00CA453E" w:rsidRPr="00CA453E" w:rsidRDefault="00CA453E" w:rsidP="00EA3C32">
            <w:pPr>
              <w:pStyle w:val="Tabletext"/>
              <w:jc w:val="center"/>
              <w:rPr>
                <w:kern w:val="0"/>
                <w:szCs w:val="20"/>
              </w:rPr>
            </w:pPr>
            <w:r w:rsidRPr="00CA453E">
              <w:rPr>
                <w:kern w:val="0"/>
                <w:szCs w:val="20"/>
              </w:rPr>
              <w:t>-</w:t>
            </w:r>
          </w:p>
        </w:tc>
      </w:tr>
      <w:tr w:rsidR="00CA453E" w:rsidRPr="00CA453E" w14:paraId="702EFAE0" w14:textId="77777777" w:rsidTr="00DE7A9B">
        <w:trPr>
          <w:trHeight w:val="1112"/>
        </w:trPr>
        <w:tc>
          <w:tcPr>
            <w:tcW w:w="690" w:type="pct"/>
            <w:vMerge/>
          </w:tcPr>
          <w:p w14:paraId="65089CE6" w14:textId="77777777" w:rsidR="00CA453E" w:rsidRPr="00CA453E" w:rsidRDefault="00CA453E" w:rsidP="00EA3C32">
            <w:pPr>
              <w:pStyle w:val="Tabletext"/>
              <w:rPr>
                <w:kern w:val="0"/>
                <w:szCs w:val="20"/>
              </w:rPr>
            </w:pPr>
          </w:p>
        </w:tc>
        <w:tc>
          <w:tcPr>
            <w:tcW w:w="1764" w:type="pct"/>
          </w:tcPr>
          <w:p w14:paraId="19D57D17" w14:textId="1B7CBD1B" w:rsidR="00CA453E" w:rsidRPr="00CA453E" w:rsidRDefault="00CA453E" w:rsidP="00CA453E">
            <w:pPr>
              <w:pStyle w:val="Tabletext"/>
              <w:ind w:left="0"/>
              <w:rPr>
                <w:kern w:val="0"/>
                <w:szCs w:val="20"/>
              </w:rPr>
            </w:pPr>
            <w:r w:rsidRPr="00CA453E">
              <w:rPr>
                <w:kern w:val="0"/>
                <w:szCs w:val="20"/>
              </w:rPr>
              <w:t>Long-term safety information in the treatment of</w:t>
            </w:r>
            <w:r>
              <w:rPr>
                <w:kern w:val="0"/>
                <w:szCs w:val="20"/>
              </w:rPr>
              <w:t xml:space="preserve"> </w:t>
            </w:r>
            <w:r w:rsidRPr="00CA453E">
              <w:rPr>
                <w:kern w:val="0"/>
                <w:szCs w:val="20"/>
              </w:rPr>
              <w:t>children aged from 6 years to less than 18 years with CD</w:t>
            </w:r>
          </w:p>
        </w:tc>
        <w:tc>
          <w:tcPr>
            <w:tcW w:w="573" w:type="pct"/>
          </w:tcPr>
          <w:p w14:paraId="2E2CA5D6" w14:textId="77777777" w:rsidR="00CA453E" w:rsidRPr="00CA453E" w:rsidRDefault="00CA453E" w:rsidP="00EA3C32">
            <w:pPr>
              <w:pStyle w:val="Tabletext"/>
              <w:jc w:val="center"/>
              <w:rPr>
                <w:rFonts w:eastAsia="Cambria"/>
                <w:kern w:val="0"/>
                <w:szCs w:val="20"/>
              </w:rPr>
            </w:pPr>
            <w:r w:rsidRPr="00CA453E">
              <w:rPr>
                <w:rFonts w:ascii="Wingdings" w:eastAsia="Wingdings" w:hAnsi="Wingdings" w:cs="Wingdings"/>
                <w:kern w:val="0"/>
                <w:szCs w:val="20"/>
              </w:rPr>
              <w:t></w:t>
            </w:r>
          </w:p>
        </w:tc>
        <w:tc>
          <w:tcPr>
            <w:tcW w:w="694" w:type="pct"/>
          </w:tcPr>
          <w:p w14:paraId="01E2CB5A" w14:textId="77777777" w:rsidR="00CA453E" w:rsidRPr="00CA453E" w:rsidRDefault="00CA453E" w:rsidP="00EA3C32">
            <w:pPr>
              <w:pStyle w:val="Tabletext"/>
              <w:jc w:val="center"/>
              <w:rPr>
                <w:kern w:val="0"/>
                <w:szCs w:val="20"/>
              </w:rPr>
            </w:pPr>
            <w:r w:rsidRPr="00CA453E">
              <w:rPr>
                <w:kern w:val="0"/>
                <w:szCs w:val="20"/>
              </w:rPr>
              <w:t>-</w:t>
            </w:r>
          </w:p>
        </w:tc>
        <w:tc>
          <w:tcPr>
            <w:tcW w:w="595" w:type="pct"/>
          </w:tcPr>
          <w:p w14:paraId="749FEF8B" w14:textId="77777777" w:rsidR="00CA453E" w:rsidRPr="00CA453E" w:rsidRDefault="00CA453E" w:rsidP="00EA3C32">
            <w:pPr>
              <w:pStyle w:val="Tabletext"/>
              <w:jc w:val="center"/>
              <w:rPr>
                <w:rFonts w:eastAsia="Cambria"/>
                <w:kern w:val="0"/>
                <w:szCs w:val="20"/>
              </w:rPr>
            </w:pPr>
            <w:r w:rsidRPr="00CA453E">
              <w:rPr>
                <w:rFonts w:eastAsia="Cambria"/>
                <w:kern w:val="0"/>
                <w:szCs w:val="20"/>
              </w:rPr>
              <w:t>-</w:t>
            </w:r>
          </w:p>
        </w:tc>
        <w:tc>
          <w:tcPr>
            <w:tcW w:w="683" w:type="pct"/>
          </w:tcPr>
          <w:p w14:paraId="36B59C03" w14:textId="77777777" w:rsidR="00CA453E" w:rsidRPr="00CA453E" w:rsidRDefault="00CA453E" w:rsidP="00EA3C32">
            <w:pPr>
              <w:pStyle w:val="Tabletext"/>
              <w:jc w:val="center"/>
              <w:rPr>
                <w:kern w:val="0"/>
                <w:szCs w:val="20"/>
              </w:rPr>
            </w:pPr>
            <w:r w:rsidRPr="00CA453E">
              <w:rPr>
                <w:kern w:val="0"/>
                <w:szCs w:val="20"/>
              </w:rPr>
              <w:t>-</w:t>
            </w:r>
          </w:p>
        </w:tc>
      </w:tr>
    </w:tbl>
    <w:p w14:paraId="5A1B99E7" w14:textId="5B78BF5A" w:rsidR="00CA453E" w:rsidRDefault="00CA453E" w:rsidP="00CA453E">
      <w:pPr>
        <w:pStyle w:val="TableDescription"/>
      </w:pPr>
      <w:r w:rsidRPr="00AB1CA7">
        <w:t>* Patient reminder card</w:t>
      </w:r>
    </w:p>
    <w:p w14:paraId="51E26FE9" w14:textId="076A4385" w:rsidR="00CA453E" w:rsidRPr="00673DC4" w:rsidRDefault="00CA453E" w:rsidP="00CA453E">
      <w:pPr>
        <w:spacing w:before="120"/>
      </w:pPr>
      <w:r w:rsidRPr="00E907A4">
        <w:t xml:space="preserve">The important identified and potential risks in the summary of safety concerns align </w:t>
      </w:r>
      <w:r>
        <w:t>with the current</w:t>
      </w:r>
      <w:r w:rsidRPr="00E907A4">
        <w:t xml:space="preserve"> </w:t>
      </w:r>
      <w:r>
        <w:t xml:space="preserve">Humira </w:t>
      </w:r>
      <w:r w:rsidRPr="00CA453E">
        <w:rPr>
          <w:color w:val="000000" w:themeColor="text1"/>
        </w:rPr>
        <w:t xml:space="preserve">reference product RMP and those listed in the supplied EU-RMP in support of </w:t>
      </w:r>
      <w:proofErr w:type="spellStart"/>
      <w:r w:rsidRPr="00CA453E">
        <w:rPr>
          <w:color w:val="000000" w:themeColor="text1"/>
        </w:rPr>
        <w:t>Ciptunec</w:t>
      </w:r>
      <w:proofErr w:type="spellEnd"/>
      <w:r w:rsidRPr="00CA453E">
        <w:rPr>
          <w:color w:val="000000" w:themeColor="text1"/>
        </w:rPr>
        <w:t>/</w:t>
      </w:r>
      <w:proofErr w:type="spellStart"/>
      <w:r w:rsidRPr="00CA453E">
        <w:rPr>
          <w:color w:val="000000" w:themeColor="text1"/>
        </w:rPr>
        <w:t>Ardalicip</w:t>
      </w:r>
      <w:proofErr w:type="spellEnd"/>
      <w:r w:rsidRPr="00CA453E">
        <w:rPr>
          <w:color w:val="000000" w:themeColor="text1"/>
        </w:rPr>
        <w:t>. The summary of safety concerns is acceptable from an RMP perspective.</w:t>
      </w:r>
    </w:p>
    <w:p w14:paraId="76EC147C" w14:textId="7FC7DB1C" w:rsidR="00CA453E" w:rsidRPr="00673DC4" w:rsidRDefault="00CA453E" w:rsidP="00CA453E">
      <w:r w:rsidRPr="00673DC4">
        <w:lastRenderedPageBreak/>
        <w:t xml:space="preserve">No routine pharmacovigilance activities beyond adverse reactions reporting and signal detection will be conducted for the proposed products. Furthermore, no additional pharmacovigilance activities have been proposed. This aligns with the EU-RMP, however, Humira treatment is included in </w:t>
      </w:r>
      <w:proofErr w:type="gramStart"/>
      <w:r w:rsidRPr="00673DC4">
        <w:t>a number of</w:t>
      </w:r>
      <w:proofErr w:type="gramEnd"/>
      <w:r w:rsidRPr="00673DC4">
        <w:t xml:space="preserve"> international registries which monitor serious infection, </w:t>
      </w:r>
      <w:r w:rsidRPr="00CA453E">
        <w:rPr>
          <w:color w:val="000000" w:themeColor="text1"/>
        </w:rPr>
        <w:t xml:space="preserve">tuberculosis and </w:t>
      </w:r>
      <w:r w:rsidRPr="00673DC4">
        <w:t>malignancies as events of special interest. From an RMP perspective, though biosimilar sponsors are strongly encouraged to participate in international registries where follow</w:t>
      </w:r>
      <w:r>
        <w:t xml:space="preserve"> </w:t>
      </w:r>
      <w:r w:rsidRPr="00673DC4">
        <w:t>up of adalimumab is ongoing this is generally not a regulatory requirement. From an RMP perspective, the proposed plan is acceptable.</w:t>
      </w:r>
    </w:p>
    <w:p w14:paraId="7701E55A" w14:textId="5199AA01" w:rsidR="00CA453E" w:rsidRDefault="00CA453E" w:rsidP="00CA453E">
      <w:pPr>
        <w:rPr>
          <w:color w:val="000000" w:themeColor="text1"/>
        </w:rPr>
      </w:pPr>
      <w:r w:rsidRPr="00673DC4">
        <w:t xml:space="preserve">The proposed risk minimisation plan aligns with the reference product RMP and supplied biosimilar EU-RMP. Routine and additional risk minimisation activities are proposed for all identified risks. </w:t>
      </w:r>
      <w:r>
        <w:t>R</w:t>
      </w:r>
      <w:r w:rsidRPr="00673DC4">
        <w:t>outine risk minimisation is also proposed for missing information relating to ‘Patients with immune compromised conditions’ and ‘Long-term safety information in the treatment of children with uveitis’</w:t>
      </w:r>
      <w:r>
        <w:t xml:space="preserve">. </w:t>
      </w:r>
      <w:r w:rsidRPr="00E779EB">
        <w:t>Additional</w:t>
      </w:r>
      <w:r w:rsidRPr="00673DC4">
        <w:t xml:space="preserve"> risk minimisation activity </w:t>
      </w:r>
      <w:r>
        <w:t>proposed for the i</w:t>
      </w:r>
      <w:r w:rsidRPr="009242A2">
        <w:t>mportant identified risks</w:t>
      </w:r>
      <w:r>
        <w:t xml:space="preserve"> are in the form of</w:t>
      </w:r>
      <w:r w:rsidRPr="00673DC4">
        <w:t xml:space="preserve"> adult and paediatric patient reminder cards. </w:t>
      </w:r>
      <w:r w:rsidRPr="00CA453E">
        <w:rPr>
          <w:color w:val="000000" w:themeColor="text1"/>
        </w:rPr>
        <w:t>The sponsor commits to submitting mock-ups of the adult and paediatric patient reminder cards and details of the card’s distribution plan, to TGA for review and approval, prior to product launch which is an acceptable approach. The risk minimisation plan is acceptable from an RMP perspective.</w:t>
      </w:r>
    </w:p>
    <w:p w14:paraId="2AADFD3B" w14:textId="0D975AC5" w:rsidR="00CA453E" w:rsidRPr="00CA453E" w:rsidRDefault="00CA453E" w:rsidP="00CA453E">
      <w:pPr>
        <w:pStyle w:val="Heading4"/>
      </w:pPr>
      <w:bookmarkStart w:id="58" w:name="_Toc133478221"/>
      <w:r>
        <w:t>R</w:t>
      </w:r>
      <w:r w:rsidRPr="00CA453E">
        <w:t>ecommend</w:t>
      </w:r>
      <w:r>
        <w:t>ed wording</w:t>
      </w:r>
      <w:r w:rsidRPr="00CA453E">
        <w:t xml:space="preserve"> </w:t>
      </w:r>
      <w:r>
        <w:t xml:space="preserve">for risk management plan </w:t>
      </w:r>
      <w:r w:rsidRPr="00644FCC">
        <w:t>related</w:t>
      </w:r>
      <w:r>
        <w:t xml:space="preserve"> c</w:t>
      </w:r>
      <w:r w:rsidRPr="00CA453E">
        <w:t>ondition</w:t>
      </w:r>
      <w:r>
        <w:t>s</w:t>
      </w:r>
      <w:r w:rsidRPr="00CA453E">
        <w:t xml:space="preserve"> of registration</w:t>
      </w:r>
      <w:bookmarkEnd w:id="58"/>
    </w:p>
    <w:p w14:paraId="6FD89147" w14:textId="1914B9A8" w:rsidR="00CA453E" w:rsidRDefault="00CA453E" w:rsidP="00CA453E">
      <w:r>
        <w:t xml:space="preserve">Any changes to which the sponsor has agreed should be included in a revised RMP and ASA. However, irrespective of </w:t>
      </w:r>
      <w:proofErr w:type="gramStart"/>
      <w:r>
        <w:t>whether or not</w:t>
      </w:r>
      <w:proofErr w:type="gramEnd"/>
      <w:r>
        <w:t xml:space="preserve"> they are included in the currently available version of the RMP document, the agreed changes become part of the risk management system.</w:t>
      </w:r>
    </w:p>
    <w:p w14:paraId="624A509E" w14:textId="77777777" w:rsidR="00CA453E" w:rsidRDefault="00CA453E" w:rsidP="00CA453E">
      <w:r>
        <w:t xml:space="preserve">The suggested wording is: </w:t>
      </w:r>
    </w:p>
    <w:p w14:paraId="5803B91B" w14:textId="6530455A" w:rsidR="00CA453E" w:rsidRPr="009231B3" w:rsidRDefault="00D56CD5" w:rsidP="00D56CD5">
      <w:pPr>
        <w:ind w:left="720"/>
      </w:pPr>
      <w:r>
        <w:t>‘</w:t>
      </w:r>
      <w:r w:rsidR="00CA453E" w:rsidRPr="009231B3">
        <w:t xml:space="preserve">The adalimumab EU-RMP (version 0.3, dated 30 July 2021, data lock point 12 March 2020), with </w:t>
      </w:r>
      <w:r w:rsidR="00374F53">
        <w:t>ASA</w:t>
      </w:r>
      <w:r w:rsidR="00CA453E" w:rsidRPr="009231B3">
        <w:t xml:space="preserve"> (version 1.1, dated 5 July 2022), included with submission PM-2021-02447-1-3, and any subsequent revisions, as agreed with the TGA will be implemented in Australia.</w:t>
      </w:r>
      <w:r>
        <w:t>’</w:t>
      </w:r>
    </w:p>
    <w:p w14:paraId="21E11661" w14:textId="77777777" w:rsidR="00CA453E" w:rsidRDefault="00CA453E" w:rsidP="00CA453E">
      <w:r>
        <w:t>The following wording is recommended for the PSUR requirement:</w:t>
      </w:r>
    </w:p>
    <w:p w14:paraId="53244B59" w14:textId="68CA1F8D" w:rsidR="00CA453E" w:rsidRPr="009231B3" w:rsidRDefault="00D56CD5" w:rsidP="00D56CD5">
      <w:pPr>
        <w:ind w:left="720"/>
      </w:pPr>
      <w:r>
        <w:t>‘</w:t>
      </w:r>
      <w:r w:rsidR="00CA453E" w:rsidRPr="009231B3">
        <w:t>An obligatory component of risk management plans is routine pharmacovigilance. Routine pharmacovigilance includes the submission of periodic safety update reports (PSURs).</w:t>
      </w:r>
    </w:p>
    <w:p w14:paraId="326B7371" w14:textId="77777777" w:rsidR="00CA453E" w:rsidRPr="009231B3" w:rsidRDefault="00CA453E" w:rsidP="00D56CD5">
      <w:pPr>
        <w:ind w:left="720"/>
      </w:pPr>
      <w:r w:rsidRPr="009231B3">
        <w:t xml:space="preserve">Reports are to be provided in line with the current published list of EU reference dates and frequency of submission of PSURs until the period covered by such reports is not less than three years from the date of this approval letter. </w:t>
      </w:r>
    </w:p>
    <w:p w14:paraId="0F1BDA2F" w14:textId="7389F27C" w:rsidR="00CA453E" w:rsidRPr="00D56CD5" w:rsidRDefault="00CA453E" w:rsidP="00D56CD5">
      <w:pPr>
        <w:ind w:left="720"/>
      </w:pPr>
      <w:r w:rsidRPr="009231B3">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r w:rsidR="00D56CD5">
        <w:t>’</w:t>
      </w:r>
    </w:p>
    <w:p w14:paraId="74A4F87F" w14:textId="77777777" w:rsidR="00C22214" w:rsidRDefault="00C22214" w:rsidP="00C22214">
      <w:pPr>
        <w:pStyle w:val="Heading3"/>
      </w:pPr>
      <w:bookmarkStart w:id="59" w:name="_Toc103679299"/>
      <w:bookmarkStart w:id="60" w:name="_Toc133478222"/>
      <w:r>
        <w:lastRenderedPageBreak/>
        <w:t>Risk-benefit analysis</w:t>
      </w:r>
      <w:bookmarkEnd w:id="54"/>
      <w:bookmarkEnd w:id="55"/>
      <w:bookmarkEnd w:id="59"/>
      <w:bookmarkEnd w:id="60"/>
    </w:p>
    <w:p w14:paraId="77DE2655" w14:textId="580A9805" w:rsidR="00C22214" w:rsidRDefault="00C22214" w:rsidP="00C22214">
      <w:pPr>
        <w:pStyle w:val="Heading4"/>
      </w:pPr>
      <w:bookmarkStart w:id="61" w:name="_Toc98931932"/>
      <w:bookmarkStart w:id="62" w:name="_Toc133478223"/>
      <w:r>
        <w:t>Delegate’s considerations</w:t>
      </w:r>
      <w:bookmarkEnd w:id="61"/>
      <w:r w:rsidR="00D56CD5">
        <w:t xml:space="preserve"> and proposed action</w:t>
      </w:r>
      <w:bookmarkEnd w:id="62"/>
    </w:p>
    <w:p w14:paraId="5BF38088" w14:textId="195CD3A7" w:rsidR="00D56CD5" w:rsidRPr="00AD63E2" w:rsidRDefault="00D56CD5" w:rsidP="00D56CD5">
      <w:bookmarkStart w:id="63" w:name="_Toc98931934"/>
      <w:r>
        <w:t xml:space="preserve">The sponsor has provided sufficient evidence of physicochemical, </w:t>
      </w:r>
      <w:proofErr w:type="gramStart"/>
      <w:r>
        <w:t>biological</w:t>
      </w:r>
      <w:proofErr w:type="gramEnd"/>
      <w:r>
        <w:t xml:space="preserve"> and clinical comparability to the reference product Humira to allow registration as a biosimilar medicine in Australia. The absence of suitable paediatric formulations for smaller and younger patients has been addressed in the PI.</w:t>
      </w:r>
    </w:p>
    <w:p w14:paraId="318CFABC" w14:textId="77777777" w:rsidR="00C22214" w:rsidRPr="00F73346" w:rsidRDefault="00C22214" w:rsidP="00C22214">
      <w:pPr>
        <w:pStyle w:val="Heading4"/>
      </w:pPr>
      <w:bookmarkStart w:id="64" w:name="_Toc98931936"/>
      <w:bookmarkStart w:id="65" w:name="_Toc133478224"/>
      <w:bookmarkStart w:id="66" w:name="_Toc247691532"/>
      <w:bookmarkStart w:id="67" w:name="_Toc314842516"/>
      <w:bookmarkEnd w:id="63"/>
      <w:r w:rsidRPr="00F73346">
        <w:t>Advisory Committee considerations</w:t>
      </w:r>
      <w:bookmarkEnd w:id="64"/>
      <w:bookmarkEnd w:id="65"/>
    </w:p>
    <w:p w14:paraId="15E2951C" w14:textId="487C046C" w:rsidR="00C22214" w:rsidRPr="007D53B6" w:rsidRDefault="00C22214" w:rsidP="00C22214">
      <w:r w:rsidRPr="00C65E63">
        <w:t xml:space="preserve">The Delegate did not refer this </w:t>
      </w:r>
      <w:r>
        <w:t>submission</w:t>
      </w:r>
      <w:r w:rsidRPr="00C65E63">
        <w:t xml:space="preserve"> to the Advisory Committee on Medicines for advice.</w:t>
      </w:r>
    </w:p>
    <w:p w14:paraId="307F236C" w14:textId="77777777" w:rsidR="00C22214" w:rsidRPr="002E238E" w:rsidRDefault="00C22214" w:rsidP="00C22214">
      <w:pPr>
        <w:pStyle w:val="Heading2"/>
      </w:pPr>
      <w:bookmarkStart w:id="68" w:name="_Toc103679300"/>
      <w:bookmarkStart w:id="69" w:name="_Toc133478225"/>
      <w:r>
        <w:t>Outcome</w:t>
      </w:r>
      <w:bookmarkEnd w:id="66"/>
      <w:bookmarkEnd w:id="67"/>
      <w:bookmarkEnd w:id="68"/>
      <w:bookmarkEnd w:id="69"/>
    </w:p>
    <w:p w14:paraId="4EF22939" w14:textId="5D8691A0" w:rsidR="00C22214" w:rsidRDefault="00C22214" w:rsidP="00C22214">
      <w:pPr>
        <w:spacing w:after="480"/>
      </w:pPr>
      <w:r>
        <w:t xml:space="preserve">Based on a review of quality, safety, and efficacy, the TGA approved the registration of </w:t>
      </w:r>
      <w:proofErr w:type="spellStart"/>
      <w:r w:rsidR="00D56CD5" w:rsidRPr="00272BC1">
        <w:t>A</w:t>
      </w:r>
      <w:r w:rsidR="00D56CD5">
        <w:t>rdalicip</w:t>
      </w:r>
      <w:proofErr w:type="spellEnd"/>
      <w:r w:rsidR="00D56CD5">
        <w:t>/</w:t>
      </w:r>
      <w:proofErr w:type="spellStart"/>
      <w:r w:rsidR="00D56CD5">
        <w:t>Ciptunec</w:t>
      </w:r>
      <w:proofErr w:type="spellEnd"/>
      <w:r w:rsidR="00D56CD5">
        <w:t xml:space="preserve"> (adalimumab</w:t>
      </w:r>
      <w:r w:rsidR="00D56CD5" w:rsidRPr="000A4A42">
        <w:t xml:space="preserve">) </w:t>
      </w:r>
      <w:r w:rsidR="00D56CD5">
        <w:t>40 mg/0.4 mL and 80 mg/0.8 mL</w:t>
      </w:r>
      <w:r w:rsidR="00D56CD5" w:rsidRPr="000A4A42">
        <w:t xml:space="preserve">, </w:t>
      </w:r>
      <w:r w:rsidR="00D56CD5">
        <w:t>solution for subcutaneous injection, pre-filled syringe, pre-filled pen</w:t>
      </w:r>
      <w:r>
        <w:t>, indicated for:</w:t>
      </w:r>
    </w:p>
    <w:p w14:paraId="68F11DF2" w14:textId="77777777" w:rsidR="00D56CD5" w:rsidRPr="00DE7A9B" w:rsidRDefault="00D56CD5" w:rsidP="00D56CD5">
      <w:pPr>
        <w:ind w:left="720"/>
        <w:rPr>
          <w:b/>
          <w:i/>
          <w:iCs/>
        </w:rPr>
      </w:pPr>
      <w:r w:rsidRPr="00DE7A9B">
        <w:rPr>
          <w:b/>
          <w:i/>
          <w:iCs/>
        </w:rPr>
        <w:t>Rheumatoid arthritis</w:t>
      </w:r>
    </w:p>
    <w:p w14:paraId="0516C674"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reducing signs and symptoms, as well as inhibiting the progression of structural damage in adult patients with moderate to severely active rheumatoid arthritis. This includes the treatment of patients with recently diagnosed moderate to severely active disease who have not received methotrexate.</w:t>
      </w:r>
    </w:p>
    <w:p w14:paraId="55C7F514"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can be used alone or in combination with methotrexate.</w:t>
      </w:r>
    </w:p>
    <w:p w14:paraId="7311EF28" w14:textId="77777777" w:rsidR="00D56CD5" w:rsidRPr="00DE7A9B" w:rsidRDefault="00D56CD5" w:rsidP="00D56CD5">
      <w:pPr>
        <w:ind w:left="720"/>
        <w:rPr>
          <w:b/>
          <w:i/>
          <w:iCs/>
        </w:rPr>
      </w:pPr>
      <w:r w:rsidRPr="00DE7A9B">
        <w:rPr>
          <w:b/>
          <w:i/>
          <w:iCs/>
        </w:rPr>
        <w:t>Juvenile idiopathic arthritis</w:t>
      </w:r>
    </w:p>
    <w:p w14:paraId="1210CB25" w14:textId="77777777" w:rsidR="00D56CD5" w:rsidRPr="00DE7A9B" w:rsidRDefault="00D56CD5" w:rsidP="00D56CD5">
      <w:pPr>
        <w:ind w:left="720"/>
        <w:rPr>
          <w:b/>
          <w:i/>
          <w:iCs/>
        </w:rPr>
      </w:pPr>
      <w:r w:rsidRPr="00DE7A9B">
        <w:rPr>
          <w:b/>
          <w:i/>
          <w:iCs/>
        </w:rPr>
        <w:t>Polyarticular juvenile idiopathic arthritis</w:t>
      </w:r>
    </w:p>
    <w:p w14:paraId="294DF66D"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in combination with methotrexate is indicated for reducing the signs and symptoms of moderately to severely active polyarticular juvenile idiopathic arthritis in patients 2 years of age and older weighing ≥ 30 kg who have had an inadequate response to one or more disease modifying anti-rheumatic drugs (DMARDs). </w:t>
      </w: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can be given as monotherapy in case of intolerance to methotrexate or when continued treatment with methotrexate is inappropriate.</w:t>
      </w:r>
    </w:p>
    <w:p w14:paraId="2EF37EFA" w14:textId="77777777" w:rsidR="00D56CD5" w:rsidRPr="00DE7A9B" w:rsidRDefault="00D56CD5" w:rsidP="00D56CD5">
      <w:pPr>
        <w:ind w:left="720"/>
        <w:rPr>
          <w:b/>
          <w:i/>
          <w:iCs/>
        </w:rPr>
      </w:pPr>
      <w:proofErr w:type="spellStart"/>
      <w:r w:rsidRPr="00DE7A9B">
        <w:rPr>
          <w:b/>
          <w:i/>
          <w:iCs/>
        </w:rPr>
        <w:t>Enthesitis</w:t>
      </w:r>
      <w:proofErr w:type="spellEnd"/>
      <w:r w:rsidRPr="00DE7A9B">
        <w:rPr>
          <w:b/>
          <w:i/>
          <w:iCs/>
        </w:rPr>
        <w:t>-related arthritis</w:t>
      </w:r>
    </w:p>
    <w:p w14:paraId="4E5B0C52"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w:t>
      </w:r>
      <w:proofErr w:type="spellStart"/>
      <w:r w:rsidRPr="00421DBB">
        <w:rPr>
          <w:i/>
          <w:iCs/>
        </w:rPr>
        <w:t>enthesitis</w:t>
      </w:r>
      <w:proofErr w:type="spellEnd"/>
      <w:r w:rsidRPr="00421DBB">
        <w:rPr>
          <w:i/>
          <w:iCs/>
        </w:rPr>
        <w:t>-related arthritis in children, who have had an inadequate response to, or who are intolerant to, conventional therapy.</w:t>
      </w:r>
    </w:p>
    <w:p w14:paraId="15F474EB" w14:textId="77777777" w:rsidR="00D56CD5" w:rsidRPr="00DE7A9B" w:rsidRDefault="00D56CD5" w:rsidP="00D56CD5">
      <w:pPr>
        <w:ind w:left="720"/>
        <w:rPr>
          <w:b/>
          <w:i/>
          <w:iCs/>
        </w:rPr>
      </w:pPr>
      <w:r w:rsidRPr="00DE7A9B">
        <w:rPr>
          <w:b/>
          <w:i/>
          <w:iCs/>
        </w:rPr>
        <w:t>Psoriatic arthritis</w:t>
      </w:r>
    </w:p>
    <w:p w14:paraId="5E3607A7"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signs and symptoms, as well as inhibiting the progression of structural damage, of moderate to severely active psoriatic arthritis in adult patients where response to previous DMARDs has been inadequate.</w:t>
      </w:r>
    </w:p>
    <w:p w14:paraId="59D078EB" w14:textId="77777777" w:rsidR="00D56CD5" w:rsidRPr="00DE7A9B" w:rsidRDefault="00D56CD5" w:rsidP="00D56CD5">
      <w:pPr>
        <w:ind w:left="720"/>
        <w:rPr>
          <w:b/>
          <w:i/>
          <w:iCs/>
        </w:rPr>
      </w:pPr>
      <w:r w:rsidRPr="00DE7A9B">
        <w:rPr>
          <w:b/>
          <w:i/>
          <w:iCs/>
        </w:rPr>
        <w:t>Ankylosing spondylitis</w:t>
      </w:r>
    </w:p>
    <w:p w14:paraId="2DBBB4C0"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reducing signs and symptoms in patients with active ankylosing spondylitis.</w:t>
      </w:r>
    </w:p>
    <w:p w14:paraId="1511FA60" w14:textId="77777777" w:rsidR="00D56CD5" w:rsidRPr="00DE7A9B" w:rsidRDefault="00D56CD5" w:rsidP="00D56CD5">
      <w:pPr>
        <w:ind w:left="720"/>
        <w:rPr>
          <w:b/>
          <w:i/>
          <w:iCs/>
        </w:rPr>
      </w:pPr>
      <w:r w:rsidRPr="00DE7A9B">
        <w:rPr>
          <w:b/>
          <w:i/>
          <w:iCs/>
        </w:rPr>
        <w:lastRenderedPageBreak/>
        <w:t>Crohn’s disease in adults and children (≥ 6 years; weighing ≥ 40 kg)</w:t>
      </w:r>
    </w:p>
    <w:p w14:paraId="6DBEF96F"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moderate to severe Crohn’s disease, to reduce the signs and symptoms of the disease and to induce and maintain clinical remission in </w:t>
      </w:r>
      <w:proofErr w:type="gramStart"/>
      <w:r w:rsidRPr="00421DBB">
        <w:rPr>
          <w:i/>
          <w:iCs/>
        </w:rPr>
        <w:t>patients;</w:t>
      </w:r>
      <w:proofErr w:type="gramEnd"/>
    </w:p>
    <w:p w14:paraId="5273F8E1" w14:textId="77777777" w:rsidR="00D56CD5" w:rsidRPr="00421DBB" w:rsidRDefault="00D56CD5" w:rsidP="00D56CD5">
      <w:pPr>
        <w:pStyle w:val="ListBullet"/>
        <w:ind w:left="1080"/>
        <w:rPr>
          <w:i/>
          <w:iCs/>
        </w:rPr>
      </w:pPr>
      <w:r w:rsidRPr="00421DBB">
        <w:rPr>
          <w:i/>
          <w:iCs/>
        </w:rPr>
        <w:t>who have had an inadequate response to conventional therapies or,</w:t>
      </w:r>
    </w:p>
    <w:p w14:paraId="461FBCC2" w14:textId="77777777" w:rsidR="00D56CD5" w:rsidRPr="00421DBB" w:rsidRDefault="00D56CD5" w:rsidP="00D56CD5">
      <w:pPr>
        <w:pStyle w:val="ListBullet"/>
        <w:ind w:left="1080"/>
        <w:rPr>
          <w:i/>
          <w:iCs/>
        </w:rPr>
      </w:pPr>
      <w:r w:rsidRPr="00421DBB">
        <w:rPr>
          <w:i/>
          <w:iCs/>
        </w:rPr>
        <w:t xml:space="preserve">who have lost response to or are intolerant to </w:t>
      </w:r>
      <w:proofErr w:type="gramStart"/>
      <w:r w:rsidRPr="00421DBB">
        <w:rPr>
          <w:i/>
          <w:iCs/>
        </w:rPr>
        <w:t>infliximab</w:t>
      </w:r>
      <w:proofErr w:type="gramEnd"/>
    </w:p>
    <w:p w14:paraId="4A994354" w14:textId="77777777" w:rsidR="00D56CD5" w:rsidRPr="00DE7A9B" w:rsidRDefault="00D56CD5" w:rsidP="00D56CD5">
      <w:pPr>
        <w:ind w:left="720"/>
        <w:rPr>
          <w:b/>
          <w:i/>
          <w:iCs/>
        </w:rPr>
      </w:pPr>
      <w:r w:rsidRPr="00DE7A9B">
        <w:rPr>
          <w:b/>
          <w:i/>
          <w:iCs/>
        </w:rPr>
        <w:t>Ulcerative colitis</w:t>
      </w:r>
    </w:p>
    <w:p w14:paraId="74B8DA15"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moderate to severe ulcerative colitis in adult patients who have had an inadequate response to conventional therapy or who are intolerant to or have medical contraindications for such therapies. Patients should show a clinical response within 8 weeks of treatment to continue treatment beyond that time (see section 5.1 Pharmacodynamic properties -clinical trials).</w:t>
      </w:r>
    </w:p>
    <w:p w14:paraId="72935F65" w14:textId="77777777" w:rsidR="00D56CD5" w:rsidRPr="00DE7A9B" w:rsidRDefault="00D56CD5" w:rsidP="00D56CD5">
      <w:pPr>
        <w:ind w:left="720"/>
        <w:rPr>
          <w:b/>
          <w:i/>
          <w:iCs/>
        </w:rPr>
      </w:pPr>
      <w:r w:rsidRPr="00DE7A9B">
        <w:rPr>
          <w:b/>
          <w:i/>
          <w:iCs/>
        </w:rPr>
        <w:t>Psoriasis in adults and children</w:t>
      </w:r>
    </w:p>
    <w:p w14:paraId="1ABFAAFE"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moderate to severe chronic plaque psoriasis in adult patients who are candidates for systemic therapy or phototherapy.</w:t>
      </w:r>
    </w:p>
    <w:p w14:paraId="460F8B25"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severe chronic plaque psoriasis in children and adolescent patients from 4 years of age weighing ≥ 40 kg who have had an inadequate response to or are inappropriate candidates for topical therapy and phototherapy.</w:t>
      </w:r>
    </w:p>
    <w:p w14:paraId="5D59DF1C" w14:textId="5C53DF02" w:rsidR="00D56CD5" w:rsidRPr="00DE7A9B" w:rsidRDefault="00D56CD5" w:rsidP="00D56CD5">
      <w:pPr>
        <w:ind w:left="720"/>
        <w:rPr>
          <w:b/>
          <w:i/>
          <w:iCs/>
        </w:rPr>
      </w:pPr>
      <w:r w:rsidRPr="00DE7A9B">
        <w:rPr>
          <w:b/>
          <w:i/>
          <w:iCs/>
        </w:rPr>
        <w:t>Hidradenitis suppurativa in adults and adolescents (from 12 years of age)</w:t>
      </w:r>
    </w:p>
    <w:p w14:paraId="5BD118C0" w14:textId="77777777" w:rsidR="00D56CD5" w:rsidRPr="00421DBB" w:rsidRDefault="00D56CD5" w:rsidP="00D56CD5">
      <w:pPr>
        <w:ind w:left="720"/>
        <w:rPr>
          <w:i/>
          <w:iCs/>
        </w:rPr>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active moderate to severe hidradenitis suppurativa (acne </w:t>
      </w:r>
      <w:proofErr w:type="spellStart"/>
      <w:r w:rsidRPr="00421DBB">
        <w:rPr>
          <w:i/>
          <w:iCs/>
        </w:rPr>
        <w:t>inversa</w:t>
      </w:r>
      <w:proofErr w:type="spellEnd"/>
      <w:r w:rsidRPr="00421DBB">
        <w:rPr>
          <w:i/>
          <w:iCs/>
        </w:rPr>
        <w:t>) in patients with an inadequate response to conventional systemic hidradenitis suppurativa therapy.</w:t>
      </w:r>
    </w:p>
    <w:p w14:paraId="7FAF66F2" w14:textId="77777777" w:rsidR="00D56CD5" w:rsidRPr="00DE7A9B" w:rsidRDefault="00D56CD5" w:rsidP="00D56CD5">
      <w:pPr>
        <w:ind w:left="720"/>
        <w:rPr>
          <w:b/>
          <w:i/>
          <w:iCs/>
        </w:rPr>
      </w:pPr>
      <w:r w:rsidRPr="00DE7A9B">
        <w:rPr>
          <w:b/>
          <w:i/>
          <w:iCs/>
        </w:rPr>
        <w:t>Uveitis</w:t>
      </w:r>
    </w:p>
    <w:p w14:paraId="3B245AB5" w14:textId="25369918" w:rsidR="00C22214" w:rsidRDefault="00D56CD5" w:rsidP="00D56CD5">
      <w:pPr>
        <w:ind w:left="720"/>
      </w:pPr>
      <w:proofErr w:type="spellStart"/>
      <w:r w:rsidRPr="00421DBB">
        <w:rPr>
          <w:i/>
          <w:iCs/>
        </w:rPr>
        <w:t>Ciptunec</w:t>
      </w:r>
      <w:proofErr w:type="spellEnd"/>
      <w:r w:rsidRPr="00421DBB">
        <w:rPr>
          <w:i/>
          <w:iCs/>
        </w:rPr>
        <w:t xml:space="preserve"> and </w:t>
      </w:r>
      <w:proofErr w:type="spellStart"/>
      <w:r w:rsidRPr="00421DBB">
        <w:rPr>
          <w:i/>
          <w:iCs/>
        </w:rPr>
        <w:t>Ardalicip</w:t>
      </w:r>
      <w:proofErr w:type="spellEnd"/>
      <w:r w:rsidRPr="00421DBB">
        <w:rPr>
          <w:i/>
          <w:iCs/>
        </w:rPr>
        <w:t xml:space="preserve"> are indicated for the treatment of non-infectious intermediate, posterior and pan-uveitis in adult patients who have had an inadequate response to corticosteroids, in patients in need of corticosteroid sparing, or in whom corticosteroid treatment is inappropriate.</w:t>
      </w:r>
    </w:p>
    <w:p w14:paraId="6D25891E" w14:textId="3A9C02FD" w:rsidR="00C22214" w:rsidRDefault="00C22214" w:rsidP="00C22214">
      <w:pPr>
        <w:pStyle w:val="Heading3"/>
      </w:pPr>
      <w:bookmarkStart w:id="70" w:name="_Toc103679301"/>
      <w:bookmarkStart w:id="71" w:name="_Toc133478226"/>
      <w:r w:rsidRPr="00D23139">
        <w:t>Specific conditions of registration applying to these goods</w:t>
      </w:r>
      <w:bookmarkEnd w:id="70"/>
      <w:bookmarkEnd w:id="71"/>
    </w:p>
    <w:p w14:paraId="3E869207" w14:textId="6478E427" w:rsidR="00D56CD5" w:rsidRPr="00D56CD5" w:rsidRDefault="00D56CD5" w:rsidP="00D56CD5">
      <w:pPr>
        <w:pStyle w:val="ListBullet"/>
        <w:rPr>
          <w:color w:val="000000" w:themeColor="text1"/>
        </w:rPr>
      </w:pPr>
      <w:r w:rsidRPr="00D56CD5">
        <w:rPr>
          <w:color w:val="000000" w:themeColor="text1"/>
        </w:rPr>
        <w:t xml:space="preserve">The adalimumab EU-RMP (version 0.3, dated 30 July 2021, </w:t>
      </w:r>
      <w:r>
        <w:rPr>
          <w:color w:val="000000" w:themeColor="text1"/>
        </w:rPr>
        <w:t>DLP</w:t>
      </w:r>
      <w:r w:rsidRPr="00D56CD5">
        <w:rPr>
          <w:color w:val="000000" w:themeColor="text1"/>
        </w:rPr>
        <w:t xml:space="preserve"> 12 March 2020), with </w:t>
      </w:r>
      <w:r>
        <w:rPr>
          <w:color w:val="000000" w:themeColor="text1"/>
        </w:rPr>
        <w:t>ASA</w:t>
      </w:r>
      <w:r w:rsidRPr="00D56CD5">
        <w:rPr>
          <w:color w:val="000000" w:themeColor="text1"/>
        </w:rPr>
        <w:t xml:space="preserve"> (version 1.1, dated 5 July 2022), included with submission PM-2021-02447-1-3, and any subsequent revisions, as agreed with the TGA will be implemented in Australia.</w:t>
      </w:r>
    </w:p>
    <w:p w14:paraId="39DACE8C" w14:textId="70795096" w:rsidR="00D56CD5" w:rsidRPr="00D56CD5" w:rsidRDefault="00D56CD5" w:rsidP="00D56CD5">
      <w:pPr>
        <w:pStyle w:val="ListBullet"/>
        <w:numPr>
          <w:ilvl w:val="0"/>
          <w:numId w:val="0"/>
        </w:numPr>
        <w:ind w:left="360"/>
        <w:rPr>
          <w:color w:val="000000" w:themeColor="text1"/>
        </w:rPr>
      </w:pPr>
      <w:r w:rsidRPr="00D56CD5">
        <w:rPr>
          <w:color w:val="000000" w:themeColor="text1"/>
        </w:rPr>
        <w:t>An obligatory component of risk management plans is routine pharmacovigilance. Routine pharmacovigilance includes the submission of periodic safety update reports (PSURs).</w:t>
      </w:r>
    </w:p>
    <w:p w14:paraId="6F2F2ECA" w14:textId="4F7256D0" w:rsidR="00D56CD5" w:rsidRPr="00D56CD5" w:rsidRDefault="00D56CD5" w:rsidP="00D56CD5">
      <w:pPr>
        <w:pStyle w:val="ListBullet"/>
        <w:numPr>
          <w:ilvl w:val="0"/>
          <w:numId w:val="0"/>
        </w:numPr>
        <w:ind w:left="360"/>
        <w:rPr>
          <w:color w:val="000000" w:themeColor="text1"/>
        </w:rPr>
      </w:pPr>
      <w:r w:rsidRPr="00D56CD5">
        <w:rPr>
          <w:color w:val="000000" w:themeColor="text1"/>
        </w:rPr>
        <w:t>Reports are to be provided in line with the current published list of EU reference dates and frequency of submission of PSURs until the period covered by such reports is not less than three years from the date of th</w:t>
      </w:r>
      <w:r>
        <w:rPr>
          <w:color w:val="000000" w:themeColor="text1"/>
        </w:rPr>
        <w:t>e</w:t>
      </w:r>
      <w:r w:rsidRPr="00D56CD5">
        <w:rPr>
          <w:color w:val="000000" w:themeColor="text1"/>
        </w:rPr>
        <w:t xml:space="preserve"> approval letter.</w:t>
      </w:r>
    </w:p>
    <w:p w14:paraId="37290711" w14:textId="24586BE0" w:rsidR="00D56CD5" w:rsidRPr="00D56CD5" w:rsidRDefault="00D56CD5" w:rsidP="00D56CD5">
      <w:pPr>
        <w:pStyle w:val="ListBullet"/>
        <w:numPr>
          <w:ilvl w:val="0"/>
          <w:numId w:val="0"/>
        </w:numPr>
        <w:ind w:left="360"/>
        <w:rPr>
          <w:color w:val="000000" w:themeColor="text1"/>
        </w:rPr>
      </w:pPr>
      <w:r w:rsidRPr="00D56CD5">
        <w:rPr>
          <w:color w:val="000000" w:themeColor="text1"/>
        </w:rPr>
        <w:t>The reports are to at least meet the requirements for PSURs as described in the European Medicines Agency’s Guideline on good pharmacovigilance practices (GVP) Module VII-periodic safety update report (Rev 1), Part VII.B Structures and processes. Note that submission of a PSUR does not constitute an application to vary the registration</w:t>
      </w:r>
    </w:p>
    <w:p w14:paraId="7484FBD8" w14:textId="77777777" w:rsidR="00D56CD5" w:rsidRPr="00D56CD5" w:rsidRDefault="00D56CD5" w:rsidP="00D56CD5">
      <w:pPr>
        <w:pStyle w:val="ListBullet"/>
        <w:rPr>
          <w:color w:val="000000" w:themeColor="text1"/>
        </w:rPr>
      </w:pPr>
      <w:r w:rsidRPr="00D56CD5">
        <w:rPr>
          <w:color w:val="000000" w:themeColor="text1"/>
        </w:rPr>
        <w:lastRenderedPageBreak/>
        <w:t>Laboratory testing &amp; compliance with Certified Product Details (CPD)</w:t>
      </w:r>
    </w:p>
    <w:p w14:paraId="2239BF2D" w14:textId="3A5F97B6" w:rsidR="00D56CD5" w:rsidRPr="00D56CD5" w:rsidRDefault="00D56CD5" w:rsidP="00D56CD5">
      <w:pPr>
        <w:pStyle w:val="ListBullet"/>
        <w:numPr>
          <w:ilvl w:val="0"/>
          <w:numId w:val="0"/>
        </w:numPr>
        <w:ind w:left="360"/>
        <w:rPr>
          <w:color w:val="000000" w:themeColor="text1"/>
        </w:rPr>
      </w:pPr>
      <w:r w:rsidRPr="00D56CD5">
        <w:rPr>
          <w:color w:val="000000" w:themeColor="text1"/>
        </w:rPr>
        <w:t xml:space="preserve">a. All batches of </w:t>
      </w:r>
      <w:proofErr w:type="spellStart"/>
      <w:r w:rsidRPr="00D56CD5">
        <w:rPr>
          <w:color w:val="000000" w:themeColor="text1"/>
        </w:rPr>
        <w:t>C</w:t>
      </w:r>
      <w:r>
        <w:rPr>
          <w:color w:val="000000" w:themeColor="text1"/>
        </w:rPr>
        <w:t>iptunec</w:t>
      </w:r>
      <w:proofErr w:type="spellEnd"/>
      <w:r w:rsidRPr="00D56CD5">
        <w:rPr>
          <w:color w:val="000000" w:themeColor="text1"/>
        </w:rPr>
        <w:t xml:space="preserve"> and </w:t>
      </w:r>
      <w:proofErr w:type="spellStart"/>
      <w:r w:rsidRPr="00D56CD5">
        <w:rPr>
          <w:color w:val="000000" w:themeColor="text1"/>
        </w:rPr>
        <w:t>A</w:t>
      </w:r>
      <w:r>
        <w:rPr>
          <w:color w:val="000000" w:themeColor="text1"/>
        </w:rPr>
        <w:t>rdalicip</w:t>
      </w:r>
      <w:proofErr w:type="spellEnd"/>
      <w:r w:rsidRPr="00D56CD5">
        <w:rPr>
          <w:color w:val="000000" w:themeColor="text1"/>
        </w:rPr>
        <w:t xml:space="preserve"> (adalimumab) supplied in Australia must comply with the product details and specifications approved during evaluation and detailed in the Certified Product Details (CPD).</w:t>
      </w:r>
    </w:p>
    <w:p w14:paraId="42E053D7" w14:textId="77777777" w:rsidR="00D56CD5" w:rsidRPr="00D56CD5" w:rsidRDefault="00D56CD5" w:rsidP="00D56CD5">
      <w:pPr>
        <w:pStyle w:val="ListBullet"/>
        <w:numPr>
          <w:ilvl w:val="0"/>
          <w:numId w:val="0"/>
        </w:numPr>
        <w:ind w:left="360"/>
        <w:rPr>
          <w:color w:val="000000" w:themeColor="text1"/>
        </w:rPr>
      </w:pPr>
      <w:r w:rsidRPr="00D56CD5">
        <w:rPr>
          <w:color w:val="000000" w:themeColor="text1"/>
        </w:rPr>
        <w:t>b. When requested by the TGA, the Sponsor should be prepared to provide product samples, specified reference materials and documentary evidence to enable the TGA to conduct laboratory testing on the Product. Outcomes of laboratory testing are published biannually in the TGA Database of Laboratory Testing Results http://www.tga.gov.au/ws-labs-index and periodically in testing reports on the TGA website.</w:t>
      </w:r>
    </w:p>
    <w:p w14:paraId="5B2A2F3C" w14:textId="77777777" w:rsidR="00D56CD5" w:rsidRPr="00D56CD5" w:rsidRDefault="00D56CD5" w:rsidP="00D56CD5">
      <w:pPr>
        <w:pStyle w:val="ListBullet"/>
        <w:numPr>
          <w:ilvl w:val="0"/>
          <w:numId w:val="0"/>
        </w:numPr>
        <w:ind w:left="360"/>
        <w:rPr>
          <w:color w:val="000000" w:themeColor="text1"/>
        </w:rPr>
      </w:pPr>
      <w:r w:rsidRPr="00D56CD5">
        <w:rPr>
          <w:color w:val="000000" w:themeColor="text1"/>
        </w:rPr>
        <w:t>Certified Product Details</w:t>
      </w:r>
    </w:p>
    <w:p w14:paraId="0E2B7283" w14:textId="36399C33" w:rsidR="00D56CD5" w:rsidRPr="00D56CD5" w:rsidRDefault="00D56CD5" w:rsidP="00D56CD5">
      <w:pPr>
        <w:pStyle w:val="ListBullet"/>
        <w:numPr>
          <w:ilvl w:val="0"/>
          <w:numId w:val="0"/>
        </w:numPr>
        <w:ind w:left="360"/>
        <w:rPr>
          <w:color w:val="000000" w:themeColor="text1"/>
        </w:rPr>
      </w:pPr>
      <w:r w:rsidRPr="00D56CD5">
        <w:rPr>
          <w:color w:val="000000" w:themeColor="text1"/>
        </w:rPr>
        <w:t>The Certified Product Details (CPD), as described in Guidance 7: Certified Product Details of the Australian Regulatory Guidelines for Prescription Medicines (ARGPM) [http://www.tga.gov.au/industry/pm-argpm-guidance-7.htm],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451DC3FC" w14:textId="77777777" w:rsidR="00C22214" w:rsidRDefault="00C22214" w:rsidP="00C22214">
      <w:pPr>
        <w:pStyle w:val="Heading2"/>
      </w:pPr>
      <w:bookmarkStart w:id="72" w:name="_Toc103679303"/>
      <w:bookmarkStart w:id="73" w:name="_Toc133478227"/>
      <w:r>
        <w:t>Attachment 1. Product Information</w:t>
      </w:r>
      <w:bookmarkEnd w:id="72"/>
      <w:bookmarkEnd w:id="73"/>
    </w:p>
    <w:p w14:paraId="21F47164" w14:textId="45B766D9" w:rsidR="00C22214" w:rsidRDefault="00C22214" w:rsidP="00C22214">
      <w:r w:rsidRPr="002B3624">
        <w:t xml:space="preserve">The </w:t>
      </w:r>
      <w:r>
        <w:t>PI</w:t>
      </w:r>
      <w:r w:rsidRPr="002B3624">
        <w:t xml:space="preserve"> for </w:t>
      </w:r>
      <w:proofErr w:type="spellStart"/>
      <w:r w:rsidR="00A8103B">
        <w:t>Ardalicip</w:t>
      </w:r>
      <w:proofErr w:type="spellEnd"/>
      <w:r w:rsidR="00A8103B">
        <w:t xml:space="preserve"> </w:t>
      </w:r>
      <w:r>
        <w:t xml:space="preserve">approved with the submission which is described in </w:t>
      </w:r>
      <w:r w:rsidRPr="002B3624">
        <w:t>this AusPAR is at Attachment 1.</w:t>
      </w:r>
      <w:r>
        <w:t xml:space="preserve"> </w:t>
      </w:r>
      <w:r w:rsidRPr="00940A89">
        <w:t xml:space="preserve">For the most recent </w:t>
      </w:r>
      <w:r>
        <w:t>PI,</w:t>
      </w:r>
      <w:r w:rsidRPr="00940A89">
        <w:t xml:space="preserve"> ple</w:t>
      </w:r>
      <w:r>
        <w:t xml:space="preserve">ase refer to the TGA </w:t>
      </w:r>
      <w:hyperlink r:id="rId29" w:history="1">
        <w:r w:rsidRPr="008A698E">
          <w:rPr>
            <w:rStyle w:val="Hyperlink"/>
          </w:rPr>
          <w:t>PI/CMI search facility.</w:t>
        </w:r>
      </w:hyperlink>
      <w:r>
        <w:t xml:space="preserve"> </w:t>
      </w:r>
    </w:p>
    <w:p w14:paraId="307981C4" w14:textId="1C6C930B" w:rsidR="00C22214" w:rsidRPr="00D56CD5" w:rsidRDefault="00C22214" w:rsidP="00D56CD5">
      <w:pPr>
        <w:rPr>
          <w:iCs/>
          <w:color w:val="000000" w:themeColor="text1"/>
        </w:rPr>
      </w:pPr>
      <w:r w:rsidRPr="00523A21">
        <w:t xml:space="preserve">The PI for </w:t>
      </w:r>
      <w:proofErr w:type="spellStart"/>
      <w:r w:rsidR="00A8103B">
        <w:t>Ciptunec</w:t>
      </w:r>
      <w:proofErr w:type="spellEnd"/>
      <w:r w:rsidRPr="00523A21">
        <w:t xml:space="preserve"> is identical except for the product name</w:t>
      </w:r>
      <w:r w:rsidR="00D56CD5">
        <w:t>.</w:t>
      </w:r>
    </w:p>
    <w:p w14:paraId="40740B65" w14:textId="77777777" w:rsidR="00C22214" w:rsidRPr="008B4DA3" w:rsidRDefault="00C22214" w:rsidP="00C22214">
      <w:pPr>
        <w:autoSpaceDE w:val="0"/>
        <w:autoSpaceDN w:val="0"/>
        <w:adjustRightInd w:val="0"/>
        <w:spacing w:after="0"/>
      </w:pPr>
      <w:r w:rsidRPr="00C80137">
        <w:rPr>
          <w:b/>
        </w:rPr>
        <w:br w:type="page"/>
      </w:r>
    </w:p>
    <w:p w14:paraId="53357BF3" w14:textId="0C51DFA5" w:rsidR="00C22214" w:rsidRDefault="00C22214" w:rsidP="00C22214">
      <w:pPr>
        <w:rPr>
          <w:lang w:eastAsia="ja-JP"/>
        </w:rPr>
        <w:sectPr w:rsidR="00C22214" w:rsidSect="00EA3C32">
          <w:headerReference w:type="default" r:id="rId30"/>
          <w:footerReference w:type="default" r:id="rId31"/>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3C0C07BF" w14:textId="77777777" w:rsidTr="00EA3C32">
        <w:trPr>
          <w:trHeight w:hRule="exact" w:val="565"/>
          <w:jc w:val="center"/>
        </w:trPr>
        <w:tc>
          <w:tcPr>
            <w:tcW w:w="9145" w:type="dxa"/>
          </w:tcPr>
          <w:bookmarkEnd w:id="3"/>
          <w:bookmarkEnd w:id="4"/>
          <w:p w14:paraId="7E090B86" w14:textId="77777777" w:rsidR="00F02AEC" w:rsidRPr="00215D48" w:rsidRDefault="00F02AEC" w:rsidP="00EA3C32">
            <w:pPr>
              <w:pStyle w:val="TGASignoff"/>
            </w:pPr>
            <w:r w:rsidRPr="00215D48">
              <w:lastRenderedPageBreak/>
              <w:t>Therapeutic Goods Administration</w:t>
            </w:r>
          </w:p>
        </w:tc>
      </w:tr>
      <w:tr w:rsidR="00F02AEC" w:rsidRPr="00215D48" w14:paraId="70F47EA1" w14:textId="77777777" w:rsidTr="00EA3C32">
        <w:trPr>
          <w:trHeight w:val="963"/>
          <w:jc w:val="center"/>
        </w:trPr>
        <w:tc>
          <w:tcPr>
            <w:tcW w:w="9145" w:type="dxa"/>
            <w:tcMar>
              <w:top w:w="28" w:type="dxa"/>
            </w:tcMar>
          </w:tcPr>
          <w:p w14:paraId="3491EBCD" w14:textId="77777777" w:rsidR="00F02AEC" w:rsidRPr="00215D48" w:rsidRDefault="00F02AEC" w:rsidP="00EA3C32">
            <w:pPr>
              <w:pStyle w:val="Address"/>
              <w:jc w:val="center"/>
            </w:pPr>
            <w:r w:rsidRPr="00215D48">
              <w:t>PO Box 100 Woden ACT 2606 Australia</w:t>
            </w:r>
          </w:p>
          <w:p w14:paraId="5D0FE0E7" w14:textId="16CD99E4" w:rsidR="00F02AEC" w:rsidRDefault="00F02AEC">
            <w:pPr>
              <w:pStyle w:val="Address"/>
              <w:jc w:val="center"/>
              <w:rPr>
                <w:sz w:val="22"/>
                <w:szCs w:val="22"/>
              </w:rPr>
            </w:pPr>
            <w:r w:rsidRPr="00215D48">
              <w:t xml:space="preserve">Email: </w:t>
            </w:r>
            <w:hyperlink r:id="rId32"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533D80F" w14:textId="689572A1" w:rsidR="00F02AEC" w:rsidRPr="00215D48" w:rsidRDefault="005A7369">
            <w:pPr>
              <w:pStyle w:val="Address"/>
              <w:jc w:val="center"/>
              <w:rPr>
                <w:rStyle w:val="Hyperlink"/>
                <w:b/>
                <w:color w:val="auto"/>
                <w:sz w:val="22"/>
              </w:rPr>
            </w:pPr>
            <w:hyperlink r:id="rId33" w:history="1">
              <w:r w:rsidR="00F02AEC" w:rsidRPr="00C4721A">
                <w:rPr>
                  <w:rStyle w:val="Hyperlink"/>
                  <w:b/>
                </w:rPr>
                <w:t>https://www.tga.gov.au</w:t>
              </w:r>
            </w:hyperlink>
          </w:p>
        </w:tc>
      </w:tr>
      <w:tr w:rsidR="00F02AEC" w:rsidRPr="00215D48" w14:paraId="2AD74347" w14:textId="77777777" w:rsidTr="00EA3C32">
        <w:trPr>
          <w:trHeight w:val="251"/>
          <w:jc w:val="center"/>
        </w:trPr>
        <w:tc>
          <w:tcPr>
            <w:tcW w:w="9145" w:type="dxa"/>
            <w:tcMar>
              <w:top w:w="28" w:type="dxa"/>
            </w:tcMar>
          </w:tcPr>
          <w:p w14:paraId="6EAAD5C1" w14:textId="77777777" w:rsidR="00F02AEC" w:rsidRPr="00215D48" w:rsidRDefault="00F02AEC" w:rsidP="00EA3C32">
            <w:pPr>
              <w:pStyle w:val="Address"/>
              <w:jc w:val="center"/>
            </w:pPr>
            <w:r w:rsidRPr="00215D48">
              <w:t>Reference/Publication #</w:t>
            </w:r>
          </w:p>
        </w:tc>
      </w:tr>
    </w:tbl>
    <w:p w14:paraId="788B80FD" w14:textId="77777777" w:rsidR="00EA3C32" w:rsidRDefault="00EA3C32"/>
    <w:sectPr w:rsidR="00EA3C32" w:rsidSect="00EA3C32">
      <w:headerReference w:type="first" r:id="rId34"/>
      <w:footerReference w:type="first" r:id="rId35"/>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928B9" w14:textId="77777777" w:rsidR="000D573B" w:rsidRDefault="000D573B" w:rsidP="00F02AEC">
      <w:pPr>
        <w:spacing w:after="0" w:line="240" w:lineRule="auto"/>
      </w:pPr>
      <w:r>
        <w:separator/>
      </w:r>
    </w:p>
  </w:endnote>
  <w:endnote w:type="continuationSeparator" w:id="0">
    <w:p w14:paraId="291CAF4E" w14:textId="77777777" w:rsidR="000D573B" w:rsidRDefault="000D573B" w:rsidP="00F02AEC">
      <w:pPr>
        <w:spacing w:after="0" w:line="240" w:lineRule="auto"/>
      </w:pPr>
      <w:r>
        <w:continuationSeparator/>
      </w:r>
    </w:p>
  </w:endnote>
  <w:endnote w:type="continuationNotice" w:id="1">
    <w:p w14:paraId="1A12FCFA" w14:textId="77777777" w:rsidR="000D573B" w:rsidRDefault="000D57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Wingdings 3">
    <w:altName w:val="Symbol"/>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D66D9D" w:rsidRPr="00257138" w14:paraId="162D69C2" w14:textId="77777777" w:rsidTr="00EA3C32">
      <w:trPr>
        <w:trHeight w:val="423"/>
      </w:trPr>
      <w:tc>
        <w:tcPr>
          <w:tcW w:w="4360" w:type="dxa"/>
          <w:tcBorders>
            <w:top w:val="single" w:sz="4" w:space="0" w:color="auto"/>
          </w:tcBorders>
        </w:tcPr>
        <w:p w14:paraId="32E1B782" w14:textId="77777777" w:rsidR="00D66D9D" w:rsidRDefault="00D66D9D" w:rsidP="00EA3C32">
          <w:pPr>
            <w:pStyle w:val="Footer"/>
          </w:pPr>
        </w:p>
        <w:p w14:paraId="1849C07C" w14:textId="77777777" w:rsidR="00D66D9D" w:rsidRPr="00257138" w:rsidRDefault="00D66D9D" w:rsidP="00EA3C32">
          <w:pPr>
            <w:pStyle w:val="Footer"/>
          </w:pPr>
          <w:r w:rsidRPr="00257138">
            <w:t>Document title</w:t>
          </w:r>
        </w:p>
      </w:tc>
      <w:tc>
        <w:tcPr>
          <w:tcW w:w="4360" w:type="dxa"/>
          <w:tcBorders>
            <w:top w:val="single" w:sz="4" w:space="0" w:color="auto"/>
          </w:tcBorders>
        </w:tcPr>
        <w:sdt>
          <w:sdtPr>
            <w:rPr>
              <w:color w:val="2B579A"/>
              <w:shd w:val="clear" w:color="auto" w:fill="E6E6E6"/>
            </w:rPr>
            <w:id w:val="1087729233"/>
            <w:docPartObj>
              <w:docPartGallery w:val="Page Numbers (Top of Page)"/>
              <w:docPartUnique/>
            </w:docPartObj>
          </w:sdtPr>
          <w:sdtEndPr>
            <w:rPr>
              <w:color w:val="333F4A"/>
              <w:shd w:val="clear" w:color="auto" w:fill="auto"/>
            </w:rPr>
          </w:sdtEndPr>
          <w:sdtContent>
            <w:p w14:paraId="606A08BF" w14:textId="77777777" w:rsidR="00D66D9D" w:rsidRDefault="00D66D9D" w:rsidP="00EA3C32">
              <w:pPr>
                <w:pStyle w:val="Footer"/>
                <w:jc w:val="right"/>
              </w:pPr>
            </w:p>
            <w:p w14:paraId="5EDE6DF6" w14:textId="77777777" w:rsidR="00D66D9D" w:rsidRPr="00257138" w:rsidRDefault="00D66D9D" w:rsidP="00EA3C32">
              <w:pPr>
                <w:pStyle w:val="Footer"/>
                <w:jc w:val="right"/>
              </w:pPr>
              <w:r w:rsidRPr="00257138">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noProof/>
                  <w:color w:val="2B579A"/>
                  <w:shd w:val="clear" w:color="auto" w:fill="E6E6E6"/>
                </w:rPr>
                <w:fldChar w:fldCharType="end"/>
              </w:r>
              <w:r w:rsidRPr="00257138">
                <w:t xml:space="preserve"> of </w:t>
              </w:r>
              <w:r>
                <w:rPr>
                  <w:color w:val="2B579A"/>
                  <w:shd w:val="clear" w:color="auto" w:fill="E6E6E6"/>
                </w:rPr>
                <w:fldChar w:fldCharType="begin"/>
              </w:r>
              <w:r>
                <w:instrText>NUMPAGES</w:instrText>
              </w:r>
              <w:r>
                <w:rPr>
                  <w:color w:val="2B579A"/>
                  <w:shd w:val="clear" w:color="auto" w:fill="E6E6E6"/>
                </w:rPr>
                <w:fldChar w:fldCharType="separate"/>
              </w:r>
              <w:r>
                <w:rPr>
                  <w:noProof/>
                </w:rPr>
                <w:t>2</w:t>
              </w:r>
              <w:r>
                <w:rPr>
                  <w:color w:val="2B579A"/>
                  <w:shd w:val="clear" w:color="auto" w:fill="E6E6E6"/>
                </w:rPr>
                <w:fldChar w:fldCharType="end"/>
              </w:r>
            </w:p>
          </w:sdtContent>
        </w:sdt>
      </w:tc>
    </w:tr>
    <w:tr w:rsidR="00D66D9D" w:rsidRPr="00257138" w14:paraId="280F09C8" w14:textId="77777777" w:rsidTr="00EA3C32">
      <w:trPr>
        <w:trHeight w:val="263"/>
      </w:trPr>
      <w:tc>
        <w:tcPr>
          <w:tcW w:w="4360" w:type="dxa"/>
        </w:tcPr>
        <w:p w14:paraId="673F06D3" w14:textId="77777777" w:rsidR="00D66D9D" w:rsidRPr="00257138" w:rsidRDefault="00D66D9D" w:rsidP="00EA3C32">
          <w:pPr>
            <w:pStyle w:val="Footer"/>
          </w:pPr>
          <w:r w:rsidRPr="00257138">
            <w:t xml:space="preserve">V1.0 </w:t>
          </w:r>
          <w:r>
            <w:t>Month</w:t>
          </w:r>
          <w:r w:rsidRPr="00257138">
            <w:t xml:space="preserve"> 201</w:t>
          </w:r>
          <w:r>
            <w:t>2</w:t>
          </w:r>
        </w:p>
      </w:tc>
      <w:tc>
        <w:tcPr>
          <w:tcW w:w="4360" w:type="dxa"/>
        </w:tcPr>
        <w:p w14:paraId="77F5B433" w14:textId="77777777" w:rsidR="00D66D9D" w:rsidRPr="00257138" w:rsidRDefault="00D66D9D" w:rsidP="00EA3C32">
          <w:pPr>
            <w:pStyle w:val="Footer"/>
            <w:jc w:val="right"/>
          </w:pPr>
        </w:p>
      </w:tc>
    </w:tr>
  </w:tbl>
  <w:p w14:paraId="63F6FDDE" w14:textId="77777777" w:rsidR="00D66D9D" w:rsidRPr="00826007" w:rsidRDefault="00D66D9D" w:rsidP="00EA3C32">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AA29C" w14:textId="77777777" w:rsidR="00D66D9D" w:rsidRDefault="00D66D9D" w:rsidP="00EA3C32">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D66D9D" w:rsidRPr="004A3084" w14:paraId="6266BC33" w14:textId="77777777" w:rsidTr="00EA3C32">
      <w:trPr>
        <w:trHeight w:val="423"/>
      </w:trPr>
      <w:tc>
        <w:tcPr>
          <w:tcW w:w="7338" w:type="dxa"/>
          <w:tcBorders>
            <w:top w:val="single" w:sz="4" w:space="0" w:color="auto"/>
          </w:tcBorders>
        </w:tcPr>
        <w:p w14:paraId="3C421323" w14:textId="3E7E2E32" w:rsidR="00D66D9D" w:rsidRPr="004A3084" w:rsidRDefault="00D66D9D" w:rsidP="00EA3C32">
          <w:pPr>
            <w:pStyle w:val="Footer"/>
          </w:pPr>
          <w:r w:rsidRPr="00487162">
            <w:t>AusPA</w:t>
          </w:r>
          <w:r>
            <w:t xml:space="preserve">R - </w:t>
          </w:r>
          <w:proofErr w:type="spellStart"/>
          <w:r w:rsidRPr="00272BC1">
            <w:t>A</w:t>
          </w:r>
          <w:r>
            <w:t>rdalicip</w:t>
          </w:r>
          <w:proofErr w:type="spellEnd"/>
          <w:r>
            <w:t>/</w:t>
          </w:r>
          <w:proofErr w:type="spellStart"/>
          <w:r>
            <w:t>Ciptunec</w:t>
          </w:r>
          <w:proofErr w:type="spellEnd"/>
          <w:r>
            <w:t xml:space="preserve"> </w:t>
          </w:r>
          <w:r w:rsidRPr="00460036">
            <w:t xml:space="preserve">– </w:t>
          </w:r>
          <w:r>
            <w:t xml:space="preserve">adalimumab - </w:t>
          </w:r>
          <w:r w:rsidRPr="00526068">
            <w:t>Cipla Australia Pty Ltd</w:t>
          </w:r>
          <w:r>
            <w:t xml:space="preserve"> PM-2021</w:t>
          </w:r>
          <w:r w:rsidRPr="00487162">
            <w:t>-</w:t>
          </w:r>
          <w:r>
            <w:t>02447</w:t>
          </w:r>
          <w:r w:rsidRPr="00487162">
            <w:t>-</w:t>
          </w:r>
          <w:r>
            <w:t>1</w:t>
          </w:r>
          <w:r w:rsidRPr="00487162">
            <w:t>-</w:t>
          </w:r>
          <w:r>
            <w:t>3</w:t>
          </w:r>
          <w:r>
            <w:br/>
          </w:r>
          <w:r w:rsidR="00DE7A9B">
            <w:t>FINAL</w:t>
          </w:r>
          <w:r>
            <w:t xml:space="preserve"> </w:t>
          </w:r>
          <w:r w:rsidR="00DE7A9B">
            <w:t>27</w:t>
          </w:r>
          <w:r>
            <w:t xml:space="preserve"> April 2023</w:t>
          </w:r>
        </w:p>
      </w:tc>
      <w:tc>
        <w:tcPr>
          <w:tcW w:w="1734" w:type="dxa"/>
          <w:tcBorders>
            <w:top w:val="single" w:sz="4" w:space="0" w:color="auto"/>
          </w:tcBorders>
        </w:tcPr>
        <w:sdt>
          <w:sdtPr>
            <w:rPr>
              <w:color w:val="2B579A"/>
              <w:shd w:val="clear" w:color="auto" w:fill="E6E6E6"/>
            </w:rPr>
            <w:id w:val="11571659"/>
            <w:docPartObj>
              <w:docPartGallery w:val="Page Numbers (Top of Page)"/>
              <w:docPartUnique/>
            </w:docPartObj>
          </w:sdtPr>
          <w:sdtEndPr>
            <w:rPr>
              <w:color w:val="333F4A"/>
              <w:shd w:val="clear" w:color="auto" w:fill="auto"/>
            </w:rPr>
          </w:sdtEndPr>
          <w:sdtContent>
            <w:p w14:paraId="4DE4ED0C" w14:textId="7A97F464" w:rsidR="00D66D9D" w:rsidRPr="004A3084" w:rsidRDefault="00D66D9D" w:rsidP="00EA3C32">
              <w:pPr>
                <w:pStyle w:val="Footer"/>
                <w:jc w:val="right"/>
              </w:pPr>
              <w:r w:rsidRPr="004A3084">
                <w:t xml:space="preserve">Page </w:t>
              </w:r>
              <w:r>
                <w:rPr>
                  <w:color w:val="2B579A"/>
                  <w:shd w:val="clear" w:color="auto" w:fill="E6E6E6"/>
                </w:rPr>
                <w:fldChar w:fldCharType="begin"/>
              </w:r>
              <w:r>
                <w:instrText xml:space="preserve"> PAGE </w:instrText>
              </w:r>
              <w:r>
                <w:rPr>
                  <w:color w:val="2B579A"/>
                  <w:shd w:val="clear" w:color="auto" w:fill="E6E6E6"/>
                </w:rPr>
                <w:fldChar w:fldCharType="separate"/>
              </w:r>
              <w:r w:rsidR="00E1498F">
                <w:rPr>
                  <w:noProof/>
                </w:rPr>
                <w:t>23</w:t>
              </w:r>
              <w:r>
                <w:rPr>
                  <w:noProof/>
                  <w:color w:val="2B579A"/>
                  <w:shd w:val="clear" w:color="auto" w:fill="E6E6E6"/>
                </w:rPr>
                <w:fldChar w:fldCharType="end"/>
              </w:r>
              <w:r w:rsidRPr="004A3084">
                <w:t xml:space="preserve"> of </w:t>
              </w:r>
              <w:r>
                <w:rPr>
                  <w:color w:val="2B579A"/>
                  <w:shd w:val="clear" w:color="auto" w:fill="E6E6E6"/>
                </w:rPr>
                <w:fldChar w:fldCharType="begin"/>
              </w:r>
              <w:r>
                <w:instrText>NUMPAGES</w:instrText>
              </w:r>
              <w:r>
                <w:rPr>
                  <w:color w:val="2B579A"/>
                  <w:shd w:val="clear" w:color="auto" w:fill="E6E6E6"/>
                </w:rPr>
                <w:fldChar w:fldCharType="separate"/>
              </w:r>
              <w:r w:rsidR="00E1498F">
                <w:rPr>
                  <w:noProof/>
                </w:rPr>
                <w:t>24</w:t>
              </w:r>
              <w:r>
                <w:rPr>
                  <w:color w:val="2B579A"/>
                  <w:shd w:val="clear" w:color="auto" w:fill="E6E6E6"/>
                </w:rPr>
                <w:fldChar w:fldCharType="end"/>
              </w:r>
            </w:p>
          </w:sdtContent>
        </w:sdt>
      </w:tc>
    </w:tr>
  </w:tbl>
  <w:p w14:paraId="1A4EDE60" w14:textId="77777777" w:rsidR="00D66D9D" w:rsidRPr="00826007" w:rsidRDefault="00D66D9D" w:rsidP="00EA3C32">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F70A" w14:textId="77777777" w:rsidR="00D66D9D" w:rsidRPr="008E3C43" w:rsidRDefault="00D66D9D" w:rsidP="00EA3C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B18C" w14:textId="77777777" w:rsidR="000D573B" w:rsidRDefault="000D573B" w:rsidP="00F02AEC">
      <w:pPr>
        <w:spacing w:after="0" w:line="240" w:lineRule="auto"/>
      </w:pPr>
      <w:r>
        <w:separator/>
      </w:r>
    </w:p>
  </w:footnote>
  <w:footnote w:type="continuationSeparator" w:id="0">
    <w:p w14:paraId="75192B86" w14:textId="77777777" w:rsidR="000D573B" w:rsidRDefault="000D573B" w:rsidP="00F02AEC">
      <w:pPr>
        <w:spacing w:after="0" w:line="240" w:lineRule="auto"/>
      </w:pPr>
      <w:r>
        <w:continuationSeparator/>
      </w:r>
    </w:p>
  </w:footnote>
  <w:footnote w:type="continuationNotice" w:id="1">
    <w:p w14:paraId="7A8CECC2" w14:textId="77777777" w:rsidR="000D573B" w:rsidRDefault="000D573B">
      <w:pPr>
        <w:spacing w:after="0" w:line="240" w:lineRule="auto"/>
      </w:pPr>
    </w:p>
  </w:footnote>
  <w:footnote w:id="2">
    <w:p w14:paraId="23D047F7" w14:textId="2A6B1951" w:rsidR="00F365F6" w:rsidRDefault="00F365F6" w:rsidP="00F365F6">
      <w:pPr>
        <w:pStyle w:val="FootnoteText"/>
      </w:pPr>
      <w:r>
        <w:rPr>
          <w:rStyle w:val="FootnoteReference"/>
        </w:rPr>
        <w:footnoteRef/>
      </w:r>
      <w:r>
        <w:t xml:space="preserve"> A </w:t>
      </w:r>
      <w:r w:rsidRPr="00DE7A9B">
        <w:rPr>
          <w:b/>
        </w:rPr>
        <w:t>biosimilar medicine</w:t>
      </w:r>
      <w:r>
        <w:t xml:space="preserve"> is a version of an already registered biological medicine (known as the reference medicine). Both the biosimilar and its reference medicine will have similar characteristics (demonstrated using comprehensive comparability studies) for physicochemical, biological, and immunological properties, and clinical efficacy and safety.</w:t>
      </w:r>
    </w:p>
    <w:p w14:paraId="5D592CD8" w14:textId="12E2778B" w:rsidR="00F365F6" w:rsidRDefault="00F365F6" w:rsidP="00F365F6">
      <w:pPr>
        <w:pStyle w:val="FootnoteText"/>
      </w:pPr>
      <w:r>
        <w:t>Most biosimilar medicines are likely to contain biotechnology-derived proteins as the active substance(s), but biosimilar medicines may include vaccines, and polysaccharides, such as low molecular weight heparins.</w:t>
      </w:r>
    </w:p>
    <w:p w14:paraId="1510DC00" w14:textId="01A0AC4B" w:rsidR="00F365F6" w:rsidRPr="00F365F6" w:rsidRDefault="00F365F6" w:rsidP="00F365F6">
      <w:pPr>
        <w:pStyle w:val="FootnoteText"/>
      </w:pPr>
      <w:r>
        <w:t xml:space="preserve">Further information on biosimilar medicines is available on the TGA website: </w:t>
      </w:r>
      <w:hyperlink r:id="rId1" w:history="1">
        <w:r>
          <w:rPr>
            <w:rStyle w:val="Hyperlink"/>
          </w:rPr>
          <w:t>Biosimilar medicines regulation | Therapeutic Goods Administration (TGA)</w:t>
        </w:r>
      </w:hyperlink>
      <w:r w:rsidR="00093440">
        <w:t>.</w:t>
      </w:r>
    </w:p>
  </w:footnote>
  <w:footnote w:id="3">
    <w:p w14:paraId="2004B5F1" w14:textId="43A04EFF" w:rsidR="00D66D9D" w:rsidRDefault="00D66D9D">
      <w:pPr>
        <w:pStyle w:val="FootnoteText"/>
      </w:pPr>
      <w:r>
        <w:rPr>
          <w:rStyle w:val="FootnoteReference"/>
        </w:rPr>
        <w:footnoteRef/>
      </w:r>
      <w:r>
        <w:t xml:space="preserve"> </w:t>
      </w:r>
      <w:proofErr w:type="spellStart"/>
      <w:r w:rsidRPr="0062485E">
        <w:t>A</w:t>
      </w:r>
      <w:r>
        <w:t>mgevita</w:t>
      </w:r>
      <w:proofErr w:type="spellEnd"/>
      <w:r>
        <w:t xml:space="preserve"> was first registered in Australia on 9 November 2017. ARTG number: 278701.</w:t>
      </w:r>
    </w:p>
  </w:footnote>
  <w:footnote w:id="4">
    <w:p w14:paraId="6E8758F8" w14:textId="0F4CC437" w:rsidR="00D66D9D" w:rsidRDefault="00D66D9D">
      <w:pPr>
        <w:pStyle w:val="FootnoteText"/>
      </w:pPr>
      <w:r>
        <w:rPr>
          <w:rStyle w:val="FootnoteReference"/>
        </w:rPr>
        <w:footnoteRef/>
      </w:r>
      <w:r>
        <w:t xml:space="preserve"> </w:t>
      </w:r>
      <w:proofErr w:type="spellStart"/>
      <w:r w:rsidRPr="0062485E">
        <w:t>H</w:t>
      </w:r>
      <w:r>
        <w:t>adlima</w:t>
      </w:r>
      <w:proofErr w:type="spellEnd"/>
      <w:r>
        <w:t xml:space="preserve"> was first registered in Australia on 24 August 2018. ARTG number: 284248.</w:t>
      </w:r>
    </w:p>
  </w:footnote>
  <w:footnote w:id="5">
    <w:p w14:paraId="65FC2EFD" w14:textId="5925E329" w:rsidR="00D66D9D" w:rsidRDefault="00D66D9D">
      <w:pPr>
        <w:pStyle w:val="FootnoteText"/>
      </w:pPr>
      <w:r>
        <w:rPr>
          <w:rStyle w:val="FootnoteReference"/>
        </w:rPr>
        <w:footnoteRef/>
      </w:r>
      <w:r>
        <w:t xml:space="preserve"> </w:t>
      </w:r>
      <w:proofErr w:type="spellStart"/>
      <w:r w:rsidRPr="0062485E">
        <w:t>H</w:t>
      </w:r>
      <w:r>
        <w:t>yrimoz</w:t>
      </w:r>
      <w:proofErr w:type="spellEnd"/>
      <w:r>
        <w:t xml:space="preserve"> was first registered in Australia on 1 March 2019. ARTG number: 291937.</w:t>
      </w:r>
    </w:p>
  </w:footnote>
  <w:footnote w:id="6">
    <w:p w14:paraId="0E0A577C" w14:textId="7E7BC45C" w:rsidR="00D66D9D" w:rsidRDefault="00D66D9D">
      <w:pPr>
        <w:pStyle w:val="FootnoteText"/>
      </w:pPr>
      <w:r>
        <w:rPr>
          <w:rStyle w:val="FootnoteReference"/>
        </w:rPr>
        <w:footnoteRef/>
      </w:r>
      <w:r>
        <w:t xml:space="preserve"> </w:t>
      </w:r>
      <w:proofErr w:type="spellStart"/>
      <w:r w:rsidRPr="0062485E">
        <w:t>I</w:t>
      </w:r>
      <w:r>
        <w:t>dacio</w:t>
      </w:r>
      <w:proofErr w:type="spellEnd"/>
      <w:r>
        <w:t xml:space="preserve"> was first registered in Australia on 17 June 2020. ARTG number: 320241.</w:t>
      </w:r>
    </w:p>
  </w:footnote>
  <w:footnote w:id="7">
    <w:p w14:paraId="58D92A81" w14:textId="72A5A4AC" w:rsidR="00D66D9D" w:rsidRDefault="00D66D9D">
      <w:pPr>
        <w:pStyle w:val="FootnoteText"/>
      </w:pPr>
      <w:r>
        <w:rPr>
          <w:rStyle w:val="FootnoteReference"/>
        </w:rPr>
        <w:footnoteRef/>
      </w:r>
      <w:r>
        <w:t xml:space="preserve"> </w:t>
      </w:r>
      <w:proofErr w:type="spellStart"/>
      <w:r w:rsidRPr="0062485E">
        <w:t>A</w:t>
      </w:r>
      <w:r>
        <w:t>brilada</w:t>
      </w:r>
      <w:proofErr w:type="spellEnd"/>
      <w:r>
        <w:t xml:space="preserve"> was first registered in Australia on 22 February 2021. ARTG number: 334496.</w:t>
      </w:r>
    </w:p>
  </w:footnote>
  <w:footnote w:id="8">
    <w:p w14:paraId="60EF4AED" w14:textId="38370448" w:rsidR="00D66D9D" w:rsidRDefault="00D66D9D">
      <w:pPr>
        <w:pStyle w:val="FootnoteText"/>
      </w:pPr>
      <w:r>
        <w:rPr>
          <w:rStyle w:val="FootnoteReference"/>
        </w:rPr>
        <w:footnoteRef/>
      </w:r>
      <w:r>
        <w:t xml:space="preserve"> </w:t>
      </w:r>
      <w:proofErr w:type="spellStart"/>
      <w:r w:rsidRPr="0062485E">
        <w:t>H</w:t>
      </w:r>
      <w:r>
        <w:t>ulio</w:t>
      </w:r>
      <w:proofErr w:type="spellEnd"/>
      <w:r>
        <w:t xml:space="preserve"> was first registered in Australia on 14 May 2021. ARTG number: 334800.</w:t>
      </w:r>
    </w:p>
  </w:footnote>
  <w:footnote w:id="9">
    <w:p w14:paraId="3279D1EE" w14:textId="711B714E" w:rsidR="00093440" w:rsidRPr="00DE7A9B" w:rsidRDefault="00093440">
      <w:pPr>
        <w:pStyle w:val="FootnoteText"/>
        <w:rPr>
          <w:lang w:val="en-GB"/>
        </w:rPr>
      </w:pPr>
      <w:r>
        <w:rPr>
          <w:rStyle w:val="FootnoteReference"/>
        </w:rPr>
        <w:footnoteRef/>
      </w:r>
      <w:r>
        <w:t xml:space="preserve"> </w:t>
      </w:r>
      <w:proofErr w:type="spellStart"/>
      <w:r w:rsidRPr="00093440">
        <w:t>Yuflyma</w:t>
      </w:r>
      <w:proofErr w:type="spellEnd"/>
      <w:r>
        <w:t xml:space="preserve"> was first registered in Australia on 25 March 2022. ARTG numbers: </w:t>
      </w:r>
      <w:r w:rsidRPr="00093440">
        <w:t>358350, 367770 and 367771</w:t>
      </w:r>
      <w:r>
        <w:t>.</w:t>
      </w:r>
    </w:p>
  </w:footnote>
  <w:footnote w:id="10">
    <w:p w14:paraId="379EABC9" w14:textId="699A72FF" w:rsidR="00D66D9D" w:rsidRDefault="00D66D9D">
      <w:pPr>
        <w:pStyle w:val="FootnoteText"/>
      </w:pPr>
      <w:r>
        <w:rPr>
          <w:rStyle w:val="FootnoteReference"/>
        </w:rPr>
        <w:footnoteRef/>
      </w:r>
      <w:r>
        <w:t xml:space="preserve"> I</w:t>
      </w:r>
      <w:r w:rsidRPr="0062485E">
        <w:t>nfliximab</w:t>
      </w:r>
      <w:r>
        <w:t xml:space="preserve"> was first registered in Australia on 2 August 2000. ARTG number: 73827.</w:t>
      </w:r>
    </w:p>
  </w:footnote>
  <w:footnote w:id="11">
    <w:p w14:paraId="6F0D4D43" w14:textId="3E0A9BBE" w:rsidR="00D66D9D" w:rsidRDefault="00D66D9D">
      <w:pPr>
        <w:pStyle w:val="FootnoteText"/>
      </w:pPr>
      <w:r>
        <w:rPr>
          <w:rStyle w:val="FootnoteReference"/>
        </w:rPr>
        <w:footnoteRef/>
      </w:r>
      <w:r>
        <w:t xml:space="preserve"> E</w:t>
      </w:r>
      <w:r w:rsidRPr="0062485E">
        <w:t>tanercept</w:t>
      </w:r>
      <w:r>
        <w:t xml:space="preserve"> was first registered in Australia on 18 March 2003. ARTG number: 90456.</w:t>
      </w:r>
    </w:p>
  </w:footnote>
  <w:footnote w:id="12">
    <w:p w14:paraId="7E4E3E0C" w14:textId="28A565FA" w:rsidR="00D66D9D" w:rsidRDefault="00D66D9D">
      <w:pPr>
        <w:pStyle w:val="FootnoteText"/>
      </w:pPr>
      <w:r>
        <w:rPr>
          <w:rStyle w:val="FootnoteReference"/>
        </w:rPr>
        <w:footnoteRef/>
      </w:r>
      <w:r>
        <w:t xml:space="preserve"> G</w:t>
      </w:r>
      <w:r w:rsidRPr="0062485E">
        <w:t>olimumab</w:t>
      </w:r>
      <w:r>
        <w:t xml:space="preserve"> was first registered in Australia on 13 November 2009. ARTG number: 153181.</w:t>
      </w:r>
    </w:p>
  </w:footnote>
  <w:footnote w:id="13">
    <w:p w14:paraId="4C749AAF" w14:textId="327C3E0F" w:rsidR="00D66D9D" w:rsidRDefault="00D66D9D">
      <w:pPr>
        <w:pStyle w:val="FootnoteText"/>
      </w:pPr>
      <w:r>
        <w:rPr>
          <w:rStyle w:val="FootnoteReference"/>
        </w:rPr>
        <w:footnoteRef/>
      </w:r>
      <w:r>
        <w:t xml:space="preserve"> C</w:t>
      </w:r>
      <w:r w:rsidRPr="0062485E">
        <w:t>ertolizumab pegol</w:t>
      </w:r>
      <w:r>
        <w:t xml:space="preserve"> was first registered in Australia on 20 January 2010. ARTG number: 154726.</w:t>
      </w:r>
    </w:p>
  </w:footnote>
  <w:footnote w:id="14">
    <w:p w14:paraId="446B39CF" w14:textId="0A192823" w:rsidR="00D66D9D" w:rsidRDefault="00D66D9D">
      <w:pPr>
        <w:pStyle w:val="FootnoteText"/>
      </w:pPr>
      <w:r>
        <w:rPr>
          <w:rStyle w:val="FootnoteReference"/>
        </w:rPr>
        <w:footnoteRef/>
      </w:r>
      <w:r>
        <w:t xml:space="preserve"> AVT02 is sponsor development code for </w:t>
      </w:r>
      <w:proofErr w:type="spellStart"/>
      <w:r w:rsidRPr="00FB6BBF">
        <w:t>Ardalicip</w:t>
      </w:r>
      <w:proofErr w:type="spellEnd"/>
      <w:r w:rsidRPr="00FB6BBF">
        <w:t>/</w:t>
      </w:r>
      <w:proofErr w:type="spellStart"/>
      <w:r w:rsidRPr="00FB6BBF">
        <w:t>Ciptunec</w:t>
      </w:r>
      <w:proofErr w:type="spellEnd"/>
      <w:r>
        <w:t>.</w:t>
      </w:r>
    </w:p>
  </w:footnote>
  <w:footnote w:id="15">
    <w:p w14:paraId="1B3F7C5A" w14:textId="77777777" w:rsidR="00D66D9D" w:rsidRDefault="00D66D9D" w:rsidP="00644FCC">
      <w:pPr>
        <w:pStyle w:val="FootnoteText"/>
      </w:pPr>
      <w:r>
        <w:rPr>
          <w:rStyle w:val="FootnoteReference"/>
        </w:rPr>
        <w:footnoteRef/>
      </w:r>
      <w:r>
        <w:t xml:space="preserve"> CHMP/437/04 Rev. 1 Guideline on similar biological medicinal products</w:t>
      </w:r>
    </w:p>
  </w:footnote>
  <w:footnote w:id="16">
    <w:p w14:paraId="00E9D015" w14:textId="77777777" w:rsidR="00D66D9D" w:rsidRDefault="00D66D9D" w:rsidP="002767C2">
      <w:pPr>
        <w:pStyle w:val="FootnoteText"/>
      </w:pPr>
      <w:r>
        <w:rPr>
          <w:rStyle w:val="FootnoteReference"/>
        </w:rPr>
        <w:footnoteRef/>
      </w:r>
      <w:r>
        <w:t xml:space="preserve"> Psoriasis Area and Severity Index (PASI): Total PASI scores were calculated by multiplying the area of involvement score, the sum of the severity scores for erythema, induration, and scaling, and a weight factor for that body area (0.1, 0.2, 0.3, and 0.4 for head, upper extremities, trunk, and lower extremities, respectively), and then summing across all 4 body areas. The total range of the PASI score is 0 to 72, where 0 = no psoriasis and 72 = severe disease.</w:t>
      </w:r>
    </w:p>
    <w:p w14:paraId="24E053E7" w14:textId="77777777" w:rsidR="00D66D9D" w:rsidRDefault="00D66D9D" w:rsidP="002767C2">
      <w:pPr>
        <w:pStyle w:val="FootnoteText"/>
      </w:pPr>
      <w:r>
        <w:t>The PASI 50 response indicates a 50% or more reduction (improvement) in PASI score from Baseline.</w:t>
      </w:r>
    </w:p>
    <w:p w14:paraId="4CFF8715" w14:textId="77777777" w:rsidR="00D66D9D" w:rsidRDefault="00D66D9D" w:rsidP="002767C2">
      <w:pPr>
        <w:pStyle w:val="FootnoteText"/>
      </w:pPr>
      <w:r>
        <w:t>The PASI 75 response indicates a 75% or more reduction (improvement) in PASI score from Baseline.</w:t>
      </w:r>
    </w:p>
    <w:p w14:paraId="7C70F35D" w14:textId="01EDFE85" w:rsidR="00D66D9D" w:rsidRDefault="00D66D9D" w:rsidP="002767C2">
      <w:pPr>
        <w:pStyle w:val="FootnoteText"/>
      </w:pPr>
      <w:r>
        <w:t>The PASI 90 response indicates a 90% or more reduction (improvement) in PASI score from Baseline.</w:t>
      </w:r>
    </w:p>
  </w:footnote>
  <w:footnote w:id="17">
    <w:p w14:paraId="547A4B2F" w14:textId="24D67A07" w:rsidR="00E1498F" w:rsidRPr="00DE7A9B" w:rsidRDefault="00E1498F">
      <w:pPr>
        <w:pStyle w:val="FootnoteText"/>
      </w:pPr>
      <w:r>
        <w:rPr>
          <w:rStyle w:val="FootnoteReference"/>
        </w:rPr>
        <w:footnoteRef/>
      </w:r>
      <w:r>
        <w:t xml:space="preserve"> </w:t>
      </w:r>
      <w:r w:rsidRPr="00E1498F">
        <w:t xml:space="preserve">European Medicines Agency (EMA), </w:t>
      </w:r>
      <w:hyperlink r:id="rId2" w:history="1">
        <w:r w:rsidRPr="00E1498F">
          <w:rPr>
            <w:rStyle w:val="Hyperlink"/>
          </w:rPr>
          <w:t>Guideline on clinical investigation of medicinal products indicated for the treatment of psoriasis</w:t>
        </w:r>
      </w:hyperlink>
      <w:r w:rsidRPr="00E1498F">
        <w:t xml:space="preserve">. CHMP/EWP/2454/02 </w:t>
      </w:r>
      <w:proofErr w:type="spellStart"/>
      <w:r w:rsidRPr="00E1498F">
        <w:t>corr</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3517" w14:textId="77777777" w:rsidR="00D66D9D" w:rsidRPr="00CB0550" w:rsidRDefault="00D66D9D" w:rsidP="00CB0550">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D66D9D" w:rsidRPr="002B29B2" w14:paraId="3E15C3BC" w14:textId="77777777" w:rsidTr="00EA3C32">
      <w:trPr>
        <w:trHeight w:hRule="exact" w:val="8845"/>
      </w:trPr>
      <w:tc>
        <w:tcPr>
          <w:tcW w:w="11964" w:type="dxa"/>
          <w:vAlign w:val="center"/>
        </w:tcPr>
        <w:p w14:paraId="6FDE4BFB" w14:textId="77777777" w:rsidR="00D66D9D" w:rsidRPr="002B29B2" w:rsidRDefault="005A7369" w:rsidP="00EA3C32">
          <w:pPr>
            <w:ind w:left="-57"/>
            <w:rPr>
              <w:noProof/>
            </w:rPr>
          </w:pPr>
          <w:sdt>
            <w:sdtPr>
              <w:rPr>
                <w:noProof/>
              </w:rPr>
              <w:id w:val="1926993388"/>
              <w:showingPlcHdr/>
              <w:picture/>
            </w:sdtPr>
            <w:sdtEndPr/>
            <w:sdtContent>
              <w:r w:rsidR="00D66D9D" w:rsidRPr="00F71E1E">
                <w:rPr>
                  <w:noProof/>
                  <w:color w:val="2B579A"/>
                  <w:shd w:val="clear" w:color="auto" w:fill="E6E6E6"/>
                  <w:lang w:val="en-GB" w:eastAsia="en-GB"/>
                </w:rPr>
                <w:drawing>
                  <wp:inline distT="0" distB="0" distL="0" distR="0" wp14:anchorId="5C7F8AC9" wp14:editId="23FC1BBE">
                    <wp:extent cx="7631430" cy="5523865"/>
                    <wp:effectExtent l="0" t="0" r="762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1"/>
                            <pic:cNvPicPr>
                              <a:picLocks noChangeAspect="1" noChangeArrowheads="1"/>
                            </pic:cNvPicPr>
                          </pic:nvPicPr>
                          <pic:blipFill>
                            <a:blip r:embed="rId1" cstate="print"/>
                            <a:srcRect/>
                            <a:stretch>
                              <a:fillRect/>
                            </a:stretch>
                          </pic:blipFill>
                          <pic:spPr bwMode="auto">
                            <a:xfrm>
                              <a:off x="0" y="0"/>
                              <a:ext cx="7631430" cy="5523865"/>
                            </a:xfrm>
                            <a:prstGeom prst="rect">
                              <a:avLst/>
                            </a:prstGeom>
                            <a:noFill/>
                            <a:ln w="9525">
                              <a:noFill/>
                              <a:miter lim="800000"/>
                              <a:headEnd/>
                              <a:tailEnd/>
                            </a:ln>
                          </pic:spPr>
                        </pic:pic>
                      </a:graphicData>
                    </a:graphic>
                  </wp:inline>
                </w:drawing>
              </w:r>
            </w:sdtContent>
          </w:sdt>
        </w:p>
      </w:tc>
    </w:tr>
  </w:tbl>
  <w:p w14:paraId="6402DE55" w14:textId="77777777" w:rsidR="00D66D9D" w:rsidRDefault="00D66D9D" w:rsidP="00EA3C32">
    <w:pPr>
      <w:rPr>
        <w:noProof/>
      </w:rPr>
    </w:pPr>
    <w:r>
      <w:rPr>
        <w:noProof/>
        <w:color w:val="2B579A"/>
        <w:shd w:val="clear" w:color="auto" w:fill="E6E6E6"/>
        <w:lang w:val="en-GB" w:eastAsia="en-GB"/>
      </w:rPr>
      <w:drawing>
        <wp:anchor distT="0" distB="0" distL="114300" distR="114300" simplePos="0" relativeHeight="251658241" behindDoc="0" locked="0" layoutInCell="1" allowOverlap="1" wp14:anchorId="19C10218" wp14:editId="1C7A23CB">
          <wp:simplePos x="0" y="0"/>
          <wp:positionH relativeFrom="column">
            <wp:posOffset>-400050</wp:posOffset>
          </wp:positionH>
          <wp:positionV relativeFrom="paragraph">
            <wp:posOffset>-116205</wp:posOffset>
          </wp:positionV>
          <wp:extent cx="2676525" cy="621665"/>
          <wp:effectExtent l="0" t="0" r="9525" b="698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B29B2">
      <w:rPr>
        <w:noProof/>
        <w:color w:val="2B579A"/>
        <w:shd w:val="clear" w:color="auto" w:fill="E6E6E6"/>
        <w:lang w:val="en-GB" w:eastAsia="en-GB"/>
      </w:rPr>
      <w:drawing>
        <wp:anchor distT="0" distB="0" distL="114300" distR="114300" simplePos="0" relativeHeight="251658240" behindDoc="0" locked="0" layoutInCell="0" allowOverlap="1" wp14:anchorId="14BBEAC1" wp14:editId="0829B6F3">
          <wp:simplePos x="0" y="0"/>
          <wp:positionH relativeFrom="page">
            <wp:align>left</wp:align>
          </wp:positionH>
          <wp:positionV relativeFrom="page">
            <wp:posOffset>3239495</wp:posOffset>
          </wp:positionV>
          <wp:extent cx="7663815" cy="4323091"/>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32D" w14:textId="77777777" w:rsidR="00D66D9D" w:rsidRDefault="00D66D9D" w:rsidP="00EA3C32">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477B" w14:textId="77777777" w:rsidR="00D66D9D" w:rsidRPr="00FE501F" w:rsidRDefault="00D66D9D" w:rsidP="00EA3C32">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4334"/>
    <w:multiLevelType w:val="hybridMultilevel"/>
    <w:tmpl w:val="AEBE2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8572A"/>
    <w:multiLevelType w:val="hybridMultilevel"/>
    <w:tmpl w:val="7242CE3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9108CD"/>
    <w:multiLevelType w:val="hybridMultilevel"/>
    <w:tmpl w:val="0CEE82E2"/>
    <w:lvl w:ilvl="0" w:tplc="7E7496A6">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53F11"/>
    <w:multiLevelType w:val="multilevel"/>
    <w:tmpl w:val="23EEDE58"/>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num>
  <w:num w:numId="2">
    <w:abstractNumId w:val="3"/>
    <w:lvlOverride w:ilvl="0">
      <w:lvl w:ilvl="0">
        <w:start w:val="1"/>
        <w:numFmt w:val="decimal"/>
        <w:pStyle w:val="Numberbullet0"/>
        <w:lvlText w:val="%1."/>
        <w:lvlJc w:val="left"/>
        <w:pPr>
          <w:ind w:left="360" w:hanging="360"/>
        </w:pPr>
        <w:rPr>
          <w:rFonts w:ascii="Cambria" w:hAnsi="Cambria" w:hint="default"/>
        </w:rPr>
      </w:lvl>
    </w:lvlOverride>
  </w:num>
  <w:num w:numId="3">
    <w:abstractNumId w:val="4"/>
  </w:num>
  <w:num w:numId="4">
    <w:abstractNumId w:val="8"/>
  </w:num>
  <w:num w:numId="5">
    <w:abstractNumId w:val="6"/>
  </w:num>
  <w:num w:numId="6">
    <w:abstractNumId w:val="7"/>
  </w:num>
  <w:num w:numId="7">
    <w:abstractNumId w:val="3"/>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8">
    <w:abstractNumId w:val="1"/>
  </w:num>
  <w:num w:numId="9">
    <w:abstractNumId w:val="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EC2"/>
    <w:rsid w:val="00015DA4"/>
    <w:rsid w:val="0002609D"/>
    <w:rsid w:val="00032B2D"/>
    <w:rsid w:val="000375CF"/>
    <w:rsid w:val="00041576"/>
    <w:rsid w:val="0004647D"/>
    <w:rsid w:val="00047D84"/>
    <w:rsid w:val="00070E38"/>
    <w:rsid w:val="00093440"/>
    <w:rsid w:val="00094463"/>
    <w:rsid w:val="00094B81"/>
    <w:rsid w:val="000A141A"/>
    <w:rsid w:val="000B17C3"/>
    <w:rsid w:val="000D573B"/>
    <w:rsid w:val="000D6955"/>
    <w:rsid w:val="0012473C"/>
    <w:rsid w:val="00175CD8"/>
    <w:rsid w:val="00181895"/>
    <w:rsid w:val="001C7F3E"/>
    <w:rsid w:val="002100E7"/>
    <w:rsid w:val="00226C2C"/>
    <w:rsid w:val="00226EF1"/>
    <w:rsid w:val="00272BC1"/>
    <w:rsid w:val="002767C2"/>
    <w:rsid w:val="002A2730"/>
    <w:rsid w:val="002A397E"/>
    <w:rsid w:val="002C5E29"/>
    <w:rsid w:val="002F778B"/>
    <w:rsid w:val="003008D8"/>
    <w:rsid w:val="00313977"/>
    <w:rsid w:val="0031592E"/>
    <w:rsid w:val="0032162F"/>
    <w:rsid w:val="00324B33"/>
    <w:rsid w:val="00341238"/>
    <w:rsid w:val="00346EC2"/>
    <w:rsid w:val="0035444D"/>
    <w:rsid w:val="00374F53"/>
    <w:rsid w:val="003A2AF1"/>
    <w:rsid w:val="003C24DD"/>
    <w:rsid w:val="003C6DD9"/>
    <w:rsid w:val="00421DBB"/>
    <w:rsid w:val="004246B8"/>
    <w:rsid w:val="004271B9"/>
    <w:rsid w:val="00433F2E"/>
    <w:rsid w:val="0044053F"/>
    <w:rsid w:val="004573B7"/>
    <w:rsid w:val="00457D73"/>
    <w:rsid w:val="00501A44"/>
    <w:rsid w:val="0051180F"/>
    <w:rsid w:val="005247CC"/>
    <w:rsid w:val="00526068"/>
    <w:rsid w:val="0055202F"/>
    <w:rsid w:val="005600D1"/>
    <w:rsid w:val="00562FBC"/>
    <w:rsid w:val="00564F74"/>
    <w:rsid w:val="0056766D"/>
    <w:rsid w:val="005747F5"/>
    <w:rsid w:val="0058575E"/>
    <w:rsid w:val="005A1B29"/>
    <w:rsid w:val="005A7369"/>
    <w:rsid w:val="005B2914"/>
    <w:rsid w:val="005D5AF5"/>
    <w:rsid w:val="005F364F"/>
    <w:rsid w:val="006028E6"/>
    <w:rsid w:val="00603FFD"/>
    <w:rsid w:val="00606837"/>
    <w:rsid w:val="0062485E"/>
    <w:rsid w:val="006412C5"/>
    <w:rsid w:val="00644FCC"/>
    <w:rsid w:val="00657E06"/>
    <w:rsid w:val="0066567D"/>
    <w:rsid w:val="00697B6E"/>
    <w:rsid w:val="006A1F0B"/>
    <w:rsid w:val="006A770B"/>
    <w:rsid w:val="006C6DE4"/>
    <w:rsid w:val="00700C56"/>
    <w:rsid w:val="00703363"/>
    <w:rsid w:val="00706057"/>
    <w:rsid w:val="00746990"/>
    <w:rsid w:val="007835B7"/>
    <w:rsid w:val="00785383"/>
    <w:rsid w:val="007D4E69"/>
    <w:rsid w:val="007E2A88"/>
    <w:rsid w:val="007E3907"/>
    <w:rsid w:val="007F0A77"/>
    <w:rsid w:val="008329DB"/>
    <w:rsid w:val="0083632F"/>
    <w:rsid w:val="008555AF"/>
    <w:rsid w:val="008923FF"/>
    <w:rsid w:val="008B2A2B"/>
    <w:rsid w:val="008C7974"/>
    <w:rsid w:val="008F7977"/>
    <w:rsid w:val="00930D58"/>
    <w:rsid w:val="009406D0"/>
    <w:rsid w:val="009D53B8"/>
    <w:rsid w:val="009E257C"/>
    <w:rsid w:val="00A104CA"/>
    <w:rsid w:val="00A45C68"/>
    <w:rsid w:val="00A6020A"/>
    <w:rsid w:val="00A777AE"/>
    <w:rsid w:val="00A8103B"/>
    <w:rsid w:val="00AA3EEB"/>
    <w:rsid w:val="00AB7CBF"/>
    <w:rsid w:val="00B07CF9"/>
    <w:rsid w:val="00B12861"/>
    <w:rsid w:val="00B46BC0"/>
    <w:rsid w:val="00B83049"/>
    <w:rsid w:val="00B87AC9"/>
    <w:rsid w:val="00BA15DA"/>
    <w:rsid w:val="00BC335A"/>
    <w:rsid w:val="00C22214"/>
    <w:rsid w:val="00C36A54"/>
    <w:rsid w:val="00C431A5"/>
    <w:rsid w:val="00C55820"/>
    <w:rsid w:val="00C93392"/>
    <w:rsid w:val="00C94CDD"/>
    <w:rsid w:val="00C96E1F"/>
    <w:rsid w:val="00CA453E"/>
    <w:rsid w:val="00CB0550"/>
    <w:rsid w:val="00CE4AD8"/>
    <w:rsid w:val="00D06FED"/>
    <w:rsid w:val="00D078BE"/>
    <w:rsid w:val="00D10636"/>
    <w:rsid w:val="00D13F8A"/>
    <w:rsid w:val="00D2005C"/>
    <w:rsid w:val="00D22429"/>
    <w:rsid w:val="00D56CD5"/>
    <w:rsid w:val="00D66D9D"/>
    <w:rsid w:val="00D918D5"/>
    <w:rsid w:val="00D9369D"/>
    <w:rsid w:val="00DA00CD"/>
    <w:rsid w:val="00DC317D"/>
    <w:rsid w:val="00DE7A9B"/>
    <w:rsid w:val="00E1498F"/>
    <w:rsid w:val="00E17C80"/>
    <w:rsid w:val="00E53D3F"/>
    <w:rsid w:val="00E87DFE"/>
    <w:rsid w:val="00EA3C32"/>
    <w:rsid w:val="00EC16F5"/>
    <w:rsid w:val="00EF3584"/>
    <w:rsid w:val="00F02AEC"/>
    <w:rsid w:val="00F06B80"/>
    <w:rsid w:val="00F14213"/>
    <w:rsid w:val="00F157FC"/>
    <w:rsid w:val="00F1599C"/>
    <w:rsid w:val="00F365F6"/>
    <w:rsid w:val="00F5628B"/>
    <w:rsid w:val="00F6335C"/>
    <w:rsid w:val="00FA49C3"/>
    <w:rsid w:val="00FB6BBF"/>
    <w:rsid w:val="021A5C6D"/>
    <w:rsid w:val="02CB461C"/>
    <w:rsid w:val="069F7B62"/>
    <w:rsid w:val="084361E7"/>
    <w:rsid w:val="2F1872C6"/>
    <w:rsid w:val="2F5CAACE"/>
    <w:rsid w:val="32C89296"/>
    <w:rsid w:val="383B369B"/>
    <w:rsid w:val="4955E597"/>
    <w:rsid w:val="4F218759"/>
    <w:rsid w:val="5239A6CA"/>
    <w:rsid w:val="60B5E57B"/>
    <w:rsid w:val="7EAA9C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4C024"/>
  <w15:chartTrackingRefBased/>
  <w15:docId w15:val="{179C73B0-19CE-4894-A604-EEA26E94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730"/>
    <w:rPr>
      <w:rFonts w:ascii="Cambria" w:hAnsi="Cambria"/>
      <w:sz w:val="22"/>
    </w:rPr>
  </w:style>
  <w:style w:type="paragraph" w:styleId="Heading1">
    <w:name w:val="heading 1"/>
    <w:basedOn w:val="Normal"/>
    <w:next w:val="Normal"/>
    <w:link w:val="Heading1Char"/>
    <w:uiPriority w:val="9"/>
    <w:qFormat/>
    <w:rsid w:val="000B17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56766D"/>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6766D"/>
    <w:rPr>
      <w:rFonts w:ascii="Cambria" w:eastAsia="Cambria" w:hAnsi="Cambria" w:cs="Times New Roman"/>
      <w:color w:val="333F4A"/>
      <w:sz w:val="17"/>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basedOn w:val="DefaultParagraphFont"/>
    <w:uiPriority w:val="99"/>
    <w:unhideWhenUsed/>
    <w:rsid w:val="0056766D"/>
    <w:rPr>
      <w:rFonts w:ascii="Cambria" w:hAnsi="Cambria"/>
      <w:color w:val="0000FF"/>
      <w:u w:val="single"/>
    </w:rPr>
  </w:style>
  <w:style w:type="paragraph" w:customStyle="1" w:styleId="LegalCopy">
    <w:name w:val="Legal Copy"/>
    <w:basedOn w:val="Footer"/>
    <w:rsid w:val="0056766D"/>
  </w:style>
  <w:style w:type="paragraph" w:customStyle="1" w:styleId="LegalSubheading">
    <w:name w:val="Legal Subheading"/>
    <w:basedOn w:val="Footer"/>
    <w:rsid w:val="0056766D"/>
    <w:pPr>
      <w:outlineLvl w:val="1"/>
    </w:pPr>
    <w:rPr>
      <w:b/>
    </w:rPr>
  </w:style>
  <w:style w:type="paragraph" w:styleId="ListBullet">
    <w:name w:val="List Bullet"/>
    <w:basedOn w:val="Normal"/>
    <w:uiPriority w:val="2"/>
    <w:qFormat/>
    <w:rsid w:val="00B12861"/>
    <w:pPr>
      <w:numPr>
        <w:numId w:val="1"/>
      </w:numPr>
      <w:spacing w:before="120" w:after="180" w:line="240" w:lineRule="atLeast"/>
    </w:pPr>
    <w:rPr>
      <w:rFonts w:eastAsia="Cambria" w:cs="Times New Roman"/>
      <w:color w:val="333F48"/>
    </w:rPr>
  </w:style>
  <w:style w:type="paragraph" w:styleId="ListBullet2">
    <w:name w:val="List Bullet 2"/>
    <w:basedOn w:val="Normal"/>
    <w:uiPriority w:val="2"/>
    <w:qFormat/>
    <w:rsid w:val="00B12861"/>
    <w:pPr>
      <w:numPr>
        <w:ilvl w:val="1"/>
        <w:numId w:val="1"/>
      </w:numPr>
      <w:spacing w:before="120" w:after="180" w:line="240" w:lineRule="atLeast"/>
      <w:ind w:left="850" w:hanging="425"/>
    </w:pPr>
    <w:rPr>
      <w:rFonts w:eastAsia="Cambria" w:cs="Times New Roman"/>
      <w:color w:val="333F48"/>
    </w:rPr>
  </w:style>
  <w:style w:type="paragraph" w:styleId="ListBullet3">
    <w:name w:val="List Bullet 3"/>
    <w:basedOn w:val="Normal"/>
    <w:uiPriority w:val="2"/>
    <w:qFormat/>
    <w:rsid w:val="00B12861"/>
    <w:pPr>
      <w:numPr>
        <w:numId w:val="3"/>
      </w:numPr>
      <w:spacing w:before="120" w:after="180" w:line="240" w:lineRule="atLeast"/>
      <w:ind w:left="1276" w:hanging="425"/>
    </w:pPr>
    <w:rPr>
      <w:rFonts w:eastAsia="Cambria"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2"/>
    <w:qFormat/>
    <w:rsid w:val="00B46BC0"/>
    <w:pPr>
      <w:numPr>
        <w:numId w:val="2"/>
      </w:numPr>
    </w:pPr>
  </w:style>
  <w:style w:type="paragraph" w:customStyle="1" w:styleId="Numberbullet2">
    <w:name w:val="Number bullet 2"/>
    <w:basedOn w:val="ListBullet2"/>
    <w:uiPriority w:val="2"/>
    <w:qFormat/>
    <w:rsid w:val="00F02AEC"/>
    <w:pPr>
      <w:numPr>
        <w:numId w:val="2"/>
      </w:numPr>
      <w:ind w:left="850" w:hanging="425"/>
    </w:pPr>
  </w:style>
  <w:style w:type="paragraph" w:customStyle="1" w:styleId="Numberbullet3">
    <w:name w:val="Number bullet 3"/>
    <w:basedOn w:val="Normal"/>
    <w:uiPriority w:val="2"/>
    <w:qFormat/>
    <w:rsid w:val="00B12861"/>
    <w:pPr>
      <w:numPr>
        <w:numId w:val="4"/>
      </w:numPr>
      <w:spacing w:before="120" w:after="180" w:line="240" w:lineRule="atLeast"/>
      <w:ind w:left="1361" w:hanging="397"/>
    </w:pPr>
    <w:rPr>
      <w:rFonts w:eastAsia="Cambria" w:cs="Times New Roman"/>
      <w:color w:val="333F48"/>
    </w:rPr>
  </w:style>
  <w:style w:type="numbering" w:customStyle="1" w:styleId="NumberBullet">
    <w:name w:val="NumberBullet"/>
    <w:uiPriority w:val="99"/>
    <w:locked/>
    <w:rsid w:val="00F02AEC"/>
    <w:pPr>
      <w:numPr>
        <w:numId w:val="11"/>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uiPriority w:val="99"/>
    <w:rsid w:val="00D10636"/>
    <w:pPr>
      <w:keepLines/>
      <w:spacing w:after="0" w:line="240" w:lineRule="atLeast"/>
    </w:pPr>
    <w:rPr>
      <w:rFonts w:eastAsia="Cambria" w:cs="Times New Roman"/>
      <w:color w:val="000000" w:themeColor="text1"/>
      <w:sz w:val="18"/>
    </w:rPr>
  </w:style>
  <w:style w:type="character" w:customStyle="1" w:styleId="FootnoteTextChar">
    <w:name w:val="Footnote Text Char"/>
    <w:basedOn w:val="DefaultParagraphFont"/>
    <w:link w:val="FootnoteText"/>
    <w:uiPriority w:val="99"/>
    <w:rsid w:val="00D10636"/>
    <w:rPr>
      <w:rFonts w:ascii="Cambria" w:eastAsia="Cambria" w:hAnsi="Cambria" w:cs="Times New Roman"/>
      <w:color w:val="000000" w:themeColor="text1"/>
      <w:sz w:val="18"/>
    </w:rPr>
  </w:style>
  <w:style w:type="character" w:styleId="FootnoteReference">
    <w:name w:val="footnote reference"/>
    <w:basedOn w:val="DefaultParagraphFont"/>
    <w:uiPriority w:val="99"/>
    <w:semiHidden/>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titles">
    <w:name w:val="Table titles"/>
    <w:basedOn w:val="Normal"/>
    <w:link w:val="TabletitlesChar"/>
    <w:qFormat/>
    <w:rsid w:val="00644FCC"/>
    <w:pPr>
      <w:keepNext/>
      <w:spacing w:after="0" w:line="21" w:lineRule="atLeast"/>
      <w:jc w:val="right"/>
    </w:pPr>
    <w:rPr>
      <w:rFonts w:eastAsia="MS Mincho"/>
      <w:b/>
      <w:snapToGrid w:val="0"/>
      <w:sz w:val="19"/>
      <w:szCs w:val="19"/>
      <w:lang w:val="en-GB" w:eastAsia="en-AU"/>
    </w:rPr>
  </w:style>
  <w:style w:type="character" w:customStyle="1" w:styleId="TabletitlesChar">
    <w:name w:val="Table titles Char"/>
    <w:basedOn w:val="DefaultParagraphFont"/>
    <w:link w:val="Tabletitles"/>
    <w:rsid w:val="00644FCC"/>
    <w:rPr>
      <w:rFonts w:ascii="Cambria" w:eastAsia="MS Mincho" w:hAnsi="Cambria"/>
      <w:b/>
      <w:snapToGrid w:val="0"/>
      <w:sz w:val="19"/>
      <w:szCs w:val="19"/>
      <w:lang w:val="en-GB" w:eastAsia="en-AU"/>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szCs w:val="22"/>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paragraph" w:customStyle="1" w:styleId="NonTOCHeading20">
    <w:name w:val="Non TOC Heading 2"/>
    <w:basedOn w:val="Normal"/>
    <w:rsid w:val="00346EC2"/>
    <w:pPr>
      <w:spacing w:before="240" w:line="240" w:lineRule="atLeast"/>
      <w:outlineLvl w:val="1"/>
    </w:pPr>
    <w:rPr>
      <w:rFonts w:ascii="Arial" w:eastAsia="Cambria" w:hAnsi="Arial" w:cs="Times New Roman"/>
      <w:b/>
      <w:sz w:val="32"/>
      <w:szCs w:val="22"/>
    </w:rPr>
  </w:style>
  <w:style w:type="table" w:customStyle="1" w:styleId="TableTGAblue">
    <w:name w:val="Table TGA blue"/>
    <w:basedOn w:val="TableNormal"/>
    <w:uiPriority w:val="99"/>
    <w:qFormat/>
    <w:rsid w:val="00324B33"/>
    <w:pPr>
      <w:spacing w:after="0" w:line="240" w:lineRule="auto"/>
      <w:ind w:left="170" w:right="170"/>
    </w:pPr>
    <w:rPr>
      <w:rFonts w:ascii="Cambria" w:hAnsi="Cambria" w:cs="Times New Roman"/>
      <w:color w:val="000000" w:themeColor="text1"/>
      <w:sz w:val="22"/>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customStyle="1" w:styleId="Instructions">
    <w:name w:val="Instructions"/>
    <w:basedOn w:val="Normal"/>
    <w:next w:val="Normal"/>
    <w:uiPriority w:val="1"/>
    <w:qFormat/>
    <w:rsid w:val="00324B33"/>
    <w:pPr>
      <w:spacing w:before="120" w:line="240" w:lineRule="atLeast"/>
    </w:pPr>
    <w:rPr>
      <w:rFonts w:eastAsia="Cambria" w:cs="Times New Roman"/>
      <w:i/>
      <w:color w:val="007099"/>
      <w:szCs w:val="22"/>
    </w:rPr>
  </w:style>
  <w:style w:type="paragraph" w:customStyle="1" w:styleId="TableTitle">
    <w:name w:val="Table Title"/>
    <w:basedOn w:val="Normal"/>
    <w:rsid w:val="00324B33"/>
    <w:pPr>
      <w:keepNext/>
      <w:spacing w:before="120" w:line="240" w:lineRule="atLeast"/>
    </w:pPr>
    <w:rPr>
      <w:rFonts w:eastAsia="Cambria" w:cs="Times New Roman"/>
      <w:b/>
      <w:szCs w:val="22"/>
    </w:rPr>
  </w:style>
  <w:style w:type="paragraph" w:customStyle="1" w:styleId="TableDescription">
    <w:name w:val="Table Description"/>
    <w:basedOn w:val="Normal"/>
    <w:rsid w:val="0056766D"/>
    <w:pPr>
      <w:spacing w:before="120" w:after="0" w:line="240" w:lineRule="auto"/>
    </w:pPr>
    <w:rPr>
      <w:rFonts w:eastAsia="Cambria" w:cs="Times New Roman"/>
      <w:sz w:val="19"/>
      <w:szCs w:val="19"/>
    </w:rPr>
  </w:style>
  <w:style w:type="paragraph" w:styleId="Caption">
    <w:name w:val="caption"/>
    <w:basedOn w:val="Normal"/>
    <w:next w:val="Normal"/>
    <w:uiPriority w:val="35"/>
    <w:unhideWhenUsed/>
    <w:qFormat/>
    <w:rsid w:val="00FB6BBF"/>
    <w:pPr>
      <w:spacing w:after="200" w:line="240" w:lineRule="auto"/>
    </w:pPr>
    <w:rPr>
      <w:i/>
      <w:iCs/>
      <w:color w:val="44546A" w:themeColor="text2"/>
      <w:sz w:val="18"/>
      <w:szCs w:val="18"/>
    </w:rPr>
  </w:style>
  <w:style w:type="paragraph" w:customStyle="1" w:styleId="Tablefonts">
    <w:name w:val="Table fonts"/>
    <w:basedOn w:val="Normal"/>
    <w:link w:val="TablefontsChar"/>
    <w:qFormat/>
    <w:rsid w:val="00644FCC"/>
    <w:pPr>
      <w:keepNext/>
      <w:spacing w:after="0" w:line="21" w:lineRule="atLeast"/>
    </w:pPr>
    <w:rPr>
      <w:rFonts w:eastAsia="MS Mincho"/>
      <w:snapToGrid w:val="0"/>
      <w:sz w:val="19"/>
      <w:szCs w:val="19"/>
      <w:lang w:val="en-GB" w:eastAsia="en-AU"/>
    </w:rPr>
  </w:style>
  <w:style w:type="character" w:customStyle="1" w:styleId="TablefontsChar">
    <w:name w:val="Table fonts Char"/>
    <w:basedOn w:val="DefaultParagraphFont"/>
    <w:link w:val="Tablefonts"/>
    <w:rsid w:val="00644FCC"/>
    <w:rPr>
      <w:rFonts w:ascii="Cambria" w:eastAsia="MS Mincho" w:hAnsi="Cambria"/>
      <w:snapToGrid w:val="0"/>
      <w:sz w:val="19"/>
      <w:szCs w:val="19"/>
      <w:lang w:val="en-GB" w:eastAsia="en-AU"/>
    </w:rPr>
  </w:style>
  <w:style w:type="paragraph" w:styleId="ListParagraph">
    <w:name w:val="List Paragraph"/>
    <w:aliases w:val="List normal"/>
    <w:basedOn w:val="Normal"/>
    <w:link w:val="ListParagraphChar"/>
    <w:uiPriority w:val="34"/>
    <w:qFormat/>
    <w:rsid w:val="00644FCC"/>
    <w:pPr>
      <w:adjustRightInd w:val="0"/>
      <w:snapToGrid w:val="0"/>
      <w:spacing w:before="180" w:after="180" w:line="240" w:lineRule="atLeast"/>
      <w:ind w:left="720"/>
      <w:contextualSpacing/>
    </w:pPr>
    <w:rPr>
      <w:rFonts w:eastAsia="MS Mincho" w:cs="Times New Roman"/>
      <w:lang w:eastAsia="ja-JP"/>
    </w:rPr>
  </w:style>
  <w:style w:type="character" w:customStyle="1" w:styleId="ListParagraphChar">
    <w:name w:val="List Paragraph Char"/>
    <w:aliases w:val="List normal Char"/>
    <w:basedOn w:val="DefaultParagraphFont"/>
    <w:link w:val="ListParagraph"/>
    <w:uiPriority w:val="34"/>
    <w:rsid w:val="00644FCC"/>
    <w:rPr>
      <w:rFonts w:ascii="Cambria" w:eastAsia="MS Mincho" w:hAnsi="Cambria" w:cs="Times New Roman"/>
      <w:sz w:val="22"/>
      <w:lang w:eastAsia="ja-JP"/>
    </w:rPr>
  </w:style>
  <w:style w:type="paragraph" w:customStyle="1" w:styleId="Tabletext">
    <w:name w:val="Table text"/>
    <w:basedOn w:val="Normal"/>
    <w:link w:val="TabletextChar"/>
    <w:qFormat/>
    <w:rsid w:val="00CA453E"/>
    <w:pPr>
      <w:spacing w:before="20" w:after="20" w:line="252" w:lineRule="auto"/>
    </w:pPr>
    <w:rPr>
      <w:rFonts w:eastAsia="Times New Roman" w:cs="Times New Roman"/>
      <w:snapToGrid w:val="0"/>
      <w:kern w:val="16"/>
      <w:sz w:val="20"/>
      <w:szCs w:val="24"/>
    </w:rPr>
  </w:style>
  <w:style w:type="character" w:customStyle="1" w:styleId="TabletextChar">
    <w:name w:val="Table text Char"/>
    <w:basedOn w:val="DefaultParagraphFont"/>
    <w:link w:val="Tabletext"/>
    <w:rsid w:val="00CA453E"/>
    <w:rPr>
      <w:rFonts w:ascii="Cambria" w:eastAsia="Times New Roman" w:hAnsi="Cambria" w:cs="Times New Roman"/>
      <w:snapToGrid w:val="0"/>
      <w:kern w:val="16"/>
      <w:szCs w:val="24"/>
    </w:rPr>
  </w:style>
  <w:style w:type="paragraph" w:customStyle="1" w:styleId="Standard">
    <w:name w:val="Standard"/>
    <w:basedOn w:val="Normal"/>
    <w:link w:val="StandardChar"/>
    <w:qFormat/>
    <w:rsid w:val="00CA453E"/>
    <w:pPr>
      <w:spacing w:after="220" w:line="252" w:lineRule="auto"/>
    </w:pPr>
    <w:rPr>
      <w:rFonts w:eastAsia="Times New Roman" w:cs="Times New Roman"/>
      <w:snapToGrid w:val="0"/>
      <w:kern w:val="16"/>
      <w:sz w:val="23"/>
      <w:szCs w:val="24"/>
    </w:rPr>
  </w:style>
  <w:style w:type="character" w:customStyle="1" w:styleId="StandardChar">
    <w:name w:val="Standard Char"/>
    <w:basedOn w:val="DefaultParagraphFont"/>
    <w:link w:val="Standard"/>
    <w:rsid w:val="00CA453E"/>
    <w:rPr>
      <w:rFonts w:ascii="Cambria" w:eastAsia="Times New Roman" w:hAnsi="Cambria" w:cs="Times New Roman"/>
      <w:snapToGrid w:val="0"/>
      <w:kern w:val="16"/>
      <w:sz w:val="23"/>
      <w:szCs w:val="24"/>
    </w:rPr>
  </w:style>
  <w:style w:type="paragraph" w:customStyle="1" w:styleId="Bulletlist">
    <w:name w:val="Bullet list"/>
    <w:basedOn w:val="Standard"/>
    <w:link w:val="BulletlistChar"/>
    <w:qFormat/>
    <w:rsid w:val="00CA453E"/>
    <w:pPr>
      <w:numPr>
        <w:numId w:val="10"/>
      </w:numPr>
      <w:spacing w:after="180"/>
    </w:pPr>
    <w:rPr>
      <w:kern w:val="2"/>
    </w:rPr>
  </w:style>
  <w:style w:type="character" w:customStyle="1" w:styleId="BulletlistChar">
    <w:name w:val="Bullet list Char"/>
    <w:basedOn w:val="StandardChar"/>
    <w:link w:val="Bulletlist"/>
    <w:rsid w:val="00CA453E"/>
    <w:rPr>
      <w:rFonts w:ascii="Cambria" w:eastAsia="Times New Roman" w:hAnsi="Cambria" w:cs="Times New Roman"/>
      <w:snapToGrid w:val="0"/>
      <w:kern w:val="2"/>
      <w:sz w:val="23"/>
      <w:szCs w:val="24"/>
    </w:rPr>
  </w:style>
  <w:style w:type="character" w:customStyle="1" w:styleId="Mention1">
    <w:name w:val="Mention1"/>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Cambria" w:hAnsi="Cambria"/>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A770B"/>
    <w:rPr>
      <w:b/>
      <w:bCs/>
    </w:rPr>
  </w:style>
  <w:style w:type="character" w:customStyle="1" w:styleId="CommentSubjectChar">
    <w:name w:val="Comment Subject Char"/>
    <w:basedOn w:val="CommentTextChar"/>
    <w:link w:val="CommentSubject"/>
    <w:uiPriority w:val="99"/>
    <w:semiHidden/>
    <w:rsid w:val="006A770B"/>
    <w:rPr>
      <w:rFonts w:ascii="Cambria" w:hAnsi="Cambria"/>
      <w:b/>
      <w:bCs/>
    </w:rPr>
  </w:style>
  <w:style w:type="paragraph" w:styleId="Revision">
    <w:name w:val="Revision"/>
    <w:hidden/>
    <w:uiPriority w:val="99"/>
    <w:semiHidden/>
    <w:rsid w:val="00D2005C"/>
    <w:pPr>
      <w:spacing w:after="0" w:line="240" w:lineRule="auto"/>
    </w:pPr>
    <w:rPr>
      <w:rFonts w:ascii="Cambria" w:hAnsi="Cambria"/>
      <w:sz w:val="22"/>
    </w:rPr>
  </w:style>
  <w:style w:type="paragraph" w:styleId="BalloonText">
    <w:name w:val="Balloon Text"/>
    <w:basedOn w:val="Normal"/>
    <w:link w:val="BalloonTextChar"/>
    <w:uiPriority w:val="99"/>
    <w:semiHidden/>
    <w:unhideWhenUsed/>
    <w:rsid w:val="00560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0D1"/>
    <w:rPr>
      <w:rFonts w:ascii="Segoe UI" w:hAnsi="Segoe UI" w:cs="Segoe UI"/>
      <w:sz w:val="18"/>
      <w:szCs w:val="18"/>
    </w:rPr>
  </w:style>
  <w:style w:type="character" w:customStyle="1" w:styleId="Heading1Char">
    <w:name w:val="Heading 1 Char"/>
    <w:basedOn w:val="DefaultParagraphFont"/>
    <w:link w:val="Heading1"/>
    <w:uiPriority w:val="9"/>
    <w:rsid w:val="000B17C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760276">
      <w:bodyDiv w:val="1"/>
      <w:marLeft w:val="0"/>
      <w:marRight w:val="0"/>
      <w:marTop w:val="0"/>
      <w:marBottom w:val="0"/>
      <w:divBdr>
        <w:top w:val="none" w:sz="0" w:space="0" w:color="auto"/>
        <w:left w:val="none" w:sz="0" w:space="0" w:color="auto"/>
        <w:bottom w:val="none" w:sz="0" w:space="0" w:color="auto"/>
        <w:right w:val="none" w:sz="0" w:space="0" w:color="auto"/>
      </w:divBdr>
      <w:divsChild>
        <w:div w:id="2072576149">
          <w:marLeft w:val="0"/>
          <w:marRight w:val="0"/>
          <w:marTop w:val="0"/>
          <w:marBottom w:val="0"/>
          <w:divBdr>
            <w:top w:val="none" w:sz="0" w:space="0" w:color="auto"/>
            <w:left w:val="none" w:sz="0" w:space="0" w:color="auto"/>
            <w:bottom w:val="none" w:sz="0" w:space="0" w:color="auto"/>
            <w:right w:val="none" w:sz="0" w:space="0" w:color="auto"/>
          </w:divBdr>
          <w:divsChild>
            <w:div w:id="959725726">
              <w:marLeft w:val="0"/>
              <w:marRight w:val="0"/>
              <w:marTop w:val="0"/>
              <w:marBottom w:val="0"/>
              <w:divBdr>
                <w:top w:val="none" w:sz="0" w:space="0" w:color="auto"/>
                <w:left w:val="none" w:sz="0" w:space="0" w:color="auto"/>
                <w:bottom w:val="none" w:sz="0" w:space="0" w:color="auto"/>
                <w:right w:val="none" w:sz="0" w:space="0" w:color="auto"/>
              </w:divBdr>
              <w:divsChild>
                <w:div w:id="1182889240">
                  <w:marLeft w:val="-180"/>
                  <w:marRight w:val="-180"/>
                  <w:marTop w:val="0"/>
                  <w:marBottom w:val="0"/>
                  <w:divBdr>
                    <w:top w:val="none" w:sz="0" w:space="0" w:color="auto"/>
                    <w:left w:val="none" w:sz="0" w:space="0" w:color="auto"/>
                    <w:bottom w:val="none" w:sz="0" w:space="0" w:color="auto"/>
                    <w:right w:val="none" w:sz="0" w:space="0" w:color="auto"/>
                  </w:divBdr>
                  <w:divsChild>
                    <w:div w:id="611204566">
                      <w:marLeft w:val="0"/>
                      <w:marRight w:val="0"/>
                      <w:marTop w:val="0"/>
                      <w:marBottom w:val="0"/>
                      <w:divBdr>
                        <w:top w:val="none" w:sz="0" w:space="0" w:color="auto"/>
                        <w:left w:val="none" w:sz="0" w:space="0" w:color="auto"/>
                        <w:bottom w:val="none" w:sz="0" w:space="0" w:color="auto"/>
                        <w:right w:val="none" w:sz="0" w:space="0" w:color="auto"/>
                      </w:divBdr>
                      <w:divsChild>
                        <w:div w:id="163712712">
                          <w:marLeft w:val="0"/>
                          <w:marRight w:val="0"/>
                          <w:marTop w:val="0"/>
                          <w:marBottom w:val="0"/>
                          <w:divBdr>
                            <w:top w:val="none" w:sz="0" w:space="0" w:color="auto"/>
                            <w:left w:val="none" w:sz="0" w:space="0" w:color="auto"/>
                            <w:bottom w:val="none" w:sz="0" w:space="0" w:color="auto"/>
                            <w:right w:val="none" w:sz="0" w:space="0" w:color="auto"/>
                          </w:divBdr>
                        </w:div>
                        <w:div w:id="1425152881">
                          <w:marLeft w:val="0"/>
                          <w:marRight w:val="0"/>
                          <w:marTop w:val="0"/>
                          <w:marBottom w:val="0"/>
                          <w:divBdr>
                            <w:top w:val="none" w:sz="0" w:space="0" w:color="auto"/>
                            <w:left w:val="none" w:sz="0" w:space="0" w:color="auto"/>
                            <w:bottom w:val="none" w:sz="0" w:space="0" w:color="auto"/>
                            <w:right w:val="none" w:sz="0" w:space="0" w:color="auto"/>
                          </w:divBdr>
                          <w:divsChild>
                            <w:div w:id="248392372">
                              <w:marLeft w:val="0"/>
                              <w:marRight w:val="0"/>
                              <w:marTop w:val="0"/>
                              <w:marBottom w:val="0"/>
                              <w:divBdr>
                                <w:top w:val="none" w:sz="0" w:space="0" w:color="auto"/>
                                <w:left w:val="none" w:sz="0" w:space="0" w:color="auto"/>
                                <w:bottom w:val="none" w:sz="0" w:space="0" w:color="auto"/>
                                <w:right w:val="none" w:sz="0" w:space="0" w:color="auto"/>
                              </w:divBdr>
                            </w:div>
                          </w:divsChild>
                        </w:div>
                        <w:div w:id="138687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243661">
          <w:marLeft w:val="0"/>
          <w:marRight w:val="0"/>
          <w:marTop w:val="0"/>
          <w:marBottom w:val="0"/>
          <w:divBdr>
            <w:top w:val="none" w:sz="0" w:space="0" w:color="auto"/>
            <w:left w:val="none" w:sz="0" w:space="0" w:color="auto"/>
            <w:bottom w:val="none" w:sz="0" w:space="0" w:color="auto"/>
            <w:right w:val="none" w:sz="0" w:space="0" w:color="auto"/>
          </w:divBdr>
          <w:divsChild>
            <w:div w:id="1654480338">
              <w:marLeft w:val="0"/>
              <w:marRight w:val="0"/>
              <w:marTop w:val="0"/>
              <w:marBottom w:val="0"/>
              <w:divBdr>
                <w:top w:val="none" w:sz="0" w:space="0" w:color="auto"/>
                <w:left w:val="none" w:sz="0" w:space="0" w:color="auto"/>
                <w:bottom w:val="none" w:sz="0" w:space="0" w:color="auto"/>
                <w:right w:val="none" w:sz="0" w:space="0" w:color="auto"/>
              </w:divBdr>
              <w:divsChild>
                <w:div w:id="2067102908">
                  <w:marLeft w:val="0"/>
                  <w:marRight w:val="0"/>
                  <w:marTop w:val="0"/>
                  <w:marBottom w:val="0"/>
                  <w:divBdr>
                    <w:top w:val="none" w:sz="0" w:space="0" w:color="auto"/>
                    <w:left w:val="none" w:sz="0" w:space="0" w:color="auto"/>
                    <w:bottom w:val="none" w:sz="0" w:space="0" w:color="auto"/>
                    <w:right w:val="none" w:sz="0" w:space="0" w:color="auto"/>
                  </w:divBdr>
                  <w:divsChild>
                    <w:div w:id="2030521312">
                      <w:marLeft w:val="0"/>
                      <w:marRight w:val="0"/>
                      <w:marTop w:val="0"/>
                      <w:marBottom w:val="0"/>
                      <w:divBdr>
                        <w:top w:val="none" w:sz="0" w:space="0" w:color="auto"/>
                        <w:left w:val="none" w:sz="0" w:space="0" w:color="auto"/>
                        <w:bottom w:val="none" w:sz="0" w:space="0" w:color="auto"/>
                        <w:right w:val="none" w:sz="0" w:space="0" w:color="auto"/>
                      </w:divBdr>
                      <w:divsChild>
                        <w:div w:id="15592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207279">
      <w:bodyDiv w:val="1"/>
      <w:marLeft w:val="0"/>
      <w:marRight w:val="0"/>
      <w:marTop w:val="0"/>
      <w:marBottom w:val="0"/>
      <w:divBdr>
        <w:top w:val="none" w:sz="0" w:space="0" w:color="auto"/>
        <w:left w:val="none" w:sz="0" w:space="0" w:color="auto"/>
        <w:bottom w:val="none" w:sz="0" w:space="0" w:color="auto"/>
        <w:right w:val="none" w:sz="0" w:space="0" w:color="auto"/>
      </w:divBdr>
    </w:div>
    <w:div w:id="1419444477">
      <w:bodyDiv w:val="1"/>
      <w:marLeft w:val="0"/>
      <w:marRight w:val="0"/>
      <w:marTop w:val="0"/>
      <w:marBottom w:val="0"/>
      <w:divBdr>
        <w:top w:val="none" w:sz="0" w:space="0" w:color="auto"/>
        <w:left w:val="none" w:sz="0" w:space="0" w:color="auto"/>
        <w:bottom w:val="none" w:sz="0" w:space="0" w:color="auto"/>
        <w:right w:val="none" w:sz="0" w:space="0" w:color="auto"/>
      </w:divBdr>
    </w:div>
    <w:div w:id="1467432235">
      <w:bodyDiv w:val="1"/>
      <w:marLeft w:val="0"/>
      <w:marRight w:val="0"/>
      <w:marTop w:val="0"/>
      <w:marBottom w:val="0"/>
      <w:divBdr>
        <w:top w:val="none" w:sz="0" w:space="0" w:color="auto"/>
        <w:left w:val="none" w:sz="0" w:space="0" w:color="auto"/>
        <w:bottom w:val="none" w:sz="0" w:space="0" w:color="auto"/>
        <w:right w:val="none" w:sz="0" w:space="0" w:color="auto"/>
      </w:divBdr>
    </w:div>
    <w:div w:id="1632009420">
      <w:bodyDiv w:val="1"/>
      <w:marLeft w:val="0"/>
      <w:marRight w:val="0"/>
      <w:marTop w:val="0"/>
      <w:marBottom w:val="0"/>
      <w:divBdr>
        <w:top w:val="none" w:sz="0" w:space="0" w:color="auto"/>
        <w:left w:val="none" w:sz="0" w:space="0" w:color="auto"/>
        <w:bottom w:val="none" w:sz="0" w:space="0" w:color="auto"/>
        <w:right w:val="none" w:sz="0" w:space="0" w:color="auto"/>
      </w:divBdr>
    </w:div>
    <w:div w:id="211235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tga.gov.au/black-triangle-scheme" TargetMode="External"/><Relationship Id="rId26" Type="http://schemas.openxmlformats.org/officeDocument/2006/relationships/hyperlink" Target="https://www.tga.gov.au/publication/biosimilar-medicines-regulation" TargetMode="External"/><Relationship Id="rId3" Type="http://schemas.openxmlformats.org/officeDocument/2006/relationships/customXml" Target="../customXml/item3.xml"/><Relationship Id="rId21" Type="http://schemas.openxmlformats.org/officeDocument/2006/relationships/hyperlink" Target="https://www.tga.gov.au/resources/resource/international-scientific-guidelines/international-scientific-guidelines-guideline-similar-biological-medicinal-product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tga.copyright@tga.gov.au" TargetMode="External"/><Relationship Id="rId25" Type="http://schemas.openxmlformats.org/officeDocument/2006/relationships/hyperlink" Target="https://www.tga.gov.au/resources/resource/international-scientific-guidelines/international-scientific-guideline-guideline-clinical-investigation-medicinal-products-indicated-treatment-psoriasis" TargetMode="External"/><Relationship Id="rId33" Type="http://schemas.openxmlformats.org/officeDocument/2006/relationships/hyperlink" Target="https://www.tga.gov.au" TargetMode="External"/><Relationship Id="rId2" Type="http://schemas.openxmlformats.org/officeDocument/2006/relationships/customXml" Target="../customXml/item2.xml"/><Relationship Id="rId16" Type="http://schemas.openxmlformats.org/officeDocument/2006/relationships/hyperlink" Target="https://www.tga.gov.au/australian-public-assessment-report-auspar-guidance" TargetMode="External"/><Relationship Id="rId20" Type="http://schemas.openxmlformats.org/officeDocument/2006/relationships/hyperlink" Target="https://www.tga.gov.au/picmi-search-facility" TargetMode="External"/><Relationship Id="rId29" Type="http://schemas.openxmlformats.org/officeDocument/2006/relationships/hyperlink" Target="https://www.tga.gov.au/picmi-search-fac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tga.gov.au/resources/resource/international-scientific-guidelines/international-scientific-guideline-guideline-similar-biological-medicinal-products-containing-monoclonal-antibodies-non-clinical-and-clinical-issues" TargetMode="External"/><Relationship Id="rId32" Type="http://schemas.openxmlformats.org/officeDocument/2006/relationships/hyperlink" Target="mailto:info@tga.gov.a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ga.gov.au" TargetMode="External"/><Relationship Id="rId23" Type="http://schemas.openxmlformats.org/officeDocument/2006/relationships/hyperlink" Target="https://www.tga.gov.au/resources/resource/international-scientific-guidelines/international-scientific-guideline-guideline-clinical-investigation-pharmacokinetics-therapeutic-proteins" TargetMode="External"/><Relationship Id="rId28" Type="http://schemas.openxmlformats.org/officeDocument/2006/relationships/hyperlink" Target="https://www.tga.gov.au/tgas-risk-management-approach"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tga.gov.au/resources/resource/guidance/biosimilar-medicines-regulation"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resources/resource/international-scientific-guidelines/international-scientific-guideline-guideline-investigation-bioequivalence-0" TargetMode="External"/><Relationship Id="rId27" Type="http://schemas.openxmlformats.org/officeDocument/2006/relationships/hyperlink" Target="https://www.tga.gov.au/publication/risk-management-plans-medicines-and-biologicals" TargetMode="External"/><Relationship Id="rId30" Type="http://schemas.openxmlformats.org/officeDocument/2006/relationships/header" Target="header3.xml"/><Relationship Id="rId35"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resources/resource/international-scientific-guidelines/international-scientific-guideline-guideline-clinical-investigation-medicinal-products-indicated-treatment-psoriasis" TargetMode="External"/><Relationship Id="rId1" Type="http://schemas.openxmlformats.org/officeDocument/2006/relationships/hyperlink" Target="https://www.tga.gov.au/resources/resource/guidance/biosimilar-medicines-regul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20D6B29DC3C4B90D037CAAF59DC4A" ma:contentTypeVersion="19" ma:contentTypeDescription="Create a new document." ma:contentTypeScope="" ma:versionID="b0e1684f1bd93ccf69be3fe852954ca1">
  <xsd:schema xmlns:xsd="http://www.w3.org/2001/XMLSchema" xmlns:xs="http://www.w3.org/2001/XMLSchema" xmlns:p="http://schemas.microsoft.com/office/2006/metadata/properties" xmlns:ns2="f30f38cc-fb7c-4f07-8a88-e17163507a2f" xmlns:ns3="c18e3f5c-507e-46bd-82cf-4b43214c6b00" targetNamespace="http://schemas.microsoft.com/office/2006/metadata/properties" ma:root="true" ma:fieldsID="02277350c1469b7dfd5ddf5291ffffc4" ns2:_="" ns3:_="">
    <xsd:import namespace="f30f38cc-fb7c-4f07-8a88-e17163507a2f"/>
    <xsd:import namespace="c18e3f5c-507e-46bd-82cf-4b43214c6b00"/>
    <xsd:element name="properties">
      <xsd:complexType>
        <xsd:sequence>
          <xsd:element name="documentManagement">
            <xsd:complexType>
              <xsd:all>
                <xsd:element ref="ns2:MediaServiceMetadata" minOccurs="0"/>
                <xsd:element ref="ns2:MediaServiceFastMetadata"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f38cc-fb7c-4f07-8a88-e17163507a2f"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igrationWizId" ma:index="10" nillable="true" ma:displayName="MigrationWizId" ma:internalName="MigrationWizId">
      <xsd:simpleType>
        <xsd:restriction base="dms:Text"/>
      </xsd:simpleType>
    </xsd:element>
    <xsd:element name="MigrationWizIdPermissions" ma:index="11" nillable="true" ma:displayName="MigrationWizIdPermissions" ma:internalName="MigrationWizIdPermissions">
      <xsd:simpleType>
        <xsd:restriction base="dms:Text"/>
      </xsd:simpleType>
    </xsd:element>
    <xsd:element name="MigrationWizIdPermissionLevels" ma:index="12" nillable="true" ma:displayName="MigrationWizIdPermissionLevels" ma:internalName="MigrationWizIdPermissionLevels">
      <xsd:simpleType>
        <xsd:restriction base="dms:Text"/>
      </xsd:simpleType>
    </xsd:element>
    <xsd:element name="MigrationWizIdDocumentLibraryPermissions" ma:index="13" nillable="true" ma:displayName="MigrationWizIdDocumentLibraryPermissions" ma:internalName="MigrationWizIdDocumentLibraryPermissions">
      <xsd:simpleType>
        <xsd:restriction base="dms:Text"/>
      </xsd:simpleType>
    </xsd:element>
    <xsd:element name="MigrationWizIdSecurityGroups" ma:index="14" nillable="true" ma:displayName="MigrationWizIdSecurityGroups" ma:internalName="MigrationWizIdSecurityGroups">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6f898f-afbe-42d6-8268-a17dedfead6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e3f5c-507e-46bd-82cf-4b43214c6b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79d660b-543b-4fd9-a21e-f17df23234b4}" ma:internalName="TaxCatchAll" ma:showField="CatchAllData" ma:web="c18e3f5c-507e-46bd-82cf-4b43214c6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f30f38cc-fb7c-4f07-8a88-e17163507a2f" xsi:nil="true"/>
    <MigrationWizIdPermissions xmlns="f30f38cc-fb7c-4f07-8a88-e17163507a2f" xsi:nil="true"/>
    <MigrationWizIdPermissionLevels xmlns="f30f38cc-fb7c-4f07-8a88-e17163507a2f" xsi:nil="true"/>
    <MigrationWizIdDocumentLibraryPermissions xmlns="f30f38cc-fb7c-4f07-8a88-e17163507a2f" xsi:nil="true"/>
    <MigrationWizIdSecurityGroups xmlns="f30f38cc-fb7c-4f07-8a88-e17163507a2f" xsi:nil="true"/>
    <TaxCatchAll xmlns="c18e3f5c-507e-46bd-82cf-4b43214c6b00" xsi:nil="true"/>
    <lcf76f155ced4ddcb4097134ff3c332f xmlns="f30f38cc-fb7c-4f07-8a88-e17163507a2f">
      <Terms xmlns="http://schemas.microsoft.com/office/infopath/2007/PartnerControls"/>
    </lcf76f155ced4ddcb4097134ff3c332f>
    <SharedWithUsers xmlns="c18e3f5c-507e-46bd-82cf-4b43214c6b0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F6206-7174-4C5B-A280-91991EF28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f38cc-fb7c-4f07-8a88-e17163507a2f"/>
    <ds:schemaRef ds:uri="c18e3f5c-507e-46bd-82cf-4b43214c6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29726-5C5B-4C4D-8600-C03912F8D7B5}">
  <ds:schemaRefs>
    <ds:schemaRef ds:uri="http://schemas.microsoft.com/sharepoint/v3/contenttype/forms"/>
  </ds:schemaRefs>
</ds:datastoreItem>
</file>

<file path=customXml/itemProps3.xml><?xml version="1.0" encoding="utf-8"?>
<ds:datastoreItem xmlns:ds="http://schemas.openxmlformats.org/officeDocument/2006/customXml" ds:itemID="{A6F68F4F-227A-4E14-B901-982F91D716CE}">
  <ds:schemaRefs>
    <ds:schemaRef ds:uri="http://schemas.microsoft.com/office/2006/metadata/properties"/>
    <ds:schemaRef ds:uri="http://schemas.microsoft.com/office/infopath/2007/PartnerControls"/>
    <ds:schemaRef ds:uri="f30f38cc-fb7c-4f07-8a88-e17163507a2f"/>
    <ds:schemaRef ds:uri="c18e3f5c-507e-46bd-82cf-4b43214c6b00"/>
  </ds:schemaRefs>
</ds:datastoreItem>
</file>

<file path=customXml/itemProps4.xml><?xml version="1.0" encoding="utf-8"?>
<ds:datastoreItem xmlns:ds="http://schemas.openxmlformats.org/officeDocument/2006/customXml" ds:itemID="{CC95FA88-E8A8-4CAF-8EF4-42B6E417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7341</Words>
  <Characters>44637</Characters>
  <Application>Microsoft Office Word</Application>
  <DocSecurity>0</DocSecurity>
  <Lines>1062</Lines>
  <Paragraphs>641</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 and Aged Care, TGA</Company>
  <LinksUpToDate>false</LinksUpToDate>
  <CharactersWithSpaces>51337</CharactersWithSpaces>
  <SharedDoc>false</SharedDoc>
  <HLinks>
    <vt:vector size="216" baseType="variant">
      <vt:variant>
        <vt:i4>3473445</vt:i4>
      </vt:variant>
      <vt:variant>
        <vt:i4>207</vt:i4>
      </vt:variant>
      <vt:variant>
        <vt:i4>0</vt:i4>
      </vt:variant>
      <vt:variant>
        <vt:i4>5</vt:i4>
      </vt:variant>
      <vt:variant>
        <vt:lpwstr>https://www.tga.gov.au/</vt:lpwstr>
      </vt:variant>
      <vt:variant>
        <vt:lpwstr/>
      </vt:variant>
      <vt:variant>
        <vt:i4>5242926</vt:i4>
      </vt:variant>
      <vt:variant>
        <vt:i4>204</vt:i4>
      </vt:variant>
      <vt:variant>
        <vt:i4>0</vt:i4>
      </vt:variant>
      <vt:variant>
        <vt:i4>5</vt:i4>
      </vt:variant>
      <vt:variant>
        <vt:lpwstr>mailto:info@tga.gov.au</vt:lpwstr>
      </vt:variant>
      <vt:variant>
        <vt:lpwstr/>
      </vt:variant>
      <vt:variant>
        <vt:i4>720961</vt:i4>
      </vt:variant>
      <vt:variant>
        <vt:i4>201</vt:i4>
      </vt:variant>
      <vt:variant>
        <vt:i4>0</vt:i4>
      </vt:variant>
      <vt:variant>
        <vt:i4>5</vt:i4>
      </vt:variant>
      <vt:variant>
        <vt:lpwstr>https://www.tga.gov.au/picmi-search-facility</vt:lpwstr>
      </vt:variant>
      <vt:variant>
        <vt:lpwstr/>
      </vt:variant>
      <vt:variant>
        <vt:i4>5111899</vt:i4>
      </vt:variant>
      <vt:variant>
        <vt:i4>195</vt:i4>
      </vt:variant>
      <vt:variant>
        <vt:i4>0</vt:i4>
      </vt:variant>
      <vt:variant>
        <vt:i4>5</vt:i4>
      </vt:variant>
      <vt:variant>
        <vt:lpwstr>https://www.tga.gov.au/tgas-risk-management-approach</vt:lpwstr>
      </vt:variant>
      <vt:variant>
        <vt:lpwstr/>
      </vt:variant>
      <vt:variant>
        <vt:i4>7929888</vt:i4>
      </vt:variant>
      <vt:variant>
        <vt:i4>192</vt:i4>
      </vt:variant>
      <vt:variant>
        <vt:i4>0</vt:i4>
      </vt:variant>
      <vt:variant>
        <vt:i4>5</vt:i4>
      </vt:variant>
      <vt:variant>
        <vt:lpwstr>https://www.tga.gov.au/publication/risk-management-plans-medicines-and-biologicals</vt:lpwstr>
      </vt:variant>
      <vt:variant>
        <vt:lpwstr/>
      </vt:variant>
      <vt:variant>
        <vt:i4>3276856</vt:i4>
      </vt:variant>
      <vt:variant>
        <vt:i4>186</vt:i4>
      </vt:variant>
      <vt:variant>
        <vt:i4>0</vt:i4>
      </vt:variant>
      <vt:variant>
        <vt:i4>5</vt:i4>
      </vt:variant>
      <vt:variant>
        <vt:lpwstr>https://www.tga.gov.au/publication/biosimilar-medicines-regulation</vt:lpwstr>
      </vt:variant>
      <vt:variant>
        <vt:lpwstr/>
      </vt:variant>
      <vt:variant>
        <vt:i4>720961</vt:i4>
      </vt:variant>
      <vt:variant>
        <vt:i4>168</vt:i4>
      </vt:variant>
      <vt:variant>
        <vt:i4>0</vt:i4>
      </vt:variant>
      <vt:variant>
        <vt:i4>5</vt:i4>
      </vt:variant>
      <vt:variant>
        <vt:lpwstr>https://www.tga.gov.au/picmi-search-facility</vt:lpwstr>
      </vt:variant>
      <vt:variant>
        <vt:lpwstr/>
      </vt:variant>
      <vt:variant>
        <vt:i4>786511</vt:i4>
      </vt:variant>
      <vt:variant>
        <vt:i4>162</vt:i4>
      </vt:variant>
      <vt:variant>
        <vt:i4>0</vt:i4>
      </vt:variant>
      <vt:variant>
        <vt:i4>5</vt:i4>
      </vt:variant>
      <vt:variant>
        <vt:lpwstr>https://www.tga.gov.au/black-triangle-scheme</vt:lpwstr>
      </vt:variant>
      <vt:variant>
        <vt:lpwstr/>
      </vt:variant>
      <vt:variant>
        <vt:i4>1835068</vt:i4>
      </vt:variant>
      <vt:variant>
        <vt:i4>155</vt:i4>
      </vt:variant>
      <vt:variant>
        <vt:i4>0</vt:i4>
      </vt:variant>
      <vt:variant>
        <vt:i4>5</vt:i4>
      </vt:variant>
      <vt:variant>
        <vt:lpwstr/>
      </vt:variant>
      <vt:variant>
        <vt:lpwstr>_Toc130992437</vt:lpwstr>
      </vt:variant>
      <vt:variant>
        <vt:i4>1835068</vt:i4>
      </vt:variant>
      <vt:variant>
        <vt:i4>149</vt:i4>
      </vt:variant>
      <vt:variant>
        <vt:i4>0</vt:i4>
      </vt:variant>
      <vt:variant>
        <vt:i4>5</vt:i4>
      </vt:variant>
      <vt:variant>
        <vt:lpwstr/>
      </vt:variant>
      <vt:variant>
        <vt:lpwstr>_Toc130992436</vt:lpwstr>
      </vt:variant>
      <vt:variant>
        <vt:i4>1835068</vt:i4>
      </vt:variant>
      <vt:variant>
        <vt:i4>143</vt:i4>
      </vt:variant>
      <vt:variant>
        <vt:i4>0</vt:i4>
      </vt:variant>
      <vt:variant>
        <vt:i4>5</vt:i4>
      </vt:variant>
      <vt:variant>
        <vt:lpwstr/>
      </vt:variant>
      <vt:variant>
        <vt:lpwstr>_Toc130992435</vt:lpwstr>
      </vt:variant>
      <vt:variant>
        <vt:i4>1835068</vt:i4>
      </vt:variant>
      <vt:variant>
        <vt:i4>137</vt:i4>
      </vt:variant>
      <vt:variant>
        <vt:i4>0</vt:i4>
      </vt:variant>
      <vt:variant>
        <vt:i4>5</vt:i4>
      </vt:variant>
      <vt:variant>
        <vt:lpwstr/>
      </vt:variant>
      <vt:variant>
        <vt:lpwstr>_Toc130992434</vt:lpwstr>
      </vt:variant>
      <vt:variant>
        <vt:i4>1835068</vt:i4>
      </vt:variant>
      <vt:variant>
        <vt:i4>131</vt:i4>
      </vt:variant>
      <vt:variant>
        <vt:i4>0</vt:i4>
      </vt:variant>
      <vt:variant>
        <vt:i4>5</vt:i4>
      </vt:variant>
      <vt:variant>
        <vt:lpwstr/>
      </vt:variant>
      <vt:variant>
        <vt:lpwstr>_Toc130992433</vt:lpwstr>
      </vt:variant>
      <vt:variant>
        <vt:i4>1835068</vt:i4>
      </vt:variant>
      <vt:variant>
        <vt:i4>125</vt:i4>
      </vt:variant>
      <vt:variant>
        <vt:i4>0</vt:i4>
      </vt:variant>
      <vt:variant>
        <vt:i4>5</vt:i4>
      </vt:variant>
      <vt:variant>
        <vt:lpwstr/>
      </vt:variant>
      <vt:variant>
        <vt:lpwstr>_Toc130992432</vt:lpwstr>
      </vt:variant>
      <vt:variant>
        <vt:i4>1835068</vt:i4>
      </vt:variant>
      <vt:variant>
        <vt:i4>119</vt:i4>
      </vt:variant>
      <vt:variant>
        <vt:i4>0</vt:i4>
      </vt:variant>
      <vt:variant>
        <vt:i4>5</vt:i4>
      </vt:variant>
      <vt:variant>
        <vt:lpwstr/>
      </vt:variant>
      <vt:variant>
        <vt:lpwstr>_Toc130992431</vt:lpwstr>
      </vt:variant>
      <vt:variant>
        <vt:i4>1835068</vt:i4>
      </vt:variant>
      <vt:variant>
        <vt:i4>113</vt:i4>
      </vt:variant>
      <vt:variant>
        <vt:i4>0</vt:i4>
      </vt:variant>
      <vt:variant>
        <vt:i4>5</vt:i4>
      </vt:variant>
      <vt:variant>
        <vt:lpwstr/>
      </vt:variant>
      <vt:variant>
        <vt:lpwstr>_Toc130992430</vt:lpwstr>
      </vt:variant>
      <vt:variant>
        <vt:i4>1900604</vt:i4>
      </vt:variant>
      <vt:variant>
        <vt:i4>107</vt:i4>
      </vt:variant>
      <vt:variant>
        <vt:i4>0</vt:i4>
      </vt:variant>
      <vt:variant>
        <vt:i4>5</vt:i4>
      </vt:variant>
      <vt:variant>
        <vt:lpwstr/>
      </vt:variant>
      <vt:variant>
        <vt:lpwstr>_Toc130992429</vt:lpwstr>
      </vt:variant>
      <vt:variant>
        <vt:i4>1900604</vt:i4>
      </vt:variant>
      <vt:variant>
        <vt:i4>101</vt:i4>
      </vt:variant>
      <vt:variant>
        <vt:i4>0</vt:i4>
      </vt:variant>
      <vt:variant>
        <vt:i4>5</vt:i4>
      </vt:variant>
      <vt:variant>
        <vt:lpwstr/>
      </vt:variant>
      <vt:variant>
        <vt:lpwstr>_Toc130992428</vt:lpwstr>
      </vt:variant>
      <vt:variant>
        <vt:i4>1900604</vt:i4>
      </vt:variant>
      <vt:variant>
        <vt:i4>95</vt:i4>
      </vt:variant>
      <vt:variant>
        <vt:i4>0</vt:i4>
      </vt:variant>
      <vt:variant>
        <vt:i4>5</vt:i4>
      </vt:variant>
      <vt:variant>
        <vt:lpwstr/>
      </vt:variant>
      <vt:variant>
        <vt:lpwstr>_Toc130992427</vt:lpwstr>
      </vt:variant>
      <vt:variant>
        <vt:i4>1900604</vt:i4>
      </vt:variant>
      <vt:variant>
        <vt:i4>89</vt:i4>
      </vt:variant>
      <vt:variant>
        <vt:i4>0</vt:i4>
      </vt:variant>
      <vt:variant>
        <vt:i4>5</vt:i4>
      </vt:variant>
      <vt:variant>
        <vt:lpwstr/>
      </vt:variant>
      <vt:variant>
        <vt:lpwstr>_Toc130992426</vt:lpwstr>
      </vt:variant>
      <vt:variant>
        <vt:i4>1900604</vt:i4>
      </vt:variant>
      <vt:variant>
        <vt:i4>83</vt:i4>
      </vt:variant>
      <vt:variant>
        <vt:i4>0</vt:i4>
      </vt:variant>
      <vt:variant>
        <vt:i4>5</vt:i4>
      </vt:variant>
      <vt:variant>
        <vt:lpwstr/>
      </vt:variant>
      <vt:variant>
        <vt:lpwstr>_Toc130992425</vt:lpwstr>
      </vt:variant>
      <vt:variant>
        <vt:i4>1900604</vt:i4>
      </vt:variant>
      <vt:variant>
        <vt:i4>77</vt:i4>
      </vt:variant>
      <vt:variant>
        <vt:i4>0</vt:i4>
      </vt:variant>
      <vt:variant>
        <vt:i4>5</vt:i4>
      </vt:variant>
      <vt:variant>
        <vt:lpwstr/>
      </vt:variant>
      <vt:variant>
        <vt:lpwstr>_Toc130992424</vt:lpwstr>
      </vt:variant>
      <vt:variant>
        <vt:i4>1900604</vt:i4>
      </vt:variant>
      <vt:variant>
        <vt:i4>71</vt:i4>
      </vt:variant>
      <vt:variant>
        <vt:i4>0</vt:i4>
      </vt:variant>
      <vt:variant>
        <vt:i4>5</vt:i4>
      </vt:variant>
      <vt:variant>
        <vt:lpwstr/>
      </vt:variant>
      <vt:variant>
        <vt:lpwstr>_Toc130992423</vt:lpwstr>
      </vt:variant>
      <vt:variant>
        <vt:i4>1900604</vt:i4>
      </vt:variant>
      <vt:variant>
        <vt:i4>65</vt:i4>
      </vt:variant>
      <vt:variant>
        <vt:i4>0</vt:i4>
      </vt:variant>
      <vt:variant>
        <vt:i4>5</vt:i4>
      </vt:variant>
      <vt:variant>
        <vt:lpwstr/>
      </vt:variant>
      <vt:variant>
        <vt:lpwstr>_Toc130992422</vt:lpwstr>
      </vt:variant>
      <vt:variant>
        <vt:i4>1900604</vt:i4>
      </vt:variant>
      <vt:variant>
        <vt:i4>59</vt:i4>
      </vt:variant>
      <vt:variant>
        <vt:i4>0</vt:i4>
      </vt:variant>
      <vt:variant>
        <vt:i4>5</vt:i4>
      </vt:variant>
      <vt:variant>
        <vt:lpwstr/>
      </vt:variant>
      <vt:variant>
        <vt:lpwstr>_Toc130992421</vt:lpwstr>
      </vt:variant>
      <vt:variant>
        <vt:i4>1900604</vt:i4>
      </vt:variant>
      <vt:variant>
        <vt:i4>53</vt:i4>
      </vt:variant>
      <vt:variant>
        <vt:i4>0</vt:i4>
      </vt:variant>
      <vt:variant>
        <vt:i4>5</vt:i4>
      </vt:variant>
      <vt:variant>
        <vt:lpwstr/>
      </vt:variant>
      <vt:variant>
        <vt:lpwstr>_Toc130992420</vt:lpwstr>
      </vt:variant>
      <vt:variant>
        <vt:i4>1966140</vt:i4>
      </vt:variant>
      <vt:variant>
        <vt:i4>47</vt:i4>
      </vt:variant>
      <vt:variant>
        <vt:i4>0</vt:i4>
      </vt:variant>
      <vt:variant>
        <vt:i4>5</vt:i4>
      </vt:variant>
      <vt:variant>
        <vt:lpwstr/>
      </vt:variant>
      <vt:variant>
        <vt:lpwstr>_Toc130992419</vt:lpwstr>
      </vt:variant>
      <vt:variant>
        <vt:i4>1966140</vt:i4>
      </vt:variant>
      <vt:variant>
        <vt:i4>41</vt:i4>
      </vt:variant>
      <vt:variant>
        <vt:i4>0</vt:i4>
      </vt:variant>
      <vt:variant>
        <vt:i4>5</vt:i4>
      </vt:variant>
      <vt:variant>
        <vt:lpwstr/>
      </vt:variant>
      <vt:variant>
        <vt:lpwstr>_Toc130992418</vt:lpwstr>
      </vt:variant>
      <vt:variant>
        <vt:i4>1966140</vt:i4>
      </vt:variant>
      <vt:variant>
        <vt:i4>35</vt:i4>
      </vt:variant>
      <vt:variant>
        <vt:i4>0</vt:i4>
      </vt:variant>
      <vt:variant>
        <vt:i4>5</vt:i4>
      </vt:variant>
      <vt:variant>
        <vt:lpwstr/>
      </vt:variant>
      <vt:variant>
        <vt:lpwstr>_Toc130992417</vt:lpwstr>
      </vt:variant>
      <vt:variant>
        <vt:i4>1966140</vt:i4>
      </vt:variant>
      <vt:variant>
        <vt:i4>29</vt:i4>
      </vt:variant>
      <vt:variant>
        <vt:i4>0</vt:i4>
      </vt:variant>
      <vt:variant>
        <vt:i4>5</vt:i4>
      </vt:variant>
      <vt:variant>
        <vt:lpwstr/>
      </vt:variant>
      <vt:variant>
        <vt:lpwstr>_Toc130992416</vt:lpwstr>
      </vt:variant>
      <vt:variant>
        <vt:i4>1966140</vt:i4>
      </vt:variant>
      <vt:variant>
        <vt:i4>23</vt:i4>
      </vt:variant>
      <vt:variant>
        <vt:i4>0</vt:i4>
      </vt:variant>
      <vt:variant>
        <vt:i4>5</vt:i4>
      </vt:variant>
      <vt:variant>
        <vt:lpwstr/>
      </vt:variant>
      <vt:variant>
        <vt:lpwstr>_Toc130992415</vt:lpwstr>
      </vt:variant>
      <vt:variant>
        <vt:i4>1966140</vt:i4>
      </vt:variant>
      <vt:variant>
        <vt:i4>17</vt:i4>
      </vt:variant>
      <vt:variant>
        <vt:i4>0</vt:i4>
      </vt:variant>
      <vt:variant>
        <vt:i4>5</vt:i4>
      </vt:variant>
      <vt:variant>
        <vt:lpwstr/>
      </vt:variant>
      <vt:variant>
        <vt:lpwstr>_Toc130992414</vt:lpwstr>
      </vt:variant>
      <vt:variant>
        <vt:i4>1966140</vt:i4>
      </vt:variant>
      <vt:variant>
        <vt:i4>11</vt:i4>
      </vt:variant>
      <vt:variant>
        <vt:i4>0</vt:i4>
      </vt:variant>
      <vt:variant>
        <vt:i4>5</vt:i4>
      </vt:variant>
      <vt:variant>
        <vt:lpwstr/>
      </vt:variant>
      <vt:variant>
        <vt:lpwstr>_Toc130992413</vt:lpwstr>
      </vt:variant>
      <vt:variant>
        <vt:i4>6291548</vt:i4>
      </vt:variant>
      <vt:variant>
        <vt:i4>6</vt:i4>
      </vt:variant>
      <vt:variant>
        <vt:i4>0</vt:i4>
      </vt:variant>
      <vt:variant>
        <vt:i4>5</vt:i4>
      </vt:variant>
      <vt:variant>
        <vt:lpwstr>mailto:tga.copyright@tga.gov.au</vt:lpwstr>
      </vt:variant>
      <vt:variant>
        <vt:lpwstr/>
      </vt:variant>
      <vt:variant>
        <vt:i4>7995497</vt:i4>
      </vt:variant>
      <vt:variant>
        <vt:i4>3</vt:i4>
      </vt:variant>
      <vt:variant>
        <vt:i4>0</vt:i4>
      </vt:variant>
      <vt:variant>
        <vt:i4>5</vt:i4>
      </vt:variant>
      <vt:variant>
        <vt:lpwstr>https://www.tga.gov.au/australian-public-assessment-report-auspar-guidance</vt:lpwstr>
      </vt:variant>
      <vt:variant>
        <vt:lpwstr/>
      </vt:variant>
      <vt:variant>
        <vt:i4>3473445</vt:i4>
      </vt:variant>
      <vt:variant>
        <vt:i4>0</vt:i4>
      </vt:variant>
      <vt:variant>
        <vt:i4>0</vt:i4>
      </vt:variant>
      <vt:variant>
        <vt:i4>5</vt:i4>
      </vt:variant>
      <vt:variant>
        <vt:lpwstr>https://www.tga.gov.au/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Ardalicip / Ciptunec</dc:title>
  <dc:subject>Prescription medicines</dc:subject>
  <dc:creator>Therapeutic Goods Administration</dc:creator>
  <cp:keywords/>
  <dc:description/>
  <cp:lastModifiedBy>LACK, Janet</cp:lastModifiedBy>
  <cp:revision>2</cp:revision>
  <dcterms:created xsi:type="dcterms:W3CDTF">2023-05-09T05:22:00Z</dcterms:created>
  <dcterms:modified xsi:type="dcterms:W3CDTF">2023-05-09T05:22:00Z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0x010100E2520D6B29DC3C4B90D037CAAF59DC4A</vt:lpwstr>
  </property>
  <property fmtid="{D5CDD505-2E9C-101B-9397-08002B2CF9AE}" pid="3" name="Order">
    <vt:r8>543800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