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0F4BDD46" w14:textId="77777777" w:rsidTr="00BF1190">
        <w:trPr>
          <w:trHeight w:val="1863"/>
        </w:trPr>
        <w:tc>
          <w:tcPr>
            <w:tcW w:w="3652" w:type="dxa"/>
            <w:tcBorders>
              <w:top w:val="nil"/>
              <w:left w:val="nil"/>
              <w:bottom w:val="nil"/>
              <w:right w:val="nil"/>
            </w:tcBorders>
          </w:tcPr>
          <w:p w14:paraId="6A16FF45" w14:textId="3DB1313A" w:rsidR="008E7846" w:rsidRPr="00096AA7" w:rsidRDefault="0087210E" w:rsidP="00F931CE">
            <w:pPr>
              <w:pStyle w:val="Date"/>
              <w:framePr w:hSpace="0" w:wrap="auto" w:vAnchor="margin" w:hAnchor="text" w:yAlign="inline"/>
              <w:suppressOverlap w:val="0"/>
            </w:pPr>
            <w:r>
              <w:t xml:space="preserve">April </w:t>
            </w:r>
            <w:r w:rsidR="00116EBF">
              <w:t>2023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4E49EA5D" w14:textId="77777777" w:rsidTr="0032583B">
        <w:trPr>
          <w:trHeight w:val="868"/>
        </w:trPr>
        <w:tc>
          <w:tcPr>
            <w:tcW w:w="9079" w:type="dxa"/>
          </w:tcPr>
          <w:p w14:paraId="6C748CC9" w14:textId="54ADBF2A" w:rsidR="0032583B" w:rsidRPr="00A964D1" w:rsidRDefault="0032583B" w:rsidP="00F931CE">
            <w:pPr>
              <w:pStyle w:val="Title"/>
              <w:framePr w:hSpace="0" w:wrap="auto" w:vAnchor="margin" w:yAlign="inline"/>
            </w:pPr>
            <w:r w:rsidRPr="00A964D1">
              <w:t>Australian Public Assessment Report for</w:t>
            </w:r>
            <w:r w:rsidR="005752C8">
              <w:t xml:space="preserve"> Trastucip and Tuzucip</w:t>
            </w:r>
          </w:p>
        </w:tc>
      </w:tr>
      <w:tr w:rsidR="0032583B" w:rsidRPr="00B64760" w14:paraId="0D0D8FF9" w14:textId="77777777" w:rsidTr="0032583B">
        <w:tc>
          <w:tcPr>
            <w:tcW w:w="9079" w:type="dxa"/>
          </w:tcPr>
          <w:p w14:paraId="04B0C8A2" w14:textId="5410DD91" w:rsidR="0032583B" w:rsidRPr="008E7846" w:rsidRDefault="00BB75D6" w:rsidP="00F931CE">
            <w:pPr>
              <w:pStyle w:val="Subtitle"/>
              <w:framePr w:hSpace="0" w:wrap="auto" w:vAnchor="margin" w:yAlign="inline"/>
            </w:pPr>
            <w:r>
              <w:t>Active ingredients</w:t>
            </w:r>
            <w:r w:rsidR="0032583B" w:rsidRPr="008E7846">
              <w:t>:</w:t>
            </w:r>
            <w:r w:rsidR="005752C8">
              <w:t xml:space="preserve"> </w:t>
            </w:r>
            <w:r w:rsidR="005752C8" w:rsidRPr="005752C8">
              <w:t>Trastuzumab</w:t>
            </w:r>
          </w:p>
        </w:tc>
      </w:tr>
      <w:tr w:rsidR="0032583B" w:rsidRPr="00B64760" w14:paraId="5DA9AD9D" w14:textId="77777777" w:rsidTr="0032583B">
        <w:trPr>
          <w:trHeight w:val="486"/>
        </w:trPr>
        <w:tc>
          <w:tcPr>
            <w:tcW w:w="9079" w:type="dxa"/>
          </w:tcPr>
          <w:p w14:paraId="5C5901DF" w14:textId="7A335301" w:rsidR="0032583B" w:rsidRPr="008E7846" w:rsidRDefault="00460036" w:rsidP="009556D7">
            <w:pPr>
              <w:pStyle w:val="Subtitle"/>
              <w:framePr w:hSpace="0" w:wrap="auto" w:vAnchor="margin" w:yAlign="inline"/>
            </w:pPr>
            <w:r>
              <w:t>Sponsor:</w:t>
            </w:r>
            <w:r w:rsidR="005752C8">
              <w:t xml:space="preserve"> </w:t>
            </w:r>
            <w:r w:rsidR="005752C8" w:rsidRPr="005752C8">
              <w:t>Cipla Australia Pty Ltd</w:t>
            </w:r>
          </w:p>
        </w:tc>
      </w:tr>
    </w:tbl>
    <w:p w14:paraId="51764590" w14:textId="77777777" w:rsidR="008E7846" w:rsidRPr="0085156D" w:rsidRDefault="008E7846" w:rsidP="0085156D">
      <w:r w:rsidRPr="0085156D">
        <w:br w:type="page"/>
      </w:r>
    </w:p>
    <w:p w14:paraId="415783DF" w14:textId="77777777" w:rsidR="008E7846" w:rsidRPr="001F6CBA" w:rsidRDefault="008E7846" w:rsidP="008E7846">
      <w:pPr>
        <w:pStyle w:val="NonTOCHeading2"/>
      </w:pPr>
      <w:r w:rsidRPr="001F6CBA">
        <w:lastRenderedPageBreak/>
        <w:t>About the Therapeutic Goods Administration (TGA)</w:t>
      </w:r>
    </w:p>
    <w:p w14:paraId="556AE4B1" w14:textId="4482C921" w:rsidR="00AF2313" w:rsidRPr="00391B0C" w:rsidRDefault="00AF2313" w:rsidP="00AF2313">
      <w:pPr>
        <w:pStyle w:val="ListBullet"/>
      </w:pPr>
      <w:r w:rsidRPr="00391B0C">
        <w:t xml:space="preserve">The Therapeutic Goods Administration (TGA) is part of the Australian Government Department of Health </w:t>
      </w:r>
      <w:r w:rsidR="00116EBF">
        <w:t xml:space="preserve">and Aged Care </w:t>
      </w:r>
      <w:r w:rsidRPr="00391B0C">
        <w:t>and is responsible for regulating therapeutic goods, including medicines, medical devices, and biologicals.</w:t>
      </w:r>
    </w:p>
    <w:p w14:paraId="00D43C9C" w14:textId="77777777" w:rsidR="00AF2313" w:rsidRPr="00391B0C" w:rsidRDefault="00AF2313" w:rsidP="00AF2313">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w:t>
      </w:r>
      <w:r w:rsidR="00CC5044" w:rsidRPr="00391B0C">
        <w:t>safety,</w:t>
      </w:r>
      <w:r w:rsidRPr="00391B0C">
        <w:t xml:space="preserve"> and efficacy.</w:t>
      </w:r>
    </w:p>
    <w:p w14:paraId="6925EC22" w14:textId="77777777" w:rsidR="00AF2313" w:rsidRPr="003C6D1F" w:rsidRDefault="00AF2313" w:rsidP="00AF2313">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6EE0CEC8" w14:textId="77777777" w:rsidR="00AF2313" w:rsidRPr="003C6D1F" w:rsidRDefault="00AF2313" w:rsidP="00AF2313">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4169D2AE" w14:textId="7158BA67" w:rsidR="00AF2313" w:rsidRDefault="00AF2313" w:rsidP="00AF2313">
      <w:pPr>
        <w:pStyle w:val="ListBullet"/>
      </w:pPr>
      <w:r w:rsidRPr="003C6D1F">
        <w:t xml:space="preserve">To report a problem with a </w:t>
      </w:r>
      <w:r>
        <w:t>therapeutic good</w:t>
      </w:r>
      <w:r w:rsidRPr="003C6D1F">
        <w:t xml:space="preserve">, please see the information on the </w:t>
      </w:r>
      <w:hyperlink r:id="rId8" w:history="1">
        <w:r w:rsidRPr="000F15B4">
          <w:rPr>
            <w:rStyle w:val="Hyperlink"/>
          </w:rPr>
          <w:t>TGA website</w:t>
        </w:r>
      </w:hyperlink>
      <w:r w:rsidRPr="003C6D1F">
        <w:t>.</w:t>
      </w:r>
    </w:p>
    <w:p w14:paraId="13C43927" w14:textId="77777777" w:rsidR="008E7846" w:rsidRDefault="008E7846" w:rsidP="00875A6B">
      <w:pPr>
        <w:pStyle w:val="NonTOCHeading2"/>
      </w:pPr>
      <w:r>
        <w:t>About AusPARs</w:t>
      </w:r>
    </w:p>
    <w:p w14:paraId="69D13BC5" w14:textId="73F3E7C4" w:rsidR="00AF2313" w:rsidRPr="003C6D1F" w:rsidRDefault="00AF2313" w:rsidP="00AF2313">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9" w:history="1">
        <w:r w:rsidRPr="005A2EB8">
          <w:rPr>
            <w:rStyle w:val="Hyperlink"/>
          </w:rPr>
          <w:t>Australian Public Assessment Report (AusPAR) guidance</w:t>
        </w:r>
      </w:hyperlink>
      <w:r>
        <w:t>.</w:t>
      </w:r>
    </w:p>
    <w:p w14:paraId="1AEEF406" w14:textId="77777777" w:rsidR="00AF2313" w:rsidRPr="003C6D1F" w:rsidRDefault="00AF2313" w:rsidP="00AF2313">
      <w:pPr>
        <w:pStyle w:val="ListBullet"/>
      </w:pPr>
      <w:r w:rsidRPr="003C6D1F">
        <w:t>AusPARs are prepared and published by the TGA.</w:t>
      </w:r>
    </w:p>
    <w:p w14:paraId="5C143C88" w14:textId="77777777" w:rsidR="00AF2313" w:rsidRPr="003C6D1F" w:rsidRDefault="00AF2313" w:rsidP="00AF2313">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rsidR="008110BC">
        <w:t xml:space="preserve"> The publication of an AusPAR is an important part of the transparency of the TGA’s decision-making process.</w:t>
      </w:r>
    </w:p>
    <w:p w14:paraId="0F6309A5" w14:textId="77777777" w:rsidR="00AF2313" w:rsidRPr="003C6D1F" w:rsidRDefault="00AF2313" w:rsidP="00AF2313">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6575C96B" w14:textId="77777777" w:rsidR="00924482" w:rsidRPr="00DF1D7F" w:rsidRDefault="00924482" w:rsidP="00F54B65">
      <w:pPr>
        <w:pStyle w:val="LegalSubheading"/>
        <w:spacing w:before="3120"/>
      </w:pPr>
      <w:r w:rsidRPr="00DF1D7F">
        <w:t>Copyright</w:t>
      </w:r>
    </w:p>
    <w:p w14:paraId="573C9E51" w14:textId="6F0F4F33"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r w:rsidRPr="00191B3B">
        <w:rPr>
          <w:rFonts w:cs="Arial"/>
          <w:lang w:val="en-GB"/>
        </w:rPr>
        <w:t>© Comm</w:t>
      </w:r>
      <w:r>
        <w:rPr>
          <w:rFonts w:cs="Arial"/>
          <w:lang w:val="en-GB"/>
        </w:rPr>
        <w:t>onwealth of Australia 20</w:t>
      </w:r>
      <w:r w:rsidR="00460036">
        <w:rPr>
          <w:rFonts w:cs="Arial"/>
          <w:lang w:val="en-GB"/>
        </w:rPr>
        <w:t>2</w:t>
      </w:r>
      <w:r w:rsidR="00116EBF">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r w:rsidR="00EB36D6" w:rsidRPr="00191B3B">
        <w:rPr>
          <w:rFonts w:cs="Arial"/>
          <w:lang w:val="en-GB"/>
        </w:rPr>
        <w:t>reserved,</w:t>
      </w:r>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3" w:history="1">
        <w:r w:rsidRPr="00191B3B">
          <w:rPr>
            <w:rStyle w:val="Hyperlink"/>
            <w:rFonts w:cs="Arial"/>
            <w:lang w:val="en-GB"/>
          </w:rPr>
          <w:t>tga.copyright@tga.gov.au</w:t>
        </w:r>
      </w:hyperlink>
      <w:r w:rsidRPr="00191B3B">
        <w:rPr>
          <w:rFonts w:cs="Arial"/>
        </w:rPr>
        <w:t>&gt;.</w:t>
      </w: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4B927DF0" w14:textId="77777777" w:rsidR="0089635C" w:rsidRPr="0089635C" w:rsidRDefault="0089635C" w:rsidP="0010788A">
          <w:pPr>
            <w:pStyle w:val="Contents"/>
          </w:pPr>
          <w:r w:rsidRPr="0010788A">
            <w:t>Contents</w:t>
          </w:r>
        </w:p>
        <w:p w14:paraId="69CAA8D8" w14:textId="7CA4F3AF" w:rsidR="00900E2D"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32710830" w:history="1">
            <w:r w:rsidR="00900E2D" w:rsidRPr="00AF4D87">
              <w:rPr>
                <w:rStyle w:val="Hyperlink"/>
                <w:noProof/>
              </w:rPr>
              <w:t>List of abbreviations</w:t>
            </w:r>
            <w:r w:rsidR="00900E2D">
              <w:rPr>
                <w:noProof/>
                <w:webHidden/>
              </w:rPr>
              <w:tab/>
            </w:r>
            <w:r w:rsidR="00900E2D">
              <w:rPr>
                <w:noProof/>
                <w:webHidden/>
              </w:rPr>
              <w:fldChar w:fldCharType="begin"/>
            </w:r>
            <w:r w:rsidR="00900E2D">
              <w:rPr>
                <w:noProof/>
                <w:webHidden/>
              </w:rPr>
              <w:instrText xml:space="preserve"> PAGEREF _Toc132710830 \h </w:instrText>
            </w:r>
            <w:r w:rsidR="00900E2D">
              <w:rPr>
                <w:noProof/>
                <w:webHidden/>
              </w:rPr>
            </w:r>
            <w:r w:rsidR="00900E2D">
              <w:rPr>
                <w:noProof/>
                <w:webHidden/>
              </w:rPr>
              <w:fldChar w:fldCharType="separate"/>
            </w:r>
            <w:r w:rsidR="00900E2D">
              <w:rPr>
                <w:noProof/>
                <w:webHidden/>
              </w:rPr>
              <w:t>4</w:t>
            </w:r>
            <w:r w:rsidR="00900E2D">
              <w:rPr>
                <w:noProof/>
                <w:webHidden/>
              </w:rPr>
              <w:fldChar w:fldCharType="end"/>
            </w:r>
          </w:hyperlink>
        </w:p>
        <w:p w14:paraId="1EBC64A6" w14:textId="7E61A2D0" w:rsidR="00900E2D" w:rsidRDefault="00D541AF">
          <w:pPr>
            <w:pStyle w:val="TOC1"/>
            <w:rPr>
              <w:rFonts w:asciiTheme="minorHAnsi" w:eastAsiaTheme="minorEastAsia" w:hAnsiTheme="minorHAnsi" w:cstheme="minorBidi"/>
              <w:b w:val="0"/>
              <w:noProof/>
              <w:sz w:val="22"/>
              <w:lang w:eastAsia="en-AU"/>
            </w:rPr>
          </w:pPr>
          <w:hyperlink w:anchor="_Toc132710831" w:history="1">
            <w:r w:rsidR="00900E2D" w:rsidRPr="00AF4D87">
              <w:rPr>
                <w:rStyle w:val="Hyperlink"/>
                <w:noProof/>
              </w:rPr>
              <w:t>Product submission</w:t>
            </w:r>
            <w:r w:rsidR="00900E2D">
              <w:rPr>
                <w:noProof/>
                <w:webHidden/>
              </w:rPr>
              <w:tab/>
            </w:r>
            <w:r w:rsidR="00900E2D">
              <w:rPr>
                <w:noProof/>
                <w:webHidden/>
              </w:rPr>
              <w:fldChar w:fldCharType="begin"/>
            </w:r>
            <w:r w:rsidR="00900E2D">
              <w:rPr>
                <w:noProof/>
                <w:webHidden/>
              </w:rPr>
              <w:instrText xml:space="preserve"> PAGEREF _Toc132710831 \h </w:instrText>
            </w:r>
            <w:r w:rsidR="00900E2D">
              <w:rPr>
                <w:noProof/>
                <w:webHidden/>
              </w:rPr>
            </w:r>
            <w:r w:rsidR="00900E2D">
              <w:rPr>
                <w:noProof/>
                <w:webHidden/>
              </w:rPr>
              <w:fldChar w:fldCharType="separate"/>
            </w:r>
            <w:r w:rsidR="00900E2D">
              <w:rPr>
                <w:noProof/>
                <w:webHidden/>
              </w:rPr>
              <w:t>5</w:t>
            </w:r>
            <w:r w:rsidR="00900E2D">
              <w:rPr>
                <w:noProof/>
                <w:webHidden/>
              </w:rPr>
              <w:fldChar w:fldCharType="end"/>
            </w:r>
          </w:hyperlink>
        </w:p>
        <w:p w14:paraId="3C6E09A6" w14:textId="0A34B3F0" w:rsidR="00900E2D" w:rsidRDefault="00D541AF">
          <w:pPr>
            <w:pStyle w:val="TOC2"/>
            <w:rPr>
              <w:rFonts w:asciiTheme="minorHAnsi" w:eastAsiaTheme="minorEastAsia" w:hAnsiTheme="minorHAnsi" w:cstheme="minorBidi"/>
              <w:b w:val="0"/>
              <w:noProof/>
              <w:sz w:val="22"/>
              <w:lang w:eastAsia="en-AU"/>
            </w:rPr>
          </w:pPr>
          <w:hyperlink w:anchor="_Toc132710832" w:history="1">
            <w:r w:rsidR="00900E2D" w:rsidRPr="00AF4D87">
              <w:rPr>
                <w:rStyle w:val="Hyperlink"/>
                <w:noProof/>
                <w:lang w:eastAsia="en-AU"/>
              </w:rPr>
              <w:t>Submission details</w:t>
            </w:r>
            <w:r w:rsidR="00900E2D">
              <w:rPr>
                <w:noProof/>
                <w:webHidden/>
              </w:rPr>
              <w:tab/>
            </w:r>
            <w:r w:rsidR="00900E2D">
              <w:rPr>
                <w:noProof/>
                <w:webHidden/>
              </w:rPr>
              <w:fldChar w:fldCharType="begin"/>
            </w:r>
            <w:r w:rsidR="00900E2D">
              <w:rPr>
                <w:noProof/>
                <w:webHidden/>
              </w:rPr>
              <w:instrText xml:space="preserve"> PAGEREF _Toc132710832 \h </w:instrText>
            </w:r>
            <w:r w:rsidR="00900E2D">
              <w:rPr>
                <w:noProof/>
                <w:webHidden/>
              </w:rPr>
            </w:r>
            <w:r w:rsidR="00900E2D">
              <w:rPr>
                <w:noProof/>
                <w:webHidden/>
              </w:rPr>
              <w:fldChar w:fldCharType="separate"/>
            </w:r>
            <w:r w:rsidR="00900E2D">
              <w:rPr>
                <w:noProof/>
                <w:webHidden/>
              </w:rPr>
              <w:t>5</w:t>
            </w:r>
            <w:r w:rsidR="00900E2D">
              <w:rPr>
                <w:noProof/>
                <w:webHidden/>
              </w:rPr>
              <w:fldChar w:fldCharType="end"/>
            </w:r>
          </w:hyperlink>
        </w:p>
        <w:p w14:paraId="6474FADF" w14:textId="1B21018C" w:rsidR="00900E2D" w:rsidRDefault="00D541AF">
          <w:pPr>
            <w:pStyle w:val="TOC2"/>
            <w:rPr>
              <w:rFonts w:asciiTheme="minorHAnsi" w:eastAsiaTheme="minorEastAsia" w:hAnsiTheme="minorHAnsi" w:cstheme="minorBidi"/>
              <w:b w:val="0"/>
              <w:noProof/>
              <w:sz w:val="22"/>
              <w:lang w:eastAsia="en-AU"/>
            </w:rPr>
          </w:pPr>
          <w:hyperlink w:anchor="_Toc132710833" w:history="1">
            <w:r w:rsidR="00900E2D" w:rsidRPr="00AF4D87">
              <w:rPr>
                <w:rStyle w:val="Hyperlink"/>
                <w:noProof/>
              </w:rPr>
              <w:t>Product background</w:t>
            </w:r>
            <w:r w:rsidR="00900E2D">
              <w:rPr>
                <w:noProof/>
                <w:webHidden/>
              </w:rPr>
              <w:tab/>
            </w:r>
            <w:r w:rsidR="00900E2D">
              <w:rPr>
                <w:noProof/>
                <w:webHidden/>
              </w:rPr>
              <w:fldChar w:fldCharType="begin"/>
            </w:r>
            <w:r w:rsidR="00900E2D">
              <w:rPr>
                <w:noProof/>
                <w:webHidden/>
              </w:rPr>
              <w:instrText xml:space="preserve"> PAGEREF _Toc132710833 \h </w:instrText>
            </w:r>
            <w:r w:rsidR="00900E2D">
              <w:rPr>
                <w:noProof/>
                <w:webHidden/>
              </w:rPr>
            </w:r>
            <w:r w:rsidR="00900E2D">
              <w:rPr>
                <w:noProof/>
                <w:webHidden/>
              </w:rPr>
              <w:fldChar w:fldCharType="separate"/>
            </w:r>
            <w:r w:rsidR="00900E2D">
              <w:rPr>
                <w:noProof/>
                <w:webHidden/>
              </w:rPr>
              <w:t>7</w:t>
            </w:r>
            <w:r w:rsidR="00900E2D">
              <w:rPr>
                <w:noProof/>
                <w:webHidden/>
              </w:rPr>
              <w:fldChar w:fldCharType="end"/>
            </w:r>
          </w:hyperlink>
        </w:p>
        <w:p w14:paraId="76C9277B" w14:textId="10FCCE11" w:rsidR="00900E2D" w:rsidRDefault="00D541AF">
          <w:pPr>
            <w:pStyle w:val="TOC2"/>
            <w:rPr>
              <w:rFonts w:asciiTheme="minorHAnsi" w:eastAsiaTheme="minorEastAsia" w:hAnsiTheme="minorHAnsi" w:cstheme="minorBidi"/>
              <w:b w:val="0"/>
              <w:noProof/>
              <w:sz w:val="22"/>
              <w:lang w:eastAsia="en-AU"/>
            </w:rPr>
          </w:pPr>
          <w:hyperlink w:anchor="_Toc132710834" w:history="1">
            <w:r w:rsidR="00900E2D" w:rsidRPr="00AF4D87">
              <w:rPr>
                <w:rStyle w:val="Hyperlink"/>
                <w:noProof/>
              </w:rPr>
              <w:t>Regulatory status</w:t>
            </w:r>
            <w:r w:rsidR="00900E2D">
              <w:rPr>
                <w:noProof/>
                <w:webHidden/>
              </w:rPr>
              <w:tab/>
            </w:r>
            <w:r w:rsidR="00900E2D">
              <w:rPr>
                <w:noProof/>
                <w:webHidden/>
              </w:rPr>
              <w:fldChar w:fldCharType="begin"/>
            </w:r>
            <w:r w:rsidR="00900E2D">
              <w:rPr>
                <w:noProof/>
                <w:webHidden/>
              </w:rPr>
              <w:instrText xml:space="preserve"> PAGEREF _Toc132710834 \h </w:instrText>
            </w:r>
            <w:r w:rsidR="00900E2D">
              <w:rPr>
                <w:noProof/>
                <w:webHidden/>
              </w:rPr>
            </w:r>
            <w:r w:rsidR="00900E2D">
              <w:rPr>
                <w:noProof/>
                <w:webHidden/>
              </w:rPr>
              <w:fldChar w:fldCharType="separate"/>
            </w:r>
            <w:r w:rsidR="00900E2D">
              <w:rPr>
                <w:noProof/>
                <w:webHidden/>
              </w:rPr>
              <w:t>9</w:t>
            </w:r>
            <w:r w:rsidR="00900E2D">
              <w:rPr>
                <w:noProof/>
                <w:webHidden/>
              </w:rPr>
              <w:fldChar w:fldCharType="end"/>
            </w:r>
          </w:hyperlink>
        </w:p>
        <w:p w14:paraId="1DFC9E29" w14:textId="51AB2D49" w:rsidR="00900E2D" w:rsidRDefault="00D541AF">
          <w:pPr>
            <w:pStyle w:val="TOC2"/>
            <w:rPr>
              <w:rFonts w:asciiTheme="minorHAnsi" w:eastAsiaTheme="minorEastAsia" w:hAnsiTheme="minorHAnsi" w:cstheme="minorBidi"/>
              <w:b w:val="0"/>
              <w:noProof/>
              <w:sz w:val="22"/>
              <w:lang w:eastAsia="en-AU"/>
            </w:rPr>
          </w:pPr>
          <w:hyperlink w:anchor="_Toc132710835" w:history="1">
            <w:r w:rsidR="00900E2D" w:rsidRPr="00AF4D87">
              <w:rPr>
                <w:rStyle w:val="Hyperlink"/>
                <w:noProof/>
              </w:rPr>
              <w:t>Product Information</w:t>
            </w:r>
            <w:r w:rsidR="00900E2D">
              <w:rPr>
                <w:noProof/>
                <w:webHidden/>
              </w:rPr>
              <w:tab/>
            </w:r>
            <w:r w:rsidR="00900E2D">
              <w:rPr>
                <w:noProof/>
                <w:webHidden/>
              </w:rPr>
              <w:fldChar w:fldCharType="begin"/>
            </w:r>
            <w:r w:rsidR="00900E2D">
              <w:rPr>
                <w:noProof/>
                <w:webHidden/>
              </w:rPr>
              <w:instrText xml:space="preserve"> PAGEREF _Toc132710835 \h </w:instrText>
            </w:r>
            <w:r w:rsidR="00900E2D">
              <w:rPr>
                <w:noProof/>
                <w:webHidden/>
              </w:rPr>
            </w:r>
            <w:r w:rsidR="00900E2D">
              <w:rPr>
                <w:noProof/>
                <w:webHidden/>
              </w:rPr>
              <w:fldChar w:fldCharType="separate"/>
            </w:r>
            <w:r w:rsidR="00900E2D">
              <w:rPr>
                <w:noProof/>
                <w:webHidden/>
              </w:rPr>
              <w:t>13</w:t>
            </w:r>
            <w:r w:rsidR="00900E2D">
              <w:rPr>
                <w:noProof/>
                <w:webHidden/>
              </w:rPr>
              <w:fldChar w:fldCharType="end"/>
            </w:r>
          </w:hyperlink>
        </w:p>
        <w:p w14:paraId="7F4C43C3" w14:textId="2D1A6152" w:rsidR="00900E2D" w:rsidRDefault="00D541AF">
          <w:pPr>
            <w:pStyle w:val="TOC1"/>
            <w:rPr>
              <w:rFonts w:asciiTheme="minorHAnsi" w:eastAsiaTheme="minorEastAsia" w:hAnsiTheme="minorHAnsi" w:cstheme="minorBidi"/>
              <w:b w:val="0"/>
              <w:noProof/>
              <w:sz w:val="22"/>
              <w:lang w:eastAsia="en-AU"/>
            </w:rPr>
          </w:pPr>
          <w:hyperlink w:anchor="_Toc132710836" w:history="1">
            <w:r w:rsidR="00900E2D" w:rsidRPr="00AF4D87">
              <w:rPr>
                <w:rStyle w:val="Hyperlink"/>
                <w:noProof/>
              </w:rPr>
              <w:t>Registration timeline</w:t>
            </w:r>
            <w:r w:rsidR="00900E2D">
              <w:rPr>
                <w:noProof/>
                <w:webHidden/>
              </w:rPr>
              <w:tab/>
            </w:r>
            <w:r w:rsidR="00900E2D">
              <w:rPr>
                <w:noProof/>
                <w:webHidden/>
              </w:rPr>
              <w:fldChar w:fldCharType="begin"/>
            </w:r>
            <w:r w:rsidR="00900E2D">
              <w:rPr>
                <w:noProof/>
                <w:webHidden/>
              </w:rPr>
              <w:instrText xml:space="preserve"> PAGEREF _Toc132710836 \h </w:instrText>
            </w:r>
            <w:r w:rsidR="00900E2D">
              <w:rPr>
                <w:noProof/>
                <w:webHidden/>
              </w:rPr>
            </w:r>
            <w:r w:rsidR="00900E2D">
              <w:rPr>
                <w:noProof/>
                <w:webHidden/>
              </w:rPr>
              <w:fldChar w:fldCharType="separate"/>
            </w:r>
            <w:r w:rsidR="00900E2D">
              <w:rPr>
                <w:noProof/>
                <w:webHidden/>
              </w:rPr>
              <w:t>13</w:t>
            </w:r>
            <w:r w:rsidR="00900E2D">
              <w:rPr>
                <w:noProof/>
                <w:webHidden/>
              </w:rPr>
              <w:fldChar w:fldCharType="end"/>
            </w:r>
          </w:hyperlink>
        </w:p>
        <w:p w14:paraId="2BD08AE0" w14:textId="75FC45EA" w:rsidR="00900E2D" w:rsidRDefault="00D541AF">
          <w:pPr>
            <w:pStyle w:val="TOC1"/>
            <w:rPr>
              <w:rFonts w:asciiTheme="minorHAnsi" w:eastAsiaTheme="minorEastAsia" w:hAnsiTheme="minorHAnsi" w:cstheme="minorBidi"/>
              <w:b w:val="0"/>
              <w:noProof/>
              <w:sz w:val="22"/>
              <w:lang w:eastAsia="en-AU"/>
            </w:rPr>
          </w:pPr>
          <w:hyperlink w:anchor="_Toc132710837" w:history="1">
            <w:r w:rsidR="00900E2D" w:rsidRPr="00AF4D87">
              <w:rPr>
                <w:rStyle w:val="Hyperlink"/>
                <w:noProof/>
              </w:rPr>
              <w:t>Submission overview and risk/benefit assessment</w:t>
            </w:r>
            <w:r w:rsidR="00900E2D">
              <w:rPr>
                <w:noProof/>
                <w:webHidden/>
              </w:rPr>
              <w:tab/>
            </w:r>
            <w:r w:rsidR="00900E2D">
              <w:rPr>
                <w:noProof/>
                <w:webHidden/>
              </w:rPr>
              <w:fldChar w:fldCharType="begin"/>
            </w:r>
            <w:r w:rsidR="00900E2D">
              <w:rPr>
                <w:noProof/>
                <w:webHidden/>
              </w:rPr>
              <w:instrText xml:space="preserve"> PAGEREF _Toc132710837 \h </w:instrText>
            </w:r>
            <w:r w:rsidR="00900E2D">
              <w:rPr>
                <w:noProof/>
                <w:webHidden/>
              </w:rPr>
            </w:r>
            <w:r w:rsidR="00900E2D">
              <w:rPr>
                <w:noProof/>
                <w:webHidden/>
              </w:rPr>
              <w:fldChar w:fldCharType="separate"/>
            </w:r>
            <w:r w:rsidR="00900E2D">
              <w:rPr>
                <w:noProof/>
                <w:webHidden/>
              </w:rPr>
              <w:t>13</w:t>
            </w:r>
            <w:r w:rsidR="00900E2D">
              <w:rPr>
                <w:noProof/>
                <w:webHidden/>
              </w:rPr>
              <w:fldChar w:fldCharType="end"/>
            </w:r>
          </w:hyperlink>
        </w:p>
        <w:p w14:paraId="7A6C70BD" w14:textId="50D25BAC" w:rsidR="00900E2D" w:rsidRDefault="00D541AF">
          <w:pPr>
            <w:pStyle w:val="TOC2"/>
            <w:rPr>
              <w:rFonts w:asciiTheme="minorHAnsi" w:eastAsiaTheme="minorEastAsia" w:hAnsiTheme="minorHAnsi" w:cstheme="minorBidi"/>
              <w:b w:val="0"/>
              <w:noProof/>
              <w:sz w:val="22"/>
              <w:lang w:eastAsia="en-AU"/>
            </w:rPr>
          </w:pPr>
          <w:hyperlink w:anchor="_Toc132710838" w:history="1">
            <w:r w:rsidR="00900E2D" w:rsidRPr="00AF4D87">
              <w:rPr>
                <w:rStyle w:val="Hyperlink"/>
                <w:noProof/>
              </w:rPr>
              <w:t>Quality</w:t>
            </w:r>
            <w:r w:rsidR="00900E2D">
              <w:rPr>
                <w:noProof/>
                <w:webHidden/>
              </w:rPr>
              <w:tab/>
            </w:r>
            <w:r w:rsidR="00900E2D">
              <w:rPr>
                <w:noProof/>
                <w:webHidden/>
              </w:rPr>
              <w:fldChar w:fldCharType="begin"/>
            </w:r>
            <w:r w:rsidR="00900E2D">
              <w:rPr>
                <w:noProof/>
                <w:webHidden/>
              </w:rPr>
              <w:instrText xml:space="preserve"> PAGEREF _Toc132710838 \h </w:instrText>
            </w:r>
            <w:r w:rsidR="00900E2D">
              <w:rPr>
                <w:noProof/>
                <w:webHidden/>
              </w:rPr>
            </w:r>
            <w:r w:rsidR="00900E2D">
              <w:rPr>
                <w:noProof/>
                <w:webHidden/>
              </w:rPr>
              <w:fldChar w:fldCharType="separate"/>
            </w:r>
            <w:r w:rsidR="00900E2D">
              <w:rPr>
                <w:noProof/>
                <w:webHidden/>
              </w:rPr>
              <w:t>14</w:t>
            </w:r>
            <w:r w:rsidR="00900E2D">
              <w:rPr>
                <w:noProof/>
                <w:webHidden/>
              </w:rPr>
              <w:fldChar w:fldCharType="end"/>
            </w:r>
          </w:hyperlink>
        </w:p>
        <w:p w14:paraId="2D2DF9CC" w14:textId="3FAA1388" w:rsidR="00900E2D" w:rsidRDefault="00D541AF">
          <w:pPr>
            <w:pStyle w:val="TOC2"/>
            <w:rPr>
              <w:rFonts w:asciiTheme="minorHAnsi" w:eastAsiaTheme="minorEastAsia" w:hAnsiTheme="minorHAnsi" w:cstheme="minorBidi"/>
              <w:b w:val="0"/>
              <w:noProof/>
              <w:sz w:val="22"/>
              <w:lang w:eastAsia="en-AU"/>
            </w:rPr>
          </w:pPr>
          <w:hyperlink w:anchor="_Toc132710839" w:history="1">
            <w:r w:rsidR="00900E2D" w:rsidRPr="00AF4D87">
              <w:rPr>
                <w:rStyle w:val="Hyperlink"/>
                <w:noProof/>
              </w:rPr>
              <w:t>Nonclinical</w:t>
            </w:r>
            <w:r w:rsidR="00900E2D">
              <w:rPr>
                <w:noProof/>
                <w:webHidden/>
              </w:rPr>
              <w:tab/>
            </w:r>
            <w:r w:rsidR="00900E2D">
              <w:rPr>
                <w:noProof/>
                <w:webHidden/>
              </w:rPr>
              <w:fldChar w:fldCharType="begin"/>
            </w:r>
            <w:r w:rsidR="00900E2D">
              <w:rPr>
                <w:noProof/>
                <w:webHidden/>
              </w:rPr>
              <w:instrText xml:space="preserve"> PAGEREF _Toc132710839 \h </w:instrText>
            </w:r>
            <w:r w:rsidR="00900E2D">
              <w:rPr>
                <w:noProof/>
                <w:webHidden/>
              </w:rPr>
            </w:r>
            <w:r w:rsidR="00900E2D">
              <w:rPr>
                <w:noProof/>
                <w:webHidden/>
              </w:rPr>
              <w:fldChar w:fldCharType="separate"/>
            </w:r>
            <w:r w:rsidR="00900E2D">
              <w:rPr>
                <w:noProof/>
                <w:webHidden/>
              </w:rPr>
              <w:t>15</w:t>
            </w:r>
            <w:r w:rsidR="00900E2D">
              <w:rPr>
                <w:noProof/>
                <w:webHidden/>
              </w:rPr>
              <w:fldChar w:fldCharType="end"/>
            </w:r>
          </w:hyperlink>
        </w:p>
        <w:p w14:paraId="57D4D9C1" w14:textId="110805D6" w:rsidR="00900E2D" w:rsidRDefault="00D541AF">
          <w:pPr>
            <w:pStyle w:val="TOC2"/>
            <w:rPr>
              <w:rFonts w:asciiTheme="minorHAnsi" w:eastAsiaTheme="minorEastAsia" w:hAnsiTheme="minorHAnsi" w:cstheme="minorBidi"/>
              <w:b w:val="0"/>
              <w:noProof/>
              <w:sz w:val="22"/>
              <w:lang w:eastAsia="en-AU"/>
            </w:rPr>
          </w:pPr>
          <w:hyperlink w:anchor="_Toc132710840" w:history="1">
            <w:r w:rsidR="00900E2D" w:rsidRPr="00AF4D87">
              <w:rPr>
                <w:rStyle w:val="Hyperlink"/>
                <w:noProof/>
              </w:rPr>
              <w:t>Clinical</w:t>
            </w:r>
            <w:r w:rsidR="00900E2D">
              <w:rPr>
                <w:noProof/>
                <w:webHidden/>
              </w:rPr>
              <w:tab/>
            </w:r>
            <w:r w:rsidR="00900E2D">
              <w:rPr>
                <w:noProof/>
                <w:webHidden/>
              </w:rPr>
              <w:fldChar w:fldCharType="begin"/>
            </w:r>
            <w:r w:rsidR="00900E2D">
              <w:rPr>
                <w:noProof/>
                <w:webHidden/>
              </w:rPr>
              <w:instrText xml:space="preserve"> PAGEREF _Toc132710840 \h </w:instrText>
            </w:r>
            <w:r w:rsidR="00900E2D">
              <w:rPr>
                <w:noProof/>
                <w:webHidden/>
              </w:rPr>
            </w:r>
            <w:r w:rsidR="00900E2D">
              <w:rPr>
                <w:noProof/>
                <w:webHidden/>
              </w:rPr>
              <w:fldChar w:fldCharType="separate"/>
            </w:r>
            <w:r w:rsidR="00900E2D">
              <w:rPr>
                <w:noProof/>
                <w:webHidden/>
              </w:rPr>
              <w:t>15</w:t>
            </w:r>
            <w:r w:rsidR="00900E2D">
              <w:rPr>
                <w:noProof/>
                <w:webHidden/>
              </w:rPr>
              <w:fldChar w:fldCharType="end"/>
            </w:r>
          </w:hyperlink>
        </w:p>
        <w:p w14:paraId="1BB2A85E" w14:textId="07C49448" w:rsidR="00900E2D" w:rsidRDefault="00D541AF">
          <w:pPr>
            <w:pStyle w:val="TOC2"/>
            <w:rPr>
              <w:rFonts w:asciiTheme="minorHAnsi" w:eastAsiaTheme="minorEastAsia" w:hAnsiTheme="minorHAnsi" w:cstheme="minorBidi"/>
              <w:b w:val="0"/>
              <w:noProof/>
              <w:sz w:val="22"/>
              <w:lang w:eastAsia="en-AU"/>
            </w:rPr>
          </w:pPr>
          <w:hyperlink w:anchor="_Toc132710841" w:history="1">
            <w:r w:rsidR="00900E2D" w:rsidRPr="00AF4D87">
              <w:rPr>
                <w:rStyle w:val="Hyperlink"/>
                <w:noProof/>
                <w:lang w:eastAsia="en-AU"/>
              </w:rPr>
              <w:t>Risk management plan</w:t>
            </w:r>
            <w:r w:rsidR="00900E2D">
              <w:rPr>
                <w:noProof/>
                <w:webHidden/>
              </w:rPr>
              <w:tab/>
            </w:r>
            <w:r w:rsidR="00900E2D">
              <w:rPr>
                <w:noProof/>
                <w:webHidden/>
              </w:rPr>
              <w:fldChar w:fldCharType="begin"/>
            </w:r>
            <w:r w:rsidR="00900E2D">
              <w:rPr>
                <w:noProof/>
                <w:webHidden/>
              </w:rPr>
              <w:instrText xml:space="preserve"> PAGEREF _Toc132710841 \h </w:instrText>
            </w:r>
            <w:r w:rsidR="00900E2D">
              <w:rPr>
                <w:noProof/>
                <w:webHidden/>
              </w:rPr>
            </w:r>
            <w:r w:rsidR="00900E2D">
              <w:rPr>
                <w:noProof/>
                <w:webHidden/>
              </w:rPr>
              <w:fldChar w:fldCharType="separate"/>
            </w:r>
            <w:r w:rsidR="00900E2D">
              <w:rPr>
                <w:noProof/>
                <w:webHidden/>
              </w:rPr>
              <w:t>21</w:t>
            </w:r>
            <w:r w:rsidR="00900E2D">
              <w:rPr>
                <w:noProof/>
                <w:webHidden/>
              </w:rPr>
              <w:fldChar w:fldCharType="end"/>
            </w:r>
          </w:hyperlink>
        </w:p>
        <w:p w14:paraId="2FF1DD2A" w14:textId="26C0CDB9" w:rsidR="00900E2D" w:rsidRDefault="00D541AF">
          <w:pPr>
            <w:pStyle w:val="TOC2"/>
            <w:rPr>
              <w:rFonts w:asciiTheme="minorHAnsi" w:eastAsiaTheme="minorEastAsia" w:hAnsiTheme="minorHAnsi" w:cstheme="minorBidi"/>
              <w:b w:val="0"/>
              <w:noProof/>
              <w:sz w:val="22"/>
              <w:lang w:eastAsia="en-AU"/>
            </w:rPr>
          </w:pPr>
          <w:hyperlink w:anchor="_Toc132710842" w:history="1">
            <w:r w:rsidR="00900E2D" w:rsidRPr="00AF4D87">
              <w:rPr>
                <w:rStyle w:val="Hyperlink"/>
                <w:noProof/>
              </w:rPr>
              <w:t>Risk-benefit analysis</w:t>
            </w:r>
            <w:r w:rsidR="00900E2D">
              <w:rPr>
                <w:noProof/>
                <w:webHidden/>
              </w:rPr>
              <w:tab/>
            </w:r>
            <w:r w:rsidR="00900E2D">
              <w:rPr>
                <w:noProof/>
                <w:webHidden/>
              </w:rPr>
              <w:fldChar w:fldCharType="begin"/>
            </w:r>
            <w:r w:rsidR="00900E2D">
              <w:rPr>
                <w:noProof/>
                <w:webHidden/>
              </w:rPr>
              <w:instrText xml:space="preserve"> PAGEREF _Toc132710842 \h </w:instrText>
            </w:r>
            <w:r w:rsidR="00900E2D">
              <w:rPr>
                <w:noProof/>
                <w:webHidden/>
              </w:rPr>
            </w:r>
            <w:r w:rsidR="00900E2D">
              <w:rPr>
                <w:noProof/>
                <w:webHidden/>
              </w:rPr>
              <w:fldChar w:fldCharType="separate"/>
            </w:r>
            <w:r w:rsidR="00900E2D">
              <w:rPr>
                <w:noProof/>
                <w:webHidden/>
              </w:rPr>
              <w:t>21</w:t>
            </w:r>
            <w:r w:rsidR="00900E2D">
              <w:rPr>
                <w:noProof/>
                <w:webHidden/>
              </w:rPr>
              <w:fldChar w:fldCharType="end"/>
            </w:r>
          </w:hyperlink>
        </w:p>
        <w:p w14:paraId="6CBE64E1" w14:textId="154C2D58" w:rsidR="00900E2D" w:rsidRDefault="00D541AF">
          <w:pPr>
            <w:pStyle w:val="TOC1"/>
            <w:rPr>
              <w:rFonts w:asciiTheme="minorHAnsi" w:eastAsiaTheme="minorEastAsia" w:hAnsiTheme="minorHAnsi" w:cstheme="minorBidi"/>
              <w:b w:val="0"/>
              <w:noProof/>
              <w:sz w:val="22"/>
              <w:lang w:eastAsia="en-AU"/>
            </w:rPr>
          </w:pPr>
          <w:hyperlink w:anchor="_Toc132710843" w:history="1">
            <w:r w:rsidR="00900E2D" w:rsidRPr="00AF4D87">
              <w:rPr>
                <w:rStyle w:val="Hyperlink"/>
                <w:noProof/>
              </w:rPr>
              <w:t>Outcome</w:t>
            </w:r>
            <w:r w:rsidR="00900E2D">
              <w:rPr>
                <w:noProof/>
                <w:webHidden/>
              </w:rPr>
              <w:tab/>
            </w:r>
            <w:r w:rsidR="00900E2D">
              <w:rPr>
                <w:noProof/>
                <w:webHidden/>
              </w:rPr>
              <w:fldChar w:fldCharType="begin"/>
            </w:r>
            <w:r w:rsidR="00900E2D">
              <w:rPr>
                <w:noProof/>
                <w:webHidden/>
              </w:rPr>
              <w:instrText xml:space="preserve"> PAGEREF _Toc132710843 \h </w:instrText>
            </w:r>
            <w:r w:rsidR="00900E2D">
              <w:rPr>
                <w:noProof/>
                <w:webHidden/>
              </w:rPr>
            </w:r>
            <w:r w:rsidR="00900E2D">
              <w:rPr>
                <w:noProof/>
                <w:webHidden/>
              </w:rPr>
              <w:fldChar w:fldCharType="separate"/>
            </w:r>
            <w:r w:rsidR="00900E2D">
              <w:rPr>
                <w:noProof/>
                <w:webHidden/>
              </w:rPr>
              <w:t>21</w:t>
            </w:r>
            <w:r w:rsidR="00900E2D">
              <w:rPr>
                <w:noProof/>
                <w:webHidden/>
              </w:rPr>
              <w:fldChar w:fldCharType="end"/>
            </w:r>
          </w:hyperlink>
        </w:p>
        <w:p w14:paraId="5F30F6A9" w14:textId="21B754EA" w:rsidR="00900E2D" w:rsidRDefault="00D541AF">
          <w:pPr>
            <w:pStyle w:val="TOC2"/>
            <w:rPr>
              <w:rFonts w:asciiTheme="minorHAnsi" w:eastAsiaTheme="minorEastAsia" w:hAnsiTheme="minorHAnsi" w:cstheme="minorBidi"/>
              <w:b w:val="0"/>
              <w:noProof/>
              <w:sz w:val="22"/>
              <w:lang w:eastAsia="en-AU"/>
            </w:rPr>
          </w:pPr>
          <w:hyperlink w:anchor="_Toc132710844" w:history="1">
            <w:r w:rsidR="00900E2D" w:rsidRPr="00AF4D87">
              <w:rPr>
                <w:rStyle w:val="Hyperlink"/>
                <w:noProof/>
              </w:rPr>
              <w:t>Specific conditions of registration applying to these goods</w:t>
            </w:r>
            <w:r w:rsidR="00900E2D">
              <w:rPr>
                <w:noProof/>
                <w:webHidden/>
              </w:rPr>
              <w:tab/>
            </w:r>
            <w:r w:rsidR="00900E2D">
              <w:rPr>
                <w:noProof/>
                <w:webHidden/>
              </w:rPr>
              <w:fldChar w:fldCharType="begin"/>
            </w:r>
            <w:r w:rsidR="00900E2D">
              <w:rPr>
                <w:noProof/>
                <w:webHidden/>
              </w:rPr>
              <w:instrText xml:space="preserve"> PAGEREF _Toc132710844 \h </w:instrText>
            </w:r>
            <w:r w:rsidR="00900E2D">
              <w:rPr>
                <w:noProof/>
                <w:webHidden/>
              </w:rPr>
            </w:r>
            <w:r w:rsidR="00900E2D">
              <w:rPr>
                <w:noProof/>
                <w:webHidden/>
              </w:rPr>
              <w:fldChar w:fldCharType="separate"/>
            </w:r>
            <w:r w:rsidR="00900E2D">
              <w:rPr>
                <w:noProof/>
                <w:webHidden/>
              </w:rPr>
              <w:t>22</w:t>
            </w:r>
            <w:r w:rsidR="00900E2D">
              <w:rPr>
                <w:noProof/>
                <w:webHidden/>
              </w:rPr>
              <w:fldChar w:fldCharType="end"/>
            </w:r>
          </w:hyperlink>
        </w:p>
        <w:p w14:paraId="74739306" w14:textId="6C8E5CED" w:rsidR="00900E2D" w:rsidRDefault="00D541AF">
          <w:pPr>
            <w:pStyle w:val="TOC1"/>
            <w:rPr>
              <w:rFonts w:asciiTheme="minorHAnsi" w:eastAsiaTheme="minorEastAsia" w:hAnsiTheme="minorHAnsi" w:cstheme="minorBidi"/>
              <w:b w:val="0"/>
              <w:noProof/>
              <w:sz w:val="22"/>
              <w:lang w:eastAsia="en-AU"/>
            </w:rPr>
          </w:pPr>
          <w:hyperlink w:anchor="_Toc132710845" w:history="1">
            <w:r w:rsidR="00900E2D" w:rsidRPr="00AF4D87">
              <w:rPr>
                <w:rStyle w:val="Hyperlink"/>
                <w:noProof/>
              </w:rPr>
              <w:t>Attachment 1. Product Information</w:t>
            </w:r>
            <w:r w:rsidR="00900E2D">
              <w:rPr>
                <w:noProof/>
                <w:webHidden/>
              </w:rPr>
              <w:tab/>
            </w:r>
            <w:r w:rsidR="00900E2D">
              <w:rPr>
                <w:noProof/>
                <w:webHidden/>
              </w:rPr>
              <w:fldChar w:fldCharType="begin"/>
            </w:r>
            <w:r w:rsidR="00900E2D">
              <w:rPr>
                <w:noProof/>
                <w:webHidden/>
              </w:rPr>
              <w:instrText xml:space="preserve"> PAGEREF _Toc132710845 \h </w:instrText>
            </w:r>
            <w:r w:rsidR="00900E2D">
              <w:rPr>
                <w:noProof/>
                <w:webHidden/>
              </w:rPr>
            </w:r>
            <w:r w:rsidR="00900E2D">
              <w:rPr>
                <w:noProof/>
                <w:webHidden/>
              </w:rPr>
              <w:fldChar w:fldCharType="separate"/>
            </w:r>
            <w:r w:rsidR="00900E2D">
              <w:rPr>
                <w:noProof/>
                <w:webHidden/>
              </w:rPr>
              <w:t>22</w:t>
            </w:r>
            <w:r w:rsidR="00900E2D">
              <w:rPr>
                <w:noProof/>
                <w:webHidden/>
              </w:rPr>
              <w:fldChar w:fldCharType="end"/>
            </w:r>
          </w:hyperlink>
        </w:p>
        <w:p w14:paraId="01BBB075" w14:textId="10DC4106" w:rsidR="003A7F6C" w:rsidRPr="00B811C6" w:rsidRDefault="00C525A2" w:rsidP="00EB36D6">
          <w:r>
            <w:fldChar w:fldCharType="end"/>
          </w:r>
        </w:p>
      </w:sdtContent>
    </w:sdt>
    <w:bookmarkStart w:id="2" w:name="_Toc314842482" w:displacedByCustomXml="prev"/>
    <w:p w14:paraId="186D2FBB" w14:textId="77777777" w:rsidR="00FD119B" w:rsidRDefault="00FD119B">
      <w:pPr>
        <w:spacing w:before="0" w:after="200" w:line="0" w:lineRule="auto"/>
      </w:pPr>
      <w:r>
        <w:br w:type="page"/>
      </w:r>
    </w:p>
    <w:p w14:paraId="2FCCC765" w14:textId="77777777" w:rsidR="00AF2313" w:rsidRDefault="00AF2313" w:rsidP="00AF2313">
      <w:pPr>
        <w:pStyle w:val="Heading2"/>
      </w:pPr>
      <w:bookmarkStart w:id="3" w:name="_Toc98931917"/>
      <w:bookmarkStart w:id="4" w:name="_Toc132710830"/>
      <w:r>
        <w:lastRenderedPageBreak/>
        <w:t>List of abbreviations</w:t>
      </w:r>
      <w:bookmarkEnd w:id="3"/>
      <w:bookmarkEnd w:id="4"/>
    </w:p>
    <w:tbl>
      <w:tblPr>
        <w:tblStyle w:val="TableTGAblue"/>
        <w:tblW w:w="5000" w:type="pct"/>
        <w:tblLook w:val="04A0" w:firstRow="1" w:lastRow="0" w:firstColumn="1" w:lastColumn="0" w:noHBand="0" w:noVBand="1"/>
      </w:tblPr>
      <w:tblGrid>
        <w:gridCol w:w="1719"/>
        <w:gridCol w:w="1196"/>
        <w:gridCol w:w="5569"/>
      </w:tblGrid>
      <w:tr w:rsidR="008162EB" w14:paraId="2D1AD838" w14:textId="77777777" w:rsidTr="005365D9">
        <w:trPr>
          <w:cnfStyle w:val="100000000000" w:firstRow="1" w:lastRow="0" w:firstColumn="0" w:lastColumn="0" w:oddVBand="0" w:evenVBand="0" w:oddHBand="0" w:evenHBand="0" w:firstRowFirstColumn="0" w:firstRowLastColumn="0" w:lastRowFirstColumn="0" w:lastRowLastColumn="0"/>
          <w:cantSplit/>
        </w:trPr>
        <w:tc>
          <w:tcPr>
            <w:tcW w:w="1718" w:type="pct"/>
            <w:gridSpan w:val="2"/>
            <w:hideMark/>
          </w:tcPr>
          <w:p w14:paraId="7F033840" w14:textId="77777777" w:rsidR="008162EB" w:rsidRDefault="008162EB" w:rsidP="005365D9">
            <w:pPr>
              <w:rPr>
                <w:color w:val="FFFFFF"/>
              </w:rPr>
            </w:pPr>
            <w:bookmarkStart w:id="5" w:name="_Hlk120022409"/>
            <w:r>
              <w:t>Abbreviation</w:t>
            </w:r>
          </w:p>
        </w:tc>
        <w:tc>
          <w:tcPr>
            <w:tcW w:w="3282" w:type="pct"/>
            <w:hideMark/>
          </w:tcPr>
          <w:p w14:paraId="3991E56A" w14:textId="77777777" w:rsidR="008162EB" w:rsidRDefault="008162EB" w:rsidP="005365D9">
            <w:r>
              <w:t>Meaning</w:t>
            </w:r>
          </w:p>
        </w:tc>
      </w:tr>
      <w:tr w:rsidR="008162EB" w14:paraId="0C437459"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2B448540" w14:textId="77777777" w:rsidR="008162EB" w:rsidRPr="005F0479" w:rsidRDefault="008162EB" w:rsidP="005365D9">
            <w:pPr>
              <w:rPr>
                <w:color w:val="auto"/>
              </w:rPr>
            </w:pPr>
            <w:r w:rsidRPr="002E4474">
              <w:t>AUC</w:t>
            </w:r>
            <w:r w:rsidRPr="002E4474">
              <w:rPr>
                <w:vertAlign w:val="subscript"/>
              </w:rPr>
              <w:t>0-inf</w:t>
            </w:r>
          </w:p>
        </w:tc>
        <w:tc>
          <w:tcPr>
            <w:tcW w:w="3987" w:type="pct"/>
            <w:gridSpan w:val="2"/>
            <w:tcBorders>
              <w:top w:val="single" w:sz="8" w:space="0" w:color="002C47"/>
              <w:left w:val="single" w:sz="8" w:space="0" w:color="002C47"/>
              <w:bottom w:val="single" w:sz="8" w:space="0" w:color="002C47"/>
              <w:right w:val="single" w:sz="8" w:space="0" w:color="002C47"/>
            </w:tcBorders>
          </w:tcPr>
          <w:p w14:paraId="7EB8A29E" w14:textId="67E49A7B" w:rsidR="008162EB" w:rsidRPr="005F0479" w:rsidRDefault="008162EB" w:rsidP="005365D9">
            <w:pPr>
              <w:rPr>
                <w:color w:val="auto"/>
              </w:rPr>
            </w:pPr>
            <w:r>
              <w:t>A</w:t>
            </w:r>
            <w:r w:rsidRPr="002E4474">
              <w:t>rea under the concentration</w:t>
            </w:r>
            <w:r w:rsidR="008639A2">
              <w:t>-</w:t>
            </w:r>
            <w:r w:rsidRPr="002E4474">
              <w:t>time curve from time zero to infinity</w:t>
            </w:r>
          </w:p>
        </w:tc>
      </w:tr>
      <w:tr w:rsidR="008162EB" w14:paraId="5E4D8147"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12D33202" w14:textId="77777777" w:rsidR="008162EB" w:rsidRPr="005F0479" w:rsidRDefault="008162EB" w:rsidP="005365D9">
            <w:r w:rsidRPr="00F7208E">
              <w:t>AUC</w:t>
            </w:r>
            <w:r w:rsidRPr="00F7208E">
              <w:rPr>
                <w:vertAlign w:val="subscript"/>
              </w:rPr>
              <w:t>0-t</w:t>
            </w:r>
          </w:p>
        </w:tc>
        <w:tc>
          <w:tcPr>
            <w:tcW w:w="3987" w:type="pct"/>
            <w:gridSpan w:val="2"/>
            <w:tcBorders>
              <w:top w:val="single" w:sz="8" w:space="0" w:color="002C47"/>
              <w:left w:val="single" w:sz="8" w:space="0" w:color="002C47"/>
              <w:bottom w:val="single" w:sz="8" w:space="0" w:color="002C47"/>
              <w:right w:val="single" w:sz="8" w:space="0" w:color="002C47"/>
            </w:tcBorders>
          </w:tcPr>
          <w:p w14:paraId="4B3228A1" w14:textId="480753B3" w:rsidR="008162EB" w:rsidRPr="005F0479" w:rsidRDefault="008162EB" w:rsidP="005365D9">
            <w:r>
              <w:t>A</w:t>
            </w:r>
            <w:r w:rsidRPr="00B108E1">
              <w:t>rea under concentration</w:t>
            </w:r>
            <w:r w:rsidR="008639A2">
              <w:t>-</w:t>
            </w:r>
            <w:r w:rsidRPr="00B108E1">
              <w:t>time curve from time zero to the time of last measurable concentration</w:t>
            </w:r>
          </w:p>
        </w:tc>
      </w:tr>
      <w:tr w:rsidR="008162EB" w14:paraId="68920466"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5E6563FF" w14:textId="77777777" w:rsidR="008162EB" w:rsidRPr="002E4474" w:rsidRDefault="008162EB" w:rsidP="005365D9">
            <w:proofErr w:type="spellStart"/>
            <w:r w:rsidRPr="00F7208E">
              <w:t>AUC</w:t>
            </w:r>
            <w:r w:rsidRPr="00F7208E">
              <w:rPr>
                <w:vertAlign w:val="subscript"/>
              </w:rPr>
              <w:t>all</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72BA1A5B" w14:textId="64DFFF99" w:rsidR="008162EB" w:rsidRDefault="008162EB">
            <w:bookmarkStart w:id="6" w:name="OLE_LINK1"/>
            <w:r>
              <w:t>A</w:t>
            </w:r>
            <w:r w:rsidRPr="00A60D39">
              <w:t>rea under the concentration</w:t>
            </w:r>
            <w:r>
              <w:t xml:space="preserve"> </w:t>
            </w:r>
            <w:r w:rsidRPr="00A60D39">
              <w:t xml:space="preserve">time curve from time zero to the time of last </w:t>
            </w:r>
            <w:r w:rsidR="00294500">
              <w:t>sample</w:t>
            </w:r>
            <w:bookmarkEnd w:id="6"/>
          </w:p>
        </w:tc>
      </w:tr>
      <w:tr w:rsidR="008162EB" w14:paraId="22575412"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44BFBA43" w14:textId="77777777" w:rsidR="008162EB" w:rsidRPr="00642946" w:rsidRDefault="008162EB" w:rsidP="005365D9">
            <w:proofErr w:type="spellStart"/>
            <w:r w:rsidRPr="00642946">
              <w:t>AUC</w:t>
            </w:r>
            <w:r w:rsidRPr="00642946">
              <w:rPr>
                <w:vertAlign w:val="subscript"/>
              </w:rPr>
              <w:t>ss</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0A5963D3" w14:textId="5C22CCE6" w:rsidR="008162EB" w:rsidRPr="005F0479" w:rsidRDefault="008162EB" w:rsidP="005365D9">
            <w:r>
              <w:t>A</w:t>
            </w:r>
            <w:r w:rsidRPr="00534F17">
              <w:t>rea under the concentration</w:t>
            </w:r>
            <w:r w:rsidR="008639A2">
              <w:t>-</w:t>
            </w:r>
            <w:r w:rsidRPr="00534F17">
              <w:t>time curve at steady state</w:t>
            </w:r>
          </w:p>
        </w:tc>
      </w:tr>
      <w:tr w:rsidR="008162EB" w14:paraId="66BC2ED9"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0B40F5C8" w14:textId="5DD6AE46" w:rsidR="008162EB" w:rsidRPr="00642946" w:rsidRDefault="008162EB" w:rsidP="005365D9">
            <w:pPr>
              <w:rPr>
                <w:b/>
                <w:bCs/>
              </w:rPr>
            </w:pPr>
            <w:r w:rsidRPr="00642946">
              <w:rPr>
                <w:color w:val="auto"/>
              </w:rPr>
              <w:t>CI</w:t>
            </w:r>
          </w:p>
        </w:tc>
        <w:tc>
          <w:tcPr>
            <w:tcW w:w="3987" w:type="pct"/>
            <w:gridSpan w:val="2"/>
            <w:tcBorders>
              <w:top w:val="single" w:sz="8" w:space="0" w:color="002C47"/>
              <w:left w:val="single" w:sz="8" w:space="0" w:color="002C47"/>
              <w:bottom w:val="single" w:sz="8" w:space="0" w:color="002C47"/>
              <w:right w:val="single" w:sz="8" w:space="0" w:color="002C47"/>
            </w:tcBorders>
          </w:tcPr>
          <w:p w14:paraId="5621B8D2" w14:textId="77777777" w:rsidR="008162EB" w:rsidRPr="00B202D5" w:rsidRDefault="008162EB" w:rsidP="005365D9">
            <w:r w:rsidRPr="00B202D5">
              <w:rPr>
                <w:color w:val="auto"/>
              </w:rPr>
              <w:t>Confidence interval</w:t>
            </w:r>
          </w:p>
        </w:tc>
      </w:tr>
      <w:tr w:rsidR="008162EB" w14:paraId="6DBE9304"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5C5E1D83" w14:textId="77777777" w:rsidR="008162EB" w:rsidRPr="00642946" w:rsidRDefault="008162EB" w:rsidP="005365D9">
            <w:r w:rsidRPr="00642946">
              <w:t>C</w:t>
            </w:r>
            <w:r w:rsidRPr="00642946">
              <w:rPr>
                <w:vertAlign w:val="subscript"/>
              </w:rPr>
              <w:t>max</w:t>
            </w:r>
          </w:p>
        </w:tc>
        <w:tc>
          <w:tcPr>
            <w:tcW w:w="3987" w:type="pct"/>
            <w:gridSpan w:val="2"/>
            <w:tcBorders>
              <w:top w:val="single" w:sz="8" w:space="0" w:color="002C47"/>
              <w:left w:val="single" w:sz="8" w:space="0" w:color="002C47"/>
              <w:bottom w:val="single" w:sz="8" w:space="0" w:color="002C47"/>
              <w:right w:val="single" w:sz="8" w:space="0" w:color="002C47"/>
            </w:tcBorders>
          </w:tcPr>
          <w:p w14:paraId="219F0CE6" w14:textId="77777777" w:rsidR="008162EB" w:rsidRDefault="008162EB" w:rsidP="005365D9">
            <w:r>
              <w:t>M</w:t>
            </w:r>
            <w:r w:rsidRPr="002E4474">
              <w:t>aximum</w:t>
            </w:r>
            <w:r>
              <w:t xml:space="preserve"> </w:t>
            </w:r>
            <w:r w:rsidRPr="002E4474">
              <w:t>concentration</w:t>
            </w:r>
          </w:p>
        </w:tc>
      </w:tr>
      <w:tr w:rsidR="008162EB" w14:paraId="0FB3FEF2"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431AFAE3" w14:textId="77777777" w:rsidR="008162EB" w:rsidRPr="00642946" w:rsidRDefault="008162EB" w:rsidP="005365D9">
            <w:proofErr w:type="spellStart"/>
            <w:proofErr w:type="gramStart"/>
            <w:r w:rsidRPr="00642946">
              <w:t>C</w:t>
            </w:r>
            <w:r w:rsidRPr="00642946">
              <w:rPr>
                <w:vertAlign w:val="subscript"/>
              </w:rPr>
              <w:t>max,ss</w:t>
            </w:r>
            <w:proofErr w:type="spellEnd"/>
            <w:proofErr w:type="gramEnd"/>
          </w:p>
        </w:tc>
        <w:tc>
          <w:tcPr>
            <w:tcW w:w="3987" w:type="pct"/>
            <w:gridSpan w:val="2"/>
            <w:tcBorders>
              <w:top w:val="single" w:sz="8" w:space="0" w:color="002C47"/>
              <w:left w:val="single" w:sz="8" w:space="0" w:color="002C47"/>
              <w:bottom w:val="single" w:sz="8" w:space="0" w:color="002C47"/>
              <w:right w:val="single" w:sz="8" w:space="0" w:color="002C47"/>
            </w:tcBorders>
          </w:tcPr>
          <w:p w14:paraId="7D17A8CF" w14:textId="77777777" w:rsidR="008162EB" w:rsidRDefault="008162EB" w:rsidP="005365D9">
            <w:r>
              <w:t>M</w:t>
            </w:r>
            <w:r w:rsidRPr="00534F17">
              <w:t>aximum concentration at steady state</w:t>
            </w:r>
          </w:p>
        </w:tc>
      </w:tr>
      <w:tr w:rsidR="008162EB" w14:paraId="0F135343"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07483334" w14:textId="77777777" w:rsidR="008162EB" w:rsidRPr="00642946" w:rsidRDefault="008162EB" w:rsidP="005365D9">
            <w:pPr>
              <w:rPr>
                <w:color w:val="auto"/>
              </w:rPr>
            </w:pPr>
            <w:proofErr w:type="spellStart"/>
            <w:r w:rsidRPr="00642946">
              <w:t>C</w:t>
            </w:r>
            <w:r w:rsidRPr="00642946">
              <w:rPr>
                <w:vertAlign w:val="subscript"/>
              </w:rPr>
              <w:t>min</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77E10896" w14:textId="77777777" w:rsidR="008162EB" w:rsidRPr="00B202D5" w:rsidRDefault="008162EB" w:rsidP="005365D9">
            <w:pPr>
              <w:rPr>
                <w:color w:val="auto"/>
              </w:rPr>
            </w:pPr>
            <w:r>
              <w:t>Minimum concentration</w:t>
            </w:r>
          </w:p>
        </w:tc>
      </w:tr>
      <w:tr w:rsidR="008162EB" w14:paraId="3E3D1933"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736DF30D" w14:textId="77777777" w:rsidR="008162EB" w:rsidRPr="00642946" w:rsidRDefault="008162EB" w:rsidP="005365D9">
            <w:proofErr w:type="spellStart"/>
            <w:proofErr w:type="gramStart"/>
            <w:r w:rsidRPr="00642946">
              <w:t>C</w:t>
            </w:r>
            <w:r w:rsidRPr="00642946">
              <w:rPr>
                <w:vertAlign w:val="subscript"/>
              </w:rPr>
              <w:t>min,ss</w:t>
            </w:r>
            <w:proofErr w:type="spellEnd"/>
            <w:proofErr w:type="gramEnd"/>
          </w:p>
        </w:tc>
        <w:tc>
          <w:tcPr>
            <w:tcW w:w="3987" w:type="pct"/>
            <w:gridSpan w:val="2"/>
            <w:tcBorders>
              <w:top w:val="single" w:sz="8" w:space="0" w:color="002C47"/>
              <w:left w:val="single" w:sz="8" w:space="0" w:color="002C47"/>
              <w:bottom w:val="single" w:sz="8" w:space="0" w:color="002C47"/>
              <w:right w:val="single" w:sz="8" w:space="0" w:color="002C47"/>
            </w:tcBorders>
          </w:tcPr>
          <w:p w14:paraId="5C121F06" w14:textId="77777777" w:rsidR="008162EB" w:rsidRPr="00456D04" w:rsidRDefault="008162EB" w:rsidP="005365D9">
            <w:r>
              <w:t>M</w:t>
            </w:r>
            <w:r w:rsidRPr="00534F17">
              <w:t>inimum concentration at steady state</w:t>
            </w:r>
          </w:p>
        </w:tc>
      </w:tr>
      <w:tr w:rsidR="008162EB" w14:paraId="2FD39175"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0173CE02" w14:textId="77777777" w:rsidR="008162EB" w:rsidRPr="00456D04" w:rsidRDefault="008162EB" w:rsidP="005365D9">
            <w:pPr>
              <w:rPr>
                <w:color w:val="auto"/>
              </w:rPr>
            </w:pPr>
            <w:r w:rsidRPr="00456D04">
              <w:rPr>
                <w:color w:val="auto"/>
              </w:rPr>
              <w:t>EU</w:t>
            </w:r>
          </w:p>
        </w:tc>
        <w:tc>
          <w:tcPr>
            <w:tcW w:w="3987" w:type="pct"/>
            <w:gridSpan w:val="2"/>
            <w:tcBorders>
              <w:top w:val="single" w:sz="8" w:space="0" w:color="002C47"/>
              <w:left w:val="single" w:sz="8" w:space="0" w:color="002C47"/>
              <w:bottom w:val="single" w:sz="8" w:space="0" w:color="002C47"/>
              <w:right w:val="single" w:sz="8" w:space="0" w:color="002C47"/>
            </w:tcBorders>
          </w:tcPr>
          <w:p w14:paraId="52B2C8F0" w14:textId="77777777" w:rsidR="008162EB" w:rsidRPr="00456D04" w:rsidRDefault="008162EB" w:rsidP="005365D9">
            <w:pPr>
              <w:rPr>
                <w:color w:val="auto"/>
              </w:rPr>
            </w:pPr>
            <w:r w:rsidRPr="00456D04">
              <w:rPr>
                <w:color w:val="auto"/>
              </w:rPr>
              <w:t>European Union</w:t>
            </w:r>
          </w:p>
        </w:tc>
      </w:tr>
      <w:tr w:rsidR="008162EB" w14:paraId="2BE47C1D"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627FF484" w14:textId="77777777" w:rsidR="008162EB" w:rsidRPr="005B0A27" w:rsidRDefault="008162EB" w:rsidP="005365D9">
            <w:r>
              <w:t>HER2</w:t>
            </w:r>
          </w:p>
        </w:tc>
        <w:tc>
          <w:tcPr>
            <w:tcW w:w="3987" w:type="pct"/>
            <w:gridSpan w:val="2"/>
            <w:tcBorders>
              <w:top w:val="single" w:sz="8" w:space="0" w:color="002C47"/>
              <w:left w:val="single" w:sz="8" w:space="0" w:color="002C47"/>
              <w:bottom w:val="single" w:sz="8" w:space="0" w:color="002C47"/>
              <w:right w:val="single" w:sz="8" w:space="0" w:color="002C47"/>
            </w:tcBorders>
          </w:tcPr>
          <w:p w14:paraId="61D462F0" w14:textId="77777777" w:rsidR="008162EB" w:rsidRPr="005B0A27" w:rsidRDefault="008162EB" w:rsidP="005365D9">
            <w:r>
              <w:t>H</w:t>
            </w:r>
            <w:r w:rsidRPr="004263BA">
              <w:t>uman epidermal growth factor receptor 2</w:t>
            </w:r>
          </w:p>
        </w:tc>
      </w:tr>
      <w:tr w:rsidR="008162EB" w14:paraId="1FFD390B"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777A1FBA" w14:textId="77777777" w:rsidR="008162EB" w:rsidRDefault="008162EB" w:rsidP="005365D9">
            <w:r>
              <w:t>HLX02</w:t>
            </w:r>
          </w:p>
        </w:tc>
        <w:tc>
          <w:tcPr>
            <w:tcW w:w="3987" w:type="pct"/>
            <w:gridSpan w:val="2"/>
            <w:tcBorders>
              <w:top w:val="single" w:sz="8" w:space="0" w:color="002C47"/>
              <w:left w:val="single" w:sz="8" w:space="0" w:color="002C47"/>
              <w:bottom w:val="single" w:sz="8" w:space="0" w:color="002C47"/>
              <w:right w:val="single" w:sz="8" w:space="0" w:color="002C47"/>
            </w:tcBorders>
          </w:tcPr>
          <w:p w14:paraId="23200F71" w14:textId="77777777" w:rsidR="008162EB" w:rsidRPr="00EE38F4" w:rsidRDefault="008162EB" w:rsidP="005365D9">
            <w:r>
              <w:t>T</w:t>
            </w:r>
            <w:r w:rsidRPr="007555B3">
              <w:t>rastuzumab product proposed for registration</w:t>
            </w:r>
          </w:p>
        </w:tc>
      </w:tr>
      <w:tr w:rsidR="008162EB" w14:paraId="5C819F59"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5082306A" w14:textId="77777777" w:rsidR="008162EB" w:rsidRPr="00591F64" w:rsidRDefault="008162EB" w:rsidP="005365D9">
            <w:r w:rsidRPr="00456D04">
              <w:rPr>
                <w:color w:val="auto"/>
              </w:rPr>
              <w:t>PI</w:t>
            </w:r>
          </w:p>
        </w:tc>
        <w:tc>
          <w:tcPr>
            <w:tcW w:w="3987" w:type="pct"/>
            <w:gridSpan w:val="2"/>
            <w:tcBorders>
              <w:top w:val="single" w:sz="8" w:space="0" w:color="002C47"/>
              <w:left w:val="single" w:sz="8" w:space="0" w:color="002C47"/>
              <w:bottom w:val="single" w:sz="8" w:space="0" w:color="002C47"/>
              <w:right w:val="single" w:sz="8" w:space="0" w:color="002C47"/>
            </w:tcBorders>
          </w:tcPr>
          <w:p w14:paraId="2D882F0C" w14:textId="77777777" w:rsidR="008162EB" w:rsidRPr="00591F64" w:rsidRDefault="008162EB" w:rsidP="005365D9">
            <w:r w:rsidRPr="00456D04">
              <w:rPr>
                <w:color w:val="auto"/>
              </w:rPr>
              <w:t xml:space="preserve">Product </w:t>
            </w:r>
            <w:r>
              <w:rPr>
                <w:color w:val="auto"/>
              </w:rPr>
              <w:t>I</w:t>
            </w:r>
            <w:r w:rsidRPr="00456D04">
              <w:rPr>
                <w:color w:val="auto"/>
              </w:rPr>
              <w:t>nformation</w:t>
            </w:r>
          </w:p>
        </w:tc>
      </w:tr>
      <w:tr w:rsidR="008162EB" w14:paraId="14969BA5"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73CAF7D0" w14:textId="77777777" w:rsidR="008162EB" w:rsidRPr="00757124" w:rsidRDefault="008162EB" w:rsidP="005365D9">
            <w:r w:rsidRPr="00456D04">
              <w:rPr>
                <w:color w:val="auto"/>
              </w:rPr>
              <w:t xml:space="preserve">PK </w:t>
            </w:r>
          </w:p>
        </w:tc>
        <w:tc>
          <w:tcPr>
            <w:tcW w:w="3987" w:type="pct"/>
            <w:gridSpan w:val="2"/>
            <w:tcBorders>
              <w:top w:val="single" w:sz="8" w:space="0" w:color="002C47"/>
              <w:left w:val="single" w:sz="8" w:space="0" w:color="002C47"/>
              <w:bottom w:val="single" w:sz="8" w:space="0" w:color="002C47"/>
              <w:right w:val="single" w:sz="8" w:space="0" w:color="002C47"/>
            </w:tcBorders>
          </w:tcPr>
          <w:p w14:paraId="4C91E8A3" w14:textId="77777777" w:rsidR="008162EB" w:rsidRPr="00EE38F4" w:rsidRDefault="008162EB" w:rsidP="005365D9">
            <w:r w:rsidRPr="00456D04">
              <w:rPr>
                <w:color w:val="auto"/>
              </w:rPr>
              <w:t>Pharmacokinetic</w:t>
            </w:r>
            <w:r>
              <w:rPr>
                <w:color w:val="auto"/>
              </w:rPr>
              <w:t>(</w:t>
            </w:r>
            <w:r w:rsidRPr="00456D04">
              <w:rPr>
                <w:color w:val="auto"/>
              </w:rPr>
              <w:t>s</w:t>
            </w:r>
            <w:r>
              <w:rPr>
                <w:color w:val="auto"/>
              </w:rPr>
              <w:t>)</w:t>
            </w:r>
          </w:p>
        </w:tc>
      </w:tr>
      <w:tr w:rsidR="008162EB" w14:paraId="177F9904"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70DDC807" w14:textId="77777777" w:rsidR="008162EB" w:rsidRPr="00591F64" w:rsidRDefault="008162EB" w:rsidP="005365D9">
            <w:proofErr w:type="spellStart"/>
            <w:r>
              <w:t>PopPK</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074FB280" w14:textId="77777777" w:rsidR="008162EB" w:rsidRPr="00591F64" w:rsidRDefault="008162EB" w:rsidP="005365D9">
            <w:r>
              <w:t>Population pharmacokinetic(s)</w:t>
            </w:r>
          </w:p>
        </w:tc>
      </w:tr>
      <w:tr w:rsidR="008162EB" w14:paraId="45F2CAC4"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151DF0FE" w14:textId="77777777" w:rsidR="008162EB" w:rsidRPr="00456D04" w:rsidRDefault="008162EB" w:rsidP="005365D9">
            <w:pPr>
              <w:rPr>
                <w:color w:val="auto"/>
              </w:rPr>
            </w:pPr>
            <w:r w:rsidRPr="00FD396A">
              <w:t>RECIST</w:t>
            </w:r>
          </w:p>
        </w:tc>
        <w:tc>
          <w:tcPr>
            <w:tcW w:w="3987" w:type="pct"/>
            <w:gridSpan w:val="2"/>
            <w:tcBorders>
              <w:top w:val="single" w:sz="8" w:space="0" w:color="002C47"/>
              <w:left w:val="single" w:sz="8" w:space="0" w:color="002C47"/>
              <w:bottom w:val="single" w:sz="8" w:space="0" w:color="002C47"/>
              <w:right w:val="single" w:sz="8" w:space="0" w:color="002C47"/>
            </w:tcBorders>
          </w:tcPr>
          <w:p w14:paraId="38B2FF24" w14:textId="77777777" w:rsidR="008162EB" w:rsidRPr="00456D04" w:rsidRDefault="008162EB" w:rsidP="005365D9">
            <w:pPr>
              <w:rPr>
                <w:color w:val="auto"/>
              </w:rPr>
            </w:pPr>
            <w:r w:rsidRPr="008954A6">
              <w:t>Response Evaluation Criteria in Solid Tumours</w:t>
            </w:r>
          </w:p>
        </w:tc>
      </w:tr>
      <w:tr w:rsidR="008162EB" w14:paraId="31FF6E89"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0E598E02" w14:textId="70CAAFBD" w:rsidR="008162EB" w:rsidRPr="00456D04" w:rsidRDefault="008162EB" w:rsidP="008639A2">
            <w:r w:rsidRPr="002E4474">
              <w:t>t</w:t>
            </w:r>
            <w:r w:rsidR="008639A2">
              <w:rPr>
                <w:vertAlign w:val="subscript"/>
              </w:rPr>
              <w:t>1/2</w:t>
            </w:r>
          </w:p>
        </w:tc>
        <w:tc>
          <w:tcPr>
            <w:tcW w:w="3987" w:type="pct"/>
            <w:gridSpan w:val="2"/>
            <w:tcBorders>
              <w:top w:val="single" w:sz="8" w:space="0" w:color="002C47"/>
              <w:left w:val="single" w:sz="8" w:space="0" w:color="002C47"/>
              <w:bottom w:val="single" w:sz="8" w:space="0" w:color="002C47"/>
              <w:right w:val="single" w:sz="8" w:space="0" w:color="002C47"/>
            </w:tcBorders>
          </w:tcPr>
          <w:p w14:paraId="1CA99D2C" w14:textId="77777777" w:rsidR="008162EB" w:rsidRPr="00456D04" w:rsidRDefault="008162EB" w:rsidP="005365D9">
            <w:r>
              <w:t>H</w:t>
            </w:r>
            <w:r w:rsidRPr="00A61030">
              <w:t>alf-life</w:t>
            </w:r>
          </w:p>
        </w:tc>
      </w:tr>
      <w:tr w:rsidR="008162EB" w14:paraId="6B251877"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2F405789" w14:textId="77777777" w:rsidR="008162EB" w:rsidRPr="00456D04" w:rsidRDefault="008162EB" w:rsidP="005365D9">
            <w:pPr>
              <w:rPr>
                <w:color w:val="auto"/>
              </w:rPr>
            </w:pPr>
            <w:r w:rsidRPr="00456D04">
              <w:rPr>
                <w:color w:val="auto"/>
              </w:rPr>
              <w:t>TGA</w:t>
            </w:r>
          </w:p>
        </w:tc>
        <w:tc>
          <w:tcPr>
            <w:tcW w:w="3987" w:type="pct"/>
            <w:gridSpan w:val="2"/>
            <w:tcBorders>
              <w:top w:val="single" w:sz="8" w:space="0" w:color="002C47"/>
              <w:left w:val="single" w:sz="8" w:space="0" w:color="002C47"/>
              <w:bottom w:val="single" w:sz="8" w:space="0" w:color="002C47"/>
              <w:right w:val="single" w:sz="8" w:space="0" w:color="002C47"/>
            </w:tcBorders>
          </w:tcPr>
          <w:p w14:paraId="526AED79" w14:textId="77777777" w:rsidR="008162EB" w:rsidRPr="00456D04" w:rsidRDefault="008162EB" w:rsidP="005365D9">
            <w:pPr>
              <w:rPr>
                <w:color w:val="auto"/>
              </w:rPr>
            </w:pPr>
            <w:r w:rsidRPr="00456D04">
              <w:rPr>
                <w:color w:val="auto"/>
              </w:rPr>
              <w:t>Therapeutic Goods Administration</w:t>
            </w:r>
          </w:p>
        </w:tc>
      </w:tr>
      <w:tr w:rsidR="008162EB" w14:paraId="3BE83D64" w14:textId="77777777" w:rsidTr="005365D9">
        <w:trPr>
          <w:cantSplit/>
        </w:trPr>
        <w:tc>
          <w:tcPr>
            <w:tcW w:w="1013" w:type="pct"/>
            <w:tcBorders>
              <w:top w:val="single" w:sz="8" w:space="0" w:color="002C47"/>
              <w:left w:val="single" w:sz="8" w:space="0" w:color="002C47"/>
              <w:bottom w:val="single" w:sz="8" w:space="0" w:color="002C47"/>
              <w:right w:val="single" w:sz="8" w:space="0" w:color="002C47"/>
            </w:tcBorders>
          </w:tcPr>
          <w:p w14:paraId="09288173" w14:textId="7203D693" w:rsidR="008162EB" w:rsidRPr="00F7208E" w:rsidRDefault="008162EB" w:rsidP="005365D9">
            <w:pPr>
              <w:rPr>
                <w:highlight w:val="yellow"/>
              </w:rPr>
            </w:pPr>
            <w:proofErr w:type="spellStart"/>
            <w:r w:rsidRPr="004263BA">
              <w:t>V</w:t>
            </w:r>
            <w:r w:rsidRPr="00E31C97">
              <w:rPr>
                <w:vertAlign w:val="subscript"/>
              </w:rPr>
              <w:t>z</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71FAC1C3" w14:textId="77777777" w:rsidR="008162EB" w:rsidRPr="00F7208E" w:rsidRDefault="008162EB" w:rsidP="005365D9">
            <w:pPr>
              <w:rPr>
                <w:highlight w:val="yellow"/>
              </w:rPr>
            </w:pPr>
            <w:r>
              <w:t>V</w:t>
            </w:r>
            <w:r w:rsidRPr="004263BA">
              <w:t>olume of distribution during terminal phase</w:t>
            </w:r>
          </w:p>
        </w:tc>
      </w:tr>
      <w:bookmarkEnd w:id="5"/>
    </w:tbl>
    <w:p w14:paraId="37A9406E" w14:textId="32FABD64" w:rsidR="00833ED8" w:rsidRPr="008162EB" w:rsidRDefault="00833ED8" w:rsidP="008162EB"/>
    <w:p w14:paraId="51A91F8A" w14:textId="3F7AFE2B" w:rsidR="00FD119B" w:rsidRPr="00FD119B" w:rsidRDefault="00FD119B" w:rsidP="00FD119B">
      <w:pPr>
        <w:spacing w:before="0" w:after="200" w:line="0" w:lineRule="auto"/>
        <w:rPr>
          <w:b/>
          <w:i/>
          <w:sz w:val="24"/>
          <w:szCs w:val="24"/>
        </w:rPr>
      </w:pPr>
      <w:r w:rsidRPr="00FD119B">
        <w:rPr>
          <w:b/>
          <w:i/>
          <w:sz w:val="24"/>
          <w:szCs w:val="24"/>
        </w:rPr>
        <w:br w:type="page"/>
      </w:r>
    </w:p>
    <w:p w14:paraId="6B8E9A13" w14:textId="77777777" w:rsidR="008E7846" w:rsidRDefault="009F2673" w:rsidP="008E7846">
      <w:pPr>
        <w:pStyle w:val="Heading2"/>
      </w:pPr>
      <w:bookmarkStart w:id="7" w:name="_Toc132710831"/>
      <w:r>
        <w:lastRenderedPageBreak/>
        <w:t>Pr</w:t>
      </w:r>
      <w:r w:rsidR="008E7846">
        <w:t>oduct submission</w:t>
      </w:r>
      <w:bookmarkEnd w:id="7"/>
      <w:bookmarkEnd w:id="0"/>
      <w:bookmarkEnd w:id="2"/>
    </w:p>
    <w:p w14:paraId="66C0A9DF" w14:textId="77777777" w:rsidR="008E7846" w:rsidRDefault="008E7846" w:rsidP="009E5A87">
      <w:pPr>
        <w:pStyle w:val="Heading3"/>
        <w:rPr>
          <w:lang w:eastAsia="en-AU"/>
        </w:rPr>
      </w:pPr>
      <w:bookmarkStart w:id="8" w:name="_Toc247691502"/>
      <w:bookmarkStart w:id="9" w:name="_Toc314842483"/>
      <w:bookmarkStart w:id="10" w:name="_Toc132710832"/>
      <w:r>
        <w:rPr>
          <w:lang w:eastAsia="en-AU"/>
        </w:rPr>
        <w:t>Submission details</w:t>
      </w:r>
      <w:bookmarkEnd w:id="8"/>
      <w:bookmarkEnd w:id="9"/>
      <w:bookmarkEnd w:id="10"/>
    </w:p>
    <w:tbl>
      <w:tblPr>
        <w:tblW w:w="5000" w:type="pct"/>
        <w:tblLook w:val="01E0" w:firstRow="1" w:lastRow="1" w:firstColumn="1" w:lastColumn="1" w:noHBand="0" w:noVBand="0"/>
      </w:tblPr>
      <w:tblGrid>
        <w:gridCol w:w="2682"/>
        <w:gridCol w:w="5822"/>
      </w:tblGrid>
      <w:tr w:rsidR="009F2673" w:rsidRPr="003D1E62" w14:paraId="3313B239" w14:textId="77777777" w:rsidTr="00106F93">
        <w:tc>
          <w:tcPr>
            <w:tcW w:w="1577" w:type="pct"/>
          </w:tcPr>
          <w:p w14:paraId="0841C474" w14:textId="77777777" w:rsidR="009F2673" w:rsidRPr="003D1E62" w:rsidRDefault="009F2673" w:rsidP="009E5A87">
            <w:pPr>
              <w:rPr>
                <w:i/>
              </w:rPr>
            </w:pPr>
            <w:r>
              <w:rPr>
                <w:i/>
              </w:rPr>
              <w:t>Type of s</w:t>
            </w:r>
            <w:r w:rsidRPr="003D1E62">
              <w:rPr>
                <w:i/>
              </w:rPr>
              <w:t>ubmission</w:t>
            </w:r>
            <w:r>
              <w:rPr>
                <w:i/>
              </w:rPr>
              <w:t>:</w:t>
            </w:r>
          </w:p>
        </w:tc>
        <w:tc>
          <w:tcPr>
            <w:tcW w:w="3423" w:type="pct"/>
          </w:tcPr>
          <w:p w14:paraId="5E1A53F4" w14:textId="465BF684" w:rsidR="009F2673" w:rsidRPr="003D1E62" w:rsidRDefault="00662158" w:rsidP="009E5A87">
            <w:r w:rsidRPr="00662158">
              <w:t>New biosimilar medicine</w:t>
            </w:r>
          </w:p>
        </w:tc>
      </w:tr>
      <w:tr w:rsidR="009F2673" w:rsidRPr="003D1E62" w14:paraId="6CDD139C" w14:textId="77777777" w:rsidTr="00106F93">
        <w:tc>
          <w:tcPr>
            <w:tcW w:w="1577" w:type="pct"/>
          </w:tcPr>
          <w:p w14:paraId="15A914D8" w14:textId="2B0ADA97" w:rsidR="009F2673" w:rsidRPr="003D1E62" w:rsidRDefault="009F2673" w:rsidP="009E5A87">
            <w:pPr>
              <w:rPr>
                <w:i/>
              </w:rPr>
            </w:pPr>
            <w:r w:rsidRPr="00460036">
              <w:rPr>
                <w:i/>
              </w:rPr>
              <w:t>Product names:</w:t>
            </w:r>
          </w:p>
        </w:tc>
        <w:tc>
          <w:tcPr>
            <w:tcW w:w="3423" w:type="pct"/>
          </w:tcPr>
          <w:p w14:paraId="129157AC" w14:textId="4F6AE35E" w:rsidR="009F2673" w:rsidRPr="003D1E62" w:rsidRDefault="00116EBF" w:rsidP="009E5A87">
            <w:r>
              <w:t>Trastucip and Tuzucip</w:t>
            </w:r>
          </w:p>
        </w:tc>
      </w:tr>
      <w:tr w:rsidR="009F2673" w:rsidRPr="003D1E62" w14:paraId="424330D5" w14:textId="77777777" w:rsidTr="00106F93">
        <w:tc>
          <w:tcPr>
            <w:tcW w:w="1577" w:type="pct"/>
          </w:tcPr>
          <w:p w14:paraId="7846355D" w14:textId="510CFD9E" w:rsidR="009F2673" w:rsidRPr="003D1E62" w:rsidRDefault="009F2673" w:rsidP="009E5A87">
            <w:pPr>
              <w:rPr>
                <w:i/>
              </w:rPr>
            </w:pPr>
            <w:r w:rsidRPr="00460036">
              <w:rPr>
                <w:i/>
              </w:rPr>
              <w:t>Active ingredient:</w:t>
            </w:r>
          </w:p>
        </w:tc>
        <w:tc>
          <w:tcPr>
            <w:tcW w:w="3423" w:type="pct"/>
          </w:tcPr>
          <w:p w14:paraId="387A2DFE" w14:textId="4949AEE2" w:rsidR="009F2673" w:rsidRPr="003D1E62" w:rsidRDefault="00116EBF" w:rsidP="009E5A87">
            <w:r>
              <w:rPr>
                <w:rFonts w:asciiTheme="minorHAnsi" w:hAnsiTheme="minorHAnsi"/>
              </w:rPr>
              <w:t>T</w:t>
            </w:r>
            <w:r w:rsidRPr="003A46B3">
              <w:rPr>
                <w:rFonts w:asciiTheme="minorHAnsi" w:hAnsiTheme="minorHAnsi"/>
              </w:rPr>
              <w:t>rastuzumab</w:t>
            </w:r>
          </w:p>
        </w:tc>
      </w:tr>
      <w:tr w:rsidR="009F2673" w:rsidRPr="003D1E62" w14:paraId="3616C1B1" w14:textId="77777777" w:rsidTr="00106F93">
        <w:tc>
          <w:tcPr>
            <w:tcW w:w="1577" w:type="pct"/>
          </w:tcPr>
          <w:p w14:paraId="26B520C4" w14:textId="77777777" w:rsidR="009F2673" w:rsidRPr="009F2673" w:rsidRDefault="009F2673" w:rsidP="009E5A87">
            <w:pPr>
              <w:rPr>
                <w:i/>
              </w:rPr>
            </w:pPr>
            <w:r w:rsidRPr="003D1E62">
              <w:rPr>
                <w:i/>
              </w:rPr>
              <w:t>Decision</w:t>
            </w:r>
            <w:r w:rsidRPr="009F2673">
              <w:rPr>
                <w:i/>
              </w:rPr>
              <w:t>:</w:t>
            </w:r>
          </w:p>
        </w:tc>
        <w:tc>
          <w:tcPr>
            <w:tcW w:w="3423" w:type="pct"/>
          </w:tcPr>
          <w:p w14:paraId="0DB6BA53" w14:textId="63A4141A" w:rsidR="009F2673" w:rsidRPr="003D1E62" w:rsidRDefault="009F2673" w:rsidP="009E5A87">
            <w:r w:rsidRPr="00460036">
              <w:t>Approved</w:t>
            </w:r>
          </w:p>
        </w:tc>
      </w:tr>
      <w:tr w:rsidR="009F2673" w:rsidRPr="003D1E62" w14:paraId="75360063" w14:textId="77777777" w:rsidTr="00106F93">
        <w:tc>
          <w:tcPr>
            <w:tcW w:w="1577" w:type="pct"/>
          </w:tcPr>
          <w:p w14:paraId="22117E57" w14:textId="77777777" w:rsidR="009F2673" w:rsidRPr="003D1E62" w:rsidRDefault="009F2673" w:rsidP="009E5A87">
            <w:pPr>
              <w:rPr>
                <w:i/>
              </w:rPr>
            </w:pPr>
            <w:r w:rsidRPr="003D1E62">
              <w:rPr>
                <w:i/>
              </w:rPr>
              <w:t xml:space="preserve">Date of </w:t>
            </w:r>
            <w:r>
              <w:rPr>
                <w:i/>
              </w:rPr>
              <w:t>d</w:t>
            </w:r>
            <w:r w:rsidRPr="003D1E62">
              <w:rPr>
                <w:i/>
              </w:rPr>
              <w:t>ecision:</w:t>
            </w:r>
          </w:p>
        </w:tc>
        <w:tc>
          <w:tcPr>
            <w:tcW w:w="3423" w:type="pct"/>
          </w:tcPr>
          <w:p w14:paraId="14289DAF" w14:textId="6883D234" w:rsidR="009F2673" w:rsidRPr="003D1E62" w:rsidRDefault="00B75F4C" w:rsidP="009E5A87">
            <w:r>
              <w:t>7 July</w:t>
            </w:r>
            <w:r w:rsidR="00116EBF">
              <w:t xml:space="preserve"> 2022</w:t>
            </w:r>
          </w:p>
        </w:tc>
      </w:tr>
      <w:tr w:rsidR="009F2673" w:rsidRPr="003D1E62" w14:paraId="784F6DD5" w14:textId="77777777" w:rsidTr="00106F93">
        <w:tc>
          <w:tcPr>
            <w:tcW w:w="1577" w:type="pct"/>
          </w:tcPr>
          <w:p w14:paraId="33B9D08C" w14:textId="77777777" w:rsidR="009F2673" w:rsidRPr="00441C3F" w:rsidRDefault="009F2673" w:rsidP="009E5A87">
            <w:pPr>
              <w:rPr>
                <w:i/>
              </w:rPr>
            </w:pPr>
            <w:r w:rsidRPr="00441C3F">
              <w:rPr>
                <w:i/>
              </w:rPr>
              <w:t>Date of entry onto ARTG</w:t>
            </w:r>
            <w:r>
              <w:rPr>
                <w:i/>
              </w:rPr>
              <w:t>:</w:t>
            </w:r>
          </w:p>
        </w:tc>
        <w:tc>
          <w:tcPr>
            <w:tcW w:w="3423" w:type="pct"/>
          </w:tcPr>
          <w:p w14:paraId="7A826AFD" w14:textId="0F34E373" w:rsidR="009F2673" w:rsidRPr="009F2673" w:rsidRDefault="00662158" w:rsidP="009E5A87">
            <w:r>
              <w:t>18 July 2022</w:t>
            </w:r>
          </w:p>
        </w:tc>
      </w:tr>
      <w:tr w:rsidR="009F2673" w:rsidRPr="003D1E62" w14:paraId="5C82E87B" w14:textId="77777777" w:rsidTr="00106F93">
        <w:tc>
          <w:tcPr>
            <w:tcW w:w="1577" w:type="pct"/>
          </w:tcPr>
          <w:p w14:paraId="1A358363" w14:textId="7DFB9F3D" w:rsidR="009F2673" w:rsidRPr="00441C3F" w:rsidRDefault="009F2673" w:rsidP="009E5A87">
            <w:pPr>
              <w:rPr>
                <w:i/>
              </w:rPr>
            </w:pPr>
            <w:r>
              <w:rPr>
                <w:i/>
              </w:rPr>
              <w:t>ARTG numbers:</w:t>
            </w:r>
          </w:p>
        </w:tc>
        <w:tc>
          <w:tcPr>
            <w:tcW w:w="3423" w:type="pct"/>
          </w:tcPr>
          <w:p w14:paraId="11FE1BF3" w14:textId="05295F46" w:rsidR="009F2673" w:rsidRPr="00441C3F" w:rsidRDefault="00116EBF" w:rsidP="009E5A87">
            <w:r>
              <w:t>368972 and 368990</w:t>
            </w:r>
          </w:p>
        </w:tc>
      </w:tr>
      <w:tr w:rsidR="009F2673" w:rsidRPr="003D1E62" w14:paraId="67E59854" w14:textId="77777777" w:rsidTr="00106F93">
        <w:tc>
          <w:tcPr>
            <w:tcW w:w="1577" w:type="pct"/>
          </w:tcPr>
          <w:p w14:paraId="251DA129" w14:textId="2C8FF373" w:rsidR="009F2673" w:rsidRDefault="001B1DA4" w:rsidP="009E5A87">
            <w:pPr>
              <w:rPr>
                <w:i/>
              </w:rPr>
            </w:pPr>
            <w:r>
              <w:rPr>
                <w:rFonts w:ascii="Wingdings 3" w:hAnsi="Wingdings 3"/>
                <w:sz w:val="34"/>
                <w:szCs w:val="34"/>
                <w:lang w:eastAsia="en-AU"/>
              </w:rPr>
              <w:t></w:t>
            </w:r>
            <w:hyperlink r:id="rId14" w:history="1">
              <w:r w:rsidR="009F2673" w:rsidRPr="009F2673">
                <w:rPr>
                  <w:rStyle w:val="Hyperlink"/>
                  <w:i/>
                </w:rPr>
                <w:t>Black Triangle Scheme</w:t>
              </w:r>
            </w:hyperlink>
            <w:r w:rsidR="009F2673">
              <w:rPr>
                <w:i/>
              </w:rPr>
              <w:t>:</w:t>
            </w:r>
          </w:p>
        </w:tc>
        <w:tc>
          <w:tcPr>
            <w:tcW w:w="3423" w:type="pct"/>
          </w:tcPr>
          <w:p w14:paraId="75DAD9E2" w14:textId="2F5DFF50" w:rsidR="009F2673" w:rsidRPr="00487162" w:rsidRDefault="009F2673" w:rsidP="009E5A87">
            <w:r>
              <w:t>No</w:t>
            </w:r>
          </w:p>
        </w:tc>
      </w:tr>
      <w:tr w:rsidR="009F2673" w:rsidRPr="003D1E62" w14:paraId="0DFE4D2C" w14:textId="77777777" w:rsidTr="00106F93">
        <w:tc>
          <w:tcPr>
            <w:tcW w:w="1577" w:type="pct"/>
          </w:tcPr>
          <w:p w14:paraId="6E11B7A3" w14:textId="77777777" w:rsidR="009F2673" w:rsidRPr="009F2673" w:rsidRDefault="009F2673" w:rsidP="009E5A87">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73524877" w14:textId="77777777" w:rsidR="009F2673" w:rsidRPr="00B75F4C" w:rsidRDefault="00B75F4C" w:rsidP="00B75F4C">
            <w:r w:rsidRPr="00B75F4C">
              <w:t>Cipla Australia Pty Ltd</w:t>
            </w:r>
          </w:p>
          <w:p w14:paraId="64E67FEA" w14:textId="1EC6C4BE" w:rsidR="00B75F4C" w:rsidRPr="00B75F4C" w:rsidRDefault="00B75F4C" w:rsidP="00B75F4C">
            <w:r w:rsidRPr="00B75F4C">
              <w:t xml:space="preserve">Level 1/132-136 Albert </w:t>
            </w:r>
            <w:r w:rsidR="0008538B">
              <w:t>R</w:t>
            </w:r>
            <w:r w:rsidRPr="00B75F4C">
              <w:t>oad,</w:t>
            </w:r>
          </w:p>
          <w:p w14:paraId="38BEE259" w14:textId="5E0B667F" w:rsidR="00B75F4C" w:rsidRDefault="00B75F4C" w:rsidP="00B75F4C">
            <w:r w:rsidRPr="00B75F4C">
              <w:t>South Melbourne, VIC</w:t>
            </w:r>
            <w:r w:rsidR="00C6747E">
              <w:t>,</w:t>
            </w:r>
            <w:r w:rsidRPr="00B75F4C">
              <w:t xml:space="preserve"> 3205</w:t>
            </w:r>
          </w:p>
        </w:tc>
      </w:tr>
      <w:tr w:rsidR="009F2673" w:rsidRPr="003D1E62" w14:paraId="7C4796A4" w14:textId="77777777" w:rsidTr="00106F93">
        <w:tc>
          <w:tcPr>
            <w:tcW w:w="1577" w:type="pct"/>
          </w:tcPr>
          <w:p w14:paraId="6FE3467B" w14:textId="57F99E62" w:rsidR="009F2673" w:rsidRPr="00487162" w:rsidRDefault="009F2673" w:rsidP="009E5A87">
            <w:pPr>
              <w:rPr>
                <w:i/>
              </w:rPr>
            </w:pPr>
            <w:r>
              <w:rPr>
                <w:i/>
              </w:rPr>
              <w:t>Dose form:</w:t>
            </w:r>
          </w:p>
        </w:tc>
        <w:tc>
          <w:tcPr>
            <w:tcW w:w="3423" w:type="pct"/>
          </w:tcPr>
          <w:p w14:paraId="7D13D10B" w14:textId="72DAD141" w:rsidR="009F2673" w:rsidRDefault="00B75F4C" w:rsidP="009E5A87">
            <w:r w:rsidRPr="00F526B8">
              <w:t>Powder for injection</w:t>
            </w:r>
            <w:r>
              <w:t xml:space="preserve"> for intravenous infusion</w:t>
            </w:r>
          </w:p>
        </w:tc>
      </w:tr>
      <w:tr w:rsidR="009F2673" w:rsidRPr="003D1E62" w14:paraId="6B9BA6AF" w14:textId="77777777" w:rsidTr="00106F93">
        <w:tc>
          <w:tcPr>
            <w:tcW w:w="1577" w:type="pct"/>
          </w:tcPr>
          <w:p w14:paraId="616B1753" w14:textId="7AF9C785" w:rsidR="009F2673" w:rsidRPr="00487162" w:rsidRDefault="009F2673" w:rsidP="009E5A87">
            <w:pPr>
              <w:rPr>
                <w:i/>
              </w:rPr>
            </w:pPr>
            <w:r w:rsidRPr="00487162">
              <w:rPr>
                <w:i/>
              </w:rPr>
              <w:t>Strength:</w:t>
            </w:r>
          </w:p>
        </w:tc>
        <w:tc>
          <w:tcPr>
            <w:tcW w:w="3423" w:type="pct"/>
          </w:tcPr>
          <w:p w14:paraId="646AADD5" w14:textId="2A0AA4CF" w:rsidR="009F2673" w:rsidRDefault="00B75F4C" w:rsidP="009E5A87">
            <w:r>
              <w:t>150 mg</w:t>
            </w:r>
          </w:p>
        </w:tc>
      </w:tr>
      <w:tr w:rsidR="009F2673" w:rsidRPr="003D1E62" w14:paraId="00AD597B" w14:textId="77777777" w:rsidTr="00106F93">
        <w:tc>
          <w:tcPr>
            <w:tcW w:w="1577" w:type="pct"/>
          </w:tcPr>
          <w:p w14:paraId="4D566D67" w14:textId="5B12E7BC" w:rsidR="009F2673" w:rsidRPr="00487162" w:rsidRDefault="009F2673" w:rsidP="009E5A87">
            <w:pPr>
              <w:rPr>
                <w:i/>
              </w:rPr>
            </w:pPr>
            <w:r w:rsidRPr="00487162">
              <w:rPr>
                <w:i/>
              </w:rPr>
              <w:t>Container:</w:t>
            </w:r>
          </w:p>
        </w:tc>
        <w:tc>
          <w:tcPr>
            <w:tcW w:w="3423" w:type="pct"/>
          </w:tcPr>
          <w:p w14:paraId="07AFDC91" w14:textId="6CFF8CCB" w:rsidR="009F2673" w:rsidRDefault="00B75F4C" w:rsidP="009E5A87">
            <w:r>
              <w:t>Vial</w:t>
            </w:r>
          </w:p>
        </w:tc>
      </w:tr>
      <w:tr w:rsidR="009F2673" w:rsidRPr="003D1E62" w14:paraId="4C74B00A" w14:textId="77777777" w:rsidTr="00106F93">
        <w:tc>
          <w:tcPr>
            <w:tcW w:w="1577" w:type="pct"/>
          </w:tcPr>
          <w:p w14:paraId="154E7D02" w14:textId="26477E24" w:rsidR="009F2673" w:rsidRPr="00487162" w:rsidRDefault="009F2673" w:rsidP="009E5A87">
            <w:pPr>
              <w:rPr>
                <w:i/>
              </w:rPr>
            </w:pPr>
            <w:r w:rsidRPr="00487162">
              <w:rPr>
                <w:i/>
              </w:rPr>
              <w:t>Pack size:</w:t>
            </w:r>
          </w:p>
        </w:tc>
        <w:tc>
          <w:tcPr>
            <w:tcW w:w="3423" w:type="pct"/>
          </w:tcPr>
          <w:p w14:paraId="7F1E677A" w14:textId="5A9C2C89" w:rsidR="009F2673" w:rsidRDefault="00B75F4C" w:rsidP="009E5A87">
            <w:r>
              <w:t>One</w:t>
            </w:r>
          </w:p>
        </w:tc>
      </w:tr>
      <w:tr w:rsidR="009F2673" w:rsidRPr="003D1E62" w14:paraId="0C347AA1" w14:textId="77777777" w:rsidTr="00106F93">
        <w:tc>
          <w:tcPr>
            <w:tcW w:w="1577" w:type="pct"/>
          </w:tcPr>
          <w:p w14:paraId="3392437B" w14:textId="77777777" w:rsidR="009F2673" w:rsidRPr="00487162" w:rsidRDefault="009F2673" w:rsidP="009E5A87">
            <w:pPr>
              <w:rPr>
                <w:i/>
              </w:rPr>
            </w:pPr>
            <w:r w:rsidRPr="00487162">
              <w:rPr>
                <w:i/>
              </w:rPr>
              <w:t xml:space="preserve">Approved </w:t>
            </w:r>
            <w:r>
              <w:rPr>
                <w:i/>
              </w:rPr>
              <w:t>t</w:t>
            </w:r>
            <w:r w:rsidRPr="00487162">
              <w:rPr>
                <w:i/>
              </w:rPr>
              <w:t>herapeutic use:</w:t>
            </w:r>
          </w:p>
        </w:tc>
        <w:tc>
          <w:tcPr>
            <w:tcW w:w="3423" w:type="pct"/>
          </w:tcPr>
          <w:p w14:paraId="6C275B33" w14:textId="06E2A687" w:rsidR="00B75F4C" w:rsidRPr="004E576E" w:rsidRDefault="00B75F4C" w:rsidP="00B75F4C">
            <w:pPr>
              <w:rPr>
                <w:b/>
                <w:i/>
                <w:iCs/>
              </w:rPr>
            </w:pPr>
            <w:r w:rsidRPr="004E576E">
              <w:rPr>
                <w:b/>
                <w:i/>
                <w:iCs/>
              </w:rPr>
              <w:t>Early breast cancer</w:t>
            </w:r>
          </w:p>
          <w:p w14:paraId="3CE2B2AE" w14:textId="4E5166C1" w:rsidR="00B75F4C" w:rsidRPr="00B75F4C" w:rsidRDefault="00B75F4C" w:rsidP="00B75F4C">
            <w:pPr>
              <w:rPr>
                <w:i/>
                <w:iCs/>
              </w:rPr>
            </w:pPr>
            <w:r w:rsidRPr="00B75F4C">
              <w:rPr>
                <w:i/>
                <w:iCs/>
              </w:rPr>
              <w:t>Trastucip and Tuzucip is indicated for the treatment of HER2-positive early breast cancer following surgery, and in association with chemotherapy and, if applicable, radiotherapy.</w:t>
            </w:r>
          </w:p>
          <w:p w14:paraId="4A3FDD4E" w14:textId="23DFE377" w:rsidR="00B75F4C" w:rsidRPr="004E576E" w:rsidRDefault="00B75F4C" w:rsidP="00B75F4C">
            <w:pPr>
              <w:rPr>
                <w:b/>
                <w:i/>
                <w:iCs/>
              </w:rPr>
            </w:pPr>
            <w:r w:rsidRPr="004E576E">
              <w:rPr>
                <w:b/>
                <w:i/>
                <w:iCs/>
              </w:rPr>
              <w:t>Locally advanced breast cancer</w:t>
            </w:r>
          </w:p>
          <w:p w14:paraId="0F19D068" w14:textId="790F94AD" w:rsidR="00B75F4C" w:rsidRPr="00106F93" w:rsidRDefault="00B75F4C" w:rsidP="00B75F4C">
            <w:pPr>
              <w:rPr>
                <w:i/>
                <w:iCs/>
              </w:rPr>
            </w:pPr>
            <w:r w:rsidRPr="00106F93">
              <w:rPr>
                <w:i/>
                <w:iCs/>
              </w:rPr>
              <w:t>Trastucip and Tuzucip are indicated for the treatment of HER2-positive locally advanced breast cancer in combination with neoadjuvant chemotherapy followed by adjuvant T</w:t>
            </w:r>
            <w:r w:rsidR="00106F93" w:rsidRPr="00106F93">
              <w:rPr>
                <w:i/>
                <w:iCs/>
              </w:rPr>
              <w:t>rastucip</w:t>
            </w:r>
            <w:r w:rsidRPr="00106F93">
              <w:rPr>
                <w:i/>
                <w:iCs/>
              </w:rPr>
              <w:t xml:space="preserve"> and T</w:t>
            </w:r>
            <w:r w:rsidR="00106F93" w:rsidRPr="00106F93">
              <w:rPr>
                <w:i/>
                <w:iCs/>
              </w:rPr>
              <w:t>uzucip</w:t>
            </w:r>
            <w:r w:rsidRPr="00106F93">
              <w:rPr>
                <w:i/>
                <w:iCs/>
              </w:rPr>
              <w:t>.</w:t>
            </w:r>
          </w:p>
          <w:p w14:paraId="41694640" w14:textId="77777777" w:rsidR="00B75F4C" w:rsidRPr="004E576E" w:rsidRDefault="00B75F4C" w:rsidP="00B75F4C">
            <w:pPr>
              <w:rPr>
                <w:b/>
                <w:i/>
                <w:iCs/>
              </w:rPr>
            </w:pPr>
            <w:r w:rsidRPr="004E576E">
              <w:rPr>
                <w:b/>
                <w:i/>
                <w:iCs/>
              </w:rPr>
              <w:t>Metastatic breast cancer</w:t>
            </w:r>
          </w:p>
          <w:p w14:paraId="1741B0C9" w14:textId="2081DA05" w:rsidR="00B75F4C" w:rsidRPr="00106F93" w:rsidRDefault="00B75F4C" w:rsidP="00B75F4C">
            <w:pPr>
              <w:rPr>
                <w:i/>
                <w:iCs/>
              </w:rPr>
            </w:pPr>
            <w:r w:rsidRPr="00106F93">
              <w:rPr>
                <w:i/>
                <w:iCs/>
              </w:rPr>
              <w:t>T</w:t>
            </w:r>
            <w:r w:rsidR="00106F93" w:rsidRPr="00106F93">
              <w:rPr>
                <w:i/>
                <w:iCs/>
              </w:rPr>
              <w:t>rastucip</w:t>
            </w:r>
            <w:r w:rsidRPr="00106F93">
              <w:rPr>
                <w:i/>
                <w:iCs/>
              </w:rPr>
              <w:t xml:space="preserve"> and T</w:t>
            </w:r>
            <w:r w:rsidR="00106F93" w:rsidRPr="00106F93">
              <w:rPr>
                <w:i/>
                <w:iCs/>
              </w:rPr>
              <w:t>uzucip</w:t>
            </w:r>
            <w:r w:rsidRPr="00106F93">
              <w:rPr>
                <w:i/>
                <w:iCs/>
              </w:rPr>
              <w:t xml:space="preserve"> are indicated for the treatment of patients with metastatic breast cancer who have tumours that overexpress HER2:</w:t>
            </w:r>
          </w:p>
          <w:p w14:paraId="4E27D647" w14:textId="77777777" w:rsidR="00B75F4C" w:rsidRPr="00106F93" w:rsidRDefault="00B75F4C" w:rsidP="00B75F4C">
            <w:pPr>
              <w:rPr>
                <w:i/>
                <w:iCs/>
              </w:rPr>
            </w:pPr>
            <w:r w:rsidRPr="00106F93">
              <w:rPr>
                <w:i/>
                <w:iCs/>
              </w:rPr>
              <w:t xml:space="preserve">a) as monotherapy for the treatment of those patients who have received one or more chemotherapy regimens for their metastatic </w:t>
            </w:r>
            <w:proofErr w:type="gramStart"/>
            <w:r w:rsidRPr="00106F93">
              <w:rPr>
                <w:i/>
                <w:iCs/>
              </w:rPr>
              <w:t>disease;</w:t>
            </w:r>
            <w:proofErr w:type="gramEnd"/>
          </w:p>
          <w:p w14:paraId="695431AA" w14:textId="77777777" w:rsidR="00B75F4C" w:rsidRPr="00106F93" w:rsidRDefault="00B75F4C" w:rsidP="00B75F4C">
            <w:pPr>
              <w:rPr>
                <w:i/>
                <w:iCs/>
              </w:rPr>
            </w:pPr>
            <w:r w:rsidRPr="00106F93">
              <w:rPr>
                <w:i/>
                <w:iCs/>
              </w:rPr>
              <w:lastRenderedPageBreak/>
              <w:t xml:space="preserve">b) in combination with </w:t>
            </w:r>
            <w:proofErr w:type="spellStart"/>
            <w:r w:rsidRPr="00106F93">
              <w:rPr>
                <w:i/>
                <w:iCs/>
              </w:rPr>
              <w:t>taxanes</w:t>
            </w:r>
            <w:proofErr w:type="spellEnd"/>
            <w:r w:rsidRPr="00106F93">
              <w:rPr>
                <w:i/>
                <w:iCs/>
              </w:rPr>
              <w:t xml:space="preserve"> for the treatment of those patients who have not received chemotherapy for their metastatic disease; or</w:t>
            </w:r>
          </w:p>
          <w:p w14:paraId="1646F59D" w14:textId="3095BC85" w:rsidR="00B75F4C" w:rsidRPr="00B75F4C" w:rsidRDefault="00B75F4C" w:rsidP="00B75F4C">
            <w:r w:rsidRPr="00106F93">
              <w:rPr>
                <w:i/>
                <w:iCs/>
              </w:rPr>
              <w:t>c) in combination with an aromatase inhibitor for the treatment of post-menopausal patients with hormone-receptor positive metastatic breast cancer</w:t>
            </w:r>
          </w:p>
          <w:p w14:paraId="3B494ACC" w14:textId="77777777" w:rsidR="00B75F4C" w:rsidRPr="004E576E" w:rsidRDefault="00B75F4C" w:rsidP="00B75F4C">
            <w:pPr>
              <w:rPr>
                <w:b/>
                <w:i/>
                <w:iCs/>
              </w:rPr>
            </w:pPr>
            <w:r w:rsidRPr="004E576E">
              <w:rPr>
                <w:b/>
                <w:i/>
                <w:iCs/>
              </w:rPr>
              <w:t>Advanced gastric cancer</w:t>
            </w:r>
          </w:p>
          <w:p w14:paraId="0D3382FA" w14:textId="1BC220AB" w:rsidR="009F2673" w:rsidRPr="00B75F4C" w:rsidRDefault="00B75F4C" w:rsidP="00B75F4C">
            <w:r w:rsidRPr="00106F93">
              <w:rPr>
                <w:i/>
                <w:iCs/>
              </w:rPr>
              <w:t>T</w:t>
            </w:r>
            <w:r w:rsidR="00106F93" w:rsidRPr="00106F93">
              <w:rPr>
                <w:i/>
                <w:iCs/>
              </w:rPr>
              <w:t>rastucip</w:t>
            </w:r>
            <w:r w:rsidRPr="00106F93">
              <w:rPr>
                <w:i/>
                <w:iCs/>
              </w:rPr>
              <w:t xml:space="preserve"> and T</w:t>
            </w:r>
            <w:r w:rsidR="00106F93" w:rsidRPr="00106F93">
              <w:rPr>
                <w:i/>
                <w:iCs/>
              </w:rPr>
              <w:t xml:space="preserve">uzucip </w:t>
            </w:r>
            <w:r w:rsidRPr="00106F93">
              <w:rPr>
                <w:i/>
                <w:iCs/>
              </w:rPr>
              <w:t>are indicated in combination with cisplatin and either capecitabine or 5-FU for the treatment of patients with HER2 positive advanced adenocarcinoma of the stomach or gastro-oesophageal junction who have not received prior anti-cancer treatment for their metastatic disease.</w:t>
            </w:r>
          </w:p>
        </w:tc>
      </w:tr>
      <w:tr w:rsidR="009F2673" w:rsidRPr="003D1E62" w14:paraId="1307ED83" w14:textId="77777777" w:rsidTr="00106F93">
        <w:tc>
          <w:tcPr>
            <w:tcW w:w="1577" w:type="pct"/>
          </w:tcPr>
          <w:p w14:paraId="545122BE" w14:textId="2AA852DE" w:rsidR="009F2673" w:rsidRPr="00487162" w:rsidRDefault="009F2673" w:rsidP="009E5A87">
            <w:pPr>
              <w:rPr>
                <w:i/>
              </w:rPr>
            </w:pPr>
            <w:r w:rsidRPr="00487162">
              <w:rPr>
                <w:i/>
              </w:rPr>
              <w:lastRenderedPageBreak/>
              <w:t>Route of administration:</w:t>
            </w:r>
          </w:p>
        </w:tc>
        <w:tc>
          <w:tcPr>
            <w:tcW w:w="3423" w:type="pct"/>
          </w:tcPr>
          <w:p w14:paraId="47AEABF7" w14:textId="0047A8BE" w:rsidR="009F2673" w:rsidRPr="00487162" w:rsidRDefault="00B75F4C" w:rsidP="009E5A87">
            <w:r>
              <w:t>Intravenous infusion</w:t>
            </w:r>
          </w:p>
        </w:tc>
      </w:tr>
      <w:tr w:rsidR="009F2673" w:rsidRPr="003D1E62" w14:paraId="376F26BA" w14:textId="77777777" w:rsidTr="00106F93">
        <w:tc>
          <w:tcPr>
            <w:tcW w:w="1577" w:type="pct"/>
          </w:tcPr>
          <w:p w14:paraId="322F78B5" w14:textId="77777777" w:rsidR="009F2673" w:rsidRPr="00B75F4C" w:rsidRDefault="009F2673" w:rsidP="00B75F4C">
            <w:r w:rsidRPr="00B75F4C">
              <w:t>Dosage:</w:t>
            </w:r>
          </w:p>
        </w:tc>
        <w:tc>
          <w:tcPr>
            <w:tcW w:w="3423" w:type="pct"/>
          </w:tcPr>
          <w:p w14:paraId="6493AD64" w14:textId="36033FE1" w:rsidR="008137B4" w:rsidRDefault="008137B4">
            <w:r>
              <w:t xml:space="preserve">Trastucip </w:t>
            </w:r>
            <w:r w:rsidRPr="008137B4">
              <w:t xml:space="preserve">solution is </w:t>
            </w:r>
            <w:r>
              <w:t xml:space="preserve">for intravenous use only. Trastucip must not be used for subcutaneous administration.  </w:t>
            </w:r>
          </w:p>
          <w:p w14:paraId="1A9A60F3" w14:textId="05EC1B94" w:rsidR="008137B4" w:rsidRDefault="008137B4">
            <w:r>
              <w:t>Trastucip must be administered as an intravenous infusion. Do not administer as an intravenous push or bolus.</w:t>
            </w:r>
          </w:p>
          <w:p w14:paraId="2B2453A7" w14:textId="77777777" w:rsidR="008137B4" w:rsidRDefault="008137B4" w:rsidP="008137B4">
            <w:proofErr w:type="gramStart"/>
            <w:r>
              <w:t>In order to</w:t>
            </w:r>
            <w:proofErr w:type="gramEnd"/>
            <w:r>
              <w:t xml:space="preserve"> prevent medication errors, it is important to check the labels to ensure the correct formulation (intravenous or subcutaneous) is being administered.</w:t>
            </w:r>
          </w:p>
          <w:p w14:paraId="4DEAC2E6" w14:textId="449853EC" w:rsidR="008137B4" w:rsidRDefault="004B18BF">
            <w:r>
              <w:t>Check</w:t>
            </w:r>
            <w:r w:rsidR="008137B4">
              <w:t xml:space="preserve"> the vial labels to ensure the medicine being prepared and administered is trastuzumab and </w:t>
            </w:r>
            <w:r w:rsidR="008137B4" w:rsidRPr="00794BD3">
              <w:rPr>
                <w:i/>
              </w:rPr>
              <w:t>not</w:t>
            </w:r>
            <w:r>
              <w:t xml:space="preserve"> trastuzumab emtansine.</w:t>
            </w:r>
          </w:p>
          <w:p w14:paraId="6A63CA7D" w14:textId="7D44DE85" w:rsidR="004B18BF" w:rsidRDefault="004B18BF">
            <w:r>
              <w:t>See the Product Information for further information.</w:t>
            </w:r>
          </w:p>
          <w:p w14:paraId="37CBEA8B" w14:textId="77777777" w:rsidR="004B18BF" w:rsidRDefault="005365D9" w:rsidP="005365D9">
            <w:r w:rsidRPr="004E576E">
              <w:rPr>
                <w:i/>
              </w:rPr>
              <w:t>HER</w:t>
            </w:r>
            <w:r>
              <w:rPr>
                <w:i/>
              </w:rPr>
              <w:t>2</w:t>
            </w:r>
            <w:r w:rsidRPr="004E576E">
              <w:rPr>
                <w:i/>
              </w:rPr>
              <w:t xml:space="preserve"> testing</w:t>
            </w:r>
          </w:p>
          <w:p w14:paraId="4891A166" w14:textId="4E3C19B5" w:rsidR="005365D9" w:rsidRPr="008137B4" w:rsidRDefault="00B75F4C" w:rsidP="005365D9">
            <w:r w:rsidRPr="00B75F4C">
              <w:t>HER2 testing is mandatory prior to initiation of Tuzucip therapy</w:t>
            </w:r>
            <w:r w:rsidR="005365D9">
              <w:t xml:space="preserve"> (see 4.2 Dosage and method of administration, </w:t>
            </w:r>
            <w:r w:rsidR="005365D9" w:rsidRPr="005365D9">
              <w:t>Detection of HER2 protein overexpression and gene amplification</w:t>
            </w:r>
            <w:r w:rsidR="005365D9">
              <w:t>, of the Product Information for further information).</w:t>
            </w:r>
          </w:p>
          <w:p w14:paraId="6B6EEA37" w14:textId="1293A99D" w:rsidR="00D07095" w:rsidRPr="004E576E" w:rsidRDefault="00D07095" w:rsidP="00D07095">
            <w:pPr>
              <w:rPr>
                <w:i/>
              </w:rPr>
            </w:pPr>
            <w:r w:rsidRPr="004E576E">
              <w:rPr>
                <w:i/>
              </w:rPr>
              <w:t>Early breast cancer</w:t>
            </w:r>
          </w:p>
          <w:p w14:paraId="191C2F2D" w14:textId="77777777" w:rsidR="00D07095" w:rsidRDefault="00D07095" w:rsidP="00D07095">
            <w:r w:rsidRPr="004E576E">
              <w:rPr>
                <w:i/>
              </w:rPr>
              <w:t>Three-weekly schedule</w:t>
            </w:r>
            <w:r>
              <w:t>: the recommended initial loading dose is 8 mg/kg body weight, followed by a maintenance dose of 6 mg/kg body weight administered at 3 weekly intervals.</w:t>
            </w:r>
          </w:p>
          <w:p w14:paraId="29FBD336" w14:textId="674615EE" w:rsidR="004B18BF" w:rsidRPr="004E576E" w:rsidRDefault="00D07095" w:rsidP="00D07095">
            <w:r w:rsidRPr="004E576E">
              <w:rPr>
                <w:i/>
              </w:rPr>
              <w:t>Weekly schedule</w:t>
            </w:r>
            <w:r>
              <w:t>: the recomm</w:t>
            </w:r>
            <w:r w:rsidR="00367DBA">
              <w:t>ended initial loading dose is 4 </w:t>
            </w:r>
            <w:r>
              <w:t>mg/kg body weight, foll</w:t>
            </w:r>
            <w:r w:rsidR="00367DBA">
              <w:t>owed by a maintenance dose of 2 </w:t>
            </w:r>
            <w:r>
              <w:t>mg/kg body weight administered at weekly intervals.</w:t>
            </w:r>
          </w:p>
          <w:p w14:paraId="6E06BF98" w14:textId="42ED7059" w:rsidR="00D07095" w:rsidRPr="004E576E" w:rsidRDefault="00D07095" w:rsidP="00D07095">
            <w:pPr>
              <w:rPr>
                <w:i/>
              </w:rPr>
            </w:pPr>
            <w:r w:rsidRPr="004E576E">
              <w:rPr>
                <w:i/>
              </w:rPr>
              <w:t>Locally advanced breast cancer</w:t>
            </w:r>
          </w:p>
          <w:p w14:paraId="13F1167E" w14:textId="77777777" w:rsidR="00D07095" w:rsidRDefault="00D07095" w:rsidP="00D07095">
            <w:r w:rsidRPr="004E576E">
              <w:rPr>
                <w:i/>
              </w:rPr>
              <w:t>Three-weekly schedule</w:t>
            </w:r>
            <w:r>
              <w:t>: the recommended initial loading dose is 8 mg/kg body weight, followed by a maintenance dose of 6 mg/kg body weight administered at 3 weekly intervals.</w:t>
            </w:r>
          </w:p>
          <w:p w14:paraId="22F8A562" w14:textId="3AA03E54" w:rsidR="00D07095" w:rsidRPr="004E576E" w:rsidRDefault="00D07095" w:rsidP="00D07095">
            <w:pPr>
              <w:rPr>
                <w:i/>
              </w:rPr>
            </w:pPr>
            <w:r w:rsidRPr="004E576E">
              <w:rPr>
                <w:i/>
              </w:rPr>
              <w:t>Metastatic breast cancer</w:t>
            </w:r>
          </w:p>
          <w:p w14:paraId="37ED70A0" w14:textId="77777777" w:rsidR="00D07095" w:rsidRDefault="00D07095" w:rsidP="00D07095">
            <w:r w:rsidRPr="004E576E">
              <w:rPr>
                <w:i/>
              </w:rPr>
              <w:lastRenderedPageBreak/>
              <w:t>Three-weekly schedule</w:t>
            </w:r>
            <w:r>
              <w:t>: the recommended initial loading dose is 8 mg/kg body weight, followed by a maintenance dose of 6 mg/kg body weight administered at 3 weekly intervals.</w:t>
            </w:r>
          </w:p>
          <w:p w14:paraId="2B0683AA" w14:textId="60BCB07A" w:rsidR="00D07095" w:rsidRDefault="00D07095" w:rsidP="00D07095">
            <w:r w:rsidRPr="004E576E">
              <w:rPr>
                <w:i/>
              </w:rPr>
              <w:t>Weekly schedule</w:t>
            </w:r>
            <w:r>
              <w:t>: the recommended initial loading dose is 4 mg/kg body weight, followed by a maintenance dose of 2 mg/kg body weight administered at weekly intervals.</w:t>
            </w:r>
          </w:p>
          <w:p w14:paraId="33F5ECEC" w14:textId="5291BEB0" w:rsidR="00D07095" w:rsidRPr="004E576E" w:rsidRDefault="00D07095" w:rsidP="00D07095">
            <w:pPr>
              <w:rPr>
                <w:i/>
              </w:rPr>
            </w:pPr>
            <w:r w:rsidRPr="004E576E">
              <w:rPr>
                <w:i/>
              </w:rPr>
              <w:t>Advanced gastric cancer</w:t>
            </w:r>
          </w:p>
          <w:p w14:paraId="7C8EDD3E" w14:textId="77777777" w:rsidR="00D07095" w:rsidRDefault="00D07095" w:rsidP="00D07095">
            <w:r w:rsidRPr="004E576E">
              <w:rPr>
                <w:i/>
              </w:rPr>
              <w:t>Three-weekly schedule</w:t>
            </w:r>
            <w:r>
              <w:t>: the recommended initial loading dose is 8 mg/kg body weight, followed by a maintenance dose of 6 mg/kg body weight administered at 3-weekly intervals.</w:t>
            </w:r>
          </w:p>
          <w:p w14:paraId="2B8466F1" w14:textId="5062F74C" w:rsidR="00D07095" w:rsidRPr="004E576E" w:rsidRDefault="00D07095" w:rsidP="00D07095">
            <w:pPr>
              <w:rPr>
                <w:i/>
              </w:rPr>
            </w:pPr>
            <w:r w:rsidRPr="004E576E">
              <w:rPr>
                <w:i/>
              </w:rPr>
              <w:t>For all indications</w:t>
            </w:r>
          </w:p>
          <w:p w14:paraId="5BFE956F" w14:textId="77777777" w:rsidR="00D07095" w:rsidRDefault="00D07095" w:rsidP="00D07095">
            <w:r>
              <w:t>Refer to Section 5.1 Pharmacodynamic Properties, Clinical Trials (including Table 5 for early breast cancer) in the Product Information for the sequence and dosing of chemotherapy medicines used in the supporting pivotal trials.</w:t>
            </w:r>
          </w:p>
          <w:p w14:paraId="5CD440B0" w14:textId="3CFF5C29" w:rsidR="00D07095" w:rsidRDefault="00D07095" w:rsidP="00D07095">
            <w:r>
              <w:t>Refer also to the currently approved Product Information for the chemotherapy partners.</w:t>
            </w:r>
          </w:p>
          <w:p w14:paraId="601241B2" w14:textId="77777777" w:rsidR="009F2673" w:rsidRPr="00B75F4C" w:rsidRDefault="009F2673" w:rsidP="00B75F4C">
            <w:r w:rsidRPr="00B75F4C">
              <w:t>For further information regarding dosage, refer to the Product Information.</w:t>
            </w:r>
          </w:p>
        </w:tc>
      </w:tr>
      <w:tr w:rsidR="009F2673" w:rsidRPr="003D1E62" w14:paraId="3A7701A0" w14:textId="77777777" w:rsidTr="00106F93">
        <w:tc>
          <w:tcPr>
            <w:tcW w:w="1577" w:type="pct"/>
          </w:tcPr>
          <w:p w14:paraId="3E2D77F9" w14:textId="77777777" w:rsidR="009F2673" w:rsidRPr="00487162" w:rsidRDefault="009F2673" w:rsidP="009E5A87">
            <w:pPr>
              <w:rPr>
                <w:i/>
              </w:rPr>
            </w:pPr>
            <w:r w:rsidRPr="00460036">
              <w:rPr>
                <w:i/>
              </w:rPr>
              <w:lastRenderedPageBreak/>
              <w:t>Pregnancy category</w:t>
            </w:r>
            <w:r>
              <w:rPr>
                <w:i/>
              </w:rPr>
              <w:t>:</w:t>
            </w:r>
          </w:p>
        </w:tc>
        <w:tc>
          <w:tcPr>
            <w:tcW w:w="3423" w:type="pct"/>
          </w:tcPr>
          <w:p w14:paraId="32D410DE" w14:textId="77777777" w:rsidR="00106F93" w:rsidRDefault="00106F93" w:rsidP="00106F93">
            <w:r>
              <w:t>D</w:t>
            </w:r>
          </w:p>
          <w:p w14:paraId="68A1F0E0" w14:textId="77777777" w:rsidR="00106F93" w:rsidRDefault="00106F93" w:rsidP="00106F93">
            <w:r>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3B4E0087" w14:textId="2928851B" w:rsidR="009F2673" w:rsidRPr="00487162" w:rsidRDefault="009F2673" w:rsidP="009E5A87">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02863504" w14:textId="77777777" w:rsidR="008E7846" w:rsidRDefault="008E7846" w:rsidP="008E7846">
      <w:pPr>
        <w:pStyle w:val="Heading3"/>
      </w:pPr>
      <w:bookmarkStart w:id="11" w:name="_Toc247691503"/>
      <w:bookmarkStart w:id="12" w:name="_Toc314842484"/>
      <w:bookmarkStart w:id="13" w:name="_Toc132710833"/>
      <w:r>
        <w:t>Product background</w:t>
      </w:r>
      <w:bookmarkEnd w:id="11"/>
      <w:bookmarkEnd w:id="12"/>
      <w:bookmarkEnd w:id="13"/>
    </w:p>
    <w:p w14:paraId="71AC7E6A" w14:textId="4543794A" w:rsidR="009F2673" w:rsidRDefault="009F2673" w:rsidP="009F2673">
      <w:r w:rsidRPr="000A4A42">
        <w:t xml:space="preserve">This AusPAR describes the </w:t>
      </w:r>
      <w:r w:rsidR="001E359E">
        <w:t>submission</w:t>
      </w:r>
      <w:r w:rsidRPr="000A4A42">
        <w:t xml:space="preserve"> by </w:t>
      </w:r>
      <w:r w:rsidR="00933FA9" w:rsidRPr="00933FA9">
        <w:t xml:space="preserve">Cipla Australia Pty Ltd </w:t>
      </w:r>
      <w:r w:rsidRPr="000A4A42">
        <w:t xml:space="preserve">(the sponsor) to register </w:t>
      </w:r>
      <w:r w:rsidR="00933FA9" w:rsidRPr="00933FA9">
        <w:t xml:space="preserve">Trastucip and Tuzucip </w:t>
      </w:r>
      <w:r w:rsidRPr="000A4A42">
        <w:t>(</w:t>
      </w:r>
      <w:r w:rsidR="00933FA9">
        <w:t>t</w:t>
      </w:r>
      <w:r w:rsidR="00933FA9" w:rsidRPr="00933FA9">
        <w:t>rastuzumab</w:t>
      </w:r>
      <w:r w:rsidRPr="000A4A42">
        <w:t>)</w:t>
      </w:r>
      <w:r w:rsidR="00933FA9">
        <w:t xml:space="preserve"> 150 mg p</w:t>
      </w:r>
      <w:r w:rsidR="00933FA9" w:rsidRPr="00F526B8">
        <w:t>owder for injection</w:t>
      </w:r>
      <w:r w:rsidR="00933FA9">
        <w:t xml:space="preserve"> for intravenous </w:t>
      </w:r>
      <w:proofErr w:type="gramStart"/>
      <w:r w:rsidR="00933FA9">
        <w:t>infusion</w:t>
      </w:r>
      <w:r w:rsidR="004B18BF">
        <w:t>;</w:t>
      </w:r>
      <w:proofErr w:type="gramEnd"/>
      <w:r w:rsidR="004B18BF">
        <w:rPr>
          <w:rStyle w:val="FootnoteReference"/>
        </w:rPr>
        <w:footnoteReference w:id="1"/>
      </w:r>
      <w:r w:rsidRPr="000A4A42">
        <w:t xml:space="preserve"> for the following proposed indication:</w:t>
      </w:r>
    </w:p>
    <w:p w14:paraId="4132AB1B" w14:textId="3E7BF761" w:rsidR="00103011" w:rsidRPr="004E576E" w:rsidRDefault="00103011" w:rsidP="00103011">
      <w:pPr>
        <w:ind w:left="720"/>
        <w:rPr>
          <w:b/>
          <w:i/>
          <w:iCs/>
        </w:rPr>
      </w:pPr>
      <w:r w:rsidRPr="004E576E">
        <w:rPr>
          <w:b/>
          <w:i/>
          <w:iCs/>
        </w:rPr>
        <w:t>Early breast cancer</w:t>
      </w:r>
    </w:p>
    <w:p w14:paraId="4FDAFD9B" w14:textId="7AB5F83D" w:rsidR="00103011" w:rsidRPr="00A94D33" w:rsidRDefault="00A94D33" w:rsidP="00103011">
      <w:pPr>
        <w:ind w:left="720"/>
        <w:rPr>
          <w:i/>
          <w:iCs/>
        </w:rPr>
      </w:pPr>
      <w:r w:rsidRPr="00A94D33">
        <w:rPr>
          <w:i/>
          <w:iCs/>
        </w:rPr>
        <w:lastRenderedPageBreak/>
        <w:t>Trastucip and Tuzucip</w:t>
      </w:r>
      <w:r w:rsidRPr="00933FA9">
        <w:t xml:space="preserve"> </w:t>
      </w:r>
      <w:r w:rsidR="00103011" w:rsidRPr="00A94D33">
        <w:rPr>
          <w:i/>
          <w:iCs/>
        </w:rPr>
        <w:t>is indicated for the treatment of HER2-positive early breast cancer following surgery, and in association with chemotherapy and, if applicable, radiotherapy.</w:t>
      </w:r>
    </w:p>
    <w:p w14:paraId="1F3FF223" w14:textId="77777777" w:rsidR="00103011" w:rsidRPr="004E576E" w:rsidRDefault="00103011" w:rsidP="00103011">
      <w:pPr>
        <w:ind w:left="720"/>
        <w:rPr>
          <w:b/>
          <w:bCs/>
          <w:i/>
        </w:rPr>
      </w:pPr>
      <w:r w:rsidRPr="004E576E">
        <w:rPr>
          <w:b/>
          <w:bCs/>
          <w:i/>
        </w:rPr>
        <w:t>Locally advanced breast cancer</w:t>
      </w:r>
    </w:p>
    <w:p w14:paraId="7338DF7C" w14:textId="49641F44" w:rsidR="00103011" w:rsidRPr="00A94D33" w:rsidRDefault="00A94D33" w:rsidP="00103011">
      <w:pPr>
        <w:ind w:left="720"/>
        <w:rPr>
          <w:i/>
          <w:iCs/>
        </w:rPr>
      </w:pPr>
      <w:r w:rsidRPr="00A94D33">
        <w:rPr>
          <w:i/>
          <w:iCs/>
        </w:rPr>
        <w:t>Trastucip and Tuzucip</w:t>
      </w:r>
      <w:r w:rsidR="00103011" w:rsidRPr="00A94D33">
        <w:rPr>
          <w:i/>
          <w:iCs/>
        </w:rPr>
        <w:t xml:space="preserve"> is indicated for the treatment of HER2-positive locally advanced breast cancer in combination with neoadjuvant chemotherapy followed by adjuvant </w:t>
      </w:r>
      <w:r w:rsidRPr="00A94D33">
        <w:rPr>
          <w:i/>
          <w:iCs/>
        </w:rPr>
        <w:t>Trastucip and Tuzucip</w:t>
      </w:r>
      <w:r w:rsidR="00103011" w:rsidRPr="00A94D33">
        <w:rPr>
          <w:i/>
          <w:iCs/>
        </w:rPr>
        <w:t>.</w:t>
      </w:r>
    </w:p>
    <w:p w14:paraId="67E28FC8" w14:textId="77777777" w:rsidR="00103011" w:rsidRPr="004E576E" w:rsidRDefault="00103011" w:rsidP="00103011">
      <w:pPr>
        <w:ind w:left="720"/>
        <w:rPr>
          <w:b/>
          <w:i/>
          <w:iCs/>
        </w:rPr>
      </w:pPr>
      <w:r w:rsidRPr="004E576E">
        <w:rPr>
          <w:b/>
          <w:i/>
          <w:iCs/>
        </w:rPr>
        <w:t>Metastatic breast cancer</w:t>
      </w:r>
    </w:p>
    <w:p w14:paraId="79B2CFAF" w14:textId="09A6BD3B" w:rsidR="00103011" w:rsidRPr="00A94D33" w:rsidRDefault="00A94D33" w:rsidP="00103011">
      <w:pPr>
        <w:ind w:left="720"/>
        <w:rPr>
          <w:i/>
          <w:iCs/>
        </w:rPr>
      </w:pPr>
      <w:r w:rsidRPr="00A94D33">
        <w:rPr>
          <w:i/>
          <w:iCs/>
        </w:rPr>
        <w:t>Trastucip and Tuzucip</w:t>
      </w:r>
      <w:r w:rsidRPr="00933FA9">
        <w:t xml:space="preserve"> </w:t>
      </w:r>
      <w:r w:rsidR="00103011" w:rsidRPr="00A94D33">
        <w:rPr>
          <w:i/>
          <w:iCs/>
        </w:rPr>
        <w:t>is indicated for the treatment of patients with metastatic breast cancer who have tumours that overexpress HER2:</w:t>
      </w:r>
    </w:p>
    <w:p w14:paraId="5BD65938" w14:textId="77777777" w:rsidR="00103011" w:rsidRPr="00A94D33" w:rsidRDefault="00103011" w:rsidP="00103011">
      <w:pPr>
        <w:ind w:left="720"/>
        <w:rPr>
          <w:i/>
          <w:iCs/>
        </w:rPr>
      </w:pPr>
      <w:r w:rsidRPr="00A94D33">
        <w:rPr>
          <w:i/>
          <w:iCs/>
        </w:rPr>
        <w:t xml:space="preserve">a) as monotherapy for the treatment of those patients who have received one or more chemotherapy regimens for their metastatic </w:t>
      </w:r>
      <w:proofErr w:type="gramStart"/>
      <w:r w:rsidRPr="00A94D33">
        <w:rPr>
          <w:i/>
          <w:iCs/>
        </w:rPr>
        <w:t>disease;</w:t>
      </w:r>
      <w:proofErr w:type="gramEnd"/>
    </w:p>
    <w:p w14:paraId="4929A1DE" w14:textId="77777777" w:rsidR="00103011" w:rsidRPr="00A94D33" w:rsidRDefault="00103011" w:rsidP="00103011">
      <w:pPr>
        <w:ind w:left="720"/>
        <w:rPr>
          <w:i/>
          <w:iCs/>
        </w:rPr>
      </w:pPr>
      <w:r w:rsidRPr="00A94D33">
        <w:rPr>
          <w:i/>
          <w:iCs/>
        </w:rPr>
        <w:t xml:space="preserve">b) in combination with </w:t>
      </w:r>
      <w:proofErr w:type="spellStart"/>
      <w:r w:rsidRPr="00A94D33">
        <w:rPr>
          <w:i/>
          <w:iCs/>
        </w:rPr>
        <w:t>taxanes</w:t>
      </w:r>
      <w:proofErr w:type="spellEnd"/>
      <w:r w:rsidRPr="00A94D33">
        <w:rPr>
          <w:i/>
          <w:iCs/>
        </w:rPr>
        <w:t xml:space="preserve"> for the treatment of those patients who have not received chemotherapy for their metastatic disease; or</w:t>
      </w:r>
    </w:p>
    <w:p w14:paraId="5D33AA66" w14:textId="77777777" w:rsidR="00103011" w:rsidRPr="00A94D33" w:rsidRDefault="00103011" w:rsidP="00103011">
      <w:pPr>
        <w:ind w:left="720"/>
        <w:rPr>
          <w:i/>
          <w:iCs/>
        </w:rPr>
      </w:pPr>
      <w:r w:rsidRPr="00A94D33">
        <w:rPr>
          <w:i/>
          <w:iCs/>
        </w:rPr>
        <w:t>c) in combination with an aromatase inhibitor for the treatment of post-menopausal patients with hormone-receptor positive metastatic breast cancer</w:t>
      </w:r>
    </w:p>
    <w:p w14:paraId="221CE259" w14:textId="77777777" w:rsidR="00103011" w:rsidRPr="004E576E" w:rsidRDefault="00103011" w:rsidP="00103011">
      <w:pPr>
        <w:ind w:left="720"/>
        <w:rPr>
          <w:b/>
          <w:i/>
          <w:iCs/>
        </w:rPr>
      </w:pPr>
      <w:r w:rsidRPr="004E576E">
        <w:rPr>
          <w:b/>
          <w:i/>
          <w:iCs/>
        </w:rPr>
        <w:t>Advanced gastric cancer</w:t>
      </w:r>
    </w:p>
    <w:p w14:paraId="69EE590E" w14:textId="53918C5A" w:rsidR="0043791D" w:rsidRDefault="00A94D33" w:rsidP="004E576E">
      <w:pPr>
        <w:ind w:left="720"/>
      </w:pPr>
      <w:r w:rsidRPr="00A94D33">
        <w:rPr>
          <w:i/>
          <w:iCs/>
        </w:rPr>
        <w:t>Trastucip and Tuzucip</w:t>
      </w:r>
      <w:r w:rsidRPr="00933FA9">
        <w:t xml:space="preserve"> </w:t>
      </w:r>
      <w:r w:rsidR="00103011" w:rsidRPr="00A94D33">
        <w:rPr>
          <w:i/>
          <w:iCs/>
        </w:rPr>
        <w:t>is indicated in combination with cisplatin and either capecitabine or 5-FU for the treatment of patients with HER2 positive advanced adenocarcinoma of the stomach or gastro-oesophageal junction who have not received prior anti-cancer treatment for their metastatic disease</w:t>
      </w:r>
      <w:r w:rsidR="00103011" w:rsidRPr="00B30F3C">
        <w:t>.</w:t>
      </w:r>
      <w:bookmarkStart w:id="14" w:name="_Hlk128650879"/>
    </w:p>
    <w:p w14:paraId="1107114F" w14:textId="12A89F27" w:rsidR="00323E9B" w:rsidRDefault="00106F93" w:rsidP="00106F93">
      <w:r w:rsidRPr="00106F93">
        <w:t>Trastuzumab</w:t>
      </w:r>
      <w:bookmarkEnd w:id="14"/>
      <w:r w:rsidRPr="00106F93">
        <w:t xml:space="preserve"> is a humanised </w:t>
      </w:r>
      <w:r>
        <w:t xml:space="preserve">immunoglobulin </w:t>
      </w:r>
      <w:r w:rsidRPr="00106F93">
        <w:t>G1 monoclonal antibody against the human epidermal growth factor receptor 2 (HER2). It is produced by mammalian Chinese hamster ovary cells. It binds with high affinity to subdomain IV</w:t>
      </w:r>
      <w:r w:rsidR="008162EB">
        <w:t xml:space="preserve"> </w:t>
      </w:r>
      <w:r w:rsidRPr="00106F93">
        <w:t>of HER2’s extracellular domain.</w:t>
      </w:r>
    </w:p>
    <w:p w14:paraId="4E042297" w14:textId="0DCC1A07" w:rsidR="00106F93" w:rsidRDefault="00106F93" w:rsidP="00106F93">
      <w:r w:rsidRPr="00106F93">
        <w:t>Overexpression of HER2 is observed in 20%</w:t>
      </w:r>
      <w:r w:rsidR="004546CD">
        <w:t xml:space="preserve"> to </w:t>
      </w:r>
      <w:r w:rsidRPr="00106F93">
        <w:t>30% of primary breast cancers</w:t>
      </w:r>
      <w:r w:rsidR="00D05FE3">
        <w:t>;</w:t>
      </w:r>
      <w:r w:rsidR="00D05FE3">
        <w:rPr>
          <w:rStyle w:val="FootnoteReference"/>
        </w:rPr>
        <w:footnoteReference w:id="2"/>
      </w:r>
      <w:r w:rsidRPr="00106F93">
        <w:t xml:space="preserve"> as well as in some cases of gastric cancer. The rates of HER2 overexpression in gastric cancer vary </w:t>
      </w:r>
      <w:r w:rsidR="00D05FE3">
        <w:t xml:space="preserve">across studies </w:t>
      </w:r>
      <w:r w:rsidRPr="00106F93">
        <w:t xml:space="preserve">depending on the </w:t>
      </w:r>
      <w:r w:rsidR="00D41217">
        <w:t>method of testing</w:t>
      </w:r>
      <w:r w:rsidR="00D41217" w:rsidRPr="00106F93">
        <w:t xml:space="preserve"> </w:t>
      </w:r>
      <w:r w:rsidRPr="00106F93">
        <w:t xml:space="preserve">used </w:t>
      </w:r>
      <w:r w:rsidR="00D41217">
        <w:t xml:space="preserve">(for example </w:t>
      </w:r>
      <w:r w:rsidR="00D05FE3">
        <w:t xml:space="preserve">by immunohistochemistry, </w:t>
      </w:r>
      <w:r w:rsidR="00D41217" w:rsidRPr="00D41217">
        <w:t>fluorescence</w:t>
      </w:r>
      <w:r w:rsidR="00D05FE3">
        <w:t>,</w:t>
      </w:r>
      <w:r w:rsidR="00D41217">
        <w:t xml:space="preserve"> or chromogenic in situ hybridis</w:t>
      </w:r>
      <w:r w:rsidR="00D41217" w:rsidRPr="00D41217">
        <w:t>ation (FISH/CISH)</w:t>
      </w:r>
      <w:r w:rsidR="00D05FE3">
        <w:t>);</w:t>
      </w:r>
      <w:r w:rsidR="00D05FE3">
        <w:rPr>
          <w:rStyle w:val="FootnoteReference"/>
        </w:rPr>
        <w:footnoteReference w:id="3"/>
      </w:r>
      <w:r w:rsidR="00D05FE3">
        <w:t xml:space="preserve"> </w:t>
      </w:r>
      <w:r w:rsidRPr="00106F93">
        <w:t xml:space="preserve">but </w:t>
      </w:r>
      <w:r w:rsidR="00D05FE3">
        <w:t>HER2-positvity has been reported at between</w:t>
      </w:r>
      <w:r w:rsidRPr="00106F93">
        <w:t xml:space="preserve"> 6.8</w:t>
      </w:r>
      <w:r w:rsidR="004546CD">
        <w:t>% to</w:t>
      </w:r>
      <w:r w:rsidRPr="00106F93">
        <w:t xml:space="preserve"> 42.6%.</w:t>
      </w:r>
      <w:r w:rsidR="00D05FE3">
        <w:rPr>
          <w:rStyle w:val="FootnoteReference"/>
        </w:rPr>
        <w:footnoteReference w:id="4"/>
      </w:r>
      <w:r w:rsidR="00D05FE3">
        <w:rPr>
          <w:vertAlign w:val="superscript"/>
        </w:rPr>
        <w:t>,</w:t>
      </w:r>
      <w:r w:rsidR="00D05FE3">
        <w:rPr>
          <w:rStyle w:val="FootnoteReference"/>
        </w:rPr>
        <w:footnoteReference w:id="5"/>
      </w:r>
      <w:r w:rsidRPr="00106F93">
        <w:t xml:space="preserve"> </w:t>
      </w:r>
      <w:r w:rsidR="004546CD">
        <w:t>H</w:t>
      </w:r>
      <w:r w:rsidR="004546CD" w:rsidRPr="00106F93">
        <w:t>uman epidermal growth factor receptor 2</w:t>
      </w:r>
      <w:r w:rsidRPr="00106F93">
        <w:t xml:space="preserve"> overexpression can occur in early breast cancer and metastatic breast cancer.</w:t>
      </w:r>
      <w:r w:rsidR="00323E9B">
        <w:rPr>
          <w:rStyle w:val="FootnoteReference"/>
        </w:rPr>
        <w:footnoteReference w:id="6"/>
      </w:r>
      <w:r w:rsidRPr="00106F93">
        <w:t xml:space="preserve"> Breast cancer patients with HER2 overexpression tend to have a shorter disease</w:t>
      </w:r>
      <w:r w:rsidR="004546CD">
        <w:t xml:space="preserve"> </w:t>
      </w:r>
      <w:r w:rsidRPr="00106F93">
        <w:t>free survival than patients who have tumours that do not express HER2.</w:t>
      </w:r>
      <w:r w:rsidR="00323E9B">
        <w:rPr>
          <w:rStyle w:val="FootnoteReference"/>
        </w:rPr>
        <w:footnoteReference w:id="7"/>
      </w:r>
    </w:p>
    <w:p w14:paraId="2F37A6F8" w14:textId="77777777" w:rsidR="00F170B8" w:rsidRDefault="00F170B8" w:rsidP="00F170B8">
      <w:r>
        <w:t>The HER</w:t>
      </w:r>
      <w:r w:rsidRPr="00B2219A">
        <w:t>2 receptor is a transmembrane tyrosine kinase receptor</w:t>
      </w:r>
      <w:r>
        <w:t xml:space="preserve">, a member of the </w:t>
      </w:r>
      <w:proofErr w:type="spellStart"/>
      <w:r>
        <w:t>ErbB</w:t>
      </w:r>
      <w:proofErr w:type="spellEnd"/>
      <w:r>
        <w:t xml:space="preserve"> (HER) family of receptor tyrosine kinases. The HER2 receptor</w:t>
      </w:r>
      <w:r w:rsidRPr="00B2219A">
        <w:t xml:space="preserve"> consists of an extracellular ligand-binding domain, a transmembrane region, and an intracellular or cytoplasmic tyrosine kinase domain.</w:t>
      </w:r>
      <w:r>
        <w:rPr>
          <w:rStyle w:val="FootnoteReference"/>
        </w:rPr>
        <w:footnoteReference w:id="8"/>
      </w:r>
      <w:r>
        <w:t xml:space="preserve"> Upon HER2 activation, these receptors form</w:t>
      </w:r>
      <w:r w:rsidRPr="00FC6EB1">
        <w:t xml:space="preserve"> homodimers or </w:t>
      </w:r>
      <w:r w:rsidRPr="00FC6EB1">
        <w:lastRenderedPageBreak/>
        <w:t xml:space="preserve">heterodimers with other </w:t>
      </w:r>
      <w:r>
        <w:t>epidermal growth factor receptor (</w:t>
      </w:r>
      <w:r w:rsidRPr="00FC6EB1">
        <w:t>EGFR</w:t>
      </w:r>
      <w:r>
        <w:t>)</w:t>
      </w:r>
      <w:r w:rsidRPr="00FC6EB1">
        <w:t xml:space="preserve"> proteins, </w:t>
      </w:r>
      <w:r>
        <w:t xml:space="preserve">leading to activation of the EGFR intracellular domains, and subsequent activation of downstream signalling cascades, including </w:t>
      </w:r>
      <w:r w:rsidRPr="006220DB">
        <w:t xml:space="preserve">pathways </w:t>
      </w:r>
      <w:r>
        <w:t>promoting</w:t>
      </w:r>
      <w:r w:rsidRPr="006220DB">
        <w:t xml:space="preserve"> cell growth and survival and cell cycle progression</w:t>
      </w:r>
      <w:r>
        <w:t>.</w:t>
      </w:r>
      <w:r>
        <w:rPr>
          <w:rStyle w:val="FootnoteReference"/>
        </w:rPr>
        <w:footnoteReference w:id="9"/>
      </w:r>
    </w:p>
    <w:p w14:paraId="2AB92964" w14:textId="381C9BC6" w:rsidR="00F170B8" w:rsidRPr="00106F93" w:rsidRDefault="00F170B8" w:rsidP="00106F93">
      <w:pPr>
        <w:rPr>
          <w:lang w:eastAsia="ja-JP"/>
        </w:rPr>
      </w:pPr>
      <w:r>
        <w:rPr>
          <w:lang w:eastAsia="ja-JP"/>
        </w:rPr>
        <w:t>In binding selectively to the extracellular domain of the HER2 receptor, trastuzumab targets and prevents HER2-mediated signalling of the downstream pathways implicated in disease. In addition, trastuzumab also binds to the Fc receptors on immune effector cells, thought to facilitate antibody-dependent cellular cytotoxicity and immune destruction of HER2-expressing cancer cells.</w:t>
      </w:r>
      <w:r>
        <w:rPr>
          <w:rStyle w:val="FootnoteReference"/>
          <w:lang w:eastAsia="ja-JP"/>
        </w:rPr>
        <w:footnoteReference w:id="10"/>
      </w:r>
    </w:p>
    <w:p w14:paraId="2CB3661C" w14:textId="77777777" w:rsidR="0043791D" w:rsidRDefault="00F170B8" w:rsidP="00106F93">
      <w:r w:rsidRPr="00106F93">
        <w:t xml:space="preserve">Trastuzumab </w:t>
      </w:r>
      <w:r>
        <w:t xml:space="preserve">(as </w:t>
      </w:r>
      <w:r w:rsidR="006F79AC">
        <w:t xml:space="preserve">the product </w:t>
      </w:r>
      <w:r>
        <w:t>Herceptin);</w:t>
      </w:r>
      <w:bookmarkStart w:id="15" w:name="_Ref131514573"/>
      <w:r>
        <w:rPr>
          <w:rStyle w:val="FootnoteReference"/>
        </w:rPr>
        <w:footnoteReference w:id="11"/>
      </w:r>
      <w:bookmarkEnd w:id="15"/>
      <w:r>
        <w:t xml:space="preserve"> was first approved in Australia and registered on the Australian Register of Thera</w:t>
      </w:r>
      <w:r w:rsidR="001F4908">
        <w:t>peutic Goods in September 2000. At present, trastuzumab is indicated for use</w:t>
      </w:r>
      <w:r w:rsidRPr="00106F93">
        <w:t xml:space="preserve"> in HER2</w:t>
      </w:r>
      <w:r>
        <w:t xml:space="preserve"> positive</w:t>
      </w:r>
      <w:r w:rsidRPr="00106F93">
        <w:t xml:space="preserve"> breast cancer and HER2</w:t>
      </w:r>
      <w:r>
        <w:t xml:space="preserve"> positive gastric cancer.</w:t>
      </w:r>
    </w:p>
    <w:p w14:paraId="664DE42B" w14:textId="24BF9A6B" w:rsidR="001F4908" w:rsidRDefault="00106F93" w:rsidP="00106F93">
      <w:r w:rsidRPr="00106F93">
        <w:t xml:space="preserve">The </w:t>
      </w:r>
      <w:r w:rsidR="0043791D">
        <w:t>reference</w:t>
      </w:r>
      <w:r w:rsidR="0043791D" w:rsidRPr="00106F93">
        <w:t xml:space="preserve"> </w:t>
      </w:r>
      <w:r w:rsidRPr="00106F93">
        <w:t>product (Herceptin) has been successfully used in Australia for many years to treat HER2 positive breast cancers and more recently advanced gastric cancer.</w:t>
      </w:r>
    </w:p>
    <w:p w14:paraId="2E7FD35B" w14:textId="0E055763" w:rsidR="00106F93" w:rsidRDefault="001F4908" w:rsidP="00106F93">
      <w:r>
        <w:t xml:space="preserve">This submission seeks to register </w:t>
      </w:r>
      <w:r w:rsidR="0043791D">
        <w:t>Trastucip</w:t>
      </w:r>
      <w:r>
        <w:t xml:space="preserve"> and Tuzucip as biosimilar medicines;</w:t>
      </w:r>
      <w:r>
        <w:rPr>
          <w:rStyle w:val="FootnoteReference"/>
        </w:rPr>
        <w:footnoteReference w:id="12"/>
      </w:r>
      <w:r>
        <w:t xml:space="preserve"> for use in </w:t>
      </w:r>
      <w:r w:rsidR="006F79AC">
        <w:t>for</w:t>
      </w:r>
      <w:r>
        <w:t xml:space="preserve"> same indications approved for Herceptin</w:t>
      </w:r>
      <w:r w:rsidR="006F79AC">
        <w:t>,</w:t>
      </w:r>
      <w:r>
        <w:t xml:space="preserve"> using Herceptin a</w:t>
      </w:r>
      <w:r w:rsidR="006F79AC">
        <w:t xml:space="preserve">s the reference product with which to show </w:t>
      </w:r>
      <w:proofErr w:type="spellStart"/>
      <w:r w:rsidR="006F79AC">
        <w:t>biosimilarity</w:t>
      </w:r>
      <w:proofErr w:type="spellEnd"/>
      <w:r>
        <w:t>.</w:t>
      </w:r>
    </w:p>
    <w:p w14:paraId="08A44898" w14:textId="5116B6C7" w:rsidR="003D5D49" w:rsidRDefault="003D5D49" w:rsidP="00106F93">
      <w:r>
        <w:t>T</w:t>
      </w:r>
      <w:r w:rsidRPr="0008538B">
        <w:t xml:space="preserve">here are multiple biosimilar trastuzumab products approved in Australia. The </w:t>
      </w:r>
      <w:r>
        <w:t xml:space="preserve">reference </w:t>
      </w:r>
      <w:r w:rsidRPr="0008538B">
        <w:t>product, H</w:t>
      </w:r>
      <w:r>
        <w:t>erceptin (as an intravenous formulation)</w:t>
      </w:r>
      <w:r w:rsidRPr="0008538B">
        <w:t xml:space="preserve"> is soon to be removed from the market</w:t>
      </w:r>
      <w:r w:rsidR="00294500">
        <w:t>.</w:t>
      </w:r>
      <w:r>
        <w:t xml:space="preserve"> However, there will continue to be subsidised access to equivalent, biosimilar medicines</w:t>
      </w:r>
      <w:r w:rsidR="00294500">
        <w:t xml:space="preserve"> by the Australian Government’s Pharmaceutical Benefits Scheme (PBS).</w:t>
      </w:r>
    </w:p>
    <w:p w14:paraId="6BE0DAC0" w14:textId="1145D8E0" w:rsidR="008E7846" w:rsidRPr="003F31A2" w:rsidRDefault="00386150" w:rsidP="008E7846">
      <w:pPr>
        <w:pStyle w:val="Heading3"/>
      </w:pPr>
      <w:bookmarkStart w:id="16" w:name="_Toc314842485"/>
      <w:bookmarkStart w:id="17" w:name="_Toc247691504"/>
      <w:bookmarkStart w:id="18" w:name="_Toc132710834"/>
      <w:r>
        <w:t>Regulatory s</w:t>
      </w:r>
      <w:r w:rsidR="008E7846">
        <w:t>tatus</w:t>
      </w:r>
      <w:bookmarkEnd w:id="16"/>
      <w:bookmarkEnd w:id="17"/>
      <w:bookmarkEnd w:id="18"/>
    </w:p>
    <w:p w14:paraId="2C34E97E" w14:textId="11927B80" w:rsidR="00332715" w:rsidRDefault="00332715" w:rsidP="00332715">
      <w:bookmarkStart w:id="19" w:name="_Toc247691505"/>
      <w:bookmarkStart w:id="20" w:name="_Toc314842486"/>
      <w:r>
        <w:t>This product is considered a new biosimilar medicine for Australian regulatory purposes.</w:t>
      </w:r>
    </w:p>
    <w:p w14:paraId="3B989852" w14:textId="7944519B" w:rsidR="006F79AC" w:rsidRDefault="006F79AC" w:rsidP="00332715">
      <w:pPr>
        <w:rPr>
          <w:vertAlign w:val="superscript"/>
        </w:rPr>
      </w:pPr>
      <w:r>
        <w:t>The reference product for this new biosimilar medicine submission is Herceptin (trastuzumab), first approved in September 2000.</w:t>
      </w:r>
      <w:r w:rsidRPr="004E576E">
        <w:rPr>
          <w:vertAlign w:val="superscript"/>
        </w:rPr>
        <w:fldChar w:fldCharType="begin"/>
      </w:r>
      <w:r w:rsidRPr="003D5D49">
        <w:rPr>
          <w:vertAlign w:val="superscript"/>
        </w:rPr>
        <w:instrText xml:space="preserve"> NOTEREF _Ref131514573 \h </w:instrText>
      </w:r>
      <w:r>
        <w:rPr>
          <w:vertAlign w:val="superscript"/>
        </w:rPr>
        <w:instrText xml:space="preserve"> \* MERGEFORMAT </w:instrText>
      </w:r>
      <w:r w:rsidRPr="004E576E">
        <w:rPr>
          <w:vertAlign w:val="superscript"/>
        </w:rPr>
      </w:r>
      <w:r w:rsidRPr="004E576E">
        <w:rPr>
          <w:vertAlign w:val="superscript"/>
        </w:rPr>
        <w:fldChar w:fldCharType="separate"/>
      </w:r>
      <w:r w:rsidR="00900E2D">
        <w:rPr>
          <w:vertAlign w:val="superscript"/>
        </w:rPr>
        <w:t>11</w:t>
      </w:r>
      <w:r w:rsidRPr="004E576E">
        <w:rPr>
          <w:vertAlign w:val="superscript"/>
        </w:rPr>
        <w:fldChar w:fldCharType="end"/>
      </w:r>
    </w:p>
    <w:p w14:paraId="638887BF" w14:textId="74D92BB1" w:rsidR="003D5D49" w:rsidRDefault="003D5D49" w:rsidP="003D5D49">
      <w:r w:rsidRPr="0008538B">
        <w:t>The innovator</w:t>
      </w:r>
      <w:r>
        <w:t xml:space="preserve"> and reference</w:t>
      </w:r>
      <w:r w:rsidRPr="0008538B">
        <w:t xml:space="preserve"> product, Herceptin</w:t>
      </w:r>
      <w:r>
        <w:t>;</w:t>
      </w:r>
      <w:r>
        <w:fldChar w:fldCharType="begin"/>
      </w:r>
      <w:r>
        <w:instrText xml:space="preserve"> NOTEREF _Ref128477826 \f \h </w:instrText>
      </w:r>
      <w:r>
        <w:fldChar w:fldCharType="separate"/>
      </w:r>
      <w:r w:rsidR="00900E2D">
        <w:rPr>
          <w:b/>
          <w:bCs/>
          <w:lang w:val="en-US"/>
        </w:rPr>
        <w:fldChar w:fldCharType="begin"/>
      </w:r>
      <w:r w:rsidR="00900E2D">
        <w:instrText xml:space="preserve"> NOTEREF _Ref131514573 \f \h </w:instrText>
      </w:r>
      <w:r w:rsidR="00900E2D">
        <w:rPr>
          <w:b/>
          <w:bCs/>
          <w:lang w:val="en-US"/>
        </w:rPr>
      </w:r>
      <w:r w:rsidR="00900E2D">
        <w:rPr>
          <w:b/>
          <w:bCs/>
          <w:lang w:val="en-US"/>
        </w:rPr>
        <w:fldChar w:fldCharType="separate"/>
      </w:r>
      <w:r w:rsidR="00900E2D" w:rsidRPr="00900E2D">
        <w:rPr>
          <w:rStyle w:val="FootnoteReference"/>
        </w:rPr>
        <w:t>11</w:t>
      </w:r>
      <w:r w:rsidR="00900E2D">
        <w:rPr>
          <w:b/>
          <w:bCs/>
          <w:lang w:val="en-US"/>
        </w:rPr>
        <w:fldChar w:fldCharType="end"/>
      </w:r>
      <w:r>
        <w:fldChar w:fldCharType="end"/>
      </w:r>
      <w:r w:rsidRPr="0008538B">
        <w:t xml:space="preserve"> powder for injection</w:t>
      </w:r>
      <w:r>
        <w:t xml:space="preserve"> was first approved by the TGA </w:t>
      </w:r>
      <w:r w:rsidRPr="0008538B">
        <w:t xml:space="preserve">for </w:t>
      </w:r>
      <w:r>
        <w:t xml:space="preserve">the </w:t>
      </w:r>
      <w:r w:rsidRPr="0008538B">
        <w:t xml:space="preserve">treatment of the HER2 expressing advanced breast cancer. </w:t>
      </w:r>
    </w:p>
    <w:p w14:paraId="198FF223" w14:textId="7D525E24" w:rsidR="006F79AC" w:rsidRDefault="00332715" w:rsidP="00332715">
      <w:r>
        <w:t xml:space="preserve">At the time the TGA considered this </w:t>
      </w:r>
      <w:r w:rsidR="00BB0B78">
        <w:t>submission</w:t>
      </w:r>
      <w:r>
        <w:t xml:space="preserve">, </w:t>
      </w:r>
      <w:r w:rsidR="006F79AC">
        <w:t xml:space="preserve">similar submissions had been approved in the European Union (EU) on 27 July 2020, </w:t>
      </w:r>
      <w:r w:rsidR="000A2B64">
        <w:t xml:space="preserve">in Switzerland on 6 July 2021 </w:t>
      </w:r>
      <w:r w:rsidR="006F79AC">
        <w:t xml:space="preserve">and in </w:t>
      </w:r>
      <w:r w:rsidR="005752C8">
        <w:t>China on 12 August 2020.</w:t>
      </w:r>
    </w:p>
    <w:p w14:paraId="0B18E0DC" w14:textId="00F050D7" w:rsidR="00332715" w:rsidRDefault="006F79AC" w:rsidP="00332715">
      <w:r>
        <w:t xml:space="preserve">In </w:t>
      </w:r>
      <w:proofErr w:type="gramStart"/>
      <w:r>
        <w:t>addition</w:t>
      </w:r>
      <w:proofErr w:type="gramEnd"/>
      <w:r>
        <w:t xml:space="preserve"> a </w:t>
      </w:r>
      <w:r w:rsidR="00332715">
        <w:t xml:space="preserve">similar </w:t>
      </w:r>
      <w:r w:rsidR="00BB0B78">
        <w:t>submission</w:t>
      </w:r>
      <w:r w:rsidR="00332715">
        <w:t xml:space="preserve"> was under consideration in </w:t>
      </w:r>
      <w:r w:rsidR="005752C8">
        <w:t xml:space="preserve">Switzerland </w:t>
      </w:r>
      <w:r w:rsidR="00332715">
        <w:t xml:space="preserve">(submitted on </w:t>
      </w:r>
      <w:r w:rsidR="005752C8">
        <w:t>23</w:t>
      </w:r>
      <w:r>
        <w:t> </w:t>
      </w:r>
      <w:r w:rsidR="005752C8">
        <w:t>December 2019</w:t>
      </w:r>
      <w:r w:rsidR="00332715">
        <w:t>).</w:t>
      </w:r>
    </w:p>
    <w:p w14:paraId="75C95C0D" w14:textId="77777777" w:rsidR="00332715" w:rsidRDefault="0072292E" w:rsidP="00332715">
      <w:r>
        <w:t xml:space="preserve">The following table </w:t>
      </w:r>
      <w:r w:rsidR="00332715">
        <w:t xml:space="preserve">summarises these </w:t>
      </w:r>
      <w:r w:rsidR="00BB0B78">
        <w:t>submissions</w:t>
      </w:r>
      <w:r w:rsidR="00332715">
        <w:t xml:space="preserve"> and provides the indications where approved.</w:t>
      </w:r>
    </w:p>
    <w:p w14:paraId="48DD5BED" w14:textId="181CC70C" w:rsidR="00324E45" w:rsidRPr="00F0146F" w:rsidRDefault="00324E45" w:rsidP="00324E45">
      <w:pPr>
        <w:pStyle w:val="TableTitle"/>
      </w:pPr>
      <w:bookmarkStart w:id="21" w:name="_Ref99705479"/>
      <w:r>
        <w:lastRenderedPageBreak/>
        <w:t xml:space="preserve">Table </w:t>
      </w:r>
      <w:fldSimple w:instr=" SEQ Table \* ARABIC ">
        <w:r w:rsidR="00900E2D">
          <w:rPr>
            <w:noProof/>
          </w:rPr>
          <w:t>1</w:t>
        </w:r>
      </w:fldSimple>
      <w:bookmarkEnd w:id="21"/>
      <w:r>
        <w:t>: International regulatory status</w:t>
      </w:r>
    </w:p>
    <w:tbl>
      <w:tblPr>
        <w:tblStyle w:val="TableTGAblue"/>
        <w:tblW w:w="8815" w:type="dxa"/>
        <w:tblLook w:val="04A0" w:firstRow="1" w:lastRow="0" w:firstColumn="1" w:lastColumn="0" w:noHBand="0" w:noVBand="1"/>
      </w:tblPr>
      <w:tblGrid>
        <w:gridCol w:w="1291"/>
        <w:gridCol w:w="1944"/>
        <w:gridCol w:w="1710"/>
        <w:gridCol w:w="3870"/>
      </w:tblGrid>
      <w:tr w:rsidR="00006FAB" w:rsidRPr="00951085" w14:paraId="294C1976" w14:textId="77777777" w:rsidTr="004E576E">
        <w:trPr>
          <w:cnfStyle w:val="100000000000" w:firstRow="1" w:lastRow="0" w:firstColumn="0" w:lastColumn="0" w:oddVBand="0" w:evenVBand="0" w:oddHBand="0" w:evenHBand="0" w:firstRowFirstColumn="0" w:firstRowLastColumn="0" w:lastRowFirstColumn="0" w:lastRowLastColumn="0"/>
        </w:trPr>
        <w:tc>
          <w:tcPr>
            <w:tcW w:w="1291" w:type="dxa"/>
            <w:tcBorders>
              <w:top w:val="single" w:sz="4" w:space="0" w:color="auto"/>
              <w:left w:val="single" w:sz="4" w:space="0" w:color="auto"/>
              <w:bottom w:val="single" w:sz="4" w:space="0" w:color="auto"/>
              <w:right w:val="single" w:sz="4" w:space="0" w:color="auto"/>
            </w:tcBorders>
          </w:tcPr>
          <w:p w14:paraId="6F1C8104" w14:textId="77777777" w:rsidR="00006FAB" w:rsidRPr="00E31C97" w:rsidRDefault="00006FAB">
            <w:pPr>
              <w:ind w:left="0" w:right="0"/>
              <w:rPr>
                <w:sz w:val="21"/>
              </w:rPr>
            </w:pPr>
            <w:r w:rsidRPr="00E31C97">
              <w:rPr>
                <w:sz w:val="21"/>
              </w:rPr>
              <w:t>Region</w:t>
            </w:r>
          </w:p>
        </w:tc>
        <w:tc>
          <w:tcPr>
            <w:tcW w:w="1944" w:type="dxa"/>
            <w:tcBorders>
              <w:top w:val="single" w:sz="4" w:space="0" w:color="auto"/>
              <w:left w:val="single" w:sz="4" w:space="0" w:color="auto"/>
              <w:bottom w:val="single" w:sz="4" w:space="0" w:color="auto"/>
              <w:right w:val="single" w:sz="4" w:space="0" w:color="auto"/>
            </w:tcBorders>
          </w:tcPr>
          <w:p w14:paraId="338E6233" w14:textId="77777777" w:rsidR="00006FAB" w:rsidRPr="00E31C97" w:rsidRDefault="00006FAB">
            <w:pPr>
              <w:ind w:left="0" w:right="0"/>
              <w:rPr>
                <w:sz w:val="21"/>
              </w:rPr>
            </w:pPr>
            <w:r w:rsidRPr="00E31C97">
              <w:rPr>
                <w:sz w:val="21"/>
              </w:rPr>
              <w:t>Submission date</w:t>
            </w:r>
          </w:p>
        </w:tc>
        <w:tc>
          <w:tcPr>
            <w:tcW w:w="1710" w:type="dxa"/>
            <w:tcBorders>
              <w:top w:val="single" w:sz="4" w:space="0" w:color="auto"/>
              <w:left w:val="single" w:sz="4" w:space="0" w:color="auto"/>
              <w:bottom w:val="single" w:sz="4" w:space="0" w:color="auto"/>
              <w:right w:val="single" w:sz="4" w:space="0" w:color="auto"/>
            </w:tcBorders>
          </w:tcPr>
          <w:p w14:paraId="785A2028" w14:textId="77777777" w:rsidR="00006FAB" w:rsidRPr="00E31C97" w:rsidRDefault="00006FAB">
            <w:pPr>
              <w:ind w:left="0" w:right="0"/>
              <w:rPr>
                <w:sz w:val="21"/>
              </w:rPr>
            </w:pPr>
            <w:r w:rsidRPr="00E31C97">
              <w:rPr>
                <w:sz w:val="21"/>
              </w:rPr>
              <w:t>Status</w:t>
            </w:r>
          </w:p>
        </w:tc>
        <w:tc>
          <w:tcPr>
            <w:tcW w:w="3870" w:type="dxa"/>
            <w:tcBorders>
              <w:top w:val="single" w:sz="4" w:space="0" w:color="auto"/>
              <w:left w:val="single" w:sz="4" w:space="0" w:color="auto"/>
              <w:bottom w:val="single" w:sz="4" w:space="0" w:color="auto"/>
              <w:right w:val="single" w:sz="4" w:space="0" w:color="auto"/>
            </w:tcBorders>
          </w:tcPr>
          <w:p w14:paraId="3490925F" w14:textId="77777777" w:rsidR="00006FAB" w:rsidRPr="00E31C97" w:rsidRDefault="00006FAB">
            <w:pPr>
              <w:ind w:left="0" w:right="0"/>
              <w:rPr>
                <w:sz w:val="21"/>
              </w:rPr>
            </w:pPr>
            <w:r w:rsidRPr="00E31C97">
              <w:rPr>
                <w:sz w:val="21"/>
              </w:rPr>
              <w:t>Approved indications</w:t>
            </w:r>
          </w:p>
        </w:tc>
      </w:tr>
      <w:tr w:rsidR="00006FAB" w:rsidRPr="00951085" w14:paraId="5303F4EE" w14:textId="77777777" w:rsidTr="004E576E">
        <w:tc>
          <w:tcPr>
            <w:tcW w:w="1291" w:type="dxa"/>
            <w:tcBorders>
              <w:top w:val="single" w:sz="4" w:space="0" w:color="auto"/>
            </w:tcBorders>
          </w:tcPr>
          <w:p w14:paraId="67797A43" w14:textId="5781EF42" w:rsidR="00006FAB" w:rsidRPr="00E31C97" w:rsidRDefault="0008538B">
            <w:pPr>
              <w:ind w:left="0" w:right="0"/>
              <w:rPr>
                <w:sz w:val="21"/>
              </w:rPr>
            </w:pPr>
            <w:r w:rsidRPr="00E31C97">
              <w:rPr>
                <w:sz w:val="21"/>
              </w:rPr>
              <w:t>China</w:t>
            </w:r>
          </w:p>
        </w:tc>
        <w:tc>
          <w:tcPr>
            <w:tcW w:w="1944" w:type="dxa"/>
            <w:tcBorders>
              <w:top w:val="single" w:sz="4" w:space="0" w:color="auto"/>
            </w:tcBorders>
          </w:tcPr>
          <w:p w14:paraId="3A545799" w14:textId="412F1FA9" w:rsidR="00006FAB" w:rsidRPr="00E31C97" w:rsidRDefault="00925FB9">
            <w:pPr>
              <w:ind w:left="0" w:right="0"/>
              <w:rPr>
                <w:sz w:val="21"/>
              </w:rPr>
            </w:pPr>
            <w:r w:rsidRPr="00E31C97">
              <w:rPr>
                <w:sz w:val="21"/>
              </w:rPr>
              <w:t>19 March 2019</w:t>
            </w:r>
          </w:p>
        </w:tc>
        <w:tc>
          <w:tcPr>
            <w:tcW w:w="1710" w:type="dxa"/>
            <w:tcBorders>
              <w:top w:val="single" w:sz="4" w:space="0" w:color="auto"/>
            </w:tcBorders>
          </w:tcPr>
          <w:p w14:paraId="50B15AB4" w14:textId="2B374BF6" w:rsidR="00006FAB" w:rsidRPr="00E31C97" w:rsidRDefault="00006FAB">
            <w:pPr>
              <w:ind w:left="0" w:right="0"/>
              <w:rPr>
                <w:sz w:val="21"/>
              </w:rPr>
            </w:pPr>
            <w:r w:rsidRPr="00E31C97">
              <w:rPr>
                <w:sz w:val="21"/>
              </w:rPr>
              <w:t xml:space="preserve">Approved on </w:t>
            </w:r>
            <w:r w:rsidR="00925FB9" w:rsidRPr="00E31C97">
              <w:rPr>
                <w:sz w:val="21"/>
              </w:rPr>
              <w:t>12</w:t>
            </w:r>
            <w:r w:rsidR="000A2B64">
              <w:rPr>
                <w:sz w:val="21"/>
              </w:rPr>
              <w:t> </w:t>
            </w:r>
            <w:r w:rsidR="00925FB9" w:rsidRPr="00E31C97">
              <w:rPr>
                <w:sz w:val="21"/>
              </w:rPr>
              <w:t>August 2020</w:t>
            </w:r>
          </w:p>
        </w:tc>
        <w:tc>
          <w:tcPr>
            <w:tcW w:w="3870" w:type="dxa"/>
            <w:tcBorders>
              <w:top w:val="single" w:sz="4" w:space="0" w:color="auto"/>
            </w:tcBorders>
          </w:tcPr>
          <w:p w14:paraId="2B4B4B9F" w14:textId="77777777" w:rsidR="00951085" w:rsidRPr="004E576E" w:rsidRDefault="00951085" w:rsidP="004E576E">
            <w:pPr>
              <w:ind w:left="0" w:right="0"/>
              <w:rPr>
                <w:b/>
                <w:bCs/>
                <w:i/>
                <w:sz w:val="21"/>
              </w:rPr>
            </w:pPr>
            <w:r w:rsidRPr="004E576E">
              <w:rPr>
                <w:b/>
                <w:bCs/>
                <w:i/>
                <w:sz w:val="21"/>
              </w:rPr>
              <w:t>Metastatic Breast Cancer:</w:t>
            </w:r>
          </w:p>
          <w:p w14:paraId="02A0D53A" w14:textId="77777777" w:rsidR="00951085" w:rsidRPr="004E576E" w:rsidRDefault="00951085" w:rsidP="004E576E">
            <w:pPr>
              <w:ind w:left="0" w:right="0"/>
              <w:rPr>
                <w:i/>
                <w:sz w:val="21"/>
              </w:rPr>
            </w:pPr>
            <w:r w:rsidRPr="004E576E">
              <w:rPr>
                <w:i/>
                <w:sz w:val="21"/>
              </w:rPr>
              <w:t>This product is indicated for HER2-positive metastatic breast cancer: As a single agent for treatment of HER2-overexpressing breast cancer in patients who have received one or more chemotherapy regimens for metastatic disease; In combination with paclitaxel for first-line treatment of HER2-overexpressing metastatic breast cancer.</w:t>
            </w:r>
          </w:p>
          <w:p w14:paraId="6F20C9F7" w14:textId="77777777" w:rsidR="00951085" w:rsidRPr="004E576E" w:rsidRDefault="00951085" w:rsidP="004E576E">
            <w:pPr>
              <w:ind w:left="0" w:right="0"/>
              <w:rPr>
                <w:b/>
                <w:bCs/>
                <w:i/>
                <w:sz w:val="21"/>
              </w:rPr>
            </w:pPr>
            <w:r w:rsidRPr="004E576E">
              <w:rPr>
                <w:b/>
                <w:bCs/>
                <w:i/>
                <w:sz w:val="21"/>
              </w:rPr>
              <w:t>Early breast cancer:</w:t>
            </w:r>
          </w:p>
          <w:p w14:paraId="57F0F5E7" w14:textId="77777777" w:rsidR="00951085" w:rsidRPr="004E576E" w:rsidRDefault="00951085" w:rsidP="004E576E">
            <w:pPr>
              <w:ind w:left="0" w:right="0"/>
              <w:rPr>
                <w:i/>
                <w:sz w:val="21"/>
              </w:rPr>
            </w:pPr>
            <w:r w:rsidRPr="004E576E">
              <w:rPr>
                <w:i/>
                <w:sz w:val="21"/>
              </w:rPr>
              <w:t>This product is indicated for HER2-positive Early breast cancer:</w:t>
            </w:r>
          </w:p>
          <w:p w14:paraId="52168259" w14:textId="7A15FBBB" w:rsidR="00951085" w:rsidRPr="004E576E" w:rsidRDefault="000A2B64" w:rsidP="004E576E">
            <w:pPr>
              <w:ind w:left="0" w:right="0"/>
              <w:rPr>
                <w:i/>
                <w:sz w:val="21"/>
              </w:rPr>
            </w:pPr>
            <w:r>
              <w:rPr>
                <w:i/>
                <w:sz w:val="21"/>
              </w:rPr>
              <w:t xml:space="preserve">- </w:t>
            </w:r>
            <w:r w:rsidR="00951085" w:rsidRPr="004E576E">
              <w:rPr>
                <w:i/>
                <w:sz w:val="21"/>
              </w:rPr>
              <w:t>Received surgery, adjuvant chemotherapy with anthracycline antibiotics, and radiotherapy (if applicable) after monotherapy.</w:t>
            </w:r>
          </w:p>
          <w:p w14:paraId="44936B98" w14:textId="69F596E4" w:rsidR="00951085" w:rsidRPr="004E576E" w:rsidRDefault="000A2B64" w:rsidP="004E576E">
            <w:pPr>
              <w:ind w:left="0" w:right="0"/>
              <w:rPr>
                <w:i/>
                <w:sz w:val="21"/>
              </w:rPr>
            </w:pPr>
            <w:r>
              <w:rPr>
                <w:i/>
                <w:sz w:val="21"/>
              </w:rPr>
              <w:t xml:space="preserve">- </w:t>
            </w:r>
            <w:r w:rsidR="00951085" w:rsidRPr="004E576E">
              <w:rPr>
                <w:i/>
                <w:sz w:val="21"/>
              </w:rPr>
              <w:t>Doxorubicin and cyclophosphamide chemotherapy followed by combined adjuvant therapy of this product and paclitaxel or docetaxel.</w:t>
            </w:r>
          </w:p>
          <w:p w14:paraId="66938932" w14:textId="654EDEA8" w:rsidR="00951085" w:rsidRPr="004E576E" w:rsidRDefault="000A2B64" w:rsidP="004E576E">
            <w:pPr>
              <w:ind w:left="0" w:right="0"/>
              <w:rPr>
                <w:i/>
                <w:sz w:val="21"/>
              </w:rPr>
            </w:pPr>
            <w:r>
              <w:rPr>
                <w:i/>
                <w:sz w:val="21"/>
              </w:rPr>
              <w:t xml:space="preserve">- </w:t>
            </w:r>
            <w:r w:rsidR="00951085" w:rsidRPr="004E576E">
              <w:rPr>
                <w:i/>
                <w:sz w:val="21"/>
              </w:rPr>
              <w:t>Adjuvant therapy combined with docetaxel and carboplatin.</w:t>
            </w:r>
          </w:p>
          <w:p w14:paraId="45034158" w14:textId="0691B7B6" w:rsidR="00951085" w:rsidRPr="004E576E" w:rsidRDefault="000A2B64" w:rsidP="004E576E">
            <w:pPr>
              <w:ind w:left="0" w:right="0"/>
              <w:rPr>
                <w:i/>
                <w:sz w:val="21"/>
              </w:rPr>
            </w:pPr>
            <w:r>
              <w:rPr>
                <w:i/>
                <w:sz w:val="21"/>
              </w:rPr>
              <w:t xml:space="preserve">- </w:t>
            </w:r>
            <w:r w:rsidR="00951085" w:rsidRPr="004E576E">
              <w:rPr>
                <w:i/>
                <w:sz w:val="21"/>
              </w:rPr>
              <w:t xml:space="preserve">Combined with chemotherapy and neoadjuvant therapy, followed by adjuvant therapy, for locally advanced breast cancer (including inflammatory) or breast cancer with a </w:t>
            </w:r>
            <w:proofErr w:type="spellStart"/>
            <w:r w:rsidR="00951085" w:rsidRPr="004E576E">
              <w:rPr>
                <w:i/>
                <w:sz w:val="21"/>
              </w:rPr>
              <w:t>tumor</w:t>
            </w:r>
            <w:proofErr w:type="spellEnd"/>
            <w:r w:rsidR="00951085" w:rsidRPr="004E576E">
              <w:rPr>
                <w:i/>
                <w:sz w:val="21"/>
              </w:rPr>
              <w:t xml:space="preserve"> diameter &gt; 2 cm.</w:t>
            </w:r>
          </w:p>
          <w:p w14:paraId="3D9F817C" w14:textId="77777777" w:rsidR="004E576E" w:rsidRDefault="00951085" w:rsidP="004E576E">
            <w:pPr>
              <w:ind w:left="0" w:right="0"/>
              <w:rPr>
                <w:b/>
                <w:bCs/>
                <w:i/>
                <w:sz w:val="21"/>
              </w:rPr>
            </w:pPr>
            <w:r w:rsidRPr="004E576E">
              <w:rPr>
                <w:b/>
                <w:bCs/>
                <w:i/>
                <w:sz w:val="21"/>
              </w:rPr>
              <w:t>Metastatic Gastric Cancer:</w:t>
            </w:r>
          </w:p>
          <w:p w14:paraId="65D5ACA1" w14:textId="241E6899" w:rsidR="00951085" w:rsidRPr="004E576E" w:rsidRDefault="00951085" w:rsidP="004E576E">
            <w:pPr>
              <w:ind w:left="0" w:right="0"/>
              <w:rPr>
                <w:i/>
                <w:sz w:val="21"/>
              </w:rPr>
            </w:pPr>
            <w:r w:rsidRPr="004E576E">
              <w:rPr>
                <w:i/>
                <w:sz w:val="21"/>
              </w:rPr>
              <w:t xml:space="preserve">This product combined with </w:t>
            </w:r>
            <w:proofErr w:type="gramStart"/>
            <w:r w:rsidRPr="004E576E">
              <w:rPr>
                <w:i/>
                <w:sz w:val="21"/>
              </w:rPr>
              <w:t>capecitabine</w:t>
            </w:r>
            <w:proofErr w:type="gramEnd"/>
            <w:r w:rsidRPr="004E576E">
              <w:rPr>
                <w:i/>
                <w:sz w:val="21"/>
              </w:rPr>
              <w:t xml:space="preserve"> or 5-fluorouracil and cisplatin is suitable for patients with HER2-positive metastatic gastric adenocarcinoma or gastroesophageal junction adenocarcinoma who have not previously received treatment for metastatic disease.</w:t>
            </w:r>
          </w:p>
          <w:p w14:paraId="3EF1883A" w14:textId="514C86F6" w:rsidR="00006FAB" w:rsidRPr="004E576E" w:rsidRDefault="00951085">
            <w:pPr>
              <w:ind w:left="0" w:right="0"/>
              <w:rPr>
                <w:i/>
                <w:sz w:val="21"/>
              </w:rPr>
            </w:pPr>
            <w:r w:rsidRPr="004E576E">
              <w:rPr>
                <w:i/>
                <w:sz w:val="21"/>
              </w:rPr>
              <w:t>Trastuzumab can only be used in patients with metastatic gastric cancer who are HER2-positive, and HER2-positive is defined as IHC3+ or IHC2+/FISH+ results obtained using a validated test method.</w:t>
            </w:r>
          </w:p>
        </w:tc>
      </w:tr>
      <w:tr w:rsidR="00006FAB" w:rsidRPr="00951085" w14:paraId="048E0131" w14:textId="77777777" w:rsidTr="004E576E">
        <w:tc>
          <w:tcPr>
            <w:tcW w:w="1291" w:type="dxa"/>
          </w:tcPr>
          <w:p w14:paraId="59D842D3" w14:textId="3EB7646C" w:rsidR="00006FAB" w:rsidRPr="00E31C97" w:rsidRDefault="0008538B">
            <w:pPr>
              <w:ind w:left="0" w:right="0"/>
              <w:rPr>
                <w:sz w:val="21"/>
              </w:rPr>
            </w:pPr>
            <w:r w:rsidRPr="00E31C97">
              <w:rPr>
                <w:sz w:val="21"/>
              </w:rPr>
              <w:t>European Union</w:t>
            </w:r>
          </w:p>
        </w:tc>
        <w:tc>
          <w:tcPr>
            <w:tcW w:w="1944" w:type="dxa"/>
          </w:tcPr>
          <w:p w14:paraId="588875DD" w14:textId="33ED2FB7" w:rsidR="00006FAB" w:rsidRPr="00E31C97" w:rsidRDefault="0008538B">
            <w:pPr>
              <w:ind w:left="0" w:right="0"/>
              <w:rPr>
                <w:sz w:val="21"/>
              </w:rPr>
            </w:pPr>
            <w:r w:rsidRPr="00E31C97">
              <w:rPr>
                <w:sz w:val="21"/>
              </w:rPr>
              <w:t>29 May</w:t>
            </w:r>
            <w:r w:rsidR="00925FB9" w:rsidRPr="00E31C97">
              <w:rPr>
                <w:sz w:val="21"/>
              </w:rPr>
              <w:t xml:space="preserve"> 2019</w:t>
            </w:r>
          </w:p>
        </w:tc>
        <w:tc>
          <w:tcPr>
            <w:tcW w:w="1710" w:type="dxa"/>
          </w:tcPr>
          <w:p w14:paraId="061E77A1" w14:textId="0369F503" w:rsidR="00006FAB" w:rsidRPr="00E31C97" w:rsidRDefault="00925FB9">
            <w:pPr>
              <w:ind w:left="0" w:right="0"/>
              <w:rPr>
                <w:sz w:val="21"/>
              </w:rPr>
            </w:pPr>
            <w:r w:rsidRPr="00E31C97">
              <w:rPr>
                <w:sz w:val="21"/>
              </w:rPr>
              <w:t>Approved on 27</w:t>
            </w:r>
            <w:r w:rsidR="000A2B64">
              <w:rPr>
                <w:sz w:val="21"/>
              </w:rPr>
              <w:t> </w:t>
            </w:r>
            <w:r w:rsidRPr="00E31C97">
              <w:rPr>
                <w:sz w:val="21"/>
              </w:rPr>
              <w:t>July 2020</w:t>
            </w:r>
          </w:p>
        </w:tc>
        <w:tc>
          <w:tcPr>
            <w:tcW w:w="3870" w:type="dxa"/>
          </w:tcPr>
          <w:p w14:paraId="5A781927" w14:textId="77777777" w:rsidR="00951085" w:rsidRPr="004E576E" w:rsidRDefault="00951085" w:rsidP="004E576E">
            <w:pPr>
              <w:ind w:left="0" w:right="0"/>
              <w:rPr>
                <w:i/>
                <w:sz w:val="21"/>
              </w:rPr>
            </w:pPr>
            <w:r w:rsidRPr="004E576E">
              <w:rPr>
                <w:b/>
                <w:bCs/>
                <w:i/>
                <w:sz w:val="21"/>
              </w:rPr>
              <w:t>Early breast cancer</w:t>
            </w:r>
            <w:r w:rsidRPr="004E576E">
              <w:rPr>
                <w:i/>
                <w:sz w:val="21"/>
              </w:rPr>
              <w:t xml:space="preserve"> (when the cancer has spread within the breast or to the lymph nodes, under the arm but not to other parts of the body) after surgery, chemotherapy, and radiotherapy if </w:t>
            </w:r>
            <w:r w:rsidRPr="004E576E">
              <w:rPr>
                <w:i/>
                <w:sz w:val="21"/>
              </w:rPr>
              <w:lastRenderedPageBreak/>
              <w:t xml:space="preserve">applicable. It can also be used earlier in treatment, in combination with chemotherapy. For cancers that are locally advanced or more than 2 cm wide, </w:t>
            </w:r>
            <w:proofErr w:type="spellStart"/>
            <w:r w:rsidRPr="004E576E">
              <w:rPr>
                <w:i/>
                <w:sz w:val="21"/>
              </w:rPr>
              <w:t>Zercepac</w:t>
            </w:r>
            <w:proofErr w:type="spellEnd"/>
            <w:r w:rsidRPr="004E576E">
              <w:rPr>
                <w:i/>
                <w:sz w:val="21"/>
              </w:rPr>
              <w:t xml:space="preserve"> is used before surgery in combination with chemotherapy and then again after surgery on its </w:t>
            </w:r>
            <w:proofErr w:type="gramStart"/>
            <w:r w:rsidRPr="004E576E">
              <w:rPr>
                <w:i/>
                <w:sz w:val="21"/>
              </w:rPr>
              <w:t>own;</w:t>
            </w:r>
            <w:proofErr w:type="gramEnd"/>
          </w:p>
          <w:p w14:paraId="4C69D34B" w14:textId="77777777" w:rsidR="00951085" w:rsidRPr="004E576E" w:rsidRDefault="00951085" w:rsidP="004E576E">
            <w:pPr>
              <w:ind w:left="0" w:right="0"/>
              <w:rPr>
                <w:i/>
                <w:sz w:val="21"/>
              </w:rPr>
            </w:pPr>
            <w:r w:rsidRPr="004E576E">
              <w:rPr>
                <w:b/>
                <w:bCs/>
                <w:i/>
                <w:sz w:val="21"/>
              </w:rPr>
              <w:t>Metastatic breast cancer</w:t>
            </w:r>
            <w:r w:rsidRPr="004E576E">
              <w:rPr>
                <w:i/>
                <w:sz w:val="21"/>
              </w:rPr>
              <w:t xml:space="preserve">. It is used on its own when other treatments have not worked or are not suitable. It is also used in combination with other cancer medicines: paclitaxel or docetaxel, or with another type of medicine called an aromatase </w:t>
            </w:r>
            <w:proofErr w:type="gramStart"/>
            <w:r w:rsidRPr="004E576E">
              <w:rPr>
                <w:i/>
                <w:sz w:val="21"/>
              </w:rPr>
              <w:t>inhibitor;</w:t>
            </w:r>
            <w:proofErr w:type="gramEnd"/>
          </w:p>
          <w:p w14:paraId="12DBD431" w14:textId="77777777" w:rsidR="00951085" w:rsidRPr="004E576E" w:rsidRDefault="00951085" w:rsidP="004E576E">
            <w:pPr>
              <w:ind w:left="0" w:right="0"/>
              <w:rPr>
                <w:i/>
                <w:sz w:val="21"/>
              </w:rPr>
            </w:pPr>
            <w:r w:rsidRPr="004E576E">
              <w:rPr>
                <w:b/>
                <w:i/>
                <w:sz w:val="21"/>
              </w:rPr>
              <w:t>Metastatic gastric (stomach) cancer</w:t>
            </w:r>
            <w:r w:rsidRPr="004E576E">
              <w:rPr>
                <w:i/>
                <w:sz w:val="21"/>
              </w:rPr>
              <w:t>, in combination with cisplatin and either capecitabine or fluorouracil.</w:t>
            </w:r>
          </w:p>
          <w:p w14:paraId="59E014E2" w14:textId="16681D84" w:rsidR="00006FAB" w:rsidRPr="004E576E" w:rsidRDefault="00951085">
            <w:pPr>
              <w:ind w:left="0" w:right="0"/>
              <w:rPr>
                <w:i/>
                <w:sz w:val="21"/>
              </w:rPr>
            </w:pPr>
            <w:proofErr w:type="spellStart"/>
            <w:r w:rsidRPr="004E576E">
              <w:rPr>
                <w:i/>
                <w:sz w:val="21"/>
              </w:rPr>
              <w:t>Zercepac</w:t>
            </w:r>
            <w:proofErr w:type="spellEnd"/>
            <w:r w:rsidRPr="004E576E">
              <w:rPr>
                <w:i/>
                <w:sz w:val="21"/>
              </w:rPr>
              <w:t xml:space="preserve"> can only be used when the cancer overexpresses HER2: this means that the cancer produces a protein called HER2 in large quantities on the cancer cells. HER2 is overexpressed in about a quarter of breast cancers and a fifth of gastric cancers.</w:t>
            </w:r>
          </w:p>
        </w:tc>
      </w:tr>
      <w:tr w:rsidR="0008538B" w:rsidRPr="00951085" w14:paraId="615298F7" w14:textId="77777777" w:rsidTr="004E576E">
        <w:tc>
          <w:tcPr>
            <w:tcW w:w="1291" w:type="dxa"/>
          </w:tcPr>
          <w:p w14:paraId="1717B3A3" w14:textId="04161D35" w:rsidR="0008538B" w:rsidRPr="00E31C97" w:rsidRDefault="0008538B" w:rsidP="004E576E">
            <w:pPr>
              <w:ind w:left="0" w:right="0"/>
              <w:rPr>
                <w:sz w:val="21"/>
              </w:rPr>
            </w:pPr>
            <w:r w:rsidRPr="00E31C97">
              <w:rPr>
                <w:sz w:val="21"/>
              </w:rPr>
              <w:lastRenderedPageBreak/>
              <w:t>Switzerland</w:t>
            </w:r>
          </w:p>
        </w:tc>
        <w:tc>
          <w:tcPr>
            <w:tcW w:w="1944" w:type="dxa"/>
          </w:tcPr>
          <w:p w14:paraId="03532A9E" w14:textId="574E764F" w:rsidR="0008538B" w:rsidRPr="00E31C97" w:rsidRDefault="0008538B" w:rsidP="004E576E">
            <w:pPr>
              <w:ind w:left="0" w:right="0"/>
              <w:rPr>
                <w:sz w:val="21"/>
              </w:rPr>
            </w:pPr>
            <w:r w:rsidRPr="00E31C97">
              <w:rPr>
                <w:sz w:val="21"/>
              </w:rPr>
              <w:t>23 December 2019</w:t>
            </w:r>
          </w:p>
        </w:tc>
        <w:tc>
          <w:tcPr>
            <w:tcW w:w="1710" w:type="dxa"/>
          </w:tcPr>
          <w:p w14:paraId="28969DEE" w14:textId="0D74211A" w:rsidR="0008538B" w:rsidRPr="00E31C97" w:rsidRDefault="00406982" w:rsidP="004E576E">
            <w:pPr>
              <w:ind w:left="0" w:right="0"/>
              <w:rPr>
                <w:sz w:val="21"/>
              </w:rPr>
            </w:pPr>
            <w:r w:rsidRPr="00E31C97">
              <w:rPr>
                <w:sz w:val="21"/>
              </w:rPr>
              <w:t>Approved on 6</w:t>
            </w:r>
            <w:r w:rsidR="000A2B64">
              <w:rPr>
                <w:sz w:val="21"/>
              </w:rPr>
              <w:t> </w:t>
            </w:r>
            <w:r w:rsidRPr="00E31C97">
              <w:rPr>
                <w:sz w:val="21"/>
              </w:rPr>
              <w:t>July 2021</w:t>
            </w:r>
          </w:p>
        </w:tc>
        <w:tc>
          <w:tcPr>
            <w:tcW w:w="3870" w:type="dxa"/>
          </w:tcPr>
          <w:p w14:paraId="16ADACA8" w14:textId="12E922FF" w:rsidR="00951085" w:rsidRPr="004E576E" w:rsidRDefault="00951085" w:rsidP="004E576E">
            <w:pPr>
              <w:ind w:left="0" w:right="0"/>
              <w:rPr>
                <w:b/>
                <w:i/>
                <w:sz w:val="21"/>
              </w:rPr>
            </w:pPr>
            <w:r w:rsidRPr="004E576E">
              <w:rPr>
                <w:b/>
                <w:i/>
                <w:sz w:val="21"/>
              </w:rPr>
              <w:t>Breast cancer</w:t>
            </w:r>
          </w:p>
          <w:p w14:paraId="1FC57649" w14:textId="77777777" w:rsidR="00951085" w:rsidRPr="004E576E" w:rsidRDefault="00951085" w:rsidP="004E576E">
            <w:pPr>
              <w:ind w:left="0" w:right="0"/>
              <w:rPr>
                <w:i/>
                <w:sz w:val="21"/>
              </w:rPr>
            </w:pPr>
            <w:r w:rsidRPr="004E576E">
              <w:rPr>
                <w:i/>
                <w:sz w:val="21"/>
              </w:rPr>
              <w:t xml:space="preserve">Overexpression of HER2 must be demonstrated using immunohistochemical methods with 3+ or via molecular biology methods [determination of HER2 gene amplification using fluorescence in situ hybridization (FISH) or chromogenic in situ hybridization (CISH)] in the patient's </w:t>
            </w:r>
            <w:proofErr w:type="spellStart"/>
            <w:r w:rsidRPr="004E576E">
              <w:rPr>
                <w:i/>
                <w:sz w:val="21"/>
              </w:rPr>
              <w:t>tumor</w:t>
            </w:r>
            <w:proofErr w:type="spellEnd"/>
            <w:r w:rsidRPr="004E576E">
              <w:rPr>
                <w:i/>
                <w:sz w:val="21"/>
              </w:rPr>
              <w:t xml:space="preserve"> tissue before starting </w:t>
            </w:r>
            <w:proofErr w:type="spellStart"/>
            <w:r w:rsidRPr="004E576E">
              <w:rPr>
                <w:i/>
                <w:sz w:val="21"/>
              </w:rPr>
              <w:t>Zercepac</w:t>
            </w:r>
            <w:proofErr w:type="spellEnd"/>
            <w:r w:rsidRPr="004E576E">
              <w:rPr>
                <w:i/>
                <w:sz w:val="21"/>
              </w:rPr>
              <w:t xml:space="preserve"> treatment.</w:t>
            </w:r>
          </w:p>
          <w:p w14:paraId="75578C68" w14:textId="77777777" w:rsidR="00951085" w:rsidRPr="004E576E" w:rsidRDefault="00951085" w:rsidP="004E576E">
            <w:pPr>
              <w:ind w:left="0" w:right="0"/>
              <w:rPr>
                <w:b/>
                <w:i/>
                <w:sz w:val="21"/>
              </w:rPr>
            </w:pPr>
            <w:r w:rsidRPr="004E576E">
              <w:rPr>
                <w:b/>
                <w:i/>
                <w:sz w:val="21"/>
              </w:rPr>
              <w:t>Metastatic breast cancer</w:t>
            </w:r>
          </w:p>
          <w:p w14:paraId="3AB27355" w14:textId="77777777" w:rsidR="00951085" w:rsidRPr="004E576E" w:rsidRDefault="00951085" w:rsidP="004E576E">
            <w:pPr>
              <w:ind w:left="0" w:right="0"/>
              <w:rPr>
                <w:i/>
                <w:sz w:val="21"/>
              </w:rPr>
            </w:pPr>
            <w:proofErr w:type="spellStart"/>
            <w:r w:rsidRPr="004E576E">
              <w:rPr>
                <w:i/>
                <w:sz w:val="21"/>
              </w:rPr>
              <w:t>Zercepac</w:t>
            </w:r>
            <w:proofErr w:type="spellEnd"/>
            <w:r w:rsidRPr="004E576E">
              <w:rPr>
                <w:i/>
                <w:sz w:val="21"/>
              </w:rPr>
              <w:t xml:space="preserve"> is indicated for the treatment of patients with metastatic breast cancer when the </w:t>
            </w:r>
            <w:proofErr w:type="spellStart"/>
            <w:r w:rsidRPr="004E576E">
              <w:rPr>
                <w:i/>
                <w:sz w:val="21"/>
              </w:rPr>
              <w:t>tumors</w:t>
            </w:r>
            <w:proofErr w:type="spellEnd"/>
            <w:r w:rsidRPr="004E576E">
              <w:rPr>
                <w:i/>
                <w:sz w:val="21"/>
              </w:rPr>
              <w:t xml:space="preserve"> have an overexpression of HER2:</w:t>
            </w:r>
          </w:p>
          <w:p w14:paraId="6AFF5FF7" w14:textId="14F05F3D" w:rsidR="00951085" w:rsidRPr="004E576E" w:rsidRDefault="00951085" w:rsidP="004E576E">
            <w:pPr>
              <w:ind w:left="0" w:right="0"/>
              <w:rPr>
                <w:i/>
                <w:sz w:val="21"/>
              </w:rPr>
            </w:pPr>
            <w:r w:rsidRPr="004E576E">
              <w:rPr>
                <w:i/>
                <w:sz w:val="21"/>
              </w:rPr>
              <w:t>a.</w:t>
            </w:r>
            <w:r w:rsidR="000A2B64">
              <w:rPr>
                <w:i/>
                <w:sz w:val="21"/>
              </w:rPr>
              <w:t xml:space="preserve"> </w:t>
            </w:r>
            <w:r w:rsidRPr="004E576E">
              <w:rPr>
                <w:i/>
                <w:sz w:val="21"/>
              </w:rPr>
              <w:t>as a mono-therapeutic agent for the treatment of patients who have already received one or more chemotherapy treatments for their metastatic disease,</w:t>
            </w:r>
          </w:p>
          <w:p w14:paraId="621169A2" w14:textId="64826F64" w:rsidR="00951085" w:rsidRPr="004E576E" w:rsidRDefault="00951085" w:rsidP="004E576E">
            <w:pPr>
              <w:ind w:left="0" w:right="0"/>
              <w:rPr>
                <w:i/>
                <w:sz w:val="21"/>
              </w:rPr>
            </w:pPr>
            <w:r w:rsidRPr="004E576E">
              <w:rPr>
                <w:i/>
                <w:sz w:val="21"/>
              </w:rPr>
              <w:t>b.</w:t>
            </w:r>
            <w:r w:rsidR="000A2B64">
              <w:rPr>
                <w:i/>
                <w:sz w:val="21"/>
              </w:rPr>
              <w:t xml:space="preserve"> </w:t>
            </w:r>
            <w:r w:rsidRPr="004E576E">
              <w:rPr>
                <w:i/>
                <w:sz w:val="21"/>
              </w:rPr>
              <w:t>in combination with paclitaxel or docetaxel for the treatment of patients who have not yet received chemotherapy for their metastatic disease,</w:t>
            </w:r>
          </w:p>
          <w:p w14:paraId="510E6310" w14:textId="3B26ABBA" w:rsidR="00951085" w:rsidRPr="004E576E" w:rsidRDefault="00951085" w:rsidP="004E576E">
            <w:pPr>
              <w:ind w:left="0" w:right="0"/>
              <w:rPr>
                <w:i/>
                <w:sz w:val="21"/>
              </w:rPr>
            </w:pPr>
            <w:r w:rsidRPr="004E576E">
              <w:rPr>
                <w:i/>
                <w:sz w:val="21"/>
              </w:rPr>
              <w:lastRenderedPageBreak/>
              <w:t>c.in combination with an aromatase inhibitor for the treatment of post-menopausal patients with hormone receptor-positive metastatic breast cancer who have not yet received chemotherapy for their metastatic disease.</w:t>
            </w:r>
          </w:p>
          <w:p w14:paraId="2FFB3647" w14:textId="77777777" w:rsidR="00951085" w:rsidRPr="004E576E" w:rsidRDefault="00951085" w:rsidP="004E576E">
            <w:pPr>
              <w:ind w:left="0" w:right="0"/>
              <w:rPr>
                <w:i/>
                <w:sz w:val="21"/>
              </w:rPr>
            </w:pPr>
            <w:r w:rsidRPr="004E576E">
              <w:rPr>
                <w:i/>
                <w:sz w:val="21"/>
              </w:rPr>
              <w:t xml:space="preserve">No data are available on patients with breast cancer who received </w:t>
            </w:r>
            <w:proofErr w:type="spellStart"/>
            <w:r w:rsidRPr="004E576E">
              <w:rPr>
                <w:i/>
                <w:sz w:val="21"/>
              </w:rPr>
              <w:t>Zercepac</w:t>
            </w:r>
            <w:proofErr w:type="spellEnd"/>
            <w:r w:rsidRPr="004E576E">
              <w:rPr>
                <w:i/>
                <w:sz w:val="21"/>
              </w:rPr>
              <w:t xml:space="preserve"> as an adjuvant treatment in the early stages of their disease.</w:t>
            </w:r>
          </w:p>
          <w:p w14:paraId="535E16FC" w14:textId="77777777" w:rsidR="00951085" w:rsidRPr="004E576E" w:rsidRDefault="00951085" w:rsidP="004E576E">
            <w:pPr>
              <w:ind w:left="0" w:right="0"/>
              <w:rPr>
                <w:b/>
                <w:i/>
                <w:sz w:val="21"/>
              </w:rPr>
            </w:pPr>
            <w:r w:rsidRPr="004E576E">
              <w:rPr>
                <w:b/>
                <w:i/>
                <w:sz w:val="21"/>
              </w:rPr>
              <w:t>Early-stage breast cancer</w:t>
            </w:r>
          </w:p>
          <w:p w14:paraId="5BA4AF8A" w14:textId="77777777" w:rsidR="00951085" w:rsidRPr="004E576E" w:rsidRDefault="00951085" w:rsidP="004E576E">
            <w:pPr>
              <w:ind w:left="0" w:right="0"/>
              <w:rPr>
                <w:i/>
                <w:sz w:val="21"/>
              </w:rPr>
            </w:pPr>
            <w:proofErr w:type="spellStart"/>
            <w:r w:rsidRPr="004E576E">
              <w:rPr>
                <w:i/>
                <w:sz w:val="21"/>
              </w:rPr>
              <w:t>Zercepac</w:t>
            </w:r>
            <w:proofErr w:type="spellEnd"/>
            <w:r w:rsidRPr="004E576E">
              <w:rPr>
                <w:i/>
                <w:sz w:val="21"/>
              </w:rPr>
              <w:t xml:space="preserve"> is indicated for the treatment of patients suffering from HER2-positive early-stage breast cancer</w:t>
            </w:r>
          </w:p>
          <w:p w14:paraId="57EF33D9" w14:textId="14EDDD5B" w:rsidR="00951085" w:rsidRPr="004E576E" w:rsidRDefault="00314A00" w:rsidP="004E576E">
            <w:pPr>
              <w:ind w:left="0" w:right="0"/>
              <w:rPr>
                <w:i/>
                <w:sz w:val="21"/>
              </w:rPr>
            </w:pPr>
            <w:r>
              <w:rPr>
                <w:i/>
                <w:sz w:val="21"/>
              </w:rPr>
              <w:t xml:space="preserve">- </w:t>
            </w:r>
            <w:r w:rsidR="00951085" w:rsidRPr="004E576E">
              <w:rPr>
                <w:i/>
                <w:sz w:val="21"/>
              </w:rPr>
              <w:t>following surgery, (neo-adjuvant or adjuvant) chemotherapy and (if applicable) radiation therapy.</w:t>
            </w:r>
          </w:p>
          <w:p w14:paraId="0EA4E932" w14:textId="4D7B78BF" w:rsidR="00951085" w:rsidRPr="004E576E" w:rsidRDefault="00314A00" w:rsidP="004E576E">
            <w:pPr>
              <w:ind w:left="0" w:right="0"/>
              <w:rPr>
                <w:i/>
                <w:sz w:val="21"/>
              </w:rPr>
            </w:pPr>
            <w:r>
              <w:rPr>
                <w:i/>
                <w:sz w:val="21"/>
              </w:rPr>
              <w:t xml:space="preserve">- </w:t>
            </w:r>
            <w:r w:rsidR="00951085" w:rsidRPr="004E576E">
              <w:rPr>
                <w:i/>
                <w:sz w:val="21"/>
              </w:rPr>
              <w:t>following adjuvant chemotherapy with doxorubicin and cyclophosphamide, in combination with paclitaxel or docetaxel.</w:t>
            </w:r>
          </w:p>
          <w:p w14:paraId="6792E313" w14:textId="2899D93E" w:rsidR="00951085" w:rsidRPr="004E576E" w:rsidRDefault="00314A00" w:rsidP="004E576E">
            <w:pPr>
              <w:ind w:left="0" w:right="0"/>
              <w:rPr>
                <w:i/>
                <w:sz w:val="21"/>
              </w:rPr>
            </w:pPr>
            <w:r>
              <w:rPr>
                <w:i/>
                <w:sz w:val="21"/>
              </w:rPr>
              <w:t xml:space="preserve">- </w:t>
            </w:r>
            <w:r w:rsidR="00951085" w:rsidRPr="004E576E">
              <w:rPr>
                <w:i/>
                <w:sz w:val="21"/>
              </w:rPr>
              <w:t>in combination with adjuvant chemotherapy consisting of docetaxel and carboplatin.</w:t>
            </w:r>
          </w:p>
          <w:p w14:paraId="091E4DC9" w14:textId="14736504" w:rsidR="00951085" w:rsidRPr="004E576E" w:rsidRDefault="00314A00" w:rsidP="004E576E">
            <w:pPr>
              <w:ind w:left="0" w:right="0"/>
              <w:rPr>
                <w:i/>
                <w:sz w:val="21"/>
              </w:rPr>
            </w:pPr>
            <w:r>
              <w:rPr>
                <w:i/>
                <w:sz w:val="21"/>
              </w:rPr>
              <w:t xml:space="preserve">- </w:t>
            </w:r>
            <w:r w:rsidR="00951085" w:rsidRPr="004E576E">
              <w:rPr>
                <w:i/>
                <w:sz w:val="21"/>
              </w:rPr>
              <w:t xml:space="preserve">in combination with neo-adjuvant chemotherapy followed by adjuvant </w:t>
            </w:r>
            <w:proofErr w:type="spellStart"/>
            <w:r w:rsidR="00951085" w:rsidRPr="004E576E">
              <w:rPr>
                <w:i/>
                <w:sz w:val="21"/>
              </w:rPr>
              <w:t>Zercepac</w:t>
            </w:r>
            <w:proofErr w:type="spellEnd"/>
            <w:r w:rsidR="00951085" w:rsidRPr="004E576E">
              <w:rPr>
                <w:i/>
                <w:sz w:val="21"/>
              </w:rPr>
              <w:t xml:space="preserve"> for locally advanced (including inflammatory) breast cancer or </w:t>
            </w:r>
            <w:proofErr w:type="spellStart"/>
            <w:r w:rsidR="00951085" w:rsidRPr="004E576E">
              <w:rPr>
                <w:i/>
                <w:sz w:val="21"/>
              </w:rPr>
              <w:t>tumors</w:t>
            </w:r>
            <w:proofErr w:type="spellEnd"/>
            <w:r w:rsidR="00951085" w:rsidRPr="004E576E">
              <w:rPr>
                <w:i/>
                <w:sz w:val="21"/>
              </w:rPr>
              <w:t xml:space="preserve"> measuring &gt; 2 cm in diameter.</w:t>
            </w:r>
          </w:p>
          <w:p w14:paraId="6A9AD17D" w14:textId="77777777" w:rsidR="00951085" w:rsidRPr="004E576E" w:rsidRDefault="00951085" w:rsidP="004E576E">
            <w:pPr>
              <w:ind w:left="0" w:right="0"/>
              <w:rPr>
                <w:b/>
                <w:i/>
                <w:sz w:val="21"/>
              </w:rPr>
            </w:pPr>
            <w:r w:rsidRPr="004E576E">
              <w:rPr>
                <w:b/>
                <w:i/>
                <w:sz w:val="21"/>
              </w:rPr>
              <w:t>Metastatic gastric carcinoma or cancer of the esophagogastric junction</w:t>
            </w:r>
          </w:p>
          <w:p w14:paraId="35358596" w14:textId="50638E76" w:rsidR="0008538B" w:rsidRPr="004E576E" w:rsidRDefault="00951085" w:rsidP="004E576E">
            <w:pPr>
              <w:ind w:left="0" w:right="0"/>
              <w:rPr>
                <w:i/>
                <w:sz w:val="21"/>
              </w:rPr>
            </w:pPr>
            <w:proofErr w:type="spellStart"/>
            <w:r w:rsidRPr="004E576E">
              <w:rPr>
                <w:i/>
                <w:sz w:val="21"/>
              </w:rPr>
              <w:t>Zercepac</w:t>
            </w:r>
            <w:proofErr w:type="spellEnd"/>
            <w:r w:rsidRPr="004E576E">
              <w:rPr>
                <w:i/>
                <w:sz w:val="21"/>
              </w:rPr>
              <w:t xml:space="preserve"> in combination with capecitabine or intravenous 5-fluorouracil and cisplatin is indicated for the treatment of patients with HER2-positive metastatic adenocarcinoma of the stomach or gastroesophageal junction who have not yet received chemotherapy for their metastatic disease. </w:t>
            </w:r>
            <w:proofErr w:type="spellStart"/>
            <w:r w:rsidRPr="004E576E">
              <w:rPr>
                <w:i/>
                <w:sz w:val="21"/>
              </w:rPr>
              <w:t>Zercepac</w:t>
            </w:r>
            <w:proofErr w:type="spellEnd"/>
            <w:r w:rsidRPr="004E576E">
              <w:rPr>
                <w:i/>
                <w:sz w:val="21"/>
              </w:rPr>
              <w:t xml:space="preserve"> should only be used in patients with metastatic gastric carcinoma whose </w:t>
            </w:r>
            <w:proofErr w:type="spellStart"/>
            <w:r w:rsidRPr="004E576E">
              <w:rPr>
                <w:i/>
                <w:sz w:val="21"/>
              </w:rPr>
              <w:t>tumors</w:t>
            </w:r>
            <w:proofErr w:type="spellEnd"/>
            <w:r w:rsidRPr="004E576E">
              <w:rPr>
                <w:i/>
                <w:sz w:val="21"/>
              </w:rPr>
              <w:t xml:space="preserve"> have an overexpression of HER2, as defined by IHC2+ and confirmed by a positive FISH+ or silver in situ hybridization (SISH) result, or IHC3+ determined by a validated test.</w:t>
            </w:r>
          </w:p>
        </w:tc>
      </w:tr>
    </w:tbl>
    <w:p w14:paraId="761C5233" w14:textId="1C5C4185" w:rsidR="0008538B" w:rsidRPr="0008538B" w:rsidRDefault="008E7846" w:rsidP="0008538B">
      <w:pPr>
        <w:pStyle w:val="Heading3"/>
      </w:pPr>
      <w:bookmarkStart w:id="22" w:name="_Toc132710835"/>
      <w:r>
        <w:lastRenderedPageBreak/>
        <w:t>Product Information</w:t>
      </w:r>
      <w:bookmarkEnd w:id="19"/>
      <w:bookmarkEnd w:id="20"/>
      <w:bookmarkEnd w:id="22"/>
    </w:p>
    <w:p w14:paraId="11603E72" w14:textId="230CD88D" w:rsidR="00332715" w:rsidRDefault="00332715" w:rsidP="00332715">
      <w:bookmarkStart w:id="23" w:name="_Toc504480011"/>
      <w:bookmarkStart w:id="24" w:name="_Toc247691506"/>
      <w:bookmarkStart w:id="25" w:name="_Toc314842487"/>
      <w:r>
        <w:t xml:space="preserve">The Product Information (PI) approved with the submission which is described in this AusPAR can be found as Attachment 1. For the most recent PI, please refer to the TGA </w:t>
      </w:r>
      <w:hyperlink r:id="rId15" w:history="1">
        <w:r>
          <w:rPr>
            <w:rStyle w:val="Hyperlink"/>
          </w:rPr>
          <w:t>PI/CMI search facility</w:t>
        </w:r>
        <w:r w:rsidRPr="009556D7">
          <w:rPr>
            <w:rStyle w:val="Hyperlink"/>
            <w:color w:val="auto"/>
            <w:u w:val="none"/>
          </w:rPr>
          <w:t>.</w:t>
        </w:r>
      </w:hyperlink>
    </w:p>
    <w:p w14:paraId="5737D948" w14:textId="77777777" w:rsidR="00500337" w:rsidRDefault="00500337" w:rsidP="00500337">
      <w:pPr>
        <w:pStyle w:val="Heading2"/>
      </w:pPr>
      <w:bookmarkStart w:id="26" w:name="_Toc132710836"/>
      <w:r>
        <w:t>Registration timeline</w:t>
      </w:r>
      <w:bookmarkEnd w:id="23"/>
      <w:bookmarkEnd w:id="26"/>
    </w:p>
    <w:p w14:paraId="14977A92" w14:textId="77777777" w:rsidR="0074163C" w:rsidRPr="00C93EC1" w:rsidRDefault="0074163C" w:rsidP="0074163C">
      <w:r w:rsidRPr="00C93EC1">
        <w:t xml:space="preserve">The following table captures the key steps and dates for this </w:t>
      </w:r>
      <w:r w:rsidR="00804D99">
        <w:t>submission</w:t>
      </w:r>
      <w:r w:rsidRPr="00C93EC1">
        <w:t>.</w:t>
      </w:r>
    </w:p>
    <w:p w14:paraId="1727BA1E" w14:textId="761BF5EF" w:rsidR="0074163C" w:rsidRPr="000D4FAE" w:rsidRDefault="0074163C" w:rsidP="000D4FAE">
      <w:pPr>
        <w:pStyle w:val="TableTitle"/>
      </w:pPr>
      <w:r>
        <w:t xml:space="preserve">Table </w:t>
      </w:r>
      <w:fldSimple w:instr=" SEQ Table \* ARABIC ">
        <w:r w:rsidR="00900E2D">
          <w:rPr>
            <w:noProof/>
          </w:rPr>
          <w:t>2</w:t>
        </w:r>
      </w:fldSimple>
      <w:r>
        <w:t>:</w:t>
      </w:r>
      <w:r w:rsidRPr="006A58A8">
        <w:t xml:space="preserve"> Timeline for Submission </w:t>
      </w:r>
      <w:r w:rsidR="000D4FAE" w:rsidRPr="000D4FAE">
        <w:t>PM-2021-00873-1-4</w:t>
      </w:r>
    </w:p>
    <w:tbl>
      <w:tblPr>
        <w:tblStyle w:val="TableTGAblue"/>
        <w:tblW w:w="0" w:type="auto"/>
        <w:tblLook w:val="04A0" w:firstRow="1" w:lastRow="0" w:firstColumn="1" w:lastColumn="0" w:noHBand="0" w:noVBand="1"/>
      </w:tblPr>
      <w:tblGrid>
        <w:gridCol w:w="5665"/>
        <w:gridCol w:w="2829"/>
      </w:tblGrid>
      <w:tr w:rsidR="0074163C" w14:paraId="0EF14872" w14:textId="77777777" w:rsidTr="003C27B7">
        <w:trPr>
          <w:cnfStyle w:val="100000000000" w:firstRow="1" w:lastRow="0" w:firstColumn="0" w:lastColumn="0" w:oddVBand="0" w:evenVBand="0" w:oddHBand="0" w:evenHBand="0" w:firstRowFirstColumn="0" w:firstRowLastColumn="0" w:lastRowFirstColumn="0" w:lastRowLastColumn="0"/>
        </w:trPr>
        <w:tc>
          <w:tcPr>
            <w:tcW w:w="5665" w:type="dxa"/>
            <w:tcBorders>
              <w:top w:val="single" w:sz="4" w:space="0" w:color="auto"/>
              <w:left w:val="single" w:sz="4" w:space="0" w:color="auto"/>
              <w:bottom w:val="single" w:sz="4" w:space="0" w:color="auto"/>
              <w:right w:val="single" w:sz="4" w:space="0" w:color="auto"/>
            </w:tcBorders>
          </w:tcPr>
          <w:p w14:paraId="6A1BCC77" w14:textId="77777777" w:rsidR="0074163C" w:rsidRDefault="0074163C" w:rsidP="009E5A87">
            <w:r>
              <w:t>Description</w:t>
            </w:r>
          </w:p>
        </w:tc>
        <w:tc>
          <w:tcPr>
            <w:tcW w:w="2829" w:type="dxa"/>
            <w:tcBorders>
              <w:top w:val="single" w:sz="4" w:space="0" w:color="auto"/>
              <w:left w:val="single" w:sz="4" w:space="0" w:color="auto"/>
              <w:bottom w:val="single" w:sz="4" w:space="0" w:color="auto"/>
              <w:right w:val="single" w:sz="4" w:space="0" w:color="auto"/>
            </w:tcBorders>
          </w:tcPr>
          <w:p w14:paraId="477FDA94" w14:textId="77777777" w:rsidR="0074163C" w:rsidRDefault="0074163C" w:rsidP="009E5A87">
            <w:r>
              <w:t>Date</w:t>
            </w:r>
          </w:p>
        </w:tc>
      </w:tr>
      <w:tr w:rsidR="0074163C" w14:paraId="61AB7BC6" w14:textId="77777777" w:rsidTr="003C27B7">
        <w:tc>
          <w:tcPr>
            <w:tcW w:w="5665" w:type="dxa"/>
            <w:tcBorders>
              <w:top w:val="single" w:sz="4" w:space="0" w:color="auto"/>
            </w:tcBorders>
          </w:tcPr>
          <w:p w14:paraId="5974E75F" w14:textId="77777777" w:rsidR="0074163C" w:rsidRDefault="0074163C" w:rsidP="009E5A87">
            <w:r>
              <w:t>Submission dossier accepted and first round evaluation commenced</w:t>
            </w:r>
          </w:p>
        </w:tc>
        <w:tc>
          <w:tcPr>
            <w:tcW w:w="2829" w:type="dxa"/>
            <w:tcBorders>
              <w:top w:val="single" w:sz="4" w:space="0" w:color="auto"/>
            </w:tcBorders>
          </w:tcPr>
          <w:p w14:paraId="74DD1CEC" w14:textId="27F5BCB0" w:rsidR="0074163C" w:rsidRDefault="000D4FAE" w:rsidP="009E5A87">
            <w:r>
              <w:t>2 July 2021</w:t>
            </w:r>
          </w:p>
        </w:tc>
      </w:tr>
      <w:tr w:rsidR="0074163C" w14:paraId="20500AC0" w14:textId="77777777" w:rsidTr="003C27B7">
        <w:tc>
          <w:tcPr>
            <w:tcW w:w="5665" w:type="dxa"/>
          </w:tcPr>
          <w:p w14:paraId="0AB84675" w14:textId="77777777" w:rsidR="0074163C" w:rsidRDefault="0074163C" w:rsidP="009E5A87">
            <w:r>
              <w:t>First round evaluation completed</w:t>
            </w:r>
          </w:p>
        </w:tc>
        <w:tc>
          <w:tcPr>
            <w:tcW w:w="2829" w:type="dxa"/>
          </w:tcPr>
          <w:p w14:paraId="5A739CB7" w14:textId="0CBD048E" w:rsidR="0074163C" w:rsidRDefault="000D4FAE" w:rsidP="009E5A87">
            <w:r>
              <w:t>25 February 2022</w:t>
            </w:r>
          </w:p>
        </w:tc>
      </w:tr>
      <w:tr w:rsidR="0074163C" w14:paraId="31D1294E" w14:textId="77777777" w:rsidTr="003C27B7">
        <w:tc>
          <w:tcPr>
            <w:tcW w:w="5665" w:type="dxa"/>
          </w:tcPr>
          <w:p w14:paraId="39B91B4D" w14:textId="77777777" w:rsidR="0074163C" w:rsidRDefault="0074163C" w:rsidP="009E5A87">
            <w:r>
              <w:t>Sponsor provides responses on questions raised in first round evaluation</w:t>
            </w:r>
          </w:p>
        </w:tc>
        <w:tc>
          <w:tcPr>
            <w:tcW w:w="2829" w:type="dxa"/>
          </w:tcPr>
          <w:p w14:paraId="0D59319E" w14:textId="3ED6830A" w:rsidR="0074163C" w:rsidRDefault="000D4FAE" w:rsidP="009E5A87">
            <w:r>
              <w:t>9 March 2022</w:t>
            </w:r>
          </w:p>
        </w:tc>
      </w:tr>
      <w:tr w:rsidR="0074163C" w14:paraId="418B049B" w14:textId="77777777" w:rsidTr="003C27B7">
        <w:tc>
          <w:tcPr>
            <w:tcW w:w="5665" w:type="dxa"/>
          </w:tcPr>
          <w:p w14:paraId="402A63F0" w14:textId="77777777" w:rsidR="0074163C" w:rsidRDefault="0074163C" w:rsidP="009E5A87">
            <w:r>
              <w:t>Second round evaluation completed</w:t>
            </w:r>
          </w:p>
        </w:tc>
        <w:tc>
          <w:tcPr>
            <w:tcW w:w="2829" w:type="dxa"/>
          </w:tcPr>
          <w:p w14:paraId="3548B66B" w14:textId="6A81BB81" w:rsidR="0074163C" w:rsidRDefault="000D4FAE" w:rsidP="009E5A87">
            <w:r>
              <w:t>4 May 2022</w:t>
            </w:r>
          </w:p>
        </w:tc>
      </w:tr>
      <w:tr w:rsidR="0074163C" w14:paraId="7FF4B9B2" w14:textId="77777777" w:rsidTr="003C27B7">
        <w:tc>
          <w:tcPr>
            <w:tcW w:w="5665" w:type="dxa"/>
          </w:tcPr>
          <w:p w14:paraId="0D3C9111" w14:textId="3684899B" w:rsidR="0074163C" w:rsidRDefault="0074163C" w:rsidP="009E5A87">
            <w:r>
              <w:t>Delegate’s Overall benefit-risk assessment</w:t>
            </w:r>
          </w:p>
        </w:tc>
        <w:tc>
          <w:tcPr>
            <w:tcW w:w="2829" w:type="dxa"/>
          </w:tcPr>
          <w:p w14:paraId="6795FC16" w14:textId="2A3399F8" w:rsidR="0074163C" w:rsidRDefault="000D4FAE" w:rsidP="009E5A87">
            <w:r>
              <w:t>3 May 2022</w:t>
            </w:r>
          </w:p>
        </w:tc>
      </w:tr>
      <w:tr w:rsidR="0074163C" w14:paraId="634D2C98" w14:textId="77777777" w:rsidTr="003C27B7">
        <w:tc>
          <w:tcPr>
            <w:tcW w:w="5665" w:type="dxa"/>
          </w:tcPr>
          <w:p w14:paraId="7537AEB5" w14:textId="77777777" w:rsidR="0074163C" w:rsidRDefault="0074163C" w:rsidP="009E5A87">
            <w:r>
              <w:t>Registration decision (Outcome)</w:t>
            </w:r>
          </w:p>
        </w:tc>
        <w:tc>
          <w:tcPr>
            <w:tcW w:w="2829" w:type="dxa"/>
          </w:tcPr>
          <w:p w14:paraId="7436544E" w14:textId="5F3FED58" w:rsidR="0074163C" w:rsidRDefault="000D4FAE" w:rsidP="009E5A87">
            <w:r>
              <w:t>7 July 2022</w:t>
            </w:r>
          </w:p>
        </w:tc>
      </w:tr>
      <w:tr w:rsidR="0074163C" w14:paraId="6E2646B1" w14:textId="77777777" w:rsidTr="003C27B7">
        <w:tc>
          <w:tcPr>
            <w:tcW w:w="5665" w:type="dxa"/>
          </w:tcPr>
          <w:p w14:paraId="22B4B197" w14:textId="77777777" w:rsidR="0074163C" w:rsidRDefault="0074163C" w:rsidP="009E5A87">
            <w:r w:rsidRPr="005A79F5">
              <w:t>Completion of administrative activities and registration on the ARTG</w:t>
            </w:r>
          </w:p>
        </w:tc>
        <w:tc>
          <w:tcPr>
            <w:tcW w:w="2829" w:type="dxa"/>
          </w:tcPr>
          <w:p w14:paraId="090DB6B0" w14:textId="5123B4FB" w:rsidR="0074163C" w:rsidRDefault="000D4FAE" w:rsidP="009E5A87">
            <w:r>
              <w:t>18 July 2022</w:t>
            </w:r>
          </w:p>
        </w:tc>
      </w:tr>
      <w:tr w:rsidR="0074163C" w14:paraId="2E93BC00" w14:textId="77777777" w:rsidTr="003C27B7">
        <w:tc>
          <w:tcPr>
            <w:tcW w:w="5665" w:type="dxa"/>
          </w:tcPr>
          <w:p w14:paraId="4D72DC73" w14:textId="77777777" w:rsidR="0074163C" w:rsidRDefault="0074163C" w:rsidP="009E5A87">
            <w:r>
              <w:t>Number of working days from submission dossier acceptance to registration decision*</w:t>
            </w:r>
          </w:p>
        </w:tc>
        <w:tc>
          <w:tcPr>
            <w:tcW w:w="2829" w:type="dxa"/>
          </w:tcPr>
          <w:p w14:paraId="4A801433" w14:textId="597A02DE" w:rsidR="0074163C" w:rsidRDefault="000D4FAE" w:rsidP="009E5A87">
            <w:r>
              <w:t>216</w:t>
            </w:r>
          </w:p>
        </w:tc>
      </w:tr>
    </w:tbl>
    <w:p w14:paraId="74A00CCF" w14:textId="77777777" w:rsidR="0074163C" w:rsidRDefault="0074163C" w:rsidP="0074163C">
      <w:pPr>
        <w:pStyle w:val="TableDescription"/>
      </w:pPr>
      <w:r>
        <w:t>*</w:t>
      </w:r>
      <w:r w:rsidRPr="00BF3774">
        <w:t xml:space="preserve">Statutory </w:t>
      </w:r>
      <w:r>
        <w:t xml:space="preserve">timeframe for standard </w:t>
      </w:r>
      <w:r w:rsidR="00BB0B78">
        <w:t>submission</w:t>
      </w:r>
      <w:r>
        <w:t>s is 255 working days</w:t>
      </w:r>
    </w:p>
    <w:p w14:paraId="7578BF45" w14:textId="77777777" w:rsidR="008E7846" w:rsidRPr="00792A32" w:rsidRDefault="00006FAB" w:rsidP="008E7846">
      <w:pPr>
        <w:pStyle w:val="Heading2"/>
      </w:pPr>
      <w:bookmarkStart w:id="27" w:name="_Toc196046504"/>
      <w:bookmarkStart w:id="28" w:name="_Toc247691527"/>
      <w:bookmarkStart w:id="29" w:name="_Toc314842510"/>
      <w:bookmarkStart w:id="30" w:name="_Toc132710837"/>
      <w:bookmarkStart w:id="31" w:name="_Toc163441390"/>
      <w:bookmarkEnd w:id="24"/>
      <w:bookmarkEnd w:id="25"/>
      <w:bookmarkEnd w:id="1"/>
      <w:r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0"/>
    </w:p>
    <w:p w14:paraId="344EAD28" w14:textId="537C89AD" w:rsidR="005A79F5" w:rsidRDefault="005A79F5" w:rsidP="0074163C">
      <w:pPr>
        <w:pStyle w:val="Instructions"/>
        <w:rPr>
          <w:i w:val="0"/>
          <w:color w:val="auto"/>
        </w:rPr>
      </w:pPr>
      <w:bookmarkStart w:id="32" w:name="_Toc247691528"/>
      <w:bookmarkStart w:id="33" w:name="_Toc314842511"/>
      <w:r w:rsidRPr="005A79F5">
        <w:rPr>
          <w:i w:val="0"/>
          <w:color w:val="auto"/>
        </w:rPr>
        <w:t>A summary of the TGA’s assessment for this submission is provided below</w:t>
      </w:r>
      <w:r>
        <w:rPr>
          <w:i w:val="0"/>
          <w:color w:val="auto"/>
        </w:rPr>
        <w:t>.</w:t>
      </w:r>
    </w:p>
    <w:p w14:paraId="6BBA9114" w14:textId="7497BB30" w:rsidR="00187BD1" w:rsidRDefault="00187BD1" w:rsidP="004E576E">
      <w:bookmarkStart w:id="34" w:name="_Hlk132710329"/>
      <w:r>
        <w:t>The following guidance documents were considered applicable to this submission:</w:t>
      </w:r>
    </w:p>
    <w:p w14:paraId="28C47D60" w14:textId="29B6B901" w:rsidR="00B664E9" w:rsidRDefault="00F3658C" w:rsidP="004E576E">
      <w:pPr>
        <w:pStyle w:val="ListBullet"/>
      </w:pPr>
      <w:r>
        <w:t xml:space="preserve">European Medicines Agency (EMA): </w:t>
      </w:r>
      <w:hyperlink r:id="rId16" w:history="1">
        <w:r w:rsidRPr="00382669">
          <w:rPr>
            <w:rStyle w:val="Hyperlink"/>
          </w:rPr>
          <w:t>Guideline on similar biological medicinal products</w:t>
        </w:r>
      </w:hyperlink>
      <w:r>
        <w:t xml:space="preserve">. </w:t>
      </w:r>
      <w:r w:rsidR="00A5577F">
        <w:t>(</w:t>
      </w:r>
      <w:r>
        <w:t>CHMP/437/04 Rev. 1</w:t>
      </w:r>
      <w:r w:rsidR="00A5577F">
        <w:t>).</w:t>
      </w:r>
    </w:p>
    <w:p w14:paraId="7BF50FC7" w14:textId="037E8BC4" w:rsidR="00F3658C" w:rsidRDefault="00382669" w:rsidP="004E576E">
      <w:pPr>
        <w:pStyle w:val="ListBullet"/>
        <w:numPr>
          <w:ilvl w:val="0"/>
          <w:numId w:val="0"/>
        </w:numPr>
        <w:ind w:left="360"/>
      </w:pPr>
      <w:r>
        <w:t xml:space="preserve">TGA-adopted, effective </w:t>
      </w:r>
      <w:r w:rsidRPr="00382669">
        <w:t>date: 25 May 2015</w:t>
      </w:r>
      <w:r>
        <w:t>.</w:t>
      </w:r>
    </w:p>
    <w:p w14:paraId="45FB42A9" w14:textId="61E4137C" w:rsidR="00B664E9" w:rsidRDefault="00382669" w:rsidP="004E576E">
      <w:pPr>
        <w:pStyle w:val="ListBullet"/>
      </w:pPr>
      <w:r>
        <w:t xml:space="preserve">EMA: </w:t>
      </w:r>
      <w:hyperlink r:id="rId17" w:history="1">
        <w:r w:rsidRPr="00A5577F">
          <w:rPr>
            <w:rStyle w:val="Hyperlink"/>
          </w:rPr>
          <w:t xml:space="preserve">Annex to guideline on similar biological medicinal products containing biotechnology-derived proteins as active substance: Non-clinical and clinical </w:t>
        </w:r>
        <w:r w:rsidR="00A5577F">
          <w:rPr>
            <w:rStyle w:val="Hyperlink"/>
          </w:rPr>
          <w:t xml:space="preserve"> </w:t>
        </w:r>
        <w:r w:rsidRPr="00A5577F">
          <w:rPr>
            <w:rStyle w:val="Hyperlink"/>
          </w:rPr>
          <w:t>issues</w:t>
        </w:r>
      </w:hyperlink>
      <w:r w:rsidR="00A5577F">
        <w:t xml:space="preserve"> (EMEA/CHMP/BMWP/31329/2005).</w:t>
      </w:r>
    </w:p>
    <w:p w14:paraId="41599B61" w14:textId="7B995FC0" w:rsidR="00382669" w:rsidRPr="00187BD1" w:rsidRDefault="00A5577F" w:rsidP="004E576E">
      <w:pPr>
        <w:pStyle w:val="ListBullet"/>
        <w:numPr>
          <w:ilvl w:val="0"/>
          <w:numId w:val="0"/>
        </w:numPr>
        <w:ind w:left="360"/>
      </w:pPr>
      <w:r>
        <w:t>TGA</w:t>
      </w:r>
      <w:r>
        <w:noBreakHyphen/>
        <w:t>adopted, effective date: 29 September 2006.</w:t>
      </w:r>
    </w:p>
    <w:p w14:paraId="606A3850" w14:textId="05CC57C3" w:rsidR="00B664E9" w:rsidRDefault="00A5577F" w:rsidP="004E576E">
      <w:pPr>
        <w:pStyle w:val="ListBullet"/>
      </w:pPr>
      <w:r>
        <w:t xml:space="preserve">EMA: </w:t>
      </w:r>
      <w:hyperlink r:id="rId18" w:history="1">
        <w:r w:rsidRPr="00A5577F">
          <w:rPr>
            <w:rStyle w:val="Hyperlink"/>
          </w:rPr>
          <w:t>Guideline on similar biological medicinal products containing biotechnology-derived proteins as active substance: non-clinical and clinical issues</w:t>
        </w:r>
      </w:hyperlink>
      <w:r>
        <w:t xml:space="preserve"> </w:t>
      </w:r>
      <w:r w:rsidR="00187BD1">
        <w:t>(EMEA/CHMP/BMWP/42832/2005</w:t>
      </w:r>
      <w:r>
        <w:t xml:space="preserve"> Rev. 1</w:t>
      </w:r>
      <w:r w:rsidR="00187BD1">
        <w:t>)</w:t>
      </w:r>
      <w:r w:rsidR="00B664E9">
        <w:t>.</w:t>
      </w:r>
    </w:p>
    <w:p w14:paraId="5B64CA05" w14:textId="71583806" w:rsidR="00187BD1" w:rsidRDefault="00A5577F" w:rsidP="004E576E">
      <w:pPr>
        <w:pStyle w:val="ListBullet"/>
        <w:numPr>
          <w:ilvl w:val="0"/>
          <w:numId w:val="0"/>
        </w:numPr>
        <w:ind w:left="360"/>
      </w:pPr>
      <w:r>
        <w:lastRenderedPageBreak/>
        <w:t>TGA-adopted, effective date: 1 July 2015.</w:t>
      </w:r>
    </w:p>
    <w:p w14:paraId="570E29B2" w14:textId="0B4F93E8" w:rsidR="00B664E9" w:rsidRDefault="00A5577F" w:rsidP="004E576E">
      <w:pPr>
        <w:pStyle w:val="ListBullet"/>
      </w:pPr>
      <w:r>
        <w:t xml:space="preserve">EMA: </w:t>
      </w:r>
      <w:hyperlink r:id="rId19" w:history="1">
        <w:r w:rsidR="00187BD1" w:rsidRPr="00A5577F">
          <w:rPr>
            <w:rStyle w:val="Hyperlink"/>
          </w:rPr>
          <w:t>Clinical Investigation of the Pharmacok</w:t>
        </w:r>
        <w:r w:rsidRPr="00A5577F">
          <w:rPr>
            <w:rStyle w:val="Hyperlink"/>
          </w:rPr>
          <w:t>inetics of Therapeutic Proteins</w:t>
        </w:r>
      </w:hyperlink>
      <w:r>
        <w:t xml:space="preserve"> </w:t>
      </w:r>
      <w:r w:rsidR="00187BD1">
        <w:t>(CHMP/EWP/89249/2004)</w:t>
      </w:r>
      <w:r>
        <w:t>.</w:t>
      </w:r>
    </w:p>
    <w:p w14:paraId="1FD24B65" w14:textId="79128891" w:rsidR="00187BD1" w:rsidRDefault="00A5577F" w:rsidP="004E576E">
      <w:pPr>
        <w:pStyle w:val="ListBullet"/>
        <w:numPr>
          <w:ilvl w:val="0"/>
          <w:numId w:val="0"/>
        </w:numPr>
        <w:ind w:left="360"/>
      </w:pPr>
      <w:r>
        <w:t>TGA-adopted, effective date: 6 January 2006.</w:t>
      </w:r>
    </w:p>
    <w:p w14:paraId="0EE7FA9B" w14:textId="06E9EA60" w:rsidR="00B664E9" w:rsidRDefault="00A5577F" w:rsidP="004E576E">
      <w:pPr>
        <w:pStyle w:val="ListBullet"/>
      </w:pPr>
      <w:r>
        <w:t xml:space="preserve">EMA: </w:t>
      </w:r>
      <w:hyperlink r:id="rId20" w:history="1">
        <w:r w:rsidRPr="00A5577F">
          <w:rPr>
            <w:rStyle w:val="Hyperlink"/>
          </w:rPr>
          <w:t>Guideline on the investigation of b</w:t>
        </w:r>
        <w:r w:rsidR="00187BD1" w:rsidRPr="00A5577F">
          <w:rPr>
            <w:rStyle w:val="Hyperlink"/>
          </w:rPr>
          <w:t>ioequivalence</w:t>
        </w:r>
      </w:hyperlink>
      <w:r w:rsidR="00187BD1">
        <w:t xml:space="preserve"> (CPMP/EWP</w:t>
      </w:r>
      <w:r>
        <w:t>/QWP/1401/98 Rev. </w:t>
      </w:r>
      <w:r w:rsidR="00187BD1">
        <w:t xml:space="preserve">1/ </w:t>
      </w:r>
      <w:proofErr w:type="spellStart"/>
      <w:r w:rsidR="00187BD1">
        <w:t>Corr</w:t>
      </w:r>
      <w:proofErr w:type="spellEnd"/>
      <w:r w:rsidR="00187BD1">
        <w:t xml:space="preserve"> **)</w:t>
      </w:r>
      <w:r w:rsidR="00B664E9">
        <w:t>.</w:t>
      </w:r>
    </w:p>
    <w:p w14:paraId="61A31AA3" w14:textId="62FFEB05" w:rsidR="00187BD1" w:rsidRDefault="00A5577F" w:rsidP="004E576E">
      <w:pPr>
        <w:pStyle w:val="ListBullet"/>
        <w:numPr>
          <w:ilvl w:val="0"/>
          <w:numId w:val="0"/>
        </w:numPr>
        <w:ind w:left="360"/>
      </w:pPr>
      <w:r>
        <w:t>TGA-adopted, effective date: 16 June 2011.</w:t>
      </w:r>
    </w:p>
    <w:p w14:paraId="2B1F4948" w14:textId="56D1161A" w:rsidR="00B664E9" w:rsidRDefault="00A5577F" w:rsidP="004E576E">
      <w:pPr>
        <w:pStyle w:val="ListBullet"/>
      </w:pPr>
      <w:r>
        <w:t xml:space="preserve">EMA: </w:t>
      </w:r>
      <w:hyperlink r:id="rId21" w:history="1">
        <w:r w:rsidR="00187BD1" w:rsidRPr="00B664E9">
          <w:rPr>
            <w:rStyle w:val="Hyperlink"/>
          </w:rPr>
          <w:t xml:space="preserve">Guideline on </w:t>
        </w:r>
        <w:r w:rsidRPr="00B664E9">
          <w:rPr>
            <w:rStyle w:val="Hyperlink"/>
          </w:rPr>
          <w:t>immunogenicity assessment of biotechnology-derived therapeutic proteins</w:t>
        </w:r>
      </w:hyperlink>
      <w:r>
        <w:t xml:space="preserve"> </w:t>
      </w:r>
      <w:r w:rsidR="00B664E9">
        <w:t>(EMEA/CHMP/BMWP/14327/2006).</w:t>
      </w:r>
    </w:p>
    <w:p w14:paraId="79AA1CA7" w14:textId="1B95A1B9" w:rsidR="00187BD1" w:rsidRDefault="00B664E9" w:rsidP="004E576E">
      <w:pPr>
        <w:pStyle w:val="ListBullet"/>
        <w:numPr>
          <w:ilvl w:val="0"/>
          <w:numId w:val="0"/>
        </w:numPr>
        <w:ind w:left="360"/>
      </w:pPr>
      <w:r>
        <w:t>TGA-adopted, effective date: 22 June 2009</w:t>
      </w:r>
    </w:p>
    <w:p w14:paraId="3E8537B4" w14:textId="77777777" w:rsidR="00986E2D" w:rsidRDefault="00B20EC3" w:rsidP="004E576E">
      <w:pPr>
        <w:pStyle w:val="ListBullet"/>
      </w:pPr>
      <w:r>
        <w:t xml:space="preserve">EMA: </w:t>
      </w:r>
      <w:hyperlink r:id="rId22" w:history="1">
        <w:r w:rsidRPr="00C040A9">
          <w:rPr>
            <w:rStyle w:val="Hyperlink"/>
          </w:rPr>
          <w:t>Guideline on similar biological medicinal products containing monoclonal antibodies - non-clinical and clinical issues</w:t>
        </w:r>
      </w:hyperlink>
      <w:r>
        <w:t xml:space="preserve"> (EMA/CHMP/BMWP/403543/2010). </w:t>
      </w:r>
    </w:p>
    <w:p w14:paraId="7279FA20" w14:textId="7A3AD834" w:rsidR="00B20EC3" w:rsidRDefault="00B20EC3" w:rsidP="00986E2D">
      <w:pPr>
        <w:pStyle w:val="ListBullet"/>
        <w:numPr>
          <w:ilvl w:val="0"/>
          <w:numId w:val="0"/>
        </w:numPr>
        <w:ind w:left="360"/>
      </w:pPr>
      <w:r>
        <w:t xml:space="preserve">TGA-adopted, effective date: </w:t>
      </w:r>
      <w:r w:rsidRPr="00C040A9">
        <w:t>17 Aug</w:t>
      </w:r>
      <w:r>
        <w:t>ust</w:t>
      </w:r>
      <w:r w:rsidRPr="00C040A9">
        <w:t xml:space="preserve"> 2015</w:t>
      </w:r>
    </w:p>
    <w:p w14:paraId="5C1AF335" w14:textId="77777777" w:rsidR="00986E2D" w:rsidRDefault="00B20EC3" w:rsidP="004E576E">
      <w:pPr>
        <w:pStyle w:val="ListBullet"/>
      </w:pPr>
      <w:r>
        <w:t xml:space="preserve">EMA: </w:t>
      </w:r>
      <w:hyperlink r:id="rId23" w:history="1">
        <w:r w:rsidRPr="00C040A9">
          <w:rPr>
            <w:rStyle w:val="Hyperlink"/>
          </w:rPr>
          <w:t>Guideline on immunogenicity assessment of biotechnology-derived therapeutic proteins</w:t>
        </w:r>
      </w:hyperlink>
      <w:r>
        <w:t xml:space="preserve"> (EMEA/CHMP/BMWP/14327/2006). </w:t>
      </w:r>
    </w:p>
    <w:p w14:paraId="4C7D9044" w14:textId="17B6D520" w:rsidR="00B20EC3" w:rsidRDefault="00B20EC3" w:rsidP="00986E2D">
      <w:pPr>
        <w:pStyle w:val="ListBullet"/>
        <w:numPr>
          <w:ilvl w:val="0"/>
          <w:numId w:val="0"/>
        </w:numPr>
        <w:ind w:left="360"/>
      </w:pPr>
      <w:r>
        <w:t>TGA-adopted, effective date: 22 June 2009</w:t>
      </w:r>
    </w:p>
    <w:p w14:paraId="0BEB2D69" w14:textId="77777777" w:rsidR="00986E2D" w:rsidRDefault="00B20EC3" w:rsidP="004E576E">
      <w:pPr>
        <w:pStyle w:val="ListBullet"/>
      </w:pPr>
      <w:r>
        <w:t xml:space="preserve">EMA: </w:t>
      </w:r>
      <w:hyperlink r:id="rId24" w:history="1">
        <w:r w:rsidRPr="00B20EC3">
          <w:rPr>
            <w:rStyle w:val="Hyperlink"/>
          </w:rPr>
          <w:t>Guideline on the evaluation of anticancer medicinal products in man</w:t>
        </w:r>
      </w:hyperlink>
      <w:r>
        <w:t xml:space="preserve"> (EMA/CHMP/205/95/Rev.4). </w:t>
      </w:r>
    </w:p>
    <w:p w14:paraId="08145740" w14:textId="10F11624" w:rsidR="00B20EC3" w:rsidRDefault="00B20EC3" w:rsidP="00986E2D">
      <w:pPr>
        <w:pStyle w:val="ListBullet"/>
        <w:numPr>
          <w:ilvl w:val="0"/>
          <w:numId w:val="0"/>
        </w:numPr>
        <w:ind w:left="360"/>
      </w:pPr>
      <w:r>
        <w:t xml:space="preserve">TGA-adopted, effective date: </w:t>
      </w:r>
      <w:r w:rsidRPr="00B20EC3">
        <w:t>1 Apr</w:t>
      </w:r>
      <w:r>
        <w:t>il</w:t>
      </w:r>
      <w:r w:rsidRPr="00B20EC3">
        <w:t xml:space="preserve"> 2014</w:t>
      </w:r>
    </w:p>
    <w:p w14:paraId="3CE64105" w14:textId="77777777" w:rsidR="00986E2D" w:rsidRDefault="00B20EC3" w:rsidP="004E576E">
      <w:pPr>
        <w:pStyle w:val="ListBullet"/>
      </w:pPr>
      <w:r>
        <w:t xml:space="preserve">EMA: </w:t>
      </w:r>
      <w:hyperlink r:id="rId25" w:history="1">
        <w:r w:rsidRPr="00B20EC3">
          <w:rPr>
            <w:rStyle w:val="Hyperlink"/>
          </w:rPr>
          <w:t>Appendix 4 to the guideline on the evaluation of anticancer medicinal products in man</w:t>
        </w:r>
      </w:hyperlink>
      <w:r>
        <w:t xml:space="preserve"> (EMA/CHMP/703715/2012 Rev. 2). </w:t>
      </w:r>
    </w:p>
    <w:p w14:paraId="5669E87C" w14:textId="5839CFD0" w:rsidR="00B20EC3" w:rsidRDefault="00B20EC3" w:rsidP="00986E2D">
      <w:pPr>
        <w:pStyle w:val="ListBullet"/>
        <w:numPr>
          <w:ilvl w:val="0"/>
          <w:numId w:val="0"/>
        </w:numPr>
        <w:ind w:left="360"/>
      </w:pPr>
      <w:r>
        <w:t>TGA-adopted, effective date: 15 February 2016.</w:t>
      </w:r>
    </w:p>
    <w:p w14:paraId="4101D7E6" w14:textId="3601C122" w:rsidR="00B664E9" w:rsidRDefault="00B664E9" w:rsidP="004E576E">
      <w:pPr>
        <w:pStyle w:val="ListBullet"/>
      </w:pPr>
      <w:r>
        <w:t xml:space="preserve">TGA: </w:t>
      </w:r>
      <w:hyperlink r:id="rId26" w:history="1">
        <w:r w:rsidRPr="00B664E9">
          <w:rPr>
            <w:rStyle w:val="Hyperlink"/>
          </w:rPr>
          <w:t>Guideline on b</w:t>
        </w:r>
        <w:r w:rsidR="00187BD1" w:rsidRPr="00B664E9">
          <w:rPr>
            <w:rStyle w:val="Hyperlink"/>
          </w:rPr>
          <w:t>iosimilar medicines regulation by Aust</w:t>
        </w:r>
        <w:r w:rsidRPr="00B664E9">
          <w:rPr>
            <w:rStyle w:val="Hyperlink"/>
          </w:rPr>
          <w:t xml:space="preserve">ralian Government Department of </w:t>
        </w:r>
        <w:r w:rsidR="00187BD1" w:rsidRPr="00B664E9">
          <w:rPr>
            <w:rStyle w:val="Hyperlink"/>
          </w:rPr>
          <w:t>Health</w:t>
        </w:r>
      </w:hyperlink>
      <w:r>
        <w:t>, Version 2.2.</w:t>
      </w:r>
    </w:p>
    <w:p w14:paraId="1ABA4DD1" w14:textId="7575BDDE" w:rsidR="00187BD1" w:rsidRDefault="00187BD1" w:rsidP="004E576E">
      <w:pPr>
        <w:pStyle w:val="ListBullet"/>
        <w:numPr>
          <w:ilvl w:val="0"/>
          <w:numId w:val="0"/>
        </w:numPr>
        <w:ind w:left="360"/>
      </w:pPr>
      <w:r>
        <w:t>Last updated April 2018</w:t>
      </w:r>
    </w:p>
    <w:p w14:paraId="6F6A915C" w14:textId="7C5B0466" w:rsidR="00B664E9" w:rsidRDefault="00187BD1" w:rsidP="004E576E">
      <w:pPr>
        <w:pStyle w:val="ListBullet"/>
      </w:pPr>
      <w:r>
        <w:t>TGA</w:t>
      </w:r>
      <w:r w:rsidR="00B664E9">
        <w:t xml:space="preserve">: </w:t>
      </w:r>
      <w:hyperlink r:id="rId27" w:history="1">
        <w:r w:rsidR="00B664E9" w:rsidRPr="00B664E9">
          <w:rPr>
            <w:rStyle w:val="Hyperlink"/>
          </w:rPr>
          <w:t xml:space="preserve">Guidance on </w:t>
        </w:r>
        <w:r w:rsidRPr="00B664E9">
          <w:rPr>
            <w:rStyle w:val="Hyperlink"/>
          </w:rPr>
          <w:t xml:space="preserve">Biopharmaceutic studies: Section 15.6 choice of the reference product for bioequivalence of generic medicines; The conditions for bioequivalence studies using </w:t>
        </w:r>
        <w:r w:rsidR="00B664E9" w:rsidRPr="00B664E9">
          <w:rPr>
            <w:rStyle w:val="Hyperlink"/>
          </w:rPr>
          <w:t>an overseas reference product</w:t>
        </w:r>
      </w:hyperlink>
      <w:r w:rsidR="00B664E9">
        <w:t>.</w:t>
      </w:r>
    </w:p>
    <w:p w14:paraId="784815DA" w14:textId="5EC40AEC" w:rsidR="00187BD1" w:rsidRDefault="00187BD1" w:rsidP="004E576E">
      <w:pPr>
        <w:pStyle w:val="ListBullet"/>
        <w:numPr>
          <w:ilvl w:val="0"/>
          <w:numId w:val="0"/>
        </w:numPr>
        <w:ind w:left="360"/>
      </w:pPr>
      <w:r>
        <w:t>Guideline on Biopharmaceutic studies by Australian government de</w:t>
      </w:r>
      <w:r w:rsidR="00B664E9">
        <w:t>partment of health. Version 1.2.</w:t>
      </w:r>
      <w:r>
        <w:t xml:space="preserve"> Last updated: December 2019</w:t>
      </w:r>
    </w:p>
    <w:p w14:paraId="478A2605" w14:textId="6FD25819" w:rsidR="00B20EC3" w:rsidRDefault="00B20EC3" w:rsidP="00187BD1">
      <w:r>
        <w:t>In addition, the following non-TGA-adopted guidance was relevant to this submission:</w:t>
      </w:r>
    </w:p>
    <w:p w14:paraId="27AFD03C" w14:textId="4AC4C619" w:rsidR="00B20EC3" w:rsidRDefault="00B20EC3" w:rsidP="00187BD1">
      <w:r>
        <w:t xml:space="preserve">United States (US) Food and Drug Administration: </w:t>
      </w:r>
      <w:hyperlink r:id="rId28" w:history="1">
        <w:r w:rsidRPr="00C040A9">
          <w:rPr>
            <w:rStyle w:val="Hyperlink"/>
          </w:rPr>
          <w:t>Guidance for Industry, Population Pharmacokinetics, draft</w:t>
        </w:r>
      </w:hyperlink>
      <w:r>
        <w:t>. July 2019.</w:t>
      </w:r>
    </w:p>
    <w:p w14:paraId="52F5DABA" w14:textId="518AD040" w:rsidR="008E7846" w:rsidRDefault="008E7846" w:rsidP="008E7846">
      <w:pPr>
        <w:pStyle w:val="Heading3"/>
      </w:pPr>
      <w:bookmarkStart w:id="35" w:name="_Toc132710838"/>
      <w:bookmarkEnd w:id="34"/>
      <w:r>
        <w:t>Quality</w:t>
      </w:r>
      <w:bookmarkEnd w:id="32"/>
      <w:bookmarkEnd w:id="33"/>
      <w:bookmarkEnd w:id="35"/>
    </w:p>
    <w:p w14:paraId="4434E2FB" w14:textId="27ED860F" w:rsidR="00C179C4" w:rsidRDefault="00C179C4" w:rsidP="00C179C4">
      <w:r>
        <w:t>T</w:t>
      </w:r>
      <w:r w:rsidRPr="00C179C4">
        <w:t xml:space="preserve">rastuzumab is a recombinant humanised immunoglobulin G1-kappa monoclonal antibody against the human epidermal growth factor receptor 2 (HER2) protein and is expressed in Chinese </w:t>
      </w:r>
      <w:r w:rsidR="00C5413B">
        <w:t>h</w:t>
      </w:r>
      <w:r w:rsidRPr="00C179C4">
        <w:t xml:space="preserve">amster </w:t>
      </w:r>
      <w:r w:rsidR="00C5413B">
        <w:t>o</w:t>
      </w:r>
      <w:r w:rsidRPr="00C179C4">
        <w:t xml:space="preserve">vary cells. As such, trastuzumab </w:t>
      </w:r>
      <w:r>
        <w:t>is</w:t>
      </w:r>
      <w:r w:rsidRPr="00C179C4">
        <w:t xml:space="preserve"> expected to target specifically HER2 protein by directly binding the extracellular domain of the receptor. Trastuzumab inhibits proliferation of HER2 overexpressing cells and induces loss of intrinsic resistance of cells that overexpress HER2 to the cytotoxic effects of </w:t>
      </w:r>
      <w:r>
        <w:t>t</w:t>
      </w:r>
      <w:r w:rsidRPr="00C179C4">
        <w:t xml:space="preserve">umour necrosis factor </w:t>
      </w:r>
      <w:r>
        <w:t>alpha (</w:t>
      </w:r>
      <w:r w:rsidRPr="00C179C4">
        <w:t>TNFα</w:t>
      </w:r>
      <w:r>
        <w:t>)</w:t>
      </w:r>
      <w:r w:rsidRPr="00C179C4">
        <w:t>.</w:t>
      </w:r>
    </w:p>
    <w:p w14:paraId="048E4727" w14:textId="312DDD91" w:rsidR="00E77DBA" w:rsidRDefault="0087210E" w:rsidP="00C179C4">
      <w:r>
        <w:lastRenderedPageBreak/>
        <w:t xml:space="preserve">Trastucip/Tuzucip (also referred to as </w:t>
      </w:r>
      <w:r w:rsidR="00E77DBA" w:rsidRPr="00594CEB">
        <w:t>HLX02</w:t>
      </w:r>
      <w:r>
        <w:t>)</w:t>
      </w:r>
      <w:r w:rsidR="00AD53E2">
        <w:t>;</w:t>
      </w:r>
      <w:r w:rsidR="00AD53E2">
        <w:rPr>
          <w:rStyle w:val="FootnoteReference"/>
        </w:rPr>
        <w:footnoteReference w:id="13"/>
      </w:r>
      <w:r w:rsidR="00E77DBA" w:rsidRPr="00594CEB">
        <w:t xml:space="preserve"> is a disulphide bond</w:t>
      </w:r>
      <w:r w:rsidR="008162EB">
        <w:t xml:space="preserve"> </w:t>
      </w:r>
      <w:r w:rsidR="00E77DBA" w:rsidRPr="00594CEB">
        <w:t xml:space="preserve">linked tetramer consisting of two identical 450 amino acid glycosylated heavy chains and two identical 214-amino acid kappa light chains. The whole antibody contains </w:t>
      </w:r>
      <w:r w:rsidR="00E77DBA">
        <w:t>four</w:t>
      </w:r>
      <w:r w:rsidR="00E77DBA" w:rsidRPr="00594CEB">
        <w:t xml:space="preserve"> pairs of interchain and 12 pairs of intrachain </w:t>
      </w:r>
      <w:proofErr w:type="spellStart"/>
      <w:r w:rsidR="00E77DBA" w:rsidRPr="00594CEB">
        <w:t>disulfide</w:t>
      </w:r>
      <w:proofErr w:type="spellEnd"/>
      <w:r w:rsidR="00E77DBA" w:rsidRPr="00594CEB">
        <w:t xml:space="preserve"> bonds, and </w:t>
      </w:r>
      <w:r w:rsidR="00E77DBA">
        <w:t>one</w:t>
      </w:r>
      <w:r w:rsidR="00E77DBA" w:rsidRPr="00594CEB">
        <w:t xml:space="preserve"> N-linked glycosylation site (N300) at each </w:t>
      </w:r>
      <w:r w:rsidR="00E77DBA">
        <w:t>heavy chain.</w:t>
      </w:r>
    </w:p>
    <w:p w14:paraId="1F084979" w14:textId="378CF81C" w:rsidR="00C179C4" w:rsidRDefault="00294500" w:rsidP="00C179C4">
      <w:r>
        <w:t>Trastucip</w:t>
      </w:r>
      <w:r w:rsidR="00CD5AFF">
        <w:t xml:space="preserve"> </w:t>
      </w:r>
      <w:r w:rsidR="00C179C4" w:rsidRPr="00C179C4">
        <w:t>is available in a 150</w:t>
      </w:r>
      <w:r w:rsidR="00C179C4">
        <w:t> </w:t>
      </w:r>
      <w:r w:rsidR="00C179C4" w:rsidRPr="00C179C4">
        <w:t>mg</w:t>
      </w:r>
      <w:r w:rsidR="00C5413B">
        <w:t xml:space="preserve"> </w:t>
      </w:r>
      <w:r w:rsidR="00C179C4" w:rsidRPr="00C179C4">
        <w:t xml:space="preserve">vial dosage presentation as a sterile, lyophilised powder for reconstitution for infusion. </w:t>
      </w:r>
      <w:r w:rsidR="004E576E">
        <w:t xml:space="preserve">Trastucip </w:t>
      </w:r>
      <w:r w:rsidR="004E576E" w:rsidRPr="00C179C4">
        <w:t>is</w:t>
      </w:r>
      <w:r w:rsidR="00C179C4" w:rsidRPr="00C179C4">
        <w:t xml:space="preserve"> presented as a lyophilised formulation of the same composition as the reference medicinal product Herceptin (EU-</w:t>
      </w:r>
      <w:r w:rsidR="00314A00">
        <w:t xml:space="preserve">sourced </w:t>
      </w:r>
      <w:r w:rsidR="00C179C4" w:rsidRPr="00C179C4">
        <w:t>Herceptin).</w:t>
      </w:r>
    </w:p>
    <w:p w14:paraId="2AB21E2B" w14:textId="266EDC95" w:rsidR="00E77DBA" w:rsidRDefault="00E77DBA" w:rsidP="00C179C4">
      <w:r w:rsidRPr="00E77DBA">
        <w:t xml:space="preserve">The product is available in </w:t>
      </w:r>
      <w:r w:rsidR="00C5413B">
        <w:t xml:space="preserve">a </w:t>
      </w:r>
      <w:r w:rsidRPr="00E77DBA">
        <w:t>20</w:t>
      </w:r>
      <w:r>
        <w:t> </w:t>
      </w:r>
      <w:r w:rsidRPr="00E77DBA">
        <w:t>mL type I borosilicate glass vial, a 20</w:t>
      </w:r>
      <w:r>
        <w:t> </w:t>
      </w:r>
      <w:r w:rsidRPr="00E77DBA">
        <w:t xml:space="preserve">mm </w:t>
      </w:r>
      <w:proofErr w:type="spellStart"/>
      <w:r w:rsidRPr="00E77DBA">
        <w:t>bromobutyl</w:t>
      </w:r>
      <w:proofErr w:type="spellEnd"/>
      <w:r w:rsidRPr="00E77DBA">
        <w:t xml:space="preserve"> rubber lyophilisation stopper and a 20</w:t>
      </w:r>
      <w:r>
        <w:t> </w:t>
      </w:r>
      <w:r w:rsidRPr="00E77DBA">
        <w:t>mm aluminium-plastic combination cap.</w:t>
      </w:r>
    </w:p>
    <w:p w14:paraId="4238D67E" w14:textId="36172D4E" w:rsidR="00E77DBA" w:rsidRDefault="00E77DBA" w:rsidP="00E77DBA">
      <w:r>
        <w:t xml:space="preserve">The sponsor proposed a shelf life of 24 months at -40 °C </w:t>
      </w:r>
      <w:r w:rsidR="00314A00">
        <w:t xml:space="preserve">± </w:t>
      </w:r>
      <w:r>
        <w:t>5 °C and protected from light.</w:t>
      </w:r>
    </w:p>
    <w:p w14:paraId="30C0F967" w14:textId="3231C8BA" w:rsidR="00E77DBA" w:rsidRPr="00C179C4" w:rsidRDefault="00E77DBA" w:rsidP="00E77DBA">
      <w:r>
        <w:t xml:space="preserve">Stability data have been generated under real time and stressed conditions to characterise the stability profile of the active ingredient and to establish a shelf life. The real time data submitted support a shelf life of 24 months when stored at -40 °C </w:t>
      </w:r>
      <w:r w:rsidR="00314A00">
        <w:t xml:space="preserve">± </w:t>
      </w:r>
      <w:r>
        <w:t>5 °C.</w:t>
      </w:r>
    </w:p>
    <w:p w14:paraId="3F02D49F" w14:textId="3A0357B8" w:rsidR="008919B5" w:rsidRDefault="008919B5" w:rsidP="008919B5">
      <w:pPr>
        <w:pStyle w:val="Heading4"/>
      </w:pPr>
      <w:r>
        <w:t>Conclusion</w:t>
      </w:r>
    </w:p>
    <w:p w14:paraId="6575C7F0" w14:textId="6ED7F6E1" w:rsidR="008919B5" w:rsidRPr="008919B5" w:rsidRDefault="008919B5" w:rsidP="00C179C4">
      <w:r w:rsidRPr="00C179C4">
        <w:t>There are no objections, on quality grounds, to the registration of T</w:t>
      </w:r>
      <w:r w:rsidR="00C179C4" w:rsidRPr="00C179C4">
        <w:t>rastucip and Tuzucip.</w:t>
      </w:r>
    </w:p>
    <w:p w14:paraId="4C9DE4B9" w14:textId="48DBAADA" w:rsidR="008E7846" w:rsidRDefault="008E7846" w:rsidP="000F415B">
      <w:pPr>
        <w:pStyle w:val="Heading3"/>
        <w:tabs>
          <w:tab w:val="left" w:pos="2385"/>
        </w:tabs>
      </w:pPr>
      <w:bookmarkStart w:id="36" w:name="_Toc314842512"/>
      <w:bookmarkStart w:id="37" w:name="_Toc132710839"/>
      <w:r>
        <w:t>Nonclinical</w:t>
      </w:r>
      <w:bookmarkEnd w:id="36"/>
      <w:bookmarkEnd w:id="37"/>
    </w:p>
    <w:p w14:paraId="21ED8A6C" w14:textId="3DCCE82E" w:rsidR="000F415B" w:rsidRPr="000F415B" w:rsidRDefault="000F415B" w:rsidP="000F415B">
      <w:r w:rsidRPr="000F415B">
        <w:t>There are no nonclinical objections to the registration of T</w:t>
      </w:r>
      <w:r>
        <w:t>rastucip</w:t>
      </w:r>
      <w:r w:rsidRPr="000F415B">
        <w:t xml:space="preserve"> provided comparability between T</w:t>
      </w:r>
      <w:r>
        <w:t>rastucip</w:t>
      </w:r>
      <w:r w:rsidRPr="000F415B">
        <w:t xml:space="preserve"> and EU</w:t>
      </w:r>
      <w:r w:rsidR="00314A00">
        <w:t xml:space="preserve">-sourced and </w:t>
      </w:r>
      <w:r w:rsidRPr="000F415B">
        <w:t>China-sourced H</w:t>
      </w:r>
      <w:r>
        <w:t>ercepti</w:t>
      </w:r>
      <w:r w:rsidR="00162F63">
        <w:t>n</w:t>
      </w:r>
      <w:r w:rsidRPr="000F415B">
        <w:t xml:space="preserve"> has been demonstrated by </w:t>
      </w:r>
      <w:r>
        <w:t>quality and clinical</w:t>
      </w:r>
      <w:r w:rsidRPr="000F415B">
        <w:t xml:space="preserve"> data.</w:t>
      </w:r>
    </w:p>
    <w:p w14:paraId="30E41C8A" w14:textId="460AD11E" w:rsidR="000F415B" w:rsidRPr="000F415B" w:rsidRDefault="000F415B" w:rsidP="000F415B">
      <w:r w:rsidRPr="000F415B">
        <w:t>The nonclinical dossier contained comparative studies on pharmacology (</w:t>
      </w:r>
      <w:r w:rsidRPr="000F415B">
        <w:rPr>
          <w:i/>
          <w:iCs/>
        </w:rPr>
        <w:t>in vivo</w:t>
      </w:r>
      <w:r w:rsidRPr="000F415B">
        <w:t xml:space="preserve"> studies), pharmacokinetics and repeat</w:t>
      </w:r>
      <w:r w:rsidR="008162EB">
        <w:t xml:space="preserve"> </w:t>
      </w:r>
      <w:r w:rsidRPr="000F415B">
        <w:t>dose toxicity, and tissue cross</w:t>
      </w:r>
      <w:r w:rsidR="00B0764F">
        <w:t xml:space="preserve"> </w:t>
      </w:r>
      <w:r w:rsidRPr="000F415B">
        <w:t>reactivity. The scope of the nonclinical program is adequate under the relevant EU guideline. These studies were conducted using EU-</w:t>
      </w:r>
      <w:r w:rsidR="008162EB">
        <w:t>sourced</w:t>
      </w:r>
      <w:r w:rsidRPr="000F415B">
        <w:t xml:space="preserve"> and China-sourced H</w:t>
      </w:r>
      <w:r>
        <w:t xml:space="preserve">erceptin </w:t>
      </w:r>
      <w:r w:rsidRPr="000F415B">
        <w:t xml:space="preserve">as the reference products. </w:t>
      </w:r>
      <w:r w:rsidRPr="000F415B">
        <w:rPr>
          <w:i/>
          <w:iCs/>
        </w:rPr>
        <w:t>In</w:t>
      </w:r>
      <w:r w:rsidR="00187BD1">
        <w:rPr>
          <w:i/>
          <w:iCs/>
        </w:rPr>
        <w:t> </w:t>
      </w:r>
      <w:r w:rsidRPr="000F415B">
        <w:rPr>
          <w:i/>
          <w:iCs/>
        </w:rPr>
        <w:t>vitro</w:t>
      </w:r>
      <w:r w:rsidRPr="000F415B">
        <w:t xml:space="preserve"> pharmacology studies are provided in </w:t>
      </w:r>
      <w:r>
        <w:t>the quality d</w:t>
      </w:r>
      <w:r w:rsidR="00A70077">
        <w:t>ossier</w:t>
      </w:r>
      <w:r>
        <w:t xml:space="preserve"> </w:t>
      </w:r>
      <w:r w:rsidRPr="000F415B">
        <w:t>and</w:t>
      </w:r>
      <w:r w:rsidR="00C5413B">
        <w:t xml:space="preserve"> were</w:t>
      </w:r>
      <w:r w:rsidRPr="000F415B">
        <w:t xml:space="preserve"> reviewed by</w:t>
      </w:r>
      <w:r w:rsidR="00A70077">
        <w:t xml:space="preserve"> </w:t>
      </w:r>
      <w:r>
        <w:t xml:space="preserve">quality </w:t>
      </w:r>
      <w:r w:rsidRPr="000F415B">
        <w:t>evaluat</w:t>
      </w:r>
      <w:r>
        <w:t>ion</w:t>
      </w:r>
      <w:r w:rsidRPr="000F415B">
        <w:t xml:space="preserve">. No data were provided </w:t>
      </w:r>
      <w:r w:rsidR="00A70077">
        <w:t xml:space="preserve">in the </w:t>
      </w:r>
      <w:r>
        <w:t>nonclinical</w:t>
      </w:r>
      <w:r w:rsidRPr="000F415B">
        <w:t xml:space="preserve"> </w:t>
      </w:r>
      <w:r w:rsidR="00A70077">
        <w:t xml:space="preserve">dossier </w:t>
      </w:r>
      <w:r w:rsidRPr="000F415B">
        <w:t>to verify the comparability of the EU/China-sourced and Australia-sourced H</w:t>
      </w:r>
      <w:r w:rsidR="00162F63">
        <w:t>erceptin</w:t>
      </w:r>
      <w:r w:rsidRPr="000F415B">
        <w:t>.</w:t>
      </w:r>
    </w:p>
    <w:p w14:paraId="3A27A2AA" w14:textId="78F40FB0" w:rsidR="000F415B" w:rsidRPr="000F415B" w:rsidRDefault="000F415B" w:rsidP="000F415B">
      <w:r w:rsidRPr="000F415B">
        <w:t>No meaningful differences between T</w:t>
      </w:r>
      <w:r w:rsidR="00162F63">
        <w:t>rastucip</w:t>
      </w:r>
      <w:r w:rsidRPr="000F415B">
        <w:t xml:space="preserve"> and EU</w:t>
      </w:r>
      <w:r w:rsidR="00187BD1">
        <w:t xml:space="preserve">- and </w:t>
      </w:r>
      <w:r w:rsidRPr="000F415B">
        <w:t>China-</w:t>
      </w:r>
      <w:r w:rsidR="00187BD1">
        <w:t xml:space="preserve">sourced </w:t>
      </w:r>
      <w:r w:rsidRPr="000F415B">
        <w:t>H</w:t>
      </w:r>
      <w:r w:rsidR="00162F63">
        <w:t>erceptin</w:t>
      </w:r>
      <w:r w:rsidRPr="000F415B">
        <w:t xml:space="preserve"> were observed in the comparative pharmacology, pharmacokinetic and toxicity studies, and in </w:t>
      </w:r>
      <w:r w:rsidRPr="00162F63">
        <w:rPr>
          <w:i/>
          <w:iCs/>
        </w:rPr>
        <w:t>in vitro</w:t>
      </w:r>
      <w:r w:rsidRPr="000F415B">
        <w:t xml:space="preserve"> tissue cross reactivity tests.</w:t>
      </w:r>
    </w:p>
    <w:p w14:paraId="2E3656C5" w14:textId="3E833FA9" w:rsidR="000F415B" w:rsidRPr="000F415B" w:rsidRDefault="000F415B" w:rsidP="000F415B">
      <w:r w:rsidRPr="000F415B">
        <w:t xml:space="preserve">The draft </w:t>
      </w:r>
      <w:r w:rsidR="00162F63">
        <w:t>PI</w:t>
      </w:r>
      <w:r w:rsidRPr="000F415B">
        <w:t xml:space="preserve"> statements pertaining to nonclinical data are consistent with the PI of the innovator product</w:t>
      </w:r>
      <w:r>
        <w:t>.</w:t>
      </w:r>
    </w:p>
    <w:p w14:paraId="78532F17" w14:textId="77777777" w:rsidR="008E7846" w:rsidRDefault="008E7846" w:rsidP="008E7846">
      <w:pPr>
        <w:pStyle w:val="Heading3"/>
      </w:pPr>
      <w:bookmarkStart w:id="38" w:name="_Toc247691530"/>
      <w:bookmarkStart w:id="39" w:name="_Toc314842513"/>
      <w:bookmarkStart w:id="40" w:name="_Toc132710840"/>
      <w:r>
        <w:t>Clinical</w:t>
      </w:r>
      <w:bookmarkEnd w:id="38"/>
      <w:bookmarkEnd w:id="39"/>
      <w:bookmarkEnd w:id="40"/>
    </w:p>
    <w:p w14:paraId="53CE5EEC" w14:textId="77777777" w:rsidR="0074163C" w:rsidRDefault="0074163C" w:rsidP="0074163C">
      <w:pPr>
        <w:pStyle w:val="Heading4"/>
      </w:pPr>
      <w:bookmarkStart w:id="41" w:name="_Toc98931928"/>
      <w:r>
        <w:t>Summary of clinical studies</w:t>
      </w:r>
      <w:bookmarkEnd w:id="41"/>
    </w:p>
    <w:p w14:paraId="2F1C5D0D" w14:textId="77777777" w:rsidR="0074163C" w:rsidRDefault="0074163C" w:rsidP="0074163C">
      <w:r>
        <w:t>The clinical dossier consisted of</w:t>
      </w:r>
      <w:r w:rsidR="00EB36D6">
        <w:t>:</w:t>
      </w:r>
    </w:p>
    <w:p w14:paraId="29D9A837" w14:textId="3F18DCDF" w:rsidR="00B15FD5" w:rsidRDefault="00B15FD5" w:rsidP="0074163C">
      <w:pPr>
        <w:pStyle w:val="ListBullet"/>
      </w:pPr>
      <w:r>
        <w:t>One pharmacokinetic</w:t>
      </w:r>
      <w:r w:rsidR="00216ADD">
        <w:t xml:space="preserve"> </w:t>
      </w:r>
      <w:r>
        <w:t>study</w:t>
      </w:r>
    </w:p>
    <w:p w14:paraId="25504B47" w14:textId="2059D89E" w:rsidR="00B15FD5" w:rsidRDefault="00B15FD5" w:rsidP="00B15FD5">
      <w:pPr>
        <w:pStyle w:val="ListBullet2"/>
      </w:pPr>
      <w:r>
        <w:t>Study HLX02-HV01; Part 1, a Phase I, open label, single dose escalation study to evaluate the safety and tolerability of different doses of HLX02</w:t>
      </w:r>
      <w:r w:rsidR="001C43B9">
        <w:t xml:space="preserve"> (</w:t>
      </w:r>
      <w:r w:rsidR="00780BCA" w:rsidRPr="000F415B">
        <w:t>T</w:t>
      </w:r>
      <w:r w:rsidR="00780BCA">
        <w:t>rastucip</w:t>
      </w:r>
      <w:r w:rsidR="00780BCA" w:rsidRPr="000F415B">
        <w:t xml:space="preserve"> </w:t>
      </w:r>
      <w:r w:rsidR="00780BCA">
        <w:t xml:space="preserve">/ </w:t>
      </w:r>
      <w:r w:rsidR="001C43B9" w:rsidRPr="008954A6">
        <w:t>trastuzumab biosimilar</w:t>
      </w:r>
      <w:r w:rsidR="001C43B9">
        <w:t>)</w:t>
      </w:r>
      <w:r>
        <w:t>.</w:t>
      </w:r>
    </w:p>
    <w:p w14:paraId="2428E171" w14:textId="135B1677" w:rsidR="00B15FD5" w:rsidRDefault="00B15FD5" w:rsidP="00B15FD5">
      <w:pPr>
        <w:pStyle w:val="ListBullet2"/>
      </w:pPr>
      <w:r>
        <w:lastRenderedPageBreak/>
        <w:t>Study HLX02-HV01; Part 2, a Phase I, double blind, randomised, parallel study to compare the pharmacokinetic profile of HLX02</w:t>
      </w:r>
      <w:r w:rsidR="00780BCA">
        <w:t xml:space="preserve"> (</w:t>
      </w:r>
      <w:r w:rsidR="00780BCA" w:rsidRPr="000F415B">
        <w:t>T</w:t>
      </w:r>
      <w:r w:rsidR="00780BCA">
        <w:t>rastucip)</w:t>
      </w:r>
      <w:r>
        <w:t>, China-sourced Herceptin and EU</w:t>
      </w:r>
      <w:r>
        <w:noBreakHyphen/>
        <w:t>sourced Herceptin.</w:t>
      </w:r>
    </w:p>
    <w:p w14:paraId="3297208C" w14:textId="76ADD5E3" w:rsidR="00B15FD5" w:rsidRDefault="00B15FD5" w:rsidP="0074163C">
      <w:pPr>
        <w:pStyle w:val="ListBullet"/>
      </w:pPr>
      <w:r>
        <w:t>One efficacy/safety study</w:t>
      </w:r>
    </w:p>
    <w:p w14:paraId="05F35078" w14:textId="2C13F51F" w:rsidR="00B15FD5" w:rsidRDefault="00B15FD5" w:rsidP="00B15FD5">
      <w:pPr>
        <w:pStyle w:val="ListBullet2"/>
      </w:pPr>
      <w:r>
        <w:t>Study HLX02-BC01, a Phase III, double blind, randomised, parallel, active</w:t>
      </w:r>
      <w:r w:rsidR="008162EB">
        <w:t xml:space="preserve"> </w:t>
      </w:r>
      <w:r>
        <w:t xml:space="preserve">controlled study to compare the efficacy of HLX02 </w:t>
      </w:r>
      <w:r w:rsidR="00ED36EE">
        <w:t>(</w:t>
      </w:r>
      <w:r w:rsidR="00ED36EE" w:rsidRPr="000F415B">
        <w:t>T</w:t>
      </w:r>
      <w:r w:rsidR="00ED36EE">
        <w:t xml:space="preserve">rastucip) </w:t>
      </w:r>
      <w:r>
        <w:t>versus EU</w:t>
      </w:r>
      <w:r>
        <w:noBreakHyphen/>
        <w:t xml:space="preserve">sourced Herceptin in combination with docetaxel </w:t>
      </w:r>
      <w:r w:rsidR="00E2096C">
        <w:t>using overall response rate at Week 24.</w:t>
      </w:r>
    </w:p>
    <w:p w14:paraId="1EA968A3" w14:textId="5DC54721" w:rsidR="00780BCA" w:rsidRDefault="00780BCA" w:rsidP="004E576E">
      <w:pPr>
        <w:pStyle w:val="ListBullet"/>
      </w:pPr>
      <w:r>
        <w:t>One population p</w:t>
      </w:r>
      <w:r w:rsidRPr="00780BCA">
        <w:t>h</w:t>
      </w:r>
      <w:r>
        <w:t>armacokinetic (</w:t>
      </w:r>
      <w:proofErr w:type="spellStart"/>
      <w:r>
        <w:t>PopPK</w:t>
      </w:r>
      <w:proofErr w:type="spellEnd"/>
      <w:r>
        <w:t>) analysis:</w:t>
      </w:r>
    </w:p>
    <w:p w14:paraId="56A07EA1" w14:textId="0C5BAC6D" w:rsidR="00780BCA" w:rsidRDefault="00780BCA">
      <w:pPr>
        <w:pStyle w:val="ListBullet2"/>
      </w:pPr>
      <w:r>
        <w:t xml:space="preserve">A </w:t>
      </w:r>
      <w:r w:rsidRPr="00780BCA">
        <w:t xml:space="preserve">selected covariant </w:t>
      </w:r>
      <w:proofErr w:type="spellStart"/>
      <w:r w:rsidRPr="00780BCA">
        <w:t>PopPK</w:t>
      </w:r>
      <w:proofErr w:type="spellEnd"/>
      <w:r w:rsidRPr="00780BCA">
        <w:t xml:space="preserve"> modelling of data col</w:t>
      </w:r>
      <w:r>
        <w:t>lected from Part II of Phase I S</w:t>
      </w:r>
      <w:r w:rsidRPr="00780BCA">
        <w:t>tudy HLX02-HV0</w:t>
      </w:r>
      <w:r>
        <w:t>1 and Phase III S</w:t>
      </w:r>
      <w:r w:rsidRPr="00780BCA">
        <w:t>tudy HLX02-BC0</w:t>
      </w:r>
      <w:r>
        <w:t>1</w:t>
      </w:r>
      <w:r w:rsidRPr="00780BCA">
        <w:t xml:space="preserve"> to estimate patient demographic inter-individual </w:t>
      </w:r>
      <w:r>
        <w:t>pharmacokinetic</w:t>
      </w:r>
      <w:r w:rsidRPr="00780BCA">
        <w:t xml:space="preserve"> variability (dated 17</w:t>
      </w:r>
      <w:r>
        <w:t xml:space="preserve"> </w:t>
      </w:r>
      <w:r w:rsidR="00ED36EE">
        <w:t>Apri</w:t>
      </w:r>
      <w:r>
        <w:t xml:space="preserve">l </w:t>
      </w:r>
      <w:r w:rsidRPr="00780BCA">
        <w:t>2021</w:t>
      </w:r>
      <w:r>
        <w:t>).</w:t>
      </w:r>
    </w:p>
    <w:p w14:paraId="44030AA0" w14:textId="1E66537E" w:rsidR="007555B3" w:rsidRPr="007555B3" w:rsidRDefault="007555B3" w:rsidP="007555B3">
      <w:pPr>
        <w:pStyle w:val="Heading4"/>
      </w:pPr>
      <w:r w:rsidRPr="007555B3">
        <w:t>Pharmacology</w:t>
      </w:r>
    </w:p>
    <w:p w14:paraId="43BB6481" w14:textId="68F1C6D9" w:rsidR="007555B3" w:rsidRPr="007555B3" w:rsidRDefault="007555B3" w:rsidP="007555B3">
      <w:pPr>
        <w:pStyle w:val="Heading5"/>
      </w:pPr>
      <w:r w:rsidRPr="007555B3">
        <w:t>Pharmacokinetics</w:t>
      </w:r>
    </w:p>
    <w:p w14:paraId="070B948A" w14:textId="4E7079D4" w:rsidR="007555B3" w:rsidRPr="007555B3" w:rsidRDefault="007555B3" w:rsidP="007555B3">
      <w:r w:rsidRPr="007555B3">
        <w:t xml:space="preserve">The comparative </w:t>
      </w:r>
      <w:r>
        <w:t>pharmacokinetic (</w:t>
      </w:r>
      <w:r w:rsidRPr="007555B3">
        <w:t>PK</w:t>
      </w:r>
      <w:r>
        <w:t>)</w:t>
      </w:r>
      <w:r w:rsidRPr="007555B3">
        <w:t xml:space="preserve"> study was conducted in </w:t>
      </w:r>
      <w:r>
        <w:t>two</w:t>
      </w:r>
      <w:r w:rsidRPr="007555B3">
        <w:t xml:space="preserve"> parts. Part 1 was an open</w:t>
      </w:r>
      <w:r w:rsidR="0088204A">
        <w:t xml:space="preserve"> </w:t>
      </w:r>
      <w:r w:rsidRPr="007555B3">
        <w:t xml:space="preserve">label, single dose escalation of </w:t>
      </w:r>
      <w:r w:rsidR="00ED36EE" w:rsidRPr="000F415B">
        <w:t>T</w:t>
      </w:r>
      <w:r w:rsidR="00ED36EE">
        <w:t>rastucip</w:t>
      </w:r>
      <w:r w:rsidR="00ED36EE" w:rsidRPr="000F415B">
        <w:t xml:space="preserve"> </w:t>
      </w:r>
      <w:r w:rsidRPr="007555B3">
        <w:t xml:space="preserve">(the trastuzumab product proposed for registration) to evaluate safety, </w:t>
      </w:r>
      <w:proofErr w:type="gramStart"/>
      <w:r w:rsidRPr="007555B3">
        <w:t>tolerability</w:t>
      </w:r>
      <w:proofErr w:type="gramEnd"/>
      <w:r w:rsidRPr="007555B3">
        <w:t xml:space="preserve"> and immunogenicity. Twelve healthy Chinese men received single doses of </w:t>
      </w:r>
      <w:r w:rsidR="00ED36EE" w:rsidRPr="000F415B">
        <w:t>T</w:t>
      </w:r>
      <w:r w:rsidR="00ED36EE">
        <w:t>rastucip</w:t>
      </w:r>
      <w:r w:rsidR="00ED36EE" w:rsidRPr="000F415B">
        <w:t xml:space="preserve"> </w:t>
      </w:r>
      <w:r w:rsidRPr="007555B3">
        <w:t xml:space="preserve">of 2, 4, 6 </w:t>
      </w:r>
      <w:r w:rsidR="008108FF">
        <w:t>or</w:t>
      </w:r>
      <w:r w:rsidR="008108FF" w:rsidRPr="007555B3">
        <w:t xml:space="preserve"> </w:t>
      </w:r>
      <w:r w:rsidRPr="007555B3">
        <w:t>8</w:t>
      </w:r>
      <w:r>
        <w:t> </w:t>
      </w:r>
      <w:r w:rsidRPr="007555B3">
        <w:t xml:space="preserve">mg/kg with </w:t>
      </w:r>
      <w:r>
        <w:t>three</w:t>
      </w:r>
      <w:r w:rsidRPr="007555B3">
        <w:t xml:space="preserve"> subjects receiving each dose. This component of the study was performed to evaluate the safety and tolerability at different doses of </w:t>
      </w:r>
      <w:r w:rsidR="00ED36EE" w:rsidRPr="000F415B">
        <w:t>T</w:t>
      </w:r>
      <w:r w:rsidR="00ED36EE">
        <w:t>rastucip</w:t>
      </w:r>
      <w:r w:rsidR="00ED36EE" w:rsidRPr="000F415B">
        <w:t xml:space="preserve"> </w:t>
      </w:r>
      <w:r w:rsidRPr="007555B3">
        <w:t xml:space="preserve">and to evaluate the immunogenicity of </w:t>
      </w:r>
      <w:r w:rsidR="00ED36EE" w:rsidRPr="000F415B">
        <w:t>T</w:t>
      </w:r>
      <w:r w:rsidR="00ED36EE">
        <w:t>rastucip</w:t>
      </w:r>
      <w:r w:rsidR="00ED36EE" w:rsidRPr="000F415B">
        <w:t xml:space="preserve"> </w:t>
      </w:r>
      <w:r w:rsidRPr="007555B3">
        <w:t xml:space="preserve">and characterise the PK profile of </w:t>
      </w:r>
      <w:r w:rsidR="00ED36EE" w:rsidRPr="000F415B">
        <w:t>T</w:t>
      </w:r>
      <w:r w:rsidR="00ED36EE">
        <w:t>rastucip</w:t>
      </w:r>
      <w:r w:rsidR="00ED36EE" w:rsidRPr="000F415B">
        <w:t xml:space="preserve"> </w:t>
      </w:r>
      <w:r w:rsidRPr="007555B3">
        <w:t xml:space="preserve">at different doses. This component of the study was required by the Chinese regulatory agency. It did not include a comparison with a reference product. No analyses were performed on plasma protein binding, hepatic metabolism, drug-drug interactions, special </w:t>
      </w:r>
      <w:proofErr w:type="gramStart"/>
      <w:r w:rsidRPr="007555B3">
        <w:t>populations</w:t>
      </w:r>
      <w:proofErr w:type="gramEnd"/>
      <w:r w:rsidRPr="007555B3">
        <w:t xml:space="preserve"> and other intrinsic and extrinsic PK factors. </w:t>
      </w:r>
      <w:r w:rsidRPr="00E77DBA">
        <w:t xml:space="preserve">Part 1 showed increases in </w:t>
      </w:r>
      <w:r w:rsidR="00A20216" w:rsidRPr="00E77DBA">
        <w:t>area under the concentration time curve from time zero to infinity (</w:t>
      </w:r>
      <w:r w:rsidRPr="00E77DBA">
        <w:t>AUC</w:t>
      </w:r>
      <w:r w:rsidRPr="00E77DBA">
        <w:rPr>
          <w:vertAlign w:val="subscript"/>
        </w:rPr>
        <w:t>0-inf</w:t>
      </w:r>
      <w:r w:rsidR="00A20216" w:rsidRPr="00E77DBA">
        <w:t>)</w:t>
      </w:r>
      <w:r w:rsidRPr="00E77DBA">
        <w:t xml:space="preserve"> greater than dose proportional. Mean values for the secondary endpoints of</w:t>
      </w:r>
      <w:r w:rsidR="00B108E1" w:rsidRPr="00E77DBA">
        <w:t xml:space="preserve"> </w:t>
      </w:r>
      <w:r w:rsidR="00ED36EE">
        <w:t>the observed exposure (</w:t>
      </w:r>
      <w:r w:rsidR="00B108E1" w:rsidRPr="00E77DBA">
        <w:t>area under concentration time curve from time zero to the time of last measurable concentration (</w:t>
      </w:r>
      <w:r w:rsidRPr="00E77DBA">
        <w:t>AUC</w:t>
      </w:r>
      <w:r w:rsidRPr="00E77DBA">
        <w:rPr>
          <w:vertAlign w:val="subscript"/>
        </w:rPr>
        <w:t>0-t</w:t>
      </w:r>
      <w:r w:rsidR="00B108E1" w:rsidRPr="00E77DBA">
        <w:t>)</w:t>
      </w:r>
      <w:r w:rsidR="00ED36EE">
        <w:t>)</w:t>
      </w:r>
      <w:r w:rsidRPr="00E77DBA">
        <w:t xml:space="preserve">, </w:t>
      </w:r>
      <w:r w:rsidR="00ED36EE">
        <w:t xml:space="preserve">the </w:t>
      </w:r>
      <w:r w:rsidR="00A60D39" w:rsidRPr="00E77DBA">
        <w:t xml:space="preserve">area under the concentration time curve from time zero to the </w:t>
      </w:r>
      <w:r w:rsidR="00ED36EE">
        <w:t>last sampling point</w:t>
      </w:r>
      <w:r w:rsidR="00B108E1" w:rsidRPr="00E77DBA">
        <w:t xml:space="preserve"> (</w:t>
      </w:r>
      <w:proofErr w:type="spellStart"/>
      <w:r w:rsidRPr="00E77DBA">
        <w:t>AUC</w:t>
      </w:r>
      <w:r w:rsidRPr="00E77DBA">
        <w:rPr>
          <w:vertAlign w:val="subscript"/>
        </w:rPr>
        <w:t>all</w:t>
      </w:r>
      <w:proofErr w:type="spellEnd"/>
      <w:r w:rsidR="00B108E1" w:rsidRPr="00E77DBA">
        <w:t>)</w:t>
      </w:r>
      <w:r w:rsidR="00E9097C">
        <w:t xml:space="preserve"> even if unquantifiable</w:t>
      </w:r>
      <w:r w:rsidRPr="00E77DBA">
        <w:t xml:space="preserve">, </w:t>
      </w:r>
      <w:r w:rsidR="00B108E1" w:rsidRPr="00E77DBA">
        <w:t>maximum concentration (</w:t>
      </w:r>
      <w:proofErr w:type="spellStart"/>
      <w:r w:rsidRPr="00E77DBA">
        <w:t>C</w:t>
      </w:r>
      <w:r w:rsidRPr="00E77DBA">
        <w:rPr>
          <w:vertAlign w:val="subscript"/>
        </w:rPr>
        <w:t>max</w:t>
      </w:r>
      <w:proofErr w:type="spellEnd"/>
      <w:r w:rsidR="00B108E1" w:rsidRPr="00E77DBA">
        <w:t>)</w:t>
      </w:r>
      <w:r w:rsidRPr="00E77DBA">
        <w:t>, and</w:t>
      </w:r>
      <w:r w:rsidR="00B108E1" w:rsidRPr="00E77DBA">
        <w:t xml:space="preserve"> </w:t>
      </w:r>
      <w:proofErr w:type="spellStart"/>
      <w:r w:rsidR="00B108E1" w:rsidRPr="00E77DBA">
        <w:t>half life</w:t>
      </w:r>
      <w:proofErr w:type="spellEnd"/>
      <w:r w:rsidRPr="00E77DBA">
        <w:t xml:space="preserve"> </w:t>
      </w:r>
      <w:r w:rsidR="00B108E1" w:rsidRPr="00E77DBA">
        <w:t>(</w:t>
      </w:r>
      <w:r w:rsidRPr="00E77DBA">
        <w:t>t</w:t>
      </w:r>
      <w:r w:rsidR="00ED36EE">
        <w:rPr>
          <w:vertAlign w:val="subscript"/>
        </w:rPr>
        <w:t>1/2</w:t>
      </w:r>
      <w:r w:rsidR="00ED36EE" w:rsidRPr="00E77DBA">
        <w:t xml:space="preserve">) </w:t>
      </w:r>
      <w:r w:rsidRPr="00E77DBA">
        <w:t>all</w:t>
      </w:r>
      <w:r w:rsidRPr="007555B3">
        <w:t xml:space="preserve"> increased in a dose</w:t>
      </w:r>
      <w:r w:rsidR="008162EB">
        <w:t xml:space="preserve"> </w:t>
      </w:r>
      <w:r w:rsidRPr="007555B3">
        <w:t xml:space="preserve">dependent manner, while </w:t>
      </w:r>
      <w:r w:rsidR="00B108E1">
        <w:t>t</w:t>
      </w:r>
      <w:r w:rsidR="00B108E1" w:rsidRPr="00B108E1">
        <w:t xml:space="preserve">ime after administration of a drug when the maximum plasma concentration is </w:t>
      </w:r>
      <w:r w:rsidR="00B108E1" w:rsidRPr="00A60D39">
        <w:t>reached</w:t>
      </w:r>
      <w:r w:rsidRPr="00A60D39">
        <w:t xml:space="preserve"> and</w:t>
      </w:r>
      <w:r w:rsidR="00A60D39" w:rsidRPr="00A60D39">
        <w:t xml:space="preserve"> volume of distribution during terminal </w:t>
      </w:r>
      <w:r w:rsidR="00A60D39" w:rsidRPr="00ED36EE">
        <w:t>phase</w:t>
      </w:r>
      <w:r w:rsidRPr="004E576E">
        <w:t xml:space="preserve"> </w:t>
      </w:r>
      <w:r w:rsidR="00A60D39" w:rsidRPr="00ED36EE">
        <w:t>(</w:t>
      </w:r>
      <w:proofErr w:type="spellStart"/>
      <w:r w:rsidRPr="00C035BE">
        <w:t>V</w:t>
      </w:r>
      <w:r w:rsidRPr="00E31C97">
        <w:rPr>
          <w:vertAlign w:val="subscript"/>
        </w:rPr>
        <w:t>z</w:t>
      </w:r>
      <w:proofErr w:type="spellEnd"/>
      <w:r w:rsidR="00A60D39" w:rsidRPr="00C035BE">
        <w:t>)</w:t>
      </w:r>
      <w:r w:rsidRPr="00C035BE">
        <w:t xml:space="preserve"> were</w:t>
      </w:r>
      <w:r w:rsidRPr="007555B3">
        <w:t xml:space="preserve"> similar across the </w:t>
      </w:r>
      <w:r>
        <w:t>four</w:t>
      </w:r>
      <w:r w:rsidRPr="007555B3">
        <w:t xml:space="preserve"> treatment groups. Clearance decreased with dose.</w:t>
      </w:r>
    </w:p>
    <w:p w14:paraId="572D73AC" w14:textId="0CCDDF92" w:rsidR="007555B3" w:rsidRPr="007555B3" w:rsidRDefault="007555B3" w:rsidP="007555B3">
      <w:r w:rsidRPr="007555B3">
        <w:t xml:space="preserve">Part 2 of this study compared the PK profiles and assessed the safety, tolerability, and immunogenicity similarity of </w:t>
      </w:r>
      <w:proofErr w:type="gramStart"/>
      <w:r w:rsidR="00E9097C">
        <w:t xml:space="preserve">Trastucip </w:t>
      </w:r>
      <w:r w:rsidRPr="00A60D39">
        <w:t>,</w:t>
      </w:r>
      <w:proofErr w:type="gramEnd"/>
      <w:r w:rsidRPr="00A60D39">
        <w:t xml:space="preserve"> C</w:t>
      </w:r>
      <w:r w:rsidR="00A60D39" w:rsidRPr="00A60D39">
        <w:t>hina</w:t>
      </w:r>
      <w:r w:rsidRPr="007555B3">
        <w:t>-sourced (US-manufactured) Herceptin, and EU</w:t>
      </w:r>
      <w:r>
        <w:noBreakHyphen/>
      </w:r>
      <w:r w:rsidRPr="007555B3">
        <w:t>sourced (Germany-manufactured) Herceptin.</w:t>
      </w:r>
      <w:r w:rsidR="0088204A">
        <w:t xml:space="preserve"> </w:t>
      </w:r>
      <w:r w:rsidRPr="007555B3">
        <w:t>In this randomised, double</w:t>
      </w:r>
      <w:r w:rsidR="0088204A">
        <w:t xml:space="preserve"> </w:t>
      </w:r>
      <w:r w:rsidRPr="007555B3">
        <w:t xml:space="preserve">blind, </w:t>
      </w:r>
      <w:proofErr w:type="gramStart"/>
      <w:r w:rsidRPr="007555B3">
        <w:t>three armed</w:t>
      </w:r>
      <w:proofErr w:type="gramEnd"/>
      <w:r w:rsidRPr="007555B3">
        <w:t>, parallel group, controlled study a total of 111 healthy Chinese male subjects were enrolled, with 37 subjects in each treatment group. Subjects enrolled in Part 1 of the study were not to participate in Part 2. Subjects were randomised at 1:1:1 ratio to receive a single 6</w:t>
      </w:r>
      <w:r w:rsidR="0088204A">
        <w:t> </w:t>
      </w:r>
      <w:r w:rsidRPr="007555B3">
        <w:t xml:space="preserve">mg/kg </w:t>
      </w:r>
      <w:r w:rsidR="0088204A">
        <w:t>intravenous</w:t>
      </w:r>
      <w:r w:rsidRPr="007555B3">
        <w:t xml:space="preserve"> infusion of either </w:t>
      </w:r>
      <w:r w:rsidR="00E9097C">
        <w:t>Trastucip</w:t>
      </w:r>
      <w:r w:rsidRPr="007555B3">
        <w:t>, or C</w:t>
      </w:r>
      <w:r w:rsidR="00A60D39">
        <w:t>hina</w:t>
      </w:r>
      <w:r w:rsidRPr="007555B3">
        <w:t>-sourced Herceptin or EU</w:t>
      </w:r>
      <w:r w:rsidR="0088204A">
        <w:noBreakHyphen/>
      </w:r>
      <w:r w:rsidRPr="007555B3">
        <w:t xml:space="preserve">sourced Herceptin for 90 minutes. Blood samples were collected to </w:t>
      </w:r>
      <w:r w:rsidR="0088204A">
        <w:t>D</w:t>
      </w:r>
      <w:r w:rsidRPr="007555B3">
        <w:t>ay 57 post dose.</w:t>
      </w:r>
    </w:p>
    <w:p w14:paraId="05BB8347" w14:textId="7619B991" w:rsidR="007555B3" w:rsidRPr="007555B3" w:rsidRDefault="007555B3" w:rsidP="007555B3">
      <w:proofErr w:type="gramStart"/>
      <w:r w:rsidRPr="007555B3">
        <w:t>Three</w:t>
      </w:r>
      <w:r w:rsidR="0088204A">
        <w:t xml:space="preserve"> </w:t>
      </w:r>
      <w:r w:rsidRPr="007555B3">
        <w:t>way</w:t>
      </w:r>
      <w:proofErr w:type="gramEnd"/>
      <w:r w:rsidRPr="007555B3">
        <w:t xml:space="preserve"> PK bioequivalence between any of the three potential product v</w:t>
      </w:r>
      <w:r w:rsidR="0088204A">
        <w:t>ersus</w:t>
      </w:r>
      <w:r w:rsidRPr="007555B3">
        <w:t xml:space="preserve"> product comparisons (</w:t>
      </w:r>
      <w:r w:rsidR="00E9097C">
        <w:t xml:space="preserve">Trastucip versus </w:t>
      </w:r>
      <w:r w:rsidRPr="007555B3">
        <w:t>EU-sourced Herceptin</w:t>
      </w:r>
      <w:r w:rsidR="00E9097C">
        <w:t>;</w:t>
      </w:r>
      <w:r w:rsidRPr="007555B3">
        <w:t xml:space="preserve"> </w:t>
      </w:r>
      <w:r w:rsidR="00E9097C">
        <w:t xml:space="preserve">Trastucip versus </w:t>
      </w:r>
      <w:r w:rsidRPr="007555B3">
        <w:t>C</w:t>
      </w:r>
      <w:r w:rsidR="00A60D39">
        <w:t>hina</w:t>
      </w:r>
      <w:r w:rsidRPr="007555B3">
        <w:t>-sourced Herceptin</w:t>
      </w:r>
      <w:r w:rsidR="00E9097C">
        <w:t>;</w:t>
      </w:r>
      <w:r w:rsidRPr="007555B3">
        <w:t xml:space="preserve"> and C</w:t>
      </w:r>
      <w:r w:rsidR="00A60D39">
        <w:t>hina</w:t>
      </w:r>
      <w:r w:rsidR="0088204A">
        <w:noBreakHyphen/>
      </w:r>
      <w:r w:rsidRPr="007555B3">
        <w:t xml:space="preserve">sourced Herceptin/EU-sourced Herceptin) was assessed on the basis of the 90% </w:t>
      </w:r>
      <w:r w:rsidR="0088204A">
        <w:t>confidence in</w:t>
      </w:r>
      <w:r w:rsidR="0088204A" w:rsidRPr="00C035BE">
        <w:t>terval (</w:t>
      </w:r>
      <w:r w:rsidRPr="00C035BE">
        <w:t>C</w:t>
      </w:r>
      <w:r w:rsidR="0088204A" w:rsidRPr="00C035BE">
        <w:t>I)</w:t>
      </w:r>
      <w:r w:rsidRPr="007555B3">
        <w:t xml:space="preserve"> of the estimated least squares mean ratios of their primary PK </w:t>
      </w:r>
      <w:r w:rsidRPr="00A45C55">
        <w:t>parameter AUC</w:t>
      </w:r>
      <w:r w:rsidRPr="00A45C55">
        <w:rPr>
          <w:vertAlign w:val="subscript"/>
        </w:rPr>
        <w:t>0-inf</w:t>
      </w:r>
      <w:r w:rsidRPr="00B108E1">
        <w:t>,</w:t>
      </w:r>
      <w:r w:rsidRPr="007555B3">
        <w:t xml:space="preserve"> in relation to the conventional bioequivalence criteria of 0.8 to 1.25.</w:t>
      </w:r>
    </w:p>
    <w:p w14:paraId="4C300DA8" w14:textId="5EBF017B" w:rsidR="007555B3" w:rsidRDefault="007555B3" w:rsidP="007555B3">
      <w:r w:rsidRPr="007555B3">
        <w:t>P</w:t>
      </w:r>
      <w:r w:rsidR="0088204A">
        <w:t xml:space="preserve">harmacokinetic </w:t>
      </w:r>
      <w:r w:rsidRPr="007555B3">
        <w:t xml:space="preserve">similarity was demonstrated between </w:t>
      </w:r>
      <w:r w:rsidR="00E9097C">
        <w:t xml:space="preserve">Trastucip </w:t>
      </w:r>
      <w:r w:rsidRPr="007555B3">
        <w:t xml:space="preserve">and </w:t>
      </w:r>
      <w:r w:rsidR="00BE5AC9">
        <w:t>China-sourced</w:t>
      </w:r>
      <w:r w:rsidRPr="007555B3">
        <w:t xml:space="preserve"> Herceptin and EU-</w:t>
      </w:r>
      <w:r w:rsidR="00BE5AC9">
        <w:t>sourced</w:t>
      </w:r>
      <w:r w:rsidRPr="007555B3">
        <w:t xml:space="preserve"> Herceptin. The 90% CI of the geometric mean ratio for each </w:t>
      </w:r>
      <w:r w:rsidRPr="007555B3">
        <w:lastRenderedPageBreak/>
        <w:t xml:space="preserve">product pairwise comparison for the primary pre-specified PK endpoint of </w:t>
      </w:r>
      <w:r w:rsidRPr="00A45C55">
        <w:t>AUC</w:t>
      </w:r>
      <w:r w:rsidRPr="00A45C55">
        <w:rPr>
          <w:vertAlign w:val="subscript"/>
        </w:rPr>
        <w:t>0-inf</w:t>
      </w:r>
      <w:r w:rsidRPr="00A45C55">
        <w:t xml:space="preserve"> </w:t>
      </w:r>
      <w:r w:rsidRPr="007555B3">
        <w:t>fell within the pre-specified margin of 80</w:t>
      </w:r>
      <w:r w:rsidR="0088204A">
        <w:t>%</w:t>
      </w:r>
      <w:r w:rsidRPr="007555B3">
        <w:t xml:space="preserve"> to 125% as show</w:t>
      </w:r>
      <w:r w:rsidRPr="008954A6">
        <w:t>n in</w:t>
      </w:r>
      <w:r w:rsidR="008954A6" w:rsidRPr="008954A6">
        <w:t xml:space="preserve"> </w:t>
      </w:r>
      <w:r w:rsidR="008954A6" w:rsidRPr="008954A6">
        <w:fldChar w:fldCharType="begin"/>
      </w:r>
      <w:r w:rsidR="008954A6" w:rsidRPr="008954A6">
        <w:instrText xml:space="preserve"> REF _Ref128572346 \h </w:instrText>
      </w:r>
      <w:r w:rsidR="008954A6">
        <w:instrText xml:space="preserve"> \* MERGEFORMAT </w:instrText>
      </w:r>
      <w:r w:rsidR="008954A6" w:rsidRPr="008954A6">
        <w:fldChar w:fldCharType="separate"/>
      </w:r>
      <w:r w:rsidR="00900E2D">
        <w:rPr>
          <w:noProof/>
        </w:rPr>
        <w:t>Table</w:t>
      </w:r>
      <w:r w:rsidR="00900E2D">
        <w:t xml:space="preserve"> </w:t>
      </w:r>
      <w:r w:rsidR="00900E2D">
        <w:rPr>
          <w:noProof/>
        </w:rPr>
        <w:t>3</w:t>
      </w:r>
      <w:r w:rsidR="008954A6" w:rsidRPr="008954A6">
        <w:fldChar w:fldCharType="end"/>
      </w:r>
      <w:r w:rsidR="00A45C55">
        <w:t xml:space="preserve"> </w:t>
      </w:r>
      <w:r w:rsidR="008954A6" w:rsidRPr="008954A6">
        <w:t>and</w:t>
      </w:r>
      <w:r w:rsidR="008162EB">
        <w:t xml:space="preserve"> </w:t>
      </w:r>
      <w:r w:rsidR="008954A6" w:rsidRPr="008954A6">
        <w:fldChar w:fldCharType="begin"/>
      </w:r>
      <w:r w:rsidR="008954A6" w:rsidRPr="008954A6">
        <w:instrText xml:space="preserve"> REF _Ref128572351 \h </w:instrText>
      </w:r>
      <w:r w:rsidR="008954A6">
        <w:instrText xml:space="preserve"> \* MERGEFORMAT </w:instrText>
      </w:r>
      <w:r w:rsidR="008954A6" w:rsidRPr="008954A6">
        <w:fldChar w:fldCharType="separate"/>
      </w:r>
      <w:r w:rsidR="00900E2D">
        <w:rPr>
          <w:noProof/>
        </w:rPr>
        <w:t>Table</w:t>
      </w:r>
      <w:r w:rsidR="00900E2D">
        <w:t xml:space="preserve"> </w:t>
      </w:r>
      <w:r w:rsidR="00900E2D">
        <w:rPr>
          <w:noProof/>
        </w:rPr>
        <w:t>4</w:t>
      </w:r>
      <w:r w:rsidR="008954A6" w:rsidRPr="008954A6">
        <w:fldChar w:fldCharType="end"/>
      </w:r>
      <w:r w:rsidRPr="008954A6">
        <w:t xml:space="preserve"> below.</w:t>
      </w:r>
    </w:p>
    <w:p w14:paraId="49C0AEDB" w14:textId="5DC7F553" w:rsidR="00417D72" w:rsidRDefault="00417D72" w:rsidP="00417D72">
      <w:pPr>
        <w:pStyle w:val="Tabletitle0"/>
      </w:pPr>
      <w:bookmarkStart w:id="42" w:name="_Ref128572346"/>
      <w:r>
        <w:t xml:space="preserve">Table </w:t>
      </w:r>
      <w:fldSimple w:instr=" SEQ Table \* ARABIC ">
        <w:r w:rsidR="00900E2D">
          <w:rPr>
            <w:noProof/>
          </w:rPr>
          <w:t>3</w:t>
        </w:r>
      </w:fldSimple>
      <w:bookmarkEnd w:id="42"/>
      <w:r>
        <w:t xml:space="preserve">: </w:t>
      </w:r>
      <w:r w:rsidR="00E9097C">
        <w:t xml:space="preserve">Study HLX02-HV01 </w:t>
      </w:r>
      <w:r w:rsidRPr="00417D72">
        <w:t xml:space="preserve">Statistical comparison of </w:t>
      </w:r>
      <w:r>
        <w:t>pharmacokinetic</w:t>
      </w:r>
      <w:r w:rsidRPr="00417D72">
        <w:t xml:space="preserve"> parameters between HLX02 and EU-sourced Herceptin</w:t>
      </w:r>
      <w:r>
        <w:t xml:space="preserve"> </w:t>
      </w:r>
      <w:r w:rsidRPr="00417D72">
        <w:t>(based on uncorrected serum concentration data)</w:t>
      </w:r>
    </w:p>
    <w:p w14:paraId="29D13136" w14:textId="05A2CC84" w:rsidR="0088204A" w:rsidRDefault="00417D72" w:rsidP="007555B3">
      <w:r>
        <w:rPr>
          <w:noProof/>
          <w:lang w:val="en-GB" w:eastAsia="en-GB"/>
        </w:rPr>
        <w:drawing>
          <wp:inline distT="0" distB="0" distL="0" distR="0" wp14:anchorId="6BD5915D" wp14:editId="68B3986E">
            <wp:extent cx="5343525" cy="1609725"/>
            <wp:effectExtent l="0" t="0" r="9525" b="9525"/>
            <wp:docPr id="1" name="Picture 1" descr="Statistical comparison of pharmacokinetic parameters between HLX02 and EU-sourced Herceptin (based on uncorrected serum concentration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istical comparison of pharmacokinetic parameters between HLX02 and EU-sourced Herceptin (based on uncorrected serum concentration data)"/>
                    <pic:cNvPicPr>
                      <a:picLocks noChangeAspect="1" noChangeArrowheads="1"/>
                    </pic:cNvPicPr>
                  </pic:nvPicPr>
                  <pic:blipFill rotWithShape="1">
                    <a:blip r:embed="rId29">
                      <a:extLst>
                        <a:ext uri="{28A0092B-C50C-407E-A947-70E740481C1C}">
                          <a14:useLocalDpi xmlns:a14="http://schemas.microsoft.com/office/drawing/2010/main" val="0"/>
                        </a:ext>
                      </a:extLst>
                    </a:blip>
                    <a:srcRect l="2161" r="4598" b="8649"/>
                    <a:stretch/>
                  </pic:blipFill>
                  <pic:spPr bwMode="auto">
                    <a:xfrm>
                      <a:off x="0" y="0"/>
                      <a:ext cx="5343525" cy="1609725"/>
                    </a:xfrm>
                    <a:prstGeom prst="rect">
                      <a:avLst/>
                    </a:prstGeom>
                    <a:noFill/>
                    <a:ln>
                      <a:noFill/>
                    </a:ln>
                    <a:extLst>
                      <a:ext uri="{53640926-AAD7-44D8-BBD7-CCE9431645EC}">
                        <a14:shadowObscured xmlns:a14="http://schemas.microsoft.com/office/drawing/2010/main"/>
                      </a:ext>
                    </a:extLst>
                  </pic:spPr>
                </pic:pic>
              </a:graphicData>
            </a:graphic>
          </wp:inline>
        </w:drawing>
      </w:r>
    </w:p>
    <w:p w14:paraId="518C9EB2" w14:textId="767EEACB" w:rsidR="00417D72" w:rsidRPr="00B54EFD" w:rsidRDefault="00417D72" w:rsidP="00B54EFD">
      <w:pPr>
        <w:pStyle w:val="TableDescription"/>
      </w:pPr>
      <w:r w:rsidRPr="00B54EFD">
        <w:t>Abbreviations: AUC</w:t>
      </w:r>
      <w:r w:rsidRPr="00B54EFD">
        <w:rPr>
          <w:vertAlign w:val="subscript"/>
        </w:rPr>
        <w:t>0-inf</w:t>
      </w:r>
      <w:r w:rsidR="00B54EFD" w:rsidRPr="00B54EFD">
        <w:rPr>
          <w:vertAlign w:val="subscript"/>
        </w:rPr>
        <w:t xml:space="preserve"> </w:t>
      </w:r>
      <w:r w:rsidR="00B54EFD" w:rsidRPr="00B54EFD">
        <w:t>= area under the concentration time curve from time zero to infinity</w:t>
      </w:r>
      <w:r w:rsidRPr="00B54EFD">
        <w:t>, AUC</w:t>
      </w:r>
      <w:r w:rsidRPr="00B54EFD">
        <w:rPr>
          <w:vertAlign w:val="subscript"/>
        </w:rPr>
        <w:t>0-t</w:t>
      </w:r>
      <w:r w:rsidR="00B54EFD" w:rsidRPr="00B54EFD">
        <w:rPr>
          <w:vertAlign w:val="subscript"/>
        </w:rPr>
        <w:t xml:space="preserve"> </w:t>
      </w:r>
      <w:r w:rsidR="00B54EFD" w:rsidRPr="00B54EFD">
        <w:t>= area under concentration time curve from time zero to the time of last measurable concentration</w:t>
      </w:r>
      <w:r w:rsidRPr="00B54EFD">
        <w:t xml:space="preserve">, </w:t>
      </w:r>
      <w:proofErr w:type="spellStart"/>
      <w:r w:rsidRPr="00B54EFD">
        <w:t>AUC</w:t>
      </w:r>
      <w:r w:rsidRPr="00B54EFD">
        <w:rPr>
          <w:vertAlign w:val="subscript"/>
        </w:rPr>
        <w:t>all</w:t>
      </w:r>
      <w:proofErr w:type="spellEnd"/>
      <w:r w:rsidR="00B54EFD" w:rsidRPr="00B54EFD">
        <w:rPr>
          <w:vertAlign w:val="subscript"/>
        </w:rPr>
        <w:t xml:space="preserve"> </w:t>
      </w:r>
      <w:r w:rsidR="00B54EFD" w:rsidRPr="00B54EFD">
        <w:t>= area under concentration time curve from time zero to the time of last measurable concentration area under the concentration time curve from time zero to the time of the last measurement regardless of whether it is quantifiable point</w:t>
      </w:r>
      <w:r w:rsidRPr="00B54EFD">
        <w:t>, C</w:t>
      </w:r>
      <w:r w:rsidRPr="00B54EFD">
        <w:rPr>
          <w:vertAlign w:val="subscript"/>
        </w:rPr>
        <w:t>max</w:t>
      </w:r>
      <w:r w:rsidR="00B54EFD" w:rsidRPr="00B54EFD">
        <w:t xml:space="preserve"> = maximum concentration</w:t>
      </w:r>
      <w:r w:rsidRPr="00B54EFD">
        <w:t>, geo</w:t>
      </w:r>
      <w:r w:rsidR="00B54EFD" w:rsidRPr="00B54EFD">
        <w:t>-</w:t>
      </w:r>
      <w:proofErr w:type="spellStart"/>
      <w:r w:rsidRPr="00B54EFD">
        <w:t>LSMean</w:t>
      </w:r>
      <w:proofErr w:type="spellEnd"/>
      <w:r w:rsidR="00B54EFD" w:rsidRPr="00B54EFD">
        <w:t xml:space="preserve"> = geometric least-squares mean ratio,</w:t>
      </w:r>
      <w:r w:rsidRPr="00B54EFD">
        <w:t xml:space="preserve"> CI</w:t>
      </w:r>
      <w:r w:rsidR="00B54EFD" w:rsidRPr="00B54EFD">
        <w:t xml:space="preserve"> = confidence interval,</w:t>
      </w:r>
      <w:r w:rsidRPr="00B54EFD">
        <w:t xml:space="preserve"> PK</w:t>
      </w:r>
      <w:r w:rsidR="00B54EFD" w:rsidRPr="00B54EFD">
        <w:t xml:space="preserve"> = pharmacokinetic(s)</w:t>
      </w:r>
    </w:p>
    <w:p w14:paraId="2BBACAFE" w14:textId="52401F84" w:rsidR="00417D72" w:rsidRDefault="00417D72" w:rsidP="00417D72">
      <w:pPr>
        <w:pStyle w:val="Tabletitle0"/>
      </w:pPr>
      <w:bookmarkStart w:id="43" w:name="_Ref128572351"/>
      <w:r>
        <w:t xml:space="preserve">Table </w:t>
      </w:r>
      <w:fldSimple w:instr=" SEQ Table \* ARABIC ">
        <w:r w:rsidR="00900E2D">
          <w:rPr>
            <w:noProof/>
          </w:rPr>
          <w:t>4</w:t>
        </w:r>
      </w:fldSimple>
      <w:bookmarkEnd w:id="43"/>
      <w:r>
        <w:t xml:space="preserve">: </w:t>
      </w:r>
      <w:r w:rsidR="00E9097C">
        <w:t xml:space="preserve">Study HLX02-HV01 </w:t>
      </w:r>
      <w:r w:rsidRPr="00417D72">
        <w:t xml:space="preserve">Statistical comparison of </w:t>
      </w:r>
      <w:r>
        <w:t>pharmacokinetic</w:t>
      </w:r>
      <w:r w:rsidRPr="00417D72">
        <w:t xml:space="preserve"> parameters between HLX02 and C</w:t>
      </w:r>
      <w:r w:rsidR="00A60D39">
        <w:t>hina</w:t>
      </w:r>
      <w:r w:rsidRPr="00417D72">
        <w:t>-sourced Herceptin</w:t>
      </w:r>
      <w:r>
        <w:t xml:space="preserve"> </w:t>
      </w:r>
      <w:r w:rsidRPr="00417D72">
        <w:t>(based on uncorrected serum concentration data)</w:t>
      </w:r>
    </w:p>
    <w:p w14:paraId="3D8382B7" w14:textId="7277A760" w:rsidR="00417D72" w:rsidRDefault="00417D72" w:rsidP="00417D72">
      <w:r>
        <w:rPr>
          <w:noProof/>
          <w:lang w:val="en-GB" w:eastAsia="en-GB"/>
        </w:rPr>
        <w:drawing>
          <wp:inline distT="0" distB="0" distL="0" distR="0" wp14:anchorId="52D2AD0C" wp14:editId="6BFF9C80">
            <wp:extent cx="5346700" cy="1762125"/>
            <wp:effectExtent l="0" t="0" r="6350" b="9525"/>
            <wp:docPr id="3" name="Picture 3" descr="Statistical comparison of pharmacokinetic parameters between HLX02 and China-sourced Herceptin (based on uncorrected serum concentration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istical comparison of pharmacokinetic parameters between HLX02 and China-sourced Herceptin (based on uncorrected serum concentration dat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46700" cy="1762125"/>
                    </a:xfrm>
                    <a:prstGeom prst="rect">
                      <a:avLst/>
                    </a:prstGeom>
                    <a:noFill/>
                  </pic:spPr>
                </pic:pic>
              </a:graphicData>
            </a:graphic>
          </wp:inline>
        </w:drawing>
      </w:r>
    </w:p>
    <w:p w14:paraId="5B84001A" w14:textId="68AF352E" w:rsidR="00B54EFD" w:rsidRPr="00B54EFD" w:rsidRDefault="00B54EFD" w:rsidP="00B54EFD">
      <w:pPr>
        <w:pStyle w:val="TableDescription"/>
      </w:pPr>
      <w:r w:rsidRPr="00B54EFD">
        <w:t>Abbreviations: AUC</w:t>
      </w:r>
      <w:r w:rsidRPr="00B54EFD">
        <w:rPr>
          <w:vertAlign w:val="subscript"/>
        </w:rPr>
        <w:t xml:space="preserve">0-inf </w:t>
      </w:r>
      <w:r w:rsidRPr="00B54EFD">
        <w:t>= area under the concentration time curve from time zero to infinity, AUC</w:t>
      </w:r>
      <w:r w:rsidRPr="00B54EFD">
        <w:rPr>
          <w:vertAlign w:val="subscript"/>
        </w:rPr>
        <w:t xml:space="preserve">0-t </w:t>
      </w:r>
      <w:r w:rsidRPr="00B54EFD">
        <w:t xml:space="preserve">= area under concentration time curve from time zero to the time of last measurable concentration, </w:t>
      </w:r>
      <w:proofErr w:type="spellStart"/>
      <w:r w:rsidRPr="00B54EFD">
        <w:t>AUC</w:t>
      </w:r>
      <w:r w:rsidRPr="00B54EFD">
        <w:rPr>
          <w:vertAlign w:val="subscript"/>
        </w:rPr>
        <w:t>all</w:t>
      </w:r>
      <w:proofErr w:type="spellEnd"/>
      <w:r w:rsidR="00E9097C">
        <w:t> </w:t>
      </w:r>
      <w:r w:rsidRPr="00B54EFD">
        <w:t>=</w:t>
      </w:r>
      <w:r w:rsidR="00E9097C">
        <w:t> </w:t>
      </w:r>
      <w:r w:rsidRPr="00B54EFD">
        <w:t>area under concentration time curve from time zero to the time of last measurable concentration area under the concentration time curve from time zero to the time of the last measurement regardless of whether it is quantifiable point, C</w:t>
      </w:r>
      <w:r w:rsidRPr="00B54EFD">
        <w:rPr>
          <w:vertAlign w:val="subscript"/>
        </w:rPr>
        <w:t xml:space="preserve">max </w:t>
      </w:r>
      <w:r w:rsidRPr="00B54EFD">
        <w:t>= maximum concentration, geo-</w:t>
      </w:r>
      <w:proofErr w:type="spellStart"/>
      <w:r w:rsidRPr="00B54EFD">
        <w:t>LSMean</w:t>
      </w:r>
      <w:proofErr w:type="spellEnd"/>
      <w:r w:rsidRPr="00B54EFD">
        <w:t xml:space="preserve"> = geometric least-squares mean ratio, CI = confidence interval, PK = pharmacokinetic(s)</w:t>
      </w:r>
    </w:p>
    <w:p w14:paraId="2A80B0BB" w14:textId="1D30283A" w:rsidR="00417D72" w:rsidRDefault="00417D72" w:rsidP="00417D72">
      <w:pPr>
        <w:pStyle w:val="Heading5"/>
      </w:pPr>
      <w:r>
        <w:t>Population pharmacokinetic data</w:t>
      </w:r>
    </w:p>
    <w:p w14:paraId="06EA4104" w14:textId="4F589945" w:rsidR="00417D72" w:rsidRDefault="00417D72" w:rsidP="00417D72">
      <w:r>
        <w:t xml:space="preserve">A population </w:t>
      </w:r>
      <w:r w:rsidRPr="008162EB">
        <w:t>pharmacokinetic (</w:t>
      </w:r>
      <w:proofErr w:type="spellStart"/>
      <w:r w:rsidRPr="008162EB">
        <w:t>popPK</w:t>
      </w:r>
      <w:proofErr w:type="spellEnd"/>
      <w:r w:rsidRPr="008162EB">
        <w:t>) analysis</w:t>
      </w:r>
      <w:r>
        <w:t xml:space="preserve"> was performed at the request of the </w:t>
      </w:r>
      <w:r w:rsidR="00B54EFD">
        <w:t>European Medicines Agency</w:t>
      </w:r>
      <w:r>
        <w:t xml:space="preserve">. The </w:t>
      </w:r>
      <w:proofErr w:type="spellStart"/>
      <w:r>
        <w:t>popPK</w:t>
      </w:r>
      <w:proofErr w:type="spellEnd"/>
      <w:r>
        <w:t xml:space="preserve"> model was developed based on a dataset of 754</w:t>
      </w:r>
      <w:r w:rsidR="00E9097C">
        <w:t> </w:t>
      </w:r>
      <w:r>
        <w:t>subjects with 5,882 samples enrolled in two clinical studies. This analysis allowed an estimate of typical values and inter</w:t>
      </w:r>
      <w:r w:rsidR="00A02CEC">
        <w:t>-</w:t>
      </w:r>
      <w:r>
        <w:t>individual variability of PK parameters in healthy volunteers and patients with HER2</w:t>
      </w:r>
      <w:r w:rsidR="00C035BE">
        <w:t xml:space="preserve"> </w:t>
      </w:r>
      <w:r>
        <w:t xml:space="preserve">positive, </w:t>
      </w:r>
      <w:proofErr w:type="gramStart"/>
      <w:r>
        <w:t>recurrent</w:t>
      </w:r>
      <w:proofErr w:type="gramEnd"/>
      <w:r>
        <w:t xml:space="preserve"> or previously untreated metastatic breast cancer. It also allowed an assessment of the effects of demographic (for example, age, body weight, race (Asian versus Non-Asian</w:t>
      </w:r>
      <w:r w:rsidR="00E9097C">
        <w:t xml:space="preserve"> subjects</w:t>
      </w:r>
      <w:r>
        <w:t xml:space="preserve">)), pathophysiologic (for example, HER2 receptor (shed antigen)), and immunogenicity related covariates (for example, </w:t>
      </w:r>
      <w:r w:rsidR="00534F17">
        <w:t>anti</w:t>
      </w:r>
      <w:r w:rsidR="00E9097C">
        <w:noBreakHyphen/>
      </w:r>
      <w:r w:rsidR="00534F17">
        <w:t xml:space="preserve">drug </w:t>
      </w:r>
      <w:r w:rsidRPr="00534F17">
        <w:t xml:space="preserve">and </w:t>
      </w:r>
      <w:r w:rsidR="00534F17">
        <w:t xml:space="preserve">neutralising anti-drug </w:t>
      </w:r>
      <w:r w:rsidR="00E9097C">
        <w:t>antibodies</w:t>
      </w:r>
      <w:r>
        <w:t xml:space="preserve">) on the PK of both </w:t>
      </w:r>
      <w:r w:rsidR="00E9097C">
        <w:t xml:space="preserve">Trastucip </w:t>
      </w:r>
      <w:r>
        <w:t>and Herceptin.</w:t>
      </w:r>
    </w:p>
    <w:p w14:paraId="3262A1B7" w14:textId="6FB63E27" w:rsidR="00417D72" w:rsidRDefault="00417D72" w:rsidP="00417D72">
      <w:r>
        <w:lastRenderedPageBreak/>
        <w:t xml:space="preserve">The model predicted higher </w:t>
      </w:r>
      <w:r w:rsidR="00E9097C">
        <w:t xml:space="preserve">Trastucip </w:t>
      </w:r>
      <w:r>
        <w:t xml:space="preserve">exposures in anti-drug antibody or neutralising </w:t>
      </w:r>
      <w:r w:rsidR="00534F17">
        <w:t>anti</w:t>
      </w:r>
      <w:r w:rsidR="00534F17">
        <w:noBreakHyphen/>
        <w:t>drug antibody</w:t>
      </w:r>
      <w:r>
        <w:t xml:space="preserve"> negative subjects compared with </w:t>
      </w:r>
      <w:r w:rsidR="00534F17">
        <w:t>anti-drug antibody</w:t>
      </w:r>
      <w:r>
        <w:t xml:space="preserve"> or </w:t>
      </w:r>
      <w:r w:rsidR="00534F17">
        <w:t>neutralising anti</w:t>
      </w:r>
      <w:r w:rsidR="00534F17">
        <w:noBreakHyphen/>
        <w:t xml:space="preserve">drug antibody </w:t>
      </w:r>
      <w:r>
        <w:t xml:space="preserve">positive subjects. However, it is not meaningful due to limited sample size. Steady state exposures in Asians were lower than those of in non-Asians (12.2%, </w:t>
      </w:r>
      <w:r w:rsidRPr="008162EB">
        <w:t xml:space="preserve">9.67% and 14.3% lower for </w:t>
      </w:r>
      <w:r w:rsidR="00534F17" w:rsidRPr="008162EB">
        <w:t>area under the concentration time curve at steady state (</w:t>
      </w:r>
      <w:proofErr w:type="spellStart"/>
      <w:r w:rsidRPr="008162EB">
        <w:t>AUC</w:t>
      </w:r>
      <w:r w:rsidRPr="008162EB">
        <w:rPr>
          <w:vertAlign w:val="subscript"/>
        </w:rPr>
        <w:t>ss</w:t>
      </w:r>
      <w:proofErr w:type="spellEnd"/>
      <w:r w:rsidR="00534F17" w:rsidRPr="008162EB">
        <w:t>)</w:t>
      </w:r>
      <w:r w:rsidRPr="008162EB">
        <w:t>,</w:t>
      </w:r>
      <w:r w:rsidR="00534F17" w:rsidRPr="008162EB">
        <w:t xml:space="preserve"> maximum concentration at steady state</w:t>
      </w:r>
      <w:r w:rsidRPr="008162EB">
        <w:t xml:space="preserve"> </w:t>
      </w:r>
      <w:r w:rsidR="00534F17" w:rsidRPr="008162EB">
        <w:t>(</w:t>
      </w:r>
      <w:proofErr w:type="spellStart"/>
      <w:proofErr w:type="gramStart"/>
      <w:r w:rsidRPr="008162EB">
        <w:t>C</w:t>
      </w:r>
      <w:r w:rsidRPr="008162EB">
        <w:rPr>
          <w:vertAlign w:val="subscript"/>
        </w:rPr>
        <w:t>max,ss</w:t>
      </w:r>
      <w:proofErr w:type="spellEnd"/>
      <w:proofErr w:type="gramEnd"/>
      <w:r w:rsidR="00534F17" w:rsidRPr="008162EB">
        <w:t>)</w:t>
      </w:r>
      <w:r w:rsidRPr="008162EB">
        <w:t xml:space="preserve">, and </w:t>
      </w:r>
      <w:r w:rsidR="00534F17" w:rsidRPr="008162EB">
        <w:t>minimum concentration at steady state (</w:t>
      </w:r>
      <w:proofErr w:type="spellStart"/>
      <w:r w:rsidRPr="008162EB">
        <w:t>C</w:t>
      </w:r>
      <w:r w:rsidRPr="008162EB">
        <w:rPr>
          <w:vertAlign w:val="subscript"/>
        </w:rPr>
        <w:t>min,ss</w:t>
      </w:r>
      <w:proofErr w:type="spellEnd"/>
      <w:r w:rsidR="00534F17" w:rsidRPr="008162EB">
        <w:t>)</w:t>
      </w:r>
      <w:r w:rsidRPr="008162EB">
        <w:t xml:space="preserve"> of </w:t>
      </w:r>
      <w:proofErr w:type="spellStart"/>
      <w:r w:rsidR="00E9097C">
        <w:t>Trastucip</w:t>
      </w:r>
      <w:proofErr w:type="spellEnd"/>
      <w:r w:rsidR="00E9097C">
        <w:t xml:space="preserve"> </w:t>
      </w:r>
      <w:r w:rsidRPr="008162EB">
        <w:t xml:space="preserve">; 8.14%, 8% and 5.1% lower for </w:t>
      </w:r>
      <w:proofErr w:type="spellStart"/>
      <w:r w:rsidRPr="008162EB">
        <w:t>AUC</w:t>
      </w:r>
      <w:r w:rsidRPr="008162EB">
        <w:rPr>
          <w:vertAlign w:val="subscript"/>
        </w:rPr>
        <w:t>ss</w:t>
      </w:r>
      <w:proofErr w:type="spellEnd"/>
      <w:r w:rsidRPr="00534F17">
        <w:t xml:space="preserve">, </w:t>
      </w:r>
      <w:proofErr w:type="spellStart"/>
      <w:r w:rsidRPr="00534F17">
        <w:t>C</w:t>
      </w:r>
      <w:r w:rsidRPr="00534F17">
        <w:rPr>
          <w:vertAlign w:val="subscript"/>
        </w:rPr>
        <w:t>max,ss</w:t>
      </w:r>
      <w:proofErr w:type="spellEnd"/>
      <w:r w:rsidRPr="00534F17">
        <w:t xml:space="preserve">, and </w:t>
      </w:r>
      <w:proofErr w:type="spellStart"/>
      <w:r w:rsidRPr="00534F17">
        <w:t>C</w:t>
      </w:r>
      <w:r w:rsidRPr="00534F17">
        <w:rPr>
          <w:vertAlign w:val="subscript"/>
        </w:rPr>
        <w:t>min,ss</w:t>
      </w:r>
      <w:proofErr w:type="spellEnd"/>
      <w:r w:rsidRPr="00534F17">
        <w:rPr>
          <w:vertAlign w:val="subscript"/>
        </w:rPr>
        <w:t xml:space="preserve"> </w:t>
      </w:r>
      <w:r w:rsidRPr="00534F17">
        <w:t>of</w:t>
      </w:r>
      <w:r>
        <w:t xml:space="preserve"> </w:t>
      </w:r>
      <w:r w:rsidR="00534F17">
        <w:t>H</w:t>
      </w:r>
      <w:r>
        <w:t>erceptin). This is partially attributed to the lower body weight in Asian</w:t>
      </w:r>
      <w:r w:rsidR="00E9097C">
        <w:t xml:space="preserve"> subjects</w:t>
      </w:r>
      <w:r>
        <w:t xml:space="preserve"> as compared to </w:t>
      </w:r>
      <w:proofErr w:type="spellStart"/>
      <w:r>
        <w:t>non-Asian</w:t>
      </w:r>
      <w:proofErr w:type="spellEnd"/>
      <w:r w:rsidR="00E9097C">
        <w:t xml:space="preserve"> subjects</w:t>
      </w:r>
      <w:r>
        <w:t xml:space="preserve"> (60</w:t>
      </w:r>
      <w:r w:rsidR="008954A6">
        <w:t> kg versus</w:t>
      </w:r>
      <w:r>
        <w:t xml:space="preserve"> 75</w:t>
      </w:r>
      <w:r w:rsidR="008954A6">
        <w:t> </w:t>
      </w:r>
      <w:r>
        <w:t xml:space="preserve">kg for </w:t>
      </w:r>
      <w:r w:rsidR="00E9097C">
        <w:t>Trastucip</w:t>
      </w:r>
      <w:r>
        <w:t>, 60</w:t>
      </w:r>
      <w:r w:rsidR="008954A6">
        <w:t xml:space="preserve"> kg </w:t>
      </w:r>
      <w:r>
        <w:t>v</w:t>
      </w:r>
      <w:r w:rsidR="008954A6">
        <w:t>ersus</w:t>
      </w:r>
      <w:r>
        <w:t xml:space="preserve"> 72</w:t>
      </w:r>
      <w:r w:rsidR="008954A6">
        <w:t> </w:t>
      </w:r>
      <w:r>
        <w:t xml:space="preserve">kg for </w:t>
      </w:r>
      <w:r w:rsidR="00534F17">
        <w:t>H</w:t>
      </w:r>
      <w:r>
        <w:t>er</w:t>
      </w:r>
      <w:r w:rsidR="008954A6">
        <w:t>c</w:t>
      </w:r>
      <w:r>
        <w:t>eptin).</w:t>
      </w:r>
    </w:p>
    <w:p w14:paraId="5A3DBA30" w14:textId="3D7B51DC" w:rsidR="00417D72" w:rsidRDefault="00417D72" w:rsidP="00417D72">
      <w:r>
        <w:t xml:space="preserve">No significant difference is identified in steady state exposures between </w:t>
      </w:r>
      <w:r w:rsidR="00E9097C">
        <w:t xml:space="preserve">Trastucip </w:t>
      </w:r>
      <w:r>
        <w:t>and EU</w:t>
      </w:r>
      <w:r w:rsidR="008954A6">
        <w:noBreakHyphen/>
      </w:r>
      <w:r>
        <w:t xml:space="preserve">sourced </w:t>
      </w:r>
      <w:r w:rsidR="00534F17">
        <w:t>H</w:t>
      </w:r>
      <w:r>
        <w:t>erceptin/</w:t>
      </w:r>
      <w:r w:rsidR="00A02CEC">
        <w:t xml:space="preserve"> </w:t>
      </w:r>
      <w:r w:rsidR="00534F17">
        <w:t>China</w:t>
      </w:r>
      <w:r>
        <w:t xml:space="preserve">-sourced </w:t>
      </w:r>
      <w:r w:rsidR="00534F17">
        <w:t>H</w:t>
      </w:r>
      <w:r>
        <w:t xml:space="preserve">erceptin. Steady state exposures in healthy volunteers were lower than those in patients for both HLX02 (11.3% for </w:t>
      </w:r>
      <w:proofErr w:type="spellStart"/>
      <w:r>
        <w:t>AUC</w:t>
      </w:r>
      <w:r w:rsidRPr="00534F17">
        <w:rPr>
          <w:vertAlign w:val="subscript"/>
        </w:rPr>
        <w:t>ss</w:t>
      </w:r>
      <w:proofErr w:type="spellEnd"/>
      <w:r>
        <w:t xml:space="preserve">, 1.98% for </w:t>
      </w:r>
      <w:proofErr w:type="spellStart"/>
      <w:proofErr w:type="gramStart"/>
      <w:r>
        <w:t>C</w:t>
      </w:r>
      <w:r w:rsidRPr="00534F17">
        <w:rPr>
          <w:vertAlign w:val="subscript"/>
        </w:rPr>
        <w:t>max,ss</w:t>
      </w:r>
      <w:proofErr w:type="spellEnd"/>
      <w:proofErr w:type="gramEnd"/>
      <w:r>
        <w:t xml:space="preserve">, and 25.7% for </w:t>
      </w:r>
      <w:proofErr w:type="spellStart"/>
      <w:r>
        <w:t>C</w:t>
      </w:r>
      <w:r w:rsidRPr="00534F17">
        <w:rPr>
          <w:vertAlign w:val="subscript"/>
        </w:rPr>
        <w:t>min,ss</w:t>
      </w:r>
      <w:proofErr w:type="spellEnd"/>
      <w:r>
        <w:t>) and EU-</w:t>
      </w:r>
      <w:r w:rsidR="005A66A8">
        <w:t>s</w:t>
      </w:r>
      <w:r>
        <w:t xml:space="preserve">ourced </w:t>
      </w:r>
      <w:r w:rsidR="00534F17">
        <w:t>H</w:t>
      </w:r>
      <w:r>
        <w:t xml:space="preserve">erceptin (7.31% for </w:t>
      </w:r>
      <w:proofErr w:type="spellStart"/>
      <w:r>
        <w:t>AUC</w:t>
      </w:r>
      <w:r w:rsidRPr="00534F17">
        <w:rPr>
          <w:vertAlign w:val="subscript"/>
        </w:rPr>
        <w:t>ss</w:t>
      </w:r>
      <w:proofErr w:type="spellEnd"/>
      <w:r>
        <w:t xml:space="preserve">, 0.572% for </w:t>
      </w:r>
      <w:proofErr w:type="spellStart"/>
      <w:r>
        <w:t>C</w:t>
      </w:r>
      <w:r w:rsidRPr="00534F17">
        <w:rPr>
          <w:vertAlign w:val="subscript"/>
        </w:rPr>
        <w:t>max,ss</w:t>
      </w:r>
      <w:proofErr w:type="spellEnd"/>
      <w:r>
        <w:t xml:space="preserve">, and 18.4% for </w:t>
      </w:r>
      <w:proofErr w:type="spellStart"/>
      <w:r>
        <w:t>C</w:t>
      </w:r>
      <w:r w:rsidRPr="00534F17">
        <w:rPr>
          <w:vertAlign w:val="subscript"/>
        </w:rPr>
        <w:t>min,ss</w:t>
      </w:r>
      <w:proofErr w:type="spellEnd"/>
      <w:r>
        <w:t>).</w:t>
      </w:r>
    </w:p>
    <w:p w14:paraId="2BD130A2" w14:textId="77777777" w:rsidR="008954A6" w:rsidRPr="008954A6" w:rsidRDefault="008954A6" w:rsidP="008954A6">
      <w:pPr>
        <w:pStyle w:val="Heading4"/>
      </w:pPr>
      <w:r w:rsidRPr="008954A6">
        <w:t>Efficacy</w:t>
      </w:r>
    </w:p>
    <w:p w14:paraId="13438D66" w14:textId="3F0029C8" w:rsidR="008954A6" w:rsidRPr="008954A6" w:rsidRDefault="00E9097C" w:rsidP="008954A6">
      <w:r>
        <w:t>Study HLX02-BC01, a</w:t>
      </w:r>
      <w:r w:rsidR="008954A6" w:rsidRPr="008954A6">
        <w:t xml:space="preserve"> Phase </w:t>
      </w:r>
      <w:r w:rsidR="008954A6">
        <w:t>III</w:t>
      </w:r>
      <w:r w:rsidR="008954A6" w:rsidRPr="008954A6">
        <w:t xml:space="preserve"> clinical comparative study was performed. Clinical input was provided by the </w:t>
      </w:r>
      <w:r w:rsidR="00534F17" w:rsidRPr="00534F17">
        <w:t>Committee for Medicinal Products for Human Use (</w:t>
      </w:r>
      <w:bookmarkStart w:id="44" w:name="_Hlk128735883"/>
      <w:r w:rsidR="00534F17" w:rsidRPr="00534F17">
        <w:t>European Medicines Agency</w:t>
      </w:r>
      <w:bookmarkEnd w:id="44"/>
      <w:r w:rsidR="00534F17" w:rsidRPr="00534F17">
        <w:t>, European Union)</w:t>
      </w:r>
      <w:r w:rsidR="008954A6" w:rsidRPr="00534F17">
        <w:t>.</w:t>
      </w:r>
      <w:r w:rsidR="008954A6" w:rsidRPr="008954A6">
        <w:t xml:space="preserve"> As of January 2020, this study was ongoing to monitor overall survival at 24 and 36 months. The data presented was to 10 July 2019 (data cut-off date).</w:t>
      </w:r>
    </w:p>
    <w:p w14:paraId="21942DAA" w14:textId="00D4F999" w:rsidR="008954A6" w:rsidRPr="008954A6" w:rsidRDefault="008954A6" w:rsidP="008954A6">
      <w:r w:rsidRPr="008954A6">
        <w:t>Study HLX02-BC01 is a double</w:t>
      </w:r>
      <w:r>
        <w:t xml:space="preserve"> </w:t>
      </w:r>
      <w:r w:rsidRPr="008954A6">
        <w:t xml:space="preserve">blind, randomised, </w:t>
      </w:r>
      <w:r>
        <w:t xml:space="preserve">two </w:t>
      </w:r>
      <w:r w:rsidRPr="008954A6">
        <w:t>arm parallel</w:t>
      </w:r>
      <w:r>
        <w:t xml:space="preserve"> </w:t>
      </w:r>
      <w:r w:rsidRPr="008954A6">
        <w:t xml:space="preserve">controlled, multicentre, international study to compare the efficacy of </w:t>
      </w:r>
      <w:r w:rsidR="00E9097C">
        <w:t xml:space="preserve">Trastucip </w:t>
      </w:r>
      <w:r w:rsidRPr="008954A6">
        <w:t>versus EU-sourced Herceptin in combination with docetaxel</w:t>
      </w:r>
      <w:r w:rsidR="002F3320">
        <w:t>;</w:t>
      </w:r>
      <w:r w:rsidR="002F3320">
        <w:rPr>
          <w:rStyle w:val="FootnoteReference"/>
        </w:rPr>
        <w:footnoteReference w:id="14"/>
      </w:r>
      <w:r w:rsidRPr="008954A6">
        <w:t xml:space="preserve"> using </w:t>
      </w:r>
      <w:r w:rsidR="00F95CC1">
        <w:t>overall response rate at Week 24</w:t>
      </w:r>
      <w:r w:rsidRPr="008954A6">
        <w:t>, to demonstrate clinical bioequivalence. A total of 649 patients from 89 sites (81 with enrolment) in China, Ukraine, Philippines</w:t>
      </w:r>
      <w:r>
        <w:t xml:space="preserve"> and</w:t>
      </w:r>
      <w:r w:rsidRPr="008954A6">
        <w:t xml:space="preserve"> Poland were randomised to receive the study treatment (</w:t>
      </w:r>
      <w:r w:rsidR="00B4498D">
        <w:t xml:space="preserve">Trastucip </w:t>
      </w:r>
      <w:r>
        <w:t>(</w:t>
      </w:r>
      <w:r w:rsidR="00B4498D">
        <w:t xml:space="preserve">the </w:t>
      </w:r>
      <w:r w:rsidRPr="008954A6">
        <w:t>trastuzumab biosimilar</w:t>
      </w:r>
      <w:r>
        <w:t>)</w:t>
      </w:r>
      <w:r w:rsidRPr="008954A6">
        <w:t xml:space="preserve"> or EU-sourced </w:t>
      </w:r>
      <w:r w:rsidR="00534F17">
        <w:t>H</w:t>
      </w:r>
      <w:r w:rsidRPr="008954A6">
        <w:t xml:space="preserve">erceptin </w:t>
      </w:r>
      <w:r>
        <w:t>(</w:t>
      </w:r>
      <w:r w:rsidRPr="008954A6">
        <w:t>trastuzumab</w:t>
      </w:r>
      <w:r>
        <w:t>)</w:t>
      </w:r>
      <w:r w:rsidRPr="008954A6">
        <w:t>, in combination with docetaxel</w:t>
      </w:r>
      <w:r>
        <w:t>)</w:t>
      </w:r>
      <w:r w:rsidRPr="008954A6">
        <w:t xml:space="preserve"> either at time of first evidence for metastatic disease, or at time of relapse after prior diagnosis of early breast cancer, provided (neo-adjuvant treatment was completed for at least 12 months prior to study enrolment except hormone therapy, which must be stopped at least 2 weeks before randomisation).</w:t>
      </w:r>
      <w:r w:rsidR="0089493A">
        <w:t xml:space="preserve"> </w:t>
      </w:r>
      <w:r w:rsidRPr="008954A6">
        <w:t>Patients were required to have HER2</w:t>
      </w:r>
      <w:r w:rsidR="001C43B9">
        <w:t xml:space="preserve"> </w:t>
      </w:r>
      <w:r w:rsidRPr="008954A6">
        <w:t>overexpressing</w:t>
      </w:r>
      <w:r w:rsidR="00534F17">
        <w:t xml:space="preserve"> metast</w:t>
      </w:r>
      <w:r w:rsidR="00444F48">
        <w:t>atic breast cancer</w:t>
      </w:r>
      <w:r w:rsidRPr="008954A6">
        <w:t xml:space="preserve"> and have not received chemotherapy or biologic therapy for their metastatic disease.</w:t>
      </w:r>
    </w:p>
    <w:p w14:paraId="4CA8A1A8" w14:textId="6ABC7194" w:rsidR="008954A6" w:rsidRPr="008954A6" w:rsidRDefault="00B4498D" w:rsidP="008954A6">
      <w:r>
        <w:t xml:space="preserve">Trastucip </w:t>
      </w:r>
      <w:r w:rsidR="008954A6" w:rsidRPr="008954A6">
        <w:t>or EU-sourced Herceptin was administered intravenously at a loading dose of 8</w:t>
      </w:r>
      <w:r w:rsidR="0089493A">
        <w:t> </w:t>
      </w:r>
      <w:r w:rsidR="008954A6" w:rsidRPr="008954A6">
        <w:t>mg/kg over 90 minutes on Day 1, Cycle 1 followed by at a dose of 6</w:t>
      </w:r>
      <w:r w:rsidR="0089493A">
        <w:t> </w:t>
      </w:r>
      <w:r w:rsidR="008954A6" w:rsidRPr="008954A6">
        <w:t xml:space="preserve">mg/kg once every </w:t>
      </w:r>
      <w:r w:rsidR="0089493A">
        <w:t xml:space="preserve">three </w:t>
      </w:r>
      <w:r w:rsidR="008954A6" w:rsidRPr="008954A6">
        <w:t>weeks in 3-weekly cycles for up to a maximum of 12 months. Docetaxel (75</w:t>
      </w:r>
      <w:r w:rsidR="0089493A">
        <w:t> </w:t>
      </w:r>
      <w:r w:rsidR="008954A6" w:rsidRPr="008954A6">
        <w:t>mg/m</w:t>
      </w:r>
      <w:r w:rsidR="008954A6" w:rsidRPr="00E31C97">
        <w:rPr>
          <w:vertAlign w:val="superscript"/>
        </w:rPr>
        <w:t>2</w:t>
      </w:r>
      <w:r w:rsidR="008954A6" w:rsidRPr="008954A6">
        <w:t xml:space="preserve">) was co-administered intravenously (after </w:t>
      </w:r>
      <w:r>
        <w:t xml:space="preserve">Trastucip </w:t>
      </w:r>
      <w:r w:rsidR="008954A6" w:rsidRPr="008954A6">
        <w:t xml:space="preserve">or EU-sourced Herceptin) once every </w:t>
      </w:r>
      <w:r w:rsidR="0089493A">
        <w:t>three</w:t>
      </w:r>
      <w:r w:rsidR="008954A6" w:rsidRPr="008954A6">
        <w:t xml:space="preserve"> weeks for at least </w:t>
      </w:r>
      <w:r w:rsidR="0089493A">
        <w:t>eight</w:t>
      </w:r>
      <w:r w:rsidR="008954A6" w:rsidRPr="008954A6">
        <w:t xml:space="preserve"> cycles and thereafter at the </w:t>
      </w:r>
      <w:r w:rsidR="0089493A">
        <w:t>i</w:t>
      </w:r>
      <w:r w:rsidR="008954A6" w:rsidRPr="008954A6">
        <w:t>nvestigator’s discretion for up to a maximum of 12 months.</w:t>
      </w:r>
    </w:p>
    <w:p w14:paraId="7C4E8E22" w14:textId="3D4BB25D" w:rsidR="008954A6" w:rsidRPr="008954A6" w:rsidRDefault="008954A6" w:rsidP="008954A6">
      <w:r w:rsidRPr="008954A6">
        <w:t xml:space="preserve">Tumour response for the primary efficacy analysis was evaluated by an independent, blinded </w:t>
      </w:r>
      <w:r w:rsidR="00444F48">
        <w:t>central imaging review</w:t>
      </w:r>
      <w:r w:rsidRPr="008954A6">
        <w:t xml:space="preserve"> according to Response Evaluation Criteria in Solid Tumours version 1.1 (</w:t>
      </w:r>
      <w:r w:rsidRPr="00FD396A">
        <w:t>RECIST 1.1)</w:t>
      </w:r>
      <w:r w:rsidR="00D439BB" w:rsidRPr="00FD396A">
        <w:t>;</w:t>
      </w:r>
      <w:bookmarkStart w:id="45" w:name="_Ref129179726"/>
      <w:r w:rsidR="00D439BB" w:rsidRPr="00FD396A">
        <w:rPr>
          <w:rStyle w:val="FootnoteReference"/>
        </w:rPr>
        <w:footnoteReference w:id="15"/>
      </w:r>
      <w:bookmarkEnd w:id="45"/>
      <w:r w:rsidRPr="008954A6">
        <w:t xml:space="preserve"> for determination of tumour response up to Week 24, </w:t>
      </w:r>
      <w:r w:rsidRPr="008954A6">
        <w:lastRenderedPageBreak/>
        <w:t xml:space="preserve">after completion of up to </w:t>
      </w:r>
      <w:r w:rsidR="0089493A">
        <w:t>eight</w:t>
      </w:r>
      <w:r w:rsidRPr="008954A6">
        <w:t xml:space="preserve"> cycles of treatment. For patients with multiple measurable lesions, a maximum of </w:t>
      </w:r>
      <w:r w:rsidR="0089493A">
        <w:t>two</w:t>
      </w:r>
      <w:r w:rsidRPr="008954A6">
        <w:t xml:space="preserve"> lesions per organ and </w:t>
      </w:r>
      <w:r w:rsidR="0089493A">
        <w:t>five</w:t>
      </w:r>
      <w:r w:rsidRPr="008954A6">
        <w:t xml:space="preserve"> lesions in total that were representative of all involved organs were designated as target lesions and recorded and measured at </w:t>
      </w:r>
      <w:r w:rsidR="0089493A">
        <w:t>s</w:t>
      </w:r>
      <w:r w:rsidRPr="008954A6">
        <w:t xml:space="preserve">creening </w:t>
      </w:r>
      <w:r w:rsidR="0089493A">
        <w:t>p</w:t>
      </w:r>
      <w:r w:rsidRPr="008954A6">
        <w:t xml:space="preserve">eriod. A central imaging review occurred at </w:t>
      </w:r>
      <w:r w:rsidR="0089493A">
        <w:t>s</w:t>
      </w:r>
      <w:r w:rsidRPr="008954A6">
        <w:t xml:space="preserve">creening </w:t>
      </w:r>
      <w:r w:rsidR="0089493A">
        <w:t>p</w:t>
      </w:r>
      <w:r w:rsidRPr="008954A6">
        <w:t>eriod to confirm eligibility and at Weeks 6, 12, 18, and 24 to compare the pattern of response.</w:t>
      </w:r>
    </w:p>
    <w:p w14:paraId="6CAFA1F7" w14:textId="78128DF9" w:rsidR="008954A6" w:rsidRPr="008954A6" w:rsidRDefault="008954A6" w:rsidP="008954A6">
      <w:r w:rsidRPr="008954A6">
        <w:t>The primary evaluation parameter of the efficacy in this study was</w:t>
      </w:r>
      <w:r w:rsidR="00F95CC1">
        <w:t xml:space="preserve"> </w:t>
      </w:r>
      <w:r w:rsidRPr="008954A6">
        <w:t>overall response rate at Week 24, calculated as the proportion of patients with a best response of complete response or partial response from first assessment up to Week 24 according to RECIST</w:t>
      </w:r>
      <w:r w:rsidR="00847592">
        <w:t> </w:t>
      </w:r>
      <w:r w:rsidRPr="008954A6">
        <w:t>1.1.</w:t>
      </w:r>
      <w:r w:rsidR="00CB3A85">
        <w:fldChar w:fldCharType="begin"/>
      </w:r>
      <w:r w:rsidR="00CB3A85">
        <w:instrText xml:space="preserve"> NOTEREF _Ref129179726 \f \h </w:instrText>
      </w:r>
      <w:r w:rsidR="00CB3A85">
        <w:fldChar w:fldCharType="separate"/>
      </w:r>
      <w:r w:rsidR="00900E2D" w:rsidRPr="00900E2D">
        <w:rPr>
          <w:rStyle w:val="FootnoteReference"/>
        </w:rPr>
        <w:t>15</w:t>
      </w:r>
      <w:r w:rsidR="00CB3A85">
        <w:fldChar w:fldCharType="end"/>
      </w:r>
      <w:r w:rsidR="0066322D">
        <w:fldChar w:fldCharType="begin"/>
      </w:r>
      <w:r w:rsidR="0066322D">
        <w:instrText xml:space="preserve"> NOTEREF _Ref128574837 \f \h </w:instrText>
      </w:r>
      <w:r w:rsidR="00D541AF">
        <w:fldChar w:fldCharType="separate"/>
      </w:r>
      <w:r w:rsidR="0066322D">
        <w:fldChar w:fldCharType="end"/>
      </w:r>
      <w:r w:rsidRPr="008954A6">
        <w:t xml:space="preserve"> Secondary efficacy endpoints were objective response rate at Weeks 6, 12, 18, and 24</w:t>
      </w:r>
      <w:r w:rsidR="00F95CC1">
        <w:t xml:space="preserve">, </w:t>
      </w:r>
      <w:r w:rsidRPr="008954A6">
        <w:t>duration of response</w:t>
      </w:r>
      <w:r w:rsidR="00F95CC1">
        <w:t>,</w:t>
      </w:r>
      <w:r w:rsidRPr="008954A6">
        <w:t xml:space="preserve"> disease control rate</w:t>
      </w:r>
      <w:r w:rsidR="00F95CC1">
        <w:t>,</w:t>
      </w:r>
      <w:r w:rsidRPr="008954A6">
        <w:t xml:space="preserve"> clinical benefit rate</w:t>
      </w:r>
      <w:r w:rsidR="00F95CC1">
        <w:t>,</w:t>
      </w:r>
      <w:r w:rsidRPr="008954A6">
        <w:t xml:space="preserve"> progression</w:t>
      </w:r>
      <w:r w:rsidR="00F95CC1">
        <w:t xml:space="preserve"> </w:t>
      </w:r>
      <w:r w:rsidRPr="008954A6">
        <w:t>free survival up to 12 months</w:t>
      </w:r>
      <w:r w:rsidR="00F95CC1">
        <w:t>,</w:t>
      </w:r>
      <w:r w:rsidRPr="008954A6">
        <w:t xml:space="preserve"> and</w:t>
      </w:r>
      <w:r w:rsidR="00F95CC1">
        <w:t xml:space="preserve"> </w:t>
      </w:r>
      <w:r w:rsidRPr="008954A6">
        <w:t>overall survival at 12, 24, and 36 months.</w:t>
      </w:r>
    </w:p>
    <w:p w14:paraId="01393C13" w14:textId="2DBE7694" w:rsidR="008954A6" w:rsidRPr="008954A6" w:rsidRDefault="008954A6" w:rsidP="008954A6">
      <w:r w:rsidRPr="008954A6">
        <w:t xml:space="preserve">An equivalence margin for </w:t>
      </w:r>
      <w:r w:rsidR="00F95CC1">
        <w:t xml:space="preserve">overall response rate at Week </w:t>
      </w:r>
      <w:r w:rsidRPr="008954A6">
        <w:t xml:space="preserve">24 was derived from </w:t>
      </w:r>
      <w:r w:rsidR="00F95CC1">
        <w:t>two</w:t>
      </w:r>
      <w:r w:rsidRPr="008954A6">
        <w:t xml:space="preserve"> published studies comparing </w:t>
      </w:r>
      <w:r w:rsidR="00F95CC1">
        <w:t>overall response rate</w:t>
      </w:r>
      <w:r w:rsidRPr="008954A6">
        <w:t xml:space="preserve"> following treatment with Herceptin</w:t>
      </w:r>
      <w:r w:rsidR="00F95CC1">
        <w:t xml:space="preserve"> and </w:t>
      </w:r>
      <w:proofErr w:type="gramStart"/>
      <w:r w:rsidRPr="008954A6">
        <w:t>paclitaxel</w:t>
      </w:r>
      <w:r w:rsidR="004373A2">
        <w:t>;</w:t>
      </w:r>
      <w:proofErr w:type="gramEnd"/>
      <w:r w:rsidR="004373A2">
        <w:rPr>
          <w:rStyle w:val="FootnoteReference"/>
        </w:rPr>
        <w:footnoteReference w:id="16"/>
      </w:r>
      <w:r w:rsidRPr="008954A6">
        <w:t xml:space="preserve"> or equivalent, versus paclitaxel or equivalent alone. An equivalence limit marginally tighter than the lower bound of that confidence interval was used as the criterion of equivalence: </w:t>
      </w:r>
      <w:r w:rsidR="004373A2">
        <w:t>(</w:t>
      </w:r>
      <w:r w:rsidRPr="008954A6">
        <w:t>-0.1350, 0.1350</w:t>
      </w:r>
      <w:r w:rsidR="004373A2">
        <w:t>)</w:t>
      </w:r>
      <w:r w:rsidRPr="008954A6">
        <w:t xml:space="preserve">. This equivalence margin also meets the </w:t>
      </w:r>
      <w:r w:rsidR="001C43B9" w:rsidRPr="00534F17">
        <w:t>European Medicines Agency</w:t>
      </w:r>
      <w:r w:rsidR="001C43B9" w:rsidRPr="008954A6">
        <w:t xml:space="preserve"> </w:t>
      </w:r>
      <w:r w:rsidR="004373A2">
        <w:t>s</w:t>
      </w:r>
      <w:r w:rsidRPr="008954A6">
        <w:t xml:space="preserve">cientific </w:t>
      </w:r>
      <w:r w:rsidR="004373A2">
        <w:t>a</w:t>
      </w:r>
      <w:r w:rsidRPr="008954A6">
        <w:t xml:space="preserve">dvice suggestion (12% </w:t>
      </w:r>
      <w:r w:rsidR="004373A2">
        <w:t>to</w:t>
      </w:r>
      <w:r w:rsidRPr="008954A6">
        <w:t xml:space="preserve"> 14%).</w:t>
      </w:r>
    </w:p>
    <w:p w14:paraId="16D4C2E7" w14:textId="19B565AA" w:rsidR="008954A6" w:rsidRDefault="008954A6" w:rsidP="008954A6">
      <w:r w:rsidRPr="008954A6">
        <w:t>Equivalence</w:t>
      </w:r>
      <w:r w:rsidR="00847592">
        <w:t>, defined as</w:t>
      </w:r>
      <w:r w:rsidRPr="008954A6">
        <w:t xml:space="preserve"> </w:t>
      </w:r>
      <w:r w:rsidR="004373A2">
        <w:t>overall response rate at Week 2</w:t>
      </w:r>
      <w:r w:rsidRPr="008954A6">
        <w:t>4 was demonstrated as shown below</w:t>
      </w:r>
      <w:r w:rsidR="004373A2">
        <w:t xml:space="preserve"> in </w:t>
      </w:r>
      <w:r w:rsidR="00FD396A">
        <w:fldChar w:fldCharType="begin"/>
      </w:r>
      <w:r w:rsidR="00FD396A">
        <w:instrText xml:space="preserve"> REF _Ref128641400 \h </w:instrText>
      </w:r>
      <w:r w:rsidR="00FD396A">
        <w:fldChar w:fldCharType="separate"/>
      </w:r>
      <w:r w:rsidR="00900E2D">
        <w:t xml:space="preserve">Table </w:t>
      </w:r>
      <w:r w:rsidR="00900E2D">
        <w:rPr>
          <w:noProof/>
        </w:rPr>
        <w:t>5</w:t>
      </w:r>
      <w:r w:rsidR="00FD396A">
        <w:fldChar w:fldCharType="end"/>
      </w:r>
      <w:r w:rsidRPr="008954A6">
        <w:t>.</w:t>
      </w:r>
    </w:p>
    <w:p w14:paraId="0C51672C" w14:textId="721571CD" w:rsidR="00FD396A" w:rsidRDefault="00FD396A" w:rsidP="00FD396A">
      <w:pPr>
        <w:pStyle w:val="Tabletitle0"/>
      </w:pPr>
      <w:bookmarkStart w:id="46" w:name="_Ref128641400"/>
      <w:r>
        <w:t xml:space="preserve">Table </w:t>
      </w:r>
      <w:fldSimple w:instr=" SEQ Table \* ARABIC ">
        <w:r w:rsidR="00900E2D">
          <w:rPr>
            <w:noProof/>
          </w:rPr>
          <w:t>5</w:t>
        </w:r>
      </w:fldSimple>
      <w:bookmarkEnd w:id="46"/>
      <w:r>
        <w:t>:</w:t>
      </w:r>
      <w:r w:rsidR="00847592" w:rsidRPr="00847592">
        <w:t xml:space="preserve"> </w:t>
      </w:r>
      <w:r w:rsidR="00847592">
        <w:t>Study HLX02-BC01</w:t>
      </w:r>
      <w:r>
        <w:t xml:space="preserve"> Summary of overall response rate up to Week 24 by </w:t>
      </w:r>
      <w:r w:rsidR="0064709B">
        <w:t>central imaging review</w:t>
      </w:r>
      <w:r>
        <w:t xml:space="preserve"> in intention to treat set</w:t>
      </w:r>
    </w:p>
    <w:tbl>
      <w:tblPr>
        <w:tblStyle w:val="TableGrid"/>
        <w:tblW w:w="8500" w:type="dxa"/>
        <w:tblLook w:val="04A0" w:firstRow="1" w:lastRow="0" w:firstColumn="1" w:lastColumn="0" w:noHBand="0" w:noVBand="1"/>
      </w:tblPr>
      <w:tblGrid>
        <w:gridCol w:w="4106"/>
        <w:gridCol w:w="2268"/>
        <w:gridCol w:w="2126"/>
      </w:tblGrid>
      <w:tr w:rsidR="00B30284" w14:paraId="51C662D0" w14:textId="77777777" w:rsidTr="004E576E">
        <w:trPr>
          <w:tblHeader/>
        </w:trPr>
        <w:tc>
          <w:tcPr>
            <w:tcW w:w="4106" w:type="dxa"/>
            <w:shd w:val="clear" w:color="auto" w:fill="0070B5" w:themeFill="text2" w:themeFillTint="BF"/>
            <w:vAlign w:val="center"/>
          </w:tcPr>
          <w:p w14:paraId="5AB54A0B" w14:textId="30E2A1D8" w:rsidR="00B30284" w:rsidRPr="004E576E" w:rsidRDefault="00B30284" w:rsidP="00B30284">
            <w:pPr>
              <w:spacing w:before="0" w:after="0"/>
              <w:rPr>
                <w:b/>
                <w:bCs/>
                <w:color w:val="FFFFFF" w:themeColor="background1"/>
              </w:rPr>
            </w:pPr>
            <w:r w:rsidRPr="004E576E">
              <w:rPr>
                <w:b/>
                <w:bCs/>
                <w:color w:val="FFFFFF" w:themeColor="background1"/>
              </w:rPr>
              <w:t>Characteristics</w:t>
            </w:r>
          </w:p>
        </w:tc>
        <w:tc>
          <w:tcPr>
            <w:tcW w:w="2268" w:type="dxa"/>
            <w:shd w:val="clear" w:color="auto" w:fill="0070B5" w:themeFill="text2" w:themeFillTint="BF"/>
            <w:vAlign w:val="center"/>
          </w:tcPr>
          <w:p w14:paraId="77E675C3" w14:textId="5FC90B85" w:rsidR="00B30284" w:rsidRPr="004E576E" w:rsidRDefault="00847592">
            <w:pPr>
              <w:spacing w:before="0" w:after="0"/>
              <w:jc w:val="center"/>
              <w:rPr>
                <w:b/>
                <w:bCs/>
                <w:color w:val="FFFFFF" w:themeColor="background1"/>
              </w:rPr>
            </w:pPr>
            <w:r w:rsidRPr="00847592">
              <w:rPr>
                <w:b/>
                <w:bCs/>
                <w:color w:val="FFFFFF" w:themeColor="background1"/>
              </w:rPr>
              <w:t xml:space="preserve">Trastucip </w:t>
            </w:r>
            <w:r>
              <w:rPr>
                <w:b/>
                <w:bCs/>
                <w:color w:val="FFFFFF" w:themeColor="background1"/>
              </w:rPr>
              <w:br/>
            </w:r>
            <w:r w:rsidR="00B30284" w:rsidRPr="004E576E">
              <w:rPr>
                <w:b/>
                <w:bCs/>
                <w:color w:val="FFFFFF" w:themeColor="background1"/>
              </w:rPr>
              <w:t>N = 324</w:t>
            </w:r>
          </w:p>
        </w:tc>
        <w:tc>
          <w:tcPr>
            <w:tcW w:w="2126" w:type="dxa"/>
            <w:shd w:val="clear" w:color="auto" w:fill="0070B5" w:themeFill="text2" w:themeFillTint="BF"/>
            <w:vAlign w:val="center"/>
          </w:tcPr>
          <w:p w14:paraId="530C3442" w14:textId="77777777" w:rsidR="00B30284" w:rsidRPr="004E576E" w:rsidRDefault="00B30284" w:rsidP="00B30284">
            <w:pPr>
              <w:spacing w:before="0" w:after="0"/>
              <w:jc w:val="center"/>
              <w:rPr>
                <w:b/>
                <w:bCs/>
                <w:color w:val="FFFFFF" w:themeColor="background1"/>
              </w:rPr>
            </w:pPr>
            <w:r w:rsidRPr="004E576E">
              <w:rPr>
                <w:b/>
                <w:bCs/>
                <w:color w:val="FFFFFF" w:themeColor="background1"/>
              </w:rPr>
              <w:t>Herceptin</w:t>
            </w:r>
          </w:p>
          <w:p w14:paraId="5F40BE03" w14:textId="14DA0BFE" w:rsidR="00B30284" w:rsidRPr="004E576E" w:rsidRDefault="00B30284" w:rsidP="00B30284">
            <w:pPr>
              <w:spacing w:before="0" w:after="0"/>
              <w:jc w:val="center"/>
              <w:rPr>
                <w:b/>
                <w:bCs/>
                <w:color w:val="FFFFFF" w:themeColor="background1"/>
              </w:rPr>
            </w:pPr>
            <w:r w:rsidRPr="004E576E">
              <w:rPr>
                <w:b/>
                <w:bCs/>
                <w:color w:val="FFFFFF" w:themeColor="background1"/>
              </w:rPr>
              <w:t>N = 325</w:t>
            </w:r>
          </w:p>
        </w:tc>
      </w:tr>
      <w:tr w:rsidR="007C29AF" w14:paraId="508E1F3B" w14:textId="77777777" w:rsidTr="007C29AF">
        <w:tc>
          <w:tcPr>
            <w:tcW w:w="8500" w:type="dxa"/>
            <w:gridSpan w:val="3"/>
          </w:tcPr>
          <w:p w14:paraId="1D33353D" w14:textId="4224AAF4" w:rsidR="007C29AF" w:rsidRDefault="007C29AF" w:rsidP="007C29AF">
            <w:pPr>
              <w:spacing w:before="60" w:after="60"/>
            </w:pPr>
            <w:r>
              <w:t>Best overall response</w:t>
            </w:r>
          </w:p>
        </w:tc>
      </w:tr>
      <w:tr w:rsidR="007C29AF" w14:paraId="056CE931" w14:textId="77777777" w:rsidTr="007C29AF">
        <w:tc>
          <w:tcPr>
            <w:tcW w:w="4106" w:type="dxa"/>
          </w:tcPr>
          <w:p w14:paraId="7750EB81" w14:textId="184DF048" w:rsidR="007C29AF" w:rsidRDefault="007C29AF" w:rsidP="007C29AF">
            <w:pPr>
              <w:spacing w:before="60" w:after="60"/>
              <w:ind w:left="170"/>
            </w:pPr>
            <w:r>
              <w:t>Complete response (CR), n (%)</w:t>
            </w:r>
          </w:p>
        </w:tc>
        <w:tc>
          <w:tcPr>
            <w:tcW w:w="2268" w:type="dxa"/>
          </w:tcPr>
          <w:p w14:paraId="7667A23B" w14:textId="0FDB3055" w:rsidR="007C29AF" w:rsidRDefault="007C29AF" w:rsidP="007C29AF">
            <w:pPr>
              <w:spacing w:before="60" w:after="60"/>
              <w:jc w:val="center"/>
            </w:pPr>
            <w:r>
              <w:t>17 (5.2)</w:t>
            </w:r>
          </w:p>
        </w:tc>
        <w:tc>
          <w:tcPr>
            <w:tcW w:w="2126" w:type="dxa"/>
          </w:tcPr>
          <w:p w14:paraId="00C7A0B5" w14:textId="66D9F482" w:rsidR="007C29AF" w:rsidRDefault="007C29AF" w:rsidP="007C29AF">
            <w:pPr>
              <w:spacing w:before="60" w:after="60"/>
              <w:jc w:val="center"/>
            </w:pPr>
            <w:r>
              <w:t>12 (3.7)</w:t>
            </w:r>
          </w:p>
        </w:tc>
      </w:tr>
      <w:tr w:rsidR="007C29AF" w14:paraId="1127E0FB" w14:textId="77777777" w:rsidTr="007C29AF">
        <w:tc>
          <w:tcPr>
            <w:tcW w:w="4106" w:type="dxa"/>
          </w:tcPr>
          <w:p w14:paraId="3E3AC170" w14:textId="0107C65D" w:rsidR="007C29AF" w:rsidRDefault="007C29AF" w:rsidP="007C29AF">
            <w:pPr>
              <w:spacing w:before="60" w:after="60"/>
              <w:ind w:left="170"/>
            </w:pPr>
            <w:r>
              <w:t>Partial response (PR), n (%)</w:t>
            </w:r>
          </w:p>
        </w:tc>
        <w:tc>
          <w:tcPr>
            <w:tcW w:w="2268" w:type="dxa"/>
          </w:tcPr>
          <w:p w14:paraId="6F1BB358" w14:textId="1F98ED8C" w:rsidR="007C29AF" w:rsidRDefault="007C29AF" w:rsidP="007C29AF">
            <w:pPr>
              <w:spacing w:before="60" w:after="60"/>
              <w:jc w:val="center"/>
            </w:pPr>
            <w:r>
              <w:t>214 (66)</w:t>
            </w:r>
          </w:p>
        </w:tc>
        <w:tc>
          <w:tcPr>
            <w:tcW w:w="2126" w:type="dxa"/>
          </w:tcPr>
          <w:p w14:paraId="14BC26C4" w14:textId="487C411A" w:rsidR="007C29AF" w:rsidRDefault="007C29AF" w:rsidP="007C29AF">
            <w:pPr>
              <w:spacing w:before="60" w:after="60"/>
              <w:jc w:val="center"/>
            </w:pPr>
            <w:r>
              <w:t>220 (67.7)</w:t>
            </w:r>
          </w:p>
        </w:tc>
      </w:tr>
      <w:tr w:rsidR="007C29AF" w14:paraId="048C1C3C" w14:textId="77777777" w:rsidTr="007C29AF">
        <w:tc>
          <w:tcPr>
            <w:tcW w:w="4106" w:type="dxa"/>
          </w:tcPr>
          <w:p w14:paraId="41EEC45E" w14:textId="6EF13430" w:rsidR="007C29AF" w:rsidRDefault="007C29AF" w:rsidP="007C29AF">
            <w:pPr>
              <w:spacing w:before="60" w:after="60"/>
              <w:ind w:left="170"/>
            </w:pPr>
            <w:r>
              <w:t>Non-complete response/non-progressive disease (</w:t>
            </w:r>
            <w:proofErr w:type="gramStart"/>
            <w:r>
              <w:t>non CR</w:t>
            </w:r>
            <w:proofErr w:type="gramEnd"/>
            <w:r>
              <w:t>/non PD), n (%)</w:t>
            </w:r>
          </w:p>
        </w:tc>
        <w:tc>
          <w:tcPr>
            <w:tcW w:w="2268" w:type="dxa"/>
          </w:tcPr>
          <w:p w14:paraId="7FF0130D" w14:textId="3F58C890" w:rsidR="007C29AF" w:rsidRDefault="007C29AF" w:rsidP="007C29AF">
            <w:pPr>
              <w:spacing w:before="60" w:after="60"/>
              <w:jc w:val="center"/>
            </w:pPr>
            <w:r>
              <w:t>5 (1.5)</w:t>
            </w:r>
          </w:p>
        </w:tc>
        <w:tc>
          <w:tcPr>
            <w:tcW w:w="2126" w:type="dxa"/>
          </w:tcPr>
          <w:p w14:paraId="3817CFCF" w14:textId="0E504741" w:rsidR="007C29AF" w:rsidRDefault="007C29AF" w:rsidP="007C29AF">
            <w:pPr>
              <w:spacing w:before="60" w:after="60"/>
              <w:jc w:val="center"/>
            </w:pPr>
            <w:r>
              <w:t>3 (0.9)</w:t>
            </w:r>
          </w:p>
        </w:tc>
      </w:tr>
      <w:tr w:rsidR="007C29AF" w14:paraId="6DA3790B" w14:textId="77777777" w:rsidTr="007C29AF">
        <w:tc>
          <w:tcPr>
            <w:tcW w:w="4106" w:type="dxa"/>
          </w:tcPr>
          <w:p w14:paraId="0E23C9B8" w14:textId="2CD8FF5D" w:rsidR="007C29AF" w:rsidRDefault="007C29AF" w:rsidP="007C29AF">
            <w:pPr>
              <w:spacing w:before="60" w:after="60"/>
              <w:ind w:left="170"/>
            </w:pPr>
            <w:r>
              <w:t>Stable disease (SD), n (%)</w:t>
            </w:r>
          </w:p>
        </w:tc>
        <w:tc>
          <w:tcPr>
            <w:tcW w:w="2268" w:type="dxa"/>
          </w:tcPr>
          <w:p w14:paraId="0DFE59DC" w14:textId="1F773F8D" w:rsidR="007C29AF" w:rsidRDefault="007C29AF" w:rsidP="007C29AF">
            <w:pPr>
              <w:spacing w:before="60" w:after="60"/>
              <w:jc w:val="center"/>
            </w:pPr>
            <w:r>
              <w:t>48 (14.8)</w:t>
            </w:r>
          </w:p>
        </w:tc>
        <w:tc>
          <w:tcPr>
            <w:tcW w:w="2126" w:type="dxa"/>
          </w:tcPr>
          <w:p w14:paraId="71CA015E" w14:textId="5B28D0BB" w:rsidR="007C29AF" w:rsidRDefault="007C29AF" w:rsidP="007C29AF">
            <w:pPr>
              <w:spacing w:before="60" w:after="60"/>
              <w:jc w:val="center"/>
            </w:pPr>
            <w:r>
              <w:t>65 (20)</w:t>
            </w:r>
          </w:p>
        </w:tc>
      </w:tr>
      <w:tr w:rsidR="007C29AF" w14:paraId="57C15B4F" w14:textId="77777777" w:rsidTr="007C29AF">
        <w:tc>
          <w:tcPr>
            <w:tcW w:w="4106" w:type="dxa"/>
          </w:tcPr>
          <w:p w14:paraId="33678B9D" w14:textId="32DDC366" w:rsidR="007C29AF" w:rsidRDefault="007C29AF" w:rsidP="007C29AF">
            <w:pPr>
              <w:spacing w:before="60" w:after="60"/>
              <w:ind w:left="170"/>
            </w:pPr>
            <w:r>
              <w:t>Progressive Disease (PD), n (%)</w:t>
            </w:r>
          </w:p>
        </w:tc>
        <w:tc>
          <w:tcPr>
            <w:tcW w:w="2268" w:type="dxa"/>
          </w:tcPr>
          <w:p w14:paraId="2663E02D" w14:textId="0CA6E2A3" w:rsidR="007C29AF" w:rsidRDefault="007C29AF" w:rsidP="007C29AF">
            <w:pPr>
              <w:spacing w:before="60" w:after="60"/>
              <w:jc w:val="center"/>
            </w:pPr>
            <w:r>
              <w:t>24 (7.4)</w:t>
            </w:r>
          </w:p>
        </w:tc>
        <w:tc>
          <w:tcPr>
            <w:tcW w:w="2126" w:type="dxa"/>
          </w:tcPr>
          <w:p w14:paraId="609BE587" w14:textId="0287CF38" w:rsidR="007C29AF" w:rsidRDefault="007C29AF" w:rsidP="007C29AF">
            <w:pPr>
              <w:spacing w:before="60" w:after="60"/>
              <w:jc w:val="center"/>
            </w:pPr>
            <w:r>
              <w:t>16 (4.9)</w:t>
            </w:r>
          </w:p>
        </w:tc>
      </w:tr>
      <w:tr w:rsidR="007C29AF" w14:paraId="4D2CE5BD" w14:textId="77777777" w:rsidTr="007C29AF">
        <w:tc>
          <w:tcPr>
            <w:tcW w:w="4106" w:type="dxa"/>
          </w:tcPr>
          <w:p w14:paraId="2FD8DBCA" w14:textId="4C9EBBC4" w:rsidR="007C29AF" w:rsidRDefault="007C29AF" w:rsidP="007C29AF">
            <w:pPr>
              <w:spacing w:before="60" w:after="60"/>
              <w:ind w:left="170"/>
            </w:pPr>
            <w:proofErr w:type="spellStart"/>
            <w:r>
              <w:t>Inevaluable</w:t>
            </w:r>
            <w:proofErr w:type="spellEnd"/>
            <w:r>
              <w:t xml:space="preserve"> (NE)</w:t>
            </w:r>
          </w:p>
        </w:tc>
        <w:tc>
          <w:tcPr>
            <w:tcW w:w="2268" w:type="dxa"/>
          </w:tcPr>
          <w:p w14:paraId="2D74920D" w14:textId="0FFF476C" w:rsidR="007C29AF" w:rsidRDefault="007C29AF" w:rsidP="007C29AF">
            <w:pPr>
              <w:spacing w:before="60" w:after="60"/>
              <w:jc w:val="center"/>
            </w:pPr>
            <w:r>
              <w:t>16 (4.9)</w:t>
            </w:r>
          </w:p>
        </w:tc>
        <w:tc>
          <w:tcPr>
            <w:tcW w:w="2126" w:type="dxa"/>
          </w:tcPr>
          <w:p w14:paraId="6C13C301" w14:textId="5C0BED2C" w:rsidR="007C29AF" w:rsidRDefault="007C29AF" w:rsidP="007C29AF">
            <w:pPr>
              <w:tabs>
                <w:tab w:val="center" w:pos="955"/>
                <w:tab w:val="right" w:pos="1910"/>
              </w:tabs>
              <w:spacing w:before="60" w:after="60"/>
            </w:pPr>
            <w:r>
              <w:tab/>
              <w:t>9 (2.8)</w:t>
            </w:r>
            <w:r>
              <w:tab/>
            </w:r>
          </w:p>
        </w:tc>
      </w:tr>
      <w:tr w:rsidR="007C29AF" w14:paraId="4FFCABE8" w14:textId="77777777" w:rsidTr="007C29AF">
        <w:tc>
          <w:tcPr>
            <w:tcW w:w="8500" w:type="dxa"/>
            <w:gridSpan w:val="3"/>
          </w:tcPr>
          <w:p w14:paraId="70322D31" w14:textId="4B07F7F8" w:rsidR="007C29AF" w:rsidRDefault="007C29AF" w:rsidP="007C29AF">
            <w:pPr>
              <w:spacing w:before="60" w:after="60"/>
            </w:pPr>
            <w:r>
              <w:t>Objective response rate</w:t>
            </w:r>
          </w:p>
        </w:tc>
      </w:tr>
      <w:tr w:rsidR="007C29AF" w14:paraId="120B52B4" w14:textId="77777777" w:rsidTr="007C29AF">
        <w:tc>
          <w:tcPr>
            <w:tcW w:w="4106" w:type="dxa"/>
          </w:tcPr>
          <w:p w14:paraId="2B5BCDE8" w14:textId="1483DEBC" w:rsidR="007C29AF" w:rsidRDefault="007C29AF" w:rsidP="007C29AF">
            <w:pPr>
              <w:spacing w:before="60" w:after="60"/>
              <w:ind w:left="170"/>
            </w:pPr>
            <w:r>
              <w:t>n (%)</w:t>
            </w:r>
          </w:p>
        </w:tc>
        <w:tc>
          <w:tcPr>
            <w:tcW w:w="2268" w:type="dxa"/>
          </w:tcPr>
          <w:p w14:paraId="7BF702F6" w14:textId="372E97A4" w:rsidR="007C29AF" w:rsidRDefault="007C29AF" w:rsidP="007C29AF">
            <w:pPr>
              <w:spacing w:before="60" w:after="60"/>
              <w:jc w:val="center"/>
            </w:pPr>
            <w:r>
              <w:t>231 (71.3)</w:t>
            </w:r>
          </w:p>
        </w:tc>
        <w:tc>
          <w:tcPr>
            <w:tcW w:w="2126" w:type="dxa"/>
          </w:tcPr>
          <w:p w14:paraId="4E3994B9" w14:textId="1BD90CA1" w:rsidR="007C29AF" w:rsidRDefault="007C29AF" w:rsidP="007C29AF">
            <w:pPr>
              <w:spacing w:before="60" w:after="60"/>
              <w:jc w:val="center"/>
            </w:pPr>
            <w:r>
              <w:t>232 (71.4)</w:t>
            </w:r>
          </w:p>
        </w:tc>
      </w:tr>
      <w:tr w:rsidR="007C29AF" w14:paraId="72AB6817" w14:textId="77777777" w:rsidTr="007C29AF">
        <w:tc>
          <w:tcPr>
            <w:tcW w:w="4106" w:type="dxa"/>
          </w:tcPr>
          <w:p w14:paraId="57708088" w14:textId="43C8ADED" w:rsidR="007C29AF" w:rsidRDefault="007C29AF" w:rsidP="007C29AF">
            <w:pPr>
              <w:spacing w:before="60" w:after="60"/>
              <w:ind w:left="170"/>
            </w:pPr>
            <w:r>
              <w:t>Risk ratio and 90% CI</w:t>
            </w:r>
          </w:p>
        </w:tc>
        <w:tc>
          <w:tcPr>
            <w:tcW w:w="2268" w:type="dxa"/>
          </w:tcPr>
          <w:p w14:paraId="11FFC3A4" w14:textId="35BE56F2" w:rsidR="007C29AF" w:rsidRDefault="007C29AF" w:rsidP="007C29AF">
            <w:pPr>
              <w:spacing w:before="60" w:after="60"/>
              <w:jc w:val="center"/>
            </w:pPr>
            <w:r>
              <w:t>0.999 (0.920, 1.0084)</w:t>
            </w:r>
          </w:p>
        </w:tc>
        <w:tc>
          <w:tcPr>
            <w:tcW w:w="2126" w:type="dxa"/>
          </w:tcPr>
          <w:p w14:paraId="1C012314" w14:textId="77777777" w:rsidR="007C29AF" w:rsidRDefault="007C29AF" w:rsidP="007C29AF">
            <w:pPr>
              <w:spacing w:before="60" w:after="60"/>
              <w:jc w:val="center"/>
            </w:pPr>
          </w:p>
        </w:tc>
      </w:tr>
      <w:tr w:rsidR="007C29AF" w14:paraId="0ABE92B3" w14:textId="77777777" w:rsidTr="007C29AF">
        <w:tc>
          <w:tcPr>
            <w:tcW w:w="4106" w:type="dxa"/>
          </w:tcPr>
          <w:p w14:paraId="34C5328B" w14:textId="4DDEBD7E" w:rsidR="007C29AF" w:rsidRDefault="007C29AF" w:rsidP="007C29AF">
            <w:pPr>
              <w:spacing w:before="60" w:after="60"/>
              <w:ind w:left="170"/>
            </w:pPr>
            <w:r>
              <w:t>Asymptotic 95% CI of the rate</w:t>
            </w:r>
          </w:p>
        </w:tc>
        <w:tc>
          <w:tcPr>
            <w:tcW w:w="2268" w:type="dxa"/>
          </w:tcPr>
          <w:p w14:paraId="0C30BF76" w14:textId="3B831488" w:rsidR="007C29AF" w:rsidRDefault="007C29AF" w:rsidP="007C29AF">
            <w:pPr>
              <w:spacing w:before="60" w:after="60"/>
              <w:jc w:val="center"/>
            </w:pPr>
            <w:r>
              <w:t>66.4, 76.2</w:t>
            </w:r>
          </w:p>
        </w:tc>
        <w:tc>
          <w:tcPr>
            <w:tcW w:w="2126" w:type="dxa"/>
          </w:tcPr>
          <w:p w14:paraId="452DD7DA" w14:textId="0D4594ED" w:rsidR="007C29AF" w:rsidRDefault="007C29AF" w:rsidP="007C29AF">
            <w:pPr>
              <w:spacing w:before="60" w:after="60"/>
              <w:jc w:val="center"/>
            </w:pPr>
            <w:r>
              <w:t>66.5, 76.3</w:t>
            </w:r>
          </w:p>
        </w:tc>
      </w:tr>
      <w:tr w:rsidR="007C29AF" w14:paraId="5A22D55D" w14:textId="77777777" w:rsidTr="007C29AF">
        <w:tc>
          <w:tcPr>
            <w:tcW w:w="4106" w:type="dxa"/>
          </w:tcPr>
          <w:p w14:paraId="4C0EA1F6" w14:textId="5A6D98A0" w:rsidR="007C29AF" w:rsidRDefault="007C29AF" w:rsidP="007C29AF">
            <w:pPr>
              <w:spacing w:before="60" w:after="60"/>
              <w:ind w:left="170"/>
            </w:pPr>
            <w:r>
              <w:t>Difference and 95% CI</w:t>
            </w:r>
          </w:p>
        </w:tc>
        <w:tc>
          <w:tcPr>
            <w:tcW w:w="2268" w:type="dxa"/>
          </w:tcPr>
          <w:p w14:paraId="68683866" w14:textId="7BAA6CDA" w:rsidR="007C29AF" w:rsidRDefault="007C29AF" w:rsidP="007C29AF">
            <w:pPr>
              <w:spacing w:before="60" w:after="60"/>
              <w:jc w:val="center"/>
            </w:pPr>
            <w:r>
              <w:t>-0.1 (-7, 6.9)</w:t>
            </w:r>
          </w:p>
        </w:tc>
        <w:tc>
          <w:tcPr>
            <w:tcW w:w="2126" w:type="dxa"/>
          </w:tcPr>
          <w:p w14:paraId="01489FB0" w14:textId="77777777" w:rsidR="007C29AF" w:rsidRDefault="007C29AF" w:rsidP="007C29AF">
            <w:pPr>
              <w:spacing w:before="60" w:after="60"/>
              <w:jc w:val="center"/>
            </w:pPr>
          </w:p>
        </w:tc>
      </w:tr>
      <w:tr w:rsidR="007C29AF" w14:paraId="38938358" w14:textId="77777777" w:rsidTr="007C29AF">
        <w:tc>
          <w:tcPr>
            <w:tcW w:w="4106" w:type="dxa"/>
          </w:tcPr>
          <w:p w14:paraId="056033FF" w14:textId="5C76E921" w:rsidR="007C29AF" w:rsidRDefault="007C29AF" w:rsidP="007C29AF">
            <w:pPr>
              <w:spacing w:before="60" w:after="60"/>
              <w:ind w:left="170"/>
            </w:pPr>
            <w:r>
              <w:t>Stratified difference and 95% CI</w:t>
            </w:r>
          </w:p>
        </w:tc>
        <w:tc>
          <w:tcPr>
            <w:tcW w:w="2268" w:type="dxa"/>
          </w:tcPr>
          <w:p w14:paraId="56B76918" w14:textId="47E0C6DB" w:rsidR="007C29AF" w:rsidRDefault="007C29AF" w:rsidP="007C29AF">
            <w:pPr>
              <w:spacing w:before="60" w:after="60"/>
              <w:jc w:val="center"/>
            </w:pPr>
            <w:r>
              <w:t>0.1 (-6.9, 7)</w:t>
            </w:r>
          </w:p>
        </w:tc>
        <w:tc>
          <w:tcPr>
            <w:tcW w:w="2126" w:type="dxa"/>
          </w:tcPr>
          <w:p w14:paraId="5547A50B" w14:textId="77777777" w:rsidR="007C29AF" w:rsidRDefault="007C29AF" w:rsidP="007C29AF">
            <w:pPr>
              <w:spacing w:before="60" w:after="60"/>
              <w:jc w:val="center"/>
            </w:pPr>
          </w:p>
        </w:tc>
      </w:tr>
      <w:tr w:rsidR="007C29AF" w14:paraId="15206F8D" w14:textId="77777777" w:rsidTr="007C29AF">
        <w:tc>
          <w:tcPr>
            <w:tcW w:w="4106" w:type="dxa"/>
          </w:tcPr>
          <w:p w14:paraId="0C193D2A" w14:textId="67884DDA" w:rsidR="007C29AF" w:rsidRDefault="007C29AF" w:rsidP="007C29AF">
            <w:pPr>
              <w:spacing w:before="60" w:after="60"/>
              <w:ind w:left="170"/>
            </w:pPr>
            <w:r>
              <w:t>CMH test P-value</w:t>
            </w:r>
          </w:p>
        </w:tc>
        <w:tc>
          <w:tcPr>
            <w:tcW w:w="2268" w:type="dxa"/>
          </w:tcPr>
          <w:p w14:paraId="3F4C2A6E" w14:textId="618B1AA8" w:rsidR="007C29AF" w:rsidRDefault="007C29AF" w:rsidP="007C29AF">
            <w:pPr>
              <w:spacing w:before="60" w:after="60"/>
              <w:jc w:val="center"/>
            </w:pPr>
            <w:r>
              <w:t>0.983</w:t>
            </w:r>
          </w:p>
        </w:tc>
        <w:tc>
          <w:tcPr>
            <w:tcW w:w="2126" w:type="dxa"/>
          </w:tcPr>
          <w:p w14:paraId="6804A450" w14:textId="77777777" w:rsidR="007C29AF" w:rsidRDefault="007C29AF" w:rsidP="007C29AF">
            <w:pPr>
              <w:spacing w:before="60" w:after="60"/>
              <w:jc w:val="center"/>
            </w:pPr>
          </w:p>
        </w:tc>
      </w:tr>
    </w:tbl>
    <w:p w14:paraId="617552F2" w14:textId="2A5F1E4F" w:rsidR="00FD396A" w:rsidRDefault="00FD396A" w:rsidP="003C27B7">
      <w:pPr>
        <w:pStyle w:val="TableDescription"/>
        <w:ind w:right="-285"/>
      </w:pPr>
      <w:r>
        <w:t>Abbreviations: CI = confidence interval, CMH = Cochran-Mantel-Haenszel, CR = complete response, ITT</w:t>
      </w:r>
      <w:r w:rsidR="00847592">
        <w:t> </w:t>
      </w:r>
      <w:r>
        <w:t>=</w:t>
      </w:r>
      <w:r w:rsidR="00847592">
        <w:t> </w:t>
      </w:r>
      <w:r>
        <w:t xml:space="preserve">intention to treat, NE = </w:t>
      </w:r>
      <w:proofErr w:type="spellStart"/>
      <w:r>
        <w:t>inevaluable</w:t>
      </w:r>
      <w:proofErr w:type="spellEnd"/>
      <w:r>
        <w:t xml:space="preserve">, </w:t>
      </w:r>
      <w:proofErr w:type="gramStart"/>
      <w:r>
        <w:t>non CR</w:t>
      </w:r>
      <w:proofErr w:type="gramEnd"/>
      <w:r>
        <w:t>/non PD = non-complete response/non-progressive disease, ORR= objective response rate</w:t>
      </w:r>
      <w:r w:rsidR="0064709B">
        <w:t>, PD = progressive disease, PR = partial response, SD = stable disease.</w:t>
      </w:r>
    </w:p>
    <w:p w14:paraId="2EBCD83D" w14:textId="7A8FDA83" w:rsidR="0064709B" w:rsidRDefault="0064709B" w:rsidP="0064709B">
      <w:r w:rsidRPr="0064709B">
        <w:lastRenderedPageBreak/>
        <w:t>Sensitivity analys</w:t>
      </w:r>
      <w:r>
        <w:t>e</w:t>
      </w:r>
      <w:r w:rsidRPr="0064709B">
        <w:t xml:space="preserve">s were generally consistent with the primary analysis of </w:t>
      </w:r>
      <w:r>
        <w:t>overall response rare at Week 24</w:t>
      </w:r>
      <w:r w:rsidRPr="0064709B">
        <w:t xml:space="preserve">. The secondary efficacy endpoint results also showed comparable results for the </w:t>
      </w:r>
      <w:r>
        <w:t>two</w:t>
      </w:r>
      <w:r w:rsidRPr="0064709B">
        <w:t xml:space="preserve"> trastuzumab products. Of note in the </w:t>
      </w:r>
      <w:r>
        <w:t>intention to treat</w:t>
      </w:r>
      <w:r w:rsidRPr="0064709B">
        <w:t xml:space="preserve"> set, by cut-off date, number of patients with progression events in </w:t>
      </w:r>
      <w:r w:rsidR="00847592">
        <w:t xml:space="preserve">Trastucip </w:t>
      </w:r>
      <w:r w:rsidRPr="0064709B">
        <w:t xml:space="preserve">and Herceptin treatment groups was 159 (49.1%) versus 174 (53.5%); number of patients censored in </w:t>
      </w:r>
      <w:proofErr w:type="gramStart"/>
      <w:r w:rsidR="00847592">
        <w:t>Trastucip</w:t>
      </w:r>
      <w:proofErr w:type="gramEnd"/>
      <w:r w:rsidR="00847592">
        <w:t xml:space="preserve"> </w:t>
      </w:r>
      <w:r w:rsidRPr="0064709B">
        <w:t xml:space="preserve">and Herceptin treatment groups was 165 (50.9%) versus 151 (46.5%). The median </w:t>
      </w:r>
      <w:r w:rsidR="00DC1CAC" w:rsidRPr="00DC1CAC">
        <w:t>progression</w:t>
      </w:r>
      <w:r w:rsidR="005A66A8">
        <w:t xml:space="preserve"> </w:t>
      </w:r>
      <w:r w:rsidR="00DC1CAC" w:rsidRPr="00DC1CAC">
        <w:t>free survival</w:t>
      </w:r>
      <w:r w:rsidRPr="0064709B">
        <w:t xml:space="preserve"> in HLX02 and Herceptin treatment groups was 11.73 months versus 10.55 months, no statistical difference was found between </w:t>
      </w:r>
      <w:r>
        <w:t>two</w:t>
      </w:r>
      <w:r w:rsidRPr="0064709B">
        <w:t xml:space="preserve"> treatment groups (p</w:t>
      </w:r>
      <w:r w:rsidR="005D187B">
        <w:t> </w:t>
      </w:r>
      <w:r w:rsidRPr="0064709B">
        <w:t>=</w:t>
      </w:r>
      <w:r w:rsidR="00D439BB">
        <w:t xml:space="preserve"> </w:t>
      </w:r>
      <w:r w:rsidRPr="0064709B">
        <w:t>0.086).</w:t>
      </w:r>
    </w:p>
    <w:p w14:paraId="73562DD2" w14:textId="77777777" w:rsidR="00DC1CAC" w:rsidRPr="00DC1CAC" w:rsidRDefault="00DC1CAC" w:rsidP="00DC1CAC">
      <w:pPr>
        <w:pStyle w:val="Heading4"/>
      </w:pPr>
      <w:r w:rsidRPr="00DC1CAC">
        <w:t>Safety</w:t>
      </w:r>
    </w:p>
    <w:p w14:paraId="4C28BF5C" w14:textId="0452B16B" w:rsidR="00DC1CAC" w:rsidRPr="00DC1CAC" w:rsidRDefault="00DC1CAC" w:rsidP="00DC1CAC">
      <w:r w:rsidRPr="00DC1CAC">
        <w:t xml:space="preserve">A total of 772 subjects received at least </w:t>
      </w:r>
      <w:r>
        <w:t>one</w:t>
      </w:r>
      <w:r w:rsidRPr="00DC1CAC">
        <w:t xml:space="preserve"> dose of study drug in the </w:t>
      </w:r>
      <w:r>
        <w:t>two</w:t>
      </w:r>
      <w:r w:rsidRPr="00DC1CAC">
        <w:t xml:space="preserve"> studies (</w:t>
      </w:r>
      <w:r w:rsidR="00847592">
        <w:t>Trastucip (</w:t>
      </w:r>
      <w:r w:rsidRPr="00DC1CAC">
        <w:t>n</w:t>
      </w:r>
      <w:r>
        <w:t xml:space="preserve"> </w:t>
      </w:r>
      <w:r w:rsidRPr="00DC1CAC">
        <w:t>=</w:t>
      </w:r>
      <w:r>
        <w:t xml:space="preserve"> </w:t>
      </w:r>
      <w:r w:rsidRPr="00DC1CAC">
        <w:t>373</w:t>
      </w:r>
      <w:r w:rsidR="00847592">
        <w:t>)</w:t>
      </w:r>
      <w:r w:rsidRPr="00DC1CAC">
        <w:t>, C</w:t>
      </w:r>
      <w:r w:rsidR="00A60D39">
        <w:t>hina</w:t>
      </w:r>
      <w:r w:rsidRPr="00DC1CAC">
        <w:t>-sourced Herceptin [n</w:t>
      </w:r>
      <w:r>
        <w:t xml:space="preserve"> </w:t>
      </w:r>
      <w:r w:rsidRPr="00DC1CAC">
        <w:t>=</w:t>
      </w:r>
      <w:r>
        <w:t xml:space="preserve"> </w:t>
      </w:r>
      <w:r w:rsidRPr="00DC1CAC">
        <w:t xml:space="preserve">37], and EU-sourced Herceptin </w:t>
      </w:r>
      <w:r w:rsidR="00847592">
        <w:t>(</w:t>
      </w:r>
      <w:r w:rsidRPr="00DC1CAC">
        <w:t>n</w:t>
      </w:r>
      <w:r w:rsidR="00847592">
        <w:t> </w:t>
      </w:r>
      <w:r w:rsidRPr="00DC1CAC">
        <w:t>=</w:t>
      </w:r>
      <w:r w:rsidR="00847592">
        <w:t> </w:t>
      </w:r>
      <w:r w:rsidRPr="00DC1CAC">
        <w:t>362</w:t>
      </w:r>
      <w:r w:rsidR="00847592">
        <w:t>)</w:t>
      </w:r>
      <w:r w:rsidRPr="00DC1CAC">
        <w:t>). Of the 772 subjects, 649 received at least one infusion of the study drug (</w:t>
      </w:r>
      <w:r w:rsidR="00847592">
        <w:t>Trastucip (</w:t>
      </w:r>
      <w:r w:rsidRPr="00DC1CAC">
        <w:t>n</w:t>
      </w:r>
      <w:r>
        <w:t xml:space="preserve"> </w:t>
      </w:r>
      <w:r w:rsidRPr="00DC1CAC">
        <w:t>=</w:t>
      </w:r>
      <w:r>
        <w:t xml:space="preserve"> </w:t>
      </w:r>
      <w:r w:rsidRPr="00DC1CAC">
        <w:t>324</w:t>
      </w:r>
      <w:r w:rsidR="00847592">
        <w:t>)</w:t>
      </w:r>
      <w:r w:rsidRPr="00DC1CAC">
        <w:t xml:space="preserve"> and EU</w:t>
      </w:r>
      <w:r>
        <w:noBreakHyphen/>
      </w:r>
      <w:r w:rsidRPr="00DC1CAC">
        <w:t xml:space="preserve">sourced Herceptin </w:t>
      </w:r>
      <w:r w:rsidR="00847592">
        <w:t>(</w:t>
      </w:r>
      <w:r w:rsidRPr="00DC1CAC">
        <w:t>n</w:t>
      </w:r>
      <w:r>
        <w:t xml:space="preserve"> </w:t>
      </w:r>
      <w:r w:rsidRPr="00DC1CAC">
        <w:t>=</w:t>
      </w:r>
      <w:r>
        <w:t xml:space="preserve"> </w:t>
      </w:r>
      <w:r w:rsidRPr="00DC1CAC">
        <w:t>325</w:t>
      </w:r>
      <w:r w:rsidR="00847592">
        <w:t>)</w:t>
      </w:r>
      <w:r w:rsidRPr="00DC1CAC">
        <w:t xml:space="preserve">) in the Phase </w:t>
      </w:r>
      <w:r>
        <w:t>III</w:t>
      </w:r>
      <w:r w:rsidRPr="00DC1CAC">
        <w:t xml:space="preserve"> study. Safety results were not pooled.</w:t>
      </w:r>
    </w:p>
    <w:p w14:paraId="2A128AAF" w14:textId="3E1BD8EB" w:rsidR="0064709B" w:rsidRDefault="00DC1CAC" w:rsidP="00DC1CAC">
      <w:r w:rsidRPr="00DC1CAC">
        <w:t xml:space="preserve">Adverse events of special interest for trastuzumab </w:t>
      </w:r>
      <w:r w:rsidR="00847592">
        <w:t xml:space="preserve">(of any source) </w:t>
      </w:r>
      <w:proofErr w:type="gramStart"/>
      <w:r w:rsidRPr="00DC1CAC">
        <w:t>include:</w:t>
      </w:r>
      <w:proofErr w:type="gramEnd"/>
      <w:r w:rsidRPr="00DC1CAC">
        <w:t xml:space="preserve"> infusion</w:t>
      </w:r>
      <w:r>
        <w:t xml:space="preserve"> </w:t>
      </w:r>
      <w:r w:rsidRPr="00DC1CAC">
        <w:t xml:space="preserve">related reactions; cardiac dysfunction; hypersensitivity reactions including anaphylaxis; pulmonary reactions; tumour lysis syndrome; and </w:t>
      </w:r>
      <w:proofErr w:type="spellStart"/>
      <w:r w:rsidRPr="00DC1CAC">
        <w:t>haematotoxicity</w:t>
      </w:r>
      <w:proofErr w:type="spellEnd"/>
      <w:r w:rsidRPr="00DC1CAC">
        <w:t xml:space="preserve">. There were no clinically meaningful differences in these events in the two patient groups in the Phase </w:t>
      </w:r>
      <w:r>
        <w:t>III</w:t>
      </w:r>
      <w:r w:rsidRPr="00DC1CAC">
        <w:t xml:space="preserve"> study.</w:t>
      </w:r>
    </w:p>
    <w:p w14:paraId="09463888" w14:textId="736CF710" w:rsidR="00DC1CAC" w:rsidRDefault="00DC1CAC" w:rsidP="00DC1CAC">
      <w:r>
        <w:t xml:space="preserve">Immunogenicity was assessed in both studies. In </w:t>
      </w:r>
      <w:r w:rsidR="001E05E7">
        <w:t>S</w:t>
      </w:r>
      <w:r>
        <w:t>tudy HLX02-</w:t>
      </w:r>
      <w:r w:rsidRPr="00D136A8">
        <w:t>BC01</w:t>
      </w:r>
      <w:r>
        <w:t>, a total of 23 (3.6%) patients (</w:t>
      </w:r>
      <w:r w:rsidR="00CC517E">
        <w:t>six</w:t>
      </w:r>
      <w:r>
        <w:t xml:space="preserve"> (1.9%) in </w:t>
      </w:r>
      <w:r w:rsidR="00847592">
        <w:t xml:space="preserve">Trastucip </w:t>
      </w:r>
      <w:r>
        <w:t xml:space="preserve">and 17 (5.3%) in Herceptin group) tested positive for </w:t>
      </w:r>
      <w:r w:rsidRPr="00DC1CAC">
        <w:t>anti</w:t>
      </w:r>
      <w:r>
        <w:noBreakHyphen/>
      </w:r>
      <w:r w:rsidRPr="00DC1CAC">
        <w:t>drug antibody</w:t>
      </w:r>
      <w:r>
        <w:t xml:space="preserve"> at screening. These patients were not considered for immunogenic response analysis. Anti-drug antibody positivity without prior exposure has been previously reported. In this study only four patients had prior exposure to trastuzumab.</w:t>
      </w:r>
    </w:p>
    <w:p w14:paraId="1B6CE7B2" w14:textId="364F0C8F" w:rsidR="008162EB" w:rsidRDefault="00DC1CAC" w:rsidP="00DC1CAC">
      <w:r>
        <w:t xml:space="preserve">During the study, a total of four (0.6%) patients (two patients in each treatment group), tested overall positive results for anti-drug antibody. The mean trastuzumab serum concentrations at the individual time point were generally similar between </w:t>
      </w:r>
      <w:r w:rsidR="00847592">
        <w:t xml:space="preserve">Trastucip </w:t>
      </w:r>
      <w:r>
        <w:t xml:space="preserve">and Herceptin treatment groups regardless of the anti-drug antibody status. Consistent safety results were observed between the four </w:t>
      </w:r>
      <w:r w:rsidR="001E05E7">
        <w:t xml:space="preserve">anti-drug antibody </w:t>
      </w:r>
      <w:r>
        <w:t xml:space="preserve">positive patients. None of the </w:t>
      </w:r>
      <w:r w:rsidR="001E05E7">
        <w:t xml:space="preserve">four </w:t>
      </w:r>
      <w:r>
        <w:t xml:space="preserve">patients were reported with any </w:t>
      </w:r>
      <w:r w:rsidR="001E05E7">
        <w:t>serious adverse event</w:t>
      </w:r>
      <w:r>
        <w:t xml:space="preserve"> and </w:t>
      </w:r>
      <w:r w:rsidR="001E05E7">
        <w:t>one</w:t>
      </w:r>
      <w:r>
        <w:t xml:space="preserve"> patient in Herceptin group experienced</w:t>
      </w:r>
      <w:r w:rsidR="001E05E7">
        <w:t xml:space="preserve"> an</w:t>
      </w:r>
      <w:r>
        <w:t xml:space="preserve"> </w:t>
      </w:r>
      <w:r w:rsidR="001E05E7">
        <w:t>infusion related reaction</w:t>
      </w:r>
      <w:r>
        <w:t xml:space="preserve">. In </w:t>
      </w:r>
      <w:r w:rsidR="001E05E7">
        <w:t>S</w:t>
      </w:r>
      <w:r>
        <w:t xml:space="preserve">tudy HLX02-HV01 two subjects were positive for </w:t>
      </w:r>
      <w:r w:rsidR="001E05E7">
        <w:t xml:space="preserve">anti-drug antibody </w:t>
      </w:r>
      <w:r>
        <w:t xml:space="preserve">at screening and no subjects developed </w:t>
      </w:r>
      <w:r w:rsidR="001E05E7">
        <w:t xml:space="preserve">anti-drug antibody </w:t>
      </w:r>
      <w:r>
        <w:t>after exposure</w:t>
      </w:r>
      <w:r w:rsidR="008162EB">
        <w:t>.</w:t>
      </w:r>
    </w:p>
    <w:p w14:paraId="36FE0F93" w14:textId="11A1AB95" w:rsidR="001E05E7" w:rsidRPr="00DC1CAC" w:rsidRDefault="00DC1CAC" w:rsidP="00DC1CAC">
      <w:r>
        <w:t xml:space="preserve">In </w:t>
      </w:r>
      <w:r w:rsidR="001E05E7">
        <w:t>S</w:t>
      </w:r>
      <w:r>
        <w:t>tudy HLX02-BC01</w:t>
      </w:r>
      <w:r w:rsidR="001E05E7">
        <w:t xml:space="preserve"> </w:t>
      </w:r>
      <w:r>
        <w:t>0.6%</w:t>
      </w:r>
      <w:r w:rsidR="001C43B9">
        <w:t xml:space="preserve"> </w:t>
      </w:r>
      <w:r>
        <w:t xml:space="preserve">patients, </w:t>
      </w:r>
      <w:r w:rsidR="001E05E7">
        <w:t>two</w:t>
      </w:r>
      <w:r>
        <w:t xml:space="preserve"> in each treatment arm, had at least one positive result for </w:t>
      </w:r>
      <w:r w:rsidR="001E05E7">
        <w:t>neutralising anti-drug antibody</w:t>
      </w:r>
      <w:r>
        <w:t xml:space="preserve">. No meaningful differences between mean trastuzumab levels in the overall </w:t>
      </w:r>
      <w:r w:rsidR="001E05E7">
        <w:t>neutralising anti-drug antibody negative</w:t>
      </w:r>
      <w:r>
        <w:t xml:space="preserve"> and </w:t>
      </w:r>
      <w:r w:rsidR="001E05E7">
        <w:t>neutralising anti-drug antibody positive</w:t>
      </w:r>
      <w:r>
        <w:t xml:space="preserve"> groups were seen for either </w:t>
      </w:r>
      <w:r w:rsidR="00847592">
        <w:t xml:space="preserve">Trastucip </w:t>
      </w:r>
      <w:r>
        <w:t>or EU-sourced Herceptin.</w:t>
      </w:r>
    </w:p>
    <w:p w14:paraId="2A4C64D1" w14:textId="77777777" w:rsidR="008E7846" w:rsidRDefault="00386150" w:rsidP="007B6132">
      <w:pPr>
        <w:pStyle w:val="Heading3"/>
        <w:rPr>
          <w:lang w:eastAsia="en-AU"/>
        </w:rPr>
      </w:pPr>
      <w:bookmarkStart w:id="47" w:name="_Toc314842514"/>
      <w:bookmarkStart w:id="48" w:name="_Toc132710841"/>
      <w:r>
        <w:rPr>
          <w:lang w:eastAsia="en-AU"/>
        </w:rPr>
        <w:t>Risk m</w:t>
      </w:r>
      <w:r w:rsidR="008E7846">
        <w:rPr>
          <w:lang w:eastAsia="en-AU"/>
        </w:rPr>
        <w:t xml:space="preserve">anagement </w:t>
      </w:r>
      <w:r>
        <w:rPr>
          <w:lang w:eastAsia="en-AU"/>
        </w:rPr>
        <w:t>p</w:t>
      </w:r>
      <w:r w:rsidR="008E7846">
        <w:rPr>
          <w:lang w:eastAsia="en-AU"/>
        </w:rPr>
        <w:t>lan</w:t>
      </w:r>
      <w:bookmarkEnd w:id="47"/>
      <w:bookmarkEnd w:id="48"/>
    </w:p>
    <w:p w14:paraId="32F2D93B" w14:textId="0228E885" w:rsidR="0074163C" w:rsidRDefault="0074163C" w:rsidP="0074163C">
      <w:bookmarkStart w:id="49" w:name="_Toc247691531"/>
      <w:bookmarkStart w:id="50" w:name="_Toc314842515"/>
      <w:bookmarkStart w:id="51" w:name="_Toc196046505"/>
      <w:bookmarkStart w:id="52" w:name="_Toc196046949"/>
      <w:r>
        <w:t>The sponsor is required to comply with</w:t>
      </w:r>
      <w:r w:rsidRPr="008964B6">
        <w:t xml:space="preserve"> product vigilance and risk minimisation requirements</w:t>
      </w:r>
      <w:r>
        <w:t>.</w:t>
      </w:r>
    </w:p>
    <w:p w14:paraId="766CECA3" w14:textId="183AD9FF" w:rsidR="00847592" w:rsidRDefault="00847592" w:rsidP="00847592">
      <w:r>
        <w:t xml:space="preserve">Further information regarding the TGA’s risk management approach can be found in </w:t>
      </w:r>
      <w:hyperlink r:id="rId31" w:history="1">
        <w:r w:rsidRPr="00847592">
          <w:rPr>
            <w:rStyle w:val="Hyperlink"/>
          </w:rPr>
          <w:t>risk management plans for medicines and biologicals</w:t>
        </w:r>
      </w:hyperlink>
      <w:r>
        <w:t xml:space="preserve"> and the TGA's </w:t>
      </w:r>
      <w:hyperlink r:id="rId32" w:history="1">
        <w:r w:rsidRPr="00847592">
          <w:rPr>
            <w:rStyle w:val="Hyperlink"/>
          </w:rPr>
          <w:t>risk management approach</w:t>
        </w:r>
      </w:hyperlink>
      <w:r>
        <w:t>.</w:t>
      </w:r>
    </w:p>
    <w:p w14:paraId="29847A83" w14:textId="77777777" w:rsidR="008E7846" w:rsidRDefault="00AA0ED0" w:rsidP="008E7846">
      <w:pPr>
        <w:pStyle w:val="Heading3"/>
      </w:pPr>
      <w:bookmarkStart w:id="53" w:name="_Toc132710842"/>
      <w:r>
        <w:lastRenderedPageBreak/>
        <w:t>Risk-benefit a</w:t>
      </w:r>
      <w:r w:rsidR="008E7846">
        <w:t>nalysis</w:t>
      </w:r>
      <w:bookmarkEnd w:id="49"/>
      <w:bookmarkEnd w:id="50"/>
      <w:bookmarkEnd w:id="53"/>
    </w:p>
    <w:p w14:paraId="5A5CB168" w14:textId="77777777" w:rsidR="0074163C" w:rsidRDefault="0074163C" w:rsidP="0074163C">
      <w:pPr>
        <w:pStyle w:val="Heading4"/>
      </w:pPr>
      <w:bookmarkStart w:id="54" w:name="_Toc98931932"/>
      <w:r>
        <w:t>Delegate’s considerations</w:t>
      </w:r>
      <w:bookmarkEnd w:id="54"/>
    </w:p>
    <w:p w14:paraId="12EAB58F" w14:textId="0240409C" w:rsidR="00A70077" w:rsidRPr="00A70077" w:rsidRDefault="00A70077" w:rsidP="00A70077">
      <w:r w:rsidRPr="00A70077">
        <w:t xml:space="preserve">The clinical component of this submission has demonstrated satisfactory </w:t>
      </w:r>
      <w:r w:rsidR="00B230B1">
        <w:t>pharmacokinetic</w:t>
      </w:r>
      <w:r w:rsidRPr="00A70077">
        <w:t xml:space="preserve"> and clinical similarity. </w:t>
      </w:r>
      <w:r w:rsidR="005E3141">
        <w:t>The b</w:t>
      </w:r>
      <w:r w:rsidRPr="00A70077">
        <w:t>iochemistry and nonclinical aspects were satisfactory.</w:t>
      </w:r>
    </w:p>
    <w:p w14:paraId="42A802EA" w14:textId="5CA367D9" w:rsidR="0074163C" w:rsidRDefault="0074163C" w:rsidP="00B230B1">
      <w:pPr>
        <w:pStyle w:val="Heading4"/>
      </w:pPr>
      <w:bookmarkStart w:id="55" w:name="_Toc98931933"/>
      <w:r w:rsidRPr="005752C8">
        <w:t>Proposed action</w:t>
      </w:r>
      <w:bookmarkEnd w:id="55"/>
    </w:p>
    <w:p w14:paraId="64508E07" w14:textId="2226401C" w:rsidR="00A70077" w:rsidRPr="00A70077" w:rsidRDefault="005752C8" w:rsidP="00A70077">
      <w:r>
        <w:t>The Delegate c</w:t>
      </w:r>
      <w:r w:rsidR="00A70077" w:rsidRPr="00A70077">
        <w:t>onsider</w:t>
      </w:r>
      <w:r>
        <w:t>s</w:t>
      </w:r>
      <w:r w:rsidR="00A70077" w:rsidRPr="00A70077">
        <w:t xml:space="preserve"> that </w:t>
      </w:r>
      <w:r>
        <w:t>the sponsor’s</w:t>
      </w:r>
      <w:r w:rsidR="00A70077" w:rsidRPr="00A70077">
        <w:t xml:space="preserve"> trastuzumab product under the tradenames Trastucip and Tuzucip is approvable</w:t>
      </w:r>
      <w:r>
        <w:t>.</w:t>
      </w:r>
    </w:p>
    <w:p w14:paraId="2E03A92A" w14:textId="77777777" w:rsidR="0074163C" w:rsidRPr="00F73346" w:rsidRDefault="0074163C" w:rsidP="0074163C">
      <w:pPr>
        <w:pStyle w:val="Heading4"/>
      </w:pPr>
      <w:bookmarkStart w:id="56" w:name="_Toc98931936"/>
      <w:bookmarkStart w:id="57" w:name="_Toc247691532"/>
      <w:bookmarkStart w:id="58" w:name="_Toc314842516"/>
      <w:bookmarkEnd w:id="31"/>
      <w:bookmarkEnd w:id="51"/>
      <w:bookmarkEnd w:id="52"/>
      <w:r w:rsidRPr="00F73346">
        <w:t>Advisory Committee considerations</w:t>
      </w:r>
      <w:bookmarkEnd w:id="56"/>
    </w:p>
    <w:p w14:paraId="63BDB52D" w14:textId="24C9DBD0" w:rsidR="0074163C" w:rsidRPr="007D53B6" w:rsidRDefault="0074163C" w:rsidP="0074163C">
      <w:r w:rsidRPr="00C65E63">
        <w:t xml:space="preserve">The Delegate did not refer this </w:t>
      </w:r>
      <w:r w:rsidR="00BB0B78">
        <w:t>submission</w:t>
      </w:r>
      <w:r w:rsidRPr="00C65E63">
        <w:t xml:space="preserve"> to the </w:t>
      </w:r>
      <w:hyperlink r:id="rId33" w:history="1">
        <w:r w:rsidRPr="005E3141">
          <w:rPr>
            <w:rStyle w:val="Hyperlink"/>
          </w:rPr>
          <w:t>Advisory Committee on Medicines</w:t>
        </w:r>
      </w:hyperlink>
      <w:r w:rsidRPr="00C65E63">
        <w:t xml:space="preserve"> for advice.</w:t>
      </w:r>
    </w:p>
    <w:p w14:paraId="7FDC6C24" w14:textId="77777777" w:rsidR="008E7846" w:rsidRPr="002E238E" w:rsidRDefault="008E7846" w:rsidP="00D212F3">
      <w:pPr>
        <w:pStyle w:val="Heading2"/>
      </w:pPr>
      <w:bookmarkStart w:id="59" w:name="_Toc132710843"/>
      <w:r>
        <w:t>Outcome</w:t>
      </w:r>
      <w:bookmarkEnd w:id="57"/>
      <w:bookmarkEnd w:id="58"/>
      <w:bookmarkEnd w:id="59"/>
    </w:p>
    <w:p w14:paraId="462D9764" w14:textId="50D42EED" w:rsidR="0074163C" w:rsidRDefault="0074163C" w:rsidP="0074163C">
      <w:bookmarkStart w:id="60" w:name="_Toc247691533"/>
      <w:bookmarkStart w:id="61" w:name="_Toc314842517"/>
      <w:r>
        <w:t xml:space="preserve">Based on a review of quality, </w:t>
      </w:r>
      <w:r w:rsidR="00CC5044">
        <w:t>safety,</w:t>
      </w:r>
      <w:r>
        <w:t xml:space="preserve"> and efficacy, the TGA approved the registration of </w:t>
      </w:r>
      <w:r w:rsidR="00444F48" w:rsidRPr="00444F48">
        <w:t>Trastucip and Tuzucip (trastuzumab) 150 mg powder for injection for intravenous infusion</w:t>
      </w:r>
      <w:r w:rsidR="00444F48">
        <w:t>,</w:t>
      </w:r>
      <w:r>
        <w:t xml:space="preserve"> indicated for:</w:t>
      </w:r>
    </w:p>
    <w:p w14:paraId="52BF16DE" w14:textId="471F93E6" w:rsidR="00444F48" w:rsidRPr="004E576E" w:rsidRDefault="00444F48" w:rsidP="005A66A8">
      <w:pPr>
        <w:ind w:left="720"/>
        <w:rPr>
          <w:b/>
          <w:i/>
          <w:iCs/>
        </w:rPr>
      </w:pPr>
      <w:r w:rsidRPr="004E576E">
        <w:rPr>
          <w:b/>
          <w:i/>
          <w:iCs/>
        </w:rPr>
        <w:t xml:space="preserve">Early breast cancer </w:t>
      </w:r>
    </w:p>
    <w:p w14:paraId="1BE290C4" w14:textId="77777777" w:rsidR="008162EB" w:rsidRPr="000A0B75" w:rsidRDefault="00444F48" w:rsidP="005A66A8">
      <w:pPr>
        <w:ind w:left="720"/>
        <w:rPr>
          <w:i/>
          <w:iCs/>
        </w:rPr>
      </w:pPr>
      <w:r w:rsidRPr="000A0B75">
        <w:rPr>
          <w:i/>
          <w:iCs/>
        </w:rPr>
        <w:t>Trastucip and Tuzucip are indicated for the treatment of HER2-positive early breast cancer following surgery, and in association with chemotherapy and, if applicable, radiotherapy</w:t>
      </w:r>
      <w:r w:rsidR="008162EB" w:rsidRPr="000A0B75">
        <w:rPr>
          <w:i/>
          <w:iCs/>
        </w:rPr>
        <w:t>.</w:t>
      </w:r>
    </w:p>
    <w:p w14:paraId="1EF62645" w14:textId="3C016092" w:rsidR="00444F48" w:rsidRPr="004E576E" w:rsidRDefault="00444F48" w:rsidP="005A66A8">
      <w:pPr>
        <w:ind w:left="720"/>
        <w:rPr>
          <w:b/>
          <w:i/>
          <w:iCs/>
        </w:rPr>
      </w:pPr>
      <w:r w:rsidRPr="004E576E">
        <w:rPr>
          <w:b/>
          <w:i/>
          <w:iCs/>
        </w:rPr>
        <w:t xml:space="preserve">Locally advanced breast cancer </w:t>
      </w:r>
    </w:p>
    <w:p w14:paraId="41F4D6AB" w14:textId="7FA4C4D7" w:rsidR="00444F48" w:rsidRPr="000A0B75" w:rsidRDefault="00444F48" w:rsidP="005A66A8">
      <w:pPr>
        <w:ind w:left="720"/>
        <w:rPr>
          <w:i/>
          <w:iCs/>
        </w:rPr>
      </w:pPr>
      <w:r w:rsidRPr="000A0B75">
        <w:rPr>
          <w:i/>
          <w:iCs/>
        </w:rPr>
        <w:t>Trastucip and Tuzucip are indicated for the treatment of HER2-positive locally advanced breast cancer in combination with neoadjuvant chemotherapy followed by adjuvant Trastucip and Tuzucip.</w:t>
      </w:r>
    </w:p>
    <w:p w14:paraId="61F73A13" w14:textId="77777777" w:rsidR="00444F48" w:rsidRPr="004E576E" w:rsidRDefault="00444F48" w:rsidP="005A66A8">
      <w:pPr>
        <w:ind w:left="720"/>
        <w:rPr>
          <w:b/>
          <w:i/>
          <w:iCs/>
        </w:rPr>
      </w:pPr>
      <w:r w:rsidRPr="004E576E">
        <w:rPr>
          <w:b/>
          <w:i/>
          <w:iCs/>
        </w:rPr>
        <w:t xml:space="preserve">Metastatic breast cancer </w:t>
      </w:r>
    </w:p>
    <w:p w14:paraId="588FB46A" w14:textId="482D385D" w:rsidR="00444F48" w:rsidRPr="000A0B75" w:rsidRDefault="00444F48" w:rsidP="005A66A8">
      <w:pPr>
        <w:ind w:left="720"/>
        <w:rPr>
          <w:i/>
          <w:iCs/>
        </w:rPr>
      </w:pPr>
      <w:r w:rsidRPr="000A0B75">
        <w:rPr>
          <w:i/>
          <w:iCs/>
        </w:rPr>
        <w:t>Trastucip and Tuzucip are indicated for the treatment of patients with metastatic breast cancer who have tumours that overexpress HER2:</w:t>
      </w:r>
    </w:p>
    <w:p w14:paraId="1C092AFD" w14:textId="14C259B4" w:rsidR="00444F48" w:rsidRPr="000A0B75" w:rsidRDefault="00444F48" w:rsidP="005A66A8">
      <w:pPr>
        <w:ind w:left="720"/>
        <w:rPr>
          <w:i/>
          <w:iCs/>
        </w:rPr>
      </w:pPr>
      <w:r w:rsidRPr="000A0B75">
        <w:rPr>
          <w:i/>
          <w:iCs/>
        </w:rPr>
        <w:t>a) as monotherapy for the treatment of those patients who have received one or more</w:t>
      </w:r>
      <w:r w:rsidR="00C141DE" w:rsidRPr="000A0B75">
        <w:rPr>
          <w:i/>
          <w:iCs/>
        </w:rPr>
        <w:t xml:space="preserve"> </w:t>
      </w:r>
      <w:r w:rsidRPr="000A0B75">
        <w:rPr>
          <w:i/>
          <w:iCs/>
        </w:rPr>
        <w:t xml:space="preserve">chemotherapy regimens for their metastatic </w:t>
      </w:r>
      <w:proofErr w:type="gramStart"/>
      <w:r w:rsidRPr="000A0B75">
        <w:rPr>
          <w:i/>
          <w:iCs/>
        </w:rPr>
        <w:t>disease;</w:t>
      </w:r>
      <w:proofErr w:type="gramEnd"/>
    </w:p>
    <w:p w14:paraId="26C2F5A4" w14:textId="7EF81A5D" w:rsidR="00444F48" w:rsidRPr="000A0B75" w:rsidRDefault="00444F48" w:rsidP="005A66A8">
      <w:pPr>
        <w:ind w:left="720"/>
        <w:rPr>
          <w:i/>
          <w:iCs/>
        </w:rPr>
      </w:pPr>
      <w:r w:rsidRPr="000A0B75">
        <w:rPr>
          <w:i/>
          <w:iCs/>
        </w:rPr>
        <w:t xml:space="preserve">b) in combination with </w:t>
      </w:r>
      <w:proofErr w:type="spellStart"/>
      <w:r w:rsidRPr="000A0B75">
        <w:rPr>
          <w:i/>
          <w:iCs/>
        </w:rPr>
        <w:t>taxanes</w:t>
      </w:r>
      <w:proofErr w:type="spellEnd"/>
      <w:r w:rsidRPr="000A0B75">
        <w:rPr>
          <w:i/>
          <w:iCs/>
        </w:rPr>
        <w:t xml:space="preserve"> for the treatment of those patients who have not received</w:t>
      </w:r>
      <w:r w:rsidR="00C141DE" w:rsidRPr="000A0B75">
        <w:rPr>
          <w:i/>
          <w:iCs/>
        </w:rPr>
        <w:t xml:space="preserve"> </w:t>
      </w:r>
      <w:r w:rsidRPr="000A0B75">
        <w:rPr>
          <w:i/>
          <w:iCs/>
        </w:rPr>
        <w:t>chemotherapy for their metastatic disease; or</w:t>
      </w:r>
    </w:p>
    <w:p w14:paraId="2056643B" w14:textId="0F186909" w:rsidR="00444F48" w:rsidRPr="000A0B75" w:rsidRDefault="00444F48" w:rsidP="005A66A8">
      <w:pPr>
        <w:ind w:left="720"/>
        <w:rPr>
          <w:i/>
          <w:iCs/>
        </w:rPr>
      </w:pPr>
      <w:r w:rsidRPr="000A0B75">
        <w:rPr>
          <w:i/>
          <w:iCs/>
        </w:rPr>
        <w:t>c) in combination with an aromatase inhibitor for the treatment of post-menopausal patients</w:t>
      </w:r>
      <w:r w:rsidR="00C141DE" w:rsidRPr="000A0B75">
        <w:rPr>
          <w:i/>
          <w:iCs/>
        </w:rPr>
        <w:t xml:space="preserve"> </w:t>
      </w:r>
      <w:r w:rsidRPr="000A0B75">
        <w:rPr>
          <w:i/>
          <w:iCs/>
        </w:rPr>
        <w:t>with hormone-receptor positive metastatic breast cancer</w:t>
      </w:r>
    </w:p>
    <w:p w14:paraId="2D4FE222" w14:textId="77777777" w:rsidR="00444F48" w:rsidRPr="004E576E" w:rsidRDefault="00444F48" w:rsidP="005A66A8">
      <w:pPr>
        <w:ind w:left="720"/>
        <w:rPr>
          <w:b/>
          <w:i/>
          <w:iCs/>
        </w:rPr>
      </w:pPr>
      <w:r w:rsidRPr="004E576E">
        <w:rPr>
          <w:b/>
          <w:i/>
          <w:iCs/>
        </w:rPr>
        <w:t>Advanced gastric cancer</w:t>
      </w:r>
    </w:p>
    <w:p w14:paraId="7719211F" w14:textId="2179B2DA" w:rsidR="00444F48" w:rsidRPr="000A0B75" w:rsidRDefault="00444F48" w:rsidP="005A66A8">
      <w:pPr>
        <w:ind w:left="720"/>
        <w:rPr>
          <w:i/>
          <w:iCs/>
        </w:rPr>
      </w:pPr>
      <w:r w:rsidRPr="000A0B75">
        <w:rPr>
          <w:i/>
          <w:iCs/>
        </w:rPr>
        <w:t>Trastucip and Tuzucip are indicated in combination with cisplatin and either capecitabine or 5-FU for the treatment of patients with HER2 positive advanced adenocarcinoma of the stomach or gastro-oesophageal junction who have not received prior anti-cancer treatment for their metastatic disease.</w:t>
      </w:r>
    </w:p>
    <w:p w14:paraId="58458192" w14:textId="3F85C7AD" w:rsidR="00D23139" w:rsidRDefault="00D23139" w:rsidP="00D212F3">
      <w:pPr>
        <w:pStyle w:val="Heading3"/>
      </w:pPr>
      <w:bookmarkStart w:id="62" w:name="_Toc132710844"/>
      <w:r w:rsidRPr="00D23139">
        <w:t>Specific conditions of registration applying to these goods</w:t>
      </w:r>
      <w:bookmarkEnd w:id="62"/>
    </w:p>
    <w:p w14:paraId="0A4A0819" w14:textId="57FBC940" w:rsidR="00A94D33" w:rsidRPr="00A94D33" w:rsidRDefault="00A94D33" w:rsidP="00A94D33">
      <w:r w:rsidRPr="00A94D33">
        <w:t>No specific conditions of registration unique to this submission.</w:t>
      </w:r>
    </w:p>
    <w:p w14:paraId="068F0368" w14:textId="77777777" w:rsidR="008E7846" w:rsidRDefault="00A80B5B" w:rsidP="00D23139">
      <w:pPr>
        <w:pStyle w:val="Heading2"/>
      </w:pPr>
      <w:bookmarkStart w:id="63" w:name="_Toc132710845"/>
      <w:r>
        <w:lastRenderedPageBreak/>
        <w:t xml:space="preserve">Attachment 1. </w:t>
      </w:r>
      <w:r w:rsidR="008E7846">
        <w:t xml:space="preserve">Product </w:t>
      </w:r>
      <w:r w:rsidR="00AA0ED0">
        <w:t>I</w:t>
      </w:r>
      <w:r w:rsidR="008E7846">
        <w:t>nformation</w:t>
      </w:r>
      <w:bookmarkEnd w:id="60"/>
      <w:bookmarkEnd w:id="61"/>
      <w:bookmarkEnd w:id="63"/>
    </w:p>
    <w:p w14:paraId="33D0260D" w14:textId="6DD82E75" w:rsidR="008E7846" w:rsidRPr="00EB36D6" w:rsidRDefault="006136D7" w:rsidP="00EB36D6">
      <w:r w:rsidRPr="002B3624">
        <w:t xml:space="preserve">The </w:t>
      </w:r>
      <w:r>
        <w:t>PI</w:t>
      </w:r>
      <w:r w:rsidRPr="002B3624">
        <w:t xml:space="preserve"> for </w:t>
      </w:r>
      <w:r w:rsidR="00444F48">
        <w:t>Trastucip and Tuzucip</w:t>
      </w:r>
      <w:r w:rsidR="0074163C">
        <w:t xml:space="preserve"> </w:t>
      </w:r>
      <w:r>
        <w:t xml:space="preserve">approved with the submission which is described in </w:t>
      </w:r>
      <w:r w:rsidRPr="002B3624">
        <w:t>this AusPAR is at Attachment 1.</w:t>
      </w:r>
      <w:r w:rsidR="00CC5044">
        <w:t xml:space="preserve"> </w:t>
      </w:r>
      <w:r w:rsidR="0074163C" w:rsidRPr="00940A89">
        <w:t xml:space="preserve">For the most recent </w:t>
      </w:r>
      <w:r w:rsidR="0074163C">
        <w:t>PI,</w:t>
      </w:r>
      <w:r w:rsidR="0074163C" w:rsidRPr="00940A89">
        <w:t xml:space="preserve"> ple</w:t>
      </w:r>
      <w:r w:rsidR="0074163C">
        <w:t xml:space="preserve">ase refer to the TGA </w:t>
      </w:r>
      <w:hyperlink r:id="rId34" w:history="1">
        <w:r w:rsidR="0074163C" w:rsidRPr="008A698E">
          <w:rPr>
            <w:rStyle w:val="Hyperlink"/>
          </w:rPr>
          <w:t>PI/CMI search facility</w:t>
        </w:r>
        <w:r w:rsidR="0074163C" w:rsidRPr="00EB36D6">
          <w:rPr>
            <w:rStyle w:val="Hyperlink"/>
            <w:color w:val="auto"/>
            <w:u w:val="none"/>
          </w:rPr>
          <w:t>.</w:t>
        </w:r>
      </w:hyperlink>
      <w:r w:rsidR="008E7846" w:rsidRPr="00C80137">
        <w:br w:type="page"/>
      </w:r>
    </w:p>
    <w:p w14:paraId="783FF444" w14:textId="77777777" w:rsidR="00C80137" w:rsidRPr="001D043B" w:rsidRDefault="00C80137" w:rsidP="003A7F6C">
      <w:pPr>
        <w:pStyle w:val="TableTitle"/>
        <w:sectPr w:rsidR="00C80137" w:rsidRPr="001D043B" w:rsidSect="00B452CE">
          <w:headerReference w:type="even" r:id="rId35"/>
          <w:headerReference w:type="default" r:id="rId36"/>
          <w:headerReference w:type="first" r:id="rId37"/>
          <w:footerReference w:type="first" r:id="rId38"/>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ED4D41A" w14:textId="77777777" w:rsidTr="00A05FA4">
        <w:trPr>
          <w:trHeight w:hRule="exact" w:val="704"/>
        </w:trPr>
        <w:tc>
          <w:tcPr>
            <w:tcW w:w="9175" w:type="dxa"/>
          </w:tcPr>
          <w:p w14:paraId="488AC5D8" w14:textId="77777777" w:rsidR="001C32CD" w:rsidRPr="00487162" w:rsidRDefault="001C32CD" w:rsidP="00A05FA4">
            <w:pPr>
              <w:pStyle w:val="TGASignoff"/>
            </w:pPr>
            <w:r w:rsidRPr="00487162">
              <w:lastRenderedPageBreak/>
              <w:t>Therapeutic Goods Administration</w:t>
            </w:r>
          </w:p>
        </w:tc>
      </w:tr>
      <w:tr w:rsidR="001C32CD" w:rsidRPr="004C239D" w14:paraId="4CE49654" w14:textId="77777777" w:rsidTr="00A05FA4">
        <w:trPr>
          <w:trHeight w:val="1221"/>
        </w:trPr>
        <w:tc>
          <w:tcPr>
            <w:tcW w:w="9175" w:type="dxa"/>
            <w:tcMar>
              <w:top w:w="28" w:type="dxa"/>
            </w:tcMar>
          </w:tcPr>
          <w:p w14:paraId="15D99AC0" w14:textId="77777777" w:rsidR="001C32CD" w:rsidRPr="00487162" w:rsidRDefault="001C32CD" w:rsidP="00A05FA4">
            <w:pPr>
              <w:pStyle w:val="Address"/>
            </w:pPr>
            <w:r w:rsidRPr="00487162">
              <w:t>PO Box 100 Woden ACT 2606 Australia</w:t>
            </w:r>
          </w:p>
          <w:p w14:paraId="58127F28" w14:textId="197B3D0F" w:rsidR="001C32CD" w:rsidRPr="00487162" w:rsidRDefault="001C32CD" w:rsidP="00A05FA4">
            <w:pPr>
              <w:pStyle w:val="Address"/>
            </w:pPr>
            <w:r w:rsidRPr="00487162">
              <w:t xml:space="preserve">Email: </w:t>
            </w:r>
            <w:hyperlink r:id="rId39" w:history="1">
              <w:r w:rsidRPr="004C239D">
                <w:rPr>
                  <w:rStyle w:val="Hyperlink"/>
                </w:rPr>
                <w:t>info@tga.gov.au</w:t>
              </w:r>
            </w:hyperlink>
            <w:r w:rsidR="008162EB">
              <w:t xml:space="preserve"> </w:t>
            </w:r>
            <w:r w:rsidRPr="00487162">
              <w:t>Phone: 1800 020 653</w:t>
            </w:r>
            <w:r w:rsidR="008162EB">
              <w:t xml:space="preserve"> </w:t>
            </w:r>
            <w:r w:rsidRPr="00487162">
              <w:t>Fax: 02 6232 8605</w:t>
            </w:r>
          </w:p>
          <w:p w14:paraId="58A4FF57" w14:textId="27E23A59" w:rsidR="001C32CD" w:rsidRPr="004C239D" w:rsidRDefault="00D541AF" w:rsidP="00A05FA4">
            <w:pPr>
              <w:pStyle w:val="Address"/>
              <w:spacing w:line="260" w:lineRule="atLeast"/>
              <w:rPr>
                <w:b/>
                <w:color w:val="0000FF"/>
                <w:u w:val="single"/>
              </w:rPr>
            </w:pPr>
            <w:hyperlink r:id="rId40" w:history="1">
              <w:r w:rsidR="007C6B9B" w:rsidRPr="007C6B9B">
                <w:rPr>
                  <w:rStyle w:val="Hyperlink"/>
                  <w:b/>
                </w:rPr>
                <w:t>https://www.tga.gov.au</w:t>
              </w:r>
            </w:hyperlink>
          </w:p>
        </w:tc>
      </w:tr>
    </w:tbl>
    <w:p w14:paraId="7867F9AA" w14:textId="77777777" w:rsidR="00774E1D" w:rsidRPr="008A5E0B" w:rsidRDefault="00774E1D" w:rsidP="004C239D"/>
    <w:sectPr w:rsidR="00774E1D" w:rsidRPr="008A5E0B" w:rsidSect="001C32CD">
      <w:headerReference w:type="even" r:id="rId41"/>
      <w:headerReference w:type="default" r:id="rId42"/>
      <w:footerReference w:type="default" r:id="rId43"/>
      <w:headerReference w:type="first" r:id="rId44"/>
      <w:footerReference w:type="first" r:id="rId45"/>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822F" w14:textId="77777777" w:rsidR="00DB57F6" w:rsidRDefault="00DB57F6" w:rsidP="00C40A36">
      <w:pPr>
        <w:spacing w:after="0"/>
      </w:pPr>
      <w:r>
        <w:separator/>
      </w:r>
    </w:p>
  </w:endnote>
  <w:endnote w:type="continuationSeparator" w:id="0">
    <w:p w14:paraId="42210A29" w14:textId="77777777" w:rsidR="00DB57F6" w:rsidRDefault="00DB57F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D5AFF" w:rsidRPr="00487162" w14:paraId="555099F7" w14:textId="77777777" w:rsidTr="00DB750B">
      <w:trPr>
        <w:trHeight w:val="269"/>
      </w:trPr>
      <w:tc>
        <w:tcPr>
          <w:tcW w:w="7371" w:type="dxa"/>
          <w:tcMar>
            <w:top w:w="142" w:type="dxa"/>
            <w:bottom w:w="0" w:type="dxa"/>
          </w:tcMar>
        </w:tcPr>
        <w:p w14:paraId="6DB10EA4" w14:textId="670619B6" w:rsidR="00CD5AFF" w:rsidRPr="00487162" w:rsidRDefault="00CD5AFF" w:rsidP="00460036">
          <w:pPr>
            <w:pStyle w:val="Footer"/>
          </w:pPr>
          <w:r w:rsidRPr="00487162">
            <w:t>AusPA</w:t>
          </w:r>
          <w:r>
            <w:t xml:space="preserve">R - </w:t>
          </w:r>
          <w:r w:rsidRPr="0008538B">
            <w:t>T</w:t>
          </w:r>
          <w:r>
            <w:t>rastucip</w:t>
          </w:r>
          <w:r w:rsidRPr="0008538B">
            <w:t xml:space="preserve"> and T</w:t>
          </w:r>
          <w:r>
            <w:t>uzucip</w:t>
          </w:r>
          <w:r w:rsidRPr="0008538B">
            <w:t xml:space="preserve"> - Trastuzumab - Cipla Australia Pty Ltd - PM-2021-00873-1-4</w:t>
          </w:r>
          <w:r>
            <w:br/>
          </w:r>
          <w:r w:rsidR="004E576E">
            <w:t>FINAL - 18 April</w:t>
          </w:r>
          <w:r>
            <w:t xml:space="preserve"> 2023</w:t>
          </w:r>
        </w:p>
      </w:tc>
      <w:tc>
        <w:tcPr>
          <w:tcW w:w="1490" w:type="dxa"/>
          <w:tcMar>
            <w:top w:w="142" w:type="dxa"/>
            <w:bottom w:w="0" w:type="dxa"/>
          </w:tcMar>
        </w:tcPr>
        <w:p w14:paraId="3C8BABF5" w14:textId="6C5D0079" w:rsidR="00CD5AFF" w:rsidRPr="00487162" w:rsidRDefault="00CD5AFF" w:rsidP="00DB750B">
          <w:pPr>
            <w:pStyle w:val="Footer"/>
            <w:jc w:val="right"/>
          </w:pPr>
          <w:r w:rsidRPr="00487162">
            <w:t xml:space="preserve">Page </w:t>
          </w:r>
          <w:r>
            <w:fldChar w:fldCharType="begin"/>
          </w:r>
          <w:r>
            <w:instrText xml:space="preserve"> PAGE  \* Arabic </w:instrText>
          </w:r>
          <w:r>
            <w:fldChar w:fldCharType="separate"/>
          </w:r>
          <w:r w:rsidR="00CC19BA">
            <w:rPr>
              <w:noProof/>
            </w:rPr>
            <w:t>8</w:t>
          </w:r>
          <w:r>
            <w:fldChar w:fldCharType="end"/>
          </w:r>
          <w:r w:rsidRPr="00487162">
            <w:t xml:space="preserve"> of </w:t>
          </w:r>
          <w:fldSimple w:instr=" NUMPAGES  \* Arabic ">
            <w:r w:rsidR="00CC19BA">
              <w:rPr>
                <w:noProof/>
              </w:rPr>
              <w:t>23</w:t>
            </w:r>
          </w:fldSimple>
        </w:p>
      </w:tc>
    </w:tr>
  </w:tbl>
  <w:p w14:paraId="102F68E8" w14:textId="77777777" w:rsidR="00CD5AFF" w:rsidRDefault="00CD5AFF"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D5AFF" w:rsidRPr="00487162" w14:paraId="0E0C6D69" w14:textId="77777777" w:rsidTr="00E45619">
      <w:trPr>
        <w:trHeight w:val="269"/>
      </w:trPr>
      <w:tc>
        <w:tcPr>
          <w:tcW w:w="4519" w:type="dxa"/>
          <w:tcBorders>
            <w:top w:val="single" w:sz="4" w:space="0" w:color="auto"/>
          </w:tcBorders>
          <w:tcMar>
            <w:top w:w="142" w:type="dxa"/>
            <w:bottom w:w="0" w:type="dxa"/>
          </w:tcMar>
        </w:tcPr>
        <w:p w14:paraId="06E4A023" w14:textId="77777777" w:rsidR="00CD5AFF" w:rsidRPr="00487162" w:rsidRDefault="00CD5AFF" w:rsidP="00FE1DEE">
          <w:pPr>
            <w:pStyle w:val="Footer"/>
          </w:pPr>
          <w:r w:rsidRPr="00487162">
            <w:t>Document title, Part #, Section # - Section title</w:t>
          </w:r>
        </w:p>
        <w:p w14:paraId="0BE01019" w14:textId="77777777" w:rsidR="00CD5AFF" w:rsidRPr="00487162" w:rsidRDefault="00CD5AFF" w:rsidP="00FE1DEE">
          <w:pPr>
            <w:pStyle w:val="Footer"/>
          </w:pPr>
          <w:r w:rsidRPr="00487162">
            <w:t>V1.0 October 2010</w:t>
          </w:r>
        </w:p>
      </w:tc>
      <w:tc>
        <w:tcPr>
          <w:tcW w:w="4342" w:type="dxa"/>
          <w:tcBorders>
            <w:top w:val="single" w:sz="4" w:space="0" w:color="auto"/>
          </w:tcBorders>
          <w:tcMar>
            <w:top w:w="142" w:type="dxa"/>
            <w:bottom w:w="0" w:type="dxa"/>
          </w:tcMar>
        </w:tcPr>
        <w:p w14:paraId="2DD63718" w14:textId="77777777" w:rsidR="00CD5AFF" w:rsidRPr="00487162" w:rsidRDefault="00CD5AFF"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21</w:t>
            </w:r>
          </w:fldSimple>
        </w:p>
      </w:tc>
    </w:tr>
  </w:tbl>
  <w:p w14:paraId="0DCE18E2" w14:textId="77777777" w:rsidR="00CD5AFF" w:rsidRDefault="00CD5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F14A" w14:textId="77777777" w:rsidR="00CD5AFF" w:rsidRPr="001C32CD" w:rsidRDefault="00CD5AFF"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D5AFF" w14:paraId="78527175" w14:textId="77777777" w:rsidTr="0010601F">
      <w:trPr>
        <w:trHeight w:val="108"/>
      </w:trPr>
      <w:tc>
        <w:tcPr>
          <w:tcW w:w="8875" w:type="dxa"/>
          <w:gridSpan w:val="2"/>
          <w:tcBorders>
            <w:bottom w:val="single" w:sz="4" w:space="0" w:color="auto"/>
          </w:tcBorders>
          <w:tcMar>
            <w:right w:w="284" w:type="dxa"/>
          </w:tcMar>
        </w:tcPr>
        <w:p w14:paraId="6A4CD745" w14:textId="77777777" w:rsidR="00CD5AFF" w:rsidRDefault="00CD5AFF" w:rsidP="006E08B3">
          <w:pPr>
            <w:pStyle w:val="Heading3"/>
          </w:pPr>
          <w:r>
            <w:t>Copyright</w:t>
          </w:r>
        </w:p>
        <w:p w14:paraId="20EB6250" w14:textId="77777777" w:rsidR="00CD5AFF" w:rsidRDefault="00CD5AFF" w:rsidP="006E08B3">
          <w:r>
            <w:rPr>
              <w:rFonts w:cs="Arial"/>
            </w:rPr>
            <w:t>©</w:t>
          </w:r>
          <w:r>
            <w:t xml:space="preserve"> Commonwealth of Australia [add year]</w:t>
          </w:r>
        </w:p>
        <w:p w14:paraId="01274E4A" w14:textId="77777777" w:rsidR="00CD5AFF" w:rsidRDefault="00CD5AFF" w:rsidP="006E08B3"/>
        <w:p w14:paraId="5BF31B56" w14:textId="2C365650" w:rsidR="00CD5AFF" w:rsidRDefault="00CD5AF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86CA3C3" w14:textId="77777777" w:rsidR="00CD5AFF" w:rsidRDefault="00CD5AFF" w:rsidP="006E08B3"/>
        <w:p w14:paraId="1AD335E7" w14:textId="77777777" w:rsidR="00CD5AFF" w:rsidRDefault="00CD5AFF" w:rsidP="006E08B3">
          <w:pPr>
            <w:pStyle w:val="Heading3"/>
          </w:pPr>
          <w:r>
            <w:t>Confidentiality</w:t>
          </w:r>
        </w:p>
        <w:p w14:paraId="33C78C07" w14:textId="77777777" w:rsidR="00CD5AFF" w:rsidRDefault="00CD5AF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953A95C" w14:textId="77777777" w:rsidR="00CD5AFF" w:rsidRDefault="00CD5AFF" w:rsidP="006E08B3"/>
        <w:p w14:paraId="6994E677" w14:textId="77777777" w:rsidR="00CD5AFF" w:rsidRDefault="00CD5AFF" w:rsidP="006E08B3">
          <w:r>
            <w:t>For submission made by individuals, all personal details, other than your name, will be removed from your submission before it is published on the TGA’s Internet site.</w:t>
          </w:r>
        </w:p>
        <w:p w14:paraId="105A5E57" w14:textId="77777777" w:rsidR="00CD5AFF" w:rsidRDefault="00CD5AFF" w:rsidP="006E08B3"/>
        <w:p w14:paraId="75E1F3CA" w14:textId="77777777" w:rsidR="00CD5AFF" w:rsidRDefault="00CD5AFF" w:rsidP="006E08B3">
          <w:r>
            <w:t>In addition, a list of parties making submissions will be published. If you do not wish to be identified with your submission you must specifically request this in the space provided in the submission coversheet.</w:t>
          </w:r>
        </w:p>
      </w:tc>
    </w:tr>
    <w:tr w:rsidR="00CD5AFF" w14:paraId="122B9DAE" w14:textId="77777777" w:rsidTr="0010601F">
      <w:trPr>
        <w:trHeight w:val="417"/>
      </w:trPr>
      <w:tc>
        <w:tcPr>
          <w:tcW w:w="4519" w:type="dxa"/>
          <w:tcBorders>
            <w:top w:val="single" w:sz="4" w:space="0" w:color="auto"/>
          </w:tcBorders>
          <w:tcMar>
            <w:top w:w="142" w:type="dxa"/>
            <w:bottom w:w="0" w:type="dxa"/>
          </w:tcMar>
        </w:tcPr>
        <w:p w14:paraId="0DD7970F" w14:textId="77777777" w:rsidR="00CD5AFF" w:rsidRDefault="00CD5AFF" w:rsidP="006E08B3">
          <w:r>
            <w:t>Document title, Part #, Section # - Section title</w:t>
          </w:r>
        </w:p>
        <w:p w14:paraId="22CAD02D" w14:textId="77777777" w:rsidR="00CD5AFF" w:rsidRDefault="00CD5AFF" w:rsidP="006E08B3">
          <w:r>
            <w:t>V1.0 October 2010</w:t>
          </w:r>
        </w:p>
      </w:tc>
      <w:tc>
        <w:tcPr>
          <w:tcW w:w="4356" w:type="dxa"/>
          <w:tcBorders>
            <w:top w:val="single" w:sz="4" w:space="0" w:color="auto"/>
          </w:tcBorders>
          <w:tcMar>
            <w:top w:w="142" w:type="dxa"/>
            <w:bottom w:w="0" w:type="dxa"/>
          </w:tcMar>
        </w:tcPr>
        <w:p w14:paraId="59A10AE3" w14:textId="1D9FDBF1" w:rsidR="00CD5AFF" w:rsidRDefault="00CD5AF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21</w:t>
            </w:r>
          </w:fldSimple>
          <w:r>
            <w:t xml:space="preserve"> </w:t>
          </w:r>
        </w:p>
      </w:tc>
    </w:tr>
  </w:tbl>
  <w:p w14:paraId="2E4CCF50" w14:textId="77777777" w:rsidR="00CD5AFF" w:rsidRDefault="00CD5A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4503" w14:textId="77777777" w:rsidR="00DB57F6" w:rsidRDefault="00DB57F6" w:rsidP="00C40A36">
      <w:pPr>
        <w:spacing w:after="0"/>
      </w:pPr>
      <w:r>
        <w:separator/>
      </w:r>
    </w:p>
  </w:footnote>
  <w:footnote w:type="continuationSeparator" w:id="0">
    <w:p w14:paraId="606EE1A4" w14:textId="77777777" w:rsidR="00DB57F6" w:rsidRDefault="00DB57F6" w:rsidP="00C40A36">
      <w:pPr>
        <w:spacing w:after="0"/>
      </w:pPr>
      <w:r>
        <w:continuationSeparator/>
      </w:r>
    </w:p>
  </w:footnote>
  <w:footnote w:id="1">
    <w:p w14:paraId="4890E3C6" w14:textId="3A2CA097" w:rsidR="004B18BF" w:rsidRPr="004E576E" w:rsidRDefault="004B18BF">
      <w:pPr>
        <w:pStyle w:val="FootnoteText"/>
        <w:rPr>
          <w:lang w:val="en-GB"/>
        </w:rPr>
      </w:pPr>
      <w:r>
        <w:rPr>
          <w:rStyle w:val="FootnoteReference"/>
        </w:rPr>
        <w:footnoteRef/>
      </w:r>
      <w:r>
        <w:t xml:space="preserve"> </w:t>
      </w:r>
      <w:r>
        <w:rPr>
          <w:lang w:val="en-GB"/>
        </w:rPr>
        <w:t xml:space="preserve">Trastucip and Tuzucup are two different </w:t>
      </w:r>
      <w:r w:rsidR="0043791D">
        <w:rPr>
          <w:lang w:val="en-GB"/>
        </w:rPr>
        <w:t>brand names</w:t>
      </w:r>
      <w:r>
        <w:rPr>
          <w:lang w:val="en-GB"/>
        </w:rPr>
        <w:t xml:space="preserve"> for the same </w:t>
      </w:r>
      <w:r w:rsidR="0043791D">
        <w:rPr>
          <w:lang w:val="en-GB"/>
        </w:rPr>
        <w:t>medicinal product</w:t>
      </w:r>
      <w:r>
        <w:rPr>
          <w:lang w:val="en-GB"/>
        </w:rPr>
        <w:t xml:space="preserve">. </w:t>
      </w:r>
      <w:r w:rsidR="0043791D">
        <w:rPr>
          <w:lang w:val="en-GB"/>
        </w:rPr>
        <w:t>W</w:t>
      </w:r>
      <w:r>
        <w:rPr>
          <w:lang w:val="en-GB"/>
        </w:rPr>
        <w:t xml:space="preserve">here only one product name is </w:t>
      </w:r>
      <w:r w:rsidR="0043791D">
        <w:rPr>
          <w:lang w:val="en-GB"/>
        </w:rPr>
        <w:t>used, the information given in this AusPAR applies to both Trastucip and Tuzucip.</w:t>
      </w:r>
    </w:p>
  </w:footnote>
  <w:footnote w:id="2">
    <w:p w14:paraId="4286EA5E" w14:textId="77777777" w:rsidR="00CD5AFF" w:rsidRPr="008E092B" w:rsidRDefault="00CD5AFF" w:rsidP="00D05FE3">
      <w:pPr>
        <w:pStyle w:val="FootnoteText"/>
        <w:rPr>
          <w:lang w:val="en-GB"/>
        </w:rPr>
      </w:pPr>
      <w:r>
        <w:rPr>
          <w:rStyle w:val="FootnoteReference"/>
        </w:rPr>
        <w:footnoteRef/>
      </w:r>
      <w:r>
        <w:t xml:space="preserve"> </w:t>
      </w:r>
      <w:r w:rsidRPr="00D41217">
        <w:t xml:space="preserve">Iqbal N, and Iqbal N. Human Epidermal Growth Factor Receptor 2 (HER2) in Cancers: Overexpression and Therapeutic Implications. </w:t>
      </w:r>
      <w:r w:rsidRPr="008E092B">
        <w:rPr>
          <w:i/>
        </w:rPr>
        <w:t>Mol Biol Int</w:t>
      </w:r>
      <w:r w:rsidRPr="00D41217">
        <w:t>. 2014; 2014: 852748.</w:t>
      </w:r>
    </w:p>
  </w:footnote>
  <w:footnote w:id="3">
    <w:p w14:paraId="2423DD7E" w14:textId="5D92B636" w:rsidR="00CD5AFF" w:rsidRPr="004E576E" w:rsidRDefault="00CD5AFF">
      <w:pPr>
        <w:pStyle w:val="FootnoteText"/>
        <w:rPr>
          <w:lang w:val="en-GB"/>
        </w:rPr>
      </w:pPr>
      <w:r>
        <w:rPr>
          <w:rStyle w:val="FootnoteReference"/>
        </w:rPr>
        <w:footnoteRef/>
      </w:r>
      <w:r>
        <w:t xml:space="preserve"> Van </w:t>
      </w:r>
      <w:r>
        <w:t>Cutsem E</w:t>
      </w:r>
      <w:r w:rsidRPr="00D05FE3">
        <w:t xml:space="preserve">, et al. HER2 screening data from ToGA: targeting HER2 in gastric and gastroesophageal junction cancer. </w:t>
      </w:r>
      <w:r w:rsidRPr="004E576E">
        <w:rPr>
          <w:i/>
        </w:rPr>
        <w:t>Gastric Cancer</w:t>
      </w:r>
      <w:r w:rsidRPr="00D05FE3">
        <w:t>. 2015;18(3):476-484.</w:t>
      </w:r>
    </w:p>
  </w:footnote>
  <w:footnote w:id="4">
    <w:p w14:paraId="34D4A75B" w14:textId="653B5DB0" w:rsidR="00CD5AFF" w:rsidRPr="004E576E" w:rsidRDefault="00CD5AFF">
      <w:pPr>
        <w:pStyle w:val="FootnoteText"/>
        <w:rPr>
          <w:lang w:val="en-GB"/>
        </w:rPr>
      </w:pPr>
      <w:r>
        <w:rPr>
          <w:rStyle w:val="FootnoteReference"/>
        </w:rPr>
        <w:footnoteRef/>
      </w:r>
      <w:r>
        <w:t xml:space="preserve"> </w:t>
      </w:r>
      <w:r w:rsidRPr="00D05FE3">
        <w:t>Takehana T, et al. Status of c-erbB-2 in gastric adenocarcinoma: a comparative study of immunohistochemistry, fluorescence in situ hybridization and enzyme-linked immuno-sorbent assay</w:t>
      </w:r>
      <w:r w:rsidRPr="004E576E">
        <w:rPr>
          <w:i/>
        </w:rPr>
        <w:t>. Int J Cancer.</w:t>
      </w:r>
      <w:r w:rsidRPr="00D05FE3">
        <w:t xml:space="preserve"> </w:t>
      </w:r>
      <w:r w:rsidRPr="00D05FE3">
        <w:t>2002;98:833–837.</w:t>
      </w:r>
    </w:p>
  </w:footnote>
  <w:footnote w:id="5">
    <w:p w14:paraId="59660C82" w14:textId="2AECF514" w:rsidR="00CD5AFF" w:rsidRPr="004E576E" w:rsidRDefault="00CD5AFF">
      <w:pPr>
        <w:pStyle w:val="FootnoteText"/>
        <w:rPr>
          <w:lang w:val="en-GB"/>
        </w:rPr>
      </w:pPr>
      <w:r>
        <w:rPr>
          <w:rStyle w:val="FootnoteReference"/>
        </w:rPr>
        <w:footnoteRef/>
      </w:r>
      <w:r>
        <w:t xml:space="preserve"> </w:t>
      </w:r>
      <w:r w:rsidRPr="00D05FE3">
        <w:t xml:space="preserve">Brien TP, </w:t>
      </w:r>
      <w:r>
        <w:t>et al.</w:t>
      </w:r>
      <w:r w:rsidRPr="00D05FE3">
        <w:t xml:space="preserve"> Prognostic factors in gastric cancer. </w:t>
      </w:r>
      <w:r w:rsidRPr="004E576E">
        <w:rPr>
          <w:i/>
        </w:rPr>
        <w:t xml:space="preserve">Mod </w:t>
      </w:r>
      <w:r w:rsidRPr="004E576E">
        <w:rPr>
          <w:i/>
        </w:rPr>
        <w:t>Pathol.</w:t>
      </w:r>
      <w:r w:rsidRPr="00D05FE3">
        <w:t xml:space="preserve"> </w:t>
      </w:r>
      <w:r w:rsidRPr="00D05FE3">
        <w:t>1998;11:870–877.</w:t>
      </w:r>
    </w:p>
  </w:footnote>
  <w:footnote w:id="6">
    <w:p w14:paraId="6F3CBA22" w14:textId="51C15101" w:rsidR="00CD5AFF" w:rsidRPr="004E576E" w:rsidRDefault="00CD5AFF">
      <w:pPr>
        <w:pStyle w:val="FootnoteText"/>
        <w:rPr>
          <w:lang w:val="en-GB"/>
        </w:rPr>
      </w:pPr>
      <w:r>
        <w:rPr>
          <w:rStyle w:val="FootnoteReference"/>
        </w:rPr>
        <w:footnoteRef/>
      </w:r>
      <w:r>
        <w:t xml:space="preserve"> </w:t>
      </w:r>
      <w:r w:rsidRPr="00323E9B">
        <w:t xml:space="preserve">Li, X. et al. Discovery and development of </w:t>
      </w:r>
      <w:r w:rsidRPr="00323E9B">
        <w:t xml:space="preserve">pyrotinib: a novel irreversible EGFR/HER2 dual tyrosine kinase inhibitor with favorable safety profiles for the treatment of breast cancer. </w:t>
      </w:r>
      <w:r w:rsidRPr="004E576E">
        <w:rPr>
          <w:i/>
        </w:rPr>
        <w:t>Eur. J. Pharm. Sci.</w:t>
      </w:r>
      <w:r w:rsidRPr="00323E9B">
        <w:t xml:space="preserve"> 110, 51–61 (2017).</w:t>
      </w:r>
    </w:p>
  </w:footnote>
  <w:footnote w:id="7">
    <w:p w14:paraId="779AC1C3" w14:textId="07183C4F" w:rsidR="00CD5AFF" w:rsidRPr="004E576E" w:rsidRDefault="00CD5AFF">
      <w:pPr>
        <w:pStyle w:val="FootnoteText"/>
        <w:rPr>
          <w:lang w:val="en-GB"/>
        </w:rPr>
      </w:pPr>
      <w:r>
        <w:rPr>
          <w:rStyle w:val="FootnoteReference"/>
        </w:rPr>
        <w:footnoteRef/>
      </w:r>
      <w:r>
        <w:t xml:space="preserve"> </w:t>
      </w:r>
      <w:r w:rsidRPr="00323E9B">
        <w:t xml:space="preserve">Yarden, Y. Biology of HER2 and its importance in breast cancer. </w:t>
      </w:r>
      <w:r w:rsidRPr="004E576E">
        <w:rPr>
          <w:i/>
        </w:rPr>
        <w:t>Oncology</w:t>
      </w:r>
      <w:r w:rsidRPr="00323E9B">
        <w:t xml:space="preserve"> 61(Suppl. 2), 1–13 (2001).</w:t>
      </w:r>
    </w:p>
  </w:footnote>
  <w:footnote w:id="8">
    <w:p w14:paraId="676C9944" w14:textId="77777777" w:rsidR="00CD5AFF" w:rsidRPr="007350F4" w:rsidRDefault="00CD5AFF" w:rsidP="00F170B8">
      <w:pPr>
        <w:pStyle w:val="FootnoteText"/>
        <w:rPr>
          <w:lang w:val="en-GB"/>
        </w:rPr>
      </w:pPr>
      <w:r>
        <w:rPr>
          <w:rStyle w:val="FootnoteReference"/>
        </w:rPr>
        <w:footnoteRef/>
      </w:r>
      <w:r>
        <w:t xml:space="preserve"> </w:t>
      </w:r>
      <w:r w:rsidRPr="006220DB">
        <w:t xml:space="preserve">Kovacs E., </w:t>
      </w:r>
      <w:r>
        <w:t>et al</w:t>
      </w:r>
      <w:r w:rsidRPr="006220DB">
        <w:t xml:space="preserve">. A Structural Perspective on the Regulation of the Epidermal Growth Factor Receptor. </w:t>
      </w:r>
      <w:r w:rsidRPr="007350F4">
        <w:rPr>
          <w:i/>
        </w:rPr>
        <w:t>Annu. Rev. Biochem.</w:t>
      </w:r>
      <w:r w:rsidRPr="006220DB">
        <w:t xml:space="preserve"> </w:t>
      </w:r>
      <w:r w:rsidRPr="006220DB">
        <w:t>2015;84:739–764.</w:t>
      </w:r>
    </w:p>
  </w:footnote>
  <w:footnote w:id="9">
    <w:p w14:paraId="4C40B9D7" w14:textId="77777777" w:rsidR="00CD5AFF" w:rsidRPr="007350F4" w:rsidRDefault="00CD5AFF" w:rsidP="00F170B8">
      <w:pPr>
        <w:pStyle w:val="FootnoteText"/>
        <w:rPr>
          <w:lang w:val="en-GB"/>
        </w:rPr>
      </w:pPr>
      <w:r>
        <w:rPr>
          <w:rStyle w:val="FootnoteReference"/>
        </w:rPr>
        <w:footnoteRef/>
      </w:r>
      <w:r>
        <w:t xml:space="preserve"> </w:t>
      </w:r>
      <w:r w:rsidRPr="006220DB">
        <w:t xml:space="preserve">Albanell J, </w:t>
      </w:r>
      <w:r>
        <w:t>et al.</w:t>
      </w:r>
      <w:r w:rsidRPr="006220DB">
        <w:t xml:space="preserve"> Mechanism of action of anti-HER2 monoclonal antibodies: scientific update on trastuzumab and 2C4. Adv Exp Med Biol. </w:t>
      </w:r>
      <w:r w:rsidRPr="006220DB">
        <w:t>2003;532:253-68.</w:t>
      </w:r>
    </w:p>
  </w:footnote>
  <w:footnote w:id="10">
    <w:p w14:paraId="6A265BC6" w14:textId="77777777" w:rsidR="00CD5AFF" w:rsidRPr="007350F4" w:rsidRDefault="00CD5AFF" w:rsidP="00F170B8">
      <w:pPr>
        <w:pStyle w:val="FootnoteText"/>
        <w:rPr>
          <w:lang w:val="en-GB"/>
        </w:rPr>
      </w:pPr>
      <w:r>
        <w:rPr>
          <w:rStyle w:val="FootnoteReference"/>
        </w:rPr>
        <w:footnoteRef/>
      </w:r>
      <w:r>
        <w:t xml:space="preserve"> </w:t>
      </w:r>
      <w:r w:rsidRPr="00F170B8">
        <w:t xml:space="preserve">Boekhout AH, Beijnen JH, Schellens JH: Trastuzumab. </w:t>
      </w:r>
      <w:r w:rsidRPr="007350F4">
        <w:rPr>
          <w:i/>
        </w:rPr>
        <w:t>Oncologist</w:t>
      </w:r>
      <w:r w:rsidRPr="00F170B8">
        <w:t>. 2011;16(6):800-10.</w:t>
      </w:r>
    </w:p>
  </w:footnote>
  <w:footnote w:id="11">
    <w:p w14:paraId="657F7FD2" w14:textId="77777777" w:rsidR="00CD5AFF" w:rsidRDefault="00CD5AFF" w:rsidP="00F170B8">
      <w:pPr>
        <w:pStyle w:val="FootnoteText"/>
      </w:pPr>
      <w:r>
        <w:rPr>
          <w:rStyle w:val="FootnoteReference"/>
        </w:rPr>
        <w:footnoteRef/>
      </w:r>
      <w:r>
        <w:t xml:space="preserve"> Herceptin was first registered in Australia on 14 September 2000. ARTG number: 73229.</w:t>
      </w:r>
    </w:p>
  </w:footnote>
  <w:footnote w:id="12">
    <w:p w14:paraId="1D588A2E" w14:textId="569AE0D1" w:rsidR="00CD5AFF" w:rsidRDefault="00CD5AFF" w:rsidP="001F4908">
      <w:pPr>
        <w:pStyle w:val="FootnoteText"/>
      </w:pPr>
      <w:r>
        <w:rPr>
          <w:rStyle w:val="FootnoteReference"/>
        </w:rPr>
        <w:footnoteRef/>
      </w:r>
      <w:r>
        <w:t xml:space="preserve"> A </w:t>
      </w:r>
      <w:r w:rsidRPr="004E576E">
        <w:rPr>
          <w:b/>
        </w:rPr>
        <w:t>biosimilar medicine</w:t>
      </w:r>
      <w:r>
        <w:t xml:space="preserve"> is a version of an already registered biological medicine (the reference medicine). </w:t>
      </w:r>
    </w:p>
    <w:p w14:paraId="7F449281" w14:textId="43A8B83D" w:rsidR="00CD5AFF" w:rsidRDefault="00CD5AFF" w:rsidP="001F4908">
      <w:pPr>
        <w:pStyle w:val="FootnoteText"/>
      </w:pPr>
      <w:r>
        <w:t xml:space="preserve">Both the biosimilar and its reference medicine will have the following similar characteristics (demonstrated using comprehensive comparability studies) for physicochemical, </w:t>
      </w:r>
      <w:r>
        <w:t>biological and immunological effects, and efficacy and safety.</w:t>
      </w:r>
    </w:p>
    <w:p w14:paraId="1628953B" w14:textId="251469CD" w:rsidR="00CD5AFF" w:rsidRDefault="00CD5AFF" w:rsidP="001F4908">
      <w:pPr>
        <w:pStyle w:val="FootnoteText"/>
      </w:pPr>
      <w:r>
        <w:t>Most biosimilar medicines are likely to contain biotechnology-derived proteins as the active substance(s), but biosimilar medicines, also include as those consisting of vaccines and polysaccharides, such as low molecular weight heparins.</w:t>
      </w:r>
    </w:p>
    <w:p w14:paraId="1B2BA794" w14:textId="5B6B8AC2" w:rsidR="00CD5AFF" w:rsidRPr="001F4908" w:rsidRDefault="00CD5AFF" w:rsidP="001F4908">
      <w:pPr>
        <w:pStyle w:val="FootnoteText"/>
      </w:pPr>
      <w:r>
        <w:t xml:space="preserve">Further information on biosimilar medicines is available on the TGA website: </w:t>
      </w:r>
      <w:hyperlink r:id="rId1" w:history="1">
        <w:r>
          <w:rPr>
            <w:rStyle w:val="Hyperlink"/>
          </w:rPr>
          <w:t>Biosimilar medicines regulation | Therapeutic Goods Administration (TGA)</w:t>
        </w:r>
      </w:hyperlink>
    </w:p>
  </w:footnote>
  <w:footnote w:id="13">
    <w:p w14:paraId="76C9CAE6" w14:textId="66E4FEBE" w:rsidR="00CD5AFF" w:rsidRDefault="00CD5AFF">
      <w:pPr>
        <w:pStyle w:val="FootnoteText"/>
      </w:pPr>
      <w:r>
        <w:rPr>
          <w:rStyle w:val="FootnoteReference"/>
        </w:rPr>
        <w:footnoteRef/>
      </w:r>
      <w:r>
        <w:t xml:space="preserve"> </w:t>
      </w:r>
      <w:r w:rsidRPr="007555B3">
        <w:t>HLX02</w:t>
      </w:r>
      <w:r>
        <w:t xml:space="preserve"> is the drug development code for </w:t>
      </w:r>
      <w:r w:rsidRPr="007555B3">
        <w:t>the trastuzumab product proposed for registration</w:t>
      </w:r>
    </w:p>
  </w:footnote>
  <w:footnote w:id="14">
    <w:p w14:paraId="5236118C" w14:textId="719F89C5" w:rsidR="00CD5AFF" w:rsidRDefault="00CD5AFF">
      <w:pPr>
        <w:pStyle w:val="FootnoteText"/>
      </w:pPr>
      <w:r>
        <w:rPr>
          <w:rStyle w:val="FootnoteReference"/>
        </w:rPr>
        <w:footnoteRef/>
      </w:r>
      <w:r>
        <w:t xml:space="preserve"> </w:t>
      </w:r>
      <w:r w:rsidRPr="008954A6">
        <w:t>Docetaxel</w:t>
      </w:r>
      <w:r>
        <w:t xml:space="preserve"> was first registered in Australia on 6 December 2010. ARTG number: 163801.</w:t>
      </w:r>
    </w:p>
  </w:footnote>
  <w:footnote w:id="15">
    <w:p w14:paraId="597536D5" w14:textId="77777777" w:rsidR="00CD5AFF" w:rsidRDefault="00CD5AFF" w:rsidP="00D439BB">
      <w:pPr>
        <w:pStyle w:val="FootnoteText"/>
      </w:pPr>
      <w:r>
        <w:rPr>
          <w:rStyle w:val="FootnoteReference"/>
        </w:rPr>
        <w:footnoteRef/>
      </w:r>
      <w:r>
        <w:t xml:space="preserve"> </w:t>
      </w:r>
      <w:r w:rsidRPr="00FD396A">
        <w:t xml:space="preserve">The Response Evaluation Criteria </w:t>
      </w:r>
      <w:r w:rsidRPr="00FD396A">
        <w:t>In Solid Tumours (RECIST) is a voluntary international standard with unified and easily applicable criteria to define when a patient's tumour has improved ('respond'), stayed the same ('stabilise'), or worsened ('progress') during treatment. The criteria were published in February 2000 by an international collaboration including the European Organisation for Research and Treatment of Cancer (EORTC), National Cancer Institute (NCI) of the United States, and the National Cancer Institute of Canada Clinical Trials Group. Today, the majority of clinical trials evaluating cancer treatments for objective response in solid tumours use RECIST. These criteria were developed and published in February 2000, and subsequently updated in 2009.</w:t>
      </w:r>
    </w:p>
  </w:footnote>
  <w:footnote w:id="16">
    <w:p w14:paraId="700891AC" w14:textId="76C374AC" w:rsidR="00CD5AFF" w:rsidRDefault="00CD5AFF">
      <w:pPr>
        <w:pStyle w:val="FootnoteText"/>
      </w:pPr>
      <w:r>
        <w:rPr>
          <w:rStyle w:val="FootnoteReference"/>
        </w:rPr>
        <w:footnoteRef/>
      </w:r>
      <w:r>
        <w:t xml:space="preserve"> </w:t>
      </w:r>
      <w:r w:rsidRPr="008954A6">
        <w:t>Paclitaxel</w:t>
      </w:r>
      <w:r>
        <w:t xml:space="preserve"> was first registered in Australia on 12 January 1995. ARTG number: 50577.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B242" w14:textId="77777777" w:rsidR="00CD5AFF" w:rsidRDefault="00CD5AFF"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EF9C" w14:textId="77777777" w:rsidR="00CD5AFF" w:rsidRDefault="00CD5AFF">
    <w:pPr>
      <w:rPr>
        <w:noProof/>
        <w:lang w:eastAsia="en-AU"/>
      </w:rPr>
    </w:pPr>
    <w:r w:rsidRPr="00347824">
      <w:rPr>
        <w:noProof/>
        <w:lang w:val="en-GB" w:eastAsia="en-GB"/>
      </w:rPr>
      <w:drawing>
        <wp:anchor distT="0" distB="0" distL="114300" distR="114300" simplePos="0" relativeHeight="251659264" behindDoc="1" locked="0" layoutInCell="1" allowOverlap="1" wp14:anchorId="1D813907" wp14:editId="0175788B">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0495" w14:textId="77777777" w:rsidR="00CD5AFF" w:rsidRDefault="00CD5A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3653" w14:textId="77777777" w:rsidR="00CD5AFF" w:rsidRDefault="00CD5AFF">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04EE" w14:textId="77777777" w:rsidR="00CD5AFF" w:rsidRDefault="00CD5AFF">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76FD" w14:textId="77777777" w:rsidR="00CD5AFF" w:rsidRDefault="00CD5A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E094" w14:textId="77777777" w:rsidR="00CD5AFF" w:rsidRDefault="00CD5AFF"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229F" w14:textId="77777777" w:rsidR="00CD5AFF" w:rsidRDefault="00CD5AFF" w:rsidP="006E08B3">
    <w:r>
      <w:t>Therapeutic Goods Administration</w:t>
    </w:r>
  </w:p>
  <w:p w14:paraId="633F256C" w14:textId="77777777" w:rsidR="00CD5AFF" w:rsidRDefault="00CD5AFF"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6F76A5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6FB01F06"/>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1"/>
  </w:num>
  <w:num w:numId="29">
    <w:abstractNumId w:val="6"/>
  </w:num>
  <w:num w:numId="30">
    <w:abstractNumId w:val="8"/>
  </w:num>
  <w:num w:numId="31">
    <w:abstractNumId w:val="4"/>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691"/>
    <w:rsid w:val="00002031"/>
    <w:rsid w:val="00004734"/>
    <w:rsid w:val="00006B22"/>
    <w:rsid w:val="00006FAB"/>
    <w:rsid w:val="0001276A"/>
    <w:rsid w:val="000246AE"/>
    <w:rsid w:val="00025C67"/>
    <w:rsid w:val="0003535C"/>
    <w:rsid w:val="00044772"/>
    <w:rsid w:val="0004541C"/>
    <w:rsid w:val="0005559E"/>
    <w:rsid w:val="000604D6"/>
    <w:rsid w:val="000734D8"/>
    <w:rsid w:val="00077775"/>
    <w:rsid w:val="0008538B"/>
    <w:rsid w:val="00090471"/>
    <w:rsid w:val="00096AA7"/>
    <w:rsid w:val="000A0B75"/>
    <w:rsid w:val="000A2B64"/>
    <w:rsid w:val="000A3AED"/>
    <w:rsid w:val="000B3532"/>
    <w:rsid w:val="000B3A75"/>
    <w:rsid w:val="000C00C2"/>
    <w:rsid w:val="000C690F"/>
    <w:rsid w:val="000D1295"/>
    <w:rsid w:val="000D391B"/>
    <w:rsid w:val="000D3D6D"/>
    <w:rsid w:val="000D4FAE"/>
    <w:rsid w:val="000D4FC7"/>
    <w:rsid w:val="000D6483"/>
    <w:rsid w:val="000E6196"/>
    <w:rsid w:val="000F415B"/>
    <w:rsid w:val="000F4869"/>
    <w:rsid w:val="000F5B42"/>
    <w:rsid w:val="000F6E6F"/>
    <w:rsid w:val="00103011"/>
    <w:rsid w:val="0010601F"/>
    <w:rsid w:val="00106F93"/>
    <w:rsid w:val="0010788A"/>
    <w:rsid w:val="00107A31"/>
    <w:rsid w:val="00110EA5"/>
    <w:rsid w:val="00112F56"/>
    <w:rsid w:val="00116EBF"/>
    <w:rsid w:val="00117C1F"/>
    <w:rsid w:val="00122C2E"/>
    <w:rsid w:val="00124ACD"/>
    <w:rsid w:val="00125318"/>
    <w:rsid w:val="001305A2"/>
    <w:rsid w:val="00133238"/>
    <w:rsid w:val="00133A1B"/>
    <w:rsid w:val="0014197B"/>
    <w:rsid w:val="001447CD"/>
    <w:rsid w:val="001516B1"/>
    <w:rsid w:val="00154EBB"/>
    <w:rsid w:val="00156316"/>
    <w:rsid w:val="00161181"/>
    <w:rsid w:val="00161D56"/>
    <w:rsid w:val="00162D14"/>
    <w:rsid w:val="00162F63"/>
    <w:rsid w:val="00163780"/>
    <w:rsid w:val="00165389"/>
    <w:rsid w:val="0017693F"/>
    <w:rsid w:val="0018110E"/>
    <w:rsid w:val="00181684"/>
    <w:rsid w:val="001843C6"/>
    <w:rsid w:val="001850E0"/>
    <w:rsid w:val="00185407"/>
    <w:rsid w:val="00187BD1"/>
    <w:rsid w:val="001A03AF"/>
    <w:rsid w:val="001A2158"/>
    <w:rsid w:val="001A525F"/>
    <w:rsid w:val="001A5A00"/>
    <w:rsid w:val="001A66B8"/>
    <w:rsid w:val="001B09F9"/>
    <w:rsid w:val="001B1DA4"/>
    <w:rsid w:val="001B5C90"/>
    <w:rsid w:val="001B6448"/>
    <w:rsid w:val="001C32CD"/>
    <w:rsid w:val="001C43B9"/>
    <w:rsid w:val="001D2984"/>
    <w:rsid w:val="001E05E7"/>
    <w:rsid w:val="001E07CF"/>
    <w:rsid w:val="001E359E"/>
    <w:rsid w:val="001E59F1"/>
    <w:rsid w:val="001F2CEE"/>
    <w:rsid w:val="001F4908"/>
    <w:rsid w:val="001F49EB"/>
    <w:rsid w:val="001F6CBA"/>
    <w:rsid w:val="00201D4E"/>
    <w:rsid w:val="002076C9"/>
    <w:rsid w:val="00216ADD"/>
    <w:rsid w:val="00220B8A"/>
    <w:rsid w:val="002257F3"/>
    <w:rsid w:val="002314EA"/>
    <w:rsid w:val="00233456"/>
    <w:rsid w:val="002339A5"/>
    <w:rsid w:val="00250271"/>
    <w:rsid w:val="00250F35"/>
    <w:rsid w:val="00257848"/>
    <w:rsid w:val="002578E8"/>
    <w:rsid w:val="0027084A"/>
    <w:rsid w:val="0027139A"/>
    <w:rsid w:val="00271E85"/>
    <w:rsid w:val="00280265"/>
    <w:rsid w:val="00286434"/>
    <w:rsid w:val="00286C59"/>
    <w:rsid w:val="00291957"/>
    <w:rsid w:val="002942D1"/>
    <w:rsid w:val="00294500"/>
    <w:rsid w:val="0029501A"/>
    <w:rsid w:val="002A3721"/>
    <w:rsid w:val="002B1638"/>
    <w:rsid w:val="002B3624"/>
    <w:rsid w:val="002D0952"/>
    <w:rsid w:val="002E0247"/>
    <w:rsid w:val="002E40B3"/>
    <w:rsid w:val="002E4C9A"/>
    <w:rsid w:val="002F11F8"/>
    <w:rsid w:val="002F3320"/>
    <w:rsid w:val="002F3F56"/>
    <w:rsid w:val="002F44B5"/>
    <w:rsid w:val="002F5122"/>
    <w:rsid w:val="00307069"/>
    <w:rsid w:val="00311AC0"/>
    <w:rsid w:val="00314A00"/>
    <w:rsid w:val="0031722B"/>
    <w:rsid w:val="003176FC"/>
    <w:rsid w:val="00323E9B"/>
    <w:rsid w:val="00324E45"/>
    <w:rsid w:val="0032583B"/>
    <w:rsid w:val="00327883"/>
    <w:rsid w:val="00332715"/>
    <w:rsid w:val="00335504"/>
    <w:rsid w:val="00340C18"/>
    <w:rsid w:val="003442FD"/>
    <w:rsid w:val="00347824"/>
    <w:rsid w:val="00350567"/>
    <w:rsid w:val="003521E8"/>
    <w:rsid w:val="00367DBA"/>
    <w:rsid w:val="00370CE3"/>
    <w:rsid w:val="003728F3"/>
    <w:rsid w:val="003735BC"/>
    <w:rsid w:val="003739FA"/>
    <w:rsid w:val="0037496E"/>
    <w:rsid w:val="00382669"/>
    <w:rsid w:val="00383221"/>
    <w:rsid w:val="00386150"/>
    <w:rsid w:val="003874CE"/>
    <w:rsid w:val="00390900"/>
    <w:rsid w:val="003A7F6C"/>
    <w:rsid w:val="003B4D60"/>
    <w:rsid w:val="003B7E39"/>
    <w:rsid w:val="003C27B7"/>
    <w:rsid w:val="003C58DC"/>
    <w:rsid w:val="003D1E62"/>
    <w:rsid w:val="003D5D49"/>
    <w:rsid w:val="003E0B99"/>
    <w:rsid w:val="003E2486"/>
    <w:rsid w:val="003E3208"/>
    <w:rsid w:val="003E68D3"/>
    <w:rsid w:val="003F0B04"/>
    <w:rsid w:val="0040134E"/>
    <w:rsid w:val="00406982"/>
    <w:rsid w:val="0041424C"/>
    <w:rsid w:val="00417D72"/>
    <w:rsid w:val="004334C7"/>
    <w:rsid w:val="004373A2"/>
    <w:rsid w:val="0043791D"/>
    <w:rsid w:val="00440A2D"/>
    <w:rsid w:val="00441C3F"/>
    <w:rsid w:val="00444D1A"/>
    <w:rsid w:val="00444F48"/>
    <w:rsid w:val="0045186A"/>
    <w:rsid w:val="004546CD"/>
    <w:rsid w:val="00454BDC"/>
    <w:rsid w:val="004564A7"/>
    <w:rsid w:val="00456765"/>
    <w:rsid w:val="00460036"/>
    <w:rsid w:val="004617BF"/>
    <w:rsid w:val="00463658"/>
    <w:rsid w:val="004637A0"/>
    <w:rsid w:val="004722CC"/>
    <w:rsid w:val="00473AB9"/>
    <w:rsid w:val="00490483"/>
    <w:rsid w:val="004936E4"/>
    <w:rsid w:val="00494E60"/>
    <w:rsid w:val="00497487"/>
    <w:rsid w:val="004A2771"/>
    <w:rsid w:val="004A6189"/>
    <w:rsid w:val="004A7390"/>
    <w:rsid w:val="004B18BF"/>
    <w:rsid w:val="004B7B76"/>
    <w:rsid w:val="004C239D"/>
    <w:rsid w:val="004C2B1B"/>
    <w:rsid w:val="004C2DCA"/>
    <w:rsid w:val="004C4FBE"/>
    <w:rsid w:val="004C61D2"/>
    <w:rsid w:val="004E576E"/>
    <w:rsid w:val="004F0C4A"/>
    <w:rsid w:val="004F0F38"/>
    <w:rsid w:val="004F47D6"/>
    <w:rsid w:val="005001FA"/>
    <w:rsid w:val="00500337"/>
    <w:rsid w:val="00501921"/>
    <w:rsid w:val="00505417"/>
    <w:rsid w:val="00516940"/>
    <w:rsid w:val="0052149B"/>
    <w:rsid w:val="00523A21"/>
    <w:rsid w:val="00530354"/>
    <w:rsid w:val="00531C9D"/>
    <w:rsid w:val="00534F17"/>
    <w:rsid w:val="0053625B"/>
    <w:rsid w:val="005365D9"/>
    <w:rsid w:val="005434C6"/>
    <w:rsid w:val="00543B39"/>
    <w:rsid w:val="00545CDB"/>
    <w:rsid w:val="00546154"/>
    <w:rsid w:val="00550096"/>
    <w:rsid w:val="00555280"/>
    <w:rsid w:val="00557FF9"/>
    <w:rsid w:val="00562327"/>
    <w:rsid w:val="005711D5"/>
    <w:rsid w:val="005752C8"/>
    <w:rsid w:val="00576378"/>
    <w:rsid w:val="00577130"/>
    <w:rsid w:val="00577945"/>
    <w:rsid w:val="00577E38"/>
    <w:rsid w:val="00585322"/>
    <w:rsid w:val="005857C6"/>
    <w:rsid w:val="00592F6E"/>
    <w:rsid w:val="00593AD1"/>
    <w:rsid w:val="005A66A8"/>
    <w:rsid w:val="005A68B6"/>
    <w:rsid w:val="005A79F5"/>
    <w:rsid w:val="005C494B"/>
    <w:rsid w:val="005C5570"/>
    <w:rsid w:val="005C5B66"/>
    <w:rsid w:val="005C79A4"/>
    <w:rsid w:val="005D187B"/>
    <w:rsid w:val="005D5442"/>
    <w:rsid w:val="005E3141"/>
    <w:rsid w:val="00603F32"/>
    <w:rsid w:val="00605AD4"/>
    <w:rsid w:val="006136D7"/>
    <w:rsid w:val="006220DB"/>
    <w:rsid w:val="00625A6E"/>
    <w:rsid w:val="00630691"/>
    <w:rsid w:val="00632398"/>
    <w:rsid w:val="00640FC3"/>
    <w:rsid w:val="00642020"/>
    <w:rsid w:val="006430EE"/>
    <w:rsid w:val="00643CE5"/>
    <w:rsid w:val="0064709B"/>
    <w:rsid w:val="0065337B"/>
    <w:rsid w:val="0065419D"/>
    <w:rsid w:val="006603BC"/>
    <w:rsid w:val="006604D8"/>
    <w:rsid w:val="00662158"/>
    <w:rsid w:val="0066322D"/>
    <w:rsid w:val="00664A5B"/>
    <w:rsid w:val="0066735C"/>
    <w:rsid w:val="006763D2"/>
    <w:rsid w:val="00680C08"/>
    <w:rsid w:val="00686C8E"/>
    <w:rsid w:val="006901BA"/>
    <w:rsid w:val="006916A0"/>
    <w:rsid w:val="006931B1"/>
    <w:rsid w:val="006A15C0"/>
    <w:rsid w:val="006A4E8A"/>
    <w:rsid w:val="006A58A8"/>
    <w:rsid w:val="006C3E2A"/>
    <w:rsid w:val="006C642F"/>
    <w:rsid w:val="006D03E5"/>
    <w:rsid w:val="006D5D3E"/>
    <w:rsid w:val="006E08B3"/>
    <w:rsid w:val="006E7D4A"/>
    <w:rsid w:val="006F17AC"/>
    <w:rsid w:val="006F25B8"/>
    <w:rsid w:val="006F572E"/>
    <w:rsid w:val="006F79AC"/>
    <w:rsid w:val="007046D6"/>
    <w:rsid w:val="00705DB0"/>
    <w:rsid w:val="0072292E"/>
    <w:rsid w:val="00722B57"/>
    <w:rsid w:val="007244DF"/>
    <w:rsid w:val="00730F8A"/>
    <w:rsid w:val="00735A8C"/>
    <w:rsid w:val="0074163C"/>
    <w:rsid w:val="0074253D"/>
    <w:rsid w:val="00744121"/>
    <w:rsid w:val="0074429B"/>
    <w:rsid w:val="007555B3"/>
    <w:rsid w:val="007615BC"/>
    <w:rsid w:val="00762F05"/>
    <w:rsid w:val="007652FF"/>
    <w:rsid w:val="007703EF"/>
    <w:rsid w:val="00770CAC"/>
    <w:rsid w:val="00770EF1"/>
    <w:rsid w:val="0077131A"/>
    <w:rsid w:val="00773EF7"/>
    <w:rsid w:val="00774E1D"/>
    <w:rsid w:val="007765D8"/>
    <w:rsid w:val="0077675A"/>
    <w:rsid w:val="00780355"/>
    <w:rsid w:val="00780BCA"/>
    <w:rsid w:val="007819FD"/>
    <w:rsid w:val="00785717"/>
    <w:rsid w:val="00785721"/>
    <w:rsid w:val="00793A59"/>
    <w:rsid w:val="007A46F5"/>
    <w:rsid w:val="007A6505"/>
    <w:rsid w:val="007B6132"/>
    <w:rsid w:val="007B6E9F"/>
    <w:rsid w:val="007C1216"/>
    <w:rsid w:val="007C1AF7"/>
    <w:rsid w:val="007C29AF"/>
    <w:rsid w:val="007C5EAD"/>
    <w:rsid w:val="007C6B9B"/>
    <w:rsid w:val="007D53B6"/>
    <w:rsid w:val="007E3E06"/>
    <w:rsid w:val="00804D99"/>
    <w:rsid w:val="00805D27"/>
    <w:rsid w:val="00806DCB"/>
    <w:rsid w:val="00810720"/>
    <w:rsid w:val="008108FF"/>
    <w:rsid w:val="008110BC"/>
    <w:rsid w:val="008137B4"/>
    <w:rsid w:val="008162EB"/>
    <w:rsid w:val="00821776"/>
    <w:rsid w:val="008321F5"/>
    <w:rsid w:val="00832369"/>
    <w:rsid w:val="00833ED8"/>
    <w:rsid w:val="00834660"/>
    <w:rsid w:val="00836BC2"/>
    <w:rsid w:val="00847592"/>
    <w:rsid w:val="0085156D"/>
    <w:rsid w:val="00852B28"/>
    <w:rsid w:val="0085472A"/>
    <w:rsid w:val="0085641B"/>
    <w:rsid w:val="00857136"/>
    <w:rsid w:val="008639A2"/>
    <w:rsid w:val="00865B03"/>
    <w:rsid w:val="0087210E"/>
    <w:rsid w:val="00875A6B"/>
    <w:rsid w:val="0088204A"/>
    <w:rsid w:val="00885B11"/>
    <w:rsid w:val="00886D15"/>
    <w:rsid w:val="00887DD8"/>
    <w:rsid w:val="008919B5"/>
    <w:rsid w:val="00891BA9"/>
    <w:rsid w:val="008939AB"/>
    <w:rsid w:val="0089493A"/>
    <w:rsid w:val="008954A6"/>
    <w:rsid w:val="00896018"/>
    <w:rsid w:val="008960DD"/>
    <w:rsid w:val="0089635C"/>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6943"/>
    <w:rsid w:val="00900E2D"/>
    <w:rsid w:val="00902A21"/>
    <w:rsid w:val="0091523F"/>
    <w:rsid w:val="00920330"/>
    <w:rsid w:val="009219D7"/>
    <w:rsid w:val="00922D53"/>
    <w:rsid w:val="00923B70"/>
    <w:rsid w:val="00924482"/>
    <w:rsid w:val="00925FB9"/>
    <w:rsid w:val="00930237"/>
    <w:rsid w:val="00933FA9"/>
    <w:rsid w:val="00937C17"/>
    <w:rsid w:val="00940A89"/>
    <w:rsid w:val="00941F77"/>
    <w:rsid w:val="00946EA5"/>
    <w:rsid w:val="00951085"/>
    <w:rsid w:val="009556D7"/>
    <w:rsid w:val="00960520"/>
    <w:rsid w:val="00963C08"/>
    <w:rsid w:val="009752A5"/>
    <w:rsid w:val="0098585A"/>
    <w:rsid w:val="00986E2D"/>
    <w:rsid w:val="009A4CED"/>
    <w:rsid w:val="009A690D"/>
    <w:rsid w:val="009B1D12"/>
    <w:rsid w:val="009B416B"/>
    <w:rsid w:val="009C4BD5"/>
    <w:rsid w:val="009D7B77"/>
    <w:rsid w:val="009E0BB0"/>
    <w:rsid w:val="009E3FBB"/>
    <w:rsid w:val="009E5A87"/>
    <w:rsid w:val="009F2673"/>
    <w:rsid w:val="009F7353"/>
    <w:rsid w:val="00A02CEC"/>
    <w:rsid w:val="00A04F85"/>
    <w:rsid w:val="00A05FA4"/>
    <w:rsid w:val="00A102E4"/>
    <w:rsid w:val="00A1219C"/>
    <w:rsid w:val="00A12C42"/>
    <w:rsid w:val="00A14DF7"/>
    <w:rsid w:val="00A20216"/>
    <w:rsid w:val="00A22D57"/>
    <w:rsid w:val="00A3246D"/>
    <w:rsid w:val="00A36FA7"/>
    <w:rsid w:val="00A44DDB"/>
    <w:rsid w:val="00A45C55"/>
    <w:rsid w:val="00A475B7"/>
    <w:rsid w:val="00A47AF7"/>
    <w:rsid w:val="00A47C3E"/>
    <w:rsid w:val="00A50226"/>
    <w:rsid w:val="00A5577F"/>
    <w:rsid w:val="00A60BAD"/>
    <w:rsid w:val="00A60D39"/>
    <w:rsid w:val="00A70077"/>
    <w:rsid w:val="00A77F87"/>
    <w:rsid w:val="00A80B5B"/>
    <w:rsid w:val="00A84E36"/>
    <w:rsid w:val="00A94D33"/>
    <w:rsid w:val="00A964D1"/>
    <w:rsid w:val="00AA0ED0"/>
    <w:rsid w:val="00AC2B40"/>
    <w:rsid w:val="00AC2BB2"/>
    <w:rsid w:val="00AC2C3C"/>
    <w:rsid w:val="00AC512D"/>
    <w:rsid w:val="00AD0083"/>
    <w:rsid w:val="00AD3935"/>
    <w:rsid w:val="00AD53E2"/>
    <w:rsid w:val="00AE65EB"/>
    <w:rsid w:val="00AE67A7"/>
    <w:rsid w:val="00AF1D94"/>
    <w:rsid w:val="00AF2313"/>
    <w:rsid w:val="00AF60C5"/>
    <w:rsid w:val="00B009C6"/>
    <w:rsid w:val="00B01548"/>
    <w:rsid w:val="00B0764F"/>
    <w:rsid w:val="00B108E1"/>
    <w:rsid w:val="00B130C5"/>
    <w:rsid w:val="00B13EBD"/>
    <w:rsid w:val="00B1406F"/>
    <w:rsid w:val="00B15FD5"/>
    <w:rsid w:val="00B20EC3"/>
    <w:rsid w:val="00B21D29"/>
    <w:rsid w:val="00B2219A"/>
    <w:rsid w:val="00B230B1"/>
    <w:rsid w:val="00B25034"/>
    <w:rsid w:val="00B30284"/>
    <w:rsid w:val="00B30F3C"/>
    <w:rsid w:val="00B33588"/>
    <w:rsid w:val="00B33863"/>
    <w:rsid w:val="00B37D17"/>
    <w:rsid w:val="00B4175E"/>
    <w:rsid w:val="00B41C85"/>
    <w:rsid w:val="00B4498D"/>
    <w:rsid w:val="00B452CE"/>
    <w:rsid w:val="00B54C25"/>
    <w:rsid w:val="00B54EFD"/>
    <w:rsid w:val="00B664E9"/>
    <w:rsid w:val="00B67E70"/>
    <w:rsid w:val="00B75F4C"/>
    <w:rsid w:val="00B76B91"/>
    <w:rsid w:val="00B77EB1"/>
    <w:rsid w:val="00B811C6"/>
    <w:rsid w:val="00B855B0"/>
    <w:rsid w:val="00B92E08"/>
    <w:rsid w:val="00BB0B78"/>
    <w:rsid w:val="00BB75D6"/>
    <w:rsid w:val="00BC622A"/>
    <w:rsid w:val="00BD0599"/>
    <w:rsid w:val="00BD3DA2"/>
    <w:rsid w:val="00BE0A78"/>
    <w:rsid w:val="00BE5AC9"/>
    <w:rsid w:val="00BE6542"/>
    <w:rsid w:val="00BE79F0"/>
    <w:rsid w:val="00BF046D"/>
    <w:rsid w:val="00BF1190"/>
    <w:rsid w:val="00BF28E6"/>
    <w:rsid w:val="00BF3774"/>
    <w:rsid w:val="00BF5D04"/>
    <w:rsid w:val="00BF7063"/>
    <w:rsid w:val="00C009AA"/>
    <w:rsid w:val="00C035BE"/>
    <w:rsid w:val="00C040A9"/>
    <w:rsid w:val="00C1164D"/>
    <w:rsid w:val="00C141DE"/>
    <w:rsid w:val="00C16861"/>
    <w:rsid w:val="00C179C4"/>
    <w:rsid w:val="00C34133"/>
    <w:rsid w:val="00C346AB"/>
    <w:rsid w:val="00C404A6"/>
    <w:rsid w:val="00C40A36"/>
    <w:rsid w:val="00C44419"/>
    <w:rsid w:val="00C45E7B"/>
    <w:rsid w:val="00C471B1"/>
    <w:rsid w:val="00C523BC"/>
    <w:rsid w:val="00C525A2"/>
    <w:rsid w:val="00C52E24"/>
    <w:rsid w:val="00C5413B"/>
    <w:rsid w:val="00C6316B"/>
    <w:rsid w:val="00C634A9"/>
    <w:rsid w:val="00C64586"/>
    <w:rsid w:val="00C6747E"/>
    <w:rsid w:val="00C70A36"/>
    <w:rsid w:val="00C70D53"/>
    <w:rsid w:val="00C73D0B"/>
    <w:rsid w:val="00C74F5C"/>
    <w:rsid w:val="00C772FF"/>
    <w:rsid w:val="00C80137"/>
    <w:rsid w:val="00C801AF"/>
    <w:rsid w:val="00C80256"/>
    <w:rsid w:val="00C82937"/>
    <w:rsid w:val="00C94CD4"/>
    <w:rsid w:val="00C9747E"/>
    <w:rsid w:val="00CB3A85"/>
    <w:rsid w:val="00CB6BC0"/>
    <w:rsid w:val="00CC1595"/>
    <w:rsid w:val="00CC19BA"/>
    <w:rsid w:val="00CC1B7C"/>
    <w:rsid w:val="00CC5044"/>
    <w:rsid w:val="00CC517E"/>
    <w:rsid w:val="00CC727F"/>
    <w:rsid w:val="00CD5AFF"/>
    <w:rsid w:val="00CD6672"/>
    <w:rsid w:val="00CF15C3"/>
    <w:rsid w:val="00CF2B6F"/>
    <w:rsid w:val="00CF2F3E"/>
    <w:rsid w:val="00CF58B6"/>
    <w:rsid w:val="00CF5DAD"/>
    <w:rsid w:val="00D0062D"/>
    <w:rsid w:val="00D017ED"/>
    <w:rsid w:val="00D040D3"/>
    <w:rsid w:val="00D04C65"/>
    <w:rsid w:val="00D05FE3"/>
    <w:rsid w:val="00D07095"/>
    <w:rsid w:val="00D153D8"/>
    <w:rsid w:val="00D201D2"/>
    <w:rsid w:val="00D212F3"/>
    <w:rsid w:val="00D224FE"/>
    <w:rsid w:val="00D23139"/>
    <w:rsid w:val="00D41217"/>
    <w:rsid w:val="00D425BB"/>
    <w:rsid w:val="00D439BB"/>
    <w:rsid w:val="00D453FA"/>
    <w:rsid w:val="00D541AF"/>
    <w:rsid w:val="00D56348"/>
    <w:rsid w:val="00D6493E"/>
    <w:rsid w:val="00D7195D"/>
    <w:rsid w:val="00D72CBA"/>
    <w:rsid w:val="00D7301E"/>
    <w:rsid w:val="00D83AE1"/>
    <w:rsid w:val="00D854AC"/>
    <w:rsid w:val="00D855D4"/>
    <w:rsid w:val="00D902C9"/>
    <w:rsid w:val="00D93466"/>
    <w:rsid w:val="00DA1124"/>
    <w:rsid w:val="00DA64CB"/>
    <w:rsid w:val="00DB06B8"/>
    <w:rsid w:val="00DB57F6"/>
    <w:rsid w:val="00DB6124"/>
    <w:rsid w:val="00DB750B"/>
    <w:rsid w:val="00DB75B7"/>
    <w:rsid w:val="00DC0A2F"/>
    <w:rsid w:val="00DC1948"/>
    <w:rsid w:val="00DC1CAC"/>
    <w:rsid w:val="00DC6E02"/>
    <w:rsid w:val="00DD28CD"/>
    <w:rsid w:val="00DE02AE"/>
    <w:rsid w:val="00DE39D1"/>
    <w:rsid w:val="00DE670B"/>
    <w:rsid w:val="00DF1D7F"/>
    <w:rsid w:val="00DF4BE4"/>
    <w:rsid w:val="00DF7C6F"/>
    <w:rsid w:val="00E02382"/>
    <w:rsid w:val="00E02FB4"/>
    <w:rsid w:val="00E13FC7"/>
    <w:rsid w:val="00E20571"/>
    <w:rsid w:val="00E2096C"/>
    <w:rsid w:val="00E235F7"/>
    <w:rsid w:val="00E23659"/>
    <w:rsid w:val="00E239D4"/>
    <w:rsid w:val="00E26130"/>
    <w:rsid w:val="00E31C97"/>
    <w:rsid w:val="00E33D42"/>
    <w:rsid w:val="00E40B22"/>
    <w:rsid w:val="00E44ED1"/>
    <w:rsid w:val="00E45619"/>
    <w:rsid w:val="00E4588F"/>
    <w:rsid w:val="00E46DA3"/>
    <w:rsid w:val="00E51BB1"/>
    <w:rsid w:val="00E55CB0"/>
    <w:rsid w:val="00E624A5"/>
    <w:rsid w:val="00E64BA4"/>
    <w:rsid w:val="00E7344E"/>
    <w:rsid w:val="00E77DBA"/>
    <w:rsid w:val="00E82665"/>
    <w:rsid w:val="00E9097C"/>
    <w:rsid w:val="00EA11DB"/>
    <w:rsid w:val="00EB0798"/>
    <w:rsid w:val="00EB36D6"/>
    <w:rsid w:val="00EB40AD"/>
    <w:rsid w:val="00EB586E"/>
    <w:rsid w:val="00EB5FC8"/>
    <w:rsid w:val="00EC463D"/>
    <w:rsid w:val="00EC7A85"/>
    <w:rsid w:val="00ED2922"/>
    <w:rsid w:val="00ED36EE"/>
    <w:rsid w:val="00ED3CAD"/>
    <w:rsid w:val="00ED5A41"/>
    <w:rsid w:val="00EE1DE8"/>
    <w:rsid w:val="00EE27C2"/>
    <w:rsid w:val="00EF4BAD"/>
    <w:rsid w:val="00EF59DC"/>
    <w:rsid w:val="00F033EC"/>
    <w:rsid w:val="00F04F68"/>
    <w:rsid w:val="00F12670"/>
    <w:rsid w:val="00F14B27"/>
    <w:rsid w:val="00F170B8"/>
    <w:rsid w:val="00F3148D"/>
    <w:rsid w:val="00F325C5"/>
    <w:rsid w:val="00F32FE0"/>
    <w:rsid w:val="00F35298"/>
    <w:rsid w:val="00F3658C"/>
    <w:rsid w:val="00F47333"/>
    <w:rsid w:val="00F47E37"/>
    <w:rsid w:val="00F53C07"/>
    <w:rsid w:val="00F54B65"/>
    <w:rsid w:val="00F63DBF"/>
    <w:rsid w:val="00F640B6"/>
    <w:rsid w:val="00F66DF2"/>
    <w:rsid w:val="00F80E40"/>
    <w:rsid w:val="00F848D9"/>
    <w:rsid w:val="00F931CE"/>
    <w:rsid w:val="00F95CC1"/>
    <w:rsid w:val="00FA4BBA"/>
    <w:rsid w:val="00FA5069"/>
    <w:rsid w:val="00FA5B82"/>
    <w:rsid w:val="00FA639E"/>
    <w:rsid w:val="00FC1D4D"/>
    <w:rsid w:val="00FC1FCA"/>
    <w:rsid w:val="00FC25E4"/>
    <w:rsid w:val="00FC4EF7"/>
    <w:rsid w:val="00FC6EB1"/>
    <w:rsid w:val="00FD0824"/>
    <w:rsid w:val="00FD119B"/>
    <w:rsid w:val="00FD1EDC"/>
    <w:rsid w:val="00FD396A"/>
    <w:rsid w:val="00FE1DEE"/>
    <w:rsid w:val="00FF2126"/>
    <w:rsid w:val="00FF5755"/>
    <w:rsid w:val="00FF69BE"/>
    <w:rsid w:val="00FF7873"/>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A8FA9"/>
  <w15:docId w15:val="{637951CF-3698-4264-A32C-876AEB5D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37B4"/>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3C27B7"/>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9633">
      <w:bodyDiv w:val="1"/>
      <w:marLeft w:val="0"/>
      <w:marRight w:val="0"/>
      <w:marTop w:val="0"/>
      <w:marBottom w:val="0"/>
      <w:divBdr>
        <w:top w:val="none" w:sz="0" w:space="0" w:color="auto"/>
        <w:left w:val="none" w:sz="0" w:space="0" w:color="auto"/>
        <w:bottom w:val="none" w:sz="0" w:space="0" w:color="auto"/>
        <w:right w:val="none" w:sz="0" w:space="0" w:color="auto"/>
      </w:divBdr>
      <w:divsChild>
        <w:div w:id="158236298">
          <w:marLeft w:val="0"/>
          <w:marRight w:val="0"/>
          <w:marTop w:val="0"/>
          <w:marBottom w:val="0"/>
          <w:divBdr>
            <w:top w:val="none" w:sz="0" w:space="0" w:color="auto"/>
            <w:left w:val="none" w:sz="0" w:space="0" w:color="auto"/>
            <w:bottom w:val="none" w:sz="0" w:space="0" w:color="auto"/>
            <w:right w:val="none" w:sz="0" w:space="0" w:color="auto"/>
          </w:divBdr>
        </w:div>
        <w:div w:id="1077555123">
          <w:marLeft w:val="0"/>
          <w:marRight w:val="0"/>
          <w:marTop w:val="0"/>
          <w:marBottom w:val="0"/>
          <w:divBdr>
            <w:top w:val="none" w:sz="0" w:space="0" w:color="auto"/>
            <w:left w:val="none" w:sz="0" w:space="0" w:color="auto"/>
            <w:bottom w:val="none" w:sz="0" w:space="0" w:color="auto"/>
            <w:right w:val="none" w:sz="0" w:space="0" w:color="auto"/>
          </w:divBdr>
          <w:divsChild>
            <w:div w:id="4921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368335314">
      <w:bodyDiv w:val="1"/>
      <w:marLeft w:val="0"/>
      <w:marRight w:val="0"/>
      <w:marTop w:val="0"/>
      <w:marBottom w:val="0"/>
      <w:divBdr>
        <w:top w:val="none" w:sz="0" w:space="0" w:color="auto"/>
        <w:left w:val="none" w:sz="0" w:space="0" w:color="auto"/>
        <w:bottom w:val="none" w:sz="0" w:space="0" w:color="auto"/>
        <w:right w:val="none" w:sz="0" w:space="0" w:color="auto"/>
      </w:divBdr>
    </w:div>
    <w:div w:id="1107698877">
      <w:bodyDiv w:val="1"/>
      <w:marLeft w:val="0"/>
      <w:marRight w:val="0"/>
      <w:marTop w:val="0"/>
      <w:marBottom w:val="0"/>
      <w:divBdr>
        <w:top w:val="none" w:sz="0" w:space="0" w:color="auto"/>
        <w:left w:val="none" w:sz="0" w:space="0" w:color="auto"/>
        <w:bottom w:val="none" w:sz="0" w:space="0" w:color="auto"/>
        <w:right w:val="none" w:sz="0" w:space="0" w:color="auto"/>
      </w:divBdr>
      <w:divsChild>
        <w:div w:id="1324893905">
          <w:marLeft w:val="0"/>
          <w:marRight w:val="0"/>
          <w:marTop w:val="0"/>
          <w:marBottom w:val="0"/>
          <w:divBdr>
            <w:top w:val="none" w:sz="0" w:space="0" w:color="auto"/>
            <w:left w:val="none" w:sz="0" w:space="0" w:color="auto"/>
            <w:bottom w:val="none" w:sz="0" w:space="0" w:color="auto"/>
            <w:right w:val="none" w:sz="0" w:space="0" w:color="auto"/>
          </w:divBdr>
        </w:div>
        <w:div w:id="2104178246">
          <w:marLeft w:val="0"/>
          <w:marRight w:val="0"/>
          <w:marTop w:val="0"/>
          <w:marBottom w:val="0"/>
          <w:divBdr>
            <w:top w:val="none" w:sz="0" w:space="0" w:color="auto"/>
            <w:left w:val="none" w:sz="0" w:space="0" w:color="auto"/>
            <w:bottom w:val="none" w:sz="0" w:space="0" w:color="auto"/>
            <w:right w:val="none" w:sz="0" w:space="0" w:color="auto"/>
          </w:divBdr>
          <w:divsChild>
            <w:div w:id="13506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1505">
      <w:bodyDiv w:val="1"/>
      <w:marLeft w:val="0"/>
      <w:marRight w:val="0"/>
      <w:marTop w:val="0"/>
      <w:marBottom w:val="0"/>
      <w:divBdr>
        <w:top w:val="none" w:sz="0" w:space="0" w:color="auto"/>
        <w:left w:val="none" w:sz="0" w:space="0" w:color="auto"/>
        <w:bottom w:val="none" w:sz="0" w:space="0" w:color="auto"/>
        <w:right w:val="none" w:sz="0" w:space="0" w:color="auto"/>
      </w:divBdr>
    </w:div>
    <w:div w:id="1186561476">
      <w:bodyDiv w:val="1"/>
      <w:marLeft w:val="0"/>
      <w:marRight w:val="0"/>
      <w:marTop w:val="0"/>
      <w:marBottom w:val="0"/>
      <w:divBdr>
        <w:top w:val="none" w:sz="0" w:space="0" w:color="auto"/>
        <w:left w:val="none" w:sz="0" w:space="0" w:color="auto"/>
        <w:bottom w:val="none" w:sz="0" w:space="0" w:color="auto"/>
        <w:right w:val="none" w:sz="0" w:space="0" w:color="auto"/>
      </w:divBdr>
      <w:divsChild>
        <w:div w:id="1358770194">
          <w:marLeft w:val="0"/>
          <w:marRight w:val="0"/>
          <w:marTop w:val="0"/>
          <w:marBottom w:val="0"/>
          <w:divBdr>
            <w:top w:val="none" w:sz="0" w:space="0" w:color="auto"/>
            <w:left w:val="none" w:sz="0" w:space="0" w:color="auto"/>
            <w:bottom w:val="none" w:sz="0" w:space="0" w:color="auto"/>
            <w:right w:val="none" w:sz="0" w:space="0" w:color="auto"/>
          </w:divBdr>
        </w:div>
        <w:div w:id="680669786">
          <w:marLeft w:val="0"/>
          <w:marRight w:val="0"/>
          <w:marTop w:val="0"/>
          <w:marBottom w:val="0"/>
          <w:divBdr>
            <w:top w:val="none" w:sz="0" w:space="0" w:color="auto"/>
            <w:left w:val="none" w:sz="0" w:space="0" w:color="auto"/>
            <w:bottom w:val="none" w:sz="0" w:space="0" w:color="auto"/>
            <w:right w:val="none" w:sz="0" w:space="0" w:color="auto"/>
          </w:divBdr>
          <w:divsChild>
            <w:div w:id="122298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02975">
      <w:bodyDiv w:val="1"/>
      <w:marLeft w:val="0"/>
      <w:marRight w:val="0"/>
      <w:marTop w:val="0"/>
      <w:marBottom w:val="0"/>
      <w:divBdr>
        <w:top w:val="none" w:sz="0" w:space="0" w:color="auto"/>
        <w:left w:val="none" w:sz="0" w:space="0" w:color="auto"/>
        <w:bottom w:val="none" w:sz="0" w:space="0" w:color="auto"/>
        <w:right w:val="none" w:sz="0" w:space="0" w:color="auto"/>
      </w:divBdr>
    </w:div>
    <w:div w:id="1401823981">
      <w:bodyDiv w:val="1"/>
      <w:marLeft w:val="0"/>
      <w:marRight w:val="0"/>
      <w:marTop w:val="0"/>
      <w:marBottom w:val="0"/>
      <w:divBdr>
        <w:top w:val="none" w:sz="0" w:space="0" w:color="auto"/>
        <w:left w:val="none" w:sz="0" w:space="0" w:color="auto"/>
        <w:bottom w:val="none" w:sz="0" w:space="0" w:color="auto"/>
        <w:right w:val="none" w:sz="0" w:space="0" w:color="auto"/>
      </w:divBdr>
      <w:divsChild>
        <w:div w:id="842626302">
          <w:marLeft w:val="0"/>
          <w:marRight w:val="0"/>
          <w:marTop w:val="0"/>
          <w:marBottom w:val="0"/>
          <w:divBdr>
            <w:top w:val="none" w:sz="0" w:space="0" w:color="auto"/>
            <w:left w:val="none" w:sz="0" w:space="0" w:color="auto"/>
            <w:bottom w:val="none" w:sz="0" w:space="0" w:color="auto"/>
            <w:right w:val="none" w:sz="0" w:space="0" w:color="auto"/>
          </w:divBdr>
        </w:div>
        <w:div w:id="244345966">
          <w:marLeft w:val="0"/>
          <w:marRight w:val="0"/>
          <w:marTop w:val="0"/>
          <w:marBottom w:val="0"/>
          <w:divBdr>
            <w:top w:val="none" w:sz="0" w:space="0" w:color="auto"/>
            <w:left w:val="none" w:sz="0" w:space="0" w:color="auto"/>
            <w:bottom w:val="none" w:sz="0" w:space="0" w:color="auto"/>
            <w:right w:val="none" w:sz="0" w:space="0" w:color="auto"/>
          </w:divBdr>
          <w:divsChild>
            <w:div w:id="15532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715">
      <w:bodyDiv w:val="1"/>
      <w:marLeft w:val="0"/>
      <w:marRight w:val="0"/>
      <w:marTop w:val="0"/>
      <w:marBottom w:val="0"/>
      <w:divBdr>
        <w:top w:val="none" w:sz="0" w:space="0" w:color="auto"/>
        <w:left w:val="none" w:sz="0" w:space="0" w:color="auto"/>
        <w:bottom w:val="none" w:sz="0" w:space="0" w:color="auto"/>
        <w:right w:val="none" w:sz="0" w:space="0" w:color="auto"/>
      </w:divBdr>
    </w:div>
    <w:div w:id="1641836294">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1925607329">
      <w:bodyDiv w:val="1"/>
      <w:marLeft w:val="0"/>
      <w:marRight w:val="0"/>
      <w:marTop w:val="0"/>
      <w:marBottom w:val="0"/>
      <w:divBdr>
        <w:top w:val="none" w:sz="0" w:space="0" w:color="auto"/>
        <w:left w:val="none" w:sz="0" w:space="0" w:color="auto"/>
        <w:bottom w:val="none" w:sz="0" w:space="0" w:color="auto"/>
        <w:right w:val="none" w:sz="0" w:space="0" w:color="auto"/>
      </w:divBdr>
      <w:divsChild>
        <w:div w:id="421072813">
          <w:marLeft w:val="0"/>
          <w:marRight w:val="0"/>
          <w:marTop w:val="0"/>
          <w:marBottom w:val="0"/>
          <w:divBdr>
            <w:top w:val="none" w:sz="0" w:space="0" w:color="auto"/>
            <w:left w:val="none" w:sz="0" w:space="0" w:color="auto"/>
            <w:bottom w:val="none" w:sz="0" w:space="0" w:color="auto"/>
            <w:right w:val="none" w:sz="0" w:space="0" w:color="auto"/>
          </w:divBdr>
        </w:div>
        <w:div w:id="970405558">
          <w:marLeft w:val="0"/>
          <w:marRight w:val="0"/>
          <w:marTop w:val="0"/>
          <w:marBottom w:val="0"/>
          <w:divBdr>
            <w:top w:val="none" w:sz="0" w:space="0" w:color="auto"/>
            <w:left w:val="none" w:sz="0" w:space="0" w:color="auto"/>
            <w:bottom w:val="none" w:sz="0" w:space="0" w:color="auto"/>
            <w:right w:val="none" w:sz="0" w:space="0" w:color="auto"/>
          </w:divBdr>
          <w:divsChild>
            <w:div w:id="16907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mailto:tga.copyright@tga.gov.au" TargetMode="External"/><Relationship Id="rId18" Type="http://schemas.openxmlformats.org/officeDocument/2006/relationships/hyperlink" Target="https://www.tga.gov.au/resources/resource/international-scientific-guidelines/international-scientific-guideline-guideline-similar-biological-medicinal-products-containing-biotechnology-derived-proteins-active-substance-non-clinical-and-clinical-issues" TargetMode="External"/><Relationship Id="rId26" Type="http://schemas.openxmlformats.org/officeDocument/2006/relationships/hyperlink" Target="https://www.tga.gov.au/resources/resource/guidance/biosimilar-medicines-regulation" TargetMode="External"/><Relationship Id="rId39"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resources/resource/international-scientific-guidelines/international-scientific-guideline-guideline-immunogenicity-assessment-biotechnology-derived-therapeutic-proteins" TargetMode="External"/><Relationship Id="rId34" Type="http://schemas.openxmlformats.org/officeDocument/2006/relationships/hyperlink" Target="https://www.tga.gov.au/picmi-search-facility" TargetMode="External"/><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ga.gov.au/resources/resource/international-scientific-guidelines/international-scientific-guideline-annex-guideline-similar-biological-medicinal-products-containing-biotechnology-derived-proteins-active-substance-non-clinical-and-clinical-issues" TargetMode="External"/><Relationship Id="rId25" Type="http://schemas.openxmlformats.org/officeDocument/2006/relationships/hyperlink" Target="https://www.tga.gov.au/resources/resource/international-scientific-guidelines/international-scientific-guideline-appendix-4-guideline-evaluation-anticancer-medicinal-products-man-condition-specific-guidance" TargetMode="External"/><Relationship Id="rId33" Type="http://schemas.openxmlformats.org/officeDocument/2006/relationships/hyperlink" Target="https://www.tga.gov.au/committee/advisory-committee-medicines-acm" TargetMode="External"/><Relationship Id="rId38" Type="http://schemas.openxmlformats.org/officeDocument/2006/relationships/footer" Target="footer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resources/resource/international-scientific-guidelines/international-scientific-guidelines-guideline-similar-biological-medicinal-products" TargetMode="External"/><Relationship Id="rId20" Type="http://schemas.openxmlformats.org/officeDocument/2006/relationships/hyperlink" Target="https://www.tga.gov.au/resources/resource/international-scientific-guidelines/international-scientific-guideline-guideline-investigation-bioequivalence-1" TargetMode="External"/><Relationship Id="rId29" Type="http://schemas.openxmlformats.org/officeDocument/2006/relationships/image" Target="media/image2.png"/><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ga.gov.au/resources/resource/international-scientific-guidelines/international-scientific-guideline-guideline-evaluation-anticancer-medicinal-products-man" TargetMode="External"/><Relationship Id="rId32" Type="http://schemas.openxmlformats.org/officeDocument/2006/relationships/hyperlink" Target="https://www.tga.gov.au/resources/resource/guidance/tgas-risk-management-approach" TargetMode="External"/><Relationship Id="rId37" Type="http://schemas.openxmlformats.org/officeDocument/2006/relationships/header" Target="header5.xml"/><Relationship Id="rId40" Type="http://schemas.openxmlformats.org/officeDocument/2006/relationships/hyperlink" Target="https://www.tga.gov.au"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tga.gov.au/picmi-search-facility" TargetMode="External"/><Relationship Id="rId23" Type="http://schemas.openxmlformats.org/officeDocument/2006/relationships/hyperlink" Target="https://www.tga.gov.au/resources/resource/international-scientific-guidelines/international-scientific-guideline-guideline-immunogenicity-assessment-biotechnology-derived-therapeutic-proteins" TargetMode="External"/><Relationship Id="rId28" Type="http://schemas.openxmlformats.org/officeDocument/2006/relationships/hyperlink" Target="https://www.fda.gov/media/128793/download"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www.tga.gov.au/resources/resource/international-scientific-guidelines/international-scientific-guideline-guideline-clinical-investigation-pharmacokinetics-therapeutic-proteins" TargetMode="External"/><Relationship Id="rId31" Type="http://schemas.openxmlformats.org/officeDocument/2006/relationships/hyperlink" Target="https://www.tga.gov.au/resources/resource/guidance/risk-management-plans-medicines-and-biologicals"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hyperlink" Target="https://www.tga.gov.au/resources/resource/international-scientific-guidelines/international-scientific-guideline-guideline-similar-biological-medicinal-products-containing-monoclonal-antibodies-non-clinical-and-clinical-issues" TargetMode="External"/><Relationship Id="rId27" Type="http://schemas.openxmlformats.org/officeDocument/2006/relationships/hyperlink" Target="https://www.tga.gov.au/resources/resource/guidance/biopharmaceutic-studies/156-choice-reference-product-bioequivalence-generic-medicines" TargetMode="External"/><Relationship Id="rId30" Type="http://schemas.openxmlformats.org/officeDocument/2006/relationships/image" Target="media/image3.png"/><Relationship Id="rId35" Type="http://schemas.openxmlformats.org/officeDocument/2006/relationships/header" Target="header3.xm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resources/resource/guidance/biosimilar-medicines-regul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11028\D22-5542303%20%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EEB4-66F6-4CB7-B87B-ED3DFB88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D22-5542303  AusPAR template.DOTX</Template>
  <TotalTime>48</TotalTime>
  <Pages>23</Pages>
  <Words>7040</Words>
  <Characters>41751</Characters>
  <Application>Microsoft Office Word</Application>
  <DocSecurity>0</DocSecurity>
  <Lines>994</Lines>
  <Paragraphs>508</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 Therapeutic Goods Administration</Company>
  <LinksUpToDate>false</LinksUpToDate>
  <CharactersWithSpaces>48283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Trastucip and Tuzucip</dc:title>
  <dc:subject>prescription medicines</dc:subject>
  <dc:creator>Therapeutic Goods Administration</dc:creator>
  <cp:keywords/>
  <cp:lastModifiedBy>LACK, Janet</cp:lastModifiedBy>
  <cp:revision>4</cp:revision>
  <cp:lastPrinted>2019-08-14T04:30:00Z</cp:lastPrinted>
  <dcterms:created xsi:type="dcterms:W3CDTF">2023-04-26T03:33:00Z</dcterms:created>
  <dcterms:modified xsi:type="dcterms:W3CDTF">2023-04-26T04:29:00Z</dcterms:modified>
  <cp:category/>
</cp:coreProperties>
</file>