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7E08C954" w14:textId="77777777" w:rsidTr="002B29B2">
        <w:tc>
          <w:tcPr>
            <w:tcW w:w="8720" w:type="dxa"/>
          </w:tcPr>
          <w:p w14:paraId="02AE914C" w14:textId="0F000973" w:rsidR="00F401EF" w:rsidRPr="00215D48" w:rsidRDefault="00447D24" w:rsidP="002B29B2">
            <w:pPr>
              <w:pStyle w:val="Title"/>
            </w:pPr>
            <w:r>
              <w:t>Guidance on applying the 2021 Advertising Code rules</w:t>
            </w:r>
          </w:p>
        </w:tc>
      </w:tr>
      <w:tr w:rsidR="00447D24" w:rsidRPr="00215D48" w14:paraId="2525CB93" w14:textId="77777777" w:rsidTr="002B29B2">
        <w:trPr>
          <w:trHeight w:val="1916"/>
        </w:trPr>
        <w:tc>
          <w:tcPr>
            <w:tcW w:w="8720" w:type="dxa"/>
          </w:tcPr>
          <w:p w14:paraId="3220889D" w14:textId="35495BD9" w:rsidR="00447D24" w:rsidRPr="00215D48" w:rsidRDefault="00447D24" w:rsidP="00184D33">
            <w:pPr>
              <w:pStyle w:val="Subtitle"/>
              <w:ind w:left="0"/>
            </w:pPr>
            <w:r w:rsidRPr="00EF04E4">
              <w:rPr>
                <w:sz w:val="38"/>
                <w:szCs w:val="22"/>
              </w:rPr>
              <w:t xml:space="preserve">Part </w:t>
            </w:r>
            <w:r>
              <w:rPr>
                <w:sz w:val="38"/>
                <w:szCs w:val="22"/>
              </w:rPr>
              <w:t>8</w:t>
            </w:r>
            <w:r w:rsidRPr="00EF04E4">
              <w:rPr>
                <w:sz w:val="38"/>
                <w:szCs w:val="22"/>
              </w:rPr>
              <w:t xml:space="preserve"> </w:t>
            </w:r>
            <w:r>
              <w:rPr>
                <w:sz w:val="38"/>
                <w:szCs w:val="22"/>
              </w:rPr>
              <w:t>–</w:t>
            </w:r>
            <w:r w:rsidRPr="00EF04E4">
              <w:rPr>
                <w:sz w:val="38"/>
                <w:szCs w:val="22"/>
              </w:rPr>
              <w:t xml:space="preserve"> </w:t>
            </w:r>
            <w:r>
              <w:rPr>
                <w:sz w:val="38"/>
                <w:szCs w:val="22"/>
              </w:rPr>
              <w:t>Restricted representations</w:t>
            </w:r>
          </w:p>
        </w:tc>
      </w:tr>
      <w:tr w:rsidR="00447D24" w:rsidRPr="00215D48" w14:paraId="26D388D1" w14:textId="77777777" w:rsidTr="002B29B2">
        <w:tc>
          <w:tcPr>
            <w:tcW w:w="8720" w:type="dxa"/>
          </w:tcPr>
          <w:p w14:paraId="35FF8664" w14:textId="7C97DA04" w:rsidR="00447D24" w:rsidRPr="00215D48" w:rsidRDefault="00447D24" w:rsidP="00447D24">
            <w:pPr>
              <w:pStyle w:val="Date"/>
            </w:pPr>
            <w:r w:rsidRPr="00215D48">
              <w:t>Version 1.</w:t>
            </w:r>
            <w:r>
              <w:t>1</w:t>
            </w:r>
            <w:r w:rsidRPr="00215D48">
              <w:t xml:space="preserve">, </w:t>
            </w:r>
            <w:r w:rsidR="00F42B9C">
              <w:t>February 2023</w:t>
            </w:r>
          </w:p>
        </w:tc>
      </w:tr>
    </w:tbl>
    <w:p w14:paraId="1C346F47"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229DB6DC" w14:textId="77777777" w:rsidR="005D1689" w:rsidRPr="00E1198B" w:rsidRDefault="005D1689" w:rsidP="00BA0DFC">
      <w:pPr>
        <w:pStyle w:val="LegalSubheading"/>
      </w:pPr>
      <w:r w:rsidRPr="00BA0DFC">
        <w:lastRenderedPageBreak/>
        <w:t>Copyright</w:t>
      </w:r>
    </w:p>
    <w:p w14:paraId="177CD504" w14:textId="0A9F4AD8" w:rsidR="00F274A2" w:rsidRDefault="005D1689" w:rsidP="0029069E">
      <w:pPr>
        <w:pStyle w:val="LegalCopy"/>
        <w:rPr>
          <w:rFonts w:cs="Arial"/>
        </w:rPr>
      </w:pPr>
      <w:r w:rsidRPr="00215D48">
        <w:rPr>
          <w:rFonts w:cs="Arial"/>
        </w:rPr>
        <w:t>© Commonwealth of Australia 20</w:t>
      </w:r>
      <w:r w:rsidR="00030D34">
        <w:rPr>
          <w:rFonts w:cs="Arial"/>
        </w:rPr>
        <w:t>2</w:t>
      </w:r>
      <w:r w:rsidR="00F42B9C">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B04ABAF" w14:textId="77777777" w:rsidR="00F401EF" w:rsidRPr="00215D48" w:rsidRDefault="00F401EF" w:rsidP="00035110">
          <w:pPr>
            <w:pStyle w:val="NonTOCheading2"/>
          </w:pPr>
          <w:r w:rsidRPr="00215D48">
            <w:t>Contents</w:t>
          </w:r>
        </w:p>
        <w:p w14:paraId="0A2E98FE" w14:textId="752BA074" w:rsidR="00F42B9C"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7788331" w:history="1">
            <w:r w:rsidR="00F42B9C" w:rsidRPr="00BE5D0F">
              <w:rPr>
                <w:rStyle w:val="Hyperlink"/>
                <w:noProof/>
              </w:rPr>
              <w:t>Part 8 - Restricted representations</w:t>
            </w:r>
            <w:r w:rsidR="00F42B9C">
              <w:rPr>
                <w:noProof/>
                <w:webHidden/>
              </w:rPr>
              <w:tab/>
            </w:r>
            <w:r w:rsidR="00F42B9C">
              <w:rPr>
                <w:noProof/>
                <w:webHidden/>
              </w:rPr>
              <w:fldChar w:fldCharType="begin"/>
            </w:r>
            <w:r w:rsidR="00F42B9C">
              <w:rPr>
                <w:noProof/>
                <w:webHidden/>
              </w:rPr>
              <w:instrText xml:space="preserve"> PAGEREF _Toc127788331 \h </w:instrText>
            </w:r>
            <w:r w:rsidR="00F42B9C">
              <w:rPr>
                <w:noProof/>
                <w:webHidden/>
              </w:rPr>
            </w:r>
            <w:r w:rsidR="00F42B9C">
              <w:rPr>
                <w:noProof/>
                <w:webHidden/>
              </w:rPr>
              <w:fldChar w:fldCharType="separate"/>
            </w:r>
            <w:r w:rsidR="00F42B9C">
              <w:rPr>
                <w:noProof/>
                <w:webHidden/>
              </w:rPr>
              <w:t>4</w:t>
            </w:r>
            <w:r w:rsidR="00F42B9C">
              <w:rPr>
                <w:noProof/>
                <w:webHidden/>
              </w:rPr>
              <w:fldChar w:fldCharType="end"/>
            </w:r>
          </w:hyperlink>
        </w:p>
        <w:p w14:paraId="38B0075D" w14:textId="2AD27700" w:rsidR="00F42B9C" w:rsidRDefault="008B7C7E">
          <w:pPr>
            <w:pStyle w:val="TOC2"/>
            <w:rPr>
              <w:rFonts w:asciiTheme="minorHAnsi" w:eastAsiaTheme="minorEastAsia" w:hAnsiTheme="minorHAnsi" w:cstheme="minorBidi"/>
              <w:b w:val="0"/>
              <w:noProof/>
              <w:color w:val="auto"/>
              <w:sz w:val="22"/>
              <w:szCs w:val="22"/>
              <w:lang w:eastAsia="en-AU"/>
            </w:rPr>
          </w:pPr>
          <w:hyperlink w:anchor="_Toc127788332" w:history="1">
            <w:r w:rsidR="00F42B9C" w:rsidRPr="00BE5D0F">
              <w:rPr>
                <w:rStyle w:val="Hyperlink"/>
                <w:noProof/>
              </w:rPr>
              <w:t>What are restricted representations?</w:t>
            </w:r>
            <w:r w:rsidR="00F42B9C">
              <w:rPr>
                <w:noProof/>
                <w:webHidden/>
              </w:rPr>
              <w:tab/>
            </w:r>
            <w:r w:rsidR="00F42B9C">
              <w:rPr>
                <w:noProof/>
                <w:webHidden/>
              </w:rPr>
              <w:fldChar w:fldCharType="begin"/>
            </w:r>
            <w:r w:rsidR="00F42B9C">
              <w:rPr>
                <w:noProof/>
                <w:webHidden/>
              </w:rPr>
              <w:instrText xml:space="preserve"> PAGEREF _Toc127788332 \h </w:instrText>
            </w:r>
            <w:r w:rsidR="00F42B9C">
              <w:rPr>
                <w:noProof/>
                <w:webHidden/>
              </w:rPr>
            </w:r>
            <w:r w:rsidR="00F42B9C">
              <w:rPr>
                <w:noProof/>
                <w:webHidden/>
              </w:rPr>
              <w:fldChar w:fldCharType="separate"/>
            </w:r>
            <w:r w:rsidR="00F42B9C">
              <w:rPr>
                <w:noProof/>
                <w:webHidden/>
              </w:rPr>
              <w:t>4</w:t>
            </w:r>
            <w:r w:rsidR="00F42B9C">
              <w:rPr>
                <w:noProof/>
                <w:webHidden/>
              </w:rPr>
              <w:fldChar w:fldCharType="end"/>
            </w:r>
          </w:hyperlink>
        </w:p>
        <w:p w14:paraId="54175260" w14:textId="7D77688B" w:rsidR="00F42B9C" w:rsidRDefault="008B7C7E">
          <w:pPr>
            <w:pStyle w:val="TOC2"/>
            <w:rPr>
              <w:rFonts w:asciiTheme="minorHAnsi" w:eastAsiaTheme="minorEastAsia" w:hAnsiTheme="minorHAnsi" w:cstheme="minorBidi"/>
              <w:b w:val="0"/>
              <w:noProof/>
              <w:color w:val="auto"/>
              <w:sz w:val="22"/>
              <w:szCs w:val="22"/>
              <w:lang w:eastAsia="en-AU"/>
            </w:rPr>
          </w:pPr>
          <w:hyperlink w:anchor="_Toc127788333" w:history="1">
            <w:r w:rsidR="00F42B9C" w:rsidRPr="00BE5D0F">
              <w:rPr>
                <w:rStyle w:val="Hyperlink"/>
                <w:noProof/>
              </w:rPr>
              <w:t>What is not considered a restricted representation?</w:t>
            </w:r>
            <w:r w:rsidR="00F42B9C">
              <w:rPr>
                <w:noProof/>
                <w:webHidden/>
              </w:rPr>
              <w:tab/>
            </w:r>
            <w:r w:rsidR="00F42B9C">
              <w:rPr>
                <w:noProof/>
                <w:webHidden/>
              </w:rPr>
              <w:fldChar w:fldCharType="begin"/>
            </w:r>
            <w:r w:rsidR="00F42B9C">
              <w:rPr>
                <w:noProof/>
                <w:webHidden/>
              </w:rPr>
              <w:instrText xml:space="preserve"> PAGEREF _Toc127788333 \h </w:instrText>
            </w:r>
            <w:r w:rsidR="00F42B9C">
              <w:rPr>
                <w:noProof/>
                <w:webHidden/>
              </w:rPr>
            </w:r>
            <w:r w:rsidR="00F42B9C">
              <w:rPr>
                <w:noProof/>
                <w:webHidden/>
              </w:rPr>
              <w:fldChar w:fldCharType="separate"/>
            </w:r>
            <w:r w:rsidR="00F42B9C">
              <w:rPr>
                <w:noProof/>
                <w:webHidden/>
              </w:rPr>
              <w:t>5</w:t>
            </w:r>
            <w:r w:rsidR="00F42B9C">
              <w:rPr>
                <w:noProof/>
                <w:webHidden/>
              </w:rPr>
              <w:fldChar w:fldCharType="end"/>
            </w:r>
          </w:hyperlink>
        </w:p>
        <w:p w14:paraId="1DC013AE" w14:textId="6D8DE52C" w:rsidR="00F42B9C" w:rsidRDefault="008B7C7E">
          <w:pPr>
            <w:pStyle w:val="TOC2"/>
            <w:rPr>
              <w:rFonts w:asciiTheme="minorHAnsi" w:eastAsiaTheme="minorEastAsia" w:hAnsiTheme="minorHAnsi" w:cstheme="minorBidi"/>
              <w:b w:val="0"/>
              <w:noProof/>
              <w:color w:val="auto"/>
              <w:sz w:val="22"/>
              <w:szCs w:val="22"/>
              <w:lang w:eastAsia="en-AU"/>
            </w:rPr>
          </w:pPr>
          <w:hyperlink w:anchor="_Toc127788334" w:history="1">
            <w:r w:rsidR="00F42B9C" w:rsidRPr="00BE5D0F">
              <w:rPr>
                <w:rStyle w:val="Hyperlink"/>
                <w:noProof/>
              </w:rPr>
              <w:t>Can I use a restricted representation in advertising?</w:t>
            </w:r>
            <w:r w:rsidR="00F42B9C">
              <w:rPr>
                <w:noProof/>
                <w:webHidden/>
              </w:rPr>
              <w:tab/>
            </w:r>
            <w:r w:rsidR="00F42B9C">
              <w:rPr>
                <w:noProof/>
                <w:webHidden/>
              </w:rPr>
              <w:fldChar w:fldCharType="begin"/>
            </w:r>
            <w:r w:rsidR="00F42B9C">
              <w:rPr>
                <w:noProof/>
                <w:webHidden/>
              </w:rPr>
              <w:instrText xml:space="preserve"> PAGEREF _Toc127788334 \h </w:instrText>
            </w:r>
            <w:r w:rsidR="00F42B9C">
              <w:rPr>
                <w:noProof/>
                <w:webHidden/>
              </w:rPr>
            </w:r>
            <w:r w:rsidR="00F42B9C">
              <w:rPr>
                <w:noProof/>
                <w:webHidden/>
              </w:rPr>
              <w:fldChar w:fldCharType="separate"/>
            </w:r>
            <w:r w:rsidR="00F42B9C">
              <w:rPr>
                <w:noProof/>
                <w:webHidden/>
              </w:rPr>
              <w:t>5</w:t>
            </w:r>
            <w:r w:rsidR="00F42B9C">
              <w:rPr>
                <w:noProof/>
                <w:webHidden/>
              </w:rPr>
              <w:fldChar w:fldCharType="end"/>
            </w:r>
          </w:hyperlink>
        </w:p>
        <w:p w14:paraId="6CBFB5C7" w14:textId="371670B3" w:rsidR="00F42B9C" w:rsidRDefault="008B7C7E">
          <w:pPr>
            <w:pStyle w:val="TOC2"/>
            <w:rPr>
              <w:rFonts w:asciiTheme="minorHAnsi" w:eastAsiaTheme="minorEastAsia" w:hAnsiTheme="minorHAnsi" w:cstheme="minorBidi"/>
              <w:b w:val="0"/>
              <w:noProof/>
              <w:color w:val="auto"/>
              <w:sz w:val="22"/>
              <w:szCs w:val="22"/>
              <w:lang w:eastAsia="en-AU"/>
            </w:rPr>
          </w:pPr>
          <w:hyperlink w:anchor="_Toc127788335" w:history="1">
            <w:r w:rsidR="00F42B9C" w:rsidRPr="00BE5D0F">
              <w:rPr>
                <w:rStyle w:val="Hyperlink"/>
                <w:noProof/>
              </w:rPr>
              <w:t>How do I apply to use a restricted representation?</w:t>
            </w:r>
            <w:r w:rsidR="00F42B9C">
              <w:rPr>
                <w:noProof/>
                <w:webHidden/>
              </w:rPr>
              <w:tab/>
            </w:r>
            <w:r w:rsidR="00F42B9C">
              <w:rPr>
                <w:noProof/>
                <w:webHidden/>
              </w:rPr>
              <w:fldChar w:fldCharType="begin"/>
            </w:r>
            <w:r w:rsidR="00F42B9C">
              <w:rPr>
                <w:noProof/>
                <w:webHidden/>
              </w:rPr>
              <w:instrText xml:space="preserve"> PAGEREF _Toc127788335 \h </w:instrText>
            </w:r>
            <w:r w:rsidR="00F42B9C">
              <w:rPr>
                <w:noProof/>
                <w:webHidden/>
              </w:rPr>
            </w:r>
            <w:r w:rsidR="00F42B9C">
              <w:rPr>
                <w:noProof/>
                <w:webHidden/>
              </w:rPr>
              <w:fldChar w:fldCharType="separate"/>
            </w:r>
            <w:r w:rsidR="00F42B9C">
              <w:rPr>
                <w:noProof/>
                <w:webHidden/>
              </w:rPr>
              <w:t>6</w:t>
            </w:r>
            <w:r w:rsidR="00F42B9C">
              <w:rPr>
                <w:noProof/>
                <w:webHidden/>
              </w:rPr>
              <w:fldChar w:fldCharType="end"/>
            </w:r>
          </w:hyperlink>
        </w:p>
        <w:p w14:paraId="11AD7CA5" w14:textId="1A152813" w:rsidR="00F42B9C" w:rsidRDefault="008B7C7E">
          <w:pPr>
            <w:pStyle w:val="TOC2"/>
            <w:rPr>
              <w:rFonts w:asciiTheme="minorHAnsi" w:eastAsiaTheme="minorEastAsia" w:hAnsiTheme="minorHAnsi" w:cstheme="minorBidi"/>
              <w:b w:val="0"/>
              <w:noProof/>
              <w:color w:val="auto"/>
              <w:sz w:val="22"/>
              <w:szCs w:val="22"/>
              <w:lang w:eastAsia="en-AU"/>
            </w:rPr>
          </w:pPr>
          <w:hyperlink w:anchor="_Toc127788336" w:history="1">
            <w:r w:rsidR="00F42B9C" w:rsidRPr="00BE5D0F">
              <w:rPr>
                <w:rStyle w:val="Hyperlink"/>
                <w:noProof/>
              </w:rPr>
              <w:t>What are the public interest criteria associated with a restricted representation application?</w:t>
            </w:r>
            <w:r w:rsidR="00F42B9C">
              <w:rPr>
                <w:noProof/>
                <w:webHidden/>
              </w:rPr>
              <w:tab/>
            </w:r>
            <w:r w:rsidR="00F42B9C">
              <w:rPr>
                <w:noProof/>
                <w:webHidden/>
              </w:rPr>
              <w:fldChar w:fldCharType="begin"/>
            </w:r>
            <w:r w:rsidR="00F42B9C">
              <w:rPr>
                <w:noProof/>
                <w:webHidden/>
              </w:rPr>
              <w:instrText xml:space="preserve"> PAGEREF _Toc127788336 \h </w:instrText>
            </w:r>
            <w:r w:rsidR="00F42B9C">
              <w:rPr>
                <w:noProof/>
                <w:webHidden/>
              </w:rPr>
            </w:r>
            <w:r w:rsidR="00F42B9C">
              <w:rPr>
                <w:noProof/>
                <w:webHidden/>
              </w:rPr>
              <w:fldChar w:fldCharType="separate"/>
            </w:r>
            <w:r w:rsidR="00F42B9C">
              <w:rPr>
                <w:noProof/>
                <w:webHidden/>
              </w:rPr>
              <w:t>6</w:t>
            </w:r>
            <w:r w:rsidR="00F42B9C">
              <w:rPr>
                <w:noProof/>
                <w:webHidden/>
              </w:rPr>
              <w:fldChar w:fldCharType="end"/>
            </w:r>
          </w:hyperlink>
        </w:p>
        <w:p w14:paraId="47938867" w14:textId="28D8374F" w:rsidR="00F42B9C" w:rsidRDefault="008B7C7E">
          <w:pPr>
            <w:pStyle w:val="TOC2"/>
            <w:rPr>
              <w:rFonts w:asciiTheme="minorHAnsi" w:eastAsiaTheme="minorEastAsia" w:hAnsiTheme="minorHAnsi" w:cstheme="minorBidi"/>
              <w:b w:val="0"/>
              <w:noProof/>
              <w:color w:val="auto"/>
              <w:sz w:val="22"/>
              <w:szCs w:val="22"/>
              <w:lang w:eastAsia="en-AU"/>
            </w:rPr>
          </w:pPr>
          <w:hyperlink w:anchor="_Toc127788337" w:history="1">
            <w:r w:rsidR="00F42B9C" w:rsidRPr="00BE5D0F">
              <w:rPr>
                <w:rStyle w:val="Hyperlink"/>
                <w:noProof/>
              </w:rPr>
              <w:t>Will a restricted representation approval or permission be limited to</w:t>
            </w:r>
            <w:r w:rsidR="00D06D8C">
              <w:rPr>
                <w:rStyle w:val="Hyperlink"/>
                <w:noProof/>
              </w:rPr>
              <w:t xml:space="preserve">       </w:t>
            </w:r>
            <w:r w:rsidR="00F42B9C" w:rsidRPr="00BE5D0F">
              <w:rPr>
                <w:rStyle w:val="Hyperlink"/>
                <w:noProof/>
              </w:rPr>
              <w:t xml:space="preserve"> a particular product?</w:t>
            </w:r>
            <w:r w:rsidR="00F42B9C">
              <w:rPr>
                <w:noProof/>
                <w:webHidden/>
              </w:rPr>
              <w:tab/>
            </w:r>
            <w:r w:rsidR="00F42B9C">
              <w:rPr>
                <w:noProof/>
                <w:webHidden/>
              </w:rPr>
              <w:fldChar w:fldCharType="begin"/>
            </w:r>
            <w:r w:rsidR="00F42B9C">
              <w:rPr>
                <w:noProof/>
                <w:webHidden/>
              </w:rPr>
              <w:instrText xml:space="preserve"> PAGEREF _Toc127788337 \h </w:instrText>
            </w:r>
            <w:r w:rsidR="00F42B9C">
              <w:rPr>
                <w:noProof/>
                <w:webHidden/>
              </w:rPr>
            </w:r>
            <w:r w:rsidR="00F42B9C">
              <w:rPr>
                <w:noProof/>
                <w:webHidden/>
              </w:rPr>
              <w:fldChar w:fldCharType="separate"/>
            </w:r>
            <w:r w:rsidR="00F42B9C">
              <w:rPr>
                <w:noProof/>
                <w:webHidden/>
              </w:rPr>
              <w:t>7</w:t>
            </w:r>
            <w:r w:rsidR="00F42B9C">
              <w:rPr>
                <w:noProof/>
                <w:webHidden/>
              </w:rPr>
              <w:fldChar w:fldCharType="end"/>
            </w:r>
          </w:hyperlink>
        </w:p>
        <w:p w14:paraId="01E4B5AF" w14:textId="5E6C8BFB" w:rsidR="00F42B9C" w:rsidRDefault="008B7C7E">
          <w:pPr>
            <w:pStyle w:val="TOC2"/>
            <w:rPr>
              <w:rFonts w:asciiTheme="minorHAnsi" w:eastAsiaTheme="minorEastAsia" w:hAnsiTheme="minorHAnsi" w:cstheme="minorBidi"/>
              <w:b w:val="0"/>
              <w:noProof/>
              <w:color w:val="auto"/>
              <w:sz w:val="22"/>
              <w:szCs w:val="22"/>
              <w:lang w:eastAsia="en-AU"/>
            </w:rPr>
          </w:pPr>
          <w:hyperlink w:anchor="_Toc127788338" w:history="1">
            <w:r w:rsidR="00F42B9C" w:rsidRPr="00BE5D0F">
              <w:rPr>
                <w:rStyle w:val="Hyperlink"/>
                <w:noProof/>
              </w:rPr>
              <w:t>What are prohibited representations?</w:t>
            </w:r>
            <w:r w:rsidR="00F42B9C">
              <w:rPr>
                <w:noProof/>
                <w:webHidden/>
              </w:rPr>
              <w:tab/>
            </w:r>
            <w:r w:rsidR="00F42B9C">
              <w:rPr>
                <w:noProof/>
                <w:webHidden/>
              </w:rPr>
              <w:fldChar w:fldCharType="begin"/>
            </w:r>
            <w:r w:rsidR="00F42B9C">
              <w:rPr>
                <w:noProof/>
                <w:webHidden/>
              </w:rPr>
              <w:instrText xml:space="preserve"> PAGEREF _Toc127788338 \h </w:instrText>
            </w:r>
            <w:r w:rsidR="00F42B9C">
              <w:rPr>
                <w:noProof/>
                <w:webHidden/>
              </w:rPr>
            </w:r>
            <w:r w:rsidR="00F42B9C">
              <w:rPr>
                <w:noProof/>
                <w:webHidden/>
              </w:rPr>
              <w:fldChar w:fldCharType="separate"/>
            </w:r>
            <w:r w:rsidR="00F42B9C">
              <w:rPr>
                <w:noProof/>
                <w:webHidden/>
              </w:rPr>
              <w:t>8</w:t>
            </w:r>
            <w:r w:rsidR="00F42B9C">
              <w:rPr>
                <w:noProof/>
                <w:webHidden/>
              </w:rPr>
              <w:fldChar w:fldCharType="end"/>
            </w:r>
          </w:hyperlink>
        </w:p>
        <w:p w14:paraId="3E1A9B05" w14:textId="102EFF0D" w:rsidR="00F42B9C" w:rsidRDefault="008B7C7E">
          <w:pPr>
            <w:pStyle w:val="TOC2"/>
            <w:rPr>
              <w:rFonts w:asciiTheme="minorHAnsi" w:eastAsiaTheme="minorEastAsia" w:hAnsiTheme="minorHAnsi" w:cstheme="minorBidi"/>
              <w:b w:val="0"/>
              <w:noProof/>
              <w:color w:val="auto"/>
              <w:sz w:val="22"/>
              <w:szCs w:val="22"/>
              <w:lang w:eastAsia="en-AU"/>
            </w:rPr>
          </w:pPr>
          <w:hyperlink w:anchor="_Toc127788339" w:history="1">
            <w:r w:rsidR="00F42B9C" w:rsidRPr="00BE5D0F">
              <w:rPr>
                <w:rStyle w:val="Hyperlink"/>
                <w:noProof/>
              </w:rPr>
              <w:t>When can a prohibited representation be used?</w:t>
            </w:r>
            <w:r w:rsidR="00F42B9C">
              <w:rPr>
                <w:noProof/>
                <w:webHidden/>
              </w:rPr>
              <w:tab/>
            </w:r>
            <w:r w:rsidR="00F42B9C">
              <w:rPr>
                <w:noProof/>
                <w:webHidden/>
              </w:rPr>
              <w:fldChar w:fldCharType="begin"/>
            </w:r>
            <w:r w:rsidR="00F42B9C">
              <w:rPr>
                <w:noProof/>
                <w:webHidden/>
              </w:rPr>
              <w:instrText xml:space="preserve"> PAGEREF _Toc127788339 \h </w:instrText>
            </w:r>
            <w:r w:rsidR="00F42B9C">
              <w:rPr>
                <w:noProof/>
                <w:webHidden/>
              </w:rPr>
            </w:r>
            <w:r w:rsidR="00F42B9C">
              <w:rPr>
                <w:noProof/>
                <w:webHidden/>
              </w:rPr>
              <w:fldChar w:fldCharType="separate"/>
            </w:r>
            <w:r w:rsidR="00F42B9C">
              <w:rPr>
                <w:noProof/>
                <w:webHidden/>
              </w:rPr>
              <w:t>9</w:t>
            </w:r>
            <w:r w:rsidR="00F42B9C">
              <w:rPr>
                <w:noProof/>
                <w:webHidden/>
              </w:rPr>
              <w:fldChar w:fldCharType="end"/>
            </w:r>
          </w:hyperlink>
        </w:p>
        <w:p w14:paraId="4822EFCC" w14:textId="6C315C82" w:rsidR="00F401EF" w:rsidRPr="00215D48" w:rsidRDefault="00F859D2" w:rsidP="00F401EF">
          <w:r w:rsidRPr="00215D48">
            <w:fldChar w:fldCharType="end"/>
          </w:r>
        </w:p>
      </w:sdtContent>
    </w:sdt>
    <w:p w14:paraId="7F564B62" w14:textId="77777777" w:rsidR="00AA3EB9" w:rsidRPr="00215D48" w:rsidRDefault="001525B4" w:rsidP="0055653F">
      <w:r w:rsidRPr="00215D48">
        <w:br w:type="page"/>
      </w:r>
    </w:p>
    <w:p w14:paraId="0B1CEE2F" w14:textId="6B94A2EC" w:rsidR="00447D24" w:rsidRDefault="00447D24" w:rsidP="00447D24">
      <w:pPr>
        <w:pStyle w:val="Heading2"/>
        <w:pageBreakBefore/>
      </w:pPr>
      <w:bookmarkStart w:id="0" w:name="_Toc107224016"/>
      <w:bookmarkStart w:id="1" w:name="_Toc127788331"/>
      <w:r>
        <w:lastRenderedPageBreak/>
        <w:t>Part 8 - Restricted representations</w:t>
      </w:r>
      <w:bookmarkEnd w:id="0"/>
      <w:bookmarkEnd w:id="1"/>
    </w:p>
    <w:p w14:paraId="6FEA40D6" w14:textId="77777777" w:rsidR="00447D24" w:rsidRPr="00AE6258" w:rsidRDefault="00447D24" w:rsidP="00447D24">
      <w:r w:rsidRPr="0056792B">
        <w:t>Read this section together with Section 2</w:t>
      </w:r>
      <w:r>
        <w:t>7</w:t>
      </w:r>
      <w:r w:rsidRPr="0056792B">
        <w:t xml:space="preserve"> of the </w:t>
      </w:r>
      <w:hyperlink r:id="rId13" w:history="1">
        <w:r w:rsidRPr="00770F55">
          <w:rPr>
            <w:rStyle w:val="Hyperlink"/>
            <w:sz w:val="24"/>
            <w:szCs w:val="24"/>
          </w:rPr>
          <w:t>Code</w:t>
        </w:r>
      </w:hyperlink>
      <w:r w:rsidRPr="0056792B">
        <w:t>.</w:t>
      </w:r>
    </w:p>
    <w:p w14:paraId="08C641B0" w14:textId="77777777" w:rsidR="00447D24" w:rsidRDefault="00447D24" w:rsidP="00447D24">
      <w:pPr>
        <w:pStyle w:val="Heading3"/>
      </w:pPr>
      <w:bookmarkStart w:id="2" w:name="_Toc107224017"/>
      <w:bookmarkStart w:id="3" w:name="_Toc127788332"/>
      <w:r>
        <w:t>What are restricted representations?</w:t>
      </w:r>
      <w:bookmarkEnd w:id="2"/>
      <w:bookmarkEnd w:id="3"/>
    </w:p>
    <w:p w14:paraId="38D2BECD" w14:textId="403B1E63" w:rsidR="00447D24" w:rsidRDefault="00447D24" w:rsidP="00447D24">
      <w:r w:rsidRPr="00DA7101">
        <w:t xml:space="preserve">A restricted representation </w:t>
      </w:r>
      <w:r>
        <w:t xml:space="preserve">is a representation (a statement or claim) in an advertisement for a therapeutic good which </w:t>
      </w:r>
      <w:r w:rsidRPr="00DA7101">
        <w:t>refers</w:t>
      </w:r>
      <w:r>
        <w:t xml:space="preserve"> to (</w:t>
      </w:r>
      <w:r w:rsidRPr="00DA7101">
        <w:t>expressly or by implication</w:t>
      </w:r>
      <w:r>
        <w:t>)</w:t>
      </w:r>
      <w:r w:rsidRPr="00DA7101">
        <w:t xml:space="preserve"> to a serious form of a disease, condition, </w:t>
      </w:r>
      <w:proofErr w:type="gramStart"/>
      <w:r w:rsidRPr="00DA7101">
        <w:t>ailment</w:t>
      </w:r>
      <w:proofErr w:type="gramEnd"/>
      <w:r w:rsidRPr="00DA7101">
        <w:t xml:space="preserve"> or defect.</w:t>
      </w:r>
    </w:p>
    <w:p w14:paraId="07EE8B5A" w14:textId="77777777" w:rsidR="00447D24" w:rsidRPr="00DA7101" w:rsidRDefault="00447D24" w:rsidP="00447D24">
      <w:r>
        <w:t xml:space="preserve">A </w:t>
      </w:r>
      <w:r w:rsidRPr="001E70BF">
        <w:rPr>
          <w:b/>
          <w:bCs/>
        </w:rPr>
        <w:t>serious</w:t>
      </w:r>
      <w:r>
        <w:t xml:space="preserve"> </w:t>
      </w:r>
      <w:r w:rsidRPr="00DA7101">
        <w:t>form</w:t>
      </w:r>
      <w:r>
        <w:t xml:space="preserve"> means</w:t>
      </w:r>
      <w:r w:rsidRPr="00DA7101">
        <w:t>:</w:t>
      </w:r>
    </w:p>
    <w:p w14:paraId="6564BD1B" w14:textId="77777777" w:rsidR="00447D24" w:rsidRDefault="00447D24" w:rsidP="00447D24">
      <w:pPr>
        <w:pStyle w:val="ListBullet"/>
        <w:numPr>
          <w:ilvl w:val="0"/>
          <w:numId w:val="22"/>
        </w:numPr>
      </w:pPr>
      <w:r>
        <w:t xml:space="preserve">that the </w:t>
      </w:r>
      <w:r w:rsidRPr="00DA7101">
        <w:t>disease, condition, ailment and/or defect</w:t>
      </w:r>
      <w:r>
        <w:t xml:space="preserve"> is </w:t>
      </w:r>
      <w:r w:rsidRPr="001E70BF">
        <w:t xml:space="preserve">medically accepted </w:t>
      </w:r>
      <w:r>
        <w:t xml:space="preserve">to </w:t>
      </w:r>
      <w:r w:rsidRPr="001E70BF">
        <w:t>require diagnosis or treatment or supervision by a suitably qualified health professional</w:t>
      </w:r>
    </w:p>
    <w:p w14:paraId="64B7A49A" w14:textId="77777777" w:rsidR="00447D24" w:rsidRPr="001E70BF" w:rsidRDefault="00447D24" w:rsidP="00447D24">
      <w:pPr>
        <w:pStyle w:val="ListBullet2"/>
        <w:numPr>
          <w:ilvl w:val="1"/>
          <w:numId w:val="22"/>
        </w:numPr>
        <w:ind w:left="850" w:hanging="425"/>
      </w:pPr>
      <w:r w:rsidRPr="001E70BF">
        <w:t>except where the form has been medically diagnosed and medically accepted as being suitable for self-treatment and management</w:t>
      </w:r>
    </w:p>
    <w:p w14:paraId="74328215" w14:textId="77777777" w:rsidR="00447D24" w:rsidRDefault="00447D24" w:rsidP="00447D24">
      <w:pPr>
        <w:pStyle w:val="ListBullet"/>
        <w:numPr>
          <w:ilvl w:val="0"/>
          <w:numId w:val="22"/>
        </w:numPr>
      </w:pPr>
      <w:r w:rsidRPr="00DA7101">
        <w:t xml:space="preserve">there is a diagnostic (including screening), preventative, monitoring, </w:t>
      </w:r>
      <w:proofErr w:type="gramStart"/>
      <w:r w:rsidRPr="00DA7101">
        <w:t>susceptibility</w:t>
      </w:r>
      <w:proofErr w:type="gramEnd"/>
      <w:r w:rsidRPr="00DA7101">
        <w:t xml:space="preserve"> or pre-disposition test available for the form (including a self-administered test)</w:t>
      </w:r>
    </w:p>
    <w:p w14:paraId="50B54D2C" w14:textId="77777777" w:rsidR="00447D24" w:rsidRPr="00DA7101" w:rsidRDefault="00447D24" w:rsidP="00447D24">
      <w:pPr>
        <w:pStyle w:val="ListBullet2"/>
        <w:numPr>
          <w:ilvl w:val="1"/>
          <w:numId w:val="22"/>
        </w:numPr>
        <w:ind w:left="850" w:hanging="425"/>
      </w:pPr>
      <w:r w:rsidRPr="00DA7101">
        <w:t>which requires medical interpretation or follow-up</w:t>
      </w:r>
      <w:r>
        <w:t>.</w:t>
      </w:r>
    </w:p>
    <w:p w14:paraId="565E8067" w14:textId="3709901C" w:rsidR="00447D24" w:rsidRDefault="00447D24" w:rsidP="00447D24">
      <w:r w:rsidRPr="00336781">
        <w:t>A representation does not have to be a therapeutic claim to be considered a restricted representation. For example, the</w:t>
      </w:r>
      <w:r>
        <w:t>se</w:t>
      </w:r>
      <w:r w:rsidRPr="00336781">
        <w:t xml:space="preserve"> representations are all considered to be restricted representations:</w:t>
      </w:r>
    </w:p>
    <w:p w14:paraId="0270CD15" w14:textId="77777777" w:rsidR="00447D24" w:rsidRDefault="00447D24" w:rsidP="00447D24">
      <w:pPr>
        <w:pStyle w:val="ListBullet2"/>
        <w:numPr>
          <w:ilvl w:val="1"/>
          <w:numId w:val="22"/>
        </w:numPr>
        <w:ind w:left="850" w:hanging="425"/>
      </w:pPr>
      <w:r w:rsidRPr="00336781">
        <w:t xml:space="preserve">'Do not use this product if you have </w:t>
      </w:r>
      <w:r w:rsidRPr="00E64755">
        <w:rPr>
          <w:b/>
          <w:bCs/>
        </w:rPr>
        <w:t>diabetes</w:t>
      </w:r>
      <w:r w:rsidRPr="0049291A">
        <w:t>'</w:t>
      </w:r>
    </w:p>
    <w:p w14:paraId="3C78540E" w14:textId="77777777" w:rsidR="00447D24" w:rsidRDefault="00447D24" w:rsidP="00447D24">
      <w:pPr>
        <w:pStyle w:val="ListBullet2"/>
        <w:numPr>
          <w:ilvl w:val="1"/>
          <w:numId w:val="22"/>
        </w:numPr>
        <w:ind w:left="850" w:hanging="425"/>
      </w:pPr>
      <w:r w:rsidRPr="00336781">
        <w:t xml:space="preserve">'We proudly support </w:t>
      </w:r>
      <w:r w:rsidRPr="00E64755">
        <w:rPr>
          <w:b/>
          <w:bCs/>
        </w:rPr>
        <w:t>Osteoporosis</w:t>
      </w:r>
      <w:r w:rsidRPr="00336781">
        <w:t xml:space="preserve"> Australia' </w:t>
      </w:r>
    </w:p>
    <w:p w14:paraId="7E490571" w14:textId="4756FDA0" w:rsidR="004714D9" w:rsidRPr="00184D33" w:rsidRDefault="00447D24" w:rsidP="00447D24">
      <w:pPr>
        <w:pStyle w:val="ListBullet2"/>
        <w:numPr>
          <w:ilvl w:val="1"/>
          <w:numId w:val="22"/>
        </w:numPr>
        <w:ind w:left="850" w:hanging="425"/>
      </w:pPr>
      <w:r w:rsidRPr="00336781">
        <w:t>'</w:t>
      </w:r>
      <w:r>
        <w:t>M</w:t>
      </w:r>
      <w:r w:rsidRPr="00336781">
        <w:t xml:space="preserve">ay help relieve pain associated with </w:t>
      </w:r>
      <w:r w:rsidRPr="00E64755">
        <w:rPr>
          <w:b/>
          <w:bCs/>
        </w:rPr>
        <w:t>arthritis</w:t>
      </w:r>
      <w:r w:rsidRPr="0049291A">
        <w:t>'</w:t>
      </w:r>
      <w:r w:rsidRPr="00336781">
        <w:t>.</w:t>
      </w:r>
    </w:p>
    <w:p w14:paraId="2136CB3C" w14:textId="0F5D0301" w:rsidR="00447D24" w:rsidRDefault="00447D24" w:rsidP="00447D24">
      <w:r>
        <w:rPr>
          <w:szCs w:val="22"/>
        </w:rPr>
        <w:t>The table below provides f</w:t>
      </w:r>
      <w:r w:rsidRPr="00336781">
        <w:t>urther examples of restricted representations</w:t>
      </w:r>
      <w:r>
        <w:t>.</w:t>
      </w:r>
    </w:p>
    <w:tbl>
      <w:tblPr>
        <w:tblStyle w:val="TableTGAblue"/>
        <w:tblW w:w="0" w:type="auto"/>
        <w:tblLook w:val="04A0" w:firstRow="1" w:lastRow="0" w:firstColumn="1" w:lastColumn="0" w:noHBand="0" w:noVBand="1"/>
      </w:tblPr>
      <w:tblGrid>
        <w:gridCol w:w="4886"/>
        <w:gridCol w:w="4164"/>
      </w:tblGrid>
      <w:tr w:rsidR="00447D24" w14:paraId="09D9999A" w14:textId="77777777" w:rsidTr="004714D9">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697" w:type="dxa"/>
          </w:tcPr>
          <w:p w14:paraId="4E1F8BD8" w14:textId="77777777" w:rsidR="00447D24" w:rsidRPr="00336781" w:rsidRDefault="00447D24" w:rsidP="001D0E4E">
            <w:pPr>
              <w:spacing w:after="160" w:line="259" w:lineRule="auto"/>
              <w:rPr>
                <w:szCs w:val="22"/>
              </w:rPr>
            </w:pPr>
            <w:r>
              <w:t xml:space="preserve">Statement </w:t>
            </w:r>
          </w:p>
        </w:tc>
        <w:tc>
          <w:tcPr>
            <w:tcW w:w="4759" w:type="dxa"/>
          </w:tcPr>
          <w:p w14:paraId="2B44CF83" w14:textId="77777777" w:rsidR="00447D24" w:rsidRPr="00336781" w:rsidRDefault="00447D24" w:rsidP="001D0E4E">
            <w:pPr>
              <w:spacing w:after="160" w:line="259" w:lineRule="auto"/>
              <w:cnfStyle w:val="100000000000" w:firstRow="1" w:lastRow="0" w:firstColumn="0" w:lastColumn="0" w:oddVBand="0" w:evenVBand="0" w:oddHBand="0" w:evenHBand="0" w:firstRowFirstColumn="0" w:firstRowLastColumn="0" w:lastRowFirstColumn="0" w:lastRowLastColumn="0"/>
              <w:rPr>
                <w:szCs w:val="22"/>
              </w:rPr>
            </w:pPr>
            <w:r>
              <w:rPr>
                <w:szCs w:val="22"/>
              </w:rPr>
              <w:t>Guidance</w:t>
            </w:r>
          </w:p>
        </w:tc>
      </w:tr>
      <w:tr w:rsidR="00447D24" w14:paraId="6F7E7B74" w14:textId="77777777" w:rsidTr="001D0E4E">
        <w:tc>
          <w:tcPr>
            <w:cnfStyle w:val="001000000000" w:firstRow="0" w:lastRow="0" w:firstColumn="1" w:lastColumn="0" w:oddVBand="0" w:evenVBand="0" w:oddHBand="0" w:evenHBand="0" w:firstRowFirstColumn="0" w:firstRowLastColumn="0" w:lastRowFirstColumn="0" w:lastRowLastColumn="0"/>
            <w:tcW w:w="5697" w:type="dxa"/>
          </w:tcPr>
          <w:p w14:paraId="7BE66795" w14:textId="77777777" w:rsidR="00447D24" w:rsidRPr="00336781" w:rsidRDefault="00447D24" w:rsidP="001D0E4E">
            <w:pPr>
              <w:spacing w:after="160" w:line="259" w:lineRule="auto"/>
              <w:rPr>
                <w:szCs w:val="22"/>
              </w:rPr>
            </w:pPr>
            <w:r w:rsidRPr="00336781">
              <w:rPr>
                <w:color w:val="auto"/>
              </w:rPr>
              <w:t>Source of iron for the treatment and prevention of medically diagnosed iron deficiency and iron deficiency</w:t>
            </w:r>
            <w:r>
              <w:rPr>
                <w:color w:val="auto"/>
              </w:rPr>
              <w:t xml:space="preserve"> </w:t>
            </w:r>
            <w:r w:rsidRPr="00336781">
              <w:rPr>
                <w:color w:val="auto"/>
              </w:rPr>
              <w:t>anaemias</w:t>
            </w:r>
          </w:p>
        </w:tc>
        <w:tc>
          <w:tcPr>
            <w:tcW w:w="4759" w:type="dxa"/>
          </w:tcPr>
          <w:p w14:paraId="5120B9A3" w14:textId="77777777" w:rsidR="00447D24" w:rsidRPr="00336781" w:rsidRDefault="00447D24" w:rsidP="001D0E4E">
            <w:pPr>
              <w:spacing w:after="160" w:line="259" w:lineRule="auto"/>
              <w:cnfStyle w:val="000000000000" w:firstRow="0" w:lastRow="0" w:firstColumn="0" w:lastColumn="0" w:oddVBand="0" w:evenVBand="0" w:oddHBand="0" w:evenHBand="0" w:firstRowFirstColumn="0" w:firstRowLastColumn="0" w:lastRowFirstColumn="0" w:lastRowLastColumn="0"/>
              <w:rPr>
                <w:szCs w:val="22"/>
              </w:rPr>
            </w:pPr>
            <w:r>
              <w:rPr>
                <w:color w:val="auto"/>
              </w:rPr>
              <w:t>I</w:t>
            </w:r>
            <w:r w:rsidRPr="00336781">
              <w:rPr>
                <w:color w:val="auto"/>
              </w:rPr>
              <w:t>ron deficiency and iron deficiency</w:t>
            </w:r>
            <w:r>
              <w:rPr>
                <w:color w:val="auto"/>
              </w:rPr>
              <w:t xml:space="preserve"> </w:t>
            </w:r>
            <w:r w:rsidRPr="00336781">
              <w:rPr>
                <w:color w:val="auto"/>
              </w:rPr>
              <w:t>anaemias</w:t>
            </w:r>
            <w:r>
              <w:rPr>
                <w:color w:val="auto"/>
              </w:rPr>
              <w:t xml:space="preserve"> a</w:t>
            </w:r>
            <w:r>
              <w:t>re conditions that require diagnosis by a health professional and ongoing medical supervision.</w:t>
            </w:r>
          </w:p>
        </w:tc>
      </w:tr>
      <w:tr w:rsidR="00447D24" w14:paraId="21BDD5FF" w14:textId="77777777" w:rsidTr="001D0E4E">
        <w:tc>
          <w:tcPr>
            <w:cnfStyle w:val="001000000000" w:firstRow="0" w:lastRow="0" w:firstColumn="1" w:lastColumn="0" w:oddVBand="0" w:evenVBand="0" w:oddHBand="0" w:evenHBand="0" w:firstRowFirstColumn="0" w:firstRowLastColumn="0" w:lastRowFirstColumn="0" w:lastRowLastColumn="0"/>
            <w:tcW w:w="5697" w:type="dxa"/>
          </w:tcPr>
          <w:p w14:paraId="6252F7CA" w14:textId="77777777" w:rsidR="00447D24" w:rsidRPr="00336781" w:rsidRDefault="00447D24" w:rsidP="001D0E4E">
            <w:pPr>
              <w:rPr>
                <w:b/>
                <w:bCs/>
                <w:szCs w:val="22"/>
              </w:rPr>
            </w:pPr>
            <w:r w:rsidRPr="00336781">
              <w:t>Suitable for asthma patients</w:t>
            </w:r>
          </w:p>
        </w:tc>
        <w:tc>
          <w:tcPr>
            <w:tcW w:w="4759" w:type="dxa"/>
          </w:tcPr>
          <w:p w14:paraId="23F8FAE5" w14:textId="77777777" w:rsidR="00447D24" w:rsidRPr="00336781" w:rsidRDefault="00447D24" w:rsidP="001D0E4E">
            <w:pPr>
              <w:spacing w:after="160" w:line="259" w:lineRule="auto"/>
              <w:cnfStyle w:val="000000000000" w:firstRow="0" w:lastRow="0" w:firstColumn="0" w:lastColumn="0" w:oddVBand="0" w:evenVBand="0" w:oddHBand="0" w:evenHBand="0" w:firstRowFirstColumn="0" w:firstRowLastColumn="0" w:lastRowFirstColumn="0" w:lastRowLastColumn="0"/>
              <w:rPr>
                <w:szCs w:val="22"/>
              </w:rPr>
            </w:pPr>
            <w:r w:rsidRPr="00336781">
              <w:rPr>
                <w:szCs w:val="22"/>
              </w:rPr>
              <w:t xml:space="preserve">Asthma </w:t>
            </w:r>
            <w:r>
              <w:rPr>
                <w:szCs w:val="22"/>
              </w:rPr>
              <w:t>is not suitable for self-treatment or management. It must be medically diagnosed and requires monitoring.</w:t>
            </w:r>
          </w:p>
        </w:tc>
      </w:tr>
      <w:tr w:rsidR="00447D24" w14:paraId="23DA331E" w14:textId="77777777" w:rsidTr="001D0E4E">
        <w:tc>
          <w:tcPr>
            <w:cnfStyle w:val="001000000000" w:firstRow="0" w:lastRow="0" w:firstColumn="1" w:lastColumn="0" w:oddVBand="0" w:evenVBand="0" w:oddHBand="0" w:evenHBand="0" w:firstRowFirstColumn="0" w:firstRowLastColumn="0" w:lastRowFirstColumn="0" w:lastRowLastColumn="0"/>
            <w:tcW w:w="5697" w:type="dxa"/>
          </w:tcPr>
          <w:p w14:paraId="0AC750F6" w14:textId="77777777" w:rsidR="00447D24" w:rsidRPr="00336781" w:rsidRDefault="00447D24" w:rsidP="001D0E4E">
            <w:r w:rsidRPr="00336781">
              <w:t xml:space="preserve">Please SEEK ADVICE before using this product if you are </w:t>
            </w:r>
            <w:r>
              <w:t>d</w:t>
            </w:r>
            <w:r w:rsidRPr="00336781">
              <w:t>iabetic as your foot condition may require treatment by a healthcare professional</w:t>
            </w:r>
          </w:p>
        </w:tc>
        <w:tc>
          <w:tcPr>
            <w:tcW w:w="4759" w:type="dxa"/>
          </w:tcPr>
          <w:p w14:paraId="1B799F1F" w14:textId="77777777" w:rsidR="00447D24" w:rsidRPr="00336781" w:rsidRDefault="00447D24" w:rsidP="001D0E4E">
            <w:pPr>
              <w:spacing w:after="160" w:line="259"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Diabetes is a serious condition that must be medically diagnosed and requires monitoring and treatment by a qualified health professional. Secondary conditions associated with diabetes can be prevented through careful management of the condition supervised by health professionals. </w:t>
            </w:r>
          </w:p>
        </w:tc>
      </w:tr>
      <w:tr w:rsidR="00447D24" w14:paraId="2CE42D8E" w14:textId="77777777" w:rsidTr="001D0E4E">
        <w:tc>
          <w:tcPr>
            <w:cnfStyle w:val="001000000000" w:firstRow="0" w:lastRow="0" w:firstColumn="1" w:lastColumn="0" w:oddVBand="0" w:evenVBand="0" w:oddHBand="0" w:evenHBand="0" w:firstRowFirstColumn="0" w:firstRowLastColumn="0" w:lastRowFirstColumn="0" w:lastRowLastColumn="0"/>
            <w:tcW w:w="5697" w:type="dxa"/>
          </w:tcPr>
          <w:p w14:paraId="04E7CAFC" w14:textId="77777777" w:rsidR="00447D24" w:rsidRPr="00336781" w:rsidRDefault="00447D24" w:rsidP="001D0E4E">
            <w:pPr>
              <w:rPr>
                <w:i/>
                <w:iCs/>
              </w:rPr>
            </w:pPr>
            <w:r w:rsidRPr="00336781">
              <w:lastRenderedPageBreak/>
              <w:t>This medicine can be used for the temporary relief of pain associated with arthritis, osteoarthritis</w:t>
            </w:r>
            <w:r>
              <w:t xml:space="preserve"> and</w:t>
            </w:r>
            <w:r w:rsidRPr="00336781">
              <w:t xml:space="preserve"> fibrositis</w:t>
            </w:r>
            <w:r>
              <w:t xml:space="preserve"> </w:t>
            </w:r>
            <w:r w:rsidRPr="00336781">
              <w:t>pain</w:t>
            </w:r>
          </w:p>
        </w:tc>
        <w:tc>
          <w:tcPr>
            <w:tcW w:w="4759" w:type="dxa"/>
          </w:tcPr>
          <w:p w14:paraId="4B62EB28" w14:textId="77777777" w:rsidR="00447D24" w:rsidRPr="00E8504C" w:rsidRDefault="00447D24" w:rsidP="001D0E4E">
            <w:pPr>
              <w:spacing w:after="160" w:line="259" w:lineRule="auto"/>
              <w:cnfStyle w:val="000000000000" w:firstRow="0" w:lastRow="0" w:firstColumn="0" w:lastColumn="0" w:oddVBand="0" w:evenVBand="0" w:oddHBand="0" w:evenHBand="0" w:firstRowFirstColumn="0" w:firstRowLastColumn="0" w:lastRowFirstColumn="0" w:lastRowLastColumn="0"/>
            </w:pPr>
            <w:r>
              <w:t>A</w:t>
            </w:r>
            <w:r w:rsidRPr="00336781">
              <w:t>rthritis, osteoarthritis</w:t>
            </w:r>
            <w:r>
              <w:t xml:space="preserve"> and</w:t>
            </w:r>
            <w:r w:rsidRPr="00336781">
              <w:t xml:space="preserve"> fibrositis</w:t>
            </w:r>
            <w:r>
              <w:t xml:space="preserve"> are conditions that require diagnosis, monitoring and treatment by a health professional.</w:t>
            </w:r>
          </w:p>
        </w:tc>
      </w:tr>
      <w:tr w:rsidR="00447D24" w14:paraId="69247DE4" w14:textId="77777777" w:rsidTr="001D0E4E">
        <w:tc>
          <w:tcPr>
            <w:cnfStyle w:val="001000000000" w:firstRow="0" w:lastRow="0" w:firstColumn="1" w:lastColumn="0" w:oddVBand="0" w:evenVBand="0" w:oddHBand="0" w:evenHBand="0" w:firstRowFirstColumn="0" w:firstRowLastColumn="0" w:lastRowFirstColumn="0" w:lastRowLastColumn="0"/>
            <w:tcW w:w="5697" w:type="dxa"/>
          </w:tcPr>
          <w:p w14:paraId="48B47A20" w14:textId="77777777" w:rsidR="00447D24" w:rsidRPr="00336781" w:rsidRDefault="00447D24" w:rsidP="001D0E4E">
            <w:pPr>
              <w:rPr>
                <w:lang w:eastAsia="en-AU"/>
              </w:rPr>
            </w:pPr>
            <w:r>
              <w:rPr>
                <w:lang w:eastAsia="en-AU"/>
              </w:rPr>
              <w:t>T</w:t>
            </w:r>
            <w:r w:rsidRPr="00336781">
              <w:rPr>
                <w:lang w:eastAsia="en-AU"/>
              </w:rPr>
              <w:t>o provide effective relief of ear pain associated with Otitis Media</w:t>
            </w:r>
          </w:p>
        </w:tc>
        <w:tc>
          <w:tcPr>
            <w:tcW w:w="4759" w:type="dxa"/>
          </w:tcPr>
          <w:p w14:paraId="4EBDF9C9" w14:textId="77777777" w:rsidR="00447D24" w:rsidRPr="00336781" w:rsidRDefault="00447D24" w:rsidP="001D0E4E">
            <w:pPr>
              <w:spacing w:after="160" w:line="259"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Otitis Media (middle ear infection) is a condition that requires to be diagnosed, </w:t>
            </w:r>
            <w:proofErr w:type="gramStart"/>
            <w:r>
              <w:rPr>
                <w:szCs w:val="22"/>
              </w:rPr>
              <w:t>treated</w:t>
            </w:r>
            <w:proofErr w:type="gramEnd"/>
            <w:r>
              <w:rPr>
                <w:szCs w:val="22"/>
              </w:rPr>
              <w:t xml:space="preserve"> and monitored by a health professional.  </w:t>
            </w:r>
          </w:p>
        </w:tc>
      </w:tr>
      <w:tr w:rsidR="00447D24" w14:paraId="77D64C49" w14:textId="77777777" w:rsidTr="001D0E4E">
        <w:tc>
          <w:tcPr>
            <w:cnfStyle w:val="001000000000" w:firstRow="0" w:lastRow="0" w:firstColumn="1" w:lastColumn="0" w:oddVBand="0" w:evenVBand="0" w:oddHBand="0" w:evenHBand="0" w:firstRowFirstColumn="0" w:firstRowLastColumn="0" w:lastRowFirstColumn="0" w:lastRowLastColumn="0"/>
            <w:tcW w:w="5697" w:type="dxa"/>
          </w:tcPr>
          <w:p w14:paraId="37FE86EB" w14:textId="77777777" w:rsidR="00447D24" w:rsidRPr="00336781" w:rsidRDefault="00447D24" w:rsidP="001D0E4E">
            <w:r>
              <w:t>M</w:t>
            </w:r>
            <w:r w:rsidRPr="00336781">
              <w:t>ay help reduce the risk of transmission of sexually transmissible disease (STD)</w:t>
            </w:r>
          </w:p>
        </w:tc>
        <w:tc>
          <w:tcPr>
            <w:tcW w:w="4759" w:type="dxa"/>
          </w:tcPr>
          <w:p w14:paraId="3A8ABF36" w14:textId="70D4EC8B" w:rsidR="00447D24" w:rsidRPr="005510F8" w:rsidRDefault="00447D24" w:rsidP="001D0E4E">
            <w:pPr>
              <w:spacing w:after="160" w:line="259" w:lineRule="auto"/>
              <w:cnfStyle w:val="000000000000" w:firstRow="0" w:lastRow="0" w:firstColumn="0" w:lastColumn="0" w:oddVBand="0" w:evenVBand="0" w:oddHBand="0" w:evenHBand="0" w:firstRowFirstColumn="0" w:firstRowLastColumn="0" w:lastRowFirstColumn="0" w:lastRowLastColumn="0"/>
              <w:rPr>
                <w:szCs w:val="22"/>
              </w:rPr>
            </w:pPr>
            <w:r w:rsidRPr="005510F8">
              <w:rPr>
                <w:szCs w:val="22"/>
              </w:rPr>
              <w:t>STD’s</w:t>
            </w:r>
            <w:r>
              <w:rPr>
                <w:szCs w:val="22"/>
              </w:rPr>
              <w:t xml:space="preserve"> require monitoring and treatment by a qualified health professional. </w:t>
            </w:r>
            <w:proofErr w:type="gramStart"/>
            <w:r>
              <w:rPr>
                <w:szCs w:val="22"/>
              </w:rPr>
              <w:t>STD’s</w:t>
            </w:r>
            <w:proofErr w:type="gramEnd"/>
            <w:r>
              <w:rPr>
                <w:szCs w:val="22"/>
              </w:rPr>
              <w:t xml:space="preserve"> are also classified as a </w:t>
            </w:r>
            <w:hyperlink w:anchor="_What_are_prohibited" w:history="1">
              <w:r w:rsidRPr="001F24B7">
                <w:rPr>
                  <w:rStyle w:val="Hyperlink"/>
                  <w:szCs w:val="22"/>
                </w:rPr>
                <w:t>prohibited representation</w:t>
              </w:r>
            </w:hyperlink>
            <w:r>
              <w:rPr>
                <w:szCs w:val="22"/>
              </w:rPr>
              <w:t xml:space="preserve"> which must not be referred to in advertising without approval.</w:t>
            </w:r>
          </w:p>
        </w:tc>
      </w:tr>
      <w:tr w:rsidR="00447D24" w14:paraId="504C03BB" w14:textId="77777777" w:rsidTr="001D0E4E">
        <w:tc>
          <w:tcPr>
            <w:cnfStyle w:val="001000000000" w:firstRow="0" w:lastRow="0" w:firstColumn="1" w:lastColumn="0" w:oddVBand="0" w:evenVBand="0" w:oddHBand="0" w:evenHBand="0" w:firstRowFirstColumn="0" w:firstRowLastColumn="0" w:lastRowFirstColumn="0" w:lastRowLastColumn="0"/>
            <w:tcW w:w="5697" w:type="dxa"/>
          </w:tcPr>
          <w:p w14:paraId="73398C45" w14:textId="77777777" w:rsidR="00447D24" w:rsidRDefault="00447D24" w:rsidP="001D0E4E">
            <w:r>
              <w:t>Assists with temporary relief of pain associated with mild arthritis</w:t>
            </w:r>
          </w:p>
        </w:tc>
        <w:tc>
          <w:tcPr>
            <w:tcW w:w="4759" w:type="dxa"/>
          </w:tcPr>
          <w:p w14:paraId="01C727BC" w14:textId="77777777" w:rsidR="00447D24" w:rsidRPr="005510F8" w:rsidRDefault="00447D24" w:rsidP="001D0E4E">
            <w:pPr>
              <w:spacing w:after="160" w:line="259" w:lineRule="auto"/>
              <w:cnfStyle w:val="000000000000" w:firstRow="0" w:lastRow="0" w:firstColumn="0" w:lastColumn="0" w:oddVBand="0" w:evenVBand="0" w:oddHBand="0" w:evenHBand="0" w:firstRowFirstColumn="0" w:firstRowLastColumn="0" w:lastRowFirstColumn="0" w:lastRowLastColumn="0"/>
              <w:rPr>
                <w:szCs w:val="22"/>
              </w:rPr>
            </w:pPr>
            <w:r>
              <w:rPr>
                <w:szCs w:val="22"/>
              </w:rPr>
              <w:t>The use of the qualifier ‘mild’ may be interpreted as being a less serious form of arthritis and therefore not a restricted representation.</w:t>
            </w:r>
          </w:p>
        </w:tc>
      </w:tr>
    </w:tbl>
    <w:p w14:paraId="0F37EBC4" w14:textId="77777777" w:rsidR="00447D24" w:rsidRPr="00336781" w:rsidRDefault="00447D24" w:rsidP="00447D24">
      <w:pPr>
        <w:pStyle w:val="Heading3"/>
      </w:pPr>
      <w:bookmarkStart w:id="4" w:name="_Toc107224018"/>
      <w:bookmarkStart w:id="5" w:name="_Toc127788333"/>
      <w:r w:rsidRPr="00336781">
        <w:t xml:space="preserve">What is not </w:t>
      </w:r>
      <w:r>
        <w:t xml:space="preserve">considered </w:t>
      </w:r>
      <w:r w:rsidRPr="00336781">
        <w:t>a restricted representation?</w:t>
      </w:r>
      <w:bookmarkEnd w:id="4"/>
      <w:bookmarkEnd w:id="5"/>
    </w:p>
    <w:p w14:paraId="6F5C659D" w14:textId="77777777" w:rsidR="00447D24" w:rsidRPr="00DA7101" w:rsidRDefault="00447D24" w:rsidP="00447D24">
      <w:pPr>
        <w:spacing w:before="0" w:after="160" w:line="259" w:lineRule="auto"/>
        <w:rPr>
          <w:szCs w:val="22"/>
        </w:rPr>
      </w:pPr>
      <w:r>
        <w:rPr>
          <w:szCs w:val="22"/>
        </w:rPr>
        <w:t>T</w:t>
      </w:r>
      <w:r w:rsidRPr="00DA7101">
        <w:rPr>
          <w:szCs w:val="22"/>
        </w:rPr>
        <w:t xml:space="preserve">he following </w:t>
      </w:r>
      <w:r w:rsidRPr="00E140B5">
        <w:rPr>
          <w:szCs w:val="22"/>
        </w:rPr>
        <w:t>are not</w:t>
      </w:r>
      <w:r w:rsidRPr="00DA7101">
        <w:rPr>
          <w:szCs w:val="22"/>
        </w:rPr>
        <w:t xml:space="preserve"> </w:t>
      </w:r>
      <w:r>
        <w:rPr>
          <w:szCs w:val="22"/>
        </w:rPr>
        <w:t>restricted representations</w:t>
      </w:r>
      <w:r w:rsidRPr="00DA7101">
        <w:rPr>
          <w:szCs w:val="22"/>
        </w:rPr>
        <w:t>:</w:t>
      </w:r>
    </w:p>
    <w:p w14:paraId="46B326B4" w14:textId="77777777" w:rsidR="00447D24" w:rsidRDefault="00447D24" w:rsidP="00447D24">
      <w:pPr>
        <w:pStyle w:val="ListBullet"/>
        <w:numPr>
          <w:ilvl w:val="0"/>
          <w:numId w:val="22"/>
        </w:numPr>
        <w:spacing w:after="120"/>
        <w:ind w:left="357"/>
      </w:pPr>
      <w:r w:rsidRPr="00DA7101">
        <w:t xml:space="preserve">pregnancy, other than pregnancy with a medical, obstetric, or surgical complication </w:t>
      </w:r>
    </w:p>
    <w:p w14:paraId="61E0AC2B" w14:textId="213EC34F" w:rsidR="00447D24" w:rsidRPr="005510F8" w:rsidRDefault="00447D24" w:rsidP="00447D24">
      <w:pPr>
        <w:pStyle w:val="ListBullet"/>
        <w:numPr>
          <w:ilvl w:val="0"/>
          <w:numId w:val="22"/>
        </w:numPr>
        <w:spacing w:after="120"/>
        <w:ind w:left="357"/>
      </w:pPr>
      <w:r w:rsidRPr="00DA7101">
        <w:t xml:space="preserve">any of the diseases mentioned in </w:t>
      </w:r>
      <w:r>
        <w:t xml:space="preserve">Schedule 2 of the </w:t>
      </w:r>
      <w:hyperlink r:id="rId14" w:history="1">
        <w:r w:rsidRPr="008F2C32">
          <w:rPr>
            <w:rStyle w:val="Hyperlink"/>
          </w:rPr>
          <w:t>Regulations</w:t>
        </w:r>
      </w:hyperlink>
      <w:r>
        <w:t xml:space="preserve"> as these are </w:t>
      </w:r>
      <w:hyperlink r:id="rId15" w:history="1">
        <w:r w:rsidRPr="007770E0">
          <w:rPr>
            <w:rStyle w:val="Hyperlink"/>
          </w:rPr>
          <w:t>prohibited representations</w:t>
        </w:r>
      </w:hyperlink>
      <w:r>
        <w:t>.</w:t>
      </w:r>
    </w:p>
    <w:p w14:paraId="5D4CBAB5" w14:textId="77777777" w:rsidR="002B30E4" w:rsidRDefault="002B30E4">
      <w:pPr>
        <w:spacing w:before="0" w:after="0" w:line="240" w:lineRule="auto"/>
        <w:rPr>
          <w:rFonts w:eastAsia="Times New Roman"/>
          <w:b/>
          <w:bCs/>
          <w:color w:val="001871"/>
          <w:sz w:val="32"/>
          <w:szCs w:val="32"/>
        </w:rPr>
      </w:pPr>
      <w:bookmarkStart w:id="6" w:name="_Toc107224019"/>
      <w:bookmarkStart w:id="7" w:name="_Toc127788334"/>
      <w:r>
        <w:br w:type="page"/>
      </w:r>
    </w:p>
    <w:p w14:paraId="0339D33A" w14:textId="4D875ECD" w:rsidR="00447D24" w:rsidRDefault="00447D24" w:rsidP="00447D24">
      <w:pPr>
        <w:pStyle w:val="Heading3"/>
      </w:pPr>
      <w:r>
        <w:lastRenderedPageBreak/>
        <w:t>Can I use a restricted representation in advertising?</w:t>
      </w:r>
      <w:bookmarkEnd w:id="6"/>
      <w:bookmarkEnd w:id="7"/>
    </w:p>
    <w:p w14:paraId="5C69173C" w14:textId="77777777" w:rsidR="00447D24" w:rsidRDefault="00447D24" w:rsidP="00447D24">
      <w:pPr>
        <w:rPr>
          <w:lang w:eastAsia="en-AU"/>
        </w:rPr>
      </w:pPr>
      <w:r w:rsidRPr="00D54409">
        <w:rPr>
          <w:lang w:eastAsia="en-AU"/>
        </w:rPr>
        <w:t>Restricted representations can only be used in advertisements for therapeutic goods</w:t>
      </w:r>
      <w:r>
        <w:rPr>
          <w:lang w:eastAsia="en-AU"/>
        </w:rPr>
        <w:t xml:space="preserve"> that are</w:t>
      </w:r>
      <w:r w:rsidRPr="00D54409">
        <w:rPr>
          <w:lang w:eastAsia="en-AU"/>
        </w:rPr>
        <w:t xml:space="preserve"> </w:t>
      </w:r>
      <w:r>
        <w:rPr>
          <w:lang w:eastAsia="en-AU"/>
        </w:rPr>
        <w:t>available</w:t>
      </w:r>
      <w:r w:rsidRPr="00D54409">
        <w:rPr>
          <w:lang w:eastAsia="en-AU"/>
        </w:rPr>
        <w:t xml:space="preserve"> to consumers if TGA has permitted or approved the use of that representation.</w:t>
      </w:r>
    </w:p>
    <w:p w14:paraId="46AD375C" w14:textId="77777777" w:rsidR="00447D24" w:rsidRDefault="00447D24" w:rsidP="00447D24">
      <w:pPr>
        <w:rPr>
          <w:lang w:eastAsia="en-AU"/>
        </w:rPr>
      </w:pPr>
      <w:r w:rsidRPr="009844B7">
        <w:rPr>
          <w:lang w:eastAsia="en-AU"/>
        </w:rPr>
        <w:t xml:space="preserve">Approval to use a restricted representation under section 42DF of the Act can be granted following a </w:t>
      </w:r>
      <w:hyperlink r:id="rId16" w:history="1">
        <w:r w:rsidRPr="003F35EC">
          <w:rPr>
            <w:rStyle w:val="Hyperlink"/>
            <w:lang w:eastAsia="en-AU"/>
          </w:rPr>
          <w:t>successful application</w:t>
        </w:r>
      </w:hyperlink>
      <w:r w:rsidRPr="009844B7">
        <w:rPr>
          <w:lang w:eastAsia="en-AU"/>
        </w:rPr>
        <w:t xml:space="preserve"> from the advertiser. </w:t>
      </w:r>
    </w:p>
    <w:p w14:paraId="4F972D43" w14:textId="7FD77447" w:rsidR="00447D24" w:rsidRPr="00184D33" w:rsidRDefault="00447D24" w:rsidP="00184D33">
      <w:pPr>
        <w:spacing w:after="360"/>
      </w:pPr>
      <w:r>
        <w:rPr>
          <w:color w:val="000000"/>
        </w:rPr>
        <w:t>Prior to commencing an application, advertisers should familiarise themselves with the </w:t>
      </w:r>
      <w:hyperlink r:id="rId17" w:history="1">
        <w:r w:rsidRPr="00FC2637">
          <w:rPr>
            <w:rStyle w:val="Hyperlink"/>
          </w:rPr>
          <w:t>related guidance </w:t>
        </w:r>
      </w:hyperlink>
      <w:r>
        <w:rPr>
          <w:color w:val="000000"/>
        </w:rPr>
        <w:t>and </w:t>
      </w:r>
      <w:hyperlink r:id="rId18" w:history="1">
        <w:r w:rsidRPr="00FC2637">
          <w:rPr>
            <w:rStyle w:val="Hyperlink"/>
          </w:rPr>
          <w:t>checklist</w:t>
        </w:r>
      </w:hyperlink>
      <w:r w:rsidRPr="00FC2637">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47D24" w:rsidRPr="00215D48" w14:paraId="5F3978E9" w14:textId="77777777" w:rsidTr="001D0E4E">
        <w:tc>
          <w:tcPr>
            <w:tcW w:w="1276" w:type="dxa"/>
            <w:vAlign w:val="center"/>
          </w:tcPr>
          <w:p w14:paraId="75B04A10" w14:textId="77777777" w:rsidR="00447D24" w:rsidRPr="00215D48" w:rsidRDefault="00447D24" w:rsidP="001D0E4E">
            <w:pPr>
              <w:spacing w:before="0"/>
              <w:rPr>
                <w:sz w:val="20"/>
              </w:rPr>
            </w:pPr>
            <w:r w:rsidRPr="00215D48">
              <w:rPr>
                <w:noProof/>
                <w:sz w:val="20"/>
                <w:lang w:eastAsia="en-AU"/>
              </w:rPr>
              <w:drawing>
                <wp:inline distT="0" distB="0" distL="0" distR="0" wp14:anchorId="3CE309AF" wp14:editId="6CF74BBF">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7164924" w14:textId="77777777" w:rsidR="00447D24" w:rsidRDefault="00447D24" w:rsidP="001D0E4E">
            <w:r>
              <w:t>A permission or approval to use a restricted representation is not required for warnings or contra-indications that are required by a legislative instrument to be included in an advertisement. These include a statement required by the following:</w:t>
            </w:r>
          </w:p>
          <w:p w14:paraId="7D00B155" w14:textId="7795956E" w:rsidR="00447D24" w:rsidRPr="00447D24" w:rsidRDefault="00447D24" w:rsidP="00447D24">
            <w:pPr>
              <w:pStyle w:val="ListBullet"/>
              <w:numPr>
                <w:ilvl w:val="0"/>
                <w:numId w:val="3"/>
              </w:numPr>
              <w:rPr>
                <w:rFonts w:asciiTheme="majorHAnsi" w:hAnsiTheme="majorHAnsi" w:cstheme="majorHAnsi"/>
                <w:sz w:val="24"/>
                <w:lang w:eastAsia="en-AU"/>
              </w:rPr>
            </w:pPr>
            <w:r w:rsidRPr="00447D24">
              <w:rPr>
                <w:rFonts w:asciiTheme="majorHAnsi" w:hAnsiTheme="majorHAnsi" w:cstheme="majorHAnsi"/>
              </w:rPr>
              <w:t>the </w:t>
            </w:r>
            <w:hyperlink r:id="rId20" w:history="1">
              <w:r w:rsidRPr="00447D24">
                <w:rPr>
                  <w:rStyle w:val="Hyperlink"/>
                  <w:rFonts w:asciiTheme="majorHAnsi" w:hAnsiTheme="majorHAnsi" w:cstheme="majorHAnsi"/>
                  <w:color w:val="006FB0"/>
                </w:rPr>
                <w:t>Required Advisory Statements for Medicine Labels</w:t>
              </w:r>
            </w:hyperlink>
            <w:r w:rsidRPr="00447D24">
              <w:rPr>
                <w:rFonts w:asciiTheme="majorHAnsi" w:hAnsiTheme="majorHAnsi" w:cstheme="majorHAnsi"/>
              </w:rPr>
              <w:t xml:space="preserve"> (the Therapeutic Goods (Medicines Advisory Statements) Specification)</w:t>
            </w:r>
          </w:p>
          <w:p w14:paraId="1EA0001E" w14:textId="1E421E61" w:rsidR="00447D24" w:rsidRPr="00447D24" w:rsidRDefault="00447D24" w:rsidP="00447D24">
            <w:pPr>
              <w:pStyle w:val="ListBullet"/>
              <w:numPr>
                <w:ilvl w:val="0"/>
                <w:numId w:val="3"/>
              </w:numPr>
              <w:rPr>
                <w:rFonts w:asciiTheme="majorHAnsi" w:hAnsiTheme="majorHAnsi" w:cstheme="majorHAnsi"/>
              </w:rPr>
            </w:pPr>
            <w:r w:rsidRPr="00447D24">
              <w:rPr>
                <w:rFonts w:asciiTheme="majorHAnsi" w:hAnsiTheme="majorHAnsi" w:cstheme="majorHAnsi"/>
              </w:rPr>
              <w:t>the </w:t>
            </w:r>
            <w:hyperlink r:id="rId21" w:anchor="pi" w:history="1">
              <w:r w:rsidRPr="00447D24">
                <w:rPr>
                  <w:rStyle w:val="Hyperlink"/>
                  <w:rFonts w:asciiTheme="majorHAnsi" w:hAnsiTheme="majorHAnsi" w:cstheme="majorHAnsi"/>
                  <w:color w:val="006FB0"/>
                </w:rPr>
                <w:t>Permissible Ingredients specification</w:t>
              </w:r>
            </w:hyperlink>
            <w:r w:rsidRPr="00447D24">
              <w:rPr>
                <w:rFonts w:asciiTheme="majorHAnsi" w:hAnsiTheme="majorHAnsi" w:cstheme="majorHAnsi"/>
              </w:rPr>
              <w:t xml:space="preserve"> (the Therapeutic Goods (Permissible Ingredients) Determination)</w:t>
            </w:r>
          </w:p>
          <w:p w14:paraId="7B314AA6" w14:textId="75E4770B" w:rsidR="00447D24" w:rsidRPr="00447D24" w:rsidRDefault="00447D24" w:rsidP="00447D24">
            <w:pPr>
              <w:pStyle w:val="ListBullet"/>
              <w:numPr>
                <w:ilvl w:val="0"/>
                <w:numId w:val="3"/>
              </w:numPr>
              <w:rPr>
                <w:rFonts w:asciiTheme="majorHAnsi" w:hAnsiTheme="majorHAnsi" w:cstheme="majorHAnsi"/>
              </w:rPr>
            </w:pPr>
            <w:r w:rsidRPr="00447D24">
              <w:rPr>
                <w:rFonts w:asciiTheme="majorHAnsi" w:hAnsiTheme="majorHAnsi" w:cstheme="majorHAnsi"/>
              </w:rPr>
              <w:t>the </w:t>
            </w:r>
            <w:hyperlink r:id="rId22" w:anchor="indications" w:history="1">
              <w:r w:rsidRPr="00447D24">
                <w:rPr>
                  <w:rStyle w:val="Hyperlink"/>
                  <w:rFonts w:asciiTheme="majorHAnsi" w:hAnsiTheme="majorHAnsi" w:cstheme="majorHAnsi"/>
                  <w:color w:val="006FB0"/>
                </w:rPr>
                <w:t>Permissible Indications</w:t>
              </w:r>
            </w:hyperlink>
            <w:r w:rsidRPr="00447D24">
              <w:rPr>
                <w:rFonts w:asciiTheme="majorHAnsi" w:hAnsiTheme="majorHAnsi" w:cstheme="majorHAnsi"/>
              </w:rPr>
              <w:t> specification</w:t>
            </w:r>
            <w:r>
              <w:rPr>
                <w:rFonts w:asciiTheme="majorHAnsi" w:hAnsiTheme="majorHAnsi" w:cstheme="majorHAnsi"/>
              </w:rPr>
              <w:t xml:space="preserve"> </w:t>
            </w:r>
            <w:r w:rsidRPr="00447D24">
              <w:rPr>
                <w:rFonts w:asciiTheme="majorHAnsi" w:hAnsiTheme="majorHAnsi" w:cstheme="majorHAnsi"/>
              </w:rPr>
              <w:t>(the Therapeutic Goods (Permissible Indications) Determination)</w:t>
            </w:r>
          </w:p>
          <w:p w14:paraId="2D09B4A6" w14:textId="58B7CD91" w:rsidR="00447D24" w:rsidRPr="00447D24" w:rsidRDefault="00447D24" w:rsidP="00447D24">
            <w:pPr>
              <w:pStyle w:val="ListBullet"/>
              <w:numPr>
                <w:ilvl w:val="0"/>
                <w:numId w:val="3"/>
              </w:numPr>
              <w:rPr>
                <w:rFonts w:asciiTheme="majorHAnsi" w:hAnsiTheme="majorHAnsi" w:cstheme="majorHAnsi"/>
              </w:rPr>
            </w:pPr>
            <w:r w:rsidRPr="00447D24">
              <w:rPr>
                <w:rFonts w:asciiTheme="majorHAnsi" w:hAnsiTheme="majorHAnsi" w:cstheme="majorHAnsi"/>
              </w:rPr>
              <w:t>the </w:t>
            </w:r>
            <w:hyperlink r:id="rId23" w:history="1">
              <w:r w:rsidRPr="00447D24">
                <w:rPr>
                  <w:rStyle w:val="Hyperlink"/>
                  <w:rFonts w:asciiTheme="majorHAnsi" w:hAnsiTheme="majorHAnsi" w:cstheme="majorHAnsi"/>
                  <w:color w:val="006FB0"/>
                </w:rPr>
                <w:t>Poisons Standard</w:t>
              </w:r>
            </w:hyperlink>
          </w:p>
          <w:p w14:paraId="6863FEF9" w14:textId="77777777" w:rsidR="00447D24" w:rsidRPr="00215D48" w:rsidRDefault="00447D24" w:rsidP="00447D24">
            <w:pPr>
              <w:pStyle w:val="ListBullet"/>
              <w:numPr>
                <w:ilvl w:val="0"/>
                <w:numId w:val="3"/>
              </w:numPr>
            </w:pPr>
            <w:r w:rsidRPr="00447D24">
              <w:rPr>
                <w:rFonts w:asciiTheme="majorHAnsi" w:hAnsiTheme="majorHAnsi" w:cstheme="majorHAnsi"/>
              </w:rPr>
              <w:t>a standard that applies to the medicine (for example, </w:t>
            </w:r>
            <w:hyperlink r:id="rId24" w:history="1">
              <w:r w:rsidRPr="00447D24">
                <w:rPr>
                  <w:rStyle w:val="Hyperlink"/>
                  <w:rFonts w:asciiTheme="majorHAnsi" w:hAnsiTheme="majorHAnsi" w:cstheme="majorHAnsi"/>
                  <w:color w:val="006FB0"/>
                </w:rPr>
                <w:t>Therapeutic Goods Order 92</w:t>
              </w:r>
            </w:hyperlink>
            <w:r w:rsidRPr="00447D24">
              <w:rPr>
                <w:rFonts w:asciiTheme="majorHAnsi" w:hAnsiTheme="majorHAnsi" w:cstheme="majorHAnsi"/>
              </w:rPr>
              <w:t>).</w:t>
            </w:r>
          </w:p>
        </w:tc>
      </w:tr>
    </w:tbl>
    <w:p w14:paraId="502B65F9" w14:textId="77777777" w:rsidR="00447D24" w:rsidRDefault="00447D24" w:rsidP="00447D24">
      <w:pPr>
        <w:pStyle w:val="Heading3"/>
      </w:pPr>
      <w:bookmarkStart w:id="8" w:name="_Toc107224020"/>
      <w:bookmarkStart w:id="9" w:name="_Toc127788335"/>
      <w:r>
        <w:t>How do I apply to use a restricted representation?</w:t>
      </w:r>
      <w:bookmarkEnd w:id="8"/>
      <w:bookmarkEnd w:id="9"/>
    </w:p>
    <w:p w14:paraId="2BF3D467" w14:textId="7DDCED02" w:rsidR="00447D24" w:rsidRDefault="00447D24" w:rsidP="00447D24">
      <w:r>
        <w:t>A</w:t>
      </w:r>
      <w:r w:rsidRPr="007770E0">
        <w:t>pplication</w:t>
      </w:r>
      <w:r>
        <w:t>s</w:t>
      </w:r>
      <w:r w:rsidRPr="007770E0">
        <w:t xml:space="preserve"> to use a restricted representation in advertising</w:t>
      </w:r>
      <w:r>
        <w:t xml:space="preserve"> are submitted using an </w:t>
      </w:r>
      <w:hyperlink r:id="rId25" w:history="1">
        <w:r w:rsidRPr="0037485F">
          <w:rPr>
            <w:rStyle w:val="Hyperlink"/>
          </w:rPr>
          <w:t>online application form</w:t>
        </w:r>
      </w:hyperlink>
      <w:r>
        <w:t>.</w:t>
      </w:r>
    </w:p>
    <w:p w14:paraId="4428502E" w14:textId="77777777" w:rsidR="00447D24" w:rsidRDefault="00447D24" w:rsidP="00447D24">
      <w:pPr>
        <w:rPr>
          <w:b/>
          <w:bCs/>
        </w:rPr>
      </w:pPr>
      <w:r>
        <w:t xml:space="preserve">The application form is comprised of two (2) parts. Advertisers should ensure they have the necessary </w:t>
      </w:r>
      <w:hyperlink r:id="rId26" w:history="1">
        <w:r w:rsidRPr="007770E0">
          <w:rPr>
            <w:rStyle w:val="Hyperlink"/>
          </w:rPr>
          <w:t>information and supporting documents</w:t>
        </w:r>
      </w:hyperlink>
      <w:r>
        <w:t xml:space="preserve"> prior to commencing their application. The application form cannot be saved and accessed </w:t>
      </w:r>
      <w:proofErr w:type="gramStart"/>
      <w:r>
        <w:t>at a later time</w:t>
      </w:r>
      <w:proofErr w:type="gramEnd"/>
      <w:r>
        <w:t>.</w:t>
      </w:r>
    </w:p>
    <w:p w14:paraId="5998C99A" w14:textId="77777777" w:rsidR="00447D24" w:rsidRPr="0037485F" w:rsidRDefault="00447D24" w:rsidP="00447D24">
      <w:r>
        <w:t>Each application is assigned a unique identification number. Include the application number for any queries regarding your application. Send these by</w:t>
      </w:r>
      <w:r w:rsidRPr="0037485F">
        <w:t xml:space="preserve"> email </w:t>
      </w:r>
      <w:r>
        <w:t xml:space="preserve">to </w:t>
      </w:r>
      <w:hyperlink r:id="rId27" w:history="1">
        <w:r w:rsidRPr="00E8504C">
          <w:rPr>
            <w:rStyle w:val="Hyperlink"/>
          </w:rPr>
          <w:t>advertising.exemptions</w:t>
        </w:r>
        <w:r w:rsidRPr="00CC68C1">
          <w:rPr>
            <w:rStyle w:val="Hyperlink"/>
          </w:rPr>
          <w:t>@tga.gov.au(link sends e-mail)</w:t>
        </w:r>
      </w:hyperlink>
      <w:r w:rsidRPr="0037485F">
        <w:t>.</w:t>
      </w:r>
    </w:p>
    <w:p w14:paraId="17A19031" w14:textId="77777777" w:rsidR="002B30E4" w:rsidRDefault="002B30E4">
      <w:pPr>
        <w:spacing w:before="0" w:after="0" w:line="240" w:lineRule="auto"/>
        <w:rPr>
          <w:rFonts w:eastAsia="Times New Roman"/>
          <w:b/>
          <w:bCs/>
          <w:color w:val="001871"/>
          <w:sz w:val="32"/>
          <w:szCs w:val="32"/>
        </w:rPr>
      </w:pPr>
      <w:bookmarkStart w:id="10" w:name="_Toc107224021"/>
      <w:bookmarkStart w:id="11" w:name="_Toc127788336"/>
      <w:r>
        <w:br w:type="page"/>
      </w:r>
    </w:p>
    <w:p w14:paraId="557B116E" w14:textId="63A3A298" w:rsidR="00447D24" w:rsidRPr="008F2C32" w:rsidRDefault="00447D24" w:rsidP="00447D24">
      <w:pPr>
        <w:pStyle w:val="Heading3"/>
      </w:pPr>
      <w:r>
        <w:lastRenderedPageBreak/>
        <w:t>What are the public interest criteria associated with a restricted representation application?</w:t>
      </w:r>
      <w:bookmarkEnd w:id="10"/>
      <w:bookmarkEnd w:id="11"/>
    </w:p>
    <w:p w14:paraId="6D5885CB" w14:textId="6776856F" w:rsidR="00447D24" w:rsidRDefault="00447D24" w:rsidP="00447D24">
      <w:r>
        <w:t xml:space="preserve">When deciding whether to approve or refuse the use of a restricted representation in advertising the Secretary takes into consideration the public interest criteria set out in the </w:t>
      </w:r>
      <w:hyperlink r:id="rId28" w:history="1">
        <w:r w:rsidRPr="00AD4641">
          <w:rPr>
            <w:rStyle w:val="Hyperlink"/>
          </w:rPr>
          <w:t>Code</w:t>
        </w:r>
      </w:hyperlink>
      <w:r>
        <w:t>.</w:t>
      </w:r>
    </w:p>
    <w:p w14:paraId="7811BEF8" w14:textId="77777777" w:rsidR="00447D24" w:rsidRDefault="00447D24" w:rsidP="00447D24">
      <w:r>
        <w:t>The public interest criteria asks whether the reference to a serious form of a disease in an advertisement would be likely to:</w:t>
      </w:r>
    </w:p>
    <w:p w14:paraId="5BD8249B" w14:textId="77777777" w:rsidR="00447D24" w:rsidRDefault="00447D24" w:rsidP="00447D24">
      <w:pPr>
        <w:pStyle w:val="ListBullet"/>
        <w:numPr>
          <w:ilvl w:val="0"/>
          <w:numId w:val="22"/>
        </w:numPr>
      </w:pPr>
      <w:r>
        <w:t xml:space="preserve">take advantage of the vulnerability of consumers or </w:t>
      </w:r>
      <w:proofErr w:type="gramStart"/>
      <w:r>
        <w:t>particular groups</w:t>
      </w:r>
      <w:proofErr w:type="gramEnd"/>
      <w:r>
        <w:t xml:space="preserve"> of consumers, when faced with the disease, condition, ailment or defect</w:t>
      </w:r>
    </w:p>
    <w:p w14:paraId="0E013989" w14:textId="77777777" w:rsidR="00447D24" w:rsidRDefault="00447D24" w:rsidP="00447D24">
      <w:pPr>
        <w:pStyle w:val="ListBullet"/>
        <w:numPr>
          <w:ilvl w:val="0"/>
          <w:numId w:val="22"/>
        </w:numPr>
      </w:pPr>
      <w:r>
        <w:t xml:space="preserve">result in consumers not seeking medical advice </w:t>
      </w:r>
    </w:p>
    <w:p w14:paraId="6008ED79" w14:textId="77777777" w:rsidR="00447D24" w:rsidRDefault="00447D24" w:rsidP="00447D24">
      <w:pPr>
        <w:pStyle w:val="ListBullet"/>
        <w:numPr>
          <w:ilvl w:val="0"/>
          <w:numId w:val="22"/>
        </w:numPr>
      </w:pPr>
      <w:r>
        <w:t>have a negative impact on public health.</w:t>
      </w:r>
    </w:p>
    <w:p w14:paraId="518B1758" w14:textId="77777777" w:rsidR="00447D24" w:rsidRDefault="00447D24" w:rsidP="00447D24">
      <w:r>
        <w:t xml:space="preserve">The public interest criteria </w:t>
      </w:r>
      <w:proofErr w:type="gramStart"/>
      <w:r>
        <w:t>provides</w:t>
      </w:r>
      <w:proofErr w:type="gramEnd"/>
      <w:r>
        <w:t xml:space="preserve"> a framework against which the Secretary can assess the suitability of the restricted representation for use in advertising to consumers.</w:t>
      </w:r>
    </w:p>
    <w:p w14:paraId="600B6362" w14:textId="77777777" w:rsidR="00447D24" w:rsidRDefault="00447D24" w:rsidP="00447D24">
      <w:r>
        <w:t>The Secretary can also consider other aspects of the public interest that may be appropriate.</w:t>
      </w:r>
    </w:p>
    <w:p w14:paraId="2FF08D54" w14:textId="77777777" w:rsidR="00447D24" w:rsidRPr="00E263BE" w:rsidRDefault="00447D24" w:rsidP="00447D24">
      <w:r>
        <w:rPr>
          <w:color w:val="000000"/>
        </w:rPr>
        <w:t>Prior to commencing an application, advertisers should familiarise themselves with the </w:t>
      </w:r>
      <w:hyperlink r:id="rId29" w:history="1">
        <w:r w:rsidRPr="00FC2637">
          <w:rPr>
            <w:rStyle w:val="Hyperlink"/>
          </w:rPr>
          <w:t>related guidance </w:t>
        </w:r>
      </w:hyperlink>
      <w:r>
        <w:rPr>
          <w:color w:val="000000"/>
        </w:rPr>
        <w:t>and </w:t>
      </w:r>
      <w:hyperlink r:id="rId30" w:history="1">
        <w:r w:rsidRPr="00FC2637">
          <w:rPr>
            <w:rStyle w:val="Hyperlink"/>
          </w:rPr>
          <w:t>checklist</w:t>
        </w:r>
      </w:hyperlink>
      <w:r w:rsidRPr="00FC2637">
        <w:t>.</w:t>
      </w:r>
    </w:p>
    <w:p w14:paraId="3A6AAA7B" w14:textId="77777777" w:rsidR="00447D24" w:rsidRDefault="00447D24" w:rsidP="00447D24">
      <w:pPr>
        <w:pStyle w:val="Heading3"/>
        <w:rPr>
          <w:lang w:eastAsia="en-AU"/>
        </w:rPr>
      </w:pPr>
      <w:bookmarkStart w:id="12" w:name="_Toc107224022"/>
      <w:bookmarkStart w:id="13" w:name="_Toc127788337"/>
      <w:r>
        <w:t>Will a restricted representation approval or permission be limited to a particular product?</w:t>
      </w:r>
      <w:bookmarkEnd w:id="12"/>
      <w:bookmarkEnd w:id="13"/>
    </w:p>
    <w:p w14:paraId="291AF7CB" w14:textId="77777777" w:rsidR="00447D24" w:rsidRDefault="00447D24" w:rsidP="00447D24">
      <w:pPr>
        <w:rPr>
          <w:lang w:eastAsia="en-AU"/>
        </w:rPr>
      </w:pPr>
      <w:r>
        <w:rPr>
          <w:lang w:eastAsia="en-AU"/>
        </w:rPr>
        <w:t xml:space="preserve">An applicant applies for permission to use a restricted representation in advertising for a specific therapeutic good. The application is made under section 42DE of the Act. </w:t>
      </w:r>
    </w:p>
    <w:p w14:paraId="0AA0E8B0" w14:textId="77777777" w:rsidR="00447D24" w:rsidRDefault="00447D24" w:rsidP="00447D24">
      <w:pPr>
        <w:rPr>
          <w:lang w:eastAsia="en-AU"/>
        </w:rPr>
      </w:pPr>
      <w:r>
        <w:rPr>
          <w:lang w:eastAsia="en-AU"/>
        </w:rPr>
        <w:t xml:space="preserve">The application specifies the product (with ARTG number if applicable) and the type of restricted representation they want to make in advertising. The application includes justification for the use of the representation. Detailed guidance on how to apply for approval is available at </w:t>
      </w:r>
      <w:hyperlink r:id="rId31" w:history="1">
        <w:r>
          <w:rPr>
            <w:rStyle w:val="Hyperlink"/>
          </w:rPr>
          <w:t>Guidance for submitting an application for approval to use a restricted representation</w:t>
        </w:r>
      </w:hyperlink>
      <w:r>
        <w:rPr>
          <w:lang w:eastAsia="en-AU"/>
        </w:rPr>
        <w:t>.</w:t>
      </w:r>
    </w:p>
    <w:p w14:paraId="5A0B556B" w14:textId="09C26033" w:rsidR="00447D24" w:rsidRDefault="00447D24" w:rsidP="00447D24">
      <w:pPr>
        <w:rPr>
          <w:lang w:eastAsia="en-AU"/>
        </w:rPr>
      </w:pPr>
      <w:r>
        <w:rPr>
          <w:lang w:eastAsia="en-AU"/>
        </w:rPr>
        <w:t>The approval given to the applicant is given under section 42DF of the Act. The approval can only be given to the applicant for a specific product/s. The TGA notifies the applicant of the result of their application as required under section 42DG of the Act.</w:t>
      </w:r>
    </w:p>
    <w:p w14:paraId="7FD8CD86" w14:textId="261B8B79" w:rsidR="00447D24" w:rsidRDefault="00447D24" w:rsidP="00447D24">
      <w:pPr>
        <w:rPr>
          <w:lang w:eastAsia="en-AU"/>
        </w:rPr>
      </w:pPr>
      <w:r>
        <w:rPr>
          <w:lang w:eastAsia="en-AU"/>
        </w:rPr>
        <w:t xml:space="preserve">The Secretary can however choose to issue a permission under </w:t>
      </w:r>
      <w:r w:rsidR="00F42B9C" w:rsidRPr="00C42BAB">
        <w:t>section 42DK</w:t>
      </w:r>
      <w:r>
        <w:rPr>
          <w:lang w:eastAsia="en-AU"/>
        </w:rPr>
        <w:t xml:space="preserve"> of the Act that permits the use of the restricted representation by a group of permitted advertisers, not only the applicant, where it is in the public interest for this to occur.</w:t>
      </w:r>
    </w:p>
    <w:p w14:paraId="3B517DD9" w14:textId="77777777" w:rsidR="00447D24" w:rsidRPr="003F35EC" w:rsidRDefault="00447D24" w:rsidP="00447D24">
      <w:pPr>
        <w:rPr>
          <w:lang w:eastAsia="en-AU"/>
        </w:rPr>
      </w:pPr>
      <w:r>
        <w:rPr>
          <w:lang w:eastAsia="en-AU"/>
        </w:rPr>
        <w:t>Examples of section 42DK permissions that have been issued include for the following classes of therapeutic goods</w:t>
      </w:r>
      <w:r w:rsidRPr="003F35EC">
        <w:rPr>
          <w:lang w:eastAsia="en-AU"/>
        </w:rPr>
        <w:t>:</w:t>
      </w:r>
    </w:p>
    <w:p w14:paraId="4055C486" w14:textId="77777777" w:rsidR="00447D24" w:rsidRDefault="00447D24" w:rsidP="00447D24">
      <w:pPr>
        <w:pStyle w:val="ListBullet"/>
        <w:numPr>
          <w:ilvl w:val="0"/>
          <w:numId w:val="22"/>
        </w:numPr>
        <w:rPr>
          <w:lang w:eastAsia="en-AU"/>
        </w:rPr>
      </w:pPr>
      <w:r w:rsidRPr="003F35EC">
        <w:rPr>
          <w:lang w:eastAsia="en-AU"/>
        </w:rPr>
        <w:t>condoms</w:t>
      </w:r>
    </w:p>
    <w:p w14:paraId="35612897" w14:textId="77777777" w:rsidR="00447D24" w:rsidRDefault="00447D24" w:rsidP="00447D24">
      <w:pPr>
        <w:pStyle w:val="ListBullet"/>
        <w:numPr>
          <w:ilvl w:val="0"/>
          <w:numId w:val="22"/>
        </w:numPr>
        <w:rPr>
          <w:lang w:eastAsia="en-AU"/>
        </w:rPr>
      </w:pPr>
      <w:r w:rsidRPr="003F35EC">
        <w:rPr>
          <w:lang w:eastAsia="en-AU"/>
        </w:rPr>
        <w:t>broad spectrum 30+ sunscreens</w:t>
      </w:r>
    </w:p>
    <w:p w14:paraId="6B5EEF83" w14:textId="77777777" w:rsidR="00447D24" w:rsidRPr="003F35EC" w:rsidRDefault="00447D24" w:rsidP="00447D24">
      <w:pPr>
        <w:pStyle w:val="ListBullet"/>
        <w:numPr>
          <w:ilvl w:val="0"/>
          <w:numId w:val="22"/>
        </w:numPr>
        <w:rPr>
          <w:lang w:eastAsia="en-AU"/>
        </w:rPr>
      </w:pPr>
      <w:r w:rsidRPr="003F35EC">
        <w:rPr>
          <w:lang w:eastAsia="en-AU"/>
        </w:rPr>
        <w:t>meters for monitoring blood glucose levels</w:t>
      </w:r>
    </w:p>
    <w:p w14:paraId="34175972" w14:textId="77777777" w:rsidR="00447D24" w:rsidRDefault="00447D24" w:rsidP="00447D24">
      <w:pPr>
        <w:pStyle w:val="ListBullet"/>
        <w:numPr>
          <w:ilvl w:val="0"/>
          <w:numId w:val="22"/>
        </w:numPr>
        <w:rPr>
          <w:lang w:eastAsia="en-AU"/>
        </w:rPr>
      </w:pPr>
      <w:r w:rsidRPr="003F35EC">
        <w:rPr>
          <w:lang w:eastAsia="en-AU"/>
        </w:rPr>
        <w:t>vitamin D</w:t>
      </w:r>
      <w:r>
        <w:rPr>
          <w:lang w:eastAsia="en-AU"/>
        </w:rPr>
        <w:t xml:space="preserve"> supplements </w:t>
      </w:r>
    </w:p>
    <w:p w14:paraId="7ECF30C5" w14:textId="77777777" w:rsidR="00447D24" w:rsidRDefault="00447D24" w:rsidP="00447D24">
      <w:pPr>
        <w:pStyle w:val="ListBullet"/>
        <w:numPr>
          <w:ilvl w:val="0"/>
          <w:numId w:val="22"/>
        </w:numPr>
        <w:rPr>
          <w:lang w:eastAsia="en-AU"/>
        </w:rPr>
      </w:pPr>
      <w:r>
        <w:rPr>
          <w:lang w:eastAsia="en-AU"/>
        </w:rPr>
        <w:t>iron supplements</w:t>
      </w:r>
    </w:p>
    <w:p w14:paraId="6D8EE4E8" w14:textId="77777777" w:rsidR="00447D24" w:rsidRPr="003F35EC" w:rsidRDefault="00447D24" w:rsidP="00447D24">
      <w:pPr>
        <w:pStyle w:val="ListBullet"/>
        <w:numPr>
          <w:ilvl w:val="0"/>
          <w:numId w:val="22"/>
        </w:numPr>
        <w:rPr>
          <w:lang w:eastAsia="en-AU"/>
        </w:rPr>
      </w:pPr>
      <w:r>
        <w:rPr>
          <w:lang w:eastAsia="en-AU"/>
        </w:rPr>
        <w:t>calcium supplements</w:t>
      </w:r>
    </w:p>
    <w:p w14:paraId="1DF0957D" w14:textId="77777777" w:rsidR="00447D24" w:rsidRDefault="00447D24" w:rsidP="00447D24">
      <w:pPr>
        <w:pStyle w:val="ListBullet"/>
        <w:numPr>
          <w:ilvl w:val="0"/>
          <w:numId w:val="22"/>
        </w:numPr>
        <w:rPr>
          <w:lang w:eastAsia="en-AU"/>
        </w:rPr>
      </w:pPr>
      <w:r>
        <w:rPr>
          <w:lang w:eastAsia="en-AU"/>
        </w:rPr>
        <w:lastRenderedPageBreak/>
        <w:t>rapid antigen tests for COVID-19</w:t>
      </w:r>
    </w:p>
    <w:p w14:paraId="31A3A3F8" w14:textId="77777777" w:rsidR="00447D24" w:rsidRDefault="00447D24" w:rsidP="00447D24">
      <w:pPr>
        <w:pStyle w:val="ListBullet"/>
        <w:numPr>
          <w:ilvl w:val="0"/>
          <w:numId w:val="22"/>
        </w:numPr>
        <w:rPr>
          <w:lang w:eastAsia="en-AU"/>
        </w:rPr>
      </w:pPr>
      <w:r>
        <w:rPr>
          <w:lang w:eastAsia="en-AU"/>
        </w:rPr>
        <w:t>low-dose aspirin products.</w:t>
      </w:r>
    </w:p>
    <w:p w14:paraId="7398F350" w14:textId="00F143B2" w:rsidR="00447D24" w:rsidRDefault="00447D24" w:rsidP="00184D33">
      <w:pPr>
        <w:pStyle w:val="ListBullet"/>
        <w:numPr>
          <w:ilvl w:val="0"/>
          <w:numId w:val="0"/>
        </w:numPr>
        <w:spacing w:after="360"/>
      </w:pPr>
      <w:r>
        <w:t xml:space="preserve">The TGA publishes approvals and permissions for both ‘restricted’ and ‘prohibited’ representations on its </w:t>
      </w:r>
      <w:r w:rsidRPr="00254FFD">
        <w:t>websit</w:t>
      </w:r>
      <w:r>
        <w:t xml:space="preserve">e at </w:t>
      </w:r>
      <w:hyperlink r:id="rId32" w:history="1">
        <w:r>
          <w:rPr>
            <w:rStyle w:val="Hyperlink"/>
          </w:rPr>
          <w:t>Notices of approved and permitted restricted representations</w:t>
        </w:r>
      </w:hyperlink>
      <w:r>
        <w:t>.</w:t>
      </w:r>
    </w:p>
    <w:tbl>
      <w:tblPr>
        <w:tblStyle w:val="TableGridLight"/>
        <w:tblW w:w="0" w:type="auto"/>
        <w:tblLook w:val="04A0" w:firstRow="1" w:lastRow="0" w:firstColumn="1" w:lastColumn="0" w:noHBand="0" w:noVBand="1"/>
      </w:tblPr>
      <w:tblGrid>
        <w:gridCol w:w="9060"/>
      </w:tblGrid>
      <w:tr w:rsidR="00447D24" w14:paraId="319D0DF4" w14:textId="77777777" w:rsidTr="001D0E4E">
        <w:tc>
          <w:tcPr>
            <w:tcW w:w="9060" w:type="dxa"/>
          </w:tcPr>
          <w:p w14:paraId="4B8EF7CD" w14:textId="77777777" w:rsidR="00447D24" w:rsidRDefault="00447D24" w:rsidP="001D0E4E">
            <w:pPr>
              <w:spacing w:before="0" w:after="160" w:line="259" w:lineRule="auto"/>
            </w:pPr>
            <w:r w:rsidRPr="002E2CEA">
              <w:rPr>
                <w:b/>
                <w:bCs/>
              </w:rPr>
              <w:t>Example</w:t>
            </w:r>
          </w:p>
          <w:p w14:paraId="46C55973" w14:textId="77777777" w:rsidR="00447D24" w:rsidRDefault="00447D24" w:rsidP="001D0E4E">
            <w:pPr>
              <w:spacing w:before="0" w:after="160" w:line="259" w:lineRule="auto"/>
            </w:pPr>
            <w:r>
              <w:t>Albus applies to use the following statement in his advertising for the (fictional) Beans Tonic Lung Formula.</w:t>
            </w:r>
          </w:p>
          <w:p w14:paraId="1C0572C9" w14:textId="77777777" w:rsidR="00447D24" w:rsidRDefault="00447D24" w:rsidP="001D0E4E">
            <w:pPr>
              <w:spacing w:before="0" w:after="160" w:line="259" w:lineRule="auto"/>
              <w:ind w:left="720"/>
              <w:rPr>
                <w:i/>
                <w:iCs/>
              </w:rPr>
            </w:pPr>
            <w:r>
              <w:rPr>
                <w:i/>
                <w:iCs/>
              </w:rPr>
              <w:t>May assist with symptoms of cystic fibrosis by loosening and clearing lung mucus.</w:t>
            </w:r>
          </w:p>
          <w:p w14:paraId="181152FA" w14:textId="77777777" w:rsidR="00447D24" w:rsidRDefault="00447D24" w:rsidP="001D0E4E">
            <w:pPr>
              <w:spacing w:before="0" w:after="160" w:line="259" w:lineRule="auto"/>
            </w:pPr>
            <w:r>
              <w:t>The ARTG indication for the product includes clearing mucus and supporting the immune system, however</w:t>
            </w:r>
          </w:p>
          <w:p w14:paraId="6BA8FF02" w14:textId="77777777" w:rsidR="00447D24" w:rsidRDefault="00447D24" w:rsidP="001D0E4E">
            <w:pPr>
              <w:pStyle w:val="ListBullet-donotcross"/>
              <w:keepNext/>
            </w:pPr>
            <w:r>
              <w:t>the applicant did not provide any justification that the representation is balanced and not misleading</w:t>
            </w:r>
          </w:p>
          <w:p w14:paraId="4D4BE6CA" w14:textId="77777777" w:rsidR="00447D24" w:rsidRDefault="00447D24" w:rsidP="001D0E4E">
            <w:pPr>
              <w:pStyle w:val="ListBullet-donotcross"/>
              <w:keepNext/>
            </w:pPr>
            <w:r>
              <w:t xml:space="preserve">there is no evidence to support use of the product in any specific disease or condition. </w:t>
            </w:r>
          </w:p>
          <w:p w14:paraId="73E19EFC" w14:textId="77777777" w:rsidR="00447D24" w:rsidRPr="002E2CEA" w:rsidRDefault="00447D24" w:rsidP="001D0E4E">
            <w:r>
              <w:t>The application is refused under section 42</w:t>
            </w:r>
            <w:proofErr w:type="gramStart"/>
            <w:r>
              <w:t>DF(</w:t>
            </w:r>
            <w:proofErr w:type="gramEnd"/>
            <w:r>
              <w:t>2) of the Act. The delegate is not satisfied that the restricted representation is accurate, balanced and not misleading or likely to be misleading.</w:t>
            </w:r>
          </w:p>
        </w:tc>
      </w:tr>
    </w:tbl>
    <w:p w14:paraId="712D0C66" w14:textId="77777777" w:rsidR="00447D24" w:rsidRDefault="00447D24" w:rsidP="00447D24"/>
    <w:tbl>
      <w:tblPr>
        <w:tblStyle w:val="TableGridLight"/>
        <w:tblW w:w="0" w:type="auto"/>
        <w:tblLook w:val="04A0" w:firstRow="1" w:lastRow="0" w:firstColumn="1" w:lastColumn="0" w:noHBand="0" w:noVBand="1"/>
      </w:tblPr>
      <w:tblGrid>
        <w:gridCol w:w="9060"/>
      </w:tblGrid>
      <w:tr w:rsidR="00447D24" w14:paraId="5A5D464A" w14:textId="77777777" w:rsidTr="001D0E4E">
        <w:tc>
          <w:tcPr>
            <w:tcW w:w="10446" w:type="dxa"/>
          </w:tcPr>
          <w:p w14:paraId="68419F30" w14:textId="77777777" w:rsidR="00447D24" w:rsidRDefault="00447D24" w:rsidP="001D0E4E">
            <w:pPr>
              <w:spacing w:before="0" w:after="160" w:line="259" w:lineRule="auto"/>
              <w:rPr>
                <w:b/>
                <w:bCs/>
              </w:rPr>
            </w:pPr>
            <w:r>
              <w:rPr>
                <w:b/>
                <w:bCs/>
              </w:rPr>
              <w:t>Example</w:t>
            </w:r>
          </w:p>
          <w:p w14:paraId="3884D146" w14:textId="77777777" w:rsidR="00447D24" w:rsidRPr="002E2CEA" w:rsidRDefault="00447D24" w:rsidP="001D0E4E">
            <w:pPr>
              <w:spacing w:before="0" w:after="160" w:line="259" w:lineRule="auto"/>
            </w:pPr>
            <w:r>
              <w:t xml:space="preserve">Mohammad applies on behalf of a pharmacy marketing group to advertise an automated external defibrillator. The representation he proposes to use has already been </w:t>
            </w:r>
            <w:hyperlink r:id="rId33" w:history="1">
              <w:r w:rsidRPr="000142B7">
                <w:rPr>
                  <w:rStyle w:val="Hyperlink"/>
                </w:rPr>
                <w:t>permitted</w:t>
              </w:r>
            </w:hyperlink>
            <w:r>
              <w:t xml:space="preserve"> under a section 42DK of the Act. The TGA informs Mohammad of the existing s42DK permission. He withdraws his application.</w:t>
            </w:r>
          </w:p>
        </w:tc>
      </w:tr>
    </w:tbl>
    <w:p w14:paraId="475E793F" w14:textId="77777777" w:rsidR="00447D24" w:rsidRDefault="00447D24" w:rsidP="00447D24">
      <w:pPr>
        <w:pStyle w:val="Heading3"/>
      </w:pPr>
      <w:bookmarkStart w:id="14" w:name="_What_are_prohibited"/>
      <w:bookmarkStart w:id="15" w:name="_Toc107224023"/>
      <w:bookmarkStart w:id="16" w:name="_Toc127788338"/>
      <w:bookmarkEnd w:id="14"/>
      <w:r>
        <w:t>What are prohibited representations?</w:t>
      </w:r>
      <w:bookmarkEnd w:id="15"/>
      <w:bookmarkEnd w:id="16"/>
    </w:p>
    <w:p w14:paraId="0E5E431A" w14:textId="77777777" w:rsidR="00447D24" w:rsidRDefault="00447D24" w:rsidP="00447D24">
      <w:r>
        <w:t>Prohibited representations must not be used in advertising unless permitted by the TGA.</w:t>
      </w:r>
    </w:p>
    <w:p w14:paraId="5140EE6C" w14:textId="77777777" w:rsidR="00447D24" w:rsidRDefault="00447D24" w:rsidP="00447D24">
      <w:pPr>
        <w:spacing w:after="120"/>
      </w:pPr>
      <w:r>
        <w:t>Prohibited representations are those representations that refer to the following:</w:t>
      </w:r>
    </w:p>
    <w:p w14:paraId="430784FE" w14:textId="77777777" w:rsidR="00447D24" w:rsidRDefault="00447D24" w:rsidP="00447D24">
      <w:pPr>
        <w:pStyle w:val="ListBullet"/>
        <w:numPr>
          <w:ilvl w:val="0"/>
          <w:numId w:val="22"/>
        </w:numPr>
      </w:pPr>
      <w:r>
        <w:t>neoplastic diseases (</w:t>
      </w:r>
      <w:proofErr w:type="gramStart"/>
      <w:r>
        <w:t>e.g.</w:t>
      </w:r>
      <w:proofErr w:type="gramEnd"/>
      <w:r>
        <w:t xml:space="preserve"> all types of cancer)</w:t>
      </w:r>
    </w:p>
    <w:p w14:paraId="1285E35C" w14:textId="77777777" w:rsidR="00447D24" w:rsidRDefault="00447D24" w:rsidP="00447D24">
      <w:pPr>
        <w:pStyle w:val="ListBullet"/>
        <w:numPr>
          <w:ilvl w:val="0"/>
          <w:numId w:val="22"/>
        </w:numPr>
      </w:pPr>
      <w:r>
        <w:t>sexually transmitted diseases</w:t>
      </w:r>
    </w:p>
    <w:p w14:paraId="35700728" w14:textId="77777777" w:rsidR="00447D24" w:rsidRDefault="00447D24" w:rsidP="00447D24">
      <w:pPr>
        <w:pStyle w:val="ListBullet"/>
        <w:numPr>
          <w:ilvl w:val="0"/>
          <w:numId w:val="22"/>
        </w:numPr>
      </w:pPr>
      <w:r>
        <w:t>HIV/AIDS</w:t>
      </w:r>
    </w:p>
    <w:p w14:paraId="25CF4EFE" w14:textId="77777777" w:rsidR="00447D24" w:rsidRDefault="00447D24" w:rsidP="00447D24">
      <w:pPr>
        <w:pStyle w:val="ListBullet"/>
        <w:numPr>
          <w:ilvl w:val="0"/>
          <w:numId w:val="22"/>
        </w:numPr>
      </w:pPr>
      <w:r>
        <w:t>Hepatitis C virus</w:t>
      </w:r>
    </w:p>
    <w:p w14:paraId="1D16285D" w14:textId="77777777" w:rsidR="00447D24" w:rsidRDefault="00447D24" w:rsidP="00447D24">
      <w:pPr>
        <w:pStyle w:val="ListBullet"/>
        <w:numPr>
          <w:ilvl w:val="0"/>
          <w:numId w:val="22"/>
        </w:numPr>
      </w:pPr>
      <w:r>
        <w:t>mental illness</w:t>
      </w:r>
    </w:p>
    <w:p w14:paraId="76173333" w14:textId="77777777" w:rsidR="00447D24" w:rsidRDefault="00447D24" w:rsidP="00447D24">
      <w:pPr>
        <w:pStyle w:val="ListBullet"/>
        <w:numPr>
          <w:ilvl w:val="0"/>
          <w:numId w:val="22"/>
        </w:numPr>
      </w:pPr>
      <w:r>
        <w:t>an abortifacient action.</w:t>
      </w:r>
    </w:p>
    <w:p w14:paraId="73142D4D" w14:textId="77777777" w:rsidR="00447D24" w:rsidRDefault="00447D24" w:rsidP="00447D24">
      <w:r>
        <w:t>Other prohibited representations apply to other specific types of therapeutic goods including:</w:t>
      </w:r>
    </w:p>
    <w:p w14:paraId="681AD3E3" w14:textId="77777777" w:rsidR="00447D24" w:rsidRDefault="00447D24" w:rsidP="00447D24">
      <w:pPr>
        <w:pStyle w:val="ListBullet"/>
        <w:numPr>
          <w:ilvl w:val="0"/>
          <w:numId w:val="22"/>
        </w:numPr>
      </w:pPr>
      <w:r>
        <w:t>analgesics</w:t>
      </w:r>
    </w:p>
    <w:p w14:paraId="683FA17A" w14:textId="77777777" w:rsidR="00447D24" w:rsidRDefault="00447D24" w:rsidP="00447D24">
      <w:pPr>
        <w:pStyle w:val="ListBullet"/>
        <w:numPr>
          <w:ilvl w:val="0"/>
          <w:numId w:val="22"/>
        </w:numPr>
      </w:pPr>
      <w:r>
        <w:t xml:space="preserve">disinfectants and antiseptics </w:t>
      </w:r>
    </w:p>
    <w:p w14:paraId="6C22A261" w14:textId="77777777" w:rsidR="00447D24" w:rsidRDefault="00447D24" w:rsidP="00447D24">
      <w:pPr>
        <w:pStyle w:val="ListBullet"/>
        <w:numPr>
          <w:ilvl w:val="0"/>
          <w:numId w:val="22"/>
        </w:numPr>
      </w:pPr>
      <w:r>
        <w:lastRenderedPageBreak/>
        <w:t xml:space="preserve">vitamins and minerals. </w:t>
      </w:r>
    </w:p>
    <w:p w14:paraId="07BC5402" w14:textId="77777777" w:rsidR="00447D24" w:rsidRDefault="00447D24" w:rsidP="00447D24">
      <w:r>
        <w:t>For details about prohibited representations</w:t>
      </w:r>
      <w:r w:rsidRPr="00AD0A4D">
        <w:t xml:space="preserve"> </w:t>
      </w:r>
      <w:r>
        <w:t xml:space="preserve">refer to Schedule 2 of the </w:t>
      </w:r>
      <w:hyperlink r:id="rId34" w:history="1">
        <w:r w:rsidRPr="008F2C32">
          <w:rPr>
            <w:rStyle w:val="Hyperlink"/>
          </w:rPr>
          <w:t>Regulations</w:t>
        </w:r>
      </w:hyperlink>
      <w:r>
        <w:t>. Schedule 2 applies to all</w:t>
      </w:r>
      <w:r w:rsidRPr="00AD0A4D">
        <w:t xml:space="preserve"> advertising</w:t>
      </w:r>
      <w:r>
        <w:t xml:space="preserve"> of therapeutic goods</w:t>
      </w:r>
      <w:r w:rsidRPr="00AD0A4D">
        <w:t>.</w:t>
      </w:r>
    </w:p>
    <w:p w14:paraId="5EEF9270" w14:textId="7A9B4319" w:rsidR="00447D24" w:rsidRDefault="00447D24" w:rsidP="00447D24">
      <w:pPr>
        <w:pStyle w:val="ListBullet"/>
        <w:numPr>
          <w:ilvl w:val="0"/>
          <w:numId w:val="0"/>
        </w:numPr>
      </w:pPr>
      <w:r>
        <w:t xml:space="preserve">The TGA publishes approval and permissions for both ‘restricted’ and ‘prohibited’ representations on its </w:t>
      </w:r>
      <w:hyperlink r:id="rId35" w:history="1">
        <w:r w:rsidRPr="00334474">
          <w:rPr>
            <w:rStyle w:val="Hyperlink"/>
          </w:rPr>
          <w:t>website</w:t>
        </w:r>
      </w:hyperlink>
      <w:r>
        <w:t>.</w:t>
      </w:r>
    </w:p>
    <w:p w14:paraId="27D1B7FE" w14:textId="77777777" w:rsidR="00447D24" w:rsidRDefault="00447D24" w:rsidP="00447D24">
      <w:pPr>
        <w:pStyle w:val="Heading3"/>
      </w:pPr>
      <w:bookmarkStart w:id="17" w:name="_Toc107224024"/>
      <w:bookmarkStart w:id="18" w:name="_Toc127788339"/>
      <w:r w:rsidRPr="004C75D9">
        <w:t>When can</w:t>
      </w:r>
      <w:r w:rsidRPr="00B5068C">
        <w:t xml:space="preserve"> </w:t>
      </w:r>
      <w:r>
        <w:t xml:space="preserve">a </w:t>
      </w:r>
      <w:r w:rsidRPr="00B5068C">
        <w:t>prohibited representation be used?</w:t>
      </w:r>
      <w:bookmarkEnd w:id="17"/>
      <w:bookmarkEnd w:id="18"/>
    </w:p>
    <w:p w14:paraId="338C54EE" w14:textId="77777777" w:rsidR="00447D24" w:rsidRDefault="00447D24" w:rsidP="00447D24">
      <w:r>
        <w:t>In limited circumstances, the TGA may permit the use of prohibited representations if the representation is:</w:t>
      </w:r>
    </w:p>
    <w:p w14:paraId="29A2F725" w14:textId="77777777" w:rsidR="00447D24" w:rsidRDefault="00447D24" w:rsidP="00447D24">
      <w:pPr>
        <w:pStyle w:val="ListBullet"/>
        <w:numPr>
          <w:ilvl w:val="0"/>
          <w:numId w:val="22"/>
        </w:numPr>
      </w:pPr>
      <w:r>
        <w:t>in the interest of public health</w:t>
      </w:r>
    </w:p>
    <w:p w14:paraId="6BF00142" w14:textId="77777777" w:rsidR="00447D24" w:rsidRDefault="00447D24" w:rsidP="00447D24">
      <w:pPr>
        <w:pStyle w:val="ListBullet"/>
        <w:numPr>
          <w:ilvl w:val="0"/>
          <w:numId w:val="0"/>
        </w:numPr>
        <w:ind w:left="360"/>
      </w:pPr>
      <w:r>
        <w:t>OR</w:t>
      </w:r>
    </w:p>
    <w:p w14:paraId="716D315E" w14:textId="77777777" w:rsidR="00447D24" w:rsidRDefault="00447D24" w:rsidP="00447D24">
      <w:pPr>
        <w:pStyle w:val="ListBullet"/>
        <w:numPr>
          <w:ilvl w:val="0"/>
          <w:numId w:val="22"/>
        </w:numPr>
      </w:pPr>
      <w:r>
        <w:t xml:space="preserve">necessary for the appropriate use of the goods </w:t>
      </w:r>
    </w:p>
    <w:p w14:paraId="050BCEAD" w14:textId="77777777" w:rsidR="00447D24" w:rsidRDefault="00447D24" w:rsidP="00447D24">
      <w:pPr>
        <w:pStyle w:val="ListBullet2"/>
        <w:numPr>
          <w:ilvl w:val="1"/>
          <w:numId w:val="22"/>
        </w:numPr>
        <w:ind w:left="850" w:hanging="425"/>
      </w:pPr>
      <w:r>
        <w:t>this applies to packaging, labelling or material included with the goods.</w:t>
      </w:r>
    </w:p>
    <w:p w14:paraId="31046923" w14:textId="316A10AA" w:rsidR="00447D24" w:rsidRDefault="00447D24" w:rsidP="00447D24">
      <w:pPr>
        <w:rPr>
          <w:lang w:eastAsia="en-AU"/>
        </w:rPr>
      </w:pPr>
      <w:r>
        <w:rPr>
          <w:lang w:eastAsia="en-AU"/>
        </w:rPr>
        <w:t xml:space="preserve">Examples of section 42DK permissions that have been </w:t>
      </w:r>
      <w:hyperlink r:id="rId36" w:history="1">
        <w:r w:rsidRPr="00AD4641">
          <w:rPr>
            <w:rStyle w:val="Hyperlink"/>
            <w:lang w:eastAsia="en-AU"/>
          </w:rPr>
          <w:t>issued</w:t>
        </w:r>
      </w:hyperlink>
      <w:r>
        <w:rPr>
          <w:lang w:eastAsia="en-AU"/>
        </w:rPr>
        <w:t xml:space="preserve"> for prohibited representations include</w:t>
      </w:r>
      <w:r w:rsidRPr="003F35EC">
        <w:rPr>
          <w:lang w:eastAsia="en-AU"/>
        </w:rPr>
        <w:t>:</w:t>
      </w:r>
    </w:p>
    <w:p w14:paraId="11423697" w14:textId="77777777" w:rsidR="00447D24" w:rsidRDefault="00447D24" w:rsidP="00447D24">
      <w:pPr>
        <w:pStyle w:val="ListBullet"/>
        <w:numPr>
          <w:ilvl w:val="0"/>
          <w:numId w:val="22"/>
        </w:numPr>
        <w:rPr>
          <w:lang w:eastAsia="en-AU"/>
        </w:rPr>
      </w:pPr>
      <w:r>
        <w:rPr>
          <w:lang w:eastAsia="en-AU"/>
        </w:rPr>
        <w:t>Sunscreens</w:t>
      </w:r>
    </w:p>
    <w:p w14:paraId="3434EE49" w14:textId="77777777" w:rsidR="00447D24" w:rsidRDefault="00447D24" w:rsidP="00447D24">
      <w:pPr>
        <w:pStyle w:val="ListBullet"/>
        <w:numPr>
          <w:ilvl w:val="0"/>
          <w:numId w:val="22"/>
        </w:numPr>
        <w:rPr>
          <w:lang w:eastAsia="en-AU"/>
        </w:rPr>
      </w:pPr>
      <w:r>
        <w:rPr>
          <w:lang w:eastAsia="en-AU"/>
        </w:rPr>
        <w:t>Condoms</w:t>
      </w:r>
    </w:p>
    <w:p w14:paraId="6DA63F88" w14:textId="77777777" w:rsidR="00447D24" w:rsidRPr="003F35EC" w:rsidRDefault="00447D24" w:rsidP="00447D24">
      <w:pPr>
        <w:pStyle w:val="ListBullet"/>
        <w:numPr>
          <w:ilvl w:val="0"/>
          <w:numId w:val="22"/>
        </w:numPr>
        <w:rPr>
          <w:lang w:eastAsia="en-AU"/>
        </w:rPr>
      </w:pPr>
      <w:r>
        <w:rPr>
          <w:lang w:eastAsia="en-AU"/>
        </w:rPr>
        <w:t>HIV self-test kits.</w:t>
      </w:r>
    </w:p>
    <w:p w14:paraId="7E213BCC" w14:textId="77777777" w:rsidR="00447D24" w:rsidRDefault="00447D24">
      <w:pPr>
        <w:spacing w:before="0" w:after="0" w:line="240" w:lineRule="auto"/>
        <w:rPr>
          <w:b/>
          <w:color w:val="001871"/>
          <w:sz w:val="38"/>
        </w:rPr>
      </w:pPr>
      <w:r>
        <w:br w:type="page"/>
      </w:r>
    </w:p>
    <w:p w14:paraId="7A2EBAD3" w14:textId="0845F052"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26D245A8"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DC2331A" w14:textId="77777777" w:rsidR="001A3190" w:rsidRPr="008B7C7E" w:rsidRDefault="001A3190" w:rsidP="00B33C56">
            <w:pPr>
              <w:rPr>
                <w:color w:val="FFFFFF" w:themeColor="background1"/>
              </w:rPr>
            </w:pPr>
            <w:bookmarkStart w:id="19" w:name="ColumnTitle_4"/>
            <w:r w:rsidRPr="008B7C7E">
              <w:rPr>
                <w:color w:val="FFFFFF" w:themeColor="background1"/>
              </w:rPr>
              <w:t>Version</w:t>
            </w:r>
          </w:p>
        </w:tc>
        <w:tc>
          <w:tcPr>
            <w:tcW w:w="3242" w:type="dxa"/>
          </w:tcPr>
          <w:p w14:paraId="4E2F4F6D" w14:textId="77777777" w:rsidR="001A3190" w:rsidRPr="008B7C7E"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B7C7E">
              <w:rPr>
                <w:color w:val="FFFFFF" w:themeColor="background1"/>
              </w:rPr>
              <w:t>Description of change</w:t>
            </w:r>
          </w:p>
        </w:tc>
        <w:tc>
          <w:tcPr>
            <w:tcW w:w="2712" w:type="dxa"/>
          </w:tcPr>
          <w:p w14:paraId="0806E07E" w14:textId="77777777" w:rsidR="001A3190" w:rsidRPr="008B7C7E"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B7C7E">
              <w:rPr>
                <w:color w:val="FFFFFF" w:themeColor="background1"/>
              </w:rPr>
              <w:t>Author</w:t>
            </w:r>
          </w:p>
        </w:tc>
        <w:tc>
          <w:tcPr>
            <w:tcW w:w="1808" w:type="dxa"/>
          </w:tcPr>
          <w:p w14:paraId="0ADEF7BA" w14:textId="77777777" w:rsidR="001A3190" w:rsidRPr="008B7C7E"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B7C7E">
              <w:rPr>
                <w:color w:val="FFFFFF" w:themeColor="background1"/>
              </w:rPr>
              <w:t>Effective date</w:t>
            </w:r>
          </w:p>
        </w:tc>
      </w:tr>
      <w:bookmarkEnd w:id="19"/>
      <w:tr w:rsidR="001A3190" w:rsidRPr="00215D48" w14:paraId="19102A7C"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BC70283" w14:textId="77777777" w:rsidR="001A3190" w:rsidRPr="00215D48" w:rsidRDefault="001A3190" w:rsidP="00B33C56">
            <w:r w:rsidRPr="00215D48">
              <w:t>V1.0</w:t>
            </w:r>
          </w:p>
        </w:tc>
        <w:tc>
          <w:tcPr>
            <w:tcW w:w="3242" w:type="dxa"/>
          </w:tcPr>
          <w:p w14:paraId="4CB85C8A" w14:textId="77777777"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27F45629" w14:textId="77777777" w:rsidR="001A3190" w:rsidRDefault="00447D24" w:rsidP="00B33C56">
            <w:pPr>
              <w:cnfStyle w:val="000000000000" w:firstRow="0" w:lastRow="0" w:firstColumn="0" w:lastColumn="0" w:oddVBand="0" w:evenVBand="0" w:oddHBand="0" w:evenHBand="0" w:firstRowFirstColumn="0" w:firstRowLastColumn="0" w:lastRowFirstColumn="0" w:lastRowLastColumn="0"/>
            </w:pPr>
            <w:r>
              <w:t>Advertising and Compliance Education and Policy Section</w:t>
            </w:r>
          </w:p>
          <w:p w14:paraId="57C30B33" w14:textId="01222A37" w:rsidR="00447D24" w:rsidRPr="00215D48" w:rsidRDefault="00447D24" w:rsidP="00B33C56">
            <w:pPr>
              <w:cnfStyle w:val="000000000000" w:firstRow="0" w:lastRow="0" w:firstColumn="0" w:lastColumn="0" w:oddVBand="0" w:evenVBand="0" w:oddHBand="0" w:evenHBand="0" w:firstRowFirstColumn="0" w:firstRowLastColumn="0" w:lastRowFirstColumn="0" w:lastRowLastColumn="0"/>
            </w:pPr>
            <w:r>
              <w:t>Regulatory Compliance Branch</w:t>
            </w:r>
          </w:p>
        </w:tc>
        <w:tc>
          <w:tcPr>
            <w:tcW w:w="1808" w:type="dxa"/>
          </w:tcPr>
          <w:p w14:paraId="70918109" w14:textId="6A1D7700" w:rsidR="001A3190" w:rsidRPr="00215D48" w:rsidRDefault="00447D24" w:rsidP="00926B0E">
            <w:pPr>
              <w:cnfStyle w:val="000000000000" w:firstRow="0" w:lastRow="0" w:firstColumn="0" w:lastColumn="0" w:oddVBand="0" w:evenVBand="0" w:oddHBand="0" w:evenHBand="0" w:firstRowFirstColumn="0" w:firstRowLastColumn="0" w:lastRowFirstColumn="0" w:lastRowLastColumn="0"/>
            </w:pPr>
            <w:r>
              <w:t>June 2022</w:t>
            </w:r>
          </w:p>
        </w:tc>
      </w:tr>
      <w:tr w:rsidR="00447D24" w:rsidRPr="00215D48" w14:paraId="51D5E603"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64BCC7C" w14:textId="3492F02E" w:rsidR="00447D24" w:rsidRPr="00215D48" w:rsidRDefault="00447D24" w:rsidP="00B33C56">
            <w:r>
              <w:t>V1.1</w:t>
            </w:r>
          </w:p>
        </w:tc>
        <w:tc>
          <w:tcPr>
            <w:tcW w:w="3242" w:type="dxa"/>
          </w:tcPr>
          <w:p w14:paraId="5FB78092" w14:textId="77777777" w:rsidR="00C70E96" w:rsidRDefault="00700D13" w:rsidP="00B33C56">
            <w:pPr>
              <w:cnfStyle w:val="000000000000" w:firstRow="0" w:lastRow="0" w:firstColumn="0" w:lastColumn="0" w:oddVBand="0" w:evenVBand="0" w:oddHBand="0" w:evenHBand="0" w:firstRowFirstColumn="0" w:firstRowLastColumn="0" w:lastRowFirstColumn="0" w:lastRowLastColumn="0"/>
            </w:pPr>
            <w:r>
              <w:t xml:space="preserve">Minor </w:t>
            </w:r>
            <w:r w:rsidR="00C70E96">
              <w:t>editorial changes</w:t>
            </w:r>
          </w:p>
          <w:p w14:paraId="53AE292C" w14:textId="39E1989B" w:rsidR="00C70E96" w:rsidRDefault="00C70E96" w:rsidP="00B33C56">
            <w:pPr>
              <w:cnfStyle w:val="000000000000" w:firstRow="0" w:lastRow="0" w:firstColumn="0" w:lastColumn="0" w:oddVBand="0" w:evenVBand="0" w:oddHBand="0" w:evenHBand="0" w:firstRowFirstColumn="0" w:firstRowLastColumn="0" w:lastRowFirstColumn="0" w:lastRowLastColumn="0"/>
            </w:pPr>
            <w:r>
              <w:t xml:space="preserve">Additional clarification that </w:t>
            </w:r>
            <w:r w:rsidRPr="00C70E96">
              <w:t>permission or approval to use a restricted representation is not required for warnings or contra-indications that are required by a legislative instrument</w:t>
            </w:r>
          </w:p>
          <w:p w14:paraId="74F06605" w14:textId="33A5634C" w:rsidR="00447D24" w:rsidRPr="00215D48" w:rsidRDefault="00C70E96" w:rsidP="00B33C56">
            <w:pPr>
              <w:cnfStyle w:val="000000000000" w:firstRow="0" w:lastRow="0" w:firstColumn="0" w:lastColumn="0" w:oddVBand="0" w:evenVBand="0" w:oddHBand="0" w:evenHBand="0" w:firstRowFirstColumn="0" w:firstRowLastColumn="0" w:lastRowFirstColumn="0" w:lastRowLastColumn="0"/>
            </w:pPr>
            <w:r>
              <w:t xml:space="preserve">Guidance on </w:t>
            </w:r>
            <w:r w:rsidR="00700D13">
              <w:t xml:space="preserve">Samples and incentives (Part 7) and Pricing information (Part 9) </w:t>
            </w:r>
            <w:r>
              <w:t xml:space="preserve">published in </w:t>
            </w:r>
            <w:r w:rsidR="00700D13">
              <w:t>separate documents.</w:t>
            </w:r>
          </w:p>
        </w:tc>
        <w:tc>
          <w:tcPr>
            <w:tcW w:w="2712" w:type="dxa"/>
          </w:tcPr>
          <w:p w14:paraId="15786B29" w14:textId="77777777" w:rsidR="00447D24" w:rsidRDefault="00447D24" w:rsidP="00447D24">
            <w:pPr>
              <w:cnfStyle w:val="000000000000" w:firstRow="0" w:lastRow="0" w:firstColumn="0" w:lastColumn="0" w:oddVBand="0" w:evenVBand="0" w:oddHBand="0" w:evenHBand="0" w:firstRowFirstColumn="0" w:firstRowLastColumn="0" w:lastRowFirstColumn="0" w:lastRowLastColumn="0"/>
            </w:pPr>
            <w:r>
              <w:t>Advertising and Compliance Education and Policy Section</w:t>
            </w:r>
          </w:p>
          <w:p w14:paraId="4586B7C4" w14:textId="47B3CEAC" w:rsidR="00447D24" w:rsidRDefault="00447D24" w:rsidP="00447D24">
            <w:pPr>
              <w:cnfStyle w:val="000000000000" w:firstRow="0" w:lastRow="0" w:firstColumn="0" w:lastColumn="0" w:oddVBand="0" w:evenVBand="0" w:oddHBand="0" w:evenHBand="0" w:firstRowFirstColumn="0" w:firstRowLastColumn="0" w:lastRowFirstColumn="0" w:lastRowLastColumn="0"/>
            </w:pPr>
            <w:r>
              <w:t>Regulatory Compliance Branch</w:t>
            </w:r>
          </w:p>
        </w:tc>
        <w:tc>
          <w:tcPr>
            <w:tcW w:w="1808" w:type="dxa"/>
          </w:tcPr>
          <w:p w14:paraId="5C44AE0C" w14:textId="4D0E29E4" w:rsidR="00447D24" w:rsidRDefault="006A6F76" w:rsidP="00926B0E">
            <w:pPr>
              <w:cnfStyle w:val="000000000000" w:firstRow="0" w:lastRow="0" w:firstColumn="0" w:lastColumn="0" w:oddVBand="0" w:evenVBand="0" w:oddHBand="0" w:evenHBand="0" w:firstRowFirstColumn="0" w:firstRowLastColumn="0" w:lastRowFirstColumn="0" w:lastRowLastColumn="0"/>
            </w:pPr>
            <w:r>
              <w:t>February 2023</w:t>
            </w:r>
          </w:p>
        </w:tc>
      </w:tr>
    </w:tbl>
    <w:p w14:paraId="1C3AA666" w14:textId="77777777" w:rsidR="00F401EF" w:rsidRPr="00215D48" w:rsidRDefault="00F401EF" w:rsidP="00706634">
      <w:pPr>
        <w:spacing w:before="0" w:after="0" w:line="240" w:lineRule="auto"/>
        <w:rPr>
          <w:sz w:val="20"/>
        </w:rPr>
        <w:sectPr w:rsidR="00F401EF" w:rsidRPr="00215D48" w:rsidSect="00AE7C6A">
          <w:headerReference w:type="default" r:id="rId37"/>
          <w:footerReference w:type="default" r:id="rId3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6E5C1D69" w14:textId="77777777" w:rsidTr="00564BBE">
        <w:trPr>
          <w:trHeight w:hRule="exact" w:val="565"/>
          <w:jc w:val="center"/>
        </w:trPr>
        <w:tc>
          <w:tcPr>
            <w:tcW w:w="9145" w:type="dxa"/>
          </w:tcPr>
          <w:p w14:paraId="110E583F" w14:textId="77777777" w:rsidR="00C50E5C" w:rsidRPr="00215D48" w:rsidRDefault="00C50E5C" w:rsidP="00564BBE">
            <w:pPr>
              <w:pStyle w:val="TGASignoff"/>
            </w:pPr>
            <w:r w:rsidRPr="00215D48">
              <w:lastRenderedPageBreak/>
              <w:t>Therapeutic Goods Administration</w:t>
            </w:r>
          </w:p>
        </w:tc>
      </w:tr>
      <w:tr w:rsidR="00C50E5C" w:rsidRPr="00215D48" w14:paraId="17DCA8F1" w14:textId="77777777" w:rsidTr="00564BBE">
        <w:trPr>
          <w:trHeight w:val="963"/>
          <w:jc w:val="center"/>
        </w:trPr>
        <w:tc>
          <w:tcPr>
            <w:tcW w:w="9145" w:type="dxa"/>
            <w:tcMar>
              <w:top w:w="28" w:type="dxa"/>
            </w:tcMar>
          </w:tcPr>
          <w:p w14:paraId="5EE12BA5" w14:textId="77777777" w:rsidR="00C50E5C" w:rsidRPr="00215D48" w:rsidRDefault="00C50E5C" w:rsidP="00EB5622">
            <w:pPr>
              <w:pStyle w:val="Address"/>
              <w:jc w:val="center"/>
            </w:pPr>
            <w:r w:rsidRPr="00215D48">
              <w:t>PO Box 100 Woden ACT 2606 Australia</w:t>
            </w:r>
          </w:p>
          <w:p w14:paraId="7F54455C" w14:textId="77777777" w:rsidR="001A3190" w:rsidRDefault="00C50E5C">
            <w:pPr>
              <w:pStyle w:val="Address"/>
              <w:jc w:val="center"/>
              <w:rPr>
                <w:sz w:val="22"/>
                <w:szCs w:val="22"/>
              </w:rPr>
            </w:pPr>
            <w:r w:rsidRPr="00215D48">
              <w:t xml:space="preserve">Email: </w:t>
            </w:r>
            <w:hyperlink r:id="rId39"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5EF5D441" w14:textId="77777777" w:rsidR="00C50E5C" w:rsidRPr="00215D48" w:rsidRDefault="008B7C7E">
            <w:pPr>
              <w:pStyle w:val="Address"/>
              <w:jc w:val="center"/>
              <w:rPr>
                <w:rStyle w:val="Hyperlink"/>
                <w:b/>
                <w:color w:val="auto"/>
                <w:sz w:val="22"/>
                <w:u w:val="none"/>
              </w:rPr>
            </w:pPr>
            <w:hyperlink r:id="rId40" w:history="1">
              <w:r w:rsidR="00215D48" w:rsidRPr="00C4721A">
                <w:rPr>
                  <w:rStyle w:val="Hyperlink"/>
                  <w:b/>
                </w:rPr>
                <w:t>https://www.tga.gov.au</w:t>
              </w:r>
            </w:hyperlink>
          </w:p>
        </w:tc>
      </w:tr>
      <w:tr w:rsidR="00C50E5C" w:rsidRPr="00215D48" w14:paraId="39DDB346" w14:textId="77777777" w:rsidTr="00564BBE">
        <w:trPr>
          <w:trHeight w:val="251"/>
          <w:jc w:val="center"/>
        </w:trPr>
        <w:tc>
          <w:tcPr>
            <w:tcW w:w="9145" w:type="dxa"/>
            <w:tcMar>
              <w:top w:w="28" w:type="dxa"/>
            </w:tcMar>
          </w:tcPr>
          <w:p w14:paraId="0749EB8A" w14:textId="017833D3" w:rsidR="00C50E5C" w:rsidRPr="00215D48" w:rsidRDefault="00C50E5C" w:rsidP="00EB5622">
            <w:pPr>
              <w:pStyle w:val="Address"/>
              <w:jc w:val="center"/>
            </w:pPr>
            <w:r w:rsidRPr="00215D48">
              <w:t>Reference/Publication #</w:t>
            </w:r>
            <w:r w:rsidR="00447D24">
              <w:t xml:space="preserve"> D2</w:t>
            </w:r>
            <w:r w:rsidR="006A6F76">
              <w:t>3</w:t>
            </w:r>
            <w:r w:rsidR="00447D24">
              <w:t>-</w:t>
            </w:r>
            <w:r w:rsidR="006A6F76">
              <w:t>5131787</w:t>
            </w:r>
          </w:p>
        </w:tc>
      </w:tr>
    </w:tbl>
    <w:p w14:paraId="0933495E" w14:textId="77777777" w:rsidR="00706634" w:rsidRPr="00215D48" w:rsidRDefault="00706634" w:rsidP="004A3084">
      <w:pPr>
        <w:rPr>
          <w:sz w:val="20"/>
        </w:rPr>
      </w:pPr>
    </w:p>
    <w:sectPr w:rsidR="00706634" w:rsidRPr="00215D48" w:rsidSect="00AE7C6A">
      <w:headerReference w:type="first" r:id="rId41"/>
      <w:footerReference w:type="first" r:id="rId4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A387" w14:textId="77777777" w:rsidR="00530DDB" w:rsidRDefault="00530DDB" w:rsidP="00C40A36">
      <w:pPr>
        <w:spacing w:after="0"/>
      </w:pPr>
      <w:r>
        <w:separator/>
      </w:r>
    </w:p>
  </w:endnote>
  <w:endnote w:type="continuationSeparator" w:id="0">
    <w:p w14:paraId="68CDFA52" w14:textId="77777777" w:rsidR="00530DDB" w:rsidRDefault="00530DD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4EF2FBCD" w14:textId="77777777" w:rsidTr="000B30E5">
      <w:trPr>
        <w:trHeight w:val="423"/>
      </w:trPr>
      <w:tc>
        <w:tcPr>
          <w:tcW w:w="4360" w:type="dxa"/>
          <w:tcBorders>
            <w:top w:val="single" w:sz="4" w:space="0" w:color="auto"/>
          </w:tcBorders>
        </w:tcPr>
        <w:p w14:paraId="7760BAA7" w14:textId="77777777" w:rsidR="00A77452" w:rsidRDefault="00A77452" w:rsidP="000B30E5">
          <w:pPr>
            <w:pStyle w:val="Footer"/>
          </w:pPr>
        </w:p>
        <w:p w14:paraId="54E581F1"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3B6DC56" w14:textId="77777777" w:rsidR="00A77452" w:rsidRDefault="00A77452" w:rsidP="000B30E5">
              <w:pPr>
                <w:pStyle w:val="Footer"/>
                <w:jc w:val="right"/>
              </w:pPr>
            </w:p>
            <w:p w14:paraId="192F844B"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EB6CAF">
                  <w:rPr>
                    <w:noProof/>
                  </w:rPr>
                  <w:t>2</w:t>
                </w:r>
              </w:fldSimple>
            </w:p>
          </w:sdtContent>
        </w:sdt>
      </w:tc>
    </w:tr>
    <w:tr w:rsidR="00A77452" w:rsidRPr="00257138" w14:paraId="4BE7B9AA" w14:textId="77777777" w:rsidTr="000B30E5">
      <w:trPr>
        <w:trHeight w:val="263"/>
      </w:trPr>
      <w:tc>
        <w:tcPr>
          <w:tcW w:w="4360" w:type="dxa"/>
        </w:tcPr>
        <w:p w14:paraId="5AB2B70C"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15251D74" w14:textId="77777777" w:rsidR="00A77452" w:rsidRPr="00257138" w:rsidRDefault="00A77452" w:rsidP="000B30E5">
          <w:pPr>
            <w:pStyle w:val="Footer"/>
            <w:jc w:val="right"/>
          </w:pPr>
        </w:p>
      </w:tc>
    </w:tr>
  </w:tbl>
  <w:p w14:paraId="13CA9663"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CB9C"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7F97F6A0" w14:textId="77777777" w:rsidTr="00030D34">
      <w:trPr>
        <w:trHeight w:val="423"/>
      </w:trPr>
      <w:tc>
        <w:tcPr>
          <w:tcW w:w="7338" w:type="dxa"/>
          <w:tcBorders>
            <w:top w:val="single" w:sz="4" w:space="0" w:color="auto"/>
          </w:tcBorders>
        </w:tcPr>
        <w:p w14:paraId="611E85B8" w14:textId="04069AE8" w:rsidR="00A77452" w:rsidRPr="004A3084" w:rsidRDefault="00447D24" w:rsidP="00F54CA9">
          <w:pPr>
            <w:pStyle w:val="Footer"/>
          </w:pPr>
          <w:r w:rsidRPr="00447D24">
            <w:t>Guidance on applying the 2021 Advertising Code rules – Part</w:t>
          </w:r>
          <w:r w:rsidR="00920DB7">
            <w:t xml:space="preserve"> </w:t>
          </w:r>
          <w:r w:rsidRPr="00447D24">
            <w:t>8</w:t>
          </w:r>
          <w:r w:rsidR="002B30E4">
            <w:t xml:space="preserve"> – Restricted representations</w:t>
          </w:r>
          <w:r w:rsidR="00A77452">
            <w:br/>
            <w:t>V</w:t>
          </w:r>
          <w:r w:rsidR="004F1240">
            <w:t>1.</w:t>
          </w:r>
          <w:r>
            <w:t xml:space="preserve">1 </w:t>
          </w:r>
          <w:r w:rsidR="006A6F76">
            <w:t>February 2023</w:t>
          </w:r>
        </w:p>
      </w:tc>
      <w:tc>
        <w:tcPr>
          <w:tcW w:w="1734" w:type="dxa"/>
          <w:tcBorders>
            <w:top w:val="single" w:sz="4" w:space="0" w:color="auto"/>
          </w:tcBorders>
        </w:tcPr>
        <w:sdt>
          <w:sdtPr>
            <w:id w:val="11571659"/>
            <w:docPartObj>
              <w:docPartGallery w:val="Page Numbers (Top of Page)"/>
              <w:docPartUnique/>
            </w:docPartObj>
          </w:sdtPr>
          <w:sdtEndPr/>
          <w:sdtContent>
            <w:p w14:paraId="6AFCCED7"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fldSimple w:instr=" NUMPAGES  ">
                <w:r w:rsidR="00525165">
                  <w:rPr>
                    <w:noProof/>
                  </w:rPr>
                  <w:t>7</w:t>
                </w:r>
              </w:fldSimple>
            </w:p>
          </w:sdtContent>
        </w:sdt>
      </w:tc>
    </w:tr>
  </w:tbl>
  <w:p w14:paraId="03DD6751"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C95B"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BE77" w14:textId="77777777" w:rsidR="00530DDB" w:rsidRDefault="00530DDB" w:rsidP="00C40A36">
      <w:pPr>
        <w:spacing w:after="0"/>
      </w:pPr>
      <w:r>
        <w:separator/>
      </w:r>
    </w:p>
  </w:footnote>
  <w:footnote w:type="continuationSeparator" w:id="0">
    <w:p w14:paraId="15AC261E" w14:textId="77777777" w:rsidR="00530DDB" w:rsidRDefault="00530DDB"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92CA" w14:textId="77777777" w:rsidR="00A77452" w:rsidRDefault="008B7C7E" w:rsidP="00C3408D">
    <w:pPr>
      <w:pStyle w:val="Header"/>
    </w:pPr>
    <w:sdt>
      <w:sdtPr>
        <w:id w:val="-203553135"/>
        <w:docPartObj>
          <w:docPartGallery w:val="Watermarks"/>
          <w:docPartUnique/>
        </w:docPartObj>
      </w:sdtPr>
      <w:sdtEndPr/>
      <w:sdtContent>
        <w:r>
          <w:rPr>
            <w:noProof/>
          </w:rPr>
          <w:pict w14:anchorId="39FA8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14CE13E7" w14:textId="77777777" w:rsidTr="00F71E1E">
      <w:trPr>
        <w:trHeight w:hRule="exact" w:val="8845"/>
      </w:trPr>
      <w:tc>
        <w:tcPr>
          <w:tcW w:w="11964" w:type="dxa"/>
          <w:vAlign w:val="center"/>
        </w:tcPr>
        <w:p w14:paraId="1075DDE3" w14:textId="77777777" w:rsidR="00A77452" w:rsidRPr="002B29B2" w:rsidRDefault="008B7C7E"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5A411CFB" wp14:editId="0F01A75F">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40DE2E81"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4D7EA75A" wp14:editId="0EE6F83F">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4DCE467A" wp14:editId="7D729BFF">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EF72"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84D4"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972512"/>
    <w:multiLevelType w:val="hybridMultilevel"/>
    <w:tmpl w:val="A08EF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300D1D"/>
    <w:multiLevelType w:val="multilevel"/>
    <w:tmpl w:val="9A4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78F033B"/>
    <w:multiLevelType w:val="multilevel"/>
    <w:tmpl w:val="5A7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2D666D50"/>
    <w:multiLevelType w:val="multilevel"/>
    <w:tmpl w:val="BD0C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D5236"/>
    <w:multiLevelType w:val="hybridMultilevel"/>
    <w:tmpl w:val="D1401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E83556"/>
    <w:multiLevelType w:val="multilevel"/>
    <w:tmpl w:val="B14E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B6398"/>
    <w:multiLevelType w:val="multilevel"/>
    <w:tmpl w:val="FB9E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984D3A"/>
    <w:multiLevelType w:val="multilevel"/>
    <w:tmpl w:val="EFE2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15052"/>
    <w:multiLevelType w:val="multilevel"/>
    <w:tmpl w:val="2B2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D30B3"/>
    <w:multiLevelType w:val="multilevel"/>
    <w:tmpl w:val="07FC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C69B5"/>
    <w:multiLevelType w:val="hybridMultilevel"/>
    <w:tmpl w:val="729057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3E75FA"/>
    <w:multiLevelType w:val="multilevel"/>
    <w:tmpl w:val="7768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068AB"/>
    <w:multiLevelType w:val="multilevel"/>
    <w:tmpl w:val="540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15767"/>
    <w:multiLevelType w:val="multilevel"/>
    <w:tmpl w:val="A834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7"/>
  </w:num>
  <w:num w:numId="13">
    <w:abstractNumId w:val="7"/>
  </w:num>
  <w:num w:numId="14">
    <w:abstractNumId w:val="7"/>
  </w:num>
  <w:num w:numId="15">
    <w:abstractNumId w:val="5"/>
  </w:num>
  <w:num w:numId="16">
    <w:abstractNumId w:val="5"/>
  </w:num>
  <w:num w:numId="17">
    <w:abstractNumId w:val="5"/>
  </w:num>
  <w:num w:numId="18">
    <w:abstractNumId w:val="6"/>
  </w:num>
  <w:num w:numId="19">
    <w:abstractNumId w:val="15"/>
  </w:num>
  <w:num w:numId="20">
    <w:abstractNumId w:val="9"/>
  </w:num>
  <w:num w:numId="21">
    <w:abstractNumId w:val="14"/>
  </w:num>
  <w:num w:numId="22">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3">
    <w:abstractNumId w:val="11"/>
  </w:num>
  <w:num w:numId="24">
    <w:abstractNumId w:val="12"/>
  </w:num>
  <w:num w:numId="25">
    <w:abstractNumId w:val="13"/>
  </w:num>
  <w:num w:numId="26">
    <w:abstractNumId w:val="8"/>
  </w:num>
  <w:num w:numId="27">
    <w:abstractNumId w:val="17"/>
  </w:num>
  <w:num w:numId="28">
    <w:abstractNumId w:val="20"/>
  </w:num>
  <w:num w:numId="29">
    <w:abstractNumId w:val="21"/>
  </w:num>
  <w:num w:numId="30">
    <w:abstractNumId w:val="18"/>
  </w:num>
  <w:num w:numId="31">
    <w:abstractNumId w:val="22"/>
  </w:num>
  <w:num w:numId="32">
    <w:abstractNumId w:val="3"/>
  </w:num>
  <w:num w:numId="33">
    <w:abstractNumId w:val="10"/>
  </w:num>
  <w:num w:numId="34">
    <w:abstractNumId w:val="4"/>
  </w:num>
  <w:num w:numId="35">
    <w:abstractNumId w:val="19"/>
  </w:num>
  <w:num w:numId="36">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37">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38">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24"/>
    <w:rsid w:val="00002031"/>
    <w:rsid w:val="000040BA"/>
    <w:rsid w:val="00004734"/>
    <w:rsid w:val="00006B22"/>
    <w:rsid w:val="00010E4D"/>
    <w:rsid w:val="0001276A"/>
    <w:rsid w:val="00016BEB"/>
    <w:rsid w:val="000246AE"/>
    <w:rsid w:val="00025C67"/>
    <w:rsid w:val="00030D34"/>
    <w:rsid w:val="00032FFB"/>
    <w:rsid w:val="0005559E"/>
    <w:rsid w:val="000703AB"/>
    <w:rsid w:val="000724FC"/>
    <w:rsid w:val="00074CAE"/>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2FB"/>
    <w:rsid w:val="000F6E6F"/>
    <w:rsid w:val="001003F2"/>
    <w:rsid w:val="00102BDA"/>
    <w:rsid w:val="0010601F"/>
    <w:rsid w:val="00110EA5"/>
    <w:rsid w:val="00115240"/>
    <w:rsid w:val="00115508"/>
    <w:rsid w:val="001210F1"/>
    <w:rsid w:val="00125091"/>
    <w:rsid w:val="00125318"/>
    <w:rsid w:val="0012708E"/>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170"/>
    <w:rsid w:val="001843C6"/>
    <w:rsid w:val="00184D33"/>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0332C"/>
    <w:rsid w:val="00215D48"/>
    <w:rsid w:val="00217091"/>
    <w:rsid w:val="00220B8A"/>
    <w:rsid w:val="002257F3"/>
    <w:rsid w:val="00231E8D"/>
    <w:rsid w:val="00233456"/>
    <w:rsid w:val="002339A5"/>
    <w:rsid w:val="00237691"/>
    <w:rsid w:val="00247FB9"/>
    <w:rsid w:val="00251A51"/>
    <w:rsid w:val="00257138"/>
    <w:rsid w:val="00257848"/>
    <w:rsid w:val="0027084A"/>
    <w:rsid w:val="00286434"/>
    <w:rsid w:val="00286C59"/>
    <w:rsid w:val="0029069E"/>
    <w:rsid w:val="00290795"/>
    <w:rsid w:val="002942D1"/>
    <w:rsid w:val="002A0556"/>
    <w:rsid w:val="002A592C"/>
    <w:rsid w:val="002A5B3A"/>
    <w:rsid w:val="002A706C"/>
    <w:rsid w:val="002B1638"/>
    <w:rsid w:val="002B25CB"/>
    <w:rsid w:val="002B29B2"/>
    <w:rsid w:val="002B30E4"/>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25399"/>
    <w:rsid w:val="00331DBB"/>
    <w:rsid w:val="00335C3B"/>
    <w:rsid w:val="003361D1"/>
    <w:rsid w:val="00350236"/>
    <w:rsid w:val="0035146C"/>
    <w:rsid w:val="003521E8"/>
    <w:rsid w:val="00357700"/>
    <w:rsid w:val="0036361E"/>
    <w:rsid w:val="003664BF"/>
    <w:rsid w:val="00367F70"/>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82B"/>
    <w:rsid w:val="003F2E95"/>
    <w:rsid w:val="0040134E"/>
    <w:rsid w:val="00404B57"/>
    <w:rsid w:val="00406DB9"/>
    <w:rsid w:val="00416BCB"/>
    <w:rsid w:val="00440A2D"/>
    <w:rsid w:val="00442DA9"/>
    <w:rsid w:val="00447D24"/>
    <w:rsid w:val="0045040C"/>
    <w:rsid w:val="004564A7"/>
    <w:rsid w:val="004617BF"/>
    <w:rsid w:val="004714D9"/>
    <w:rsid w:val="00473864"/>
    <w:rsid w:val="0048284A"/>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25165"/>
    <w:rsid w:val="00526B28"/>
    <w:rsid w:val="00530354"/>
    <w:rsid w:val="00530DDB"/>
    <w:rsid w:val="00531B69"/>
    <w:rsid w:val="00535D83"/>
    <w:rsid w:val="0054053C"/>
    <w:rsid w:val="00541FD8"/>
    <w:rsid w:val="005423EF"/>
    <w:rsid w:val="005434C6"/>
    <w:rsid w:val="00543B39"/>
    <w:rsid w:val="00550096"/>
    <w:rsid w:val="0055653F"/>
    <w:rsid w:val="00557FF9"/>
    <w:rsid w:val="00560037"/>
    <w:rsid w:val="005640AC"/>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2573C"/>
    <w:rsid w:val="00640FC3"/>
    <w:rsid w:val="00642020"/>
    <w:rsid w:val="0065200D"/>
    <w:rsid w:val="0065337B"/>
    <w:rsid w:val="0065419D"/>
    <w:rsid w:val="006542B4"/>
    <w:rsid w:val="00654EA9"/>
    <w:rsid w:val="006604D8"/>
    <w:rsid w:val="00664A5B"/>
    <w:rsid w:val="00667942"/>
    <w:rsid w:val="00680C08"/>
    <w:rsid w:val="0068741A"/>
    <w:rsid w:val="006931B1"/>
    <w:rsid w:val="006974FD"/>
    <w:rsid w:val="006A15C0"/>
    <w:rsid w:val="006A2426"/>
    <w:rsid w:val="006A2A31"/>
    <w:rsid w:val="006A38E4"/>
    <w:rsid w:val="006A6F76"/>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0D13"/>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71329"/>
    <w:rsid w:val="00773EF7"/>
    <w:rsid w:val="00774E1D"/>
    <w:rsid w:val="0077675A"/>
    <w:rsid w:val="00780355"/>
    <w:rsid w:val="00785721"/>
    <w:rsid w:val="0078745C"/>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B7C7E"/>
    <w:rsid w:val="008C159F"/>
    <w:rsid w:val="008C1623"/>
    <w:rsid w:val="008C51A9"/>
    <w:rsid w:val="008C63C5"/>
    <w:rsid w:val="008C7541"/>
    <w:rsid w:val="008E3C43"/>
    <w:rsid w:val="008E3FF2"/>
    <w:rsid w:val="008F1CCC"/>
    <w:rsid w:val="008F2967"/>
    <w:rsid w:val="008F6EF7"/>
    <w:rsid w:val="009074DB"/>
    <w:rsid w:val="00920330"/>
    <w:rsid w:val="00920DB7"/>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845AB"/>
    <w:rsid w:val="0099110E"/>
    <w:rsid w:val="00994189"/>
    <w:rsid w:val="009A4CED"/>
    <w:rsid w:val="009A5BC7"/>
    <w:rsid w:val="009B1D12"/>
    <w:rsid w:val="009B3475"/>
    <w:rsid w:val="009B416B"/>
    <w:rsid w:val="009B68A6"/>
    <w:rsid w:val="009C4BD5"/>
    <w:rsid w:val="009D059A"/>
    <w:rsid w:val="009D2E04"/>
    <w:rsid w:val="009D5CFF"/>
    <w:rsid w:val="009D7B77"/>
    <w:rsid w:val="009E0BB0"/>
    <w:rsid w:val="009E3FBB"/>
    <w:rsid w:val="009E45E7"/>
    <w:rsid w:val="009F018D"/>
    <w:rsid w:val="009F0B33"/>
    <w:rsid w:val="00A1235B"/>
    <w:rsid w:val="00A14DF7"/>
    <w:rsid w:val="00A26E24"/>
    <w:rsid w:val="00A3246D"/>
    <w:rsid w:val="00A36FA7"/>
    <w:rsid w:val="00A4235C"/>
    <w:rsid w:val="00A47459"/>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D5FF3"/>
    <w:rsid w:val="00AE5AB2"/>
    <w:rsid w:val="00AE65EB"/>
    <w:rsid w:val="00AE7C6A"/>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A7BA5"/>
    <w:rsid w:val="00BB2E07"/>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2BAB"/>
    <w:rsid w:val="00C44419"/>
    <w:rsid w:val="00C45E7B"/>
    <w:rsid w:val="00C471B1"/>
    <w:rsid w:val="00C4743E"/>
    <w:rsid w:val="00C50E5C"/>
    <w:rsid w:val="00C6316B"/>
    <w:rsid w:val="00C634A9"/>
    <w:rsid w:val="00C70E96"/>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217"/>
    <w:rsid w:val="00CF15C3"/>
    <w:rsid w:val="00CF2B6F"/>
    <w:rsid w:val="00CF4791"/>
    <w:rsid w:val="00D017ED"/>
    <w:rsid w:val="00D06D8C"/>
    <w:rsid w:val="00D11F5C"/>
    <w:rsid w:val="00D153B1"/>
    <w:rsid w:val="00D20C54"/>
    <w:rsid w:val="00D224FE"/>
    <w:rsid w:val="00D229BA"/>
    <w:rsid w:val="00D25F22"/>
    <w:rsid w:val="00D27857"/>
    <w:rsid w:val="00D30526"/>
    <w:rsid w:val="00D3646E"/>
    <w:rsid w:val="00D55652"/>
    <w:rsid w:val="00D64401"/>
    <w:rsid w:val="00D6493E"/>
    <w:rsid w:val="00D744BD"/>
    <w:rsid w:val="00D85417"/>
    <w:rsid w:val="00D9141E"/>
    <w:rsid w:val="00DA1124"/>
    <w:rsid w:val="00DA24C7"/>
    <w:rsid w:val="00DA381C"/>
    <w:rsid w:val="00DA4CD9"/>
    <w:rsid w:val="00DB3805"/>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DA3"/>
    <w:rsid w:val="00E47660"/>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E510E"/>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2B9C"/>
    <w:rsid w:val="00F47E37"/>
    <w:rsid w:val="00F54CA9"/>
    <w:rsid w:val="00F56B9D"/>
    <w:rsid w:val="00F640B6"/>
    <w:rsid w:val="00F71E1E"/>
    <w:rsid w:val="00F80E40"/>
    <w:rsid w:val="00F859D2"/>
    <w:rsid w:val="00F8709D"/>
    <w:rsid w:val="00F9022D"/>
    <w:rsid w:val="00FA2B8E"/>
    <w:rsid w:val="00FA43E5"/>
    <w:rsid w:val="00FA5B82"/>
    <w:rsid w:val="00FA639E"/>
    <w:rsid w:val="00FA7C37"/>
    <w:rsid w:val="00FB0938"/>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2BC16B79"/>
  <w15:docId w15:val="{29A318AB-B08E-4C87-81E9-E49C87D6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customStyle="1" w:styleId="Default">
    <w:name w:val="Default"/>
    <w:rsid w:val="00447D24"/>
    <w:pPr>
      <w:autoSpaceDE w:val="0"/>
      <w:autoSpaceDN w:val="0"/>
      <w:adjustRightInd w:val="0"/>
    </w:pPr>
    <w:rPr>
      <w:rFonts w:eastAsiaTheme="minorHAnsi" w:cs="Cambria"/>
      <w:color w:val="000000"/>
      <w:sz w:val="24"/>
      <w:szCs w:val="24"/>
      <w:lang w:eastAsia="en-US"/>
    </w:rPr>
  </w:style>
  <w:style w:type="character" w:styleId="UnresolvedMention">
    <w:name w:val="Unresolved Mention"/>
    <w:basedOn w:val="DefaultParagraphFont"/>
    <w:uiPriority w:val="99"/>
    <w:semiHidden/>
    <w:unhideWhenUsed/>
    <w:rsid w:val="00447D24"/>
    <w:rPr>
      <w:color w:val="605E5C"/>
      <w:shd w:val="clear" w:color="auto" w:fill="E1DFDD"/>
    </w:rPr>
  </w:style>
  <w:style w:type="paragraph" w:styleId="NormalWeb">
    <w:name w:val="Normal (Web)"/>
    <w:basedOn w:val="Normal"/>
    <w:uiPriority w:val="99"/>
    <w:semiHidden/>
    <w:unhideWhenUsed/>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HTMLCite">
    <w:name w:val="HTML Cite"/>
    <w:basedOn w:val="DefaultParagraphFont"/>
    <w:uiPriority w:val="99"/>
    <w:semiHidden/>
    <w:unhideWhenUsed/>
    <w:rsid w:val="00447D24"/>
    <w:rPr>
      <w:i/>
      <w:iCs/>
    </w:rPr>
  </w:style>
  <w:style w:type="character" w:styleId="Strong">
    <w:name w:val="Strong"/>
    <w:basedOn w:val="DefaultParagraphFont"/>
    <w:uiPriority w:val="22"/>
    <w:qFormat/>
    <w:rsid w:val="00447D24"/>
    <w:rPr>
      <w:b/>
      <w:bCs/>
    </w:rPr>
  </w:style>
  <w:style w:type="paragraph" w:customStyle="1" w:styleId="nodotpoint">
    <w:name w:val="nodotpoint"/>
    <w:basedOn w:val="Normal"/>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
    <w:name w:val="paragraph"/>
    <w:basedOn w:val="Normal"/>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sub">
    <w:name w:val="paragraphsub"/>
    <w:basedOn w:val="Normal"/>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pubtitle">
    <w:name w:val="pubtitle"/>
    <w:basedOn w:val="DefaultParagraphFont"/>
    <w:rsid w:val="00447D24"/>
  </w:style>
  <w:style w:type="character" w:customStyle="1" w:styleId="element-invisible">
    <w:name w:val="element-invisible"/>
    <w:basedOn w:val="DefaultParagraphFont"/>
    <w:rsid w:val="00447D24"/>
  </w:style>
  <w:style w:type="paragraph" w:styleId="ListParagraph">
    <w:name w:val="List Paragraph"/>
    <w:basedOn w:val="Normal"/>
    <w:uiPriority w:val="34"/>
    <w:qFormat/>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table" w:styleId="TableGridLight">
    <w:name w:val="Grid Table Light"/>
    <w:basedOn w:val="TableNormal"/>
    <w:uiPriority w:val="40"/>
    <w:rsid w:val="00447D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therapeutic-goods-advertising-code" TargetMode="External"/><Relationship Id="rId18" Type="http://schemas.openxmlformats.org/officeDocument/2006/relationships/hyperlink" Target="https://www.tga.gov.au/resource/restricted-representation-application-checklist" TargetMode="External"/><Relationship Id="rId26" Type="http://schemas.openxmlformats.org/officeDocument/2006/relationships/hyperlink" Target="https://www.tga.gov.au/guidance-submitting-application-approval-use-restricted-representation" TargetMode="External"/><Relationship Id="rId39"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therapeutic-goods-determinations" TargetMode="External"/><Relationship Id="rId34" Type="http://schemas.openxmlformats.org/officeDocument/2006/relationships/hyperlink" Target="https://www.legislation.gov.au/Series/F1996B00406"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guidance-submitting-application-approval-use-restricted-representation" TargetMode="External"/><Relationship Id="rId25" Type="http://schemas.openxmlformats.org/officeDocument/2006/relationships/hyperlink" Target="https://compliance.health.gov.au/ac-rr/" TargetMode="External"/><Relationship Id="rId33" Type="http://schemas.openxmlformats.org/officeDocument/2006/relationships/hyperlink" Target="https://www.tga.gov.au/advert-exempt/therapeutic-goods-restricted-representations-automated-external-defibrillators-permission-2021"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form/application-approval-use-restricted-representation-advertising" TargetMode="External"/><Relationship Id="rId20" Type="http://schemas.openxmlformats.org/officeDocument/2006/relationships/hyperlink" Target="https://www.tga.gov.au/node/285076" TargetMode="External"/><Relationship Id="rId29" Type="http://schemas.openxmlformats.org/officeDocument/2006/relationships/hyperlink" Target="https://www.tga.gov.au/guidance-submitting-application-approval-use-restricted-representation"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node/287273" TargetMode="External"/><Relationship Id="rId32" Type="http://schemas.openxmlformats.org/officeDocument/2006/relationships/hyperlink" Target="https://www.tga.gov.au/resources/advertising-permissions" TargetMode="External"/><Relationship Id="rId37" Type="http://schemas.openxmlformats.org/officeDocument/2006/relationships/header" Target="header3.xml"/><Relationship Id="rId40"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tga.gov.au/how-we-regulate/advertising/how-advertise/restricted-and-prohibited-representations-advertising/restricted-and-prohibited-representations" TargetMode="External"/><Relationship Id="rId23" Type="http://schemas.openxmlformats.org/officeDocument/2006/relationships/hyperlink" Target="https://www.tga.gov.au/how-we-regulate/ingredients-and-scheduling-medicines-and-chemicals/poisons-standard-and-scheduling-medicines-and-chemicals/poisons-standard-susmp-0" TargetMode="External"/><Relationship Id="rId28" Type="http://schemas.openxmlformats.org/officeDocument/2006/relationships/hyperlink" Target="https://www.legislation.gov.au/Details/F2023C00019" TargetMode="External"/><Relationship Id="rId36" Type="http://schemas.openxmlformats.org/officeDocument/2006/relationships/hyperlink" Target="https://www.tga.gov.au/resources/advertising-permissions/therapeutic-goods-prohibited-representations-condoms-and-sunscreens-permission-2018" TargetMode="Externa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www.tga.gov.au/guidance-submitting-application-approval-use-restricted-representat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Series/F1996B00406" TargetMode="External"/><Relationship Id="rId22" Type="http://schemas.openxmlformats.org/officeDocument/2006/relationships/hyperlink" Target="https://www.tga.gov.au/therapeutic-goods-determinations" TargetMode="External"/><Relationship Id="rId27" Type="http://schemas.openxmlformats.org/officeDocument/2006/relationships/hyperlink" Target="mailto:advertising.exemptions@tga.gov.au(link%20sends%20e-mail)" TargetMode="External"/><Relationship Id="rId30" Type="http://schemas.openxmlformats.org/officeDocument/2006/relationships/hyperlink" Target="https://www.tga.gov.au/resource/restricted-representation-application-checklist" TargetMode="External"/><Relationship Id="rId35" Type="http://schemas.openxmlformats.org/officeDocument/2006/relationships/hyperlink" Target="https://www.tga.gov.au/resources/advertising-permissions"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71</TotalTime>
  <Pages>11</Pages>
  <Words>2441</Words>
  <Characters>13088</Characters>
  <Application>Microsoft Office Word</Application>
  <DocSecurity>0</DocSecurity>
  <Lines>344</Lines>
  <Paragraphs>287</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applying the 2021 Advertising Code rules</dc:title>
  <dc:subject>Therapeutic Goods Advertising</dc:subject>
  <dc:creator>Therapeutic Goods Administration</dc:creator>
  <cp:lastModifiedBy>KOLARIK-O'REILLY, Kristy</cp:lastModifiedBy>
  <cp:revision>21</cp:revision>
  <cp:lastPrinted>2010-12-20T22:59:00Z</cp:lastPrinted>
  <dcterms:created xsi:type="dcterms:W3CDTF">2022-11-25T03:17:00Z</dcterms:created>
  <dcterms:modified xsi:type="dcterms:W3CDTF">2023-03-06T23:28:00Z</dcterms:modified>
</cp:coreProperties>
</file>